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RPr="009E358D" w:rsidP="00357C8A" w14:paraId="4ACD0992" w14:textId="78EDD81A">
      <w:pPr>
        <w:jc w:val="center"/>
        <w:rPr>
          <w:rFonts w:eastAsia="Calibri"/>
          <w:b/>
          <w:bCs/>
        </w:rPr>
      </w:pPr>
      <w:r>
        <w:rPr>
          <w:rFonts w:eastAsia="Calibri"/>
          <w:b/>
          <w:bCs/>
        </w:rPr>
        <w:t>Q-Submission</w:t>
      </w:r>
      <w:r w:rsidR="008E6B86">
        <w:rPr>
          <w:rFonts w:eastAsia="Calibri"/>
          <w:b/>
          <w:bCs/>
        </w:rPr>
        <w:t xml:space="preserve"> and </w:t>
      </w:r>
      <w:r>
        <w:rPr>
          <w:rFonts w:eastAsia="Calibri"/>
          <w:b/>
          <w:bCs/>
        </w:rPr>
        <w:t>Early Payor Feedback Request</w:t>
      </w:r>
      <w:r w:rsidR="008E6B86">
        <w:rPr>
          <w:rFonts w:eastAsia="Calibri"/>
          <w:b/>
          <w:bCs/>
        </w:rPr>
        <w:t xml:space="preserve"> Programs</w:t>
      </w:r>
      <w:r>
        <w:rPr>
          <w:rFonts w:eastAsia="Calibri"/>
          <w:b/>
          <w:bCs/>
        </w:rPr>
        <w:t xml:space="preserve"> and </w:t>
      </w:r>
      <w:r w:rsidR="00FC2E07">
        <w:rPr>
          <w:rFonts w:eastAsia="Calibri"/>
          <w:b/>
          <w:bCs/>
        </w:rPr>
        <w:t>Medical Device Development Tools</w:t>
      </w:r>
    </w:p>
    <w:p w:rsidR="00357C8A" w:rsidP="00357C8A" w14:paraId="36F514DC" w14:textId="77777777">
      <w:pPr>
        <w:jc w:val="center"/>
        <w:rPr>
          <w:rFonts w:eastAsia="Calibri"/>
        </w:rPr>
      </w:pPr>
    </w:p>
    <w:p w:rsidR="00357C8A" w:rsidP="00357C8A" w14:paraId="732E0832" w14:textId="4ECEE0BB">
      <w:pPr>
        <w:jc w:val="center"/>
        <w:rPr>
          <w:rFonts w:eastAsia="Calibri"/>
        </w:rPr>
      </w:pPr>
      <w:r w:rsidRPr="1DE11919">
        <w:rPr>
          <w:rFonts w:eastAsia="Calibri"/>
        </w:rPr>
        <w:t>OMB Control No. 0910-</w:t>
      </w:r>
      <w:r w:rsidRPr="1DE11919" w:rsidR="00FC2E07">
        <w:rPr>
          <w:rFonts w:eastAsia="Calibri"/>
        </w:rPr>
        <w:t>0756</w:t>
      </w:r>
      <w:r w:rsidRPr="1DE11919" w:rsidR="00727CDF">
        <w:rPr>
          <w:rFonts w:eastAsia="Calibri"/>
        </w:rPr>
        <w:t xml:space="preserve"> </w:t>
      </w:r>
      <w:r w:rsidRPr="1DE11919" w:rsidR="00C173D8">
        <w:rPr>
          <w:rFonts w:eastAsia="Calibri"/>
        </w:rPr>
        <w:t>–REVISION</w:t>
      </w:r>
    </w:p>
    <w:p w:rsidR="00357C8A" w:rsidP="00357C8A" w14:paraId="47FD62EB" w14:textId="77777777">
      <w:pPr>
        <w:jc w:val="center"/>
        <w:rPr>
          <w:rFonts w:eastAsia="Calibri"/>
        </w:rPr>
      </w:pPr>
    </w:p>
    <w:p w:rsidR="009B4DF2" w:rsidRPr="009E358D" w:rsidP="009E358D" w14:paraId="5EC8BBD8" w14:textId="77777777">
      <w:pPr>
        <w:jc w:val="center"/>
        <w:rPr>
          <w:rFonts w:eastAsia="Calibri"/>
        </w:rPr>
      </w:pPr>
      <w:r w:rsidRPr="00357C8A">
        <w:rPr>
          <w:rFonts w:eastAsia="Calibri"/>
        </w:rPr>
        <w:t>SUPPORTING STATEMENT</w:t>
      </w:r>
    </w:p>
    <w:p w:rsidR="00C71649" w:rsidP="009B4DF2" w14:paraId="55DB2B94" w14:textId="77777777"/>
    <w:p w:rsidR="00357C8A" w:rsidP="000D79CC" w14:paraId="5423AC00" w14:textId="77777777">
      <w:pPr>
        <w:rPr>
          <w:rFonts w:eastAsia="Calibri"/>
        </w:rPr>
      </w:pPr>
      <w:r w:rsidRPr="00357C8A">
        <w:rPr>
          <w:rFonts w:eastAsia="Calibri"/>
          <w:b/>
        </w:rPr>
        <w:t>Part A:  Justification</w:t>
      </w:r>
      <w:r w:rsidRPr="00357C8A">
        <w:rPr>
          <w:rFonts w:eastAsia="Calibri"/>
        </w:rPr>
        <w:t>:</w:t>
      </w:r>
    </w:p>
    <w:p w:rsidR="000D79CC" w:rsidRPr="00357C8A" w:rsidP="000D79CC" w14:paraId="778A50AA" w14:textId="77777777">
      <w:pPr>
        <w:rPr>
          <w:rFonts w:eastAsia="Calibri"/>
        </w:rPr>
      </w:pPr>
    </w:p>
    <w:p w:rsidR="00357C8A" w:rsidRPr="00357C8A" w:rsidP="006705EA" w14:paraId="1045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057B2" w:rsidP="003461A9" w14:paraId="4BD82DE3" w14:textId="04699F31">
      <w:pPr>
        <w:spacing w:after="200"/>
        <w:rPr>
          <w:rFonts w:eastAsia="Calibri"/>
        </w:rPr>
      </w:pPr>
      <w:r w:rsidRPr="001057B2">
        <w:rPr>
          <w:rFonts w:eastAsia="Calibri"/>
        </w:rPr>
        <w:t xml:space="preserve">This information collection helps implement </w:t>
      </w:r>
      <w:r>
        <w:rPr>
          <w:rFonts w:eastAsia="Calibri"/>
        </w:rPr>
        <w:t xml:space="preserve">goals agreed upon between </w:t>
      </w:r>
      <w:r w:rsidRPr="001057B2">
        <w:rPr>
          <w:rFonts w:eastAsia="Calibri"/>
        </w:rPr>
        <w:t xml:space="preserve">industry and </w:t>
      </w:r>
      <w:r>
        <w:rPr>
          <w:rFonts w:eastAsia="Calibri"/>
        </w:rPr>
        <w:t xml:space="preserve">the </w:t>
      </w:r>
      <w:r w:rsidRPr="001057B2">
        <w:rPr>
          <w:rFonts w:eastAsia="Calibri"/>
        </w:rPr>
        <w:t>Food and Drug Administration (FDA) that provide for the establishment of systems and procedures intended to improve FDA’s medical device review process under the Medical Device User Fee Act (MDUFA)</w:t>
      </w:r>
      <w:r>
        <w:rPr>
          <w:rFonts w:eastAsia="Calibri"/>
        </w:rPr>
        <w:t xml:space="preserve">. </w:t>
      </w:r>
      <w:r w:rsidRPr="001057B2">
        <w:rPr>
          <w:rFonts w:eastAsia="Calibri"/>
        </w:rPr>
        <w:t>Congress first gave FDA the authority to collect user fees from medical device companies in the Medical Device User Fee and Modernization Act of 2002 (Public Law 107-250)</w:t>
      </w:r>
      <w:r>
        <w:rPr>
          <w:rFonts w:eastAsia="Calibri"/>
        </w:rPr>
        <w:t xml:space="preserve">. </w:t>
      </w:r>
      <w:r w:rsidRPr="001057B2">
        <w:rPr>
          <w:rFonts w:eastAsia="Calibri"/>
        </w:rPr>
        <w:t>We continue to collect user fees and associated information under the FDA User Fee Reauthorization Act of 2022 (Public Law 117-180; Division F), currently in place from October 1, 2022</w:t>
      </w:r>
      <w:r>
        <w:rPr>
          <w:rFonts w:eastAsia="Calibri"/>
        </w:rPr>
        <w:t>,</w:t>
      </w:r>
      <w:r w:rsidRPr="001057B2">
        <w:rPr>
          <w:rFonts w:eastAsia="Calibri"/>
        </w:rPr>
        <w:t xml:space="preserve"> through September 30, 2027</w:t>
      </w:r>
      <w:r>
        <w:rPr>
          <w:rFonts w:eastAsia="Calibri"/>
        </w:rPr>
        <w:t xml:space="preserve">. </w:t>
      </w:r>
      <w:r w:rsidRPr="001057B2">
        <w:rPr>
          <w:rFonts w:eastAsia="Calibri"/>
        </w:rPr>
        <w:t>As communicated in FDA’s MDUFA performance goal documents developed in collaboration with interested stakeholders, we continue to improve and enhance our processes for providing feedback to sponsors of medical device submissions.</w:t>
      </w:r>
    </w:p>
    <w:p w:rsidR="0090747A" w:rsidRPr="00515CF7" w:rsidP="0090747A" w14:paraId="36778156" w14:textId="67AE214D">
      <w:pPr>
        <w:spacing w:after="200"/>
      </w:pPr>
      <w:r>
        <w:t>In 1995, our Center for Devices and Radiological Health (CDRH) established a “</w:t>
      </w:r>
      <w:r w:rsidRPr="1DE11919">
        <w:rPr>
          <w:i/>
          <w:iCs/>
        </w:rPr>
        <w:t>pre-IDE</w:t>
      </w:r>
      <w:r>
        <w:t xml:space="preserve">” program to provide sponsors a mechanism to obtain FDA feedback on future IDE applications prior to their submission. Over time, the pre-IDE program evolved into the broader Q-Submission (Q-Sub) Program, which includes Pre-Submissions (Pre-Subs), as well as additional opportunities to engage with FDA. </w:t>
      </w:r>
      <w:r w:rsidRPr="1DE11919" w:rsidR="74271D5C">
        <w:rPr>
          <w:color w:val="000000" w:themeColor="text1"/>
        </w:rPr>
        <w:t xml:space="preserve">The guidance entitled ‘‘Requests for Feedback and Meetings for Medical Device Submissions: The Q-Submission Program’’ (May 2025) (available at </w:t>
      </w:r>
      <w:hyperlink r:id="rId10">
        <w:r w:rsidRPr="1DE11919" w:rsidR="74271D5C">
          <w:rPr>
            <w:rStyle w:val="Hyperlink"/>
          </w:rPr>
          <w:t>https://www.fda.gov/regulatory-information/search-fda-guidance-documents/requests-feedback-and-meetings-medica</w:t>
        </w:r>
        <w:r w:rsidRPr="1DE11919" w:rsidR="74271D5C">
          <w:rPr>
            <w:rStyle w:val="Hyperlink"/>
          </w:rPr>
          <w:t>l</w:t>
        </w:r>
        <w:r w:rsidRPr="1DE11919" w:rsidR="74271D5C">
          <w:rPr>
            <w:rStyle w:val="Hyperlink"/>
          </w:rPr>
          <w:t>-device-submissions-q-submission-program</w:t>
        </w:r>
      </w:hyperlink>
      <w:r w:rsidRPr="1DE11919" w:rsidR="74271D5C">
        <w:rPr>
          <w:color w:val="000000" w:themeColor="text1"/>
        </w:rPr>
        <w:t xml:space="preserve">) </w:t>
      </w:r>
      <w:r>
        <w:t>provides an overview of the mechanisms available to submitters through which they can request feedback from, or a meeting with, FDA regarding certain potential or planned medical device submissions, as well as issues conveyed in certain submission hold letters and investigational device exemption (IDE) letters reviewed by CDRH and the Center for Biologics Evaluation and Research (CBER). The guidance document also provides recommendations regarding certain types of Q-Submissions, such as Pre-Submissions, Submission Issue Requests, Study Risk Determinations, Informational Meetings, and other Q-Submission types and other uses of the Q-Submission Program</w:t>
      </w:r>
      <w:r w:rsidR="008B2F45">
        <w:t>.</w:t>
      </w:r>
      <w:r>
        <w:t xml:space="preserve"> The guidance document also discusses format and content elements FDA recommends be included in requests.</w:t>
      </w:r>
    </w:p>
    <w:p w:rsidR="1F4A9ADA" w:rsidP="1DE11919" w14:paraId="2242EF1C" w14:textId="7333B9E7">
      <w:pPr>
        <w:spacing w:after="200"/>
      </w:pPr>
      <w:r w:rsidRPr="1DE11919">
        <w:rPr>
          <w:color w:val="000000" w:themeColor="text1"/>
        </w:rPr>
        <w:t xml:space="preserve">Recent updates in May 2025 to the Q-Submission guidance moved the instructions for information collection related to requests for feedback regarding development of a Medical Device Development Tool (MDDT), which were previously tracked as Informational Meeting Q-Submissions. We are revising this information collection to add the FDA guidance entitled “Qualification of Medical Device Development Tools: Guidance for Industry, Tool Developers, and Food and Drug Administration Staff” (July 2023) (available at </w:t>
      </w:r>
      <w:hyperlink r:id="rId11">
        <w:r w:rsidRPr="1DE11919">
          <w:rPr>
            <w:rStyle w:val="Hyperlink"/>
          </w:rPr>
          <w:t>https://www.fd</w:t>
        </w:r>
        <w:r w:rsidRPr="1DE11919">
          <w:rPr>
            <w:rStyle w:val="Hyperlink"/>
          </w:rPr>
          <w:t>a</w:t>
        </w:r>
        <w:r w:rsidRPr="1DE11919">
          <w:rPr>
            <w:rStyle w:val="Hyperlink"/>
          </w:rPr>
          <w:t>.gov/re</w:t>
        </w:r>
        <w:r w:rsidRPr="1DE11919">
          <w:rPr>
            <w:rStyle w:val="Hyperlink"/>
          </w:rPr>
          <w:t>g</w:t>
        </w:r>
        <w:r w:rsidRPr="1DE11919">
          <w:rPr>
            <w:rStyle w:val="Hyperlink"/>
          </w:rPr>
          <w:t>ulatory-information/search-fda-guidance-documents/qualification-</w:t>
        </w:r>
        <w:r w:rsidRPr="1DE11919">
          <w:rPr>
            <w:rStyle w:val="Hyperlink"/>
          </w:rPr>
          <w:t>medical-device-development-tools</w:t>
        </w:r>
      </w:hyperlink>
      <w:r w:rsidRPr="1DE11919">
        <w:rPr>
          <w:color w:val="000000" w:themeColor="text1"/>
        </w:rPr>
        <w:t>), which includes instructions for submitting requests for feedback regarding MDDTs. The submission instructions are otherwise unchanged, but the MDDT guidance is now the collection instrument associated with the existing MDDT burden.</w:t>
      </w:r>
    </w:p>
    <w:p w:rsidR="00FA28C2" w:rsidRPr="00086909" w:rsidP="0089419B" w14:paraId="586BFF5E" w14:textId="570DE46A">
      <w:pPr>
        <w:spacing w:after="200"/>
      </w:pPr>
      <w:r>
        <w:t>This information collection also includes</w:t>
      </w:r>
      <w:r w:rsidR="00375351">
        <w:t xml:space="preserve"> the </w:t>
      </w:r>
      <w:r w:rsidRPr="00564130" w:rsidR="00375351">
        <w:t>Early Payor Feedback Program</w:t>
      </w:r>
      <w:r w:rsidR="00375351">
        <w:t xml:space="preserve"> (EPFP)</w:t>
      </w:r>
      <w:r w:rsidR="008B2F45">
        <w:t xml:space="preserve">. </w:t>
      </w:r>
      <w:r w:rsidRPr="00564130" w:rsidR="00375351">
        <w:t xml:space="preserve">Prior to </w:t>
      </w:r>
      <w:r w:rsidR="00375351">
        <w:t xml:space="preserve">making </w:t>
      </w:r>
      <w:r w:rsidRPr="00564130" w:rsidR="00375351">
        <w:t>a Pre-Submission, medical device sponsors may request that one or more payor organizations join a Pre-Submission meeting</w:t>
      </w:r>
      <w:r w:rsidR="008B2F45">
        <w:t xml:space="preserve">. </w:t>
      </w:r>
      <w:r w:rsidRPr="00564130" w:rsidR="00375351">
        <w:t>Payors include public payors such as Centers for Medicare &amp; Medicaid Services, private health plans, health technology assessment groups, and others who provide input into coverage, procurement, and reimbursement decisions</w:t>
      </w:r>
      <w:r w:rsidR="008B2F45">
        <w:t xml:space="preserve">. </w:t>
      </w:r>
      <w:r w:rsidRPr="00053CF5" w:rsidR="00375351">
        <w:t xml:space="preserve">To facilitate opportunities for manufacturers to obtain input from payors, </w:t>
      </w:r>
      <w:r w:rsidR="00375351">
        <w:t xml:space="preserve">we </w:t>
      </w:r>
      <w:r w:rsidRPr="00053CF5" w:rsidR="00375351">
        <w:t>provide information about o</w:t>
      </w:r>
      <w:r w:rsidR="00375351">
        <w:t xml:space="preserve">ur </w:t>
      </w:r>
      <w:r w:rsidRPr="00053CF5" w:rsidR="00375351">
        <w:t>EPFP</w:t>
      </w:r>
      <w:r w:rsidR="00375351">
        <w:t xml:space="preserve"> </w:t>
      </w:r>
      <w:r w:rsidRPr="00053CF5" w:rsidR="00375351">
        <w:t>and a list of current payor participants on our website</w:t>
      </w:r>
      <w:r w:rsidR="00375351">
        <w:t xml:space="preserve"> at </w:t>
      </w:r>
      <w:hyperlink r:id="rId12" w:history="1">
        <w:r w:rsidRPr="00BD6B66" w:rsidR="00375351">
          <w:rPr>
            <w:rStyle w:val="Hyperlink"/>
          </w:rPr>
          <w:t>https://www.fda.gov/about-fda/cdrh-innovation/payor-communication-task-force#2</w:t>
        </w:r>
      </w:hyperlink>
      <w:r w:rsidR="00375351">
        <w:t xml:space="preserve"> </w:t>
      </w:r>
      <w:r w:rsidR="008B2F45">
        <w:t xml:space="preserve">. </w:t>
      </w:r>
      <w:r w:rsidRPr="00053CF5" w:rsidR="00375351">
        <w:t>In order for</w:t>
      </w:r>
      <w:r w:rsidRPr="00053CF5" w:rsidR="00375351">
        <w:t xml:space="preserve"> payors to decide which devices to provide feedback on, we have developed a voluntary electronic form for manufacturers to provide basic information regarding their device</w:t>
      </w:r>
      <w:r w:rsidR="008B2F45">
        <w:t xml:space="preserve">. </w:t>
      </w:r>
      <w:r w:rsidR="00375351">
        <w:t>The form, entitled, “</w:t>
      </w:r>
      <w:r w:rsidRPr="008919F9" w:rsidR="00375351">
        <w:rPr>
          <w:i/>
          <w:iCs/>
        </w:rPr>
        <w:t>Early Payor Feedback Program - Overview Document</w:t>
      </w:r>
      <w:r w:rsidR="00375351">
        <w:t xml:space="preserve">,” </w:t>
      </w:r>
      <w:r w:rsidRPr="00053CF5" w:rsidR="00375351">
        <w:t>is shared with the payors from which the manufacturer is requesting feedback.</w:t>
      </w:r>
    </w:p>
    <w:p w:rsidR="003461A9" w:rsidRPr="00375351" w:rsidP="00375351" w14:paraId="22C67096" w14:textId="21563624">
      <w:pPr>
        <w:spacing w:after="200"/>
        <w:rPr>
          <w:rFonts w:eastAsia="Calibri"/>
        </w:rPr>
      </w:pPr>
      <w:r w:rsidRPr="005C71CA">
        <w:rPr>
          <w:rFonts w:eastAsia="Calibri"/>
        </w:rPr>
        <w:t xml:space="preserve">We therefore request OMB approval of </w:t>
      </w:r>
      <w:r>
        <w:rPr>
          <w:rFonts w:eastAsia="Calibri"/>
        </w:rPr>
        <w:t>the information collections</w:t>
      </w:r>
      <w:r w:rsidRPr="005C71CA">
        <w:rPr>
          <w:rFonts w:eastAsia="Calibri"/>
        </w:rPr>
        <w:t xml:space="preserve"> </w:t>
      </w:r>
      <w:r>
        <w:rPr>
          <w:rFonts w:eastAsia="Calibri"/>
        </w:rPr>
        <w:t xml:space="preserve">discussed </w:t>
      </w:r>
      <w:r w:rsidRPr="005C71CA">
        <w:rPr>
          <w:rFonts w:eastAsia="Calibri"/>
        </w:rPr>
        <w:t xml:space="preserve">in </w:t>
      </w:r>
      <w:r w:rsidRPr="0055437E">
        <w:rPr>
          <w:rFonts w:eastAsia="Calibri"/>
        </w:rPr>
        <w:t>Section III.A-D</w:t>
      </w:r>
      <w:r>
        <w:rPr>
          <w:rFonts w:eastAsia="Calibri"/>
        </w:rPr>
        <w:t xml:space="preserve"> of the agency guidance document</w:t>
      </w:r>
      <w:r w:rsidR="00FA28C2">
        <w:rPr>
          <w:rFonts w:eastAsia="Calibri"/>
        </w:rPr>
        <w:t>s</w:t>
      </w:r>
      <w:r>
        <w:rPr>
          <w:rFonts w:eastAsia="Calibri"/>
        </w:rPr>
        <w:t xml:space="preserve"> </w:t>
      </w:r>
      <w:r>
        <w:t>“</w:t>
      </w:r>
      <w:r w:rsidRPr="002D3BD7">
        <w:rPr>
          <w:i/>
          <w:iCs/>
        </w:rPr>
        <w:t>Requests for Feedback and Meetings for Medical Device Submissions: The Q-Submission Program</w:t>
      </w:r>
      <w:r>
        <w:t>,”</w:t>
      </w:r>
      <w:r w:rsidR="00FA28C2">
        <w:t xml:space="preserve"> “</w:t>
      </w:r>
      <w:r w:rsidR="00FA28C2">
        <w:rPr>
          <w:i/>
          <w:iCs/>
        </w:rPr>
        <w:t>Qualification of Medical Device Development Tools: Guidance for Industry, Tool Developers, and Food and Drug Administration Staff,</w:t>
      </w:r>
      <w:r w:rsidR="00FA28C2">
        <w:t xml:space="preserve">” </w:t>
      </w:r>
      <w:r>
        <w:rPr>
          <w:rFonts w:eastAsia="Calibri"/>
        </w:rPr>
        <w:t>and information collection associated with our EPFP, as discussed in this supporting statement.</w:t>
      </w:r>
    </w:p>
    <w:p w:rsidR="00357C8A" w:rsidRPr="00357C8A" w:rsidP="006705EA" w14:paraId="2D6F3E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64C25" w:rsidP="00840476" w14:paraId="37F51292" w14:textId="0658AA31">
      <w:pPr>
        <w:spacing w:after="200"/>
      </w:pPr>
      <w:r w:rsidRPr="00C464BE">
        <w:t xml:space="preserve">The information collected </w:t>
      </w:r>
      <w:r w:rsidR="00CD6DE9">
        <w:t xml:space="preserve">via the Q-Submission </w:t>
      </w:r>
      <w:r w:rsidRPr="00C464BE" w:rsidR="00CD6DE9">
        <w:t xml:space="preserve">guidance </w:t>
      </w:r>
      <w:r w:rsidRPr="00C464BE">
        <w:t>support</w:t>
      </w:r>
      <w:r>
        <w:t>s</w:t>
      </w:r>
      <w:r w:rsidRPr="00C464BE">
        <w:t xml:space="preserve"> a structured process with clear recommendations for sponsors who submit </w:t>
      </w:r>
      <w:r>
        <w:t>Q</w:t>
      </w:r>
      <w:r w:rsidRPr="00C464BE">
        <w:t>-Sub</w:t>
      </w:r>
      <w:r>
        <w:t>mission</w:t>
      </w:r>
      <w:r w:rsidRPr="00C464BE">
        <w:t>s</w:t>
      </w:r>
      <w:r w:rsidRPr="0080639F">
        <w:t xml:space="preserve">, </w:t>
      </w:r>
      <w:r w:rsidR="00CD6DE9">
        <w:t xml:space="preserve">submitters who take responsibility for an initiated the MDDT qualification process, </w:t>
      </w:r>
      <w:r w:rsidRPr="0080639F">
        <w:t>for FDA staff and managers involved in their review</w:t>
      </w:r>
      <w:r w:rsidRPr="007D3A95">
        <w:t>,</w:t>
      </w:r>
      <w:r w:rsidRPr="00F2465B">
        <w:t xml:space="preserve"> and </w:t>
      </w:r>
      <w:r w:rsidRPr="0080639F">
        <w:t>for expected timeframes for providing written feedback and scheduling meetings.</w:t>
      </w:r>
      <w:r w:rsidRPr="00C464BE">
        <w:t xml:space="preserve"> The </w:t>
      </w:r>
      <w:r w:rsidR="00CD6DE9">
        <w:t xml:space="preserve">Q-Submission </w:t>
      </w:r>
      <w:r w:rsidRPr="00C464BE">
        <w:t>guidance also i</w:t>
      </w:r>
      <w:r>
        <w:t>n</w:t>
      </w:r>
      <w:r w:rsidRPr="00C464BE">
        <w:t>cludes recommendations for sponsors regarding how to prepare for meetings with FDA staff.</w:t>
      </w:r>
    </w:p>
    <w:p w:rsidR="00CD6DE9" w:rsidRPr="00840476" w:rsidP="00840476" w14:paraId="327FCA33" w14:textId="4A7DB7A2">
      <w:pPr>
        <w:spacing w:after="200"/>
        <w:rPr>
          <w:rFonts w:eastAsia="Calibri"/>
        </w:rPr>
      </w:pPr>
      <w:r>
        <w:t xml:space="preserve">The information collected via the MDDT guidance </w:t>
      </w:r>
      <w:r w:rsidR="00C012CD">
        <w:t>facilitates</w:t>
      </w:r>
      <w:r w:rsidRPr="00FA28C2" w:rsidR="00C012CD">
        <w:t xml:space="preserve"> the development and timely evaluation of medical devices by providing a more efficient and predictable means for collecting information to support regulatory submissions and associated decision-making.</w:t>
      </w:r>
    </w:p>
    <w:p w:rsidR="00357C8A" w:rsidRPr="00357C8A" w:rsidP="006705EA" w14:paraId="6FC55F6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53332F" w:rsidP="0053332F" w14:paraId="6019AF7A" w14:textId="58DD25AC">
      <w:pPr>
        <w:spacing w:after="200"/>
        <w:rPr>
          <w:rFonts w:eastAsia="Calibri"/>
        </w:rPr>
      </w:pPr>
      <w:r w:rsidRPr="00A53D89">
        <w:rPr>
          <w:rFonts w:eastAsia="Calibri"/>
        </w:rPr>
        <w:t>We estimate 9</w:t>
      </w:r>
      <w:r>
        <w:rPr>
          <w:rFonts w:eastAsia="Calibri"/>
        </w:rPr>
        <w:t>9</w:t>
      </w:r>
      <w:r w:rsidRPr="00A53D89">
        <w:rPr>
          <w:rFonts w:eastAsia="Calibri"/>
        </w:rPr>
        <w:t xml:space="preserve"> percent of respondents will complete the information collection using electronic means</w:t>
      </w:r>
      <w:r w:rsidR="008B2F45">
        <w:rPr>
          <w:rFonts w:eastAsia="Calibri"/>
        </w:rPr>
        <w:t xml:space="preserve">. </w:t>
      </w:r>
      <w:r w:rsidRPr="00782FB6">
        <w:rPr>
          <w:rFonts w:eastAsia="Calibri"/>
        </w:rPr>
        <w:t>The information collection implements technology-based process improvements</w:t>
      </w:r>
      <w:r w:rsidR="008B2F45">
        <w:rPr>
          <w:rFonts w:eastAsia="Calibri"/>
        </w:rPr>
        <w:t xml:space="preserve">. </w:t>
      </w:r>
      <w:r w:rsidRPr="00782FB6">
        <w:rPr>
          <w:rFonts w:eastAsia="Calibri"/>
        </w:rPr>
        <w:t>Information collection pertaining to the submission of electronic signatures and electronic records is currently approved under OMB control no. 0910-0303</w:t>
      </w:r>
      <w:r w:rsidR="008B2F45">
        <w:rPr>
          <w:rFonts w:eastAsia="Calibri"/>
        </w:rPr>
        <w:t xml:space="preserve">. </w:t>
      </w:r>
    </w:p>
    <w:p w:rsidR="0053332F" w:rsidRPr="00A53D89" w:rsidP="0053332F" w14:paraId="546DBD40" w14:textId="77777777">
      <w:pPr>
        <w:spacing w:after="200"/>
        <w:rPr>
          <w:rFonts w:eastAsia="Calibri"/>
        </w:rPr>
      </w:pPr>
      <w:r w:rsidRPr="00782FB6">
        <w:rPr>
          <w:rFonts w:eastAsia="Calibri"/>
        </w:rPr>
        <w:t xml:space="preserve">We have developed agency guidance regarding technical requirements for electronic submissions as follows:  </w:t>
      </w:r>
    </w:p>
    <w:p w:rsidR="0053332F" w:rsidRPr="00526E3E" w:rsidP="0053332F" w14:paraId="1102299A" w14:textId="2410395A">
      <w:pPr>
        <w:pStyle w:val="ListParagraph"/>
        <w:numPr>
          <w:ilvl w:val="0"/>
          <w:numId w:val="13"/>
        </w:numPr>
        <w:spacing w:after="200"/>
        <w:rPr>
          <w:rFonts w:eastAsia="Calibri"/>
        </w:rPr>
      </w:pPr>
      <w:r w:rsidRPr="00526E3E">
        <w:rPr>
          <w:rFonts w:eastAsia="Calibri"/>
        </w:rPr>
        <w:t>For CDRH-regulated products, in accordance with section 745A(b) of the Food, Drug, and Cosmetic Act (FD&amp;C Act), respondents must submit an eCopy</w:t>
      </w:r>
      <w:r w:rsidR="00AF69F8">
        <w:rPr>
          <w:rFonts w:eastAsia="Calibri"/>
        </w:rPr>
        <w:t xml:space="preserve"> of a Q-Submission</w:t>
      </w:r>
      <w:r w:rsidR="00965D9B">
        <w:rPr>
          <w:rFonts w:eastAsia="Calibri"/>
        </w:rPr>
        <w:t xml:space="preserve"> or </w:t>
      </w:r>
      <w:r w:rsidR="00965D9B">
        <w:rPr>
          <w:rFonts w:eastAsia="Calibri"/>
        </w:rPr>
        <w:t>MDDT submission</w:t>
      </w:r>
      <w:r w:rsidR="008B2F45">
        <w:rPr>
          <w:rFonts w:eastAsia="Calibri"/>
        </w:rPr>
        <w:t xml:space="preserve">. </w:t>
      </w:r>
      <w:r w:rsidRPr="00526E3E">
        <w:rPr>
          <w:rFonts w:eastAsia="Calibri"/>
        </w:rPr>
        <w:t xml:space="preserve"> For more information about the eCopy program, please see the FDA guidance “eCopy Program for Medical Device Submissions” (</w:t>
      </w:r>
      <w:hyperlink r:id="rId13" w:history="1">
        <w:r w:rsidRPr="00526E3E">
          <w:rPr>
            <w:rStyle w:val="Hyperlink"/>
            <w:rFonts w:eastAsia="Calibri"/>
          </w:rPr>
          <w:t>http://www.fda.gov/downloads/MedicalDevices/DeviceRegulationandGuidance/GuidanceDocuments/UCM313794.pdf</w:t>
        </w:r>
      </w:hyperlink>
      <w:r w:rsidRPr="00526E3E">
        <w:rPr>
          <w:rFonts w:eastAsia="Calibri"/>
        </w:rPr>
        <w:t>).</w:t>
      </w:r>
      <w:r w:rsidRPr="00526E3E">
        <w:rPr>
          <w:rFonts w:eastAsia="Calibri"/>
        </w:rPr>
        <w:tab/>
        <w:t xml:space="preserve">  </w:t>
      </w:r>
    </w:p>
    <w:p w:rsidR="00A77D52" w:rsidP="00A77D52" w14:paraId="6DE79802" w14:textId="26C595D6">
      <w:pPr>
        <w:pStyle w:val="ListParagraph"/>
        <w:numPr>
          <w:ilvl w:val="0"/>
          <w:numId w:val="13"/>
        </w:numPr>
        <w:spacing w:after="200"/>
        <w:rPr>
          <w:rFonts w:eastAsia="Calibri"/>
        </w:rPr>
      </w:pPr>
      <w:r w:rsidRPr="00526E3E">
        <w:rPr>
          <w:rFonts w:eastAsia="Calibri"/>
        </w:rPr>
        <w:t>For</w:t>
      </w:r>
      <w:r w:rsidR="00AF69F8">
        <w:rPr>
          <w:rFonts w:eastAsia="Calibri"/>
        </w:rPr>
        <w:t xml:space="preserve"> Q-Submissions for</w:t>
      </w:r>
      <w:r w:rsidRPr="00526E3E">
        <w:rPr>
          <w:rFonts w:eastAsia="Calibri"/>
        </w:rPr>
        <w:t xml:space="preserve"> products regulated in the Center for Biologics Evaluation and Research (CBER), respondents should consult CBER SOPP 8114: Administrative Processing of Documents Received Prior to Submitting Investigational or Marketing Applications (Pre-Application) (</w:t>
      </w:r>
      <w:hyperlink r:id="rId14" w:history="1">
        <w:r w:rsidRPr="00526E3E">
          <w:rPr>
            <w:rStyle w:val="Hyperlink"/>
            <w:rFonts w:eastAsia="Calibri"/>
          </w:rPr>
          <w:t>http://www.fda.gov/BiologicsBloodVaccines/GuidanceComplianceRegulatoryInformation/ProceduresSOPPs/ucm079476.htm</w:t>
        </w:r>
      </w:hyperlink>
      <w:r w:rsidRPr="00526E3E">
        <w:rPr>
          <w:rFonts w:eastAsia="Calibri"/>
        </w:rPr>
        <w:t>).</w:t>
      </w:r>
    </w:p>
    <w:p w:rsidR="00A77D52" w:rsidRPr="00A77D52" w:rsidP="00A77D52" w14:paraId="1F938C26" w14:textId="3F83E90E">
      <w:pPr>
        <w:pStyle w:val="ListParagraph"/>
        <w:numPr>
          <w:ilvl w:val="0"/>
          <w:numId w:val="13"/>
        </w:numPr>
        <w:spacing w:after="200"/>
        <w:rPr>
          <w:rFonts w:eastAsia="Calibri"/>
        </w:rPr>
      </w:pPr>
      <w:r>
        <w:t>Use of the CDRH Premarket Review Submission Cover Sheet</w:t>
      </w:r>
      <w:r w:rsidR="002B7207">
        <w:t xml:space="preserve"> (FDA Form 3514)</w:t>
      </w:r>
      <w:r>
        <w:t xml:space="preserve"> for submissions made to CDRH or CBER is highly recommended to facilitate correct login and prompt routing to the appropriate review group.</w:t>
      </w:r>
      <w:r w:rsidR="002B7207">
        <w:t xml:space="preserve"> The use of FDA Form 3514 is approved under OMB# 0910-0120.</w:t>
      </w:r>
    </w:p>
    <w:p w:rsidR="0053332F" w:rsidP="0053332F" w14:paraId="52D6A34D" w14:textId="77777777">
      <w:pPr>
        <w:spacing w:after="200"/>
        <w:rPr>
          <w:rFonts w:eastAsia="Calibri"/>
        </w:rPr>
      </w:pPr>
      <w:r>
        <w:t xml:space="preserve">We have also </w:t>
      </w:r>
      <w:r w:rsidRPr="00C92A58">
        <w:t xml:space="preserve">developed an </w:t>
      </w:r>
      <w:r>
        <w:t>“electronic Submission Template and Resource” (</w:t>
      </w:r>
      <w:r w:rsidRPr="00C92A58">
        <w:t>eSTAR</w:t>
      </w:r>
      <w:r>
        <w:t>)</w:t>
      </w:r>
      <w:r w:rsidRPr="00C92A58">
        <w:t xml:space="preserve"> for </w:t>
      </w:r>
      <w:r>
        <w:t>Q-</w:t>
      </w:r>
      <w:r w:rsidRPr="00C92A58">
        <w:t>submissions to facilitate the preparation of submissions in electronic format (</w:t>
      </w:r>
      <w:hyperlink r:id="rId15" w:history="1">
        <w:r w:rsidRPr="00C92A58">
          <w:rPr>
            <w:rStyle w:val="Hyperlink"/>
          </w:rPr>
          <w:t>https://www.fda.gov/medical-devices/how-study-and-market-your-device/voluntary-estar-program</w:t>
        </w:r>
      </w:hyperlink>
      <w:r>
        <w:t>)</w:t>
      </w:r>
      <w:r w:rsidRPr="00C92A58">
        <w:t>.</w:t>
      </w:r>
      <w:r>
        <w:t xml:space="preserve"> The use of </w:t>
      </w:r>
      <w:r>
        <w:t>eSTAR</w:t>
      </w:r>
      <w:r>
        <w:t xml:space="preserve"> for Q-Submissions is currently voluntary.</w:t>
      </w:r>
    </w:p>
    <w:p w:rsidR="00357C8A" w:rsidRPr="00357C8A" w:rsidP="006705EA" w14:paraId="3C93A15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84F2E" w:rsidRPr="00384F2E" w:rsidP="0053380B" w14:paraId="06A04DB0" w14:textId="77777777">
      <w:pPr>
        <w:spacing w:after="200"/>
      </w:pPr>
      <w:r w:rsidRPr="005C71CA">
        <w:t>We are unaware of duplicative information collection</w:t>
      </w:r>
      <w:r>
        <w:t>.</w:t>
      </w:r>
    </w:p>
    <w:p w:rsidR="00357C8A" w:rsidRPr="00357C8A" w:rsidP="006705EA" w14:paraId="4ED1015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A4802" w:rsidP="00890851" w14:paraId="336297EE" w14:textId="7754B40C">
      <w:pPr>
        <w:rPr>
          <w:snapToGrid w:val="0"/>
        </w:rPr>
      </w:pPr>
      <w:r>
        <w:t xml:space="preserve">The information collection poses no undue burden on small entities. </w:t>
      </w:r>
    </w:p>
    <w:p w:rsidR="00384F2E" w:rsidP="00384F2E" w14:paraId="22825649" w14:textId="77777777"/>
    <w:p w:rsidR="00357C8A" w:rsidRPr="00357C8A" w:rsidP="006705EA" w14:paraId="7D34EB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144C3A" w:rsidRPr="00144C3A" w:rsidP="00144C3A" w14:paraId="3A9CC7AD" w14:textId="3EF06123">
      <w:pPr>
        <w:spacing w:after="200"/>
        <w:rPr>
          <w:rFonts w:eastAsia="Calibri"/>
        </w:rPr>
      </w:pPr>
      <w:r w:rsidRPr="00144C3A">
        <w:rPr>
          <w:rFonts w:eastAsia="Calibri"/>
        </w:rPr>
        <w:t>This information collection schedule is consistent with applicable statutory, regulatory, and respondent-determined timeframes. There are no technical or legal obstacles to reduce the burden.</w:t>
      </w:r>
    </w:p>
    <w:p w:rsidR="00357C8A" w:rsidRPr="00357C8A" w:rsidP="006705EA" w14:paraId="58EF9D0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2B7207" w:rsidRPr="00357C8A" w:rsidP="0022425B" w14:paraId="29D1E963" w14:textId="55DAEAAB">
      <w:pPr>
        <w:spacing w:after="200"/>
        <w:rPr>
          <w:rFonts w:eastAsia="Calibri"/>
        </w:rPr>
      </w:pPr>
      <w:r>
        <w:rPr>
          <w:rFonts w:eastAsia="Calibri"/>
        </w:rPr>
        <w:t xml:space="preserve">There are no special circumstances associated with the information collection. </w:t>
      </w:r>
    </w:p>
    <w:p w:rsidR="00357C8A" w:rsidRPr="00357C8A" w:rsidP="006705EA" w14:paraId="0C24393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16D9C" w:rsidP="00716D9C" w14:paraId="5DD6C5B8" w14:textId="77777777">
      <w:r>
        <w:t xml:space="preserve">In the </w:t>
      </w:r>
      <w:r w:rsidRPr="00716D9C">
        <w:rPr>
          <w:i/>
        </w:rPr>
        <w:t>Federal Register</w:t>
      </w:r>
      <w:r>
        <w:t xml:space="preserve"> of July 14, 2025 (90 FR 31225), FDA published a 60-day notice requesting public comment on the proposed collection of information.  No comments were received.</w:t>
      </w:r>
    </w:p>
    <w:p w:rsidR="00716D9C" w:rsidP="00716D9C" w14:paraId="6CC7EBBA" w14:textId="77777777">
      <w:pPr>
        <w:pStyle w:val="ListParagraph"/>
        <w:ind w:left="360"/>
      </w:pPr>
    </w:p>
    <w:p w:rsidR="00716D9C" w:rsidP="00716D9C" w14:paraId="5DAB8518" w14:textId="77777777">
      <w:pPr>
        <w:pStyle w:val="ListParagraph"/>
        <w:ind w:left="360"/>
      </w:pPr>
    </w:p>
    <w:p w:rsidR="00716D9C" w:rsidP="00716D9C" w14:paraId="4D8D00F3" w14:textId="77777777">
      <w:pPr>
        <w:pStyle w:val="ListParagraph"/>
        <w:ind w:left="360"/>
      </w:pPr>
    </w:p>
    <w:p w:rsidR="00357C8A" w:rsidRPr="00357C8A" w:rsidP="006705EA" w14:paraId="0A7F056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84F2E" w:rsidP="00384F2E" w14:paraId="45FE7976" w14:textId="1AB8CC8D">
      <w:r w:rsidRPr="00D331F1">
        <w:t>There are no incentives, payments or gifts associated with this information collection.</w:t>
      </w:r>
    </w:p>
    <w:p w:rsidR="00384F2E" w:rsidRPr="00D261DF" w:rsidP="00384F2E" w14:paraId="4E867D2E" w14:textId="77777777">
      <w:pPr>
        <w:ind w:left="360"/>
      </w:pPr>
    </w:p>
    <w:p w:rsidR="00357C8A" w:rsidRPr="00357C8A" w:rsidP="006705EA" w14:paraId="187D3B5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384F2E" w:rsidRPr="00AD3B27" w:rsidP="00384F2E" w14:paraId="1759FBC1" w14:textId="77777777">
      <w:pPr>
        <w:rPr>
          <w:i/>
          <w:iCs/>
        </w:rPr>
      </w:pPr>
      <w:r w:rsidRPr="00AD3B27">
        <w:rPr>
          <w:i/>
          <w:iCs/>
        </w:rPr>
        <w:t>The Privacy Act of 1974</w:t>
      </w:r>
    </w:p>
    <w:p w:rsidR="00384F2E" w:rsidP="00384F2E" w14:paraId="721BE6B7" w14:textId="77777777"/>
    <w:p w:rsidR="00384F2E" w:rsidP="00384F2E" w14:paraId="3F696D3A" w14:textId="696501F5">
      <w:r w:rsidRPr="00007D31">
        <w:t xml:space="preserve">In preparing this </w:t>
      </w:r>
      <w:r>
        <w:t>s</w:t>
      </w:r>
      <w:r w:rsidRPr="00007D31">
        <w:t xml:space="preserve">upporting </w:t>
      </w:r>
      <w:r>
        <w:t>s</w:t>
      </w:r>
      <w:r w:rsidRPr="00007D31">
        <w:t xml:space="preserve">tatement, </w:t>
      </w:r>
      <w:r>
        <w:t xml:space="preserve">we </w:t>
      </w:r>
      <w:r w:rsidRPr="00007D31">
        <w:t xml:space="preserve">consulted with </w:t>
      </w:r>
      <w:r>
        <w:t xml:space="preserve">our </w:t>
      </w:r>
      <w:r w:rsidRPr="00007D31">
        <w:t>Privacy Office to ensure appropriate handling of information collected</w:t>
      </w:r>
      <w:r w:rsidR="001057B2">
        <w:t xml:space="preserve">. </w:t>
      </w:r>
      <w:r>
        <w:t>Although th</w:t>
      </w:r>
      <w:r w:rsidR="005538E3">
        <w:t>is</w:t>
      </w:r>
      <w:r>
        <w:t xml:space="preserve"> </w:t>
      </w:r>
      <w:r w:rsidRPr="00007D31">
        <w:t>ICR collects personally identifiable information (PII)</w:t>
      </w:r>
      <w:r>
        <w:t xml:space="preserve">, </w:t>
      </w:r>
      <w:r w:rsidRPr="007F5F83" w:rsidR="005538E3">
        <w:t>it is collected in the context of the subject individuals’ professional capacity and the FDA-related work they perform for their employer (e.g. point of contact)</w:t>
      </w:r>
      <w:r w:rsidR="001057B2">
        <w:t xml:space="preserve">. </w:t>
      </w:r>
      <w:r w:rsidRPr="007F5F83" w:rsidR="005538E3">
        <w:t>The PII collected is name, work address, work email address, work telephone number and occasionally work fax number</w:t>
      </w:r>
      <w:r w:rsidR="005538E3">
        <w:t xml:space="preserve">. </w:t>
      </w:r>
      <w:r w:rsidRPr="007F5F83" w:rsidR="005538E3">
        <w:t xml:space="preserve">We have determined, however, that although PII is collected, it is not subject to the Privacy Act of 1974 and the </w:t>
      </w:r>
      <w:r w:rsidRPr="007F5F83" w:rsidR="005538E3">
        <w:t>particular notice</w:t>
      </w:r>
      <w:r w:rsidRPr="007F5F83" w:rsidR="005538E3">
        <w:t xml:space="preserve"> and other requirements of the Privacy Act do not apply.</w:t>
      </w:r>
    </w:p>
    <w:p w:rsidR="005538E3" w:rsidP="00384F2E" w14:paraId="1F17C546" w14:textId="77777777"/>
    <w:p w:rsidR="00C506D4" w:rsidRPr="00AD3B27" w:rsidP="00C506D4" w14:paraId="76F4B5E9" w14:textId="77777777">
      <w:pPr>
        <w:rPr>
          <w:i/>
          <w:iCs/>
        </w:rPr>
      </w:pPr>
      <w:r w:rsidRPr="00AD3B27">
        <w:rPr>
          <w:i/>
          <w:iCs/>
        </w:rPr>
        <w:t>The Freedom of Information Act</w:t>
      </w:r>
      <w:r>
        <w:rPr>
          <w:i/>
          <w:iCs/>
        </w:rPr>
        <w:t xml:space="preserve"> (FOIA)</w:t>
      </w:r>
    </w:p>
    <w:p w:rsidR="00C506D4" w:rsidP="00C506D4" w14:paraId="24F3B5E4" w14:textId="77777777"/>
    <w:p w:rsidR="00C506D4" w:rsidP="00C506D4" w14:paraId="3495A440" w14:textId="6C6A9D2B">
      <w:r>
        <w:t xml:space="preserve">Under the FOIA (5 U.S.C. 552), the public has broad access to government documents. However, </w:t>
      </w:r>
      <w:r w:rsidRPr="007C27BE">
        <w:t>FOIA provides certain exemptions from mandatory public disclosure of government records (5 U.S.C. 552(b) (1-9))</w:t>
      </w:r>
      <w:r w:rsidR="001057B2">
        <w:t xml:space="preserve">. </w:t>
      </w:r>
      <w:r w:rsidRPr="003E1CC3">
        <w:rPr>
          <w:rFonts w:eastAsia="Calibri"/>
        </w:rPr>
        <w:t>FDA will make the fullest possible disclosure of records to the public, consistent with the rights of individuals to privacy, the property rights of persons in trade and confidential commercial or financial information.</w:t>
      </w:r>
    </w:p>
    <w:p w:rsidR="001075D3" w:rsidRPr="001075D3" w:rsidP="001075D3" w14:paraId="60F196BA" w14:textId="77777777">
      <w:pPr>
        <w:ind w:left="720"/>
      </w:pPr>
    </w:p>
    <w:p w:rsidR="00357C8A" w:rsidRPr="00357C8A" w:rsidP="006705EA" w14:paraId="2F303A08"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57C8A" w:rsidP="0022425B" w14:paraId="682F244A" w14:textId="77777777">
      <w:pPr>
        <w:spacing w:after="200"/>
        <w:rPr>
          <w:rFonts w:eastAsia="Calibri"/>
          <w:color w:val="FF0000"/>
        </w:rPr>
      </w:pPr>
      <w:r>
        <w:rPr>
          <w:rFonts w:eastAsia="Calibri"/>
        </w:rPr>
        <w:t>The collection of information does not involve sensitive questions.</w:t>
      </w:r>
    </w:p>
    <w:p w:rsidR="00357C8A" w:rsidP="006705EA" w14:paraId="73900D7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78624FBF" w14:textId="32320C0E">
      <w:pPr>
        <w:spacing w:after="200"/>
        <w:ind w:left="360"/>
        <w:rPr>
          <w:rFonts w:eastAsia="Calibri"/>
        </w:rPr>
      </w:pPr>
      <w:r w:rsidRPr="005C71CA">
        <w:rPr>
          <w:rFonts w:eastAsia="Calibri"/>
        </w:rPr>
        <w:t>12a</w:t>
      </w:r>
      <w:r w:rsidR="001057B2">
        <w:rPr>
          <w:rFonts w:eastAsia="Calibri"/>
        </w:rPr>
        <w:t xml:space="preserve">. </w:t>
      </w:r>
      <w:r w:rsidRPr="008A049C">
        <w:rPr>
          <w:rFonts w:eastAsia="Calibri"/>
        </w:rPr>
        <w:t>Annualized Hour Burden Estimate</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5"/>
        <w:gridCol w:w="1789"/>
        <w:gridCol w:w="1161"/>
        <w:gridCol w:w="1185"/>
        <w:gridCol w:w="2290"/>
        <w:gridCol w:w="1584"/>
        <w:gridCol w:w="36"/>
      </w:tblGrid>
      <w:tr w14:paraId="2BE42849" w14:textId="77777777" w:rsidTr="000925D4">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9" w:type="dxa"/>
          <w:cantSplit/>
          <w:trHeight w:val="20"/>
          <w:tblHeader/>
        </w:trPr>
        <w:tc>
          <w:tcPr>
            <w:tcW w:w="4981" w:type="pct"/>
            <w:gridSpan w:val="6"/>
            <w:tcBorders>
              <w:top w:val="nil"/>
              <w:left w:val="nil"/>
              <w:bottom w:val="single" w:sz="4" w:space="0" w:color="auto"/>
              <w:right w:val="nil"/>
            </w:tcBorders>
            <w:shd w:val="clear" w:color="auto" w:fill="auto"/>
          </w:tcPr>
          <w:p w:rsidR="00C63A74" w:rsidRPr="001D7AAE" w:rsidP="00C63A74" w14:paraId="383A33DB" w14:textId="77777777">
            <w:pPr>
              <w:jc w:val="center"/>
              <w:rPr>
                <w:sz w:val="20"/>
                <w:szCs w:val="20"/>
              </w:rPr>
            </w:pPr>
            <w:r w:rsidRPr="001D7AAE">
              <w:rPr>
                <w:sz w:val="20"/>
                <w:szCs w:val="20"/>
              </w:rPr>
              <w:t xml:space="preserve">Table </w:t>
            </w:r>
            <w:r w:rsidRPr="001D7AAE">
              <w:rPr>
                <w:sz w:val="20"/>
                <w:szCs w:val="20"/>
              </w:rPr>
              <w:t>1.--</w:t>
            </w:r>
            <w:r w:rsidRPr="001D7AAE">
              <w:rPr>
                <w:sz w:val="20"/>
                <w:szCs w:val="20"/>
              </w:rPr>
              <w:t>Estimated Annual Reporting Burden</w:t>
            </w:r>
            <w:r w:rsidRPr="00C02C05">
              <w:rPr>
                <w:sz w:val="20"/>
                <w:szCs w:val="20"/>
                <w:vertAlign w:val="superscript"/>
              </w:rPr>
              <w:t>1</w:t>
            </w:r>
          </w:p>
        </w:tc>
      </w:tr>
      <w:tr w14:paraId="2A59DDC1" w14:textId="77777777" w:rsidTr="00D85E4B">
        <w:tblPrEx>
          <w:tblW w:w="5019" w:type="pct"/>
          <w:jc w:val="center"/>
          <w:tblLook w:val="01E0"/>
        </w:tblPrEx>
        <w:trPr>
          <w:cantSplit/>
          <w:trHeight w:val="20"/>
          <w:tblHeader/>
          <w:jc w:val="center"/>
        </w:trPr>
        <w:tc>
          <w:tcPr>
            <w:tcW w:w="784" w:type="pct"/>
            <w:shd w:val="clear" w:color="auto" w:fill="auto"/>
          </w:tcPr>
          <w:p w:rsidR="00C63A74" w:rsidRPr="001D7AAE" w:rsidP="0049239B" w14:paraId="6AEA362F" w14:textId="77777777">
            <w:pPr>
              <w:keepNext/>
              <w:jc w:val="center"/>
              <w:rPr>
                <w:sz w:val="20"/>
                <w:szCs w:val="20"/>
              </w:rPr>
            </w:pPr>
            <w:r w:rsidRPr="001D7AAE">
              <w:rPr>
                <w:sz w:val="20"/>
                <w:szCs w:val="20"/>
              </w:rPr>
              <w:t>Activity</w:t>
            </w:r>
          </w:p>
          <w:p w:rsidR="00C63A74" w:rsidRPr="001D7AAE" w:rsidP="0049239B" w14:paraId="362D95B9" w14:textId="77777777">
            <w:pPr>
              <w:keepNext/>
              <w:jc w:val="center"/>
              <w:rPr>
                <w:sz w:val="20"/>
                <w:szCs w:val="20"/>
              </w:rPr>
            </w:pPr>
          </w:p>
        </w:tc>
        <w:tc>
          <w:tcPr>
            <w:tcW w:w="938" w:type="pct"/>
            <w:shd w:val="clear" w:color="auto" w:fill="auto"/>
          </w:tcPr>
          <w:p w:rsidR="00C63A74" w:rsidRPr="001D7AAE" w:rsidP="0049239B" w14:paraId="0DD59C5F" w14:textId="77777777">
            <w:pPr>
              <w:keepNext/>
              <w:jc w:val="center"/>
              <w:rPr>
                <w:sz w:val="20"/>
                <w:szCs w:val="20"/>
              </w:rPr>
            </w:pPr>
            <w:r w:rsidRPr="001D7AAE">
              <w:rPr>
                <w:sz w:val="20"/>
                <w:szCs w:val="20"/>
              </w:rPr>
              <w:t>No. of Respondents</w:t>
            </w:r>
          </w:p>
        </w:tc>
        <w:tc>
          <w:tcPr>
            <w:tcW w:w="608" w:type="pct"/>
            <w:shd w:val="clear" w:color="auto" w:fill="auto"/>
          </w:tcPr>
          <w:p w:rsidR="00C63A74" w:rsidRPr="001D7AAE" w:rsidP="0049239B" w14:paraId="56DCAAE6" w14:textId="77777777">
            <w:pPr>
              <w:keepNext/>
              <w:jc w:val="center"/>
              <w:rPr>
                <w:sz w:val="20"/>
                <w:szCs w:val="20"/>
              </w:rPr>
            </w:pPr>
            <w:r w:rsidRPr="001D7AAE">
              <w:rPr>
                <w:bCs/>
                <w:sz w:val="20"/>
                <w:szCs w:val="20"/>
              </w:rPr>
              <w:t>No. of Responses per Respondent</w:t>
            </w:r>
          </w:p>
        </w:tc>
        <w:tc>
          <w:tcPr>
            <w:tcW w:w="621" w:type="pct"/>
            <w:shd w:val="clear" w:color="auto" w:fill="auto"/>
          </w:tcPr>
          <w:p w:rsidR="00C63A74" w:rsidRPr="001D7AAE" w:rsidP="0049239B" w14:paraId="6A9510D8" w14:textId="77777777">
            <w:pPr>
              <w:keepNext/>
              <w:jc w:val="center"/>
              <w:rPr>
                <w:sz w:val="20"/>
                <w:szCs w:val="20"/>
              </w:rPr>
            </w:pPr>
            <w:r w:rsidRPr="001D7AAE">
              <w:rPr>
                <w:sz w:val="20"/>
                <w:szCs w:val="20"/>
              </w:rPr>
              <w:t>Total Annual Responses</w:t>
            </w:r>
          </w:p>
        </w:tc>
        <w:tc>
          <w:tcPr>
            <w:tcW w:w="1200" w:type="pct"/>
            <w:shd w:val="clear" w:color="auto" w:fill="auto"/>
          </w:tcPr>
          <w:p w:rsidR="00C63A74" w:rsidRPr="001D7AAE" w:rsidP="0049239B" w14:paraId="73B41FC2" w14:textId="77777777">
            <w:pPr>
              <w:keepNext/>
              <w:jc w:val="center"/>
              <w:rPr>
                <w:sz w:val="20"/>
                <w:szCs w:val="20"/>
              </w:rPr>
            </w:pPr>
            <w:r w:rsidRPr="001D7AAE">
              <w:rPr>
                <w:bCs/>
                <w:sz w:val="20"/>
                <w:szCs w:val="20"/>
              </w:rPr>
              <w:t>Average Burden per Response</w:t>
            </w:r>
          </w:p>
        </w:tc>
        <w:tc>
          <w:tcPr>
            <w:tcW w:w="849" w:type="pct"/>
            <w:gridSpan w:val="2"/>
            <w:shd w:val="clear" w:color="auto" w:fill="auto"/>
          </w:tcPr>
          <w:p w:rsidR="00C63A74" w:rsidRPr="001D7AAE" w:rsidP="0049239B" w14:paraId="603347E4" w14:textId="77777777">
            <w:pPr>
              <w:keepNext/>
              <w:jc w:val="center"/>
              <w:rPr>
                <w:sz w:val="20"/>
                <w:szCs w:val="20"/>
              </w:rPr>
            </w:pPr>
            <w:r w:rsidRPr="001D7AAE">
              <w:rPr>
                <w:sz w:val="20"/>
                <w:szCs w:val="20"/>
              </w:rPr>
              <w:t>Total Hours</w:t>
            </w:r>
          </w:p>
        </w:tc>
      </w:tr>
      <w:tr w14:paraId="27F49C95" w14:textId="77777777" w:rsidTr="00D85E4B">
        <w:tblPrEx>
          <w:tblW w:w="5019" w:type="pct"/>
          <w:jc w:val="center"/>
          <w:tblLook w:val="01E0"/>
        </w:tblPrEx>
        <w:trPr>
          <w:cantSplit/>
          <w:trHeight w:val="20"/>
          <w:tblHeader/>
          <w:jc w:val="center"/>
        </w:trPr>
        <w:tc>
          <w:tcPr>
            <w:tcW w:w="5000" w:type="pct"/>
            <w:gridSpan w:val="7"/>
            <w:shd w:val="clear" w:color="auto" w:fill="auto"/>
          </w:tcPr>
          <w:p w:rsidR="00C63A74" w:rsidRPr="001D7AAE" w:rsidP="0049239B" w14:paraId="549D0C7B" w14:textId="77777777">
            <w:pPr>
              <w:keepNext/>
              <w:jc w:val="center"/>
              <w:rPr>
                <w:sz w:val="20"/>
                <w:szCs w:val="20"/>
              </w:rPr>
            </w:pPr>
            <w:r w:rsidRPr="001D7AAE">
              <w:rPr>
                <w:sz w:val="20"/>
                <w:szCs w:val="20"/>
              </w:rPr>
              <w:t>“Requests for Feedback and Meetings for Medical Device Submissions: The Q-Submission Program”</w:t>
            </w:r>
          </w:p>
        </w:tc>
      </w:tr>
      <w:tr w14:paraId="0732CFAE" w14:textId="77777777" w:rsidTr="000925D4">
        <w:tblPrEx>
          <w:tblW w:w="5019" w:type="pct"/>
          <w:jc w:val="center"/>
          <w:tblLook w:val="01E0"/>
        </w:tblPrEx>
        <w:trPr>
          <w:cantSplit/>
          <w:trHeight w:val="20"/>
          <w:tblHeader/>
          <w:jc w:val="center"/>
        </w:trPr>
        <w:tc>
          <w:tcPr>
            <w:tcW w:w="5000" w:type="pct"/>
            <w:gridSpan w:val="7"/>
            <w:shd w:val="clear" w:color="auto" w:fill="auto"/>
          </w:tcPr>
          <w:p w:rsidR="00C63A74" w:rsidRPr="001D7AAE" w:rsidP="0049239B" w14:paraId="6E27C80F" w14:textId="77777777">
            <w:pPr>
              <w:keepNext/>
              <w:rPr>
                <w:sz w:val="20"/>
                <w:szCs w:val="20"/>
              </w:rPr>
            </w:pPr>
            <w:r w:rsidRPr="001D7AAE">
              <w:rPr>
                <w:sz w:val="20"/>
                <w:szCs w:val="20"/>
              </w:rPr>
              <w:t>Q-Submissions:</w:t>
            </w:r>
          </w:p>
        </w:tc>
      </w:tr>
      <w:tr w14:paraId="60964FDD" w14:textId="77777777" w:rsidTr="000925D4">
        <w:tblPrEx>
          <w:tblW w:w="5019" w:type="pct"/>
          <w:jc w:val="center"/>
          <w:tblLook w:val="01E0"/>
        </w:tblPrEx>
        <w:trPr>
          <w:cantSplit/>
          <w:trHeight w:val="20"/>
          <w:jc w:val="center"/>
        </w:trPr>
        <w:tc>
          <w:tcPr>
            <w:tcW w:w="784" w:type="pct"/>
            <w:shd w:val="clear" w:color="auto" w:fill="auto"/>
          </w:tcPr>
          <w:p w:rsidR="00C63A74" w:rsidRPr="001D7AAE" w:rsidP="0049239B" w14:paraId="4355ECCD" w14:textId="77777777">
            <w:pPr>
              <w:keepNext/>
              <w:rPr>
                <w:sz w:val="20"/>
                <w:szCs w:val="20"/>
              </w:rPr>
            </w:pPr>
            <w:r w:rsidRPr="001D7AAE">
              <w:rPr>
                <w:sz w:val="20"/>
                <w:szCs w:val="20"/>
              </w:rPr>
              <w:t>CDRH</w:t>
            </w:r>
          </w:p>
        </w:tc>
        <w:tc>
          <w:tcPr>
            <w:tcW w:w="938" w:type="pct"/>
            <w:shd w:val="clear" w:color="auto" w:fill="auto"/>
          </w:tcPr>
          <w:p w:rsidR="00C63A74" w:rsidRPr="001D7AAE" w:rsidP="0049239B" w14:paraId="526A3CDA" w14:textId="77777777">
            <w:pPr>
              <w:keepNext/>
              <w:jc w:val="right"/>
              <w:rPr>
                <w:sz w:val="20"/>
                <w:szCs w:val="20"/>
              </w:rPr>
            </w:pPr>
            <w:r>
              <w:rPr>
                <w:sz w:val="20"/>
                <w:szCs w:val="20"/>
              </w:rPr>
              <w:t>5,750</w:t>
            </w:r>
          </w:p>
        </w:tc>
        <w:tc>
          <w:tcPr>
            <w:tcW w:w="608" w:type="pct"/>
            <w:shd w:val="clear" w:color="auto" w:fill="auto"/>
          </w:tcPr>
          <w:p w:rsidR="00C63A74" w:rsidRPr="001D7AAE" w:rsidP="0049239B" w14:paraId="50AD62DE" w14:textId="77777777">
            <w:pPr>
              <w:keepNext/>
              <w:jc w:val="right"/>
              <w:rPr>
                <w:sz w:val="20"/>
                <w:szCs w:val="20"/>
              </w:rPr>
            </w:pPr>
            <w:r w:rsidRPr="001D7AAE">
              <w:rPr>
                <w:sz w:val="20"/>
                <w:szCs w:val="20"/>
              </w:rPr>
              <w:t>1</w:t>
            </w:r>
          </w:p>
        </w:tc>
        <w:tc>
          <w:tcPr>
            <w:tcW w:w="621" w:type="pct"/>
            <w:shd w:val="clear" w:color="auto" w:fill="auto"/>
          </w:tcPr>
          <w:p w:rsidR="00C63A74" w:rsidRPr="001D7AAE" w:rsidP="0049239B" w14:paraId="26B6B92A" w14:textId="77777777">
            <w:pPr>
              <w:keepNext/>
              <w:jc w:val="right"/>
              <w:rPr>
                <w:sz w:val="20"/>
                <w:szCs w:val="20"/>
              </w:rPr>
            </w:pPr>
            <w:r>
              <w:rPr>
                <w:sz w:val="20"/>
                <w:szCs w:val="20"/>
              </w:rPr>
              <w:t>5,750</w:t>
            </w:r>
          </w:p>
        </w:tc>
        <w:tc>
          <w:tcPr>
            <w:tcW w:w="1200" w:type="pct"/>
            <w:shd w:val="clear" w:color="auto" w:fill="auto"/>
          </w:tcPr>
          <w:p w:rsidR="00C63A74" w:rsidRPr="001D7AAE" w:rsidP="0049239B" w14:paraId="4AEA43EB" w14:textId="77777777">
            <w:pPr>
              <w:keepNext/>
              <w:jc w:val="right"/>
              <w:rPr>
                <w:sz w:val="20"/>
                <w:szCs w:val="20"/>
              </w:rPr>
            </w:pPr>
            <w:r w:rsidRPr="001D7AAE">
              <w:rPr>
                <w:sz w:val="20"/>
                <w:szCs w:val="20"/>
              </w:rPr>
              <w:t>137</w:t>
            </w:r>
          </w:p>
        </w:tc>
        <w:tc>
          <w:tcPr>
            <w:tcW w:w="849" w:type="pct"/>
            <w:gridSpan w:val="2"/>
            <w:shd w:val="clear" w:color="auto" w:fill="auto"/>
          </w:tcPr>
          <w:p w:rsidR="00C63A74" w:rsidRPr="001D7AAE" w:rsidP="0049239B" w14:paraId="183C6909" w14:textId="5AC3E62E">
            <w:pPr>
              <w:keepNext/>
              <w:jc w:val="right"/>
              <w:rPr>
                <w:sz w:val="20"/>
                <w:szCs w:val="20"/>
              </w:rPr>
            </w:pPr>
            <w:r>
              <w:rPr>
                <w:sz w:val="20"/>
                <w:szCs w:val="20"/>
              </w:rPr>
              <w:t>787,75</w:t>
            </w:r>
            <w:r w:rsidR="00716D9C">
              <w:rPr>
                <w:sz w:val="20"/>
                <w:szCs w:val="20"/>
              </w:rPr>
              <w:t>0</w:t>
            </w:r>
          </w:p>
        </w:tc>
      </w:tr>
      <w:tr w14:paraId="2EFA655A" w14:textId="77777777" w:rsidTr="000925D4">
        <w:tblPrEx>
          <w:tblW w:w="5019" w:type="pct"/>
          <w:jc w:val="center"/>
          <w:tblLook w:val="01E0"/>
        </w:tblPrEx>
        <w:trPr>
          <w:cantSplit/>
          <w:trHeight w:val="20"/>
          <w:jc w:val="center"/>
        </w:trPr>
        <w:tc>
          <w:tcPr>
            <w:tcW w:w="784" w:type="pct"/>
            <w:shd w:val="clear" w:color="auto" w:fill="auto"/>
          </w:tcPr>
          <w:p w:rsidR="00C63A74" w:rsidRPr="001D7AAE" w:rsidP="0049239B" w14:paraId="0182CA13" w14:textId="77777777">
            <w:pPr>
              <w:keepNext/>
              <w:rPr>
                <w:sz w:val="20"/>
                <w:szCs w:val="20"/>
              </w:rPr>
            </w:pPr>
            <w:r w:rsidRPr="001D7AAE">
              <w:rPr>
                <w:sz w:val="20"/>
                <w:szCs w:val="20"/>
              </w:rPr>
              <w:t>CBER</w:t>
            </w:r>
          </w:p>
        </w:tc>
        <w:tc>
          <w:tcPr>
            <w:tcW w:w="938" w:type="pct"/>
            <w:shd w:val="clear" w:color="auto" w:fill="auto"/>
          </w:tcPr>
          <w:p w:rsidR="00C63A74" w:rsidRPr="001D7AAE" w:rsidP="0049239B" w14:paraId="118EE6E3" w14:textId="77777777">
            <w:pPr>
              <w:keepNext/>
              <w:jc w:val="right"/>
              <w:rPr>
                <w:sz w:val="20"/>
                <w:szCs w:val="20"/>
              </w:rPr>
            </w:pPr>
            <w:r w:rsidRPr="001D7AAE">
              <w:rPr>
                <w:sz w:val="20"/>
                <w:szCs w:val="20"/>
              </w:rPr>
              <w:t>60</w:t>
            </w:r>
          </w:p>
        </w:tc>
        <w:tc>
          <w:tcPr>
            <w:tcW w:w="608" w:type="pct"/>
            <w:shd w:val="clear" w:color="auto" w:fill="auto"/>
          </w:tcPr>
          <w:p w:rsidR="00C63A74" w:rsidRPr="001D7AAE" w:rsidP="0049239B" w14:paraId="323C5DD8" w14:textId="77777777">
            <w:pPr>
              <w:keepNext/>
              <w:jc w:val="right"/>
              <w:rPr>
                <w:sz w:val="20"/>
                <w:szCs w:val="20"/>
              </w:rPr>
            </w:pPr>
            <w:r w:rsidRPr="001D7AAE">
              <w:rPr>
                <w:sz w:val="20"/>
                <w:szCs w:val="20"/>
              </w:rPr>
              <w:t>1</w:t>
            </w:r>
          </w:p>
        </w:tc>
        <w:tc>
          <w:tcPr>
            <w:tcW w:w="621" w:type="pct"/>
            <w:shd w:val="clear" w:color="auto" w:fill="auto"/>
          </w:tcPr>
          <w:p w:rsidR="00C63A74" w:rsidRPr="001D7AAE" w:rsidP="0049239B" w14:paraId="50E90278" w14:textId="77777777">
            <w:pPr>
              <w:keepNext/>
              <w:jc w:val="right"/>
              <w:rPr>
                <w:sz w:val="20"/>
                <w:szCs w:val="20"/>
              </w:rPr>
            </w:pPr>
            <w:r w:rsidRPr="001D7AAE">
              <w:rPr>
                <w:sz w:val="20"/>
                <w:szCs w:val="20"/>
              </w:rPr>
              <w:t>60</w:t>
            </w:r>
          </w:p>
        </w:tc>
        <w:tc>
          <w:tcPr>
            <w:tcW w:w="1200" w:type="pct"/>
            <w:shd w:val="clear" w:color="auto" w:fill="auto"/>
          </w:tcPr>
          <w:p w:rsidR="00C63A74" w:rsidRPr="001D7AAE" w:rsidP="0049239B" w14:paraId="1610935F" w14:textId="77777777">
            <w:pPr>
              <w:keepNext/>
              <w:jc w:val="right"/>
              <w:rPr>
                <w:sz w:val="20"/>
                <w:szCs w:val="20"/>
              </w:rPr>
            </w:pPr>
            <w:r w:rsidRPr="001D7AAE">
              <w:rPr>
                <w:sz w:val="20"/>
                <w:szCs w:val="20"/>
              </w:rPr>
              <w:t>137</w:t>
            </w:r>
          </w:p>
        </w:tc>
        <w:tc>
          <w:tcPr>
            <w:tcW w:w="849" w:type="pct"/>
            <w:gridSpan w:val="2"/>
            <w:shd w:val="clear" w:color="auto" w:fill="auto"/>
          </w:tcPr>
          <w:p w:rsidR="00C63A74" w:rsidRPr="001D7AAE" w:rsidP="0049239B" w14:paraId="14F2502C" w14:textId="77777777">
            <w:pPr>
              <w:keepNext/>
              <w:jc w:val="right"/>
              <w:rPr>
                <w:sz w:val="20"/>
                <w:szCs w:val="20"/>
              </w:rPr>
            </w:pPr>
            <w:r w:rsidRPr="001D7AAE">
              <w:rPr>
                <w:sz w:val="20"/>
                <w:szCs w:val="20"/>
              </w:rPr>
              <w:t>8,220</w:t>
            </w:r>
          </w:p>
        </w:tc>
      </w:tr>
      <w:tr w14:paraId="75451416" w14:textId="77777777" w:rsidTr="000925D4">
        <w:tblPrEx>
          <w:tblW w:w="5019" w:type="pct"/>
          <w:jc w:val="center"/>
          <w:tblLook w:val="01E0"/>
        </w:tblPrEx>
        <w:trPr>
          <w:cantSplit/>
          <w:trHeight w:val="20"/>
          <w:jc w:val="center"/>
        </w:trPr>
        <w:tc>
          <w:tcPr>
            <w:tcW w:w="5000" w:type="pct"/>
            <w:gridSpan w:val="7"/>
            <w:shd w:val="clear" w:color="auto" w:fill="auto"/>
          </w:tcPr>
          <w:p w:rsidR="00C63A74" w:rsidRPr="001D7AAE" w:rsidP="0049239B" w14:paraId="570EFE78" w14:textId="77777777">
            <w:pPr>
              <w:rPr>
                <w:sz w:val="20"/>
                <w:szCs w:val="20"/>
              </w:rPr>
            </w:pPr>
            <w:r w:rsidRPr="001D7AAE">
              <w:rPr>
                <w:sz w:val="20"/>
                <w:szCs w:val="20"/>
              </w:rPr>
              <w:t xml:space="preserve">Q-Submissions using </w:t>
            </w:r>
            <w:r w:rsidRPr="001D7AAE">
              <w:rPr>
                <w:sz w:val="20"/>
                <w:szCs w:val="20"/>
              </w:rPr>
              <w:t>eSTAR</w:t>
            </w:r>
            <w:r w:rsidRPr="001D7AAE">
              <w:rPr>
                <w:sz w:val="20"/>
                <w:szCs w:val="20"/>
              </w:rPr>
              <w:t>:</w:t>
            </w:r>
          </w:p>
        </w:tc>
      </w:tr>
      <w:tr w14:paraId="1533536B" w14:textId="77777777" w:rsidTr="000925D4">
        <w:tblPrEx>
          <w:tblW w:w="5019" w:type="pct"/>
          <w:jc w:val="center"/>
          <w:tblLook w:val="01E0"/>
        </w:tblPrEx>
        <w:trPr>
          <w:cantSplit/>
          <w:trHeight w:val="20"/>
          <w:jc w:val="center"/>
        </w:trPr>
        <w:tc>
          <w:tcPr>
            <w:tcW w:w="784" w:type="pct"/>
            <w:shd w:val="clear" w:color="auto" w:fill="auto"/>
          </w:tcPr>
          <w:p w:rsidR="00C63A74" w:rsidRPr="001D7AAE" w:rsidP="0049239B" w14:paraId="76208FAB" w14:textId="77777777">
            <w:pPr>
              <w:keepNext/>
              <w:rPr>
                <w:sz w:val="20"/>
                <w:szCs w:val="20"/>
              </w:rPr>
            </w:pPr>
            <w:r w:rsidRPr="001D7AAE">
              <w:rPr>
                <w:sz w:val="20"/>
                <w:szCs w:val="20"/>
              </w:rPr>
              <w:t>CDRH</w:t>
            </w:r>
          </w:p>
        </w:tc>
        <w:tc>
          <w:tcPr>
            <w:tcW w:w="938" w:type="pct"/>
            <w:shd w:val="clear" w:color="auto" w:fill="auto"/>
          </w:tcPr>
          <w:p w:rsidR="00C63A74" w:rsidRPr="001D7AAE" w:rsidP="0049239B" w14:paraId="5A3480BD" w14:textId="77777777">
            <w:pPr>
              <w:keepNext/>
              <w:jc w:val="right"/>
              <w:rPr>
                <w:sz w:val="20"/>
                <w:szCs w:val="20"/>
              </w:rPr>
            </w:pPr>
            <w:r>
              <w:rPr>
                <w:sz w:val="20"/>
                <w:szCs w:val="20"/>
              </w:rPr>
              <w:t>850</w:t>
            </w:r>
          </w:p>
        </w:tc>
        <w:tc>
          <w:tcPr>
            <w:tcW w:w="608" w:type="pct"/>
            <w:shd w:val="clear" w:color="auto" w:fill="auto"/>
          </w:tcPr>
          <w:p w:rsidR="00C63A74" w:rsidRPr="001D7AAE" w:rsidP="0049239B" w14:paraId="2B3BC8F9" w14:textId="77777777">
            <w:pPr>
              <w:keepNext/>
              <w:jc w:val="right"/>
              <w:rPr>
                <w:sz w:val="20"/>
                <w:szCs w:val="20"/>
              </w:rPr>
            </w:pPr>
            <w:r w:rsidRPr="001D7AAE">
              <w:rPr>
                <w:sz w:val="20"/>
                <w:szCs w:val="20"/>
              </w:rPr>
              <w:t>1</w:t>
            </w:r>
          </w:p>
        </w:tc>
        <w:tc>
          <w:tcPr>
            <w:tcW w:w="621" w:type="pct"/>
            <w:shd w:val="clear" w:color="auto" w:fill="auto"/>
          </w:tcPr>
          <w:p w:rsidR="00C63A74" w:rsidRPr="001D7AAE" w:rsidP="0049239B" w14:paraId="2F99CB08" w14:textId="77777777">
            <w:pPr>
              <w:keepNext/>
              <w:jc w:val="right"/>
              <w:rPr>
                <w:sz w:val="20"/>
                <w:szCs w:val="20"/>
              </w:rPr>
            </w:pPr>
            <w:r>
              <w:rPr>
                <w:sz w:val="20"/>
                <w:szCs w:val="20"/>
              </w:rPr>
              <w:t>850</w:t>
            </w:r>
          </w:p>
        </w:tc>
        <w:tc>
          <w:tcPr>
            <w:tcW w:w="1200" w:type="pct"/>
            <w:shd w:val="clear" w:color="auto" w:fill="auto"/>
          </w:tcPr>
          <w:p w:rsidR="00C63A74" w:rsidRPr="001D7AAE" w:rsidP="0049239B" w14:paraId="3A0EABD4" w14:textId="77777777">
            <w:pPr>
              <w:keepNext/>
              <w:jc w:val="right"/>
              <w:rPr>
                <w:sz w:val="20"/>
                <w:szCs w:val="20"/>
              </w:rPr>
            </w:pPr>
            <w:r w:rsidRPr="001D7AAE">
              <w:rPr>
                <w:sz w:val="20"/>
                <w:szCs w:val="20"/>
              </w:rPr>
              <w:t>69</w:t>
            </w:r>
          </w:p>
        </w:tc>
        <w:tc>
          <w:tcPr>
            <w:tcW w:w="849" w:type="pct"/>
            <w:gridSpan w:val="2"/>
            <w:shd w:val="clear" w:color="auto" w:fill="auto"/>
          </w:tcPr>
          <w:p w:rsidR="00C63A74" w:rsidRPr="001D7AAE" w:rsidP="0049239B" w14:paraId="5FE2A726" w14:textId="77777777">
            <w:pPr>
              <w:keepNext/>
              <w:jc w:val="right"/>
              <w:rPr>
                <w:sz w:val="20"/>
                <w:szCs w:val="20"/>
              </w:rPr>
            </w:pPr>
            <w:r>
              <w:rPr>
                <w:sz w:val="20"/>
                <w:szCs w:val="20"/>
              </w:rPr>
              <w:t>58,650</w:t>
            </w:r>
          </w:p>
        </w:tc>
      </w:tr>
      <w:tr w14:paraId="42A4CDC8" w14:textId="77777777" w:rsidTr="000925D4">
        <w:tblPrEx>
          <w:tblW w:w="5019" w:type="pct"/>
          <w:jc w:val="center"/>
          <w:tblLook w:val="01E0"/>
        </w:tblPrEx>
        <w:trPr>
          <w:cantSplit/>
          <w:trHeight w:val="20"/>
          <w:jc w:val="center"/>
        </w:trPr>
        <w:tc>
          <w:tcPr>
            <w:tcW w:w="784" w:type="pct"/>
            <w:shd w:val="clear" w:color="auto" w:fill="auto"/>
          </w:tcPr>
          <w:p w:rsidR="00C63A74" w:rsidRPr="001D7AAE" w:rsidP="0049239B" w14:paraId="6D13F7F3" w14:textId="77777777">
            <w:pPr>
              <w:keepNext/>
              <w:rPr>
                <w:sz w:val="20"/>
                <w:szCs w:val="20"/>
              </w:rPr>
            </w:pPr>
            <w:r w:rsidRPr="001D7AAE">
              <w:rPr>
                <w:sz w:val="20"/>
                <w:szCs w:val="20"/>
              </w:rPr>
              <w:t>CBER</w:t>
            </w:r>
          </w:p>
        </w:tc>
        <w:tc>
          <w:tcPr>
            <w:tcW w:w="938" w:type="pct"/>
            <w:shd w:val="clear" w:color="auto" w:fill="auto"/>
          </w:tcPr>
          <w:p w:rsidR="00C63A74" w:rsidRPr="001D7AAE" w:rsidP="0049239B" w14:paraId="321C1B71" w14:textId="77777777">
            <w:pPr>
              <w:keepNext/>
              <w:jc w:val="right"/>
              <w:rPr>
                <w:sz w:val="20"/>
                <w:szCs w:val="20"/>
              </w:rPr>
            </w:pPr>
            <w:r w:rsidRPr="001D7AAE">
              <w:rPr>
                <w:sz w:val="20"/>
                <w:szCs w:val="20"/>
              </w:rPr>
              <w:t>40</w:t>
            </w:r>
          </w:p>
        </w:tc>
        <w:tc>
          <w:tcPr>
            <w:tcW w:w="608" w:type="pct"/>
            <w:shd w:val="clear" w:color="auto" w:fill="auto"/>
          </w:tcPr>
          <w:p w:rsidR="00C63A74" w:rsidRPr="001D7AAE" w:rsidP="0049239B" w14:paraId="7B5582C2" w14:textId="77777777">
            <w:pPr>
              <w:keepNext/>
              <w:jc w:val="right"/>
              <w:rPr>
                <w:sz w:val="20"/>
                <w:szCs w:val="20"/>
              </w:rPr>
            </w:pPr>
            <w:r w:rsidRPr="001D7AAE">
              <w:rPr>
                <w:sz w:val="20"/>
                <w:szCs w:val="20"/>
              </w:rPr>
              <w:t>1</w:t>
            </w:r>
          </w:p>
        </w:tc>
        <w:tc>
          <w:tcPr>
            <w:tcW w:w="621" w:type="pct"/>
            <w:shd w:val="clear" w:color="auto" w:fill="auto"/>
          </w:tcPr>
          <w:p w:rsidR="00C63A74" w:rsidRPr="001D7AAE" w:rsidP="0049239B" w14:paraId="1A863BF9" w14:textId="77777777">
            <w:pPr>
              <w:keepNext/>
              <w:jc w:val="right"/>
              <w:rPr>
                <w:sz w:val="20"/>
                <w:szCs w:val="20"/>
              </w:rPr>
            </w:pPr>
            <w:r w:rsidRPr="001D7AAE">
              <w:rPr>
                <w:sz w:val="20"/>
                <w:szCs w:val="20"/>
              </w:rPr>
              <w:t>40</w:t>
            </w:r>
          </w:p>
        </w:tc>
        <w:tc>
          <w:tcPr>
            <w:tcW w:w="1200" w:type="pct"/>
            <w:shd w:val="clear" w:color="auto" w:fill="auto"/>
          </w:tcPr>
          <w:p w:rsidR="00C63A74" w:rsidRPr="001D7AAE" w:rsidP="0049239B" w14:paraId="2AB77DB9" w14:textId="77777777">
            <w:pPr>
              <w:keepNext/>
              <w:jc w:val="right"/>
              <w:rPr>
                <w:sz w:val="20"/>
                <w:szCs w:val="20"/>
              </w:rPr>
            </w:pPr>
            <w:r w:rsidRPr="001D7AAE">
              <w:rPr>
                <w:sz w:val="20"/>
                <w:szCs w:val="20"/>
              </w:rPr>
              <w:t>69</w:t>
            </w:r>
          </w:p>
        </w:tc>
        <w:tc>
          <w:tcPr>
            <w:tcW w:w="849" w:type="pct"/>
            <w:gridSpan w:val="2"/>
            <w:shd w:val="clear" w:color="auto" w:fill="auto"/>
          </w:tcPr>
          <w:p w:rsidR="00C63A74" w:rsidRPr="001D7AAE" w:rsidP="0049239B" w14:paraId="5C5EF9DF" w14:textId="77777777">
            <w:pPr>
              <w:keepNext/>
              <w:jc w:val="right"/>
              <w:rPr>
                <w:sz w:val="20"/>
                <w:szCs w:val="20"/>
              </w:rPr>
            </w:pPr>
            <w:r w:rsidRPr="001D7AAE">
              <w:rPr>
                <w:sz w:val="20"/>
                <w:szCs w:val="20"/>
              </w:rPr>
              <w:t>2,760</w:t>
            </w:r>
          </w:p>
        </w:tc>
      </w:tr>
      <w:tr w14:paraId="27C73C9F" w14:textId="77777777" w:rsidTr="000925D4">
        <w:tblPrEx>
          <w:tblW w:w="5019" w:type="pct"/>
          <w:jc w:val="center"/>
          <w:tblLook w:val="01E0"/>
        </w:tblPrEx>
        <w:trPr>
          <w:cantSplit/>
          <w:trHeight w:val="20"/>
          <w:jc w:val="center"/>
        </w:trPr>
        <w:tc>
          <w:tcPr>
            <w:tcW w:w="784" w:type="pct"/>
            <w:shd w:val="clear" w:color="auto" w:fill="auto"/>
          </w:tcPr>
          <w:p w:rsidR="00C63A74" w:rsidRPr="001D7AAE" w:rsidP="0049239B" w14:paraId="47774F77" w14:textId="77777777">
            <w:pPr>
              <w:keepNext/>
              <w:rPr>
                <w:sz w:val="20"/>
                <w:szCs w:val="20"/>
              </w:rPr>
            </w:pPr>
            <w:r w:rsidRPr="001D7AAE">
              <w:rPr>
                <w:sz w:val="20"/>
                <w:szCs w:val="20"/>
              </w:rPr>
              <w:t>eSTAR</w:t>
            </w:r>
            <w:r w:rsidRPr="001D7AAE">
              <w:rPr>
                <w:sz w:val="20"/>
                <w:szCs w:val="20"/>
              </w:rPr>
              <w:t xml:space="preserve"> setup</w:t>
            </w:r>
          </w:p>
        </w:tc>
        <w:tc>
          <w:tcPr>
            <w:tcW w:w="938" w:type="pct"/>
            <w:shd w:val="clear" w:color="auto" w:fill="auto"/>
          </w:tcPr>
          <w:p w:rsidR="00C63A74" w:rsidRPr="001D7AAE" w:rsidP="0049239B" w14:paraId="473071F4" w14:textId="77777777">
            <w:pPr>
              <w:keepNext/>
              <w:jc w:val="right"/>
              <w:rPr>
                <w:sz w:val="20"/>
                <w:szCs w:val="20"/>
              </w:rPr>
            </w:pPr>
            <w:r w:rsidRPr="001D7AAE">
              <w:rPr>
                <w:sz w:val="20"/>
                <w:szCs w:val="20"/>
              </w:rPr>
              <w:t>1,480</w:t>
            </w:r>
          </w:p>
        </w:tc>
        <w:tc>
          <w:tcPr>
            <w:tcW w:w="608" w:type="pct"/>
            <w:shd w:val="clear" w:color="auto" w:fill="auto"/>
          </w:tcPr>
          <w:p w:rsidR="00C63A74" w:rsidRPr="001D7AAE" w:rsidP="0049239B" w14:paraId="289082CC" w14:textId="77777777">
            <w:pPr>
              <w:keepNext/>
              <w:jc w:val="right"/>
              <w:rPr>
                <w:sz w:val="20"/>
                <w:szCs w:val="20"/>
              </w:rPr>
            </w:pPr>
            <w:r w:rsidRPr="001D7AAE">
              <w:rPr>
                <w:sz w:val="20"/>
                <w:szCs w:val="20"/>
              </w:rPr>
              <w:t>1</w:t>
            </w:r>
          </w:p>
        </w:tc>
        <w:tc>
          <w:tcPr>
            <w:tcW w:w="621" w:type="pct"/>
            <w:shd w:val="clear" w:color="auto" w:fill="auto"/>
          </w:tcPr>
          <w:p w:rsidR="00C63A74" w:rsidRPr="001D7AAE" w:rsidP="0049239B" w14:paraId="4AF687D4" w14:textId="77777777">
            <w:pPr>
              <w:keepNext/>
              <w:jc w:val="right"/>
              <w:rPr>
                <w:sz w:val="20"/>
                <w:szCs w:val="20"/>
              </w:rPr>
            </w:pPr>
            <w:r w:rsidRPr="001D7AAE">
              <w:rPr>
                <w:sz w:val="20"/>
                <w:szCs w:val="20"/>
              </w:rPr>
              <w:t>1,480</w:t>
            </w:r>
          </w:p>
        </w:tc>
        <w:tc>
          <w:tcPr>
            <w:tcW w:w="1200" w:type="pct"/>
            <w:shd w:val="clear" w:color="auto" w:fill="auto"/>
          </w:tcPr>
          <w:p w:rsidR="00C63A74" w:rsidRPr="001D7AAE" w:rsidP="0049239B" w14:paraId="6EC5A0F0" w14:textId="77777777">
            <w:pPr>
              <w:keepNext/>
              <w:jc w:val="right"/>
              <w:rPr>
                <w:sz w:val="20"/>
                <w:szCs w:val="20"/>
              </w:rPr>
            </w:pPr>
            <w:r w:rsidRPr="001D7AAE">
              <w:rPr>
                <w:sz w:val="20"/>
                <w:szCs w:val="20"/>
              </w:rPr>
              <w:t>0.08</w:t>
            </w:r>
          </w:p>
          <w:p w:rsidR="00C63A74" w:rsidRPr="001D7AAE" w:rsidP="0049239B" w14:paraId="2EBBF79F" w14:textId="77777777">
            <w:pPr>
              <w:keepNext/>
              <w:jc w:val="right"/>
              <w:rPr>
                <w:sz w:val="20"/>
                <w:szCs w:val="20"/>
              </w:rPr>
            </w:pPr>
            <w:r w:rsidRPr="001D7AAE">
              <w:rPr>
                <w:sz w:val="20"/>
                <w:szCs w:val="20"/>
              </w:rPr>
              <w:t>(5 minutes)</w:t>
            </w:r>
          </w:p>
        </w:tc>
        <w:tc>
          <w:tcPr>
            <w:tcW w:w="849" w:type="pct"/>
            <w:gridSpan w:val="2"/>
            <w:shd w:val="clear" w:color="auto" w:fill="auto"/>
          </w:tcPr>
          <w:p w:rsidR="00C63A74" w:rsidRPr="001D7AAE" w:rsidP="0049239B" w14:paraId="7C175FE8" w14:textId="77777777">
            <w:pPr>
              <w:keepNext/>
              <w:jc w:val="right"/>
              <w:rPr>
                <w:sz w:val="20"/>
                <w:szCs w:val="20"/>
              </w:rPr>
            </w:pPr>
            <w:r w:rsidRPr="001D7AAE">
              <w:rPr>
                <w:sz w:val="20"/>
                <w:szCs w:val="20"/>
              </w:rPr>
              <w:t>118</w:t>
            </w:r>
          </w:p>
        </w:tc>
      </w:tr>
      <w:tr w14:paraId="7CB9FED3" w14:textId="77777777" w:rsidTr="000925D4">
        <w:tblPrEx>
          <w:tblW w:w="5019" w:type="pct"/>
          <w:jc w:val="center"/>
          <w:tblLook w:val="01E0"/>
        </w:tblPrEx>
        <w:trPr>
          <w:cantSplit/>
          <w:trHeight w:val="20"/>
          <w:jc w:val="center"/>
        </w:trPr>
        <w:tc>
          <w:tcPr>
            <w:tcW w:w="5000" w:type="pct"/>
            <w:gridSpan w:val="7"/>
            <w:shd w:val="clear" w:color="auto" w:fill="auto"/>
          </w:tcPr>
          <w:p w:rsidR="00C63A74" w:rsidRPr="001D7AAE" w:rsidP="0049239B" w14:paraId="216D649F" w14:textId="77777777">
            <w:pPr>
              <w:keepNext/>
              <w:jc w:val="center"/>
              <w:rPr>
                <w:sz w:val="20"/>
                <w:szCs w:val="20"/>
              </w:rPr>
            </w:pPr>
            <w:r>
              <w:rPr>
                <w:sz w:val="20"/>
                <w:szCs w:val="20"/>
              </w:rPr>
              <w:t xml:space="preserve"> Early Payor Feedback Program (EPFP)</w:t>
            </w:r>
          </w:p>
        </w:tc>
      </w:tr>
      <w:tr w14:paraId="61D319CA" w14:textId="77777777" w:rsidTr="000925D4">
        <w:tblPrEx>
          <w:tblW w:w="5019" w:type="pct"/>
          <w:jc w:val="center"/>
          <w:tblLook w:val="01E0"/>
        </w:tblPrEx>
        <w:trPr>
          <w:cantSplit/>
          <w:trHeight w:val="20"/>
          <w:jc w:val="center"/>
        </w:trPr>
        <w:tc>
          <w:tcPr>
            <w:tcW w:w="784" w:type="pct"/>
            <w:shd w:val="clear" w:color="auto" w:fill="auto"/>
          </w:tcPr>
          <w:p w:rsidR="00C63A74" w:rsidRPr="001D7AAE" w:rsidP="0049239B" w14:paraId="0671E768" w14:textId="77777777">
            <w:pPr>
              <w:keepNext/>
              <w:rPr>
                <w:sz w:val="20"/>
                <w:szCs w:val="20"/>
              </w:rPr>
            </w:pPr>
            <w:r w:rsidRPr="001D7AAE">
              <w:rPr>
                <w:sz w:val="20"/>
                <w:szCs w:val="20"/>
              </w:rPr>
              <w:t>Manufacturer request to participate in EPFP</w:t>
            </w:r>
          </w:p>
        </w:tc>
        <w:tc>
          <w:tcPr>
            <w:tcW w:w="938" w:type="pct"/>
            <w:shd w:val="clear" w:color="auto" w:fill="auto"/>
          </w:tcPr>
          <w:p w:rsidR="00C63A74" w:rsidRPr="001D7AAE" w:rsidP="0049239B" w14:paraId="5AC732E8" w14:textId="0372C5ED">
            <w:pPr>
              <w:keepNext/>
              <w:jc w:val="right"/>
              <w:rPr>
                <w:sz w:val="20"/>
                <w:szCs w:val="20"/>
              </w:rPr>
            </w:pPr>
            <w:r w:rsidRPr="001D7AAE">
              <w:rPr>
                <w:sz w:val="20"/>
                <w:szCs w:val="20"/>
              </w:rPr>
              <w:t>3</w:t>
            </w:r>
            <w:r w:rsidR="00DB13A5">
              <w:rPr>
                <w:sz w:val="20"/>
                <w:szCs w:val="20"/>
              </w:rPr>
              <w:t>5</w:t>
            </w:r>
          </w:p>
        </w:tc>
        <w:tc>
          <w:tcPr>
            <w:tcW w:w="608" w:type="pct"/>
            <w:shd w:val="clear" w:color="auto" w:fill="auto"/>
          </w:tcPr>
          <w:p w:rsidR="00C63A74" w:rsidRPr="001D7AAE" w:rsidP="0049239B" w14:paraId="26F8DBFA" w14:textId="77777777">
            <w:pPr>
              <w:keepNext/>
              <w:jc w:val="right"/>
              <w:rPr>
                <w:sz w:val="20"/>
                <w:szCs w:val="20"/>
              </w:rPr>
            </w:pPr>
            <w:r w:rsidRPr="001D7AAE">
              <w:rPr>
                <w:sz w:val="20"/>
                <w:szCs w:val="20"/>
              </w:rPr>
              <w:t>1</w:t>
            </w:r>
          </w:p>
        </w:tc>
        <w:tc>
          <w:tcPr>
            <w:tcW w:w="621" w:type="pct"/>
            <w:shd w:val="clear" w:color="auto" w:fill="auto"/>
          </w:tcPr>
          <w:p w:rsidR="00C63A74" w:rsidRPr="001D7AAE" w:rsidP="0049239B" w14:paraId="341BDCAA" w14:textId="1066F52E">
            <w:pPr>
              <w:keepNext/>
              <w:jc w:val="right"/>
              <w:rPr>
                <w:sz w:val="20"/>
                <w:szCs w:val="20"/>
              </w:rPr>
            </w:pPr>
            <w:r w:rsidRPr="001D7AAE">
              <w:rPr>
                <w:sz w:val="20"/>
                <w:szCs w:val="20"/>
              </w:rPr>
              <w:t>3</w:t>
            </w:r>
            <w:r w:rsidR="00DB13A5">
              <w:rPr>
                <w:sz w:val="20"/>
                <w:szCs w:val="20"/>
              </w:rPr>
              <w:t>5</w:t>
            </w:r>
          </w:p>
        </w:tc>
        <w:tc>
          <w:tcPr>
            <w:tcW w:w="1200" w:type="pct"/>
            <w:shd w:val="clear" w:color="auto" w:fill="auto"/>
          </w:tcPr>
          <w:p w:rsidR="00C63A74" w:rsidRPr="001D7AAE" w:rsidP="0049239B" w14:paraId="2BED2D3E" w14:textId="77777777">
            <w:pPr>
              <w:keepNext/>
              <w:jc w:val="right"/>
              <w:rPr>
                <w:sz w:val="20"/>
                <w:szCs w:val="20"/>
              </w:rPr>
            </w:pPr>
            <w:r w:rsidRPr="001D7AAE">
              <w:rPr>
                <w:sz w:val="20"/>
                <w:szCs w:val="20"/>
              </w:rPr>
              <w:t>2</w:t>
            </w:r>
          </w:p>
        </w:tc>
        <w:tc>
          <w:tcPr>
            <w:tcW w:w="849" w:type="pct"/>
            <w:gridSpan w:val="2"/>
            <w:shd w:val="clear" w:color="auto" w:fill="auto"/>
          </w:tcPr>
          <w:p w:rsidR="00C63A74" w:rsidRPr="001D7AAE" w:rsidP="0049239B" w14:paraId="44ED61F0" w14:textId="0695928C">
            <w:pPr>
              <w:keepNext/>
              <w:jc w:val="right"/>
              <w:rPr>
                <w:sz w:val="20"/>
                <w:szCs w:val="20"/>
              </w:rPr>
            </w:pPr>
            <w:r>
              <w:rPr>
                <w:sz w:val="20"/>
                <w:szCs w:val="20"/>
              </w:rPr>
              <w:t>70</w:t>
            </w:r>
          </w:p>
        </w:tc>
      </w:tr>
      <w:tr w14:paraId="67DF2020" w14:textId="77777777" w:rsidTr="000925D4">
        <w:tblPrEx>
          <w:tblW w:w="5019" w:type="pct"/>
          <w:jc w:val="center"/>
          <w:tblLook w:val="01E0"/>
        </w:tblPrEx>
        <w:trPr>
          <w:cantSplit/>
          <w:trHeight w:val="20"/>
          <w:jc w:val="center"/>
        </w:trPr>
        <w:tc>
          <w:tcPr>
            <w:tcW w:w="5000" w:type="pct"/>
            <w:gridSpan w:val="7"/>
            <w:shd w:val="clear" w:color="auto" w:fill="auto"/>
          </w:tcPr>
          <w:p w:rsidR="000B0AC3" w:rsidRPr="001D7AAE" w:rsidP="000B0AC3" w14:paraId="678EAF11" w14:textId="02B2EC18">
            <w:pPr>
              <w:keepNext/>
              <w:jc w:val="center"/>
              <w:rPr>
                <w:sz w:val="20"/>
                <w:szCs w:val="20"/>
              </w:rPr>
            </w:pPr>
            <w:r>
              <w:rPr>
                <w:sz w:val="20"/>
                <w:szCs w:val="20"/>
              </w:rPr>
              <w:t>Medical Device Development Tools (MDDT)</w:t>
            </w:r>
          </w:p>
        </w:tc>
      </w:tr>
      <w:tr w14:paraId="59CD603A" w14:textId="77777777" w:rsidTr="000925D4">
        <w:tblPrEx>
          <w:tblW w:w="5019" w:type="pct"/>
          <w:jc w:val="center"/>
          <w:tblLook w:val="01E0"/>
        </w:tblPrEx>
        <w:trPr>
          <w:cantSplit/>
          <w:trHeight w:val="20"/>
          <w:jc w:val="center"/>
        </w:trPr>
        <w:tc>
          <w:tcPr>
            <w:tcW w:w="784" w:type="pct"/>
            <w:shd w:val="clear" w:color="auto" w:fill="auto"/>
          </w:tcPr>
          <w:p w:rsidR="000B0AC3" w:rsidRPr="001D7AAE" w:rsidP="0049239B" w14:paraId="1C2599DD" w14:textId="4243D39F">
            <w:pPr>
              <w:keepNext/>
              <w:rPr>
                <w:sz w:val="20"/>
                <w:szCs w:val="20"/>
              </w:rPr>
            </w:pPr>
            <w:r w:rsidRPr="000976AA">
              <w:rPr>
                <w:sz w:val="20"/>
                <w:szCs w:val="20"/>
              </w:rPr>
              <w:t xml:space="preserve">MDDT </w:t>
            </w:r>
            <w:r w:rsidR="00E76934">
              <w:rPr>
                <w:sz w:val="20"/>
                <w:szCs w:val="20"/>
              </w:rPr>
              <w:t>Submissions</w:t>
            </w:r>
          </w:p>
        </w:tc>
        <w:tc>
          <w:tcPr>
            <w:tcW w:w="938" w:type="pct"/>
            <w:shd w:val="clear" w:color="auto" w:fill="auto"/>
          </w:tcPr>
          <w:p w:rsidR="000B0AC3" w:rsidRPr="001D7AAE" w:rsidP="0049239B" w14:paraId="698C6A6F" w14:textId="112B02A8">
            <w:pPr>
              <w:keepNext/>
              <w:jc w:val="right"/>
              <w:rPr>
                <w:sz w:val="20"/>
                <w:szCs w:val="20"/>
              </w:rPr>
            </w:pPr>
            <w:r>
              <w:rPr>
                <w:sz w:val="20"/>
                <w:szCs w:val="20"/>
              </w:rPr>
              <w:t>50</w:t>
            </w:r>
          </w:p>
        </w:tc>
        <w:tc>
          <w:tcPr>
            <w:tcW w:w="608" w:type="pct"/>
            <w:shd w:val="clear" w:color="auto" w:fill="auto"/>
          </w:tcPr>
          <w:p w:rsidR="000B0AC3" w:rsidRPr="001D7AAE" w:rsidP="0049239B" w14:paraId="4ADC092D" w14:textId="3A11A359">
            <w:pPr>
              <w:keepNext/>
              <w:jc w:val="right"/>
              <w:rPr>
                <w:sz w:val="20"/>
                <w:szCs w:val="20"/>
              </w:rPr>
            </w:pPr>
            <w:r>
              <w:rPr>
                <w:sz w:val="20"/>
                <w:szCs w:val="20"/>
              </w:rPr>
              <w:t>1</w:t>
            </w:r>
          </w:p>
        </w:tc>
        <w:tc>
          <w:tcPr>
            <w:tcW w:w="621" w:type="pct"/>
            <w:shd w:val="clear" w:color="auto" w:fill="auto"/>
          </w:tcPr>
          <w:p w:rsidR="000B0AC3" w:rsidRPr="001D7AAE" w:rsidP="0049239B" w14:paraId="7658EFEA" w14:textId="122BA60C">
            <w:pPr>
              <w:keepNext/>
              <w:jc w:val="right"/>
              <w:rPr>
                <w:sz w:val="20"/>
                <w:szCs w:val="20"/>
              </w:rPr>
            </w:pPr>
            <w:r>
              <w:rPr>
                <w:sz w:val="20"/>
                <w:szCs w:val="20"/>
              </w:rPr>
              <w:t>50</w:t>
            </w:r>
          </w:p>
        </w:tc>
        <w:tc>
          <w:tcPr>
            <w:tcW w:w="1200" w:type="pct"/>
            <w:shd w:val="clear" w:color="auto" w:fill="auto"/>
          </w:tcPr>
          <w:p w:rsidR="000B0AC3" w:rsidRPr="001D7AAE" w:rsidP="0049239B" w14:paraId="4CF8EBC7" w14:textId="729E4E50">
            <w:pPr>
              <w:keepNext/>
              <w:jc w:val="right"/>
              <w:rPr>
                <w:sz w:val="20"/>
                <w:szCs w:val="20"/>
              </w:rPr>
            </w:pPr>
            <w:r>
              <w:rPr>
                <w:sz w:val="20"/>
                <w:szCs w:val="20"/>
              </w:rPr>
              <w:t>137</w:t>
            </w:r>
          </w:p>
        </w:tc>
        <w:tc>
          <w:tcPr>
            <w:tcW w:w="849" w:type="pct"/>
            <w:gridSpan w:val="2"/>
            <w:shd w:val="clear" w:color="auto" w:fill="auto"/>
          </w:tcPr>
          <w:p w:rsidR="000B0AC3" w:rsidRPr="001D7AAE" w:rsidP="0049239B" w14:paraId="047A103B" w14:textId="23AC6729">
            <w:pPr>
              <w:keepNext/>
              <w:jc w:val="right"/>
              <w:rPr>
                <w:sz w:val="20"/>
                <w:szCs w:val="20"/>
              </w:rPr>
            </w:pPr>
            <w:r>
              <w:rPr>
                <w:sz w:val="20"/>
                <w:szCs w:val="20"/>
              </w:rPr>
              <w:t>6,850</w:t>
            </w:r>
          </w:p>
        </w:tc>
      </w:tr>
      <w:tr w14:paraId="39F338A5" w14:textId="77777777" w:rsidTr="000925D4">
        <w:tblPrEx>
          <w:tblW w:w="5019" w:type="pct"/>
          <w:jc w:val="center"/>
          <w:tblLook w:val="01E0"/>
        </w:tblPrEx>
        <w:trPr>
          <w:cantSplit/>
          <w:trHeight w:val="20"/>
          <w:jc w:val="center"/>
        </w:trPr>
        <w:tc>
          <w:tcPr>
            <w:tcW w:w="784" w:type="pct"/>
            <w:shd w:val="clear" w:color="auto" w:fill="auto"/>
          </w:tcPr>
          <w:p w:rsidR="00C63A74" w:rsidRPr="001D7AAE" w:rsidP="0049239B" w14:paraId="7A913FE8" w14:textId="77777777">
            <w:pPr>
              <w:keepNext/>
              <w:rPr>
                <w:sz w:val="20"/>
                <w:szCs w:val="20"/>
              </w:rPr>
            </w:pPr>
            <w:r w:rsidRPr="001D7AAE">
              <w:rPr>
                <w:sz w:val="20"/>
                <w:szCs w:val="20"/>
              </w:rPr>
              <w:t>Total</w:t>
            </w:r>
          </w:p>
        </w:tc>
        <w:tc>
          <w:tcPr>
            <w:tcW w:w="938" w:type="pct"/>
            <w:shd w:val="clear" w:color="auto" w:fill="auto"/>
          </w:tcPr>
          <w:p w:rsidR="00C63A74" w:rsidRPr="001D7AAE" w:rsidP="0049239B" w14:paraId="314DAC35" w14:textId="77777777">
            <w:pPr>
              <w:keepNext/>
              <w:jc w:val="right"/>
              <w:rPr>
                <w:sz w:val="20"/>
                <w:szCs w:val="20"/>
              </w:rPr>
            </w:pPr>
          </w:p>
        </w:tc>
        <w:tc>
          <w:tcPr>
            <w:tcW w:w="608" w:type="pct"/>
            <w:shd w:val="clear" w:color="auto" w:fill="auto"/>
          </w:tcPr>
          <w:p w:rsidR="00C63A74" w:rsidRPr="001D7AAE" w:rsidP="0049239B" w14:paraId="0BD429B9" w14:textId="77777777">
            <w:pPr>
              <w:keepNext/>
              <w:jc w:val="right"/>
              <w:rPr>
                <w:sz w:val="20"/>
                <w:szCs w:val="20"/>
              </w:rPr>
            </w:pPr>
          </w:p>
        </w:tc>
        <w:tc>
          <w:tcPr>
            <w:tcW w:w="621" w:type="pct"/>
            <w:shd w:val="clear" w:color="auto" w:fill="auto"/>
          </w:tcPr>
          <w:p w:rsidR="00C63A74" w:rsidRPr="001D7AAE" w:rsidP="0049239B" w14:paraId="65516816" w14:textId="77777777">
            <w:pPr>
              <w:keepNext/>
              <w:jc w:val="right"/>
              <w:rPr>
                <w:sz w:val="20"/>
                <w:szCs w:val="20"/>
              </w:rPr>
            </w:pPr>
          </w:p>
        </w:tc>
        <w:tc>
          <w:tcPr>
            <w:tcW w:w="1200" w:type="pct"/>
            <w:shd w:val="clear" w:color="auto" w:fill="auto"/>
          </w:tcPr>
          <w:p w:rsidR="00C63A74" w:rsidRPr="001D7AAE" w:rsidP="0049239B" w14:paraId="7F12F193" w14:textId="77777777">
            <w:pPr>
              <w:keepNext/>
              <w:jc w:val="right"/>
              <w:rPr>
                <w:sz w:val="20"/>
                <w:szCs w:val="20"/>
              </w:rPr>
            </w:pPr>
          </w:p>
        </w:tc>
        <w:tc>
          <w:tcPr>
            <w:tcW w:w="849" w:type="pct"/>
            <w:gridSpan w:val="2"/>
            <w:shd w:val="clear" w:color="auto" w:fill="auto"/>
          </w:tcPr>
          <w:p w:rsidR="00C63A74" w:rsidRPr="001D7AAE" w:rsidP="0049239B" w14:paraId="14CA8F96" w14:textId="37A91305">
            <w:pPr>
              <w:keepNext/>
              <w:jc w:val="right"/>
              <w:rPr>
                <w:sz w:val="20"/>
                <w:szCs w:val="20"/>
              </w:rPr>
            </w:pPr>
            <w:r>
              <w:rPr>
                <w:sz w:val="20"/>
                <w:szCs w:val="20"/>
              </w:rPr>
              <w:t>864,4</w:t>
            </w:r>
            <w:r w:rsidR="00716D9C">
              <w:rPr>
                <w:sz w:val="20"/>
                <w:szCs w:val="20"/>
              </w:rPr>
              <w:t>18</w:t>
            </w:r>
          </w:p>
        </w:tc>
      </w:tr>
      <w:tr w14:paraId="65033D0A" w14:textId="77777777" w:rsidTr="000925D4">
        <w:tblPrEx>
          <w:tblW w:w="5019" w:type="pct"/>
          <w:jc w:val="center"/>
          <w:tblLook w:val="01E0"/>
        </w:tblPrEx>
        <w:trPr>
          <w:cantSplit/>
          <w:trHeight w:val="20"/>
          <w:jc w:val="center"/>
        </w:trPr>
        <w:tc>
          <w:tcPr>
            <w:tcW w:w="5000" w:type="pct"/>
            <w:gridSpan w:val="7"/>
            <w:tcBorders>
              <w:left w:val="nil"/>
              <w:bottom w:val="nil"/>
              <w:right w:val="nil"/>
            </w:tcBorders>
            <w:shd w:val="clear" w:color="auto" w:fill="auto"/>
          </w:tcPr>
          <w:p w:rsidR="00C63A74" w:rsidP="0049239B" w14:paraId="1DBB1ACE" w14:textId="77777777">
            <w:pPr>
              <w:keepNext/>
              <w:rPr>
                <w:sz w:val="18"/>
                <w:szCs w:val="18"/>
              </w:rPr>
            </w:pPr>
            <w:r w:rsidRPr="00897A39">
              <w:rPr>
                <w:sz w:val="18"/>
                <w:szCs w:val="18"/>
                <w:vertAlign w:val="superscript"/>
              </w:rPr>
              <w:t>1</w:t>
            </w:r>
            <w:r w:rsidRPr="00897A39">
              <w:rPr>
                <w:sz w:val="18"/>
                <w:szCs w:val="18"/>
              </w:rPr>
              <w:t xml:space="preserve"> Numbers are rounded.</w:t>
            </w:r>
          </w:p>
          <w:p w:rsidR="008B2F45" w:rsidRPr="00897A39" w:rsidP="0049239B" w14:paraId="42D0F2E6" w14:textId="77777777">
            <w:pPr>
              <w:keepNext/>
              <w:rPr>
                <w:sz w:val="18"/>
                <w:szCs w:val="18"/>
              </w:rPr>
            </w:pPr>
          </w:p>
        </w:tc>
      </w:tr>
    </w:tbl>
    <w:p w:rsidR="008B2F45" w:rsidP="008B2F45" w14:paraId="3F16B904" w14:textId="3881ABA2">
      <w:pPr>
        <w:spacing w:after="200"/>
      </w:pPr>
      <w:r w:rsidRPr="00212000">
        <w:t xml:space="preserve">As detailed in the </w:t>
      </w:r>
      <w:r w:rsidR="000925D4">
        <w:t xml:space="preserve">Q-Submission </w:t>
      </w:r>
      <w:r w:rsidRPr="00212000">
        <w:t xml:space="preserve">guidance, respondents may request interactions with FDA </w:t>
      </w:r>
      <w:r>
        <w:t xml:space="preserve">through </w:t>
      </w:r>
      <w:r w:rsidRPr="00212000">
        <w:t>several different types of Q-Submissions</w:t>
      </w:r>
      <w:r>
        <w:t>. Our CDRH reports that</w:t>
      </w:r>
      <w:r w:rsidRPr="00C464BE">
        <w:t xml:space="preserve"> </w:t>
      </w:r>
      <w:r>
        <w:t>6,600</w:t>
      </w:r>
      <w:r w:rsidRPr="00C464BE">
        <w:t xml:space="preserve"> </w:t>
      </w:r>
      <w:r>
        <w:t>Q-S</w:t>
      </w:r>
      <w:r w:rsidRPr="00C464BE">
        <w:t>ubmissions are expected each year</w:t>
      </w:r>
      <w:r>
        <w:t xml:space="preserve">. We assume </w:t>
      </w:r>
      <w:r w:rsidRPr="00C464BE">
        <w:t xml:space="preserve">an average of 137 hours is required to prepare a </w:t>
      </w:r>
      <w:r>
        <w:t>Q</w:t>
      </w:r>
      <w:r w:rsidRPr="00C464BE">
        <w:t>-</w:t>
      </w:r>
      <w:r>
        <w:t>S</w:t>
      </w:r>
      <w:r w:rsidRPr="00C464BE">
        <w:t>ubmission</w:t>
      </w:r>
      <w:r w:rsidR="000925D4">
        <w:t xml:space="preserve"> or </w:t>
      </w:r>
      <w:r>
        <w:t xml:space="preserve">69 hours for Q-submissions </w:t>
      </w:r>
      <w:r w:rsidR="000925D4">
        <w:t>prepared using</w:t>
      </w:r>
      <w:r>
        <w:t xml:space="preserve"> the electronic Submission Template and Resource (</w:t>
      </w:r>
      <w:r>
        <w:t>eSTAR</w:t>
      </w:r>
      <w:r>
        <w:t>). P</w:t>
      </w:r>
      <w:r w:rsidRPr="00C464BE">
        <w:t xml:space="preserve">reparation </w:t>
      </w:r>
      <w:r>
        <w:t>time also varies due to</w:t>
      </w:r>
      <w:r w:rsidRPr="00C464BE">
        <w:t xml:space="preserve"> </w:t>
      </w:r>
      <w:r>
        <w:t>the broad scope of the Q-Submission Program and</w:t>
      </w:r>
      <w:r w:rsidRPr="00C464BE">
        <w:t xml:space="preserve"> </w:t>
      </w:r>
      <w:r>
        <w:t>range of</w:t>
      </w:r>
      <w:r w:rsidRPr="00C464BE">
        <w:t xml:space="preserve"> complexit</w:t>
      </w:r>
      <w:r>
        <w:t>y</w:t>
      </w:r>
      <w:r w:rsidRPr="00C464BE">
        <w:t xml:space="preserve"> of medical device</w:t>
      </w:r>
      <w:r>
        <w:t>s. W</w:t>
      </w:r>
      <w:r w:rsidRPr="00C92A58">
        <w:t xml:space="preserve">e </w:t>
      </w:r>
      <w:r>
        <w:t xml:space="preserve">include in our </w:t>
      </w:r>
      <w:r w:rsidRPr="00C92A58">
        <w:t xml:space="preserve">estimate a setup burden of 5 minutes for new </w:t>
      </w:r>
      <w:r w:rsidRPr="00C92A58">
        <w:t>eSTAR</w:t>
      </w:r>
      <w:r w:rsidRPr="00C92A58">
        <w:t xml:space="preserve"> users</w:t>
      </w:r>
      <w:r>
        <w:t xml:space="preserve">. </w:t>
      </w:r>
      <w:r w:rsidRPr="00C92A58">
        <w:t xml:space="preserve">Respondents will only need to set up </w:t>
      </w:r>
      <w:r w:rsidRPr="00C92A58">
        <w:t>eSTAR</w:t>
      </w:r>
      <w:r w:rsidRPr="00C92A58">
        <w:t xml:space="preserve"> the first time they use it.</w:t>
      </w:r>
      <w:r>
        <w:t xml:space="preserve"> We note that because some respondents may have already undergone </w:t>
      </w:r>
      <w:r>
        <w:t>eSTAR</w:t>
      </w:r>
      <w:r>
        <w:t xml:space="preserve"> set up for other types of submission, e.g., premarket notification, fewer respondents may need to undergo </w:t>
      </w:r>
      <w:r>
        <w:t>eSTAR</w:t>
      </w:r>
      <w:r>
        <w:t xml:space="preserve"> setup than estimated. We expect preparation and submission of the EPFP form to take no more than 2 hours.</w:t>
      </w:r>
    </w:p>
    <w:p w:rsidR="005A0621" w:rsidRPr="005A0621" w:rsidP="008B2F45" w14:paraId="0F379763" w14:textId="3ABCF1B2">
      <w:pPr>
        <w:spacing w:after="200"/>
      </w:pPr>
      <w:r w:rsidRPr="1DE11919">
        <w:rPr>
          <w:rStyle w:val="normaltextrun"/>
          <w:color w:val="000000"/>
          <w:shd w:val="clear" w:color="auto" w:fill="FFFFFF"/>
        </w:rPr>
        <w:t xml:space="preserve">As discussed above, recent updates to the Q-Submission guidance moved the instructions for information collection related to requests </w:t>
      </w:r>
      <w:r w:rsidRPr="1DE11919">
        <w:t>for feedback regarding development of MDDTs to the MDDT guidance. MDDT proposal and qualification packages were previously tracked as Informational Meeting Q-Submissions. The MDDT submission instructions and previously approved burden estimate are otherwise unchanged, but the MDDT guidance is now the collection instrument associated with the existing MDDT burden. Accordingly, we have moved the burden for MDDT submissions to a distinct line item in the burden table to reflect the updated collection instrument.</w:t>
      </w:r>
      <w:r w:rsidRPr="1DE11919" w:rsidR="000925D4">
        <w:t xml:space="preserve"> We expect 50 MDDT submissions each year. We assume an average of 137 hours is required to prepare an MDDT submission.</w:t>
      </w:r>
      <w:r w:rsidR="000925D4">
        <w:t xml:space="preserve"> </w:t>
      </w:r>
    </w:p>
    <w:p w:rsidR="006D009A" w:rsidRPr="005C71CA" w:rsidP="006D009A" w14:paraId="40F37812" w14:textId="23FB08F1">
      <w:pPr>
        <w:spacing w:after="200"/>
        <w:ind w:left="360"/>
        <w:rPr>
          <w:rFonts w:eastAsia="Calibri"/>
        </w:rPr>
      </w:pPr>
      <w:r w:rsidRPr="005C71CA">
        <w:rPr>
          <w:rFonts w:eastAsia="Calibri"/>
        </w:rPr>
        <w:t>12b</w:t>
      </w:r>
      <w:r w:rsidR="001057B2">
        <w:rPr>
          <w:rFonts w:eastAsia="Calibri"/>
        </w:rPr>
        <w:t xml:space="preserve">. </w:t>
      </w:r>
      <w:r w:rsidRPr="005C71CA">
        <w:rPr>
          <w:rFonts w:eastAsia="Calibri"/>
        </w:rPr>
        <w:t>Annualized Cost Burden Estimate</w:t>
      </w:r>
    </w:p>
    <w:p w:rsidR="00FE0F32" w:rsidP="00FE0F32" w14:paraId="29D0B854" w14:textId="77777777">
      <w:pPr>
        <w:pStyle w:val="BodyText2"/>
        <w:keepNext/>
        <w:rPr>
          <w:szCs w:val="24"/>
        </w:rPr>
      </w:pPr>
      <w:r>
        <w:rPr>
          <w:lang w:val="en"/>
        </w:rPr>
        <w:t xml:space="preserve">We assume the activities identified in 12a will be completed by Lawyers (occupation code 23-1011) (approximately 50% of tasks) and Paralegals (occupation code 23-2011) (approximately 50% of tasks). To estimate costs to respondents, we used mean wage rates from the </w:t>
      </w:r>
      <w:r>
        <w:t xml:space="preserve">U.S. Department of Labor’s Bureau of Labor Statistics National Occupational Employment and Wage </w:t>
      </w:r>
      <w:r>
        <w:t xml:space="preserve">Estimates (available at </w:t>
      </w:r>
      <w:hyperlink r:id="rId16" w:history="1">
        <w:r>
          <w:rPr>
            <w:rStyle w:val="Hyperlink"/>
          </w:rPr>
          <w:t>http://www.bls.gov/oes/current/o</w:t>
        </w:r>
        <w:r>
          <w:rPr>
            <w:rStyle w:val="Hyperlink"/>
          </w:rPr>
          <w:t>e</w:t>
        </w:r>
        <w:r>
          <w:rPr>
            <w:rStyle w:val="Hyperlink"/>
          </w:rPr>
          <w:t>s_nat.htm</w:t>
        </w:r>
      </w:hyperlink>
      <w:r>
        <w:t xml:space="preserve">) (May 2023). We doubled these figures to account for benefits and overhead, and calculated the costs as follows: </w:t>
      </w:r>
    </w:p>
    <w:p w:rsidR="00FE0F32" w:rsidP="00FE0F32" w14:paraId="473C2C7B" w14:textId="77777777">
      <w:pPr>
        <w:pStyle w:val="BodyText2"/>
        <w:keepNext/>
        <w:ind w:left="720"/>
      </w:pPr>
    </w:p>
    <w:p w:rsidR="00FE0F32" w:rsidP="00FE0F32" w14:paraId="6A834CD6" w14:textId="77777777">
      <w:pPr>
        <w:pStyle w:val="BodyText2"/>
        <w:keepNext/>
      </w:pPr>
      <w:r>
        <w:rPr>
          <w:sz w:val="20"/>
        </w:rPr>
        <w:t xml:space="preserve">* Bureau of Labor Statistics. National Occupational Employment and Wage Estimates. Occupational Employment Statistics (occupation code 23-1011) </w:t>
      </w:r>
      <w:hyperlink r:id="rId17" w:history="1">
        <w:r>
          <w:rPr>
            <w:rStyle w:val="Hyperlink"/>
          </w:rPr>
          <w:t>May 2023 National Occupational Employment and Wage Estimates (bls.gov)</w:t>
        </w:r>
      </w:hyperlink>
      <w:r>
        <w:rPr>
          <w:sz w:val="20"/>
        </w:rPr>
        <w:t>.</w:t>
      </w:r>
      <w:r>
        <w:t xml:space="preserve"> </w:t>
      </w:r>
    </w:p>
    <w:p w:rsidR="00FE0F32" w:rsidP="00FE0F32" w14:paraId="4A27ABFF" w14:textId="77777777">
      <w:pPr>
        <w:pStyle w:val="BodyText2"/>
        <w:keepNext/>
        <w:ind w:left="720"/>
      </w:pPr>
    </w:p>
    <w:tbl>
      <w:tblPr>
        <w:tblW w:w="0" w:type="auto"/>
        <w:tblInd w:w="828" w:type="dxa"/>
        <w:tblCellMar>
          <w:left w:w="0" w:type="dxa"/>
          <w:right w:w="0" w:type="dxa"/>
        </w:tblCellMar>
        <w:tblLook w:val="04A0"/>
      </w:tblPr>
      <w:tblGrid>
        <w:gridCol w:w="2160"/>
        <w:gridCol w:w="1800"/>
        <w:gridCol w:w="2394"/>
        <w:gridCol w:w="1926"/>
      </w:tblGrid>
      <w:tr w14:paraId="6835545D" w14:textId="77777777" w:rsidTr="00FE0F32">
        <w:tblPrEx>
          <w:tblW w:w="0" w:type="auto"/>
          <w:tblInd w:w="828" w:type="dxa"/>
          <w:tblCellMar>
            <w:left w:w="0" w:type="dxa"/>
            <w:right w:w="0" w:type="dxa"/>
          </w:tblCellMar>
          <w:tblLook w:val="04A0"/>
        </w:tblPrEx>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0F32" w14:paraId="6EFE31F2" w14:textId="77777777">
            <w:r>
              <w:t>Type of Respondent</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F32" w14:paraId="28CF08BA" w14:textId="77777777">
            <w:r>
              <w:t>Total Burden Hours</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F32" w14:paraId="298E8C22" w14:textId="77777777">
            <w:r>
              <w:t>Hourly Wage Rate</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0F32" w14:paraId="5CA2AF8B" w14:textId="77777777">
            <w:r>
              <w:t>Total Respondent Costs</w:t>
            </w:r>
          </w:p>
        </w:tc>
      </w:tr>
      <w:tr w14:paraId="068EFBDD" w14:textId="77777777" w:rsidTr="00FE0F32">
        <w:tblPrEx>
          <w:tblW w:w="0" w:type="auto"/>
          <w:tblInd w:w="828" w:type="dxa"/>
          <w:tblCellMar>
            <w:left w:w="0" w:type="dxa"/>
            <w:right w:w="0" w:type="dxa"/>
          </w:tblCellMar>
          <w:tblLook w:val="04A0"/>
        </w:tblPrEx>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F32" w:rsidRPr="00716D9C" w14:paraId="60F27110" w14:textId="77777777">
            <w:r w:rsidRPr="00716D9C">
              <w:t xml:space="preserve">Lawyer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E0F32" w:rsidRPr="00716D9C" w14:paraId="4FE867A0" w14:textId="55DB0207">
            <w:r w:rsidRPr="00716D9C">
              <w:t>432,209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FE0F32" w:rsidRPr="00716D9C" w14:paraId="21DC45C9" w14:textId="77777777">
            <w:r w:rsidRPr="00716D9C">
              <w:t>$169.68</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716D9C" w:rsidRPr="00716D9C" w:rsidP="00716D9C" w14:paraId="5C284461" w14:textId="4D172649">
            <w:pPr>
              <w:rPr>
                <w:color w:val="000000"/>
              </w:rPr>
            </w:pPr>
            <w:r w:rsidRPr="00716D9C">
              <w:t>$</w:t>
            </w:r>
            <w:r w:rsidRPr="00716D9C">
              <w:rPr>
                <w:color w:val="000000"/>
              </w:rPr>
              <w:t>73</w:t>
            </w:r>
            <w:r w:rsidRPr="00716D9C">
              <w:rPr>
                <w:color w:val="000000"/>
              </w:rPr>
              <w:t>,</w:t>
            </w:r>
            <w:r w:rsidRPr="00716D9C">
              <w:rPr>
                <w:color w:val="000000"/>
              </w:rPr>
              <w:t>337</w:t>
            </w:r>
            <w:r w:rsidRPr="00716D9C">
              <w:rPr>
                <w:color w:val="000000"/>
              </w:rPr>
              <w:t>,</w:t>
            </w:r>
            <w:r w:rsidRPr="00716D9C">
              <w:rPr>
                <w:color w:val="000000"/>
              </w:rPr>
              <w:t>223.12</w:t>
            </w:r>
          </w:p>
          <w:p w:rsidR="00FE0F32" w:rsidRPr="00716D9C" w14:paraId="1A6DEFA3" w14:textId="35070CA7"/>
        </w:tc>
      </w:tr>
      <w:tr w14:paraId="518208AB" w14:textId="77777777" w:rsidTr="00FE0F32">
        <w:tblPrEx>
          <w:tblW w:w="0" w:type="auto"/>
          <w:tblInd w:w="828" w:type="dxa"/>
          <w:tblCellMar>
            <w:left w:w="0" w:type="dxa"/>
            <w:right w:w="0" w:type="dxa"/>
          </w:tblCellMar>
          <w:tblLook w:val="04A0"/>
        </w:tblPrEx>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F32" w:rsidRPr="00716D9C" w14:paraId="3660F0E1" w14:textId="77777777">
            <w:r w:rsidRPr="00716D9C">
              <w:t>Paralegal</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E0F32" w:rsidRPr="00716D9C" w14:paraId="4005A5EE" w14:textId="0CC1539A">
            <w:r w:rsidRPr="00716D9C">
              <w:t>432,209</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FE0F32" w:rsidRPr="00716D9C" w14:paraId="33BB6C29" w14:textId="77777777">
            <w:r w:rsidRPr="00716D9C">
              <w:t>$63.90</w:t>
            </w: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716D9C" w:rsidRPr="00716D9C" w:rsidP="00716D9C" w14:paraId="37375681" w14:textId="666C673D">
            <w:pPr>
              <w:rPr>
                <w:color w:val="000000"/>
              </w:rPr>
            </w:pPr>
            <w:r w:rsidRPr="00716D9C">
              <w:t>$</w:t>
            </w:r>
            <w:r w:rsidRPr="00716D9C">
              <w:rPr>
                <w:color w:val="000000"/>
              </w:rPr>
              <w:t>27</w:t>
            </w:r>
            <w:r>
              <w:rPr>
                <w:color w:val="000000"/>
              </w:rPr>
              <w:t>,</w:t>
            </w:r>
            <w:r w:rsidRPr="00716D9C">
              <w:rPr>
                <w:color w:val="000000"/>
              </w:rPr>
              <w:t>618</w:t>
            </w:r>
            <w:r>
              <w:rPr>
                <w:color w:val="000000"/>
              </w:rPr>
              <w:t>,</w:t>
            </w:r>
            <w:r w:rsidRPr="00716D9C">
              <w:rPr>
                <w:color w:val="000000"/>
              </w:rPr>
              <w:t>155.1</w:t>
            </w:r>
            <w:r>
              <w:rPr>
                <w:color w:val="000000"/>
              </w:rPr>
              <w:t>0</w:t>
            </w:r>
          </w:p>
          <w:p w:rsidR="00FE0F32" w:rsidRPr="00716D9C" w14:paraId="38312C6C" w14:textId="10C98954"/>
        </w:tc>
      </w:tr>
      <w:tr w14:paraId="278B271B" w14:textId="77777777" w:rsidTr="00FE0F32">
        <w:tblPrEx>
          <w:tblW w:w="0" w:type="auto"/>
          <w:tblInd w:w="828" w:type="dxa"/>
          <w:tblCellMar>
            <w:left w:w="0" w:type="dxa"/>
            <w:right w:w="0" w:type="dxa"/>
          </w:tblCellMar>
          <w:tblLook w:val="04A0"/>
        </w:tblPrEx>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F32" w:rsidRPr="00716D9C" w14:paraId="0493755F" w14:textId="77777777">
            <w:r w:rsidRPr="00716D9C">
              <w:t>Total</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FE0F32" w:rsidRPr="00716D9C" w14:paraId="280A6A8C" w14:textId="77777777"/>
        </w:tc>
        <w:tc>
          <w:tcPr>
            <w:tcW w:w="2394" w:type="dxa"/>
            <w:tcBorders>
              <w:top w:val="nil"/>
              <w:left w:val="nil"/>
              <w:bottom w:val="single" w:sz="8" w:space="0" w:color="auto"/>
              <w:right w:val="single" w:sz="8" w:space="0" w:color="auto"/>
            </w:tcBorders>
            <w:tcMar>
              <w:top w:w="0" w:type="dxa"/>
              <w:left w:w="108" w:type="dxa"/>
              <w:bottom w:w="0" w:type="dxa"/>
              <w:right w:w="108" w:type="dxa"/>
            </w:tcMar>
          </w:tcPr>
          <w:p w:rsidR="00FE0F32" w:rsidRPr="00716D9C" w14:paraId="32A636B5" w14:textId="77777777"/>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rsidR="00FE0F32" w:rsidRPr="00716D9C" w:rsidP="00716D9C" w14:paraId="2D8D79EC" w14:textId="4924078D">
            <w:r w:rsidRPr="00716D9C">
              <w:t>$</w:t>
            </w:r>
            <w:r w:rsidRPr="00716D9C" w:rsidR="00716D9C">
              <w:rPr>
                <w:color w:val="000000"/>
              </w:rPr>
              <w:t>100</w:t>
            </w:r>
            <w:r w:rsidRPr="00716D9C" w:rsidR="00716D9C">
              <w:rPr>
                <w:color w:val="000000"/>
              </w:rPr>
              <w:t>,</w:t>
            </w:r>
            <w:r w:rsidRPr="00716D9C" w:rsidR="00716D9C">
              <w:rPr>
                <w:color w:val="000000"/>
              </w:rPr>
              <w:t>955</w:t>
            </w:r>
            <w:r w:rsidRPr="00716D9C" w:rsidR="00716D9C">
              <w:rPr>
                <w:color w:val="000000"/>
              </w:rPr>
              <w:t>,</w:t>
            </w:r>
            <w:r w:rsidRPr="00716D9C" w:rsidR="00716D9C">
              <w:rPr>
                <w:color w:val="000000"/>
              </w:rPr>
              <w:t>378.2</w:t>
            </w:r>
            <w:r w:rsidR="00716D9C">
              <w:rPr>
                <w:color w:val="000000"/>
              </w:rPr>
              <w:t>0</w:t>
            </w:r>
          </w:p>
        </w:tc>
      </w:tr>
    </w:tbl>
    <w:p w:rsidR="00FE0F32" w:rsidP="00FE0F32" w14:paraId="2067FE84" w14:textId="77777777">
      <w:pPr>
        <w:ind w:left="720"/>
        <w:rPr>
          <w:rFonts w:eastAsiaTheme="minorHAnsi"/>
          <w14:ligatures w14:val="standardContextual"/>
        </w:rPr>
      </w:pPr>
    </w:p>
    <w:p w:rsidR="00FE0F32" w:rsidP="006C3537" w14:paraId="509BE146" w14:textId="516476E0">
      <w:pPr>
        <w:rPr>
          <w:rFonts w:ascii="Calibri" w:hAnsi="Calibri" w:cs="Calibri"/>
          <w:sz w:val="22"/>
          <w:szCs w:val="22"/>
        </w:rPr>
      </w:pPr>
      <w:r>
        <w:t>We therefore estimate a total annualized cost burden of $</w:t>
      </w:r>
      <w:r w:rsidR="006C3537">
        <w:t>100,</w:t>
      </w:r>
      <w:r w:rsidR="001569AC">
        <w:t>9</w:t>
      </w:r>
      <w:r w:rsidR="00716D9C">
        <w:t>55,378.20</w:t>
      </w:r>
      <w:r>
        <w:t>.</w:t>
      </w:r>
    </w:p>
    <w:p w:rsidR="00357C8A" w:rsidRPr="00357C8A" w:rsidP="00357C8A" w14:paraId="2FC26242" w14:textId="77777777">
      <w:pPr>
        <w:rPr>
          <w:rFonts w:eastAsia="Calibri"/>
        </w:rPr>
      </w:pPr>
    </w:p>
    <w:p w:rsidR="00357C8A" w:rsidRPr="00357C8A" w:rsidP="006705EA" w14:paraId="4F40405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105D80" w:rsidP="0022425B" w14:paraId="6EF20713" w14:textId="77777777">
      <w:pPr>
        <w:spacing w:after="200"/>
        <w:rPr>
          <w:rFonts w:eastAsia="Calibri"/>
        </w:rPr>
      </w:pPr>
      <w:r w:rsidRPr="00105D80">
        <w:rPr>
          <w:rFonts w:eastAsia="Calibri"/>
        </w:rPr>
        <w:t xml:space="preserve">There </w:t>
      </w:r>
      <w:r w:rsidRPr="00105D80">
        <w:rPr>
          <w:rFonts w:eastAsia="Calibri"/>
        </w:rPr>
        <w:t>are</w:t>
      </w:r>
      <w:r w:rsidRPr="00105D80">
        <w:rPr>
          <w:rFonts w:eastAsia="Calibri"/>
        </w:rPr>
        <w:t xml:space="preserve"> no capital or operating and maintenance costs associated with the information collection.</w:t>
      </w:r>
    </w:p>
    <w:p w:rsidR="00357C8A" w:rsidRPr="00357C8A" w:rsidP="006705EA" w14:paraId="5606553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80F4F" w:rsidRPr="00E710E4" w:rsidP="00380F4F" w14:paraId="6D9BE0CD" w14:textId="753BCACD">
      <w:pPr>
        <w:tabs>
          <w:tab w:val="left" w:pos="-720"/>
        </w:tabs>
        <w:suppressAutoHyphens/>
        <w:rPr>
          <w:rStyle w:val="normaltextrun"/>
          <w:b/>
          <w:bCs/>
        </w:rPr>
      </w:pPr>
      <w:r>
        <w:t xml:space="preserve">We </w:t>
      </w:r>
      <w:r w:rsidRPr="00D228CC">
        <w:t xml:space="preserve">estimate </w:t>
      </w:r>
      <w:r w:rsidR="00B0260E">
        <w:t xml:space="preserve">an average </w:t>
      </w:r>
      <w:r w:rsidR="00F61D65">
        <w:t xml:space="preserve">allocation </w:t>
      </w:r>
      <w:r w:rsidR="00B0260E">
        <w:t xml:space="preserve">of </w:t>
      </w:r>
      <w:r w:rsidR="00543D65">
        <w:t>90</w:t>
      </w:r>
      <w:r w:rsidRPr="00D228CC">
        <w:t xml:space="preserve"> full time equivalent (FTE)</w:t>
      </w:r>
      <w:r>
        <w:t xml:space="preserve"> employees, comprised </w:t>
      </w:r>
      <w:r w:rsidRPr="00D228CC">
        <w:t>of medical officers, dental officers, scientific, and engineering professionals and support staff</w:t>
      </w:r>
      <w:r>
        <w:t>,</w:t>
      </w:r>
      <w:r w:rsidRPr="00D228CC">
        <w:t xml:space="preserve"> to </w:t>
      </w:r>
      <w:r w:rsidR="00543D65">
        <w:t>support this information collection</w:t>
      </w:r>
      <w:r w:rsidR="001057B2">
        <w:t xml:space="preserve">. </w:t>
      </w:r>
      <w:r w:rsidRPr="0017125B" w:rsidR="0017125B">
        <w:t>Assuming a cost of $</w:t>
      </w:r>
      <w:r w:rsidR="00D51FFE">
        <w:rPr>
          <w:rStyle w:val="normaltextrun"/>
          <w:color w:val="000000"/>
          <w:shd w:val="clear" w:color="auto" w:fill="FFFFFF"/>
        </w:rPr>
        <w:t>362,272</w:t>
      </w:r>
      <w:r w:rsidR="0017125B">
        <w:rPr>
          <w:rStyle w:val="normaltextrun"/>
          <w:color w:val="000000"/>
          <w:shd w:val="clear" w:color="auto" w:fill="FFFFFF"/>
        </w:rPr>
        <w:t xml:space="preserve"> </w:t>
      </w:r>
      <w:r w:rsidRPr="0017125B" w:rsidR="0017125B">
        <w:t>per position (which is the agency’s projected average cost of a</w:t>
      </w:r>
      <w:r w:rsidR="00332F8E">
        <w:t xml:space="preserve"> CDRH</w:t>
      </w:r>
      <w:r w:rsidRPr="0017125B" w:rsidR="0017125B">
        <w:t xml:space="preserve"> FTE including benefits*), we estimate </w:t>
      </w:r>
      <w:r>
        <w:t xml:space="preserve">an annual cost to the Federal government of </w:t>
      </w:r>
      <w:r w:rsidRPr="0017125B" w:rsidR="0017125B">
        <w:t>$</w:t>
      </w:r>
      <w:r w:rsidR="00D51FFE">
        <w:rPr>
          <w:rStyle w:val="normaltextrun"/>
          <w:color w:val="000000"/>
          <w:shd w:val="clear" w:color="auto" w:fill="FFFFFF"/>
        </w:rPr>
        <w:t>32,604,480</w:t>
      </w:r>
      <w:r>
        <w:rPr>
          <w:rStyle w:val="normaltextrun"/>
          <w:color w:val="000000"/>
          <w:shd w:val="clear" w:color="auto" w:fill="FFFFFF"/>
        </w:rPr>
        <w:t xml:space="preserve"> ($</w:t>
      </w:r>
      <w:r w:rsidR="00D51FFE">
        <w:rPr>
          <w:rStyle w:val="normaltextrun"/>
          <w:color w:val="000000"/>
          <w:shd w:val="clear" w:color="auto" w:fill="FFFFFF"/>
        </w:rPr>
        <w:t xml:space="preserve">362,272 </w:t>
      </w:r>
      <w:r>
        <w:rPr>
          <w:rStyle w:val="normaltextrun"/>
          <w:color w:val="000000"/>
          <w:shd w:val="clear" w:color="auto" w:fill="FFFFFF"/>
        </w:rPr>
        <w:t xml:space="preserve">x </w:t>
      </w:r>
      <w:r w:rsidR="00D51FFE">
        <w:rPr>
          <w:rStyle w:val="normaltextrun"/>
          <w:color w:val="000000"/>
          <w:shd w:val="clear" w:color="auto" w:fill="FFFFFF"/>
        </w:rPr>
        <w:t>90</w:t>
      </w:r>
      <w:r>
        <w:rPr>
          <w:rStyle w:val="normaltextrun"/>
          <w:color w:val="000000"/>
          <w:shd w:val="clear" w:color="auto" w:fill="FFFFFF"/>
        </w:rPr>
        <w:t xml:space="preserve"> FTEs).</w:t>
      </w:r>
    </w:p>
    <w:p w:rsidR="00B15E18" w:rsidP="00380F4F" w14:paraId="6C8EF42D" w14:textId="77777777">
      <w:pPr>
        <w:tabs>
          <w:tab w:val="left" w:pos="-720"/>
        </w:tabs>
        <w:suppressAutoHyphens/>
        <w:rPr>
          <w:rStyle w:val="normaltextrun"/>
          <w:color w:val="000000"/>
          <w:shd w:val="clear" w:color="auto" w:fill="FFFFFF"/>
        </w:rPr>
      </w:pPr>
    </w:p>
    <w:p w:rsidR="00B15E18" w:rsidP="00B15E18" w14:paraId="6E4FB38C" w14:textId="5BFC4126">
      <w:pPr>
        <w:pStyle w:val="BodyText2"/>
        <w:rPr>
          <w:szCs w:val="22"/>
        </w:rPr>
      </w:pPr>
      <w:r w:rsidRPr="007F5F83">
        <w:rPr>
          <w:sz w:val="20"/>
        </w:rPr>
        <w:t>*Based on the Food and Drug Administration fully loaded FTE cost model (domestic) for FY 202</w:t>
      </w:r>
      <w:r w:rsidR="00D51FFE">
        <w:rPr>
          <w:sz w:val="20"/>
        </w:rPr>
        <w:t>4</w:t>
      </w:r>
      <w:r w:rsidRPr="007F5F83">
        <w:rPr>
          <w:sz w:val="20"/>
        </w:rPr>
        <w:t xml:space="preserve"> as provided by agency economists</w:t>
      </w:r>
      <w:r w:rsidRPr="007F5F83">
        <w:rPr>
          <w:szCs w:val="22"/>
        </w:rPr>
        <w:t>.</w:t>
      </w:r>
    </w:p>
    <w:p w:rsidR="00543D65" w:rsidP="00B15E18" w14:paraId="1B123F6A" w14:textId="77777777">
      <w:pPr>
        <w:pStyle w:val="BodyText2"/>
        <w:rPr>
          <w:szCs w:val="22"/>
        </w:rPr>
      </w:pPr>
    </w:p>
    <w:p w:rsidR="00357C8A" w:rsidP="006705EA" w14:paraId="3870EFC7" w14:textId="2FE8E0AA">
      <w:pPr>
        <w:numPr>
          <w:ilvl w:val="0"/>
          <w:numId w:val="6"/>
        </w:numPr>
        <w:spacing w:after="200" w:line="276" w:lineRule="auto"/>
        <w:rPr>
          <w:rFonts w:eastAsia="Calibri"/>
          <w:u w:val="single"/>
        </w:rPr>
      </w:pPr>
      <w:r w:rsidRPr="1DE11919">
        <w:rPr>
          <w:rFonts w:eastAsia="Calibri"/>
          <w:u w:val="single"/>
        </w:rPr>
        <w:t>Explanation for Program Changes or Adjustments</w:t>
      </w:r>
    </w:p>
    <w:p w:rsidR="12AE975E" w:rsidP="1DE11919" w14:paraId="1C0167D6" w14:textId="00F73679">
      <w:pPr>
        <w:spacing w:after="200"/>
        <w:rPr>
          <w:color w:val="000000" w:themeColor="text1"/>
        </w:rPr>
      </w:pPr>
      <w:r w:rsidRPr="1DE11919">
        <w:rPr>
          <w:color w:val="000000" w:themeColor="text1"/>
        </w:rPr>
        <w:t xml:space="preserve">Based on our experience with the Q-Submission and Early Payor Feedback Request Programs and Medical Device Development Tools, our estimated burden for the information collection reflects an overall increase of </w:t>
      </w:r>
      <w:r w:rsidR="00A57DAC">
        <w:rPr>
          <w:color w:val="000000" w:themeColor="text1"/>
        </w:rPr>
        <w:t>457,980</w:t>
      </w:r>
      <w:r w:rsidRPr="1DE11919">
        <w:rPr>
          <w:color w:val="000000" w:themeColor="text1"/>
        </w:rPr>
        <w:t xml:space="preserve"> hours and 4,535 responses annually. We attribute this adjustment to an increase in the number of respondents according to FDA data. </w:t>
      </w:r>
    </w:p>
    <w:p w:rsidR="00F65027" w:rsidP="00F65027" w14:paraId="50CBF198" w14:textId="117F1CB0">
      <w:pPr>
        <w:spacing w:after="200" w:line="276" w:lineRule="auto"/>
        <w:rPr>
          <w:color w:val="000000" w:themeColor="text1"/>
        </w:rPr>
      </w:pPr>
      <w:r w:rsidRPr="00FF52FE">
        <w:rPr>
          <w:color w:val="000000" w:themeColor="text1"/>
        </w:rPr>
        <w:t>The guidance entitled</w:t>
      </w:r>
      <w:r>
        <w:rPr>
          <w:color w:val="000000" w:themeColor="text1"/>
        </w:rPr>
        <w:t>,</w:t>
      </w:r>
      <w:r w:rsidRPr="00FF52FE">
        <w:rPr>
          <w:color w:val="000000" w:themeColor="text1"/>
        </w:rPr>
        <w:t xml:space="preserve"> </w:t>
      </w:r>
      <w:r>
        <w:rPr>
          <w:color w:val="000000" w:themeColor="text1"/>
        </w:rPr>
        <w:t>“</w:t>
      </w:r>
      <w:r w:rsidRPr="00FF52FE">
        <w:rPr>
          <w:i/>
          <w:iCs/>
          <w:color w:val="000000" w:themeColor="text1"/>
        </w:rPr>
        <w:t>Requests for Feedback and Meetings for Medical Device Submissions: The Q-Submission Program</w:t>
      </w:r>
      <w:r>
        <w:rPr>
          <w:i/>
          <w:iCs/>
          <w:color w:val="000000" w:themeColor="text1"/>
        </w:rPr>
        <w:t>”</w:t>
      </w:r>
      <w:r w:rsidRPr="00FF52FE">
        <w:rPr>
          <w:color w:val="000000" w:themeColor="text1"/>
        </w:rPr>
        <w:t xml:space="preserve"> (May 2025) was finalized and published in the </w:t>
      </w:r>
      <w:r w:rsidRPr="00FF52FE">
        <w:rPr>
          <w:i/>
          <w:iCs/>
          <w:color w:val="000000" w:themeColor="text1"/>
        </w:rPr>
        <w:t>Federal Register</w:t>
      </w:r>
      <w:r w:rsidRPr="00FF52FE">
        <w:rPr>
          <w:color w:val="000000" w:themeColor="text1"/>
        </w:rPr>
        <w:t xml:space="preserve"> on May 29, 2025 (90 FR 22737). The final guidance supersedes prior Q-Submission guidance and provides updated clarification to assist submitters in understanding available interaction mechanisms with FDA and in distinguishing between informal feedback and formal Pre-Submission requests. These changes reflect expanded examples and clarifications intended to improve transparency and program understanding and do not introduce new reporting, recordkeeping, or third-party disclosure requirements, nor do they alter the previously approved burden estimates under OMB Control No. 0910-0756.</w:t>
      </w:r>
    </w:p>
    <w:p w:rsidR="00F65027" w:rsidP="1DE11919" w14:paraId="714074C1" w14:textId="77777777">
      <w:pPr>
        <w:spacing w:after="200"/>
      </w:pPr>
    </w:p>
    <w:p w:rsidR="00F65027" w:rsidP="00F65027" w14:paraId="4831D241" w14:textId="77D7E482">
      <w:pPr>
        <w:spacing w:after="200" w:line="276" w:lineRule="auto"/>
        <w:rPr>
          <w:color w:val="000000" w:themeColor="text1"/>
        </w:rPr>
      </w:pPr>
      <w:r w:rsidRPr="00F65027">
        <w:rPr>
          <w:color w:val="000000" w:themeColor="text1"/>
        </w:rPr>
        <w:t xml:space="preserve">Submissions related to Medical Device Development Tools (MDDTs), which were previously tracked as “Informational Meeting” Q-Submissions under the Q-Submission Program guidance, are now tracked separately. Updates to the Q-Submission guidance issued in May 2025 moved the instructions for submitting requests for feedback regarding development of an MDDT out of the Q-Submission guidance and into a separate guidance entitled </w:t>
      </w:r>
      <w:r w:rsidRPr="00F65027">
        <w:rPr>
          <w:i/>
          <w:iCs/>
          <w:color w:val="000000" w:themeColor="text1"/>
        </w:rPr>
        <w:t>Qualification of Medical Device Development Tools</w:t>
      </w:r>
      <w:r w:rsidRPr="00F65027">
        <w:rPr>
          <w:color w:val="000000" w:themeColor="text1"/>
        </w:rPr>
        <w:t xml:space="preserve"> (July 2023).</w:t>
      </w:r>
      <w:r>
        <w:rPr>
          <w:color w:val="000000" w:themeColor="text1"/>
        </w:rPr>
        <w:t xml:space="preserve"> </w:t>
      </w:r>
      <w:r w:rsidRPr="00FF52FE">
        <w:rPr>
          <w:color w:val="000000" w:themeColor="text1"/>
        </w:rPr>
        <w:t>do not introduce new reporting, recordkeeping, or third-party disclosure requirements, nor do they alter the previously approved burden estimates</w:t>
      </w:r>
      <w:r w:rsidR="00DF7933">
        <w:rPr>
          <w:color w:val="000000" w:themeColor="text1"/>
        </w:rPr>
        <w:t>.</w:t>
      </w:r>
    </w:p>
    <w:tbl>
      <w:tblPr>
        <w:tblpPr w:leftFromText="180" w:rightFromText="180" w:bottomFromText="160" w:vertAnchor="page" w:horzAnchor="margin" w:tblpY="5178"/>
        <w:tblW w:w="9340" w:type="dxa"/>
        <w:tblCellMar>
          <w:left w:w="0" w:type="dxa"/>
          <w:right w:w="0" w:type="dxa"/>
        </w:tblCellMar>
        <w:tblLook w:val="04A0"/>
      </w:tblPr>
      <w:tblGrid>
        <w:gridCol w:w="2515"/>
        <w:gridCol w:w="1338"/>
        <w:gridCol w:w="1404"/>
        <w:gridCol w:w="1250"/>
        <w:gridCol w:w="2833"/>
      </w:tblGrid>
      <w:tr w14:paraId="63FF4096" w14:textId="77777777" w:rsidTr="00DF7933">
        <w:tblPrEx>
          <w:tblW w:w="9340" w:type="dxa"/>
          <w:tblCellMar>
            <w:left w:w="0" w:type="dxa"/>
            <w:right w:w="0" w:type="dxa"/>
          </w:tblCellMar>
          <w:tblLook w:val="04A0"/>
        </w:tblPrEx>
        <w:trPr>
          <w:cantSplit/>
          <w:trHeight w:val="4"/>
          <w:tblHeader/>
        </w:trPr>
        <w:tc>
          <w:tcPr>
            <w:tcW w:w="2515" w:type="dxa"/>
            <w:tcBorders>
              <w:top w:val="single" w:sz="8" w:space="0" w:color="auto"/>
              <w:left w:val="single" w:sz="8" w:space="0" w:color="auto"/>
              <w:bottom w:val="single" w:sz="8" w:space="0" w:color="auto"/>
              <w:right w:val="single" w:sz="8" w:space="0" w:color="auto"/>
            </w:tcBorders>
            <w:shd w:val="clear" w:color="auto" w:fill="F2F2F2"/>
            <w:tcMar>
              <w:top w:w="0" w:type="dxa"/>
              <w:left w:w="101" w:type="dxa"/>
              <w:bottom w:w="0" w:type="dxa"/>
              <w:right w:w="101" w:type="dxa"/>
            </w:tcMar>
            <w:hideMark/>
          </w:tcPr>
          <w:p w:rsidR="00DF7933" w:rsidRPr="00702699" w:rsidP="00DF7933" w14:paraId="6236F8A7" w14:textId="77777777">
            <w:pPr>
              <w:spacing w:after="160" w:line="259" w:lineRule="auto"/>
              <w:jc w:val="center"/>
              <w:rPr>
                <w:sz w:val="20"/>
                <w:szCs w:val="20"/>
              </w:rPr>
            </w:pPr>
            <w:r w:rsidRPr="00702699">
              <w:rPr>
                <w:sz w:val="20"/>
                <w:szCs w:val="20"/>
              </w:rPr>
              <w:t>Activity/CFR Section</w:t>
            </w:r>
          </w:p>
        </w:tc>
        <w:tc>
          <w:tcPr>
            <w:tcW w:w="1338"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DF7933" w:rsidRPr="00702699" w:rsidP="00DF7933" w14:paraId="71EE1906" w14:textId="77777777">
            <w:pPr>
              <w:spacing w:after="160" w:line="259" w:lineRule="auto"/>
              <w:jc w:val="center"/>
              <w:rPr>
                <w:sz w:val="20"/>
                <w:szCs w:val="20"/>
              </w:rPr>
            </w:pPr>
            <w:r w:rsidRPr="00702699">
              <w:rPr>
                <w:sz w:val="20"/>
                <w:szCs w:val="20"/>
              </w:rPr>
              <w:t>Previous Approved Annual Burden Hours</w:t>
            </w:r>
          </w:p>
        </w:tc>
        <w:tc>
          <w:tcPr>
            <w:tcW w:w="1404" w:type="dxa"/>
            <w:tcBorders>
              <w:top w:val="single" w:sz="8" w:space="0" w:color="auto"/>
              <w:left w:val="nil"/>
              <w:bottom w:val="single" w:sz="8" w:space="0" w:color="auto"/>
              <w:right w:val="single" w:sz="8" w:space="0" w:color="auto"/>
            </w:tcBorders>
            <w:shd w:val="clear" w:color="auto" w:fill="F2F2F2"/>
            <w:tcMar>
              <w:top w:w="0" w:type="dxa"/>
              <w:left w:w="101" w:type="dxa"/>
              <w:bottom w:w="0" w:type="dxa"/>
              <w:right w:w="101" w:type="dxa"/>
            </w:tcMar>
            <w:hideMark/>
          </w:tcPr>
          <w:p w:rsidR="00DF7933" w:rsidRPr="00702699" w:rsidP="00DF7933" w14:paraId="5642ECC5" w14:textId="77777777">
            <w:pPr>
              <w:spacing w:after="160" w:line="259" w:lineRule="auto"/>
              <w:jc w:val="center"/>
              <w:rPr>
                <w:sz w:val="20"/>
                <w:szCs w:val="20"/>
              </w:rPr>
            </w:pPr>
            <w:r w:rsidRPr="00702699">
              <w:rPr>
                <w:sz w:val="20"/>
                <w:szCs w:val="20"/>
              </w:rPr>
              <w:t>Requested Annual Burden Hours</w:t>
            </w:r>
          </w:p>
        </w:tc>
        <w:tc>
          <w:tcPr>
            <w:tcW w:w="1250" w:type="dxa"/>
            <w:tcBorders>
              <w:top w:val="single" w:sz="8" w:space="0" w:color="auto"/>
              <w:left w:val="nil"/>
              <w:bottom w:val="single" w:sz="8" w:space="0" w:color="auto"/>
              <w:right w:val="single" w:sz="8" w:space="0" w:color="auto"/>
            </w:tcBorders>
            <w:shd w:val="clear" w:color="auto" w:fill="F2F2F2"/>
            <w:hideMark/>
          </w:tcPr>
          <w:p w:rsidR="00DF7933" w:rsidRPr="00702699" w:rsidP="00DF7933" w14:paraId="6082297E" w14:textId="77777777">
            <w:pPr>
              <w:spacing w:after="160" w:line="259" w:lineRule="auto"/>
              <w:jc w:val="center"/>
              <w:rPr>
                <w:sz w:val="20"/>
                <w:szCs w:val="20"/>
              </w:rPr>
            </w:pPr>
            <w:r w:rsidRPr="00702699">
              <w:rPr>
                <w:sz w:val="20"/>
                <w:szCs w:val="20"/>
              </w:rPr>
              <w:t>Difference (Hours)</w:t>
            </w:r>
          </w:p>
          <w:p w:rsidR="00DF7933" w:rsidRPr="00702699" w:rsidP="00DF7933" w14:paraId="7C7E9E23" w14:textId="77777777">
            <w:pPr>
              <w:spacing w:after="160" w:line="259" w:lineRule="auto"/>
              <w:jc w:val="center"/>
              <w:rPr>
                <w:sz w:val="20"/>
                <w:szCs w:val="20"/>
              </w:rPr>
            </w:pPr>
            <w:r w:rsidRPr="00702699">
              <w:rPr>
                <w:sz w:val="20"/>
                <w:szCs w:val="20"/>
              </w:rPr>
              <w:t>(+/-)</w:t>
            </w:r>
          </w:p>
        </w:tc>
        <w:tc>
          <w:tcPr>
            <w:tcW w:w="2833" w:type="dxa"/>
            <w:tcBorders>
              <w:top w:val="single" w:sz="8" w:space="0" w:color="auto"/>
              <w:left w:val="nil"/>
              <w:bottom w:val="single" w:sz="8" w:space="0" w:color="auto"/>
              <w:right w:val="single" w:sz="8" w:space="0" w:color="auto"/>
            </w:tcBorders>
            <w:shd w:val="clear" w:color="auto" w:fill="F2F2F2"/>
          </w:tcPr>
          <w:p w:rsidR="00DF7933" w:rsidRPr="00702699" w:rsidP="00DF7933" w14:paraId="20859CFA" w14:textId="77777777">
            <w:pPr>
              <w:spacing w:after="160" w:line="259" w:lineRule="auto"/>
              <w:jc w:val="center"/>
              <w:rPr>
                <w:sz w:val="20"/>
                <w:szCs w:val="20"/>
              </w:rPr>
            </w:pPr>
            <w:r w:rsidRPr="00702699">
              <w:rPr>
                <w:sz w:val="20"/>
                <w:szCs w:val="20"/>
              </w:rPr>
              <w:t>Rationale for Change</w:t>
            </w:r>
          </w:p>
          <w:p w:rsidR="00DF7933" w:rsidRPr="00702699" w:rsidP="00DF7933" w14:paraId="40E3EAD4" w14:textId="77777777">
            <w:pPr>
              <w:spacing w:after="160" w:line="259" w:lineRule="auto"/>
              <w:jc w:val="center"/>
              <w:rPr>
                <w:sz w:val="20"/>
                <w:szCs w:val="20"/>
              </w:rPr>
            </w:pPr>
            <w:r w:rsidRPr="00702699">
              <w:rPr>
                <w:sz w:val="20"/>
                <w:szCs w:val="20"/>
              </w:rPr>
              <w:t>(Estimate Revision/Programmatic)</w:t>
            </w:r>
          </w:p>
          <w:p w:rsidR="00DF7933" w:rsidRPr="00702699" w:rsidP="00DF7933" w14:paraId="02B48FDA" w14:textId="77777777">
            <w:pPr>
              <w:spacing w:after="160" w:line="259" w:lineRule="auto"/>
              <w:jc w:val="center"/>
              <w:rPr>
                <w:sz w:val="20"/>
                <w:szCs w:val="20"/>
              </w:rPr>
            </w:pPr>
          </w:p>
        </w:tc>
      </w:tr>
      <w:tr w14:paraId="6D3570DA" w14:textId="77777777" w:rsidTr="00DF7933">
        <w:tblPrEx>
          <w:tblW w:w="9340" w:type="dxa"/>
          <w:tblCellMar>
            <w:left w:w="0" w:type="dxa"/>
            <w:right w:w="0" w:type="dxa"/>
          </w:tblCellMar>
          <w:tblLook w:val="04A0"/>
        </w:tblPrEx>
        <w:trPr>
          <w:cantSplit/>
          <w:trHeight w:val="265"/>
        </w:trPr>
        <w:tc>
          <w:tcPr>
            <w:tcW w:w="9340" w:type="dxa"/>
            <w:gridSpan w:val="5"/>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525DA2A5" w14:textId="77777777">
            <w:pPr>
              <w:spacing w:after="160" w:line="259" w:lineRule="auto"/>
              <w:jc w:val="center"/>
              <w:rPr>
                <w:sz w:val="20"/>
                <w:szCs w:val="20"/>
              </w:rPr>
            </w:pPr>
            <w:r w:rsidRPr="001D7AAE">
              <w:rPr>
                <w:sz w:val="20"/>
                <w:szCs w:val="20"/>
              </w:rPr>
              <w:t>“Requests for Feedback and Meetings for Medical Device Submissions: The Q-Submission Program”</w:t>
            </w:r>
          </w:p>
        </w:tc>
      </w:tr>
      <w:tr w14:paraId="00535C80" w14:textId="77777777" w:rsidTr="00DF7933">
        <w:tblPrEx>
          <w:tblW w:w="9340" w:type="dxa"/>
          <w:tblCellMar>
            <w:left w:w="0" w:type="dxa"/>
            <w:right w:w="0" w:type="dxa"/>
          </w:tblCellMar>
          <w:tblLook w:val="04A0"/>
        </w:tblPrEx>
        <w:trPr>
          <w:cantSplit/>
          <w:trHeight w:val="210"/>
        </w:trPr>
        <w:tc>
          <w:tcPr>
            <w:tcW w:w="9340" w:type="dxa"/>
            <w:gridSpan w:val="5"/>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36373E07" w14:textId="77777777">
            <w:pPr>
              <w:spacing w:after="160" w:line="259" w:lineRule="auto"/>
              <w:rPr>
                <w:sz w:val="20"/>
                <w:szCs w:val="20"/>
              </w:rPr>
            </w:pPr>
            <w:r w:rsidRPr="001D7AAE">
              <w:rPr>
                <w:sz w:val="20"/>
                <w:szCs w:val="20"/>
              </w:rPr>
              <w:t>Q-Submissions:</w:t>
            </w:r>
          </w:p>
        </w:tc>
      </w:tr>
      <w:tr w14:paraId="69BDCA6C" w14:textId="77777777" w:rsidTr="00DF7933">
        <w:tblPrEx>
          <w:tblW w:w="934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191058B1" w14:textId="77777777">
            <w:pPr>
              <w:spacing w:after="160" w:line="259" w:lineRule="auto"/>
              <w:rPr>
                <w:sz w:val="20"/>
                <w:szCs w:val="20"/>
              </w:rPr>
            </w:pPr>
            <w:r w:rsidRPr="001D7AAE">
              <w:rPr>
                <w:sz w:val="20"/>
                <w:szCs w:val="20"/>
              </w:rPr>
              <w:t>CDRH</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23274F01" w14:textId="77777777">
            <w:pPr>
              <w:jc w:val="right"/>
              <w:rPr>
                <w:sz w:val="20"/>
                <w:szCs w:val="20"/>
              </w:rPr>
            </w:pPr>
            <w:r>
              <w:rPr>
                <w:sz w:val="20"/>
                <w:szCs w:val="20"/>
              </w:rPr>
              <w:t>295,920</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360E8CE5" w14:textId="77777777">
            <w:pPr>
              <w:jc w:val="right"/>
              <w:rPr>
                <w:sz w:val="20"/>
                <w:szCs w:val="20"/>
              </w:rPr>
            </w:pPr>
            <w:r>
              <w:rPr>
                <w:sz w:val="20"/>
                <w:szCs w:val="20"/>
              </w:rPr>
              <w:t>787,750</w:t>
            </w:r>
          </w:p>
        </w:tc>
        <w:tc>
          <w:tcPr>
            <w:tcW w:w="1250" w:type="dxa"/>
            <w:tcBorders>
              <w:top w:val="nil"/>
              <w:left w:val="nil"/>
              <w:bottom w:val="single" w:sz="8" w:space="0" w:color="auto"/>
              <w:right w:val="single" w:sz="8" w:space="0" w:color="auto"/>
            </w:tcBorders>
          </w:tcPr>
          <w:p w:rsidR="00DF7933" w:rsidRPr="00702699" w:rsidP="00DF7933" w14:paraId="67400DB2" w14:textId="77777777">
            <w:pPr>
              <w:jc w:val="right"/>
              <w:rPr>
                <w:color w:val="FF0000"/>
                <w:sz w:val="20"/>
                <w:szCs w:val="20"/>
              </w:rPr>
            </w:pPr>
            <w:r>
              <w:rPr>
                <w:color w:val="FF0000"/>
                <w:sz w:val="20"/>
                <w:szCs w:val="20"/>
              </w:rPr>
              <w:t>+ 491,830</w:t>
            </w:r>
          </w:p>
        </w:tc>
        <w:tc>
          <w:tcPr>
            <w:tcW w:w="2833" w:type="dxa"/>
            <w:tcBorders>
              <w:top w:val="nil"/>
              <w:left w:val="nil"/>
              <w:bottom w:val="single" w:sz="8" w:space="0" w:color="auto"/>
              <w:right w:val="single" w:sz="8" w:space="0" w:color="auto"/>
            </w:tcBorders>
          </w:tcPr>
          <w:p w:rsidR="00DF7933" w:rsidRPr="00702699" w:rsidP="00DF7933" w14:paraId="1F5A6412" w14:textId="77777777">
            <w:pPr>
              <w:spacing w:after="160" w:line="259" w:lineRule="auto"/>
              <w:jc w:val="center"/>
              <w:rPr>
                <w:sz w:val="20"/>
                <w:szCs w:val="20"/>
              </w:rPr>
            </w:pPr>
            <w:r w:rsidRPr="00702699">
              <w:rPr>
                <w:sz w:val="20"/>
                <w:szCs w:val="20"/>
              </w:rPr>
              <w:t>Estimate Revision</w:t>
            </w:r>
          </w:p>
        </w:tc>
      </w:tr>
      <w:tr w14:paraId="45579434" w14:textId="77777777" w:rsidTr="00DF7933">
        <w:tblPrEx>
          <w:tblW w:w="934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310B80CE" w14:textId="77777777">
            <w:pPr>
              <w:spacing w:after="160" w:line="259" w:lineRule="auto"/>
              <w:rPr>
                <w:sz w:val="20"/>
                <w:szCs w:val="20"/>
              </w:rPr>
            </w:pPr>
            <w:r w:rsidRPr="001D7AAE">
              <w:rPr>
                <w:sz w:val="20"/>
                <w:szCs w:val="20"/>
              </w:rPr>
              <w:t>CBER</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21592412" w14:textId="77777777">
            <w:pPr>
              <w:jc w:val="right"/>
              <w:rPr>
                <w:sz w:val="20"/>
                <w:szCs w:val="20"/>
              </w:rPr>
            </w:pPr>
            <w:r>
              <w:rPr>
                <w:sz w:val="20"/>
                <w:szCs w:val="20"/>
              </w:rPr>
              <w:t>8,220</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73C99A15" w14:textId="77777777">
            <w:pPr>
              <w:jc w:val="right"/>
              <w:rPr>
                <w:sz w:val="20"/>
                <w:szCs w:val="20"/>
              </w:rPr>
            </w:pPr>
            <w:r w:rsidRPr="001D7AAE">
              <w:rPr>
                <w:sz w:val="20"/>
                <w:szCs w:val="20"/>
              </w:rPr>
              <w:t>8,220</w:t>
            </w:r>
          </w:p>
        </w:tc>
        <w:tc>
          <w:tcPr>
            <w:tcW w:w="1250" w:type="dxa"/>
            <w:tcBorders>
              <w:top w:val="nil"/>
              <w:left w:val="nil"/>
              <w:bottom w:val="single" w:sz="8" w:space="0" w:color="auto"/>
              <w:right w:val="single" w:sz="8" w:space="0" w:color="auto"/>
            </w:tcBorders>
          </w:tcPr>
          <w:p w:rsidR="00DF7933" w:rsidRPr="00702699" w:rsidP="00DF7933" w14:paraId="182905C7" w14:textId="77777777">
            <w:pPr>
              <w:jc w:val="right"/>
              <w:rPr>
                <w:color w:val="FF0000"/>
                <w:sz w:val="20"/>
                <w:szCs w:val="20"/>
              </w:rPr>
            </w:pPr>
            <w:r>
              <w:rPr>
                <w:color w:val="002060"/>
                <w:sz w:val="20"/>
                <w:szCs w:val="20"/>
              </w:rPr>
              <w:t xml:space="preserve">            </w:t>
            </w:r>
            <w:r w:rsidRPr="00287806">
              <w:rPr>
                <w:color w:val="002060"/>
                <w:sz w:val="20"/>
                <w:szCs w:val="20"/>
              </w:rPr>
              <w:t>0</w:t>
            </w:r>
          </w:p>
        </w:tc>
        <w:tc>
          <w:tcPr>
            <w:tcW w:w="2833" w:type="dxa"/>
            <w:tcBorders>
              <w:top w:val="nil"/>
              <w:left w:val="nil"/>
              <w:bottom w:val="single" w:sz="8" w:space="0" w:color="auto"/>
              <w:right w:val="single" w:sz="8" w:space="0" w:color="auto"/>
            </w:tcBorders>
          </w:tcPr>
          <w:p w:rsidR="00DF7933" w:rsidRPr="00702699" w:rsidP="00DF7933" w14:paraId="78CF575D" w14:textId="77777777">
            <w:pPr>
              <w:spacing w:after="160" w:line="259" w:lineRule="auto"/>
              <w:jc w:val="center"/>
              <w:rPr>
                <w:sz w:val="20"/>
                <w:szCs w:val="20"/>
              </w:rPr>
            </w:pPr>
            <w:r w:rsidRPr="00702699">
              <w:rPr>
                <w:sz w:val="20"/>
                <w:szCs w:val="20"/>
              </w:rPr>
              <w:t>Estimate Revision</w:t>
            </w:r>
          </w:p>
        </w:tc>
      </w:tr>
      <w:tr w14:paraId="08CB16D1" w14:textId="77777777" w:rsidTr="00DF7933">
        <w:tblPrEx>
          <w:tblW w:w="9340" w:type="dxa"/>
          <w:tblCellMar>
            <w:left w:w="0" w:type="dxa"/>
            <w:right w:w="0" w:type="dxa"/>
          </w:tblCellMar>
          <w:tblLook w:val="04A0"/>
        </w:tblPrEx>
        <w:trPr>
          <w:cantSplit/>
          <w:trHeight w:val="103"/>
        </w:trPr>
        <w:tc>
          <w:tcPr>
            <w:tcW w:w="9340" w:type="dxa"/>
            <w:gridSpan w:val="5"/>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4BDD6DD3" w14:textId="77777777">
            <w:pPr>
              <w:spacing w:after="160" w:line="259" w:lineRule="auto"/>
              <w:rPr>
                <w:sz w:val="20"/>
                <w:szCs w:val="20"/>
              </w:rPr>
            </w:pPr>
            <w:r w:rsidRPr="001D7AAE">
              <w:rPr>
                <w:sz w:val="20"/>
                <w:szCs w:val="20"/>
              </w:rPr>
              <w:t xml:space="preserve">Q-Submissions using </w:t>
            </w:r>
            <w:r w:rsidRPr="001D7AAE">
              <w:rPr>
                <w:sz w:val="20"/>
                <w:szCs w:val="20"/>
              </w:rPr>
              <w:t>eSTAR</w:t>
            </w:r>
            <w:r w:rsidRPr="001D7AAE">
              <w:rPr>
                <w:sz w:val="20"/>
                <w:szCs w:val="20"/>
              </w:rPr>
              <w:t>:</w:t>
            </w:r>
          </w:p>
        </w:tc>
      </w:tr>
      <w:tr w14:paraId="27156885" w14:textId="77777777" w:rsidTr="00DF7933">
        <w:tblPrEx>
          <w:tblW w:w="934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7236F743" w14:textId="77777777">
            <w:pPr>
              <w:spacing w:after="160" w:line="259" w:lineRule="auto"/>
              <w:rPr>
                <w:sz w:val="20"/>
                <w:szCs w:val="20"/>
              </w:rPr>
            </w:pPr>
            <w:r w:rsidRPr="001D7AAE">
              <w:rPr>
                <w:sz w:val="20"/>
                <w:szCs w:val="20"/>
              </w:rPr>
              <w:t>CDRH</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41B8AD0A" w14:textId="77777777">
            <w:pPr>
              <w:jc w:val="right"/>
              <w:rPr>
                <w:sz w:val="20"/>
                <w:szCs w:val="20"/>
              </w:rPr>
            </w:pPr>
            <w:r>
              <w:rPr>
                <w:sz w:val="20"/>
                <w:szCs w:val="20"/>
              </w:rPr>
              <w:t>99,360</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64D34175" w14:textId="77777777">
            <w:pPr>
              <w:jc w:val="right"/>
              <w:rPr>
                <w:sz w:val="20"/>
                <w:szCs w:val="20"/>
              </w:rPr>
            </w:pPr>
            <w:r>
              <w:rPr>
                <w:sz w:val="20"/>
                <w:szCs w:val="20"/>
              </w:rPr>
              <w:t>58,650</w:t>
            </w:r>
          </w:p>
        </w:tc>
        <w:tc>
          <w:tcPr>
            <w:tcW w:w="1250" w:type="dxa"/>
            <w:tcBorders>
              <w:top w:val="nil"/>
              <w:left w:val="nil"/>
              <w:bottom w:val="single" w:sz="8" w:space="0" w:color="auto"/>
              <w:right w:val="single" w:sz="8" w:space="0" w:color="auto"/>
            </w:tcBorders>
          </w:tcPr>
          <w:p w:rsidR="00DF7933" w:rsidRPr="00287806" w:rsidP="00DF7933" w14:paraId="178303C4" w14:textId="77777777">
            <w:pPr>
              <w:jc w:val="right"/>
              <w:rPr>
                <w:color w:val="FF0000"/>
                <w:sz w:val="20"/>
                <w:szCs w:val="20"/>
              </w:rPr>
            </w:pPr>
            <w:r w:rsidRPr="003E4AD4">
              <w:rPr>
                <w:color w:val="002060"/>
                <w:sz w:val="20"/>
                <w:szCs w:val="20"/>
              </w:rPr>
              <w:t>- 40,710</w:t>
            </w:r>
          </w:p>
        </w:tc>
        <w:tc>
          <w:tcPr>
            <w:tcW w:w="2833" w:type="dxa"/>
            <w:tcBorders>
              <w:top w:val="nil"/>
              <w:left w:val="nil"/>
              <w:bottom w:val="single" w:sz="8" w:space="0" w:color="auto"/>
              <w:right w:val="single" w:sz="8" w:space="0" w:color="auto"/>
            </w:tcBorders>
          </w:tcPr>
          <w:p w:rsidR="00DF7933" w:rsidRPr="00702699" w:rsidP="00DF7933" w14:paraId="18343D03" w14:textId="77777777">
            <w:pPr>
              <w:spacing w:after="160" w:line="259" w:lineRule="auto"/>
              <w:jc w:val="center"/>
              <w:rPr>
                <w:sz w:val="20"/>
                <w:szCs w:val="20"/>
              </w:rPr>
            </w:pPr>
            <w:r w:rsidRPr="00702699">
              <w:rPr>
                <w:sz w:val="20"/>
                <w:szCs w:val="20"/>
              </w:rPr>
              <w:t>Estimate Revision</w:t>
            </w:r>
          </w:p>
        </w:tc>
      </w:tr>
      <w:tr w14:paraId="5079313F" w14:textId="77777777" w:rsidTr="00DF7933">
        <w:tblPrEx>
          <w:tblW w:w="934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7B577447" w14:textId="77777777">
            <w:pPr>
              <w:spacing w:after="160" w:line="259" w:lineRule="auto"/>
              <w:rPr>
                <w:sz w:val="20"/>
                <w:szCs w:val="20"/>
              </w:rPr>
            </w:pPr>
            <w:r w:rsidRPr="001D7AAE">
              <w:rPr>
                <w:sz w:val="20"/>
                <w:szCs w:val="20"/>
              </w:rPr>
              <w:t>CBER</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6514D04F" w14:textId="77777777">
            <w:pPr>
              <w:jc w:val="right"/>
              <w:rPr>
                <w:sz w:val="20"/>
                <w:szCs w:val="20"/>
              </w:rPr>
            </w:pPr>
            <w:r>
              <w:rPr>
                <w:sz w:val="20"/>
                <w:szCs w:val="20"/>
              </w:rPr>
              <w:t>2,760</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6A88651A" w14:textId="77777777">
            <w:pPr>
              <w:jc w:val="right"/>
              <w:rPr>
                <w:sz w:val="20"/>
                <w:szCs w:val="20"/>
              </w:rPr>
            </w:pPr>
            <w:r w:rsidRPr="001D7AAE">
              <w:rPr>
                <w:sz w:val="20"/>
                <w:szCs w:val="20"/>
              </w:rPr>
              <w:t>2,760</w:t>
            </w:r>
          </w:p>
        </w:tc>
        <w:tc>
          <w:tcPr>
            <w:tcW w:w="1250" w:type="dxa"/>
            <w:tcBorders>
              <w:top w:val="nil"/>
              <w:left w:val="nil"/>
              <w:bottom w:val="single" w:sz="8" w:space="0" w:color="auto"/>
              <w:right w:val="single" w:sz="8" w:space="0" w:color="auto"/>
            </w:tcBorders>
          </w:tcPr>
          <w:p w:rsidR="00DF7933" w:rsidRPr="00702699" w:rsidP="00DF7933" w14:paraId="0D9B80B2" w14:textId="77777777">
            <w:pPr>
              <w:jc w:val="right"/>
              <w:rPr>
                <w:color w:val="FF0000"/>
                <w:sz w:val="20"/>
                <w:szCs w:val="20"/>
              </w:rPr>
            </w:pPr>
            <w:r>
              <w:rPr>
                <w:color w:val="002060"/>
                <w:sz w:val="20"/>
                <w:szCs w:val="20"/>
              </w:rPr>
              <w:t xml:space="preserve">            </w:t>
            </w:r>
            <w:r w:rsidRPr="00287806">
              <w:rPr>
                <w:color w:val="002060"/>
                <w:sz w:val="20"/>
                <w:szCs w:val="20"/>
              </w:rPr>
              <w:t>0</w:t>
            </w:r>
          </w:p>
        </w:tc>
        <w:tc>
          <w:tcPr>
            <w:tcW w:w="2833" w:type="dxa"/>
            <w:tcBorders>
              <w:top w:val="nil"/>
              <w:left w:val="nil"/>
              <w:bottom w:val="single" w:sz="8" w:space="0" w:color="auto"/>
              <w:right w:val="single" w:sz="8" w:space="0" w:color="auto"/>
            </w:tcBorders>
          </w:tcPr>
          <w:p w:rsidR="00DF7933" w:rsidRPr="00702699" w:rsidP="00DF7933" w14:paraId="21A4F5DF" w14:textId="77777777">
            <w:pPr>
              <w:spacing w:after="160" w:line="259" w:lineRule="auto"/>
              <w:jc w:val="center"/>
              <w:rPr>
                <w:sz w:val="20"/>
                <w:szCs w:val="20"/>
              </w:rPr>
            </w:pPr>
            <w:r w:rsidRPr="00702699">
              <w:rPr>
                <w:sz w:val="20"/>
                <w:szCs w:val="20"/>
              </w:rPr>
              <w:t>Estimate Revision</w:t>
            </w:r>
          </w:p>
        </w:tc>
      </w:tr>
      <w:tr w14:paraId="49A9F9F3" w14:textId="77777777" w:rsidTr="00DF7933">
        <w:tblPrEx>
          <w:tblW w:w="934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5463116E" w14:textId="77777777">
            <w:pPr>
              <w:spacing w:after="160" w:line="259" w:lineRule="auto"/>
              <w:rPr>
                <w:sz w:val="20"/>
                <w:szCs w:val="20"/>
              </w:rPr>
            </w:pPr>
            <w:r w:rsidRPr="001D7AAE">
              <w:rPr>
                <w:sz w:val="20"/>
                <w:szCs w:val="20"/>
              </w:rPr>
              <w:t>eSTAR</w:t>
            </w:r>
            <w:r w:rsidRPr="001D7AAE">
              <w:rPr>
                <w:sz w:val="20"/>
                <w:szCs w:val="20"/>
              </w:rPr>
              <w:t xml:space="preserve"> setup</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77A0971A" w14:textId="77777777">
            <w:pPr>
              <w:jc w:val="right"/>
              <w:rPr>
                <w:sz w:val="20"/>
                <w:szCs w:val="20"/>
              </w:rPr>
            </w:pPr>
            <w:r>
              <w:rPr>
                <w:sz w:val="20"/>
                <w:szCs w:val="20"/>
              </w:rPr>
              <w:t>118</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66D1C118" w14:textId="77777777">
            <w:pPr>
              <w:jc w:val="right"/>
              <w:rPr>
                <w:sz w:val="20"/>
                <w:szCs w:val="20"/>
              </w:rPr>
            </w:pPr>
            <w:r w:rsidRPr="001D7AAE">
              <w:rPr>
                <w:sz w:val="20"/>
                <w:szCs w:val="20"/>
              </w:rPr>
              <w:t>118</w:t>
            </w:r>
          </w:p>
        </w:tc>
        <w:tc>
          <w:tcPr>
            <w:tcW w:w="1250" w:type="dxa"/>
            <w:tcBorders>
              <w:top w:val="nil"/>
              <w:left w:val="nil"/>
              <w:bottom w:val="single" w:sz="8" w:space="0" w:color="auto"/>
              <w:right w:val="single" w:sz="8" w:space="0" w:color="auto"/>
            </w:tcBorders>
          </w:tcPr>
          <w:p w:rsidR="00DF7933" w:rsidRPr="00702699" w:rsidP="00DF7933" w14:paraId="17E9B147" w14:textId="77777777">
            <w:pPr>
              <w:jc w:val="right"/>
              <w:rPr>
                <w:color w:val="FF0000"/>
                <w:sz w:val="20"/>
                <w:szCs w:val="20"/>
              </w:rPr>
            </w:pPr>
            <w:r>
              <w:rPr>
                <w:color w:val="002060"/>
                <w:sz w:val="20"/>
                <w:szCs w:val="20"/>
              </w:rPr>
              <w:t xml:space="preserve">            </w:t>
            </w:r>
            <w:r w:rsidRPr="00287806">
              <w:rPr>
                <w:color w:val="002060"/>
                <w:sz w:val="20"/>
                <w:szCs w:val="20"/>
              </w:rPr>
              <w:t>0</w:t>
            </w:r>
          </w:p>
        </w:tc>
        <w:tc>
          <w:tcPr>
            <w:tcW w:w="2833" w:type="dxa"/>
            <w:tcBorders>
              <w:top w:val="nil"/>
              <w:left w:val="nil"/>
              <w:bottom w:val="single" w:sz="8" w:space="0" w:color="auto"/>
              <w:right w:val="single" w:sz="8" w:space="0" w:color="auto"/>
            </w:tcBorders>
          </w:tcPr>
          <w:p w:rsidR="00DF7933" w:rsidRPr="00702699" w:rsidP="00DF7933" w14:paraId="7B42B86C" w14:textId="77777777">
            <w:pPr>
              <w:spacing w:after="160" w:line="259" w:lineRule="auto"/>
              <w:jc w:val="center"/>
              <w:rPr>
                <w:sz w:val="20"/>
                <w:szCs w:val="20"/>
              </w:rPr>
            </w:pPr>
            <w:r w:rsidRPr="00702699">
              <w:rPr>
                <w:sz w:val="20"/>
                <w:szCs w:val="20"/>
              </w:rPr>
              <w:t>Estimate Revision</w:t>
            </w:r>
          </w:p>
        </w:tc>
      </w:tr>
      <w:tr w14:paraId="66E27F5C" w14:textId="77777777" w:rsidTr="00DF7933">
        <w:tblPrEx>
          <w:tblW w:w="9340" w:type="dxa"/>
          <w:tblCellMar>
            <w:left w:w="0" w:type="dxa"/>
            <w:right w:w="0" w:type="dxa"/>
          </w:tblCellMar>
          <w:tblLook w:val="04A0"/>
        </w:tblPrEx>
        <w:trPr>
          <w:cantSplit/>
          <w:trHeight w:val="103"/>
        </w:trPr>
        <w:tc>
          <w:tcPr>
            <w:tcW w:w="9340" w:type="dxa"/>
            <w:gridSpan w:val="5"/>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18E6BCB7" w14:textId="77777777">
            <w:pPr>
              <w:spacing w:after="160" w:line="259" w:lineRule="auto"/>
              <w:rPr>
                <w:sz w:val="20"/>
                <w:szCs w:val="20"/>
              </w:rPr>
            </w:pPr>
            <w:r>
              <w:rPr>
                <w:sz w:val="20"/>
                <w:szCs w:val="20"/>
              </w:rPr>
              <w:t>Early Payor Feedback Program (EPFP)</w:t>
            </w:r>
          </w:p>
        </w:tc>
      </w:tr>
      <w:tr w14:paraId="07EE0B2E" w14:textId="77777777" w:rsidTr="00DF7933">
        <w:tblPrEx>
          <w:tblW w:w="934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1A3CE62F" w14:textId="77777777">
            <w:pPr>
              <w:spacing w:after="160" w:line="259" w:lineRule="auto"/>
              <w:rPr>
                <w:sz w:val="20"/>
                <w:szCs w:val="20"/>
              </w:rPr>
            </w:pPr>
            <w:r w:rsidRPr="001D7AAE">
              <w:rPr>
                <w:sz w:val="20"/>
                <w:szCs w:val="20"/>
              </w:rPr>
              <w:t>Manufacturer request to participate in EPFP</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2D5752EC" w14:textId="77777777">
            <w:pPr>
              <w:jc w:val="right"/>
              <w:rPr>
                <w:sz w:val="20"/>
                <w:szCs w:val="20"/>
              </w:rPr>
            </w:pPr>
            <w:r w:rsidRPr="00C6023E">
              <w:rPr>
                <w:sz w:val="20"/>
                <w:szCs w:val="20"/>
              </w:rPr>
              <w:t>60</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0A14E3E8" w14:textId="77777777">
            <w:pPr>
              <w:jc w:val="right"/>
              <w:rPr>
                <w:sz w:val="20"/>
                <w:szCs w:val="20"/>
              </w:rPr>
            </w:pPr>
            <w:r>
              <w:rPr>
                <w:sz w:val="20"/>
                <w:szCs w:val="20"/>
              </w:rPr>
              <w:t>70</w:t>
            </w:r>
          </w:p>
        </w:tc>
        <w:tc>
          <w:tcPr>
            <w:tcW w:w="1250" w:type="dxa"/>
            <w:tcBorders>
              <w:top w:val="nil"/>
              <w:left w:val="nil"/>
              <w:bottom w:val="single" w:sz="8" w:space="0" w:color="auto"/>
              <w:right w:val="single" w:sz="8" w:space="0" w:color="auto"/>
            </w:tcBorders>
          </w:tcPr>
          <w:p w:rsidR="00DF7933" w:rsidRPr="00702699" w:rsidP="00DF7933" w14:paraId="5E77E949" w14:textId="77777777">
            <w:pPr>
              <w:jc w:val="right"/>
              <w:rPr>
                <w:color w:val="FF0000"/>
                <w:sz w:val="20"/>
                <w:szCs w:val="20"/>
              </w:rPr>
            </w:pPr>
            <w:r>
              <w:rPr>
                <w:color w:val="FF0000"/>
                <w:sz w:val="20"/>
                <w:szCs w:val="20"/>
              </w:rPr>
              <w:t xml:space="preserve">            + 10</w:t>
            </w:r>
          </w:p>
        </w:tc>
        <w:tc>
          <w:tcPr>
            <w:tcW w:w="2833" w:type="dxa"/>
            <w:tcBorders>
              <w:top w:val="nil"/>
              <w:left w:val="nil"/>
              <w:bottom w:val="single" w:sz="8" w:space="0" w:color="auto"/>
              <w:right w:val="single" w:sz="8" w:space="0" w:color="auto"/>
            </w:tcBorders>
          </w:tcPr>
          <w:p w:rsidR="00DF7933" w:rsidRPr="00702699" w:rsidP="00DF7933" w14:paraId="393D8397" w14:textId="77777777">
            <w:pPr>
              <w:spacing w:after="160" w:line="259" w:lineRule="auto"/>
              <w:jc w:val="center"/>
              <w:rPr>
                <w:sz w:val="20"/>
                <w:szCs w:val="20"/>
              </w:rPr>
            </w:pPr>
            <w:r w:rsidRPr="00702699">
              <w:rPr>
                <w:sz w:val="20"/>
                <w:szCs w:val="20"/>
              </w:rPr>
              <w:t>Estimate Revision</w:t>
            </w:r>
          </w:p>
        </w:tc>
      </w:tr>
      <w:tr w14:paraId="06B0DF26" w14:textId="77777777" w:rsidTr="00DF7933">
        <w:tblPrEx>
          <w:tblW w:w="9340" w:type="dxa"/>
          <w:tblCellMar>
            <w:left w:w="0" w:type="dxa"/>
            <w:right w:w="0" w:type="dxa"/>
          </w:tblCellMar>
          <w:tblLook w:val="04A0"/>
        </w:tblPrEx>
        <w:trPr>
          <w:cantSplit/>
          <w:trHeight w:val="103"/>
        </w:trPr>
        <w:tc>
          <w:tcPr>
            <w:tcW w:w="9340" w:type="dxa"/>
            <w:gridSpan w:val="5"/>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522F9696" w14:textId="77777777">
            <w:pPr>
              <w:spacing w:after="160" w:line="259" w:lineRule="auto"/>
              <w:rPr>
                <w:sz w:val="20"/>
                <w:szCs w:val="20"/>
              </w:rPr>
            </w:pPr>
            <w:r w:rsidRPr="000976AA">
              <w:rPr>
                <w:sz w:val="20"/>
                <w:szCs w:val="20"/>
              </w:rPr>
              <w:t xml:space="preserve">MDDT </w:t>
            </w:r>
            <w:r>
              <w:rPr>
                <w:sz w:val="20"/>
                <w:szCs w:val="20"/>
              </w:rPr>
              <w:t>Submissions</w:t>
            </w:r>
          </w:p>
        </w:tc>
      </w:tr>
      <w:tr w14:paraId="62522B3A" w14:textId="77777777" w:rsidTr="00DF7933">
        <w:tblPrEx>
          <w:tblW w:w="9340" w:type="dxa"/>
          <w:tblCellMar>
            <w:left w:w="0" w:type="dxa"/>
            <w:right w:w="0" w:type="dxa"/>
          </w:tblCellMar>
          <w:tblLook w:val="04A0"/>
        </w:tblPrEx>
        <w:trPr>
          <w:cantSplit/>
          <w:trHeight w:val="103"/>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tcPr>
          <w:p w:rsidR="00DF7933" w:rsidRPr="00702699" w:rsidP="00DF7933" w14:paraId="4A6D6270" w14:textId="77777777">
            <w:pPr>
              <w:spacing w:after="160" w:line="259" w:lineRule="auto"/>
              <w:rPr>
                <w:sz w:val="20"/>
                <w:szCs w:val="20"/>
              </w:rPr>
            </w:pPr>
            <w:r>
              <w:rPr>
                <w:sz w:val="20"/>
                <w:szCs w:val="20"/>
              </w:rPr>
              <w:t>Medical Device Development Tools (MDDT)</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61662DEA" w14:textId="77777777">
            <w:pPr>
              <w:jc w:val="right"/>
              <w:rPr>
                <w:sz w:val="20"/>
                <w:szCs w:val="20"/>
              </w:rPr>
            </w:pPr>
            <w:r>
              <w:rPr>
                <w:sz w:val="20"/>
                <w:szCs w:val="20"/>
              </w:rPr>
              <w:t>0</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27FC51EF" w14:textId="77777777">
            <w:pPr>
              <w:jc w:val="right"/>
              <w:rPr>
                <w:sz w:val="20"/>
                <w:szCs w:val="20"/>
              </w:rPr>
            </w:pPr>
            <w:r>
              <w:rPr>
                <w:sz w:val="20"/>
                <w:szCs w:val="20"/>
              </w:rPr>
              <w:t>6,850</w:t>
            </w:r>
          </w:p>
        </w:tc>
        <w:tc>
          <w:tcPr>
            <w:tcW w:w="1250" w:type="dxa"/>
            <w:tcBorders>
              <w:top w:val="nil"/>
              <w:left w:val="nil"/>
              <w:bottom w:val="single" w:sz="8" w:space="0" w:color="auto"/>
              <w:right w:val="single" w:sz="8" w:space="0" w:color="auto"/>
            </w:tcBorders>
          </w:tcPr>
          <w:p w:rsidR="00DF7933" w:rsidRPr="00702699" w:rsidP="00DF7933" w14:paraId="15E01532" w14:textId="77777777">
            <w:pPr>
              <w:jc w:val="right"/>
              <w:rPr>
                <w:color w:val="FF0000"/>
                <w:sz w:val="20"/>
                <w:szCs w:val="20"/>
              </w:rPr>
            </w:pPr>
            <w:r>
              <w:rPr>
                <w:color w:val="FF0000"/>
                <w:sz w:val="20"/>
                <w:szCs w:val="20"/>
              </w:rPr>
              <w:t xml:space="preserve">        + 6,850</w:t>
            </w:r>
          </w:p>
        </w:tc>
        <w:tc>
          <w:tcPr>
            <w:tcW w:w="2833" w:type="dxa"/>
            <w:tcBorders>
              <w:top w:val="nil"/>
              <w:left w:val="nil"/>
              <w:bottom w:val="single" w:sz="8" w:space="0" w:color="auto"/>
              <w:right w:val="single" w:sz="8" w:space="0" w:color="auto"/>
            </w:tcBorders>
          </w:tcPr>
          <w:p w:rsidR="00DF7933" w:rsidRPr="00287806" w:rsidP="00DF7933" w14:paraId="5099CAB2" w14:textId="77777777">
            <w:pPr>
              <w:spacing w:after="160" w:line="259" w:lineRule="auto"/>
              <w:jc w:val="center"/>
              <w:rPr>
                <w:sz w:val="20"/>
                <w:szCs w:val="20"/>
              </w:rPr>
            </w:pPr>
            <w:r w:rsidRPr="00287806">
              <w:rPr>
                <w:sz w:val="20"/>
                <w:szCs w:val="20"/>
              </w:rPr>
              <w:t>The information collection instructions were removed from the guidance that was superseded and incorporated into a separate guidance document.</w:t>
            </w:r>
          </w:p>
          <w:p w:rsidR="00DF7933" w:rsidRPr="00702699" w:rsidP="00DF7933" w14:paraId="3701FCF6" w14:textId="77777777">
            <w:pPr>
              <w:spacing w:after="160" w:line="259" w:lineRule="auto"/>
              <w:jc w:val="center"/>
              <w:rPr>
                <w:sz w:val="20"/>
                <w:szCs w:val="20"/>
              </w:rPr>
            </w:pPr>
          </w:p>
        </w:tc>
      </w:tr>
      <w:tr w14:paraId="690F76FE" w14:textId="77777777" w:rsidTr="00DF7933">
        <w:tblPrEx>
          <w:tblW w:w="9340" w:type="dxa"/>
          <w:tblCellMar>
            <w:left w:w="0" w:type="dxa"/>
            <w:right w:w="0" w:type="dxa"/>
          </w:tblCellMar>
          <w:tblLook w:val="04A0"/>
        </w:tblPrEx>
        <w:trPr>
          <w:cantSplit/>
          <w:trHeight w:val="98"/>
        </w:trPr>
        <w:tc>
          <w:tcPr>
            <w:tcW w:w="2515" w:type="dxa"/>
            <w:tcBorders>
              <w:top w:val="nil"/>
              <w:left w:val="single" w:sz="8" w:space="0" w:color="auto"/>
              <w:bottom w:val="single" w:sz="8" w:space="0" w:color="auto"/>
              <w:right w:val="single" w:sz="8" w:space="0" w:color="auto"/>
            </w:tcBorders>
            <w:tcMar>
              <w:top w:w="0" w:type="dxa"/>
              <w:left w:w="101" w:type="dxa"/>
              <w:bottom w:w="0" w:type="dxa"/>
              <w:right w:w="101" w:type="dxa"/>
            </w:tcMar>
            <w:hideMark/>
          </w:tcPr>
          <w:p w:rsidR="00DF7933" w:rsidRPr="00702699" w:rsidP="00DF7933" w14:paraId="05514350" w14:textId="77777777">
            <w:pPr>
              <w:spacing w:after="160" w:line="259" w:lineRule="auto"/>
              <w:rPr>
                <w:b/>
                <w:bCs/>
                <w:sz w:val="20"/>
                <w:szCs w:val="20"/>
              </w:rPr>
            </w:pPr>
            <w:r w:rsidRPr="00702699">
              <w:rPr>
                <w:b/>
                <w:bCs/>
                <w:sz w:val="20"/>
                <w:szCs w:val="20"/>
              </w:rPr>
              <w:t>TOTAL</w:t>
            </w:r>
          </w:p>
        </w:tc>
        <w:tc>
          <w:tcPr>
            <w:tcW w:w="1338"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1990157A" w14:textId="27E2E8CF">
            <w:pPr>
              <w:jc w:val="right"/>
              <w:rPr>
                <w:b/>
                <w:bCs/>
                <w:sz w:val="20"/>
                <w:szCs w:val="20"/>
              </w:rPr>
            </w:pPr>
            <w:r w:rsidRPr="00DF7933">
              <w:rPr>
                <w:b/>
                <w:bCs/>
                <w:sz w:val="20"/>
                <w:szCs w:val="20"/>
              </w:rPr>
              <w:t>406,438</w:t>
            </w:r>
          </w:p>
        </w:tc>
        <w:tc>
          <w:tcPr>
            <w:tcW w:w="1404" w:type="dxa"/>
            <w:tcBorders>
              <w:top w:val="nil"/>
              <w:left w:val="nil"/>
              <w:bottom w:val="single" w:sz="8" w:space="0" w:color="auto"/>
              <w:right w:val="single" w:sz="8" w:space="0" w:color="auto"/>
            </w:tcBorders>
            <w:tcMar>
              <w:top w:w="0" w:type="dxa"/>
              <w:left w:w="101" w:type="dxa"/>
              <w:bottom w:w="0" w:type="dxa"/>
              <w:right w:w="101" w:type="dxa"/>
            </w:tcMar>
          </w:tcPr>
          <w:p w:rsidR="00DF7933" w:rsidRPr="00702699" w:rsidP="00DF7933" w14:paraId="4794B2C0" w14:textId="2EB5DB70">
            <w:pPr>
              <w:jc w:val="right"/>
              <w:rPr>
                <w:b/>
                <w:bCs/>
                <w:sz w:val="20"/>
                <w:szCs w:val="20"/>
              </w:rPr>
            </w:pPr>
            <w:r w:rsidRPr="00DF7933">
              <w:rPr>
                <w:b/>
                <w:bCs/>
                <w:sz w:val="20"/>
                <w:szCs w:val="20"/>
              </w:rPr>
              <w:t>864,418</w:t>
            </w:r>
          </w:p>
        </w:tc>
        <w:tc>
          <w:tcPr>
            <w:tcW w:w="1250" w:type="dxa"/>
            <w:tcBorders>
              <w:top w:val="nil"/>
              <w:left w:val="nil"/>
              <w:bottom w:val="single" w:sz="8" w:space="0" w:color="auto"/>
              <w:right w:val="single" w:sz="8" w:space="0" w:color="auto"/>
            </w:tcBorders>
          </w:tcPr>
          <w:p w:rsidR="00DF7933" w:rsidRPr="00702699" w:rsidP="00DF7933" w14:paraId="2E9A49E4" w14:textId="7BCF60E6">
            <w:pPr>
              <w:jc w:val="right"/>
              <w:rPr>
                <w:color w:val="FF0000"/>
                <w:sz w:val="20"/>
                <w:szCs w:val="20"/>
              </w:rPr>
            </w:pPr>
            <w:r>
              <w:rPr>
                <w:color w:val="FF0000"/>
                <w:sz w:val="20"/>
                <w:szCs w:val="20"/>
              </w:rPr>
              <w:t xml:space="preserve">+ 457,980 </w:t>
            </w:r>
          </w:p>
        </w:tc>
        <w:tc>
          <w:tcPr>
            <w:tcW w:w="2833" w:type="dxa"/>
            <w:tcBorders>
              <w:top w:val="nil"/>
              <w:left w:val="nil"/>
              <w:bottom w:val="single" w:sz="8" w:space="0" w:color="auto"/>
              <w:right w:val="single" w:sz="8" w:space="0" w:color="auto"/>
            </w:tcBorders>
            <w:shd w:val="clear" w:color="auto" w:fill="000000" w:themeFill="text1"/>
          </w:tcPr>
          <w:p w:rsidR="00DF7933" w:rsidRPr="00702699" w:rsidP="00DF7933" w14:paraId="70117702" w14:textId="77777777">
            <w:pPr>
              <w:spacing w:after="160" w:line="259" w:lineRule="auto"/>
              <w:jc w:val="right"/>
            </w:pPr>
          </w:p>
        </w:tc>
      </w:tr>
    </w:tbl>
    <w:p w:rsidR="00DF7933" w:rsidP="00F65027" w14:paraId="02091826" w14:textId="77777777">
      <w:pPr>
        <w:spacing w:after="200" w:line="276" w:lineRule="auto"/>
        <w:rPr>
          <w:color w:val="000000" w:themeColor="text1"/>
        </w:rPr>
      </w:pPr>
    </w:p>
    <w:p w:rsidR="00DF7933" w:rsidP="00F65027" w14:paraId="61F6CEF7" w14:textId="77777777">
      <w:pPr>
        <w:spacing w:after="200" w:line="276" w:lineRule="auto"/>
        <w:rPr>
          <w:color w:val="000000" w:themeColor="text1"/>
        </w:rPr>
      </w:pPr>
    </w:p>
    <w:p w:rsidR="00357C8A" w:rsidRPr="00F65027" w:rsidP="00F65027" w14:paraId="50A6739E" w14:textId="73BD683A">
      <w:pPr>
        <w:pStyle w:val="ListParagraph"/>
        <w:numPr>
          <w:ilvl w:val="0"/>
          <w:numId w:val="6"/>
        </w:numPr>
        <w:spacing w:after="200" w:line="276" w:lineRule="auto"/>
        <w:rPr>
          <w:rFonts w:eastAsia="Calibri"/>
          <w:u w:val="single"/>
        </w:rPr>
      </w:pPr>
      <w:r w:rsidRPr="00F65027">
        <w:rPr>
          <w:rFonts w:eastAsia="Calibri"/>
          <w:u w:val="single"/>
        </w:rPr>
        <w:t>Plans for Tabulation and Publication and Project Time Schedule</w:t>
      </w:r>
    </w:p>
    <w:p w:rsidR="00357C8A" w:rsidRPr="00105D80" w:rsidP="00357C8A" w14:paraId="1CAE6026" w14:textId="77777777">
      <w:pPr>
        <w:spacing w:after="200"/>
        <w:rPr>
          <w:rFonts w:eastAsia="Calibri"/>
        </w:rPr>
      </w:pPr>
      <w:r w:rsidRPr="005C71CA">
        <w:rPr>
          <w:rFonts w:eastAsia="Calibri"/>
        </w:rPr>
        <w:t>This information collected will not be published or tabulated</w:t>
      </w:r>
      <w:r w:rsidR="00105D80">
        <w:rPr>
          <w:rFonts w:eastAsia="Calibri"/>
        </w:rPr>
        <w:t>.</w:t>
      </w:r>
    </w:p>
    <w:p w:rsidR="00357C8A" w:rsidRPr="00357C8A" w:rsidP="006705EA" w14:paraId="68AB4CE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105D80" w:rsidP="00E677C2" w14:paraId="7F3A4B40" w14:textId="2F499B38">
      <w:pPr>
        <w:spacing w:after="200"/>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p>
    <w:p w:rsidR="00357C8A" w:rsidRPr="00357C8A" w:rsidP="006705EA" w14:paraId="7A65CAA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428060EF" w14:textId="5745560F">
      <w:pPr>
        <w:spacing w:after="200"/>
        <w:rPr>
          <w:rFonts w:eastAsia="Calibri"/>
        </w:rPr>
      </w:pPr>
      <w:r w:rsidRPr="007E59A8">
        <w:rPr>
          <w:rFonts w:eastAsia="Calibri"/>
        </w:rPr>
        <w:t>There are no exceptions to the certification</w:t>
      </w:r>
      <w:r>
        <w:rPr>
          <w:rFonts w:eastAsia="Calibri"/>
        </w:rPr>
        <w:t>.</w:t>
      </w:r>
    </w:p>
    <w:sectPr w:rsidSect="009E358D">
      <w:headerReference w:type="default" r:id="rId18"/>
      <w:footerReference w:type="even" r:id="rId19"/>
      <w:footerReference w:type="default" r:id="rId20"/>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295E" w14:paraId="0DDAFA6F" w14:textId="77777777">
      <w:r>
        <w:separator/>
      </w:r>
    </w:p>
    <w:p w:rsidR="006C295E" w14:paraId="24C62089" w14:textId="77777777"/>
  </w:endnote>
  <w:endnote w:type="continuationSeparator" w:id="1">
    <w:p w:rsidR="006C295E" w14:paraId="6B11066F" w14:textId="77777777">
      <w:r>
        <w:continuationSeparator/>
      </w:r>
    </w:p>
    <w:p w:rsidR="006C295E" w14:paraId="0730C6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FD78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A094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CF35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F082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295E" w14:paraId="44BB6269" w14:textId="77777777">
      <w:r>
        <w:separator/>
      </w:r>
    </w:p>
    <w:p w:rsidR="006C295E" w14:paraId="63BB24AB" w14:textId="77777777"/>
  </w:footnote>
  <w:footnote w:type="continuationSeparator" w:id="1">
    <w:p w:rsidR="006C295E" w14:paraId="03B5D03F" w14:textId="77777777">
      <w:r>
        <w:continuationSeparator/>
      </w:r>
    </w:p>
    <w:p w:rsidR="006C295E" w14:paraId="7102BC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617E7C" w14:paraId="39733087" w14:textId="26C23E86">
    <w:pPr>
      <w:pStyle w:val="Header"/>
      <w:ind w:left="-720"/>
      <w:rPr>
        <w:noProof/>
      </w:rPr>
    </w:pPr>
    <w:r>
      <w:rPr>
        <w:noProof/>
      </w:rPr>
      <w:drawing>
        <wp:inline distT="0" distB="0" distL="0" distR="0">
          <wp:extent cx="2428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495300"/>
                  </a:xfrm>
                  <a:prstGeom prst="rect">
                    <a:avLst/>
                  </a:prstGeom>
                  <a:noFill/>
                  <a:ln>
                    <a:noFill/>
                  </a:ln>
                </pic:spPr>
              </pic:pic>
            </a:graphicData>
          </a:graphic>
        </wp:inline>
      </w:drawing>
    </w:r>
  </w:p>
  <w:p w:rsidR="00D826AA" w:rsidP="009E358D" w14:paraId="1319832A" w14:textId="77777777">
    <w:pPr>
      <w:pStyle w:val="Header"/>
      <w:ind w:left="-720"/>
      <w:rPr>
        <w:noProof/>
      </w:rPr>
    </w:pPr>
  </w:p>
  <w:p w:rsidR="00D826AA" w:rsidP="009E358D" w14:paraId="54C99236"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8949FE"/>
    <w:multiLevelType w:val="hybridMultilevel"/>
    <w:tmpl w:val="910CF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26FE2934"/>
    <w:multiLevelType w:val="hybridMultilevel"/>
    <w:tmpl w:val="EAE040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30101F94"/>
    <w:multiLevelType w:val="hybridMultilevel"/>
    <w:tmpl w:val="449C919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3208134D"/>
    <w:multiLevelType w:val="hybridMultilevel"/>
    <w:tmpl w:val="5D3665C8"/>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9156574">
    <w:abstractNumId w:val="10"/>
  </w:num>
  <w:num w:numId="2" w16cid:durableId="1601251823">
    <w:abstractNumId w:val="3"/>
  </w:num>
  <w:num w:numId="3" w16cid:durableId="1645310428">
    <w:abstractNumId w:val="11"/>
  </w:num>
  <w:num w:numId="4" w16cid:durableId="1144157972">
    <w:abstractNumId w:val="8"/>
  </w:num>
  <w:num w:numId="5" w16cid:durableId="2042582298">
    <w:abstractNumId w:val="12"/>
  </w:num>
  <w:num w:numId="6" w16cid:durableId="396562080">
    <w:abstractNumId w:val="1"/>
  </w:num>
  <w:num w:numId="7" w16cid:durableId="1282297246">
    <w:abstractNumId w:val="4"/>
  </w:num>
  <w:num w:numId="8" w16cid:durableId="1913811685">
    <w:abstractNumId w:val="9"/>
  </w:num>
  <w:num w:numId="9" w16cid:durableId="252473922">
    <w:abstractNumId w:val="0"/>
  </w:num>
  <w:num w:numId="10" w16cid:durableId="652489894">
    <w:abstractNumId w:val="7"/>
  </w:num>
  <w:num w:numId="11" w16cid:durableId="2023429330">
    <w:abstractNumId w:val="6"/>
  </w:num>
  <w:num w:numId="12" w16cid:durableId="662243032">
    <w:abstractNumId w:val="5"/>
  </w:num>
  <w:num w:numId="13" w16cid:durableId="3180607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68D"/>
    <w:rsid w:val="000063EE"/>
    <w:rsid w:val="00007D31"/>
    <w:rsid w:val="00010EAE"/>
    <w:rsid w:val="000161E3"/>
    <w:rsid w:val="00024200"/>
    <w:rsid w:val="00031A2C"/>
    <w:rsid w:val="00042B93"/>
    <w:rsid w:val="00043C7F"/>
    <w:rsid w:val="000467A8"/>
    <w:rsid w:val="00053CF5"/>
    <w:rsid w:val="000617D1"/>
    <w:rsid w:val="0006570F"/>
    <w:rsid w:val="000733CD"/>
    <w:rsid w:val="00075DE8"/>
    <w:rsid w:val="0008665D"/>
    <w:rsid w:val="00086909"/>
    <w:rsid w:val="00087439"/>
    <w:rsid w:val="00090F86"/>
    <w:rsid w:val="000925D4"/>
    <w:rsid w:val="000976AA"/>
    <w:rsid w:val="000A77FE"/>
    <w:rsid w:val="000B0AC3"/>
    <w:rsid w:val="000B106C"/>
    <w:rsid w:val="000C1260"/>
    <w:rsid w:val="000C560C"/>
    <w:rsid w:val="000C7EED"/>
    <w:rsid w:val="000D080B"/>
    <w:rsid w:val="000D48FD"/>
    <w:rsid w:val="000D79CC"/>
    <w:rsid w:val="000E1C64"/>
    <w:rsid w:val="000E2B44"/>
    <w:rsid w:val="000E34C4"/>
    <w:rsid w:val="000E3B2D"/>
    <w:rsid w:val="000F7119"/>
    <w:rsid w:val="00100739"/>
    <w:rsid w:val="0010493E"/>
    <w:rsid w:val="001057B2"/>
    <w:rsid w:val="00105D80"/>
    <w:rsid w:val="001075D3"/>
    <w:rsid w:val="00107885"/>
    <w:rsid w:val="00114FC4"/>
    <w:rsid w:val="0012329C"/>
    <w:rsid w:val="001271C7"/>
    <w:rsid w:val="0013408B"/>
    <w:rsid w:val="00134FA7"/>
    <w:rsid w:val="00137950"/>
    <w:rsid w:val="00140762"/>
    <w:rsid w:val="00144749"/>
    <w:rsid w:val="00144C3A"/>
    <w:rsid w:val="00152F29"/>
    <w:rsid w:val="001569AC"/>
    <w:rsid w:val="001707BF"/>
    <w:rsid w:val="0017125B"/>
    <w:rsid w:val="001736BA"/>
    <w:rsid w:val="00174D54"/>
    <w:rsid w:val="0017702C"/>
    <w:rsid w:val="00182DB7"/>
    <w:rsid w:val="00185270"/>
    <w:rsid w:val="001A3B5A"/>
    <w:rsid w:val="001A458C"/>
    <w:rsid w:val="001B7CE9"/>
    <w:rsid w:val="001D495A"/>
    <w:rsid w:val="001D7AAE"/>
    <w:rsid w:val="001E244C"/>
    <w:rsid w:val="001F1437"/>
    <w:rsid w:val="00206799"/>
    <w:rsid w:val="002074FE"/>
    <w:rsid w:val="00212000"/>
    <w:rsid w:val="0022425B"/>
    <w:rsid w:val="002259EF"/>
    <w:rsid w:val="002333D2"/>
    <w:rsid w:val="00240AA5"/>
    <w:rsid w:val="00242ED1"/>
    <w:rsid w:val="002444BB"/>
    <w:rsid w:val="00254069"/>
    <w:rsid w:val="002568AF"/>
    <w:rsid w:val="002578CB"/>
    <w:rsid w:val="00263E7B"/>
    <w:rsid w:val="00270748"/>
    <w:rsid w:val="002734E5"/>
    <w:rsid w:val="00274592"/>
    <w:rsid w:val="002746DB"/>
    <w:rsid w:val="00280CAF"/>
    <w:rsid w:val="00282F09"/>
    <w:rsid w:val="00287806"/>
    <w:rsid w:val="00291810"/>
    <w:rsid w:val="00294D62"/>
    <w:rsid w:val="00297532"/>
    <w:rsid w:val="00297FFD"/>
    <w:rsid w:val="002A0E5F"/>
    <w:rsid w:val="002A1210"/>
    <w:rsid w:val="002A47D2"/>
    <w:rsid w:val="002A7FB5"/>
    <w:rsid w:val="002B2074"/>
    <w:rsid w:val="002B7207"/>
    <w:rsid w:val="002C6529"/>
    <w:rsid w:val="002D14D8"/>
    <w:rsid w:val="002D3A79"/>
    <w:rsid w:val="002D3BD7"/>
    <w:rsid w:val="002D4799"/>
    <w:rsid w:val="002E3FA4"/>
    <w:rsid w:val="002E53A5"/>
    <w:rsid w:val="002E64B8"/>
    <w:rsid w:val="002E6834"/>
    <w:rsid w:val="002F0E6C"/>
    <w:rsid w:val="003113FF"/>
    <w:rsid w:val="00312622"/>
    <w:rsid w:val="00314C90"/>
    <w:rsid w:val="0032277F"/>
    <w:rsid w:val="00330AF3"/>
    <w:rsid w:val="003315CA"/>
    <w:rsid w:val="00332F8E"/>
    <w:rsid w:val="00334CA7"/>
    <w:rsid w:val="00336B69"/>
    <w:rsid w:val="00340774"/>
    <w:rsid w:val="0034302B"/>
    <w:rsid w:val="003461A9"/>
    <w:rsid w:val="00350523"/>
    <w:rsid w:val="003517C8"/>
    <w:rsid w:val="0035189D"/>
    <w:rsid w:val="00354B6D"/>
    <w:rsid w:val="00355B62"/>
    <w:rsid w:val="00357C8A"/>
    <w:rsid w:val="00364C9C"/>
    <w:rsid w:val="003740BC"/>
    <w:rsid w:val="0037456B"/>
    <w:rsid w:val="00374CE6"/>
    <w:rsid w:val="00375351"/>
    <w:rsid w:val="003801A3"/>
    <w:rsid w:val="00380F4F"/>
    <w:rsid w:val="00383D90"/>
    <w:rsid w:val="00384F2E"/>
    <w:rsid w:val="00386BD1"/>
    <w:rsid w:val="00386DA0"/>
    <w:rsid w:val="003870AE"/>
    <w:rsid w:val="003955A8"/>
    <w:rsid w:val="003A0679"/>
    <w:rsid w:val="003A1A27"/>
    <w:rsid w:val="003A4802"/>
    <w:rsid w:val="003A50CC"/>
    <w:rsid w:val="003B402C"/>
    <w:rsid w:val="003B42B3"/>
    <w:rsid w:val="003B554D"/>
    <w:rsid w:val="003B6384"/>
    <w:rsid w:val="003C0FE2"/>
    <w:rsid w:val="003C4EBB"/>
    <w:rsid w:val="003D1531"/>
    <w:rsid w:val="003D2E07"/>
    <w:rsid w:val="003E1499"/>
    <w:rsid w:val="003E1CC3"/>
    <w:rsid w:val="003E1EAD"/>
    <w:rsid w:val="003E4AD4"/>
    <w:rsid w:val="003E4EC6"/>
    <w:rsid w:val="003E527E"/>
    <w:rsid w:val="003E553E"/>
    <w:rsid w:val="003E7078"/>
    <w:rsid w:val="003F3DF5"/>
    <w:rsid w:val="003F73B8"/>
    <w:rsid w:val="0040297E"/>
    <w:rsid w:val="00411D11"/>
    <w:rsid w:val="00414494"/>
    <w:rsid w:val="00415E23"/>
    <w:rsid w:val="0041670D"/>
    <w:rsid w:val="00417280"/>
    <w:rsid w:val="00423272"/>
    <w:rsid w:val="00424061"/>
    <w:rsid w:val="00426126"/>
    <w:rsid w:val="00435430"/>
    <w:rsid w:val="004405AC"/>
    <w:rsid w:val="00442A3C"/>
    <w:rsid w:val="00443969"/>
    <w:rsid w:val="00447633"/>
    <w:rsid w:val="00447D74"/>
    <w:rsid w:val="00450A74"/>
    <w:rsid w:val="004546BF"/>
    <w:rsid w:val="00465350"/>
    <w:rsid w:val="0047418C"/>
    <w:rsid w:val="00476B91"/>
    <w:rsid w:val="004846BF"/>
    <w:rsid w:val="0049239B"/>
    <w:rsid w:val="00494912"/>
    <w:rsid w:val="004A5323"/>
    <w:rsid w:val="004A5A99"/>
    <w:rsid w:val="004A669E"/>
    <w:rsid w:val="004C6979"/>
    <w:rsid w:val="004D13A2"/>
    <w:rsid w:val="004D3E7A"/>
    <w:rsid w:val="004E053B"/>
    <w:rsid w:val="004F594B"/>
    <w:rsid w:val="004F61E1"/>
    <w:rsid w:val="00505F20"/>
    <w:rsid w:val="005069AA"/>
    <w:rsid w:val="005115D9"/>
    <w:rsid w:val="00514C15"/>
    <w:rsid w:val="00515CF7"/>
    <w:rsid w:val="00526E3E"/>
    <w:rsid w:val="0053332F"/>
    <w:rsid w:val="0053380B"/>
    <w:rsid w:val="00543194"/>
    <w:rsid w:val="00543D65"/>
    <w:rsid w:val="00544138"/>
    <w:rsid w:val="005538E3"/>
    <w:rsid w:val="0055437E"/>
    <w:rsid w:val="00554E34"/>
    <w:rsid w:val="00564130"/>
    <w:rsid w:val="005654ED"/>
    <w:rsid w:val="0057303B"/>
    <w:rsid w:val="00582F0C"/>
    <w:rsid w:val="00584583"/>
    <w:rsid w:val="00590E90"/>
    <w:rsid w:val="00590EEB"/>
    <w:rsid w:val="0059194A"/>
    <w:rsid w:val="005A0621"/>
    <w:rsid w:val="005A4099"/>
    <w:rsid w:val="005C38B2"/>
    <w:rsid w:val="005C5029"/>
    <w:rsid w:val="005C55C2"/>
    <w:rsid w:val="005C71CA"/>
    <w:rsid w:val="005C745C"/>
    <w:rsid w:val="005D4DF5"/>
    <w:rsid w:val="005E1E24"/>
    <w:rsid w:val="005E42BA"/>
    <w:rsid w:val="00611D6B"/>
    <w:rsid w:val="00617E7C"/>
    <w:rsid w:val="00625CFD"/>
    <w:rsid w:val="006326EC"/>
    <w:rsid w:val="00663A42"/>
    <w:rsid w:val="006641C7"/>
    <w:rsid w:val="006705EA"/>
    <w:rsid w:val="00670BE2"/>
    <w:rsid w:val="006916D9"/>
    <w:rsid w:val="006A077E"/>
    <w:rsid w:val="006A0E05"/>
    <w:rsid w:val="006A26C6"/>
    <w:rsid w:val="006A465A"/>
    <w:rsid w:val="006A7D5D"/>
    <w:rsid w:val="006B490B"/>
    <w:rsid w:val="006C295E"/>
    <w:rsid w:val="006C3537"/>
    <w:rsid w:val="006C5194"/>
    <w:rsid w:val="006D009A"/>
    <w:rsid w:val="006D0C12"/>
    <w:rsid w:val="006D5D57"/>
    <w:rsid w:val="006E2538"/>
    <w:rsid w:val="006E302F"/>
    <w:rsid w:val="006E46B5"/>
    <w:rsid w:val="006F0921"/>
    <w:rsid w:val="006F2A42"/>
    <w:rsid w:val="006F4D6D"/>
    <w:rsid w:val="006F749A"/>
    <w:rsid w:val="00700C38"/>
    <w:rsid w:val="00702699"/>
    <w:rsid w:val="00704A9D"/>
    <w:rsid w:val="00705086"/>
    <w:rsid w:val="0071432E"/>
    <w:rsid w:val="00714D9E"/>
    <w:rsid w:val="00716D9C"/>
    <w:rsid w:val="00717C02"/>
    <w:rsid w:val="00722001"/>
    <w:rsid w:val="00727CDF"/>
    <w:rsid w:val="00727E12"/>
    <w:rsid w:val="00736EF1"/>
    <w:rsid w:val="00744525"/>
    <w:rsid w:val="00744BA2"/>
    <w:rsid w:val="00745073"/>
    <w:rsid w:val="007506EA"/>
    <w:rsid w:val="00751E66"/>
    <w:rsid w:val="00754497"/>
    <w:rsid w:val="00764C25"/>
    <w:rsid w:val="00773201"/>
    <w:rsid w:val="0077680F"/>
    <w:rsid w:val="00782FB6"/>
    <w:rsid w:val="00787C39"/>
    <w:rsid w:val="00792947"/>
    <w:rsid w:val="00795DF3"/>
    <w:rsid w:val="007A373C"/>
    <w:rsid w:val="007B225C"/>
    <w:rsid w:val="007C27BE"/>
    <w:rsid w:val="007C2F6F"/>
    <w:rsid w:val="007C75B1"/>
    <w:rsid w:val="007D025B"/>
    <w:rsid w:val="007D3A95"/>
    <w:rsid w:val="007D3DFC"/>
    <w:rsid w:val="007E2F07"/>
    <w:rsid w:val="007E59A8"/>
    <w:rsid w:val="007F5F83"/>
    <w:rsid w:val="008041EB"/>
    <w:rsid w:val="0080639F"/>
    <w:rsid w:val="0080776D"/>
    <w:rsid w:val="00810145"/>
    <w:rsid w:val="008108FA"/>
    <w:rsid w:val="00810FF1"/>
    <w:rsid w:val="00822336"/>
    <w:rsid w:val="00823DFA"/>
    <w:rsid w:val="00824DE0"/>
    <w:rsid w:val="00826A9C"/>
    <w:rsid w:val="00840476"/>
    <w:rsid w:val="00842DB7"/>
    <w:rsid w:val="00843752"/>
    <w:rsid w:val="0084479F"/>
    <w:rsid w:val="008454AE"/>
    <w:rsid w:val="0085725E"/>
    <w:rsid w:val="0086569C"/>
    <w:rsid w:val="00873D4F"/>
    <w:rsid w:val="0087509F"/>
    <w:rsid w:val="00876509"/>
    <w:rsid w:val="008777B1"/>
    <w:rsid w:val="00885B09"/>
    <w:rsid w:val="00890851"/>
    <w:rsid w:val="008911CE"/>
    <w:rsid w:val="008919F9"/>
    <w:rsid w:val="00892400"/>
    <w:rsid w:val="0089419B"/>
    <w:rsid w:val="00897A39"/>
    <w:rsid w:val="008A049C"/>
    <w:rsid w:val="008A209D"/>
    <w:rsid w:val="008A22BB"/>
    <w:rsid w:val="008B035D"/>
    <w:rsid w:val="008B0E29"/>
    <w:rsid w:val="008B0EFA"/>
    <w:rsid w:val="008B2F45"/>
    <w:rsid w:val="008B30AB"/>
    <w:rsid w:val="008C3BB8"/>
    <w:rsid w:val="008C4B65"/>
    <w:rsid w:val="008D0BD6"/>
    <w:rsid w:val="008E5F55"/>
    <w:rsid w:val="008E6B86"/>
    <w:rsid w:val="008F3E1B"/>
    <w:rsid w:val="009009E7"/>
    <w:rsid w:val="00902E33"/>
    <w:rsid w:val="00905DEF"/>
    <w:rsid w:val="00906056"/>
    <w:rsid w:val="0090747A"/>
    <w:rsid w:val="009122AE"/>
    <w:rsid w:val="00913B43"/>
    <w:rsid w:val="009146E8"/>
    <w:rsid w:val="00922CAD"/>
    <w:rsid w:val="00925CF6"/>
    <w:rsid w:val="00930203"/>
    <w:rsid w:val="009311D2"/>
    <w:rsid w:val="009311E6"/>
    <w:rsid w:val="00931275"/>
    <w:rsid w:val="0093424E"/>
    <w:rsid w:val="009358AC"/>
    <w:rsid w:val="00936AC7"/>
    <w:rsid w:val="00947761"/>
    <w:rsid w:val="00953B64"/>
    <w:rsid w:val="009606EC"/>
    <w:rsid w:val="009646A7"/>
    <w:rsid w:val="00965D9B"/>
    <w:rsid w:val="00970A88"/>
    <w:rsid w:val="009818A1"/>
    <w:rsid w:val="009A1674"/>
    <w:rsid w:val="009A4D84"/>
    <w:rsid w:val="009B38BE"/>
    <w:rsid w:val="009B4DF2"/>
    <w:rsid w:val="009C684F"/>
    <w:rsid w:val="009D04AA"/>
    <w:rsid w:val="009D074C"/>
    <w:rsid w:val="009D2F2D"/>
    <w:rsid w:val="009D6E73"/>
    <w:rsid w:val="009E358D"/>
    <w:rsid w:val="009E372C"/>
    <w:rsid w:val="009E3732"/>
    <w:rsid w:val="009F1F1D"/>
    <w:rsid w:val="009F2B4F"/>
    <w:rsid w:val="009F3BF0"/>
    <w:rsid w:val="009F3C63"/>
    <w:rsid w:val="009F4132"/>
    <w:rsid w:val="009F66B5"/>
    <w:rsid w:val="00A02D0C"/>
    <w:rsid w:val="00A02F10"/>
    <w:rsid w:val="00A03C95"/>
    <w:rsid w:val="00A1060C"/>
    <w:rsid w:val="00A119EE"/>
    <w:rsid w:val="00A16221"/>
    <w:rsid w:val="00A1675B"/>
    <w:rsid w:val="00A20A7D"/>
    <w:rsid w:val="00A23651"/>
    <w:rsid w:val="00A35D42"/>
    <w:rsid w:val="00A46110"/>
    <w:rsid w:val="00A46CCF"/>
    <w:rsid w:val="00A506DE"/>
    <w:rsid w:val="00A53451"/>
    <w:rsid w:val="00A53D89"/>
    <w:rsid w:val="00A57DAC"/>
    <w:rsid w:val="00A601FF"/>
    <w:rsid w:val="00A70426"/>
    <w:rsid w:val="00A707CC"/>
    <w:rsid w:val="00A71410"/>
    <w:rsid w:val="00A77D52"/>
    <w:rsid w:val="00A91E9A"/>
    <w:rsid w:val="00A93ED9"/>
    <w:rsid w:val="00A96221"/>
    <w:rsid w:val="00A9756E"/>
    <w:rsid w:val="00AB5F29"/>
    <w:rsid w:val="00AC2DBB"/>
    <w:rsid w:val="00AC6A99"/>
    <w:rsid w:val="00AD3B27"/>
    <w:rsid w:val="00AD6048"/>
    <w:rsid w:val="00AE4F0A"/>
    <w:rsid w:val="00AF0A45"/>
    <w:rsid w:val="00AF69F8"/>
    <w:rsid w:val="00B0260E"/>
    <w:rsid w:val="00B055EF"/>
    <w:rsid w:val="00B06B5B"/>
    <w:rsid w:val="00B15E18"/>
    <w:rsid w:val="00B1766C"/>
    <w:rsid w:val="00B23769"/>
    <w:rsid w:val="00B41789"/>
    <w:rsid w:val="00B5068C"/>
    <w:rsid w:val="00B57FBB"/>
    <w:rsid w:val="00B81808"/>
    <w:rsid w:val="00B86DFA"/>
    <w:rsid w:val="00B929F5"/>
    <w:rsid w:val="00B936D0"/>
    <w:rsid w:val="00BB15FB"/>
    <w:rsid w:val="00BC0A91"/>
    <w:rsid w:val="00BD3D5B"/>
    <w:rsid w:val="00BD6B66"/>
    <w:rsid w:val="00BD6C13"/>
    <w:rsid w:val="00BE3600"/>
    <w:rsid w:val="00BF440A"/>
    <w:rsid w:val="00C012CD"/>
    <w:rsid w:val="00C01F6F"/>
    <w:rsid w:val="00C02C05"/>
    <w:rsid w:val="00C041EA"/>
    <w:rsid w:val="00C13BBD"/>
    <w:rsid w:val="00C14238"/>
    <w:rsid w:val="00C149AB"/>
    <w:rsid w:val="00C16929"/>
    <w:rsid w:val="00C173D8"/>
    <w:rsid w:val="00C20690"/>
    <w:rsid w:val="00C25E17"/>
    <w:rsid w:val="00C36020"/>
    <w:rsid w:val="00C40694"/>
    <w:rsid w:val="00C40A0D"/>
    <w:rsid w:val="00C464BE"/>
    <w:rsid w:val="00C479BF"/>
    <w:rsid w:val="00C506D4"/>
    <w:rsid w:val="00C5124B"/>
    <w:rsid w:val="00C6023E"/>
    <w:rsid w:val="00C63A74"/>
    <w:rsid w:val="00C66C64"/>
    <w:rsid w:val="00C70542"/>
    <w:rsid w:val="00C71649"/>
    <w:rsid w:val="00C75CBF"/>
    <w:rsid w:val="00C7758C"/>
    <w:rsid w:val="00C8003A"/>
    <w:rsid w:val="00C825E9"/>
    <w:rsid w:val="00C8445D"/>
    <w:rsid w:val="00C92A58"/>
    <w:rsid w:val="00CB044D"/>
    <w:rsid w:val="00CC2894"/>
    <w:rsid w:val="00CD6DE9"/>
    <w:rsid w:val="00CD77C3"/>
    <w:rsid w:val="00CE112C"/>
    <w:rsid w:val="00CF55D4"/>
    <w:rsid w:val="00D0402C"/>
    <w:rsid w:val="00D228CC"/>
    <w:rsid w:val="00D26114"/>
    <w:rsid w:val="00D261DF"/>
    <w:rsid w:val="00D331F1"/>
    <w:rsid w:val="00D51FFE"/>
    <w:rsid w:val="00D608DA"/>
    <w:rsid w:val="00D63A98"/>
    <w:rsid w:val="00D730BF"/>
    <w:rsid w:val="00D76F50"/>
    <w:rsid w:val="00D826AA"/>
    <w:rsid w:val="00D852F4"/>
    <w:rsid w:val="00D85E4B"/>
    <w:rsid w:val="00DB1110"/>
    <w:rsid w:val="00DB13A5"/>
    <w:rsid w:val="00DB3730"/>
    <w:rsid w:val="00DC371B"/>
    <w:rsid w:val="00DC3788"/>
    <w:rsid w:val="00DC76C7"/>
    <w:rsid w:val="00DD09F5"/>
    <w:rsid w:val="00DD0E02"/>
    <w:rsid w:val="00DD29C1"/>
    <w:rsid w:val="00DD4201"/>
    <w:rsid w:val="00DD5E9F"/>
    <w:rsid w:val="00DE5711"/>
    <w:rsid w:val="00DF7933"/>
    <w:rsid w:val="00E00EA0"/>
    <w:rsid w:val="00E021CB"/>
    <w:rsid w:val="00E138F1"/>
    <w:rsid w:val="00E2309D"/>
    <w:rsid w:val="00E26758"/>
    <w:rsid w:val="00E26A10"/>
    <w:rsid w:val="00E4357B"/>
    <w:rsid w:val="00E43ACE"/>
    <w:rsid w:val="00E443A7"/>
    <w:rsid w:val="00E45904"/>
    <w:rsid w:val="00E63DE5"/>
    <w:rsid w:val="00E647AF"/>
    <w:rsid w:val="00E647C7"/>
    <w:rsid w:val="00E65A37"/>
    <w:rsid w:val="00E65EF7"/>
    <w:rsid w:val="00E677C2"/>
    <w:rsid w:val="00E710E4"/>
    <w:rsid w:val="00E76934"/>
    <w:rsid w:val="00E77B48"/>
    <w:rsid w:val="00E857FB"/>
    <w:rsid w:val="00E91799"/>
    <w:rsid w:val="00E97DF8"/>
    <w:rsid w:val="00EA21FE"/>
    <w:rsid w:val="00EA34E3"/>
    <w:rsid w:val="00EB7538"/>
    <w:rsid w:val="00EC1868"/>
    <w:rsid w:val="00EC49AE"/>
    <w:rsid w:val="00ED66A4"/>
    <w:rsid w:val="00EE4F2D"/>
    <w:rsid w:val="00EE6468"/>
    <w:rsid w:val="00EE78D1"/>
    <w:rsid w:val="00F1299B"/>
    <w:rsid w:val="00F207A4"/>
    <w:rsid w:val="00F22211"/>
    <w:rsid w:val="00F230B0"/>
    <w:rsid w:val="00F2465B"/>
    <w:rsid w:val="00F25173"/>
    <w:rsid w:val="00F3221A"/>
    <w:rsid w:val="00F355AC"/>
    <w:rsid w:val="00F40CF7"/>
    <w:rsid w:val="00F44194"/>
    <w:rsid w:val="00F61D65"/>
    <w:rsid w:val="00F65027"/>
    <w:rsid w:val="00F71A5A"/>
    <w:rsid w:val="00F73A1A"/>
    <w:rsid w:val="00F769E0"/>
    <w:rsid w:val="00F76E5D"/>
    <w:rsid w:val="00F96D72"/>
    <w:rsid w:val="00FA28C2"/>
    <w:rsid w:val="00FA32A1"/>
    <w:rsid w:val="00FA4A46"/>
    <w:rsid w:val="00FA75FE"/>
    <w:rsid w:val="00FB1032"/>
    <w:rsid w:val="00FB39BC"/>
    <w:rsid w:val="00FB46B7"/>
    <w:rsid w:val="00FB6A53"/>
    <w:rsid w:val="00FC11CA"/>
    <w:rsid w:val="00FC2E07"/>
    <w:rsid w:val="00FC6BDE"/>
    <w:rsid w:val="00FE0F32"/>
    <w:rsid w:val="00FE6B38"/>
    <w:rsid w:val="00FF52FE"/>
    <w:rsid w:val="00FF6138"/>
    <w:rsid w:val="0C7D2720"/>
    <w:rsid w:val="12AE975E"/>
    <w:rsid w:val="1DE11919"/>
    <w:rsid w:val="1F4A9ADA"/>
    <w:rsid w:val="26A1B2FC"/>
    <w:rsid w:val="308C6843"/>
    <w:rsid w:val="74271D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CF4084"/>
  <w15:docId w15:val="{6C8BF6D0-4674-41B8-8611-4FF07BF3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paragraph" w:customStyle="1" w:styleId="paragraph">
    <w:name w:val="paragraph"/>
    <w:basedOn w:val="Normal"/>
    <w:rsid w:val="00EE4F2D"/>
    <w:pPr>
      <w:spacing w:before="100" w:beforeAutospacing="1" w:after="100" w:afterAutospacing="1"/>
    </w:pPr>
  </w:style>
  <w:style w:type="character" w:customStyle="1" w:styleId="normaltextrun">
    <w:name w:val="normaltextrun"/>
    <w:basedOn w:val="DefaultParagraphFont"/>
    <w:rsid w:val="00EE4F2D"/>
  </w:style>
  <w:style w:type="character" w:customStyle="1" w:styleId="eop">
    <w:name w:val="eop"/>
    <w:basedOn w:val="DefaultParagraphFont"/>
    <w:rsid w:val="00EE4F2D"/>
  </w:style>
  <w:style w:type="character" w:customStyle="1" w:styleId="BodyText2Char">
    <w:name w:val="Body Text 2 Char"/>
    <w:link w:val="BodyText2"/>
    <w:rsid w:val="00B15E18"/>
    <w:rPr>
      <w:sz w:val="24"/>
    </w:rPr>
  </w:style>
  <w:style w:type="character" w:customStyle="1" w:styleId="BodyTextIndentChar">
    <w:name w:val="Body Text Indent Char"/>
    <w:link w:val="BodyTextIndent"/>
    <w:rsid w:val="003A4802"/>
    <w:rPr>
      <w:sz w:val="24"/>
      <w:szCs w:val="24"/>
    </w:rPr>
  </w:style>
  <w:style w:type="character" w:customStyle="1" w:styleId="cf01">
    <w:name w:val="cf01"/>
    <w:basedOn w:val="DefaultParagraphFont"/>
    <w:uiPriority w:val="1"/>
    <w:rsid w:val="1DE119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requests-feedback-and-meetings-medical-device-submissions-q-submission-program" TargetMode="External" /><Relationship Id="rId11" Type="http://schemas.openxmlformats.org/officeDocument/2006/relationships/hyperlink" Target="https://www.fda.gov/regulatory-information/search-fda-guidance-documents/qualification-medical-device-development-tools" TargetMode="External" /><Relationship Id="rId12" Type="http://schemas.openxmlformats.org/officeDocument/2006/relationships/hyperlink" Target="https://www.fda.gov/about-fda/cdrh-innovation/payor-communication-task-force%232" TargetMode="External" /><Relationship Id="rId13" Type="http://schemas.openxmlformats.org/officeDocument/2006/relationships/hyperlink" Target="http://www.fda.gov/downloads/MedicalDevices/DeviceRegulationandGuidance/GuidanceDocuments/UCM313794.pdf" TargetMode="External" /><Relationship Id="rId14" Type="http://schemas.openxmlformats.org/officeDocument/2006/relationships/hyperlink" Target="http://www.fda.gov/BiologicsBloodVaccines/GuidanceComplianceRegulatoryInformation/ProceduresSOPPs/ucm079476.htm" TargetMode="External" /><Relationship Id="rId15" Type="http://schemas.openxmlformats.org/officeDocument/2006/relationships/hyperlink" Target="https://www.fda.gov/medical-devices/how-study-and-market-your-device/voluntary-estar-program" TargetMode="External" /><Relationship Id="rId16" Type="http://schemas.openxmlformats.org/officeDocument/2006/relationships/hyperlink" Target="http://www.bls.gov/oes/current/oes_nat.htm" TargetMode="External" /><Relationship Id="rId17" Type="http://schemas.openxmlformats.org/officeDocument/2006/relationships/hyperlink" Target="https://www.bls.gov/oes/current/oes_nat.htm"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FCF55-AA03-4B4F-9DA9-DE3902E6E8D2}">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2.xml><?xml version="1.0" encoding="utf-8"?>
<ds:datastoreItem xmlns:ds="http://schemas.openxmlformats.org/officeDocument/2006/customXml" ds:itemID="{8AAF1B25-E1D4-488C-AA9D-6957F67C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1476A-12EB-4F30-8378-8570A97C8174}">
  <ds:schemaRefs>
    <ds:schemaRef ds:uri="http://schemas.openxmlformats.org/officeDocument/2006/bibliography"/>
  </ds:schemaRefs>
</ds:datastoreItem>
</file>

<file path=customXml/itemProps4.xml><?xml version="1.0" encoding="utf-8"?>
<ds:datastoreItem xmlns:ds="http://schemas.openxmlformats.org/officeDocument/2006/customXml" ds:itemID="{64248836-5629-48F1-B6F4-6019D9D77B68}">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737</TotalTime>
  <Pages>8</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7</cp:revision>
  <cp:lastPrinted>2019-07-03T16:25:00Z</cp:lastPrinted>
  <dcterms:created xsi:type="dcterms:W3CDTF">2026-02-27T01:12:00Z</dcterms:created>
  <dcterms:modified xsi:type="dcterms:W3CDTF">2026-02-27T14:11:00Z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