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26AFB" w14:paraId="11670448" w14:textId="777777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Invitation Email</w:t>
      </w:r>
    </w:p>
    <w:p w:rsidR="00726AFB" w14:paraId="381BE66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AFB" w14:paraId="216278ED" w14:textId="77777777">
      <w:pPr>
        <w:spacing w:after="0" w:line="276" w:lineRule="auto"/>
        <w:rPr>
          <w:rFonts w:ascii="Source Sans Pro" w:eastAsia="Source Sans Pro" w:hAnsi="Source Sans Pro" w:cs="Source Sans Pro"/>
          <w:b/>
          <w:sz w:val="36"/>
          <w:szCs w:val="36"/>
        </w:rPr>
      </w:pPr>
      <w:r>
        <w:rPr>
          <w:rFonts w:ascii="Source Sans Pro" w:eastAsia="Source Sans Pro" w:hAnsi="Source Sans Pro" w:cs="Source Sans Pro"/>
          <w:b/>
          <w:sz w:val="36"/>
          <w:szCs w:val="36"/>
        </w:rPr>
        <w:t>Join a 60-minute Building Blocks Focus Group to Improve the Surveillance Data Lifecycle</w:t>
      </w:r>
    </w:p>
    <w:p w:rsidR="00726AFB" w14:paraId="59C5D378" w14:textId="77777777">
      <w:pPr>
        <w:spacing w:after="0" w:line="276" w:lineRule="auto"/>
        <w:rPr>
          <w:rFonts w:ascii="Source Sans Pro" w:eastAsia="Source Sans Pro" w:hAnsi="Source Sans Pro" w:cs="Source Sans Pro"/>
          <w:b/>
          <w:sz w:val="30"/>
          <w:szCs w:val="30"/>
        </w:rPr>
      </w:pPr>
    </w:p>
    <w:p w:rsidR="00726AFB" w14:paraId="154E855A" w14:textId="77777777">
      <w:pPr>
        <w:spacing w:after="0" w:line="276" w:lineRule="auto"/>
        <w:rPr>
          <w:b/>
        </w:rPr>
      </w:pPr>
      <w:r>
        <w:rPr>
          <w:b/>
        </w:rPr>
        <w:t>Why focus groups?</w:t>
      </w:r>
    </w:p>
    <w:p w:rsidR="00726AFB" w14:paraId="005E909C" w14:textId="77777777">
      <w:pPr>
        <w:spacing w:after="0" w:line="276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We want to gather input from state, tribal, local, and territorial (STLT) public health agencies to inform the prioritization and design of “Building Blocks” — tools to help public health departments more efficiently and effectively collect, use, analyze, </w:t>
      </w:r>
      <w:r>
        <w:rPr>
          <w:rFonts w:ascii="Source Sans Pro" w:eastAsia="Source Sans Pro" w:hAnsi="Source Sans Pro" w:cs="Source Sans Pro"/>
        </w:rPr>
        <w:t xml:space="preserve">and share surveillance data. </w:t>
      </w:r>
    </w:p>
    <w:p w:rsidR="00726AFB" w14:paraId="46DE6C04" w14:textId="77777777">
      <w:pPr>
        <w:spacing w:after="0" w:line="276" w:lineRule="auto"/>
        <w:rPr>
          <w:rFonts w:ascii="Source Sans Pro" w:eastAsia="Source Sans Pro" w:hAnsi="Source Sans Pro" w:cs="Source Sans Pro"/>
        </w:rPr>
      </w:pPr>
    </w:p>
    <w:p w:rsidR="00726AFB" w14:paraId="5DE2A9E6" w14:textId="77777777">
      <w:pPr>
        <w:spacing w:after="0" w:line="276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These focus groups will be conducted in a workshop format, where everyone’s voice will be heard. </w:t>
      </w:r>
    </w:p>
    <w:p w:rsidR="00726AFB" w14:paraId="5B9CB99D" w14:textId="77777777">
      <w:pPr>
        <w:spacing w:after="0" w:line="276" w:lineRule="auto"/>
      </w:pPr>
    </w:p>
    <w:p w:rsidR="00726AFB" w14:paraId="2689ACCE" w14:textId="77777777">
      <w:pPr>
        <w:spacing w:after="0" w:line="276" w:lineRule="auto"/>
        <w:rPr>
          <w:b/>
        </w:rPr>
      </w:pPr>
      <w:r>
        <w:rPr>
          <w:b/>
        </w:rPr>
        <w:t>What do we want to know?</w:t>
      </w:r>
    </w:p>
    <w:p w:rsidR="00726AFB" w14:paraId="0AB71C7A" w14:textId="77777777">
      <w:pPr>
        <w:spacing w:after="0" w:line="276" w:lineRule="auto"/>
      </w:pPr>
      <w:r>
        <w:t>We want to identify STLTs’ pain points and needs along various steps of the surveillance data lifecyc</w:t>
      </w:r>
      <w:r>
        <w:t>le (data access and collection, data orchestration, storage, cleansing and integration, analysis and visualization, dissemination and sharing).</w:t>
      </w:r>
    </w:p>
    <w:p w:rsidR="00726AFB" w14:paraId="2DCC2C4B" w14:textId="77777777">
      <w:pPr>
        <w:spacing w:after="0" w:line="276" w:lineRule="auto"/>
        <w:rPr>
          <w:b/>
        </w:rPr>
      </w:pPr>
      <w:r>
        <w:rPr>
          <w:b/>
        </w:rPr>
        <w:t xml:space="preserve"> </w:t>
      </w:r>
    </w:p>
    <w:p w:rsidR="00726AFB" w14:paraId="0CCC0706" w14:textId="77777777">
      <w:pPr>
        <w:spacing w:after="0" w:line="276" w:lineRule="auto"/>
      </w:pPr>
      <w:r>
        <w:t xml:space="preserve">We’ll initially have a topic-centered approach for these groups with a specific focus </w:t>
      </w:r>
      <w:r>
        <w:t>on</w:t>
      </w:r>
      <w:r>
        <w:rPr>
          <w:rFonts w:ascii="Source Sans Pro" w:eastAsia="Source Sans Pro" w:hAnsi="Source Sans Pro" w:cs="Source Sans Pro"/>
          <w:sz w:val="20"/>
          <w:szCs w:val="20"/>
        </w:rPr>
        <w:t>:</w:t>
      </w:r>
      <w:r>
        <w:t xml:space="preserve"> childhood lead poiso</w:t>
      </w:r>
      <w:r>
        <w:t xml:space="preserve">ning, </w:t>
      </w:r>
      <w:r>
        <w:rPr>
          <w:color w:val="202124"/>
          <w:highlight w:val="white"/>
        </w:rPr>
        <w:t>Legionnaires' disease</w:t>
      </w:r>
      <w:r>
        <w:t>, listeria, HIV, and Data Exchange. (*Data Exchange is the platform through which CDC will exchange data with partners and the public; for Data Exchange focus groups, we're seeking to hear from jurisdictions who report directly t</w:t>
      </w:r>
      <w:r>
        <w:t xml:space="preserve">o the CDC.). </w:t>
      </w:r>
    </w:p>
    <w:p w:rsidR="00726AFB" w14:paraId="0A36397D" w14:textId="77777777">
      <w:pPr>
        <w:spacing w:after="0" w:line="276" w:lineRule="auto"/>
        <w:rPr>
          <w:b/>
        </w:rPr>
      </w:pPr>
      <w:r>
        <w:rPr>
          <w:b/>
        </w:rPr>
        <w:t xml:space="preserve"> </w:t>
      </w:r>
    </w:p>
    <w:p w:rsidR="00726AFB" w14:paraId="5D482EC0" w14:textId="77777777">
      <w:pPr>
        <w:spacing w:after="0" w:line="276" w:lineRule="auto"/>
        <w:rPr>
          <w:b/>
        </w:rPr>
      </w:pPr>
      <w:r>
        <w:rPr>
          <w:b/>
        </w:rPr>
        <w:t>Who should participate?</w:t>
      </w:r>
    </w:p>
    <w:p w:rsidR="00726AFB" w14:paraId="35365A63" w14:textId="77777777">
      <w:pPr>
        <w:spacing w:after="0" w:line="276" w:lineRule="auto"/>
      </w:pPr>
      <w:r>
        <w:t xml:space="preserve">We want to hear from STLT public health agency staff who interact with surveillance data at any point along the lifecycle (including but not limited to epidemiologists, IT staff, </w:t>
      </w:r>
      <w:r>
        <w:t>nurses</w:t>
      </w:r>
      <w:r>
        <w:t xml:space="preserve"> and administrators).</w:t>
      </w:r>
    </w:p>
    <w:p w:rsidR="00726AFB" w14:paraId="01364B41" w14:textId="77777777">
      <w:pPr>
        <w:spacing w:after="0" w:line="276" w:lineRule="auto"/>
        <w:rPr>
          <w:b/>
        </w:rPr>
      </w:pPr>
      <w:r>
        <w:rPr>
          <w:b/>
        </w:rPr>
        <w:t xml:space="preserve"> </w:t>
      </w:r>
    </w:p>
    <w:p w:rsidR="00726AFB" w14:paraId="1AF1B470" w14:textId="77777777">
      <w:pPr>
        <w:spacing w:after="0" w:line="276" w:lineRule="auto"/>
        <w:rPr>
          <w:b/>
        </w:rPr>
      </w:pPr>
      <w:r>
        <w:rPr>
          <w:b/>
        </w:rPr>
        <w:t xml:space="preserve">How do </w:t>
      </w:r>
      <w:r>
        <w:rPr>
          <w:b/>
        </w:rPr>
        <w:t>you sign up?</w:t>
      </w:r>
    </w:p>
    <w:p w:rsidR="00726AFB" w14:paraId="45A3EC87" w14:textId="77777777">
      <w:pPr>
        <w:spacing w:after="0" w:line="276" w:lineRule="auto"/>
      </w:pPr>
      <w:r>
        <w:t>Focus groups will start in September (specific dates to be determined). Please use this link to sign up:</w:t>
      </w:r>
      <w:r>
        <w:rPr>
          <w:b/>
        </w:rPr>
        <w:t xml:space="preserve"> </w:t>
      </w:r>
      <w:hyperlink r:id="rId5">
        <w:r>
          <w:rPr>
            <w:color w:val="1155CC"/>
            <w:highlight w:val="white"/>
            <w:u w:val="single"/>
          </w:rPr>
          <w:t>https://www.surveymonkey.com/r/L35PNRK</w:t>
        </w:r>
      </w:hyperlink>
    </w:p>
    <w:p w:rsidR="00726AFB" w14:paraId="3CB5D31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0" w:line="240" w:lineRule="auto"/>
        <w:rPr>
          <w:rFonts w:ascii="Arial" w:eastAsia="Arial" w:hAnsi="Arial" w:cs="Arial"/>
          <w:u w:val="single"/>
        </w:rPr>
      </w:pPr>
    </w:p>
    <w:p w:rsidR="00726AFB" w14:paraId="26700BFF" w14:textId="77777777">
      <w:pPr>
        <w:spacing w:after="0" w:line="276" w:lineRule="auto"/>
        <w:rPr>
          <w:b/>
        </w:rPr>
      </w:pPr>
      <w:r>
        <w:rPr>
          <w:b/>
        </w:rPr>
        <w:t xml:space="preserve">If you have any questions, please send an email to: </w:t>
      </w:r>
      <w:hyperlink r:id="rId6">
        <w:r>
          <w:rPr>
            <w:b/>
            <w:color w:val="1155CC"/>
            <w:u w:val="single"/>
          </w:rPr>
          <w:t>dmibuildingblocks@cdc.gov</w:t>
        </w:r>
      </w:hyperlink>
    </w:p>
    <w:p w:rsidR="00726AFB" w14:paraId="33890C08" w14:textId="77777777">
      <w:pPr>
        <w:spacing w:after="0" w:line="276" w:lineRule="auto"/>
        <w:rPr>
          <w:b/>
        </w:rPr>
      </w:pPr>
    </w:p>
    <w:p w:rsidR="00726AFB" w14:paraId="2B9F52F1" w14:textId="77777777">
      <w:pPr>
        <w:spacing w:after="0" w:line="276" w:lineRule="auto"/>
        <w:rPr>
          <w:b/>
        </w:rPr>
      </w:pPr>
      <w:r>
        <w:rPr>
          <w:b/>
        </w:rPr>
        <w:t xml:space="preserve">WE LOOK FORWARD TO LEARNING FROM YOU! </w:t>
      </w:r>
    </w:p>
    <w:p w:rsidR="00726AFB" w14:paraId="1A3DBEB2" w14:textId="77777777">
      <w:pPr>
        <w:spacing w:after="0" w:line="276" w:lineRule="auto"/>
        <w:rPr>
          <w:b/>
        </w:rPr>
      </w:pPr>
    </w:p>
    <w:p w:rsidR="00726AFB" w14:paraId="4DC96FA8" w14:textId="77777777">
      <w:pPr>
        <w:spacing w:after="0" w:line="276" w:lineRule="auto"/>
        <w:rPr>
          <w:b/>
        </w:rPr>
      </w:pPr>
    </w:p>
    <w:p w:rsidR="00726AFB" w14:paraId="43CD5453" w14:textId="77777777">
      <w:pPr>
        <w:spacing w:after="0" w:line="276" w:lineRule="auto"/>
        <w:rPr>
          <w:b/>
        </w:rPr>
      </w:pPr>
    </w:p>
    <w:p w:rsidR="00726AFB" w14:paraId="3728DB41" w14:textId="77777777">
      <w:pPr>
        <w:spacing w:after="0" w:line="276" w:lineRule="auto"/>
        <w:rPr>
          <w:b/>
        </w:rPr>
      </w:pPr>
    </w:p>
    <w:p w:rsidR="00726AFB" w14:paraId="3570240E" w14:textId="77777777">
      <w:pPr>
        <w:spacing w:after="0" w:line="276" w:lineRule="auto"/>
        <w:rPr>
          <w:b/>
        </w:rPr>
      </w:pPr>
    </w:p>
    <w:p w:rsidR="00726AFB" w14:paraId="2A2405F4" w14:textId="77777777">
      <w:pPr>
        <w:spacing w:after="0" w:line="276" w:lineRule="auto"/>
        <w:rPr>
          <w:b/>
        </w:rPr>
      </w:pPr>
    </w:p>
    <w:p w:rsidR="00726AFB" w14:paraId="43052573" w14:textId="77777777">
      <w:pPr>
        <w:spacing w:after="0" w:line="276" w:lineRule="auto"/>
        <w:rPr>
          <w:b/>
        </w:rPr>
      </w:pPr>
    </w:p>
    <w:p w:rsidR="00726AFB" w14:paraId="377A9561" w14:textId="77777777">
      <w:pPr>
        <w:spacing w:after="0" w:line="276" w:lineRule="auto"/>
        <w:rPr>
          <w:b/>
        </w:rPr>
      </w:pPr>
    </w:p>
    <w:p w:rsidR="00726AFB" w14:paraId="74C17397" w14:textId="77777777">
      <w:pPr>
        <w:spacing w:after="0" w:line="276" w:lineRule="auto"/>
        <w:rPr>
          <w:b/>
          <w:i/>
        </w:rPr>
      </w:pPr>
      <w:r>
        <w:rPr>
          <w:b/>
          <w:i/>
        </w:rPr>
        <w:t>Signup Form</w:t>
      </w:r>
    </w:p>
    <w:p w:rsidR="00726AFB" w14:paraId="3C7C616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4906183" cy="7319963"/>
            <wp:effectExtent l="0" t="0" r="0" b="0"/>
            <wp:docPr id="1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183" cy="731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FB" w14:paraId="0AB104C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AFB" w14:paraId="4411432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726AFB" w14:paraId="6548EDA0" w14:textId="777777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Mural.co</w:t>
      </w:r>
    </w:p>
    <w:p w:rsidR="00726AFB" w14:paraId="39D10C82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Mural.co view - only link </w:t>
      </w:r>
    </w:p>
    <w:p w:rsidR="00726AFB" w14:paraId="23D9BAF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>
        <w:r>
          <w:rPr>
            <w:rFonts w:ascii="Arial" w:eastAsia="Arial" w:hAnsi="Arial" w:cs="Arial"/>
            <w:b/>
            <w:color w:val="1155CC"/>
            <w:sz w:val="23"/>
            <w:szCs w:val="23"/>
            <w:shd w:val="clear" w:color="auto" w:fill="F8F8F8"/>
          </w:rPr>
          <w:t>https://app.mural.co/invitation/mural/primedatainput6410/1663796185904?sender=ubd1733f5f0b3715</w:t>
        </w:r>
        <w:r>
          <w:rPr>
            <w:rFonts w:ascii="Arial" w:eastAsia="Arial" w:hAnsi="Arial" w:cs="Arial"/>
            <w:b/>
            <w:color w:val="1155CC"/>
            <w:sz w:val="23"/>
            <w:szCs w:val="23"/>
            <w:shd w:val="clear" w:color="auto" w:fill="F8F8F8"/>
          </w:rPr>
          <w:t>f56919452&amp;key=31ed5423-3ccc-4</w:t>
        </w:r>
        <w:r>
          <w:rPr>
            <w:rFonts w:ascii="Arial" w:eastAsia="Arial" w:hAnsi="Arial" w:cs="Arial"/>
            <w:b/>
            <w:color w:val="1155CC"/>
            <w:sz w:val="23"/>
            <w:szCs w:val="23"/>
            <w:shd w:val="clear" w:color="auto" w:fill="F8F8F8"/>
          </w:rPr>
          <w:t>2</w:t>
        </w:r>
        <w:r>
          <w:rPr>
            <w:rFonts w:ascii="Arial" w:eastAsia="Arial" w:hAnsi="Arial" w:cs="Arial"/>
            <w:b/>
            <w:color w:val="1155CC"/>
            <w:sz w:val="23"/>
            <w:szCs w:val="23"/>
            <w:shd w:val="clear" w:color="auto" w:fill="F8F8F8"/>
          </w:rPr>
          <w:t>fb-b15c-a412bdcec80d</w:t>
        </w:r>
      </w:hyperlink>
    </w:p>
    <w:p w:rsidR="00726AFB" w14:paraId="72E619C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AFB" w14:paraId="0077B9CB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Screenshot of the Mural.co board</w:t>
      </w:r>
    </w:p>
    <w:p w:rsidR="00726AFB" w14:paraId="0C1F53C7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AFB" w14:paraId="28DDA128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3600" cy="3251200"/>
            <wp:effectExtent l="0" t="0" r="0" b="0"/>
            <wp:docPr id="1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FB" w14:paraId="597C52C9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AFB" w14:paraId="1180C3A6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3600" cy="3517900"/>
            <wp:effectExtent l="0" t="0" r="0" b="0"/>
            <wp:docPr id="1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3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FB" w14:paraId="13DE723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AFB" w14:paraId="57CFDF86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733675" cy="5086350"/>
            <wp:effectExtent l="0" t="0" r="0" b="0"/>
            <wp:docPr id="1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2.png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080" w:bottom="990" w:left="1080" w:header="720" w:footer="27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AFB" w14:paraId="6FD5AE4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AFB" w14:paraId="623D9E6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726AFB" w14:paraId="70F209A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AFB" w14:paraId="7BB5B41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AFB" w14:paraId="46E5AF7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AFB" w14:paraId="6DDD763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>OMB Control No. 0920-1050</w:t>
    </w:r>
  </w:p>
  <w:p w:rsidR="00726AFB" w14:paraId="640BF44A" w14:textId="193D9B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</w:rPr>
      <w:t xml:space="preserve">Exp. </w:t>
    </w:r>
    <w:r>
      <w:rPr>
        <w:rFonts w:ascii="Quattrocento Sans" w:eastAsia="Quattrocento Sans" w:hAnsi="Quattrocento Sans" w:cs="Quattrocento Sans"/>
      </w:rPr>
      <w:t>Date: 06/30/2025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AFB" w14:paraId="4023BF5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FB"/>
    <w:rsid w:val="00726AFB"/>
    <w:rsid w:val="00A66F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84DFE1"/>
  <w15:docId w15:val="{5A2F5660-9FEB-42D9-86AB-983FAA73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67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67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4F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04EB7"/>
    <w:rPr>
      <w:rFonts w:asciiTheme="majorHAnsi" w:eastAsiaTheme="majorEastAsia" w:hAnsiTheme="majorHAnsi" w:cstheme="majorBidi"/>
      <w:color w:val="002677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4EB7"/>
    <w:rPr>
      <w:rFonts w:asciiTheme="majorHAnsi" w:eastAsiaTheme="majorEastAsia" w:hAnsiTheme="majorHAnsi" w:cstheme="majorBidi"/>
      <w:color w:val="002677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4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3BD"/>
    <w:rPr>
      <w:color w:val="0033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3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75573"/>
    <w:rPr>
      <w:rFonts w:asciiTheme="majorHAnsi" w:eastAsiaTheme="majorEastAsia" w:hAnsiTheme="majorHAnsi" w:cstheme="majorBidi"/>
      <w:color w:val="00194F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B0"/>
  </w:style>
  <w:style w:type="paragraph" w:styleId="Footer">
    <w:name w:val="footer"/>
    <w:basedOn w:val="Normal"/>
    <w:link w:val="FooterChar"/>
    <w:uiPriority w:val="99"/>
    <w:unhideWhenUsed/>
    <w:rsid w:val="0096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B0"/>
  </w:style>
  <w:style w:type="paragraph" w:styleId="NoSpacing">
    <w:name w:val="No Spacing"/>
    <w:uiPriority w:val="1"/>
    <w:qFormat/>
    <w:rsid w:val="00E479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5">
    <w:name w:val="Grid Table 4 Accent 5"/>
    <w:basedOn w:val="TableNormal"/>
    <w:uiPriority w:val="49"/>
    <w:rsid w:val="007D7D38"/>
    <w:pPr>
      <w:spacing w:after="0" w:line="240" w:lineRule="auto"/>
    </w:pPr>
    <w:tblPr>
      <w:tblStyleRowBandSize w:val="1"/>
      <w:tblStyleColBandSize w:val="1"/>
      <w:tblBorders>
        <w:top w:val="single" w:sz="4" w:space="0" w:color="AEE669" w:themeColor="accent5" w:themeTint="99"/>
        <w:left w:val="single" w:sz="4" w:space="0" w:color="AEE669" w:themeColor="accent5" w:themeTint="99"/>
        <w:bottom w:val="single" w:sz="4" w:space="0" w:color="AEE669" w:themeColor="accent5" w:themeTint="99"/>
        <w:right w:val="single" w:sz="4" w:space="0" w:color="AEE669" w:themeColor="accent5" w:themeTint="99"/>
        <w:insideH w:val="single" w:sz="4" w:space="0" w:color="AEE669" w:themeColor="accent5" w:themeTint="99"/>
        <w:insideV w:val="single" w:sz="4" w:space="0" w:color="AEE6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BC1F" w:themeColor="accent5"/>
          <w:left w:val="single" w:sz="4" w:space="0" w:color="77BC1F" w:themeColor="accent5"/>
          <w:bottom w:val="single" w:sz="4" w:space="0" w:color="77BC1F" w:themeColor="accent5"/>
          <w:right w:val="single" w:sz="4" w:space="0" w:color="77BC1F" w:themeColor="accent5"/>
          <w:insideH w:val="nil"/>
          <w:insideV w:val="nil"/>
        </w:tcBorders>
        <w:shd w:val="clear" w:color="auto" w:fill="77BC1F" w:themeFill="accent5"/>
      </w:tcPr>
    </w:tblStylePr>
    <w:tblStylePr w:type="lastRow">
      <w:rPr>
        <w:b/>
        <w:bCs/>
      </w:rPr>
      <w:tblPr/>
      <w:tcPr>
        <w:tcBorders>
          <w:top w:val="double" w:sz="4" w:space="0" w:color="77BC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C" w:themeFill="accent5" w:themeFillTint="33"/>
      </w:tcPr>
    </w:tblStylePr>
    <w:tblStylePr w:type="band1Horz">
      <w:tblPr/>
      <w:tcPr>
        <w:shd w:val="clear" w:color="auto" w:fill="E4F6CC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7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6C0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0C63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F5D58"/>
    <w:rPr>
      <w:color w:val="692045" w:themeColor="followedHyperlink"/>
      <w:u w:val="single"/>
    </w:rPr>
  </w:style>
  <w:style w:type="paragraph" w:styleId="Revision">
    <w:name w:val="Revision"/>
    <w:hidden/>
    <w:uiPriority w:val="99"/>
    <w:semiHidden/>
    <w:rsid w:val="00903C61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906F0A"/>
    <w:pPr>
      <w:spacing w:after="0" w:line="240" w:lineRule="auto"/>
    </w:pPr>
    <w:tblPr>
      <w:tblStyleRowBandSize w:val="1"/>
      <w:tblStyleColBandSize w:val="1"/>
      <w:tblBorders>
        <w:top w:val="single" w:sz="4" w:space="0" w:color="739FFF" w:themeColor="text1" w:themeTint="66"/>
        <w:left w:val="single" w:sz="4" w:space="0" w:color="739FFF" w:themeColor="text1" w:themeTint="66"/>
        <w:bottom w:val="single" w:sz="4" w:space="0" w:color="739FFF" w:themeColor="text1" w:themeTint="66"/>
        <w:right w:val="single" w:sz="4" w:space="0" w:color="739FFF" w:themeColor="text1" w:themeTint="66"/>
        <w:insideH w:val="single" w:sz="4" w:space="0" w:color="739FFF" w:themeColor="text1" w:themeTint="66"/>
        <w:insideV w:val="single" w:sz="4" w:space="0" w:color="739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D6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6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263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urveymonkey.com/r/L35PNRK" TargetMode="External" /><Relationship Id="rId6" Type="http://schemas.openxmlformats.org/officeDocument/2006/relationships/hyperlink" Target="mailto:dmibuildingblocks@cdc.gov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app.mural.co/invitation/mural/primedatainput6410/1663796185904?sender=ubd1733f5f0b3715f56919452&amp;key=31ed5423-3ccc-42fb-b15c-a412bdcec80d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CSTLTS 2019">
      <a:dk1>
        <a:srgbClr val="0033A0"/>
      </a:dk1>
      <a:lt1>
        <a:srgbClr val="FFFFFF"/>
      </a:lt1>
      <a:dk2>
        <a:srgbClr val="000000"/>
      </a:dk2>
      <a:lt2>
        <a:srgbClr val="E2E0D4"/>
      </a:lt2>
      <a:accent1>
        <a:srgbClr val="0033A0"/>
      </a:accent1>
      <a:accent2>
        <a:srgbClr val="EDAA00"/>
      </a:accent2>
      <a:accent3>
        <a:srgbClr val="007297"/>
      </a:accent3>
      <a:accent4>
        <a:srgbClr val="692045"/>
      </a:accent4>
      <a:accent5>
        <a:srgbClr val="77BC1F"/>
      </a:accent5>
      <a:accent6>
        <a:srgbClr val="C2531A"/>
      </a:accent6>
      <a:hlink>
        <a:srgbClr val="0033A0"/>
      </a:hlink>
      <a:folHlink>
        <a:srgbClr val="6920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w0qN9YDRdLMaPXm6n+lpvd0Cg==">AMUW2mVorPWLZ6pzqoCf9P8HUGURBw+qRxUsagiGaqIWqT19P/g5JkXFKZn5qojSdQAYRMl4WmmQUS/70bfZ3Azc1hmJgOSYE5BNlPVuW9C6pQ8dDkroHak=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Argotsinger, Brittany (CDC/DDPHSIS/CSTLTS/DPIFS)</dc:creator>
  <cp:lastModifiedBy>Zirger, Jeffrey (CDC/DDPHSS/OS/OSI)</cp:lastModifiedBy>
  <cp:revision>2</cp:revision>
  <dcterms:created xsi:type="dcterms:W3CDTF">2022-08-23T21:54:00Z</dcterms:created>
  <dcterms:modified xsi:type="dcterms:W3CDTF">2022-09-26T15:17:00Z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bf05544d-2a92-4b6a-bf4c-b0dac57c37b6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2021-03-02T18:21:43Z</vt:lpwstr>
  </property>
  <property fmtid="{D5CDD505-2E9C-101B-9397-08002B2CF9AE}" pid="10" name="MSIP_Label_7b94a7b8-f06c-4dfe-bdcc-9b548fd58c31_SiteId">
    <vt:lpwstr>9ce70869-60db-44fd-abe8-d2767077fc8f</vt:lpwstr>
  </property>
</Properties>
</file>