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00F06866" w14:paraId="4A225714" w14:textId="41A70E2D">
      <w:pPr>
        <w:pStyle w:val="Heading2"/>
        <w:tabs>
          <w:tab w:val="left" w:pos="900"/>
        </w:tabs>
        <w:ind w:right="-180"/>
      </w:pPr>
      <w:r>
        <w:rPr>
          <w:sz w:val="28"/>
        </w:rPr>
        <w:t xml:space="preserve"> </w:t>
      </w: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6E8AA2EA">
            <w:pPr>
              <w:rPr>
                <w:rFonts w:eastAsiaTheme="minorHAnsi"/>
                <w:sz w:val="22"/>
                <w:szCs w:val="22"/>
              </w:rPr>
            </w:pPr>
            <w:r>
              <w:rPr>
                <w:rFonts w:eastAsiaTheme="minorHAnsi"/>
                <w:sz w:val="22"/>
                <w:szCs w:val="22"/>
              </w:rPr>
              <w:t xml:space="preserve">[ </w:t>
            </w:r>
            <w:r w:rsidR="005D2B75">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275CC5E0">
            <w:pPr>
              <w:widowControl w:val="0"/>
              <w:rPr>
                <w:sz w:val="22"/>
                <w:szCs w:val="22"/>
              </w:rPr>
            </w:pPr>
            <w:r>
              <w:rPr>
                <w:rFonts w:eastAsiaTheme="minorHAnsi"/>
                <w:sz w:val="22"/>
                <w:szCs w:val="22"/>
              </w:rPr>
              <w:t xml:space="preserve">[  ] Yes     [ </w:t>
            </w:r>
            <w:r w:rsidR="005D2B75">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5798E391">
            <w:pPr>
              <w:rPr>
                <w:rFonts w:eastAsiaTheme="minorHAnsi"/>
                <w:sz w:val="22"/>
                <w:szCs w:val="22"/>
              </w:rPr>
            </w:pPr>
            <w:r>
              <w:rPr>
                <w:rFonts w:eastAsiaTheme="minorHAnsi"/>
                <w:sz w:val="22"/>
                <w:szCs w:val="22"/>
              </w:rPr>
              <w:t xml:space="preserve">[ </w:t>
            </w:r>
            <w:r w:rsidR="005D2B75">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180F8B39">
            <w:pPr>
              <w:widowControl w:val="0"/>
              <w:rPr>
                <w:sz w:val="22"/>
                <w:szCs w:val="22"/>
              </w:rPr>
            </w:pPr>
            <w:r>
              <w:rPr>
                <w:rFonts w:eastAsiaTheme="minorHAnsi"/>
                <w:sz w:val="22"/>
                <w:szCs w:val="22"/>
              </w:rPr>
              <w:t>[  ] Yes     [</w:t>
            </w:r>
            <w:r w:rsidR="005D2B75">
              <w:rPr>
                <w:rFonts w:eastAsiaTheme="minorHAnsi"/>
                <w:sz w:val="22"/>
                <w:szCs w:val="22"/>
              </w:rPr>
              <w:t>X</w:t>
            </w:r>
            <w:r>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20A30CF9">
            <w:pPr>
              <w:rPr>
                <w:rFonts w:eastAsiaTheme="minorHAnsi"/>
                <w:sz w:val="22"/>
                <w:szCs w:val="22"/>
              </w:rPr>
            </w:pPr>
            <w:r>
              <w:rPr>
                <w:rFonts w:eastAsiaTheme="minorHAnsi"/>
                <w:sz w:val="22"/>
                <w:szCs w:val="22"/>
              </w:rPr>
              <w:t xml:space="preserve">[ </w:t>
            </w:r>
            <w:r w:rsidR="00847D61">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324CFC5F">
            <w:pPr>
              <w:widowControl w:val="0"/>
              <w:rPr>
                <w:sz w:val="22"/>
                <w:szCs w:val="22"/>
              </w:rPr>
            </w:pPr>
            <w:r>
              <w:rPr>
                <w:rFonts w:eastAsiaTheme="minorHAnsi"/>
                <w:sz w:val="22"/>
                <w:szCs w:val="22"/>
              </w:rPr>
              <w:t>[  ] Yes     [</w:t>
            </w:r>
            <w:r w:rsidR="005D2B75">
              <w:rPr>
                <w:rFonts w:eastAsiaTheme="minorHAnsi"/>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074C78DE">
            <w:pPr>
              <w:rPr>
                <w:rFonts w:eastAsiaTheme="minorHAnsi"/>
                <w:sz w:val="22"/>
                <w:szCs w:val="22"/>
              </w:rPr>
            </w:pPr>
            <w:r>
              <w:rPr>
                <w:rFonts w:eastAsiaTheme="minorHAnsi"/>
                <w:sz w:val="22"/>
                <w:szCs w:val="22"/>
              </w:rPr>
              <w:t>[</w:t>
            </w:r>
            <w:r w:rsidR="005D2B75">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DE6FCD6">
            <w:pPr>
              <w:widowControl w:val="0"/>
              <w:rPr>
                <w:sz w:val="22"/>
                <w:szCs w:val="22"/>
              </w:rPr>
            </w:pPr>
            <w:r>
              <w:rPr>
                <w:rFonts w:eastAsiaTheme="minorHAnsi"/>
                <w:sz w:val="22"/>
                <w:szCs w:val="22"/>
              </w:rPr>
              <w:t xml:space="preserve">[  ] Yes     [ </w:t>
            </w:r>
            <w:r w:rsidR="005D2B75">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1BC5905A">
            <w:pPr>
              <w:rPr>
                <w:rFonts w:eastAsiaTheme="minorHAnsi"/>
                <w:sz w:val="22"/>
                <w:szCs w:val="22"/>
              </w:rPr>
            </w:pPr>
            <w:r>
              <w:rPr>
                <w:rFonts w:eastAsiaTheme="minorHAnsi"/>
                <w:sz w:val="22"/>
                <w:szCs w:val="22"/>
              </w:rPr>
              <w:t xml:space="preserve">[ </w:t>
            </w:r>
            <w:r w:rsidR="005D2B75">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720D93AB">
            <w:pPr>
              <w:widowControl w:val="0"/>
              <w:rPr>
                <w:sz w:val="22"/>
                <w:szCs w:val="22"/>
              </w:rPr>
            </w:pPr>
            <w:r>
              <w:rPr>
                <w:rFonts w:eastAsiaTheme="minorHAnsi"/>
                <w:sz w:val="22"/>
                <w:szCs w:val="22"/>
              </w:rPr>
              <w:t xml:space="preserve">[  ] Yes     [  </w:t>
            </w:r>
            <w:r w:rsidR="005D2B75">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053F8CEA">
            <w:pPr>
              <w:rPr>
                <w:sz w:val="22"/>
                <w:szCs w:val="22"/>
              </w:rPr>
            </w:pPr>
            <w:r w:rsidRPr="003C4F49">
              <w:rPr>
                <w:rFonts w:eastAsiaTheme="minorHAnsi"/>
                <w:sz w:val="22"/>
                <w:szCs w:val="22"/>
              </w:rPr>
              <w:t xml:space="preserve">[ </w:t>
            </w:r>
            <w:r w:rsidR="005D2B75">
              <w:rPr>
                <w:rFonts w:eastAsiaTheme="minorHAnsi"/>
                <w:sz w:val="22"/>
                <w:szCs w:val="22"/>
              </w:rPr>
              <w:t>X</w:t>
            </w:r>
            <w:r w:rsidRPr="003C4F49">
              <w:rPr>
                <w:rFonts w:eastAsiaTheme="minorHAnsi"/>
                <w:sz w:val="22"/>
                <w:szCs w:val="22"/>
              </w:rPr>
              <w:t xml:space="preserve"> ]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443C35" w:rsidP="00443C35" w14:paraId="47D846A5" w14:textId="7DB109B7">
      <w:pPr>
        <w:pStyle w:val="ListParagraph"/>
        <w:ind w:left="0"/>
        <w:rPr>
          <w:sz w:val="22"/>
          <w:szCs w:val="22"/>
        </w:rPr>
      </w:pPr>
      <w:r>
        <w:t xml:space="preserve">Note: Use OMB format when asking race/ethnicity as well as gender questions. </w:t>
      </w:r>
    </w:p>
    <w:p w:rsidR="00145293" w:rsidP="00443C35" w14:paraId="71B5FAB9" w14:textId="77777777">
      <w:pPr>
        <w:widowControl w:val="0"/>
        <w:spacing w:before="120"/>
        <w:rPr>
          <w:sz w:val="22"/>
          <w:szCs w:val="22"/>
        </w:rPr>
      </w:pPr>
    </w:p>
    <w:p w:rsidR="00B46F2C" w14:paraId="29476A1F" w14:textId="2DA49309">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D75A5A">
        <w:rPr>
          <w:noProof/>
        </w:rPr>
        <mc:AlternateContent>
          <mc:Choice Requires="wps">
            <w:drawing>
              <wp:anchor distT="0" distB="0" distL="114300" distR="114300" simplePos="0" relativeHeight="251662336" behindDoc="0" locked="0" layoutInCell="1" allowOverlap="1">
                <wp:simplePos x="0" y="0"/>
                <wp:positionH relativeFrom="column">
                  <wp:posOffset>1</wp:posOffset>
                </wp:positionH>
                <wp:positionV relativeFrom="paragraph">
                  <wp:posOffset>0</wp:posOffset>
                </wp:positionV>
                <wp:extent cx="5962650" cy="38100"/>
                <wp:effectExtent l="0" t="0" r="0" b="0"/>
                <wp:wrapNone/>
                <wp:docPr id="6" name="Straight Arrow Connector 6"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7" type="#_x0000_t32" alt="Title: Title Underline - Description: Underlining of Title" style="width:469.5pt;height:3pt;margin-top:0;margin-left:0;mso-wrap-distance-bottom:0;mso-wrap-distance-left:9pt;mso-wrap-distance-right:9pt;mso-wrap-distance-top:0;mso-wrap-style:square;position:absolute;visibility:visible;z-index:251663360" strokeweight="1.5pt">
                <v:stroke startarrowwidth="narrow" startarrowlength="short" endarrowwidth="narrow" endarrowlength="short"/>
              </v:shape>
            </w:pict>
          </mc:Fallback>
        </mc:AlternateContent>
      </w:r>
      <w:r w:rsidR="00D75A5A">
        <w:rPr>
          <w:noProof/>
        </w:rPr>
        <mc:AlternateContent>
          <mc:Choice Requires="wps">
            <w:drawing>
              <wp:anchor distT="0" distB="0" distL="114300" distR="114300" simplePos="0" relativeHeight="251664384" behindDoc="0" locked="0" layoutInCell="1" allowOverlap="1">
                <wp:simplePos x="0" y="0"/>
                <wp:positionH relativeFrom="column">
                  <wp:posOffset>1</wp:posOffset>
                </wp:positionH>
                <wp:positionV relativeFrom="paragraph">
                  <wp:posOffset>0</wp:posOffset>
                </wp:positionV>
                <wp:extent cx="5962650" cy="38100"/>
                <wp:effectExtent l="0" t="0" r="0" b="0"/>
                <wp:wrapNone/>
                <wp:docPr id="5" name="Straight Arrow Connector 5"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 id="Straight Arrow Connector 5" o:spid="_x0000_s1028" type="#_x0000_t32" alt="Title: Title Underline - Description: Underlining of Title" style="width:469.5pt;height:3pt;margin-top:0;margin-left:0;mso-wrap-distance-bottom:0;mso-wrap-distance-left:9pt;mso-wrap-distance-right:9pt;mso-wrap-distance-top:0;mso-wrap-style:square;position:absolute;visibility:visible;z-index:251665408" strokeweight="1.5pt">
                <v:stroke startarrowwidth="narrow" startarrowlength="short" endarrowwidth="narrow" endarrowlength="short"/>
              </v:shape>
            </w:pict>
          </mc:Fallback>
        </mc:AlternateContent>
      </w:r>
      <w:r w:rsidR="00847D61">
        <w:t xml:space="preserve">Special Emphasis Panel (SEP) Peer Review Evaluation </w:t>
      </w:r>
    </w:p>
    <w:p w:rsidR="007B6A1A" w14:paraId="574FEEBA" w14:textId="77777777"/>
    <w:p w:rsidR="00655F9E" w:rsidP="00655F9E" w14:paraId="27EF9B80" w14:textId="2ADEF39C">
      <w:r>
        <w:rPr>
          <w:b/>
        </w:rPr>
        <w:t>PURPOSE</w:t>
      </w:r>
      <w:r w:rsidRPr="009239AA">
        <w:rPr>
          <w:b/>
        </w:rPr>
        <w:t xml:space="preserve">:  </w:t>
      </w:r>
    </w:p>
    <w:p w:rsidR="00847D61" w:rsidP="00847D61" w14:paraId="5A674F5D" w14:textId="769E2051">
      <w:r>
        <w:rPr>
          <w:lang w:val="en"/>
        </w:rPr>
        <w:t xml:space="preserve">The </w:t>
      </w:r>
      <w:r>
        <w:t xml:space="preserve">Centers for Disease Control and Prevention (CDC) </w:t>
      </w:r>
      <w:r w:rsidRPr="006C0348">
        <w:rPr>
          <w:lang w:val="en"/>
        </w:rPr>
        <w:t>National Center for Injury Prevention and Control (NCIPC) develops and supports research to prevent violence and injuries, and to reduce their consequences.</w:t>
      </w:r>
      <w:r w:rsidRPr="006C0348">
        <w:rPr>
          <w:color w:val="333333"/>
        </w:rPr>
        <w:t xml:space="preserve"> </w:t>
      </w:r>
      <w:r w:rsidRPr="007E1121">
        <w:t>The Extramural Research Program O</w:t>
      </w:r>
      <w:r w:rsidR="00515C6C">
        <w:t>perations</w:t>
      </w:r>
      <w:r w:rsidRPr="007E1121">
        <w:t xml:space="preserve"> (ERPO) </w:t>
      </w:r>
      <w:r>
        <w:t xml:space="preserve">within the NCIPC </w:t>
      </w:r>
      <w:r w:rsidRPr="007E1121">
        <w:t>is the focal point for the development, peer review, and post award management of extramural research awards for</w:t>
      </w:r>
      <w:r>
        <w:t xml:space="preserve"> the </w:t>
      </w:r>
      <w:r w:rsidRPr="007E1121">
        <w:t xml:space="preserve">NCIPC, </w:t>
      </w:r>
      <w:r>
        <w:t xml:space="preserve">as well as for </w:t>
      </w:r>
      <w:r w:rsidRPr="007E1121">
        <w:t xml:space="preserve">the </w:t>
      </w:r>
      <w:r>
        <w:t xml:space="preserve">CDC </w:t>
      </w:r>
      <w:r w:rsidRPr="007E1121">
        <w:t>National Center for Environmental Health</w:t>
      </w:r>
      <w:r w:rsidR="00515C6C">
        <w:t xml:space="preserve"> (NCEH)</w:t>
      </w:r>
      <w:r>
        <w:t>,</w:t>
      </w:r>
      <w:r w:rsidRPr="007E1121">
        <w:t xml:space="preserve"> and the Agency for Toxic Substances and Disease Registry</w:t>
      </w:r>
      <w:r>
        <w:t xml:space="preserve"> (ATSDR)</w:t>
      </w:r>
      <w:r w:rsidRPr="007E1121">
        <w:t>.</w:t>
      </w:r>
      <w:r>
        <w:t xml:space="preserve"> CDC applications for extramural research funding undergo a sequential, 2-level peer review process.  The first level or primary peer review is to evaluate the scientific and technical merit of research applications submitted in response to a</w:t>
      </w:r>
      <w:r w:rsidR="00515C6C">
        <w:t xml:space="preserve"> Notice of Funding Opportunity (NOFO)</w:t>
      </w:r>
      <w:r w:rsidRPr="00583C33">
        <w:t>.</w:t>
      </w:r>
      <w:r>
        <w:t xml:space="preserve"> Primary peer review is a key step in assuring that CDC</w:t>
      </w:r>
      <w:r w:rsidR="00515C6C">
        <w:t xml:space="preserve"> </w:t>
      </w:r>
      <w:r>
        <w:t xml:space="preserve">research </w:t>
      </w:r>
      <w:r w:rsidRPr="007E1121">
        <w:t xml:space="preserve">grant applications receive </w:t>
      </w:r>
      <w:r>
        <w:t xml:space="preserve">a </w:t>
      </w:r>
      <w:r w:rsidRPr="007E1121">
        <w:t>fair</w:t>
      </w:r>
      <w:r>
        <w:t xml:space="preserve"> and unbiased</w:t>
      </w:r>
      <w:r w:rsidRPr="007E1121">
        <w:t xml:space="preserve"> </w:t>
      </w:r>
      <w:r>
        <w:t xml:space="preserve">review by </w:t>
      </w:r>
      <w:r w:rsidRPr="007E1121">
        <w:t>expert</w:t>
      </w:r>
      <w:r>
        <w:t xml:space="preserve">s with relevant knowledge.  The </w:t>
      </w:r>
      <w:r w:rsidRPr="00583C33">
        <w:t xml:space="preserve">second level </w:t>
      </w:r>
      <w:r>
        <w:t>or secondary peer review</w:t>
      </w:r>
      <w:r w:rsidRPr="00583C33">
        <w:t xml:space="preserve"> </w:t>
      </w:r>
      <w:r>
        <w:t>looks at the mission relevance and programmatic balance</w:t>
      </w:r>
      <w:r w:rsidRPr="00583C33">
        <w:t xml:space="preserve"> </w:t>
      </w:r>
      <w:r>
        <w:t xml:space="preserve">of the center’s research portfolio </w:t>
      </w:r>
      <w:r w:rsidRPr="00583C33">
        <w:t>in advancing CDC’s research agenda</w:t>
      </w:r>
      <w:r>
        <w:t>.</w:t>
      </w:r>
      <w:r w:rsidRPr="006C0348">
        <w:t xml:space="preserve"> </w:t>
      </w:r>
    </w:p>
    <w:p w:rsidR="00847D61" w:rsidRPr="006C0348" w:rsidP="00847D61" w14:paraId="485C8DEF" w14:textId="77777777"/>
    <w:p w:rsidR="00847D61" w:rsidRPr="006C0348" w:rsidP="00847D61" w14:paraId="21BDD9ED" w14:textId="2B4AAC1A">
      <w:pPr>
        <w:rPr>
          <w:b/>
        </w:rPr>
      </w:pPr>
      <w:r w:rsidRPr="006C0348">
        <w:t xml:space="preserve">The purpose of this request is to gather timely feedback from </w:t>
      </w:r>
      <w:r>
        <w:t>peer reviewers who were appointed to and served on a CDC</w:t>
      </w:r>
      <w:r w:rsidR="00515C6C">
        <w:t xml:space="preserve"> Special Emphasis Panel</w:t>
      </w:r>
      <w:r>
        <w:t xml:space="preserve"> </w:t>
      </w:r>
      <w:r w:rsidR="00515C6C">
        <w:t>(</w:t>
      </w:r>
      <w:r w:rsidRPr="006C0348">
        <w:t>SEP</w:t>
      </w:r>
      <w:r w:rsidR="00515C6C">
        <w:t>)</w:t>
      </w:r>
      <w:r>
        <w:t xml:space="preserve"> conducted by the NCIPC ERPO to review extramural research applications. Qualitative questions have been designed to obtain reviewers’ feedback </w:t>
      </w:r>
      <w:r w:rsidRPr="006C0348">
        <w:t xml:space="preserve">on the delivery of </w:t>
      </w:r>
      <w:r>
        <w:t xml:space="preserve">the </w:t>
      </w:r>
      <w:r w:rsidRPr="006C0348">
        <w:t xml:space="preserve">technical assistance, guidance, and training </w:t>
      </w:r>
      <w:r>
        <w:t xml:space="preserve">for their review work and </w:t>
      </w:r>
      <w:r w:rsidRPr="006C0348">
        <w:t xml:space="preserve">the </w:t>
      </w:r>
      <w:r>
        <w:t xml:space="preserve">SEP </w:t>
      </w:r>
      <w:r w:rsidRPr="006C0348">
        <w:t>peer review process</w:t>
      </w:r>
      <w:r>
        <w:t xml:space="preserve"> with minimal added burden during the review meeting. </w:t>
      </w:r>
      <w:r w:rsidRPr="006C0348">
        <w:t>The information collected will provide a feedback mechanism to identify areas of improvement</w:t>
      </w:r>
      <w:r>
        <w:t xml:space="preserve"> in the experience of scientists who volunteer to serve on CDC SEPs for the NCIPC ERPO and contribute to ongoing efforts to maintain a quality science peer review program. Improvements in the peer review process will enable the ERPO to attract the best researchers in injury and violence prevention, environmental health, and toxicology to provide critique and advice on the scientific merit of extramural research applications. W</w:t>
      </w:r>
      <w:r w:rsidRPr="006C0348">
        <w:t>ithout such data collection</w:t>
      </w:r>
      <w:r w:rsidR="00515C6C">
        <w:t>,</w:t>
      </w:r>
      <w:r w:rsidRPr="006C0348">
        <w:t xml:space="preserve"> this information would be unknown.</w:t>
      </w:r>
    </w:p>
    <w:p w:rsidR="00655F9E" w:rsidP="00655F9E" w14:paraId="2E2D52EB" w14:textId="77777777"/>
    <w:p w:rsidR="00B46F2C" w:rsidP="00434E33" w14:paraId="53CD42CA" w14:textId="77777777">
      <w:pPr>
        <w:pStyle w:val="Header"/>
        <w:tabs>
          <w:tab w:val="clear" w:pos="4320"/>
          <w:tab w:val="clear" w:pos="8640"/>
        </w:tabs>
        <w:rPr>
          <w:b/>
        </w:rPr>
      </w:pPr>
    </w:p>
    <w:p w:rsidR="00B46F2C" w:rsidP="00D75A5A" w14:paraId="54A2E4B0" w14:textId="477187F3">
      <w:pPr>
        <w:widowControl w:val="0"/>
        <w:pBdr>
          <w:top w:val="nil"/>
          <w:left w:val="nil"/>
          <w:bottom w:val="nil"/>
          <w:right w:val="nil"/>
          <w:between w:val="nil"/>
        </w:pBdr>
        <w:tabs>
          <w:tab w:val="center" w:pos="4320"/>
          <w:tab w:val="right" w:pos="8640"/>
        </w:tabs>
      </w:pPr>
      <w:r w:rsidRPr="00434E33">
        <w:rPr>
          <w:b/>
        </w:rPr>
        <w:t>DESCRIPTION OF RESPONDENTS</w:t>
      </w:r>
      <w:r>
        <w:t xml:space="preserve">: </w:t>
      </w:r>
    </w:p>
    <w:p w:rsidR="00847D61" w:rsidP="00847D61" w14:paraId="6BC09BE2" w14:textId="43D7DFF7">
      <w:pPr>
        <w:pStyle w:val="Header"/>
        <w:tabs>
          <w:tab w:val="clear" w:pos="4320"/>
          <w:tab w:val="clear" w:pos="8640"/>
        </w:tabs>
      </w:pPr>
      <w:r>
        <w:t xml:space="preserve">Potential respondents are individuals who were appointed to and served on a CDC </w:t>
      </w:r>
      <w:r w:rsidRPr="006C0348">
        <w:t>SEP</w:t>
      </w:r>
      <w:r>
        <w:t xml:space="preserve"> conducted by the NCIPC ERPO. The reviewers could include state or local health department staff, public health practitioners, and researchers with expertise in research, program implementation and evaluation for</w:t>
      </w:r>
      <w:r w:rsidR="00515C6C">
        <w:t xml:space="preserve"> injury and violence prevention, environmental health, and toxicology programs and strategies</w:t>
      </w:r>
      <w:r>
        <w:t xml:space="preserve">. </w:t>
      </w:r>
    </w:p>
    <w:p w:rsidR="00847D61" w:rsidRPr="00D75A5A" w:rsidP="00D75A5A" w14:paraId="69794107" w14:textId="77777777">
      <w:pPr>
        <w:widowControl w:val="0"/>
        <w:pBdr>
          <w:top w:val="nil"/>
          <w:left w:val="nil"/>
          <w:bottom w:val="nil"/>
          <w:right w:val="nil"/>
          <w:between w:val="nil"/>
        </w:pBdr>
        <w:tabs>
          <w:tab w:val="center" w:pos="4320"/>
          <w:tab w:val="right" w:pos="8640"/>
        </w:tabs>
        <w:rPr>
          <w:b/>
          <w:color w:val="000000"/>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2D1FF6B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sidR="005D2B75">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7387E301">
      <w:r>
        <w:t>Name:________________________</w:t>
      </w:r>
      <w:r w:rsidR="00EB59B9">
        <w:t>Karen Angel</w:t>
      </w:r>
      <w:r>
        <w:t>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3E49C518">
      <w:pPr>
        <w:pStyle w:val="ListParagraph"/>
        <w:numPr>
          <w:ilvl w:val="0"/>
          <w:numId w:val="18"/>
        </w:numPr>
      </w:pPr>
      <w:r>
        <w:t>Is personally identifiable information (PII) collected?  [  ] Yes  [</w:t>
      </w:r>
      <w:r w:rsidR="005D2B75">
        <w:t>X</w:t>
      </w:r>
      <w:r>
        <w:t xml:space="preserve"> ]  No </w:t>
      </w:r>
    </w:p>
    <w:p w:rsidR="00B46F2C" w:rsidP="00C86E91" w14:paraId="059C2C9E" w14:textId="2F1AFD0A">
      <w:pPr>
        <w:pStyle w:val="ListParagraph"/>
        <w:numPr>
          <w:ilvl w:val="0"/>
          <w:numId w:val="18"/>
        </w:numPr>
      </w:pPr>
      <w:r>
        <w:t>If Yes, is the information that will be collected included in records that are subject to the Privacy Act of 1974?   [  ] Yes [</w:t>
      </w:r>
      <w:r w:rsidR="005D2B75">
        <w:t>X</w:t>
      </w:r>
      <w:r>
        <w:t xml:space="preserve"> ] No   </w:t>
      </w:r>
    </w:p>
    <w:p w:rsidR="00B46F2C" w:rsidP="00C86E91" w14:paraId="53684D4A" w14:textId="396A41E0">
      <w:pPr>
        <w:pStyle w:val="ListParagraph"/>
        <w:numPr>
          <w:ilvl w:val="0"/>
          <w:numId w:val="18"/>
        </w:numPr>
      </w:pPr>
      <w:r>
        <w:t xml:space="preserve">If Applicable, has a System or Records Notice been published?  [  ] Yes  [ </w:t>
      </w:r>
      <w:r w:rsidR="005D2B75">
        <w:t>X</w:t>
      </w:r>
      <w:r>
        <w:t xml:space="preserve">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3C6DEEAA">
      <w:r>
        <w:t xml:space="preserve">Is an incentive (e.g., money or reimbursement of expenses, token of appreciation) provided to participants?  [  ] Yes [ </w:t>
      </w:r>
      <w:r w:rsidR="005D2B75">
        <w:t>X</w:t>
      </w:r>
      <w:r>
        <w:t xml:space="preserve"> ] No</w:t>
      </w:r>
    </w:p>
    <w:p w:rsidR="00EF484B" w:rsidP="00C86E91" w14:paraId="5B421EF2" w14:textId="77777777">
      <w:pPr>
        <w:rPr>
          <w:b/>
        </w:rPr>
      </w:pPr>
    </w:p>
    <w:p w:rsidR="00B46F2C" w:rsidRPr="001612AF" w14:paraId="665813D7" w14:textId="7EAB416A">
      <w:r>
        <w:rPr>
          <w:b/>
        </w:rPr>
        <w:t xml:space="preserve">If Yes: </w:t>
      </w:r>
      <w:r>
        <w:t>P</w:t>
      </w:r>
      <w:r w:rsidRPr="008F50D4">
        <w:t>lease describe</w:t>
      </w:r>
      <w:r>
        <w:t xml:space="preserve"> the incentive. If amounts are outside of customary incentives, please also </w:t>
      </w:r>
      <w:r w:rsidRPr="008F50D4">
        <w:t>provide a justification</w:t>
      </w:r>
      <w:r w:rsidR="00D75A5A">
        <w:t>.</w:t>
      </w:r>
      <w:r w:rsidRPr="008F50D4">
        <w:t xml:space="preserve"> </w:t>
      </w:r>
    </w:p>
    <w:p w:rsidR="00B46F2C" w14:paraId="5BFDF9FE" w14:textId="77777777">
      <w:pPr>
        <w:rPr>
          <w:b/>
        </w:rPr>
      </w:pPr>
    </w:p>
    <w:p w:rsidR="00B46F2C" w:rsidRPr="001612AF" w:rsidP="001612AF" w14:paraId="0F6F775B" w14:textId="42D20DD0">
      <w:pPr>
        <w:rPr>
          <w:i/>
        </w:rPr>
      </w:pPr>
      <w:r>
        <w:rPr>
          <w:b/>
        </w:rPr>
        <w:t>BURDEN HOURS</w:t>
      </w:r>
      <w:r>
        <w:t xml:space="preserve"> </w:t>
      </w:r>
    </w:p>
    <w:p w:rsidR="001612AF" w:rsidP="001612AF" w14:paraId="547BEF01" w14:textId="77777777"/>
    <w:tbl>
      <w:tblPr>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7"/>
        <w:gridCol w:w="1416"/>
        <w:gridCol w:w="2083"/>
        <w:gridCol w:w="1583"/>
        <w:gridCol w:w="2384"/>
      </w:tblGrid>
      <w:tr w14:paraId="3C1D3739" w14:textId="77777777" w:rsidTr="00756F45">
        <w:tblPrEx>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22"/>
        </w:trPr>
        <w:tc>
          <w:tcPr>
            <w:tcW w:w="2657" w:type="dxa"/>
          </w:tcPr>
          <w:p w:rsidR="00756F45" w:rsidP="006D6116" w14:paraId="318CE377" w14:textId="77777777">
            <w:pPr>
              <w:rPr>
                <w:b/>
              </w:rPr>
            </w:pPr>
            <w:r>
              <w:rPr>
                <w:b/>
              </w:rPr>
              <w:t xml:space="preserve">Category of Respondent </w:t>
            </w:r>
          </w:p>
        </w:tc>
        <w:tc>
          <w:tcPr>
            <w:tcW w:w="1416" w:type="dxa"/>
          </w:tcPr>
          <w:p w:rsidR="00756F45" w:rsidP="006D6116" w14:paraId="77864ACD" w14:textId="24720629">
            <w:pPr>
              <w:rPr>
                <w:b/>
              </w:rPr>
            </w:pPr>
            <w:r>
              <w:rPr>
                <w:b/>
              </w:rPr>
              <w:t>Form Name</w:t>
            </w:r>
          </w:p>
        </w:tc>
        <w:tc>
          <w:tcPr>
            <w:tcW w:w="2083" w:type="dxa"/>
          </w:tcPr>
          <w:p w:rsidR="00756F45" w:rsidP="006D6116" w14:paraId="04FF0781" w14:textId="634C0C72">
            <w:pPr>
              <w:rPr>
                <w:b/>
              </w:rPr>
            </w:pPr>
            <w:r>
              <w:rPr>
                <w:b/>
              </w:rPr>
              <w:t>No. of Respondents</w:t>
            </w:r>
          </w:p>
        </w:tc>
        <w:tc>
          <w:tcPr>
            <w:tcW w:w="1583" w:type="dxa"/>
          </w:tcPr>
          <w:p w:rsidR="00756F45" w:rsidP="006D6116" w14:paraId="46CF86FA" w14:textId="77777777">
            <w:pPr>
              <w:rPr>
                <w:b/>
              </w:rPr>
            </w:pPr>
            <w:r>
              <w:rPr>
                <w:b/>
              </w:rPr>
              <w:t>Participation Time</w:t>
            </w:r>
          </w:p>
        </w:tc>
        <w:tc>
          <w:tcPr>
            <w:tcW w:w="2384" w:type="dxa"/>
          </w:tcPr>
          <w:p w:rsidR="00756F45" w:rsidP="006D6116" w14:paraId="2279F79E" w14:textId="77777777">
            <w:pPr>
              <w:rPr>
                <w:b/>
              </w:rPr>
            </w:pPr>
            <w:r>
              <w:rPr>
                <w:b/>
              </w:rPr>
              <w:t>Burden</w:t>
            </w:r>
          </w:p>
        </w:tc>
      </w:tr>
      <w:tr w14:paraId="70D7882C" w14:textId="77777777" w:rsidTr="00756F45">
        <w:tblPrEx>
          <w:tblW w:w="10123" w:type="dxa"/>
          <w:tblLayout w:type="fixed"/>
          <w:tblLook w:val="0600"/>
        </w:tblPrEx>
        <w:trPr>
          <w:trHeight w:val="275"/>
        </w:trPr>
        <w:tc>
          <w:tcPr>
            <w:tcW w:w="2657" w:type="dxa"/>
          </w:tcPr>
          <w:p w:rsidR="00756F45" w:rsidP="006D6116" w14:paraId="47DC62D8" w14:textId="2CE00A4D"/>
        </w:tc>
        <w:tc>
          <w:tcPr>
            <w:tcW w:w="1416" w:type="dxa"/>
          </w:tcPr>
          <w:p w:rsidR="00756F45" w:rsidP="006D6116" w14:paraId="28AD2491" w14:textId="43DFC167">
            <w:r>
              <w:t>SEP Peer Review Evaluation Survey</w:t>
            </w:r>
            <w:r w:rsidR="00D161E5">
              <w:t xml:space="preserve"> (Att 1)</w:t>
            </w:r>
          </w:p>
        </w:tc>
        <w:tc>
          <w:tcPr>
            <w:tcW w:w="2083" w:type="dxa"/>
          </w:tcPr>
          <w:p w:rsidR="00756F45" w:rsidP="006D6116" w14:paraId="6CC8C9D7" w14:textId="3C052ADE">
            <w:r>
              <w:t>350</w:t>
            </w:r>
          </w:p>
        </w:tc>
        <w:tc>
          <w:tcPr>
            <w:tcW w:w="1583" w:type="dxa"/>
          </w:tcPr>
          <w:p w:rsidR="00756F45" w:rsidP="006D6116" w14:paraId="6DF420FB" w14:textId="07B0EA97">
            <w:r>
              <w:t>15/60</w:t>
            </w:r>
          </w:p>
        </w:tc>
        <w:tc>
          <w:tcPr>
            <w:tcW w:w="2384" w:type="dxa"/>
          </w:tcPr>
          <w:p w:rsidR="00756F45" w:rsidRPr="000B1668" w:rsidP="006D6116" w14:paraId="49A24255" w14:textId="50773623">
            <w:pPr>
              <w:rPr>
                <w:color w:val="000000" w:themeColor="text1"/>
              </w:rPr>
            </w:pPr>
            <w:r>
              <w:rPr>
                <w:color w:val="000000" w:themeColor="text1"/>
              </w:rPr>
              <w:t>87.5</w:t>
            </w:r>
          </w:p>
        </w:tc>
      </w:tr>
      <w:tr w14:paraId="5C77FA5A" w14:textId="77777777" w:rsidTr="00756F45">
        <w:tblPrEx>
          <w:tblW w:w="10123" w:type="dxa"/>
          <w:tblLayout w:type="fixed"/>
          <w:tblLook w:val="0600"/>
        </w:tblPrEx>
        <w:trPr>
          <w:trHeight w:val="261"/>
        </w:trPr>
        <w:tc>
          <w:tcPr>
            <w:tcW w:w="2657" w:type="dxa"/>
            <w:shd w:val="clear" w:color="auto" w:fill="auto"/>
            <w:tcMar>
              <w:top w:w="100" w:type="dxa"/>
              <w:left w:w="100" w:type="dxa"/>
              <w:bottom w:w="100" w:type="dxa"/>
              <w:right w:w="100" w:type="dxa"/>
            </w:tcMar>
          </w:tcPr>
          <w:p w:rsidR="00756F45" w:rsidP="006D6116" w14:paraId="27B3AD7E" w14:textId="77777777">
            <w:r>
              <w:rPr>
                <w:b/>
              </w:rPr>
              <w:t>Totals</w:t>
            </w:r>
          </w:p>
        </w:tc>
        <w:tc>
          <w:tcPr>
            <w:tcW w:w="1416" w:type="dxa"/>
          </w:tcPr>
          <w:p w:rsidR="00756F45" w:rsidRPr="000B1668" w:rsidP="006D6116" w14:paraId="361CB96C" w14:textId="77777777">
            <w:pPr>
              <w:widowControl w:val="0"/>
              <w:pBdr>
                <w:top w:val="nil"/>
                <w:left w:val="nil"/>
                <w:bottom w:val="nil"/>
                <w:right w:val="nil"/>
                <w:between w:val="nil"/>
              </w:pBdr>
              <w:rPr>
                <w:color w:val="000000" w:themeColor="text1"/>
              </w:rPr>
            </w:pPr>
          </w:p>
        </w:tc>
        <w:tc>
          <w:tcPr>
            <w:tcW w:w="2083" w:type="dxa"/>
            <w:shd w:val="clear" w:color="auto" w:fill="auto"/>
            <w:tcMar>
              <w:top w:w="100" w:type="dxa"/>
              <w:left w:w="100" w:type="dxa"/>
              <w:bottom w:w="100" w:type="dxa"/>
              <w:right w:w="100" w:type="dxa"/>
            </w:tcMar>
          </w:tcPr>
          <w:p w:rsidR="00756F45" w:rsidRPr="000B1668" w:rsidP="006D6116" w14:paraId="33137106" w14:textId="4DF2F626">
            <w:pPr>
              <w:widowControl w:val="0"/>
              <w:pBdr>
                <w:top w:val="nil"/>
                <w:left w:val="nil"/>
                <w:bottom w:val="nil"/>
                <w:right w:val="nil"/>
                <w:between w:val="nil"/>
              </w:pBdr>
              <w:rPr>
                <w:color w:val="000000" w:themeColor="text1"/>
              </w:rPr>
            </w:pPr>
            <w:r>
              <w:rPr>
                <w:color w:val="000000" w:themeColor="text1"/>
              </w:rPr>
              <w:t>350</w:t>
            </w:r>
          </w:p>
        </w:tc>
        <w:tc>
          <w:tcPr>
            <w:tcW w:w="1583" w:type="dxa"/>
            <w:shd w:val="clear" w:color="auto" w:fill="auto"/>
            <w:tcMar>
              <w:top w:w="100" w:type="dxa"/>
              <w:left w:w="100" w:type="dxa"/>
              <w:bottom w:w="100" w:type="dxa"/>
              <w:right w:w="100" w:type="dxa"/>
            </w:tcMar>
          </w:tcPr>
          <w:p w:rsidR="00756F45" w:rsidP="006D6116" w14:paraId="0BE3BA24" w14:textId="6629B582">
            <w:pPr>
              <w:widowControl w:val="0"/>
              <w:pBdr>
                <w:top w:val="nil"/>
                <w:left w:val="nil"/>
                <w:bottom w:val="nil"/>
                <w:right w:val="nil"/>
                <w:between w:val="nil"/>
              </w:pBdr>
            </w:pPr>
          </w:p>
        </w:tc>
        <w:tc>
          <w:tcPr>
            <w:tcW w:w="2384" w:type="dxa"/>
            <w:shd w:val="clear" w:color="auto" w:fill="auto"/>
            <w:tcMar>
              <w:top w:w="100" w:type="dxa"/>
              <w:left w:w="100" w:type="dxa"/>
              <w:bottom w:w="100" w:type="dxa"/>
              <w:right w:w="100" w:type="dxa"/>
            </w:tcMar>
          </w:tcPr>
          <w:p w:rsidR="00756F45" w:rsidRPr="006567F7" w:rsidP="006D6116" w14:paraId="3A68AB14" w14:textId="1AED2C11">
            <w:pPr>
              <w:widowControl w:val="0"/>
              <w:pBdr>
                <w:top w:val="nil"/>
                <w:left w:val="nil"/>
                <w:bottom w:val="nil"/>
                <w:right w:val="nil"/>
                <w:between w:val="nil"/>
              </w:pBdr>
              <w:rPr>
                <w:color w:val="000000" w:themeColor="text1"/>
              </w:rPr>
            </w:pPr>
            <w:r>
              <w:rPr>
                <w:color w:val="000000" w:themeColor="text1"/>
              </w:rPr>
              <w:t>88</w:t>
            </w:r>
          </w:p>
        </w:tc>
      </w:tr>
    </w:tbl>
    <w:p w:rsidR="001612AF" w:rsidP="001612AF" w14:paraId="01CC319B" w14:textId="77777777"/>
    <w:p w:rsidR="00B46F2C" w:rsidP="00F3170F" w14:paraId="1AB33144" w14:textId="77777777"/>
    <w:p w:rsidR="00B46F2C" w14:paraId="6775AEDB" w14:textId="4BB7F27A">
      <w:pPr>
        <w:rPr>
          <w:b/>
        </w:rPr>
      </w:pPr>
      <w:r>
        <w:rPr>
          <w:b/>
        </w:rPr>
        <w:t xml:space="preserve">FEDERAL COST:  </w:t>
      </w:r>
      <w:r>
        <w:t xml:space="preserve">The estimated annual cost to the Federal government is </w:t>
      </w:r>
      <w:r w:rsidR="005D2B75">
        <w:t>$3,211.00</w:t>
      </w:r>
      <w:r w:rsidR="00515C6C">
        <w:t>.</w:t>
      </w:r>
      <w:r w:rsidR="001612AF">
        <w:t xml:space="preserve"> </w:t>
      </w:r>
    </w:p>
    <w:p w:rsidR="00B46F2C" w14:paraId="28C1E765"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7DCFDA56">
      <w:pPr>
        <w:pStyle w:val="ListParagraph"/>
        <w:numPr>
          <w:ilvl w:val="0"/>
          <w:numId w:val="15"/>
        </w:numPr>
      </w:pPr>
      <w:r w:rsidRPr="00720973">
        <w:t>Do you have a customer list or something similar that defines the universe of potential</w:t>
      </w:r>
      <w:r>
        <w:t xml:space="preserve"> respondents and do you have a sampling plan for selecting from this universe?</w:t>
      </w:r>
      <w:r>
        <w:tab/>
      </w:r>
      <w:r>
        <w:tab/>
      </w:r>
      <w:r>
        <w:tab/>
      </w:r>
      <w:r>
        <w:tab/>
      </w:r>
      <w:r>
        <w:tab/>
      </w:r>
      <w:r>
        <w:tab/>
      </w:r>
      <w:r>
        <w:tab/>
      </w:r>
      <w:r>
        <w:tab/>
      </w:r>
      <w:r>
        <w:tab/>
      </w:r>
      <w:r>
        <w:tab/>
      </w:r>
      <w:r>
        <w:tab/>
        <w:t>[ ] Yes</w:t>
      </w:r>
      <w:r>
        <w:tab/>
        <w:t>[</w:t>
      </w:r>
      <w:r w:rsidR="00720973">
        <w:t>X</w:t>
      </w:r>
      <w:r>
        <w:t xml:space="preserve"> ] No</w:t>
      </w:r>
    </w:p>
    <w:p w:rsidR="00B46F2C" w:rsidP="00636621" w14:paraId="33A970F3" w14:textId="77777777">
      <w:pPr>
        <w:pStyle w:val="ListParagraph"/>
      </w:pPr>
    </w:p>
    <w:p w:rsidR="004E1C18" w:rsidP="001B0AAA" w14:paraId="065EF791" w14:textId="04BCE011">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847D61" w:rsidP="001B0AAA" w14:paraId="5CEC9FF3" w14:textId="7CC11AD2"/>
    <w:p w:rsidR="00847D61" w:rsidP="001B0AAA" w14:paraId="3F7535E8" w14:textId="77777777"/>
    <w:p w:rsidR="00B46F2C" w:rsidP="001B0AAA" w14:paraId="044C2EA0" w14:textId="407FE33B">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1612AF" w:rsidP="001B0AAA" w14:paraId="053D14F2" w14:textId="13593878"/>
    <w:p w:rsidR="00720973" w:rsidP="00720973" w14:paraId="36170F7A" w14:textId="3F803652">
      <w:r>
        <w:t xml:space="preserve">All potential panelists are identified through various means including an internal Peer Review database, professional journals, and databases such as PubMed, and both internal and external referrals. All are asked to participate in the survey following the end of each panel if they are accepted as a panelist. </w:t>
      </w:r>
    </w:p>
    <w:p w:rsidR="001612AF" w:rsidP="001B0AAA" w14:paraId="60D8220B" w14:textId="2DB98B1F"/>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116E5301">
      <w:pPr>
        <w:ind w:left="720"/>
      </w:pPr>
      <w:r>
        <w:t>[</w:t>
      </w:r>
      <w:r w:rsidR="007B6A1A">
        <w:t xml:space="preserve"> </w:t>
      </w:r>
      <w:r>
        <w:t xml:space="preserve">]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43A7F4C8">
      <w:pPr>
        <w:ind w:left="720"/>
      </w:pPr>
      <w:r>
        <w:t xml:space="preserve">[ </w:t>
      </w:r>
      <w:r w:rsidR="005D2B75">
        <w:t>X</w:t>
      </w:r>
      <w:r>
        <w:t xml:space="preserve"> ] Other, Explain</w:t>
      </w:r>
      <w:r w:rsidR="005D2B75">
        <w:t xml:space="preserve"> – Survey Monkey</w:t>
      </w:r>
    </w:p>
    <w:p w:rsidR="00B46F2C" w:rsidP="00F24CFC" w14:paraId="12FD5503" w14:textId="1D66796B">
      <w:pPr>
        <w:pStyle w:val="ListParagraph"/>
        <w:numPr>
          <w:ilvl w:val="0"/>
          <w:numId w:val="17"/>
        </w:numPr>
      </w:pPr>
      <w:r>
        <w:t xml:space="preserve">Will interviewers or facilitators be used?  [  ] Yes [ </w:t>
      </w:r>
      <w:r w:rsidR="005D2B75">
        <w:t>X</w:t>
      </w:r>
      <w:r>
        <w:t xml:space="preserve">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BF3" w14:paraId="014E18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BF3" w14:paraId="75B124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BF3" w14:paraId="253FFB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BF3" w14:paraId="5946B68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BF3" w14:paraId="030FB5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1668"/>
    <w:rsid w:val="000B2838"/>
    <w:rsid w:val="000D44CA"/>
    <w:rsid w:val="000E200B"/>
    <w:rsid w:val="000F68BE"/>
    <w:rsid w:val="000F6D85"/>
    <w:rsid w:val="00145293"/>
    <w:rsid w:val="00146B20"/>
    <w:rsid w:val="001612AF"/>
    <w:rsid w:val="00170D16"/>
    <w:rsid w:val="001927A4"/>
    <w:rsid w:val="00194AC6"/>
    <w:rsid w:val="001A23B0"/>
    <w:rsid w:val="001A25CC"/>
    <w:rsid w:val="001B0AAA"/>
    <w:rsid w:val="001C39F7"/>
    <w:rsid w:val="00237B48"/>
    <w:rsid w:val="0024035B"/>
    <w:rsid w:val="0024521E"/>
    <w:rsid w:val="00263C3D"/>
    <w:rsid w:val="00265236"/>
    <w:rsid w:val="00274D0B"/>
    <w:rsid w:val="002821FF"/>
    <w:rsid w:val="00291893"/>
    <w:rsid w:val="002B3C95"/>
    <w:rsid w:val="002D0B92"/>
    <w:rsid w:val="002D0E44"/>
    <w:rsid w:val="002E52CD"/>
    <w:rsid w:val="003675DB"/>
    <w:rsid w:val="003859BC"/>
    <w:rsid w:val="00391BB4"/>
    <w:rsid w:val="003A4C87"/>
    <w:rsid w:val="003C4F49"/>
    <w:rsid w:val="003C71C5"/>
    <w:rsid w:val="003D5BBE"/>
    <w:rsid w:val="003E05AC"/>
    <w:rsid w:val="003E3C61"/>
    <w:rsid w:val="003F1C5B"/>
    <w:rsid w:val="0040417A"/>
    <w:rsid w:val="0041337D"/>
    <w:rsid w:val="00434E33"/>
    <w:rsid w:val="00441434"/>
    <w:rsid w:val="00443C35"/>
    <w:rsid w:val="00450CC2"/>
    <w:rsid w:val="0045264C"/>
    <w:rsid w:val="004876EC"/>
    <w:rsid w:val="004A52CE"/>
    <w:rsid w:val="004B3550"/>
    <w:rsid w:val="004D6E14"/>
    <w:rsid w:val="004E1C18"/>
    <w:rsid w:val="005009B0"/>
    <w:rsid w:val="00512CA7"/>
    <w:rsid w:val="00515C6C"/>
    <w:rsid w:val="005438CD"/>
    <w:rsid w:val="00583C33"/>
    <w:rsid w:val="005A1006"/>
    <w:rsid w:val="005A1ED9"/>
    <w:rsid w:val="005D2B75"/>
    <w:rsid w:val="005E714A"/>
    <w:rsid w:val="006140A0"/>
    <w:rsid w:val="00621E79"/>
    <w:rsid w:val="00636621"/>
    <w:rsid w:val="00642B49"/>
    <w:rsid w:val="00655F9E"/>
    <w:rsid w:val="006567F7"/>
    <w:rsid w:val="00660A3F"/>
    <w:rsid w:val="006832D9"/>
    <w:rsid w:val="0069403B"/>
    <w:rsid w:val="006C0348"/>
    <w:rsid w:val="006C11EF"/>
    <w:rsid w:val="006D6116"/>
    <w:rsid w:val="006F3DDE"/>
    <w:rsid w:val="00704678"/>
    <w:rsid w:val="00715118"/>
    <w:rsid w:val="00720973"/>
    <w:rsid w:val="007425E7"/>
    <w:rsid w:val="00756F45"/>
    <w:rsid w:val="007B05B4"/>
    <w:rsid w:val="007B09E6"/>
    <w:rsid w:val="007B6A1A"/>
    <w:rsid w:val="007E1121"/>
    <w:rsid w:val="00802607"/>
    <w:rsid w:val="008101A5"/>
    <w:rsid w:val="00822664"/>
    <w:rsid w:val="00843796"/>
    <w:rsid w:val="00847D61"/>
    <w:rsid w:val="00851CFC"/>
    <w:rsid w:val="00895229"/>
    <w:rsid w:val="008F0203"/>
    <w:rsid w:val="008F50D4"/>
    <w:rsid w:val="009239AA"/>
    <w:rsid w:val="00935927"/>
    <w:rsid w:val="00935ADA"/>
    <w:rsid w:val="00946B6C"/>
    <w:rsid w:val="00955A71"/>
    <w:rsid w:val="0096108F"/>
    <w:rsid w:val="009930A5"/>
    <w:rsid w:val="009C13B9"/>
    <w:rsid w:val="009D01A2"/>
    <w:rsid w:val="009F5923"/>
    <w:rsid w:val="00A403BB"/>
    <w:rsid w:val="00A63BF3"/>
    <w:rsid w:val="00A674DF"/>
    <w:rsid w:val="00A83AA6"/>
    <w:rsid w:val="00AD3D72"/>
    <w:rsid w:val="00AE1809"/>
    <w:rsid w:val="00B46F2C"/>
    <w:rsid w:val="00B76F71"/>
    <w:rsid w:val="00B80D76"/>
    <w:rsid w:val="00B876F2"/>
    <w:rsid w:val="00BA2105"/>
    <w:rsid w:val="00BA7E06"/>
    <w:rsid w:val="00BB43B5"/>
    <w:rsid w:val="00BB6219"/>
    <w:rsid w:val="00BD290F"/>
    <w:rsid w:val="00BE3053"/>
    <w:rsid w:val="00BE65E8"/>
    <w:rsid w:val="00C008AA"/>
    <w:rsid w:val="00C14CC4"/>
    <w:rsid w:val="00C33C52"/>
    <w:rsid w:val="00C40D8B"/>
    <w:rsid w:val="00C809B5"/>
    <w:rsid w:val="00C8407A"/>
    <w:rsid w:val="00C8488C"/>
    <w:rsid w:val="00C86E91"/>
    <w:rsid w:val="00C9606B"/>
    <w:rsid w:val="00CA2650"/>
    <w:rsid w:val="00CB1078"/>
    <w:rsid w:val="00CC6FAF"/>
    <w:rsid w:val="00CE7721"/>
    <w:rsid w:val="00D161E5"/>
    <w:rsid w:val="00D24698"/>
    <w:rsid w:val="00D6383F"/>
    <w:rsid w:val="00D71221"/>
    <w:rsid w:val="00D75A5A"/>
    <w:rsid w:val="00DB59D0"/>
    <w:rsid w:val="00DC33D3"/>
    <w:rsid w:val="00E02391"/>
    <w:rsid w:val="00E252F3"/>
    <w:rsid w:val="00E26329"/>
    <w:rsid w:val="00E40B50"/>
    <w:rsid w:val="00E50293"/>
    <w:rsid w:val="00E57B71"/>
    <w:rsid w:val="00E65FFC"/>
    <w:rsid w:val="00E80951"/>
    <w:rsid w:val="00E854FE"/>
    <w:rsid w:val="00E8576E"/>
    <w:rsid w:val="00E86CC6"/>
    <w:rsid w:val="00EB56B3"/>
    <w:rsid w:val="00EB59B9"/>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64799"/>
    <w:rsid w:val="00F976B0"/>
    <w:rsid w:val="00FA6DE7"/>
    <w:rsid w:val="00FC0A8E"/>
    <w:rsid w:val="00FD6D92"/>
    <w:rsid w:val="00FE2FA6"/>
    <w:rsid w:val="00FE3D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 w:type="character" w:styleId="UnresolvedMention">
    <w:name w:val="Unresolved Mention"/>
    <w:basedOn w:val="DefaultParagraphFont"/>
    <w:uiPriority w:val="99"/>
    <w:unhideWhenUsed/>
    <w:rsid w:val="00715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FDF1D5A4060F47883FB47A9B1590E7" ma:contentTypeVersion="4" ma:contentTypeDescription="Create a new document." ma:contentTypeScope="" ma:versionID="de708d427438818b20d38f57d1733f9b">
  <xsd:schema xmlns:xsd="http://www.w3.org/2001/XMLSchema" xmlns:xs="http://www.w3.org/2001/XMLSchema" xmlns:p="http://schemas.microsoft.com/office/2006/metadata/properties" xmlns:ns2="93fb6c1f-7b72-496b-8139-c4faaa8da558" xmlns:ns3="fabed361-1cc4-4023-9685-d0f46e35f28d" targetNamespace="http://schemas.microsoft.com/office/2006/metadata/properties" ma:root="true" ma:fieldsID="c4bfdd1f8443bebccf1d10e279502e0f" ns2:_="" ns3:_="">
    <xsd:import namespace="93fb6c1f-7b72-496b-8139-c4faaa8da558"/>
    <xsd:import namespace="fabed361-1cc4-4023-9685-d0f46e35f2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b6c1f-7b72-496b-8139-c4faaa8da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ed361-1cc4-4023-9685-d0f46e35f2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9F02E-3353-4588-B0EC-8324194065A3}">
  <ds:schemaRefs>
    <ds:schemaRef ds:uri="http://schemas.openxmlformats.org/officeDocument/2006/bibliography"/>
  </ds:schemaRefs>
</ds:datastoreItem>
</file>

<file path=customXml/itemProps2.xml><?xml version="1.0" encoding="utf-8"?>
<ds:datastoreItem xmlns:ds="http://schemas.openxmlformats.org/officeDocument/2006/customXml" ds:itemID="{CE46CE38-1E9E-4859-AA33-2951BDA9D08A}">
  <ds:schemaRefs>
    <ds:schemaRef ds:uri="fabed361-1cc4-4023-9685-d0f46e35f28d"/>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93fb6c1f-7b72-496b-8139-c4faaa8da558"/>
    <ds:schemaRef ds:uri="http://www.w3.org/XML/1998/namespace"/>
    <ds:schemaRef ds:uri="http://purl.org/dc/dcmitype/"/>
  </ds:schemaRefs>
</ds:datastoreItem>
</file>

<file path=customXml/itemProps3.xml><?xml version="1.0" encoding="utf-8"?>
<ds:datastoreItem xmlns:ds="http://schemas.openxmlformats.org/officeDocument/2006/customXml" ds:itemID="{9E22EB71-A500-4E38-AF08-CE647A512DE3}">
  <ds:schemaRefs>
    <ds:schemaRef ds:uri="http://schemas.microsoft.com/sharepoint/v3/contenttype/forms"/>
  </ds:schemaRefs>
</ds:datastoreItem>
</file>

<file path=customXml/itemProps4.xml><?xml version="1.0" encoding="utf-8"?>
<ds:datastoreItem xmlns:ds="http://schemas.openxmlformats.org/officeDocument/2006/customXml" ds:itemID="{41EF9205-A1ED-4559-ACD2-FE3B4504A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b6c1f-7b72-496b-8139-c4faaa8da558"/>
    <ds:schemaRef ds:uri="fabed361-1cc4-4023-9685-d0f46e35f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1343</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Vedavyas, Archana (CDC/DDNID/NCIPC/OD) (CTR)</cp:lastModifiedBy>
  <cp:revision>4</cp:revision>
  <cp:lastPrinted>2019-03-29T13:58:00Z</cp:lastPrinted>
  <dcterms:created xsi:type="dcterms:W3CDTF">2022-11-08T16:59:00Z</dcterms:created>
  <dcterms:modified xsi:type="dcterms:W3CDTF">2022-11-08T17:34:00Z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0x01010077FDF1D5A4060F47883FB47A9B1590E7</vt:lpwstr>
  </property>
  <property fmtid="{D5CDD505-2E9C-101B-9397-08002B2CF9AE}" pid="3" name="MSIP_Label_8af03ff0-41c5-4c41-b55e-fabb8fae94be_ActionId">
    <vt:lpwstr>6ca31ae0-5732-4b5c-8823-4f68eda831ae</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2021-10-12T15:32:40Z</vt:lpwstr>
  </property>
  <property fmtid="{D5CDD505-2E9C-101B-9397-08002B2CF9AE}" pid="9" name="MSIP_Label_8af03ff0-41c5-4c41-b55e-fabb8fae94be_SiteId">
    <vt:lpwstr>9ce70869-60db-44fd-abe8-d2767077fc8f</vt:lpwstr>
  </property>
  <property fmtid="{D5CDD505-2E9C-101B-9397-08002B2CF9AE}" pid="10" name="Order0">
    <vt:r8>4</vt:r8>
  </property>
  <property fmtid="{D5CDD505-2E9C-101B-9397-08002B2CF9AE}" pid="11" name="URL">
    <vt:lpwstr/>
  </property>
  <property fmtid="{D5CDD505-2E9C-101B-9397-08002B2CF9AE}" pid="12" name="_dlc_DocIdItemGuid">
    <vt:lpwstr>c0695f03-219c-4ff9-82d8-e4d88cfd62e7</vt:lpwstr>
  </property>
  <property fmtid="{D5CDD505-2E9C-101B-9397-08002B2CF9AE}" pid="13" name="_NewReviewCycle">
    <vt:lpwstr/>
  </property>
</Properties>
</file>