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925F79" w:rsidP="00F06866" w14:paraId="4A225714" w14:textId="41A70E2D">
      <w:pPr>
        <w:pStyle w:val="Heading2"/>
        <w:tabs>
          <w:tab w:val="left" w:pos="900"/>
        </w:tabs>
        <w:ind w:right="-180"/>
      </w:pPr>
      <w:r w:rsidRPr="0038253C">
        <w:t xml:space="preserve"> </w:t>
      </w:r>
      <w:r w:rsidRPr="00925F79">
        <w:t xml:space="preserve">Request for Approval under the “Generic Clearance for the Collection of Routine Customer Feedback” (OMB Control Number: </w:t>
      </w:r>
      <w:r w:rsidRPr="00925F79" w:rsidR="00E02391">
        <w:t>0920</w:t>
      </w:r>
      <w:r w:rsidRPr="00925F79">
        <w:t>-</w:t>
      </w:r>
      <w:r w:rsidRPr="00925F79" w:rsidR="00E02391">
        <w:t>1050</w:t>
      </w:r>
      <w:r w:rsidRPr="00925F79">
        <w:t>)</w:t>
      </w:r>
    </w:p>
    <w:p w:rsidR="00145293" w:rsidRPr="00925F79" w:rsidP="00145293" w14:paraId="227384E4" w14:textId="77777777">
      <w:pPr>
        <w:widowControl w:val="0"/>
        <w:rPr>
          <w:i/>
        </w:rPr>
      </w:pPr>
      <w:r w:rsidRPr="00925F79">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RPr="00925F79" w:rsidP="00145293" w14:paraId="44BDE483" w14:textId="77777777">
      <w:pPr>
        <w:widowControl w:val="0"/>
        <w:rPr>
          <w:i/>
        </w:rPr>
      </w:pPr>
      <w:r w:rsidRPr="00925F79">
        <w:rPr>
          <w:i/>
        </w:rPr>
        <w:t xml:space="preserve">Instruction: This form should be completed by the primary contact person from the Program sponsoring the collection. </w:t>
      </w:r>
    </w:p>
    <w:p w:rsidR="00145293" w:rsidRPr="00925F79" w:rsidP="00145293" w14:paraId="43F44C95" w14:textId="77777777">
      <w:pPr>
        <w:widowControl w:val="0"/>
        <w:spacing w:before="120"/>
        <w:rPr>
          <w:b/>
        </w:rPr>
      </w:pPr>
      <w:r w:rsidRPr="00925F79">
        <w:rPr>
          <w:b/>
        </w:rPr>
        <w:t>DETERMINE IF YOUR COLLECTION IS APPROPRIATE FOR THIS GENERIC CLEARANCE MECHANISM:</w:t>
      </w:r>
    </w:p>
    <w:p w:rsidR="00C809B5" w:rsidRPr="00925F79" w:rsidP="00145293" w14:paraId="0E2AC58D" w14:textId="77777777">
      <w:pPr>
        <w:widowControl w:val="0"/>
        <w:spacing w:before="120"/>
        <w:rPr>
          <w:i/>
        </w:rPr>
      </w:pPr>
      <w:r w:rsidRPr="00925F79">
        <w:rPr>
          <w:i/>
        </w:rPr>
        <w:t xml:space="preserve">Instruction: Before completing and submitting this form, determine first if the proposed collection is </w:t>
      </w:r>
      <w:r w:rsidRPr="00925F79" w:rsidR="003859BC">
        <w:rPr>
          <w:i/>
        </w:rPr>
        <w:t xml:space="preserve">consistent with the scope of </w:t>
      </w:r>
      <w:r w:rsidRPr="00925F79">
        <w:rPr>
          <w:i/>
        </w:rPr>
        <w:t xml:space="preserve">the Collection of Routine Customer Feedback generic clearance mechanism.  </w:t>
      </w:r>
      <w:r w:rsidRPr="00925F79" w:rsidR="003859BC">
        <w:rPr>
          <w:i/>
        </w:rPr>
        <w:t>To determine the appropriateness of using the Collection of Routine Customer Feedback generic clearance mechanism, c</w:t>
      </w:r>
      <w:r w:rsidRPr="00925F79">
        <w:rPr>
          <w:i/>
        </w:rPr>
        <w:t xml:space="preserve">omplete the checklist below. </w:t>
      </w:r>
    </w:p>
    <w:p w:rsidR="00145293" w:rsidRPr="00925F79" w:rsidP="00145293" w14:paraId="19E96866" w14:textId="77777777">
      <w:pPr>
        <w:widowControl w:val="0"/>
        <w:spacing w:before="120"/>
        <w:rPr>
          <w:i/>
        </w:rPr>
      </w:pPr>
      <w:r w:rsidRPr="00925F79">
        <w:rPr>
          <w:i/>
        </w:rPr>
        <w:t xml:space="preserve"> If you select “yes” to all criteria in Column A, the </w:t>
      </w:r>
      <w:r w:rsidRPr="00925F79" w:rsidR="003859BC">
        <w:rPr>
          <w:i/>
        </w:rPr>
        <w:t xml:space="preserve">Collection of Routine Customer Feedback </w:t>
      </w:r>
      <w:r w:rsidRPr="00925F79">
        <w:rPr>
          <w:i/>
        </w:rPr>
        <w:t xml:space="preserve">generic clearance mechanism </w:t>
      </w:r>
      <w:r w:rsidRPr="00925F79">
        <w:rPr>
          <w:b/>
          <w:i/>
          <w:u w:val="single"/>
        </w:rPr>
        <w:t>can</w:t>
      </w:r>
      <w:r w:rsidRPr="00925F79">
        <w:rPr>
          <w:i/>
        </w:rPr>
        <w:t xml:space="preserve"> be used.  If you select “yes” to any criterion in Column B, the Collection of Routine Customer Feedback generic clearance mechanism </w:t>
      </w:r>
      <w:r w:rsidRPr="00925F79">
        <w:rPr>
          <w:b/>
          <w:i/>
          <w:u w:val="single"/>
        </w:rPr>
        <w:t>cannot</w:t>
      </w:r>
      <w:r w:rsidRPr="00925F79">
        <w:rPr>
          <w:i/>
        </w:rPr>
        <w:t xml:space="preserve"> be used.</w:t>
      </w:r>
    </w:p>
    <w:p w:rsidR="00145293" w:rsidRPr="00925F79" w:rsidP="00145293" w14:paraId="2A56D10C" w14:textId="77777777">
      <w:pPr>
        <w:widowControl w:val="0"/>
        <w:spacing w:before="120"/>
        <w:rPr>
          <w:b/>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5F9E717B" w14:textId="77777777">
            <w:pPr>
              <w:widowControl w:val="0"/>
              <w:rPr>
                <w:b/>
              </w:rPr>
            </w:pPr>
            <w:r w:rsidRPr="00925F79">
              <w:rPr>
                <w:b/>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5C745765" w14:textId="77777777">
            <w:pPr>
              <w:widowControl w:val="0"/>
              <w:rPr>
                <w:b/>
              </w:rPr>
            </w:pPr>
            <w:r w:rsidRPr="00925F79">
              <w:rPr>
                <w:b/>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0229F85B" w14:textId="77777777">
            <w:pPr>
              <w:rPr>
                <w:rFonts w:eastAsiaTheme="minorHAnsi"/>
              </w:rPr>
            </w:pPr>
            <w:r w:rsidRPr="00925F79">
              <w:rPr>
                <w:rFonts w:eastAsiaTheme="minorHAnsi"/>
              </w:rPr>
              <w:t>The information gathered will only be used internally to CDC.</w:t>
            </w:r>
          </w:p>
          <w:p w:rsidR="00145293" w:rsidRPr="00925F79" w14:paraId="1F296C70" w14:textId="32E8B279">
            <w:pPr>
              <w:rPr>
                <w:rFonts w:eastAsiaTheme="minorHAnsi"/>
              </w:rPr>
            </w:pPr>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1331D311" w14:textId="0A84DF45">
            <w:pPr>
              <w:widowControl w:val="0"/>
            </w:pPr>
            <w:r w:rsidRPr="00925F79">
              <w:t xml:space="preserve">Information gathered </w:t>
            </w:r>
            <w:r w:rsidRPr="00925F79" w:rsidR="00E252F3">
              <w:t xml:space="preserve">will be </w:t>
            </w:r>
            <w:r w:rsidRPr="00925F79">
              <w:t>public</w:t>
            </w:r>
            <w:r w:rsidRPr="00925F79" w:rsidR="00E252F3">
              <w:t>ly</w:t>
            </w:r>
            <w:r w:rsidRPr="00925F79">
              <w:t xml:space="preserve"> release</w:t>
            </w:r>
            <w:r w:rsidRPr="00925F79" w:rsidR="00E252F3">
              <w:t>d</w:t>
            </w:r>
            <w:r w:rsidRPr="00925F79">
              <w:t xml:space="preserve"> or </w:t>
            </w:r>
            <w:r w:rsidRPr="00925F79" w:rsidR="00AD3D72">
              <w:t>published</w:t>
            </w:r>
            <w:r w:rsidRPr="00925F79" w:rsidR="00E252F3">
              <w:t>.</w:t>
            </w:r>
            <w:r w:rsidRPr="00925F79">
              <w:t xml:space="preserve"> </w:t>
            </w:r>
          </w:p>
          <w:p w:rsidR="00145293" w:rsidRPr="00925F79" w14:paraId="797AFD80" w14:textId="72F8DB2A">
            <w:pPr>
              <w:widowControl w:val="0"/>
            </w:pPr>
            <w:r w:rsidRPr="00925F79">
              <w:rPr>
                <w:rFonts w:eastAsiaTheme="minorHAnsi"/>
              </w:rPr>
              <w:t>[  ]</w:t>
            </w:r>
            <w:r w:rsidRPr="00925F79">
              <w:rPr>
                <w:rFonts w:eastAsiaTheme="minorHAnsi"/>
              </w:rPr>
              <w:t xml:space="preserve"> Yes     [ </w:t>
            </w:r>
            <w:r w:rsidRPr="00925F79" w:rsidR="007E32EE">
              <w:rPr>
                <w:rFonts w:eastAsiaTheme="minorHAnsi"/>
              </w:rPr>
              <w:t>X</w:t>
            </w:r>
            <w:r w:rsidRPr="00925F79">
              <w:rPr>
                <w:rFonts w:eastAsiaTheme="minorHAnsi"/>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2F1A19B9" w14:textId="7B028C5B">
            <w:pPr>
              <w:rPr>
                <w:rFonts w:eastAsiaTheme="minorHAnsi"/>
              </w:rPr>
            </w:pPr>
            <w:r w:rsidRPr="00925F79">
              <w:rPr>
                <w:rFonts w:eastAsiaTheme="minorHAnsi"/>
              </w:rPr>
              <w:t xml:space="preserve">Data is qualitative in nature and not generalizable to </w:t>
            </w:r>
            <w:r w:rsidRPr="00925F79" w:rsidR="00E252F3">
              <w:rPr>
                <w:rFonts w:eastAsiaTheme="minorHAnsi"/>
              </w:rPr>
              <w:t>people from whom data was not collected</w:t>
            </w:r>
            <w:r w:rsidRPr="00925F79" w:rsidR="003C4F49">
              <w:rPr>
                <w:rFonts w:eastAsiaTheme="minorHAnsi"/>
              </w:rPr>
              <w:t>.</w:t>
            </w:r>
            <w:r w:rsidRPr="00925F79">
              <w:rPr>
                <w:rFonts w:eastAsiaTheme="minorHAnsi"/>
              </w:rPr>
              <w:t xml:space="preserve"> </w:t>
            </w:r>
          </w:p>
          <w:p w:rsidR="00145293" w:rsidRPr="00925F79" w14:paraId="1759A2A7" w14:textId="241388BA">
            <w:pPr>
              <w:rPr>
                <w:rFonts w:eastAsiaTheme="minorHAnsi"/>
              </w:rPr>
            </w:pPr>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64C1AF57" w14:textId="45DC152D">
            <w:pPr>
              <w:widowControl w:val="0"/>
            </w:pPr>
            <w:r w:rsidRPr="00925F79">
              <w:t>Employs quantitative study design (</w:t>
            </w:r>
            <w:r w:rsidRPr="00925F79">
              <w:t>e.g.</w:t>
            </w:r>
            <w:r w:rsidRPr="00925F79">
              <w:t xml:space="preserve"> those that rely on probability design or experimental methods) </w:t>
            </w:r>
          </w:p>
          <w:p w:rsidR="00145293" w:rsidRPr="00925F79" w14:paraId="7570922A" w14:textId="4FFCBD3D">
            <w:pPr>
              <w:widowControl w:val="0"/>
            </w:pPr>
            <w:r w:rsidRPr="00925F79">
              <w:rPr>
                <w:rFonts w:eastAsiaTheme="minorHAnsi"/>
              </w:rPr>
              <w:t>[  ]</w:t>
            </w:r>
            <w:r w:rsidRPr="00925F79">
              <w:rPr>
                <w:rFonts w:eastAsiaTheme="minorHAnsi"/>
              </w:rPr>
              <w:t xml:space="preserve"> Yes     [</w:t>
            </w:r>
            <w:r w:rsidRPr="00925F79" w:rsidR="007E32EE">
              <w:rPr>
                <w:rFonts w:eastAsiaTheme="minorHAnsi"/>
              </w:rPr>
              <w:t>X</w:t>
            </w:r>
            <w:r w:rsidRPr="00925F79">
              <w:rPr>
                <w:rFonts w:eastAsiaTheme="minorHAnsi"/>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0D66C1EE" w14:textId="1D10339C">
            <w:pPr>
              <w:rPr>
                <w:rFonts w:eastAsiaTheme="minorHAnsi"/>
              </w:rPr>
            </w:pPr>
            <w:r w:rsidRPr="00925F79">
              <w:rPr>
                <w:rFonts w:eastAsiaTheme="minorHAnsi"/>
              </w:rPr>
              <w:t>There are no sensitive questions within this collection (</w:t>
            </w:r>
            <w:r w:rsidRPr="00925F79">
              <w:rPr>
                <w:rFonts w:eastAsiaTheme="minorHAnsi"/>
              </w:rPr>
              <w:t>e.g.</w:t>
            </w:r>
            <w:r w:rsidRPr="00925F79">
              <w:rPr>
                <w:rFonts w:eastAsiaTheme="minorHAnsi"/>
              </w:rPr>
              <w:t xml:space="preserve"> sexual orientation, gender</w:t>
            </w:r>
            <w:r w:rsidRPr="00925F79" w:rsidR="00E252F3">
              <w:rPr>
                <w:rFonts w:eastAsiaTheme="minorHAnsi"/>
              </w:rPr>
              <w:t xml:space="preserve"> identity</w:t>
            </w:r>
            <w:r w:rsidRPr="00925F79">
              <w:rPr>
                <w:rFonts w:eastAsiaTheme="minorHAnsi"/>
              </w:rPr>
              <w:t>)</w:t>
            </w:r>
            <w:r w:rsidRPr="00925F79" w:rsidR="003C4F49">
              <w:rPr>
                <w:rFonts w:eastAsiaTheme="minorHAnsi"/>
              </w:rPr>
              <w:t>.</w:t>
            </w:r>
          </w:p>
          <w:p w:rsidR="00145293" w:rsidRPr="00925F79" w14:paraId="3A2A86ED" w14:textId="1C7106F6">
            <w:pPr>
              <w:rPr>
                <w:rFonts w:eastAsiaTheme="minorHAnsi"/>
              </w:rPr>
            </w:pPr>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0C87062C" w14:textId="7D1775EA">
            <w:pPr>
              <w:widowControl w:val="0"/>
            </w:pPr>
            <w:r w:rsidRPr="00925F79">
              <w:t>Sensitive questions will be asked (</w:t>
            </w:r>
            <w:r w:rsidRPr="00925F79">
              <w:t>e.g.</w:t>
            </w:r>
            <w:r w:rsidRPr="00925F79">
              <w:t xml:space="preserve"> sexual orientation, gender</w:t>
            </w:r>
            <w:r w:rsidRPr="00925F79" w:rsidR="00E252F3">
              <w:t xml:space="preserve"> identity</w:t>
            </w:r>
            <w:r w:rsidRPr="00925F79">
              <w:t>)</w:t>
            </w:r>
            <w:r w:rsidRPr="00925F79" w:rsidR="003C4F49">
              <w:t>.</w:t>
            </w:r>
          </w:p>
          <w:p w:rsidR="00145293" w:rsidRPr="00925F79" w14:paraId="330471D2" w14:textId="2DF4A50D">
            <w:pPr>
              <w:widowControl w:val="0"/>
            </w:pPr>
            <w:r w:rsidRPr="00925F79">
              <w:rPr>
                <w:rFonts w:eastAsiaTheme="minorHAnsi"/>
              </w:rPr>
              <w:t>[  ]</w:t>
            </w:r>
            <w:r w:rsidRPr="00925F79">
              <w:rPr>
                <w:rFonts w:eastAsiaTheme="minorHAnsi"/>
              </w:rPr>
              <w:t xml:space="preserve"> Yes     [ </w:t>
            </w:r>
            <w:r w:rsidRPr="00925F79" w:rsidR="007E32EE">
              <w:rPr>
                <w:rFonts w:eastAsiaTheme="minorHAnsi"/>
              </w:rPr>
              <w:t>X</w:t>
            </w:r>
            <w:r w:rsidRPr="00925F79">
              <w:rPr>
                <w:rFonts w:eastAsiaTheme="minorHAnsi"/>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2EFFD7AD" w14:textId="51EA21D5">
            <w:pPr>
              <w:rPr>
                <w:rFonts w:eastAsiaTheme="minorHAnsi"/>
              </w:rPr>
            </w:pPr>
            <w:r w:rsidRPr="00925F79">
              <w:rPr>
                <w:rFonts w:eastAsiaTheme="minorHAnsi"/>
              </w:rPr>
              <w:t>Collection does not raise issues of con</w:t>
            </w:r>
            <w:r w:rsidRPr="00925F79" w:rsidR="00F60CA9">
              <w:rPr>
                <w:rFonts w:eastAsiaTheme="minorHAnsi"/>
              </w:rPr>
              <w:t>cern to any other Federal agencies</w:t>
            </w:r>
            <w:r w:rsidRPr="00925F79" w:rsidR="003C4F49">
              <w:rPr>
                <w:rFonts w:eastAsiaTheme="minorHAnsi"/>
              </w:rPr>
              <w:t>.</w:t>
            </w:r>
          </w:p>
          <w:p w:rsidR="00145293" w:rsidRPr="00925F79" w14:paraId="2801D639" w14:textId="3724D878">
            <w:pPr>
              <w:rPr>
                <w:rFonts w:eastAsiaTheme="minorHAnsi"/>
              </w:rPr>
            </w:pPr>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69842265" w14:textId="77777777">
            <w:pPr>
              <w:widowControl w:val="0"/>
            </w:pPr>
            <w:r w:rsidRPr="00925F79">
              <w:t>Other Federal agencies may have equities or concerns regarding this collection.</w:t>
            </w:r>
          </w:p>
          <w:p w:rsidR="00145293" w:rsidRPr="00925F79" w14:paraId="0D2866CB" w14:textId="1D6CC009">
            <w:pPr>
              <w:widowControl w:val="0"/>
            </w:pPr>
            <w:r w:rsidRPr="00925F79">
              <w:rPr>
                <w:rFonts w:eastAsiaTheme="minorHAnsi"/>
              </w:rPr>
              <w:t>[  ]</w:t>
            </w:r>
            <w:r w:rsidRPr="00925F79">
              <w:rPr>
                <w:rFonts w:eastAsiaTheme="minorHAnsi"/>
              </w:rPr>
              <w:t xml:space="preserve"> Yes     [</w:t>
            </w:r>
            <w:r w:rsidRPr="00925F79" w:rsidR="007E32EE">
              <w:rPr>
                <w:rFonts w:eastAsiaTheme="minorHAnsi"/>
              </w:rPr>
              <w:t>X</w:t>
            </w:r>
            <w:r w:rsidRPr="00925F79">
              <w:rPr>
                <w:rFonts w:eastAsiaTheme="minorHAnsi"/>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238AA7EE" w14:textId="788772B8">
            <w:pPr>
              <w:rPr>
                <w:rFonts w:eastAsiaTheme="minorHAnsi"/>
              </w:rPr>
            </w:pPr>
            <w:r w:rsidRPr="00925F79">
              <w:rPr>
                <w:rFonts w:eastAsiaTheme="minorHAnsi"/>
              </w:rPr>
              <w:t>Data collection is fo</w:t>
            </w:r>
            <w:r w:rsidRPr="00925F79" w:rsidR="00F60CA9">
              <w:rPr>
                <w:rFonts w:eastAsiaTheme="minorHAnsi"/>
              </w:rPr>
              <w:t xml:space="preserve">cused on </w:t>
            </w:r>
            <w:r w:rsidRPr="00925F79" w:rsidR="000F6D85">
              <w:rPr>
                <w:rFonts w:eastAsiaTheme="minorHAnsi"/>
              </w:rPr>
              <w:t xml:space="preserve">determining ways to improve </w:t>
            </w:r>
            <w:r w:rsidRPr="00925F79" w:rsidR="00F60CA9">
              <w:rPr>
                <w:rFonts w:eastAsiaTheme="minorHAnsi"/>
              </w:rPr>
              <w:t>delivery</w:t>
            </w:r>
            <w:r w:rsidRPr="00925F79" w:rsidR="000F6D85">
              <w:rPr>
                <w:rFonts w:eastAsiaTheme="minorHAnsi"/>
              </w:rPr>
              <w:t xml:space="preserve"> of services to customers of </w:t>
            </w:r>
            <w:r w:rsidRPr="00925F79" w:rsidR="00F60CA9">
              <w:rPr>
                <w:rFonts w:eastAsiaTheme="minorHAnsi"/>
              </w:rPr>
              <w:t xml:space="preserve">a current CDC </w:t>
            </w:r>
            <w:r w:rsidRPr="00925F79">
              <w:rPr>
                <w:rFonts w:eastAsiaTheme="minorHAnsi"/>
              </w:rPr>
              <w:t>program.</w:t>
            </w:r>
          </w:p>
          <w:p w:rsidR="00145293" w:rsidRPr="00925F79" w14:paraId="19592842" w14:textId="1B9149EA">
            <w:pPr>
              <w:rPr>
                <w:rFonts w:eastAsiaTheme="minorHAnsi"/>
              </w:rPr>
            </w:pPr>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925F79" w14:paraId="0C6A3ACE" w14:textId="32621B77">
            <w:pPr>
              <w:widowControl w:val="0"/>
            </w:pPr>
            <w:r w:rsidRPr="00925F79">
              <w:t xml:space="preserve">Data </w:t>
            </w:r>
            <w:r w:rsidRPr="00925F79" w:rsidR="00E252F3">
              <w:t xml:space="preserve">will be used to inform programmatic or budgetary decisions, </w:t>
            </w:r>
            <w:r w:rsidRPr="00925F79" w:rsidR="00450CC2">
              <w:t xml:space="preserve">for the purpose of program evaluation, </w:t>
            </w:r>
            <w:r w:rsidRPr="00925F79" w:rsidR="00E252F3">
              <w:t xml:space="preserve">for </w:t>
            </w:r>
            <w:r w:rsidRPr="00925F79" w:rsidR="00450CC2">
              <w:t xml:space="preserve">surveillance, </w:t>
            </w:r>
            <w:r w:rsidRPr="00925F79" w:rsidR="00E252F3">
              <w:t xml:space="preserve">for </w:t>
            </w:r>
            <w:r w:rsidRPr="00925F79" w:rsidR="000F6D85">
              <w:t xml:space="preserve">program </w:t>
            </w:r>
            <w:r w:rsidRPr="00925F79" w:rsidR="00450CC2">
              <w:t xml:space="preserve">needs assessment, or </w:t>
            </w:r>
            <w:r w:rsidRPr="00925F79" w:rsidR="00E252F3">
              <w:t xml:space="preserve">for </w:t>
            </w:r>
            <w:r w:rsidRPr="00925F79" w:rsidR="00450CC2">
              <w:t>research</w:t>
            </w:r>
            <w:r w:rsidRPr="00925F79" w:rsidR="003C4F49">
              <w:t>.</w:t>
            </w:r>
            <w:r w:rsidRPr="00925F79" w:rsidR="00450CC2">
              <w:t xml:space="preserve"> </w:t>
            </w:r>
          </w:p>
          <w:p w:rsidR="00145293" w:rsidRPr="00925F79" w14:paraId="625EA79B" w14:textId="700FEAB7">
            <w:pPr>
              <w:widowControl w:val="0"/>
            </w:pPr>
            <w:r w:rsidRPr="00925F79">
              <w:rPr>
                <w:rFonts w:eastAsiaTheme="minorHAnsi"/>
              </w:rPr>
              <w:t>[  ]</w:t>
            </w:r>
            <w:r w:rsidRPr="00925F79">
              <w:rPr>
                <w:rFonts w:eastAsiaTheme="minorHAnsi"/>
              </w:rPr>
              <w:t xml:space="preserve"> Yes     [</w:t>
            </w:r>
            <w:r w:rsidRPr="00925F79" w:rsidR="007E32EE">
              <w:rPr>
                <w:rFonts w:eastAsiaTheme="minorHAnsi"/>
              </w:rPr>
              <w:t>X</w:t>
            </w:r>
            <w:r w:rsidRPr="00925F79">
              <w:rPr>
                <w:rFonts w:eastAsiaTheme="minorHAnsi"/>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925F79" w:rsidP="003C4F49" w14:paraId="3918B51C" w14:textId="11332045">
            <w:r w:rsidRPr="00925F79">
              <w:t>The collection is targeted to the solicitation of opinions from respondents who have experience with the program or may have experience with the program in the future.</w:t>
            </w:r>
          </w:p>
          <w:p w:rsidR="00FD6D92" w:rsidRPr="00925F79" w:rsidP="003C4F49" w14:paraId="71699EB3" w14:textId="2FCD5313">
            <w:r w:rsidRPr="00925F79">
              <w:rPr>
                <w:rFonts w:eastAsiaTheme="minorHAnsi"/>
              </w:rPr>
              <w:t>[</w:t>
            </w:r>
            <w:r w:rsidRPr="00925F79" w:rsidR="007E32EE">
              <w:rPr>
                <w:rFonts w:eastAsiaTheme="minorHAnsi"/>
              </w:rPr>
              <w:t>X</w:t>
            </w:r>
            <w:r w:rsidRPr="00925F79">
              <w:rPr>
                <w:rFonts w:eastAsiaTheme="minorHAnsi"/>
              </w:rPr>
              <w:t xml:space="preserve">  ]</w:t>
            </w:r>
            <w:r w:rsidRPr="00925F79">
              <w:rPr>
                <w:rFonts w:eastAsiaTheme="minorHAnsi"/>
              </w:rPr>
              <w:t xml:space="preserve"> Yes     [  ] No</w:t>
            </w:r>
          </w:p>
          <w:p w:rsidR="00FD6D92" w:rsidRPr="00925F79" w14:paraId="24726574" w14:textId="77777777">
            <w:pPr>
              <w:rPr>
                <w:rFonts w:eastAsiaTheme="minorHAnsi"/>
              </w:rPr>
            </w:pPr>
          </w:p>
        </w:tc>
        <w:tc>
          <w:tcPr>
            <w:tcW w:w="4675" w:type="dxa"/>
            <w:tcBorders>
              <w:top w:val="single" w:sz="4" w:space="0" w:color="auto"/>
              <w:left w:val="single" w:sz="4" w:space="0" w:color="auto"/>
              <w:bottom w:val="single" w:sz="4" w:space="0" w:color="auto"/>
              <w:right w:val="single" w:sz="4" w:space="0" w:color="auto"/>
            </w:tcBorders>
          </w:tcPr>
          <w:p w:rsidR="00FD6D92" w:rsidRPr="00925F79" w:rsidP="00AD3D72" w14:paraId="53AAEA22" w14:textId="77777777"/>
        </w:tc>
      </w:tr>
    </w:tbl>
    <w:p w:rsidR="00145293" w:rsidRPr="00925F79" w:rsidP="00145293" w14:paraId="0D3CD2E1" w14:textId="77777777">
      <w:pPr>
        <w:widowControl w:val="0"/>
        <w:spacing w:before="120"/>
      </w:pPr>
      <w:r w:rsidRPr="00925F79">
        <w:t>Did you select “Yes” to all criteria in Column A?</w:t>
      </w:r>
    </w:p>
    <w:p w:rsidR="00145293" w:rsidRPr="00925F79" w:rsidP="00145293" w14:paraId="7172BA15" w14:textId="77777777">
      <w:pPr>
        <w:widowControl w:val="0"/>
        <w:spacing w:before="120"/>
        <w:ind w:left="720"/>
      </w:pPr>
      <w:r w:rsidRPr="00925F79">
        <w:t xml:space="preserve">If yes, the </w:t>
      </w:r>
      <w:r w:rsidRPr="00925F79" w:rsidR="003859BC">
        <w:rPr>
          <w:i/>
        </w:rPr>
        <w:t xml:space="preserve">Collection of Routine Customer Feedback </w:t>
      </w:r>
      <w:r w:rsidRPr="00925F79">
        <w:t>generic clearance mechanism may be appropriate for your investigation.  You may proceed with this form.</w:t>
      </w:r>
    </w:p>
    <w:p w:rsidR="00145293" w:rsidRPr="00925F79" w:rsidP="00145293" w14:paraId="5959A83F" w14:textId="77777777">
      <w:pPr>
        <w:widowControl w:val="0"/>
        <w:spacing w:before="120"/>
      </w:pPr>
      <w:r w:rsidRPr="00925F79">
        <w:t>Did you select “Yes” to any criterion in Column B?</w:t>
      </w:r>
    </w:p>
    <w:p w:rsidR="00145293" w:rsidRPr="00925F79" w:rsidP="00145293" w14:paraId="5F985306" w14:textId="610F8D89">
      <w:pPr>
        <w:widowControl w:val="0"/>
        <w:spacing w:before="120"/>
        <w:ind w:left="720"/>
      </w:pPr>
      <w:r w:rsidRPr="00925F79">
        <w:t xml:space="preserve">If yes, the </w:t>
      </w:r>
      <w:r w:rsidRPr="00925F79" w:rsidR="003859BC">
        <w:rPr>
          <w:i/>
        </w:rPr>
        <w:t xml:space="preserve">Collection of Routine Customer Feedback </w:t>
      </w:r>
      <w:r w:rsidRPr="00925F79">
        <w:t xml:space="preserve">generic clearance mechanism is </w:t>
      </w:r>
      <w:r w:rsidRPr="00925F79">
        <w:rPr>
          <w:b/>
          <w:u w:val="single"/>
        </w:rPr>
        <w:t>NOT</w:t>
      </w:r>
      <w:r w:rsidRPr="00925F79">
        <w:t xml:space="preserve"> appropriate for your investigation.  Stop completing this form now.</w:t>
      </w:r>
    </w:p>
    <w:p w:rsidR="0038253C" w:rsidRPr="00925F79" w:rsidP="00145293" w14:paraId="2CB5AC38" w14:textId="77777777">
      <w:pPr>
        <w:widowControl w:val="0"/>
        <w:spacing w:before="120"/>
        <w:ind w:left="720"/>
      </w:pPr>
    </w:p>
    <w:p w:rsidR="00443C35" w:rsidRPr="00925F79" w:rsidP="00443C35" w14:paraId="47D846A5" w14:textId="7DB109B7">
      <w:pPr>
        <w:pStyle w:val="ListParagraph"/>
        <w:ind w:left="0"/>
      </w:pPr>
      <w:r w:rsidRPr="00925F79">
        <w:t xml:space="preserve">Note: Use OMB format when asking race/ethnicity as well as gender questions. </w:t>
      </w:r>
    </w:p>
    <w:p w:rsidR="00145293" w:rsidRPr="00925F79" w:rsidP="00443C35" w14:paraId="71B5FAB9" w14:textId="77777777">
      <w:pPr>
        <w:widowControl w:val="0"/>
        <w:spacing w:before="120"/>
      </w:pPr>
    </w:p>
    <w:p w:rsidR="00B46F2C" w:rsidRPr="00925F79" w14:paraId="29476A1F" w14:textId="2A02074E">
      <w:r w:rsidRPr="00925F79">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925F79">
        <w:rPr>
          <w:b/>
        </w:rPr>
        <w:t>TITLE OF INFORMATION COLLECTION:</w:t>
      </w:r>
      <w:r w:rsidRPr="00925F79">
        <w:t xml:space="preserve">  </w:t>
      </w:r>
      <w:r w:rsidRPr="00925F79" w:rsidR="00D75A5A">
        <w:rPr>
          <w:noProof/>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7" type="#_x0000_t32" alt="Title: Title Underline - Description: Underlining of Title" style="width:469.5pt;height:3pt;margin-top:0;margin-left:0;mso-wrap-distance-bottom:0;mso-wrap-distance-left:9pt;mso-wrap-distance-right:9pt;mso-wrap-distance-top:0;mso-wrap-style:square;position:absolute;visibility:visible;z-index:251663360" strokeweight="1.5pt">
                <v:stroke startarrowwidth="narrow" startarrowlength="short" endarrowwidth="narrow" endarrowlength="short"/>
              </v:shape>
            </w:pict>
          </mc:Fallback>
        </mc:AlternateContent>
      </w:r>
      <w:r w:rsidRPr="00925F79" w:rsidR="00D75A5A">
        <w:rPr>
          <w:noProof/>
        </w:rPr>
        <mc:AlternateContent>
          <mc:Choice Requires="wps">
            <w:drawing>
              <wp:anchor distT="0" distB="0" distL="114300" distR="114300" simplePos="0" relativeHeight="251664384"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5" o:spid="_x0000_s1028" type="#_x0000_t32" alt="Title: Title Underline - Description: Underlining of Title" style="width:469.5pt;height:3pt;margin-top:0;margin-left:0;mso-wrap-distance-bottom:0;mso-wrap-distance-left:9pt;mso-wrap-distance-right:9pt;mso-wrap-distance-top:0;mso-wrap-style:square;position:absolute;visibility:visible;z-index:251665408" strokeweight="1.5pt">
                <v:stroke startarrowwidth="narrow" startarrowlength="short" endarrowwidth="narrow" endarrowlength="short"/>
              </v:shape>
            </w:pict>
          </mc:Fallback>
        </mc:AlternateContent>
      </w:r>
    </w:p>
    <w:p w:rsidR="007806D9" w:rsidRPr="00925F79" w:rsidP="007806D9" w14:paraId="5DE01DF7" w14:textId="77777777">
      <w:pPr>
        <w:contextualSpacing/>
        <w:rPr>
          <w:rFonts w:eastAsiaTheme="minorEastAsia"/>
          <w:b/>
        </w:rPr>
      </w:pPr>
    </w:p>
    <w:p w:rsidR="007806D9" w:rsidRPr="00925F79" w:rsidP="007806D9" w14:paraId="262AF148" w14:textId="36144A6B">
      <w:pPr>
        <w:contextualSpacing/>
        <w:rPr>
          <w:rFonts w:eastAsiaTheme="minorEastAsia"/>
          <w:b/>
        </w:rPr>
      </w:pPr>
      <w:r w:rsidRPr="00925F79">
        <w:rPr>
          <w:rFonts w:eastAsiaTheme="minorEastAsia"/>
          <w:b/>
        </w:rPr>
        <w:t xml:space="preserve">Opioid Rapid Response Patient Absorption </w:t>
      </w:r>
      <w:r w:rsidRPr="00925F79" w:rsidR="000B657B">
        <w:rPr>
          <w:rFonts w:eastAsiaTheme="minorEastAsia"/>
          <w:b/>
        </w:rPr>
        <w:t>Interviews</w:t>
      </w:r>
    </w:p>
    <w:p w:rsidR="007B6A1A" w:rsidRPr="00925F79" w14:paraId="574FEEBA" w14:textId="77777777"/>
    <w:p w:rsidR="00655F9E" w:rsidRPr="00925F79" w:rsidP="00655F9E" w14:paraId="27EF9B80" w14:textId="4E3CFC70">
      <w:pPr>
        <w:rPr>
          <w:b/>
        </w:rPr>
      </w:pPr>
      <w:r w:rsidRPr="00925F79">
        <w:rPr>
          <w:b/>
        </w:rPr>
        <w:t xml:space="preserve">PURPOSE:  </w:t>
      </w:r>
    </w:p>
    <w:p w:rsidR="007806D9" w:rsidRPr="00925F79" w:rsidP="007806D9" w14:paraId="14AD4169" w14:textId="77777777">
      <w:pPr>
        <w:jc w:val="both"/>
      </w:pPr>
    </w:p>
    <w:p w:rsidR="007806D9" w:rsidRPr="00925F79" w:rsidP="007806D9" w14:paraId="21FDE46C" w14:textId="4E336614">
      <w:pPr>
        <w:jc w:val="both"/>
      </w:pPr>
      <w:r w:rsidRPr="00925F79">
        <w:t xml:space="preserve">The </w:t>
      </w:r>
      <w:r w:rsidRPr="00925F79" w:rsidR="002F5C2A">
        <w:t xml:space="preserve">federal </w:t>
      </w:r>
      <w:r w:rsidRPr="00925F79">
        <w:t xml:space="preserve">Opioid Rapid Response Program is a </w:t>
      </w:r>
      <w:r w:rsidRPr="00925F79" w:rsidR="002F5C2A">
        <w:t xml:space="preserve">cross-cutting </w:t>
      </w:r>
      <w:r w:rsidRPr="00925F79">
        <w:t>program overseen by the Office of the Assistant Secretary for Health (OASH) and led by CDC in coordination with the HHS Office of Inspector General (OIG). The program aims to mitigate risks to patients impacted by disrupted access to prescription opioid</w:t>
      </w:r>
      <w:r w:rsidRPr="00925F79" w:rsidR="002F5C2A">
        <w:t xml:space="preserve"> therapy</w:t>
      </w:r>
      <w:r w:rsidRPr="00925F79">
        <w:t xml:space="preserve"> which </w:t>
      </w:r>
      <w:r w:rsidRPr="00925F79" w:rsidR="002F5C2A">
        <w:t>can</w:t>
      </w:r>
      <w:r w:rsidRPr="00925F79">
        <w:t xml:space="preserve"> occur as the result of a law enforcement or regulatory action taken against a prescriber. Each action can impact hundreds of patients. CDC’s Opioid Rapid Response Program </w:t>
      </w:r>
      <w:r w:rsidRPr="00925F79" w:rsidR="000B657B">
        <w:t xml:space="preserve">(ORRP) </w:t>
      </w:r>
      <w:r w:rsidRPr="00925F79">
        <w:t xml:space="preserve">operates as an emergency response coordinating team, </w:t>
      </w:r>
      <w:r w:rsidRPr="00925F79" w:rsidR="000B657B">
        <w:t>collaborating with</w:t>
      </w:r>
      <w:r w:rsidRPr="00925F79">
        <w:t xml:space="preserve"> </w:t>
      </w:r>
      <w:r w:rsidRPr="00925F79" w:rsidR="00604EE0">
        <w:t xml:space="preserve">federal partners and </w:t>
      </w:r>
      <w:r w:rsidRPr="00925F79">
        <w:t>state</w:t>
      </w:r>
      <w:r w:rsidRPr="00925F79" w:rsidR="00604EE0">
        <w:t>/local</w:t>
      </w:r>
      <w:r w:rsidRPr="00925F79">
        <w:t xml:space="preserve"> health </w:t>
      </w:r>
      <w:r w:rsidRPr="00925F79">
        <w:t>officials</w:t>
      </w:r>
      <w:r w:rsidRPr="00925F79">
        <w:t xml:space="preserve"> and providing technical support to build capacity to mitigate risks for patients displaced by these actions. Often a layered approach is needed, including the provision of risk communication and harm reduction, </w:t>
      </w:r>
      <w:r w:rsidRPr="00925F79" w:rsidR="000B657B">
        <w:t>coordination with local</w:t>
      </w:r>
      <w:r w:rsidRPr="00925F79">
        <w:t xml:space="preserve"> area hospitals and health systems, </w:t>
      </w:r>
      <w:r w:rsidRPr="00925F79" w:rsidR="002F5C2A">
        <w:t xml:space="preserve">and </w:t>
      </w:r>
      <w:r w:rsidRPr="00925F79" w:rsidR="000B657B">
        <w:t>provision of</w:t>
      </w:r>
      <w:r w:rsidRPr="00925F79">
        <w:t xml:space="preserve"> direct patient </w:t>
      </w:r>
      <w:r w:rsidRPr="00925F79" w:rsidR="000B657B">
        <w:t xml:space="preserve">and </w:t>
      </w:r>
      <w:r w:rsidRPr="00925F79" w:rsidR="008D4F34">
        <w:t xml:space="preserve">clinician </w:t>
      </w:r>
      <w:r w:rsidRPr="00925F79">
        <w:t xml:space="preserve">outreach to facilitate care continuity </w:t>
      </w:r>
      <w:r w:rsidRPr="00925F79" w:rsidR="000B657B">
        <w:t>for patients affected by these actions</w:t>
      </w:r>
      <w:r w:rsidRPr="00925F79">
        <w:t xml:space="preserve">. In </w:t>
      </w:r>
      <w:r w:rsidRPr="00925F79" w:rsidR="000B657B">
        <w:t xml:space="preserve">some cases, </w:t>
      </w:r>
      <w:r w:rsidRPr="00925F79">
        <w:t xml:space="preserve">patients </w:t>
      </w:r>
      <w:r w:rsidRPr="00925F79" w:rsidR="000B657B">
        <w:t xml:space="preserve">may </w:t>
      </w:r>
      <w:r w:rsidRPr="00925F79">
        <w:t xml:space="preserve">need referral to treatment and recovery services for substance use disorder. More commonly, patients need </w:t>
      </w:r>
      <w:r w:rsidRPr="00925F79" w:rsidR="000B657B">
        <w:t>connection with a</w:t>
      </w:r>
      <w:r w:rsidRPr="00925F79">
        <w:t xml:space="preserve"> qualified </w:t>
      </w:r>
      <w:r w:rsidRPr="00925F79" w:rsidR="008D4F34">
        <w:t>clinician</w:t>
      </w:r>
      <w:r w:rsidRPr="00925F79">
        <w:t xml:space="preserve"> who can </w:t>
      </w:r>
      <w:r w:rsidRPr="00925F79" w:rsidR="000B657B">
        <w:t>provide immediate medication maintenance and ongoing medical care</w:t>
      </w:r>
      <w:r w:rsidRPr="00925F79">
        <w:t xml:space="preserve">.  </w:t>
      </w:r>
    </w:p>
    <w:p w:rsidR="007806D9" w:rsidRPr="00925F79" w:rsidP="007806D9" w14:paraId="2430D101" w14:textId="77777777">
      <w:pPr>
        <w:jc w:val="both"/>
      </w:pPr>
    </w:p>
    <w:p w:rsidR="007806D9" w:rsidRPr="00925F79" w:rsidP="007806D9" w14:paraId="7FCECC6B" w14:textId="3D138415">
      <w:pPr>
        <w:jc w:val="both"/>
        <w:rPr>
          <w:rFonts w:eastAsiaTheme="minorEastAsia"/>
        </w:rPr>
      </w:pPr>
      <w:r w:rsidRPr="00925F79">
        <w:rPr>
          <w:rFonts w:eastAsiaTheme="minorEastAsia"/>
        </w:rPr>
        <w:t xml:space="preserve">A challenge the ORRP </w:t>
      </w:r>
      <w:r w:rsidRPr="00925F79" w:rsidR="00E21ABC">
        <w:rPr>
          <w:rFonts w:eastAsiaTheme="minorEastAsia"/>
        </w:rPr>
        <w:t>team</w:t>
      </w:r>
      <w:r w:rsidRPr="00925F79">
        <w:rPr>
          <w:rFonts w:eastAsiaTheme="minorEastAsia"/>
        </w:rPr>
        <w:t xml:space="preserve"> </w:t>
      </w:r>
      <w:r w:rsidRPr="00925F79" w:rsidR="000B657B">
        <w:rPr>
          <w:rFonts w:eastAsiaTheme="minorEastAsia"/>
        </w:rPr>
        <w:t xml:space="preserve">has </w:t>
      </w:r>
      <w:r w:rsidRPr="00925F79">
        <w:rPr>
          <w:rFonts w:eastAsiaTheme="minorEastAsia"/>
        </w:rPr>
        <w:t xml:space="preserve">observed when working with state health officials </w:t>
      </w:r>
      <w:r w:rsidRPr="00925F79" w:rsidR="000B657B">
        <w:rPr>
          <w:rFonts w:eastAsiaTheme="minorEastAsia"/>
        </w:rPr>
        <w:t>i</w:t>
      </w:r>
      <w:r w:rsidRPr="00925F79">
        <w:rPr>
          <w:rFonts w:eastAsiaTheme="minorEastAsia"/>
        </w:rPr>
        <w:t>s the difficulty</w:t>
      </w:r>
      <w:r w:rsidRPr="00925F79" w:rsidR="00CC6B19">
        <w:rPr>
          <w:rFonts w:eastAsiaTheme="minorEastAsia"/>
        </w:rPr>
        <w:t xml:space="preserve"> in</w:t>
      </w:r>
      <w:r w:rsidRPr="00925F79">
        <w:rPr>
          <w:rFonts w:eastAsiaTheme="minorEastAsia"/>
        </w:rPr>
        <w:t xml:space="preserve"> identifying clinicians willing and able to absorb displaced patients, particularly those patients who ha</w:t>
      </w:r>
      <w:r w:rsidRPr="00925F79" w:rsidR="000B657B">
        <w:rPr>
          <w:rFonts w:eastAsiaTheme="minorEastAsia"/>
        </w:rPr>
        <w:t>ve</w:t>
      </w:r>
      <w:r w:rsidRPr="00925F79">
        <w:rPr>
          <w:rFonts w:eastAsiaTheme="minorEastAsia"/>
        </w:rPr>
        <w:t xml:space="preserve"> been receiving high dos</w:t>
      </w:r>
      <w:r w:rsidRPr="00925F79" w:rsidR="008D4F34">
        <w:rPr>
          <w:rFonts w:eastAsiaTheme="minorEastAsia"/>
        </w:rPr>
        <w:t>ag</w:t>
      </w:r>
      <w:r w:rsidRPr="00925F79">
        <w:rPr>
          <w:rFonts w:eastAsiaTheme="minorEastAsia"/>
        </w:rPr>
        <w:t xml:space="preserve">e long-term opioid therapy or combinations of medications that </w:t>
      </w:r>
      <w:r w:rsidRPr="00925F79">
        <w:rPr>
          <w:rFonts w:eastAsiaTheme="minorEastAsia"/>
        </w:rPr>
        <w:t xml:space="preserve">are </w:t>
      </w:r>
      <w:r w:rsidRPr="00925F79" w:rsidR="008D4F34">
        <w:rPr>
          <w:rFonts w:eastAsiaTheme="minorEastAsia"/>
        </w:rPr>
        <w:t>may raise</w:t>
      </w:r>
      <w:r w:rsidRPr="00925F79" w:rsidR="008D4F34">
        <w:rPr>
          <w:rFonts w:eastAsiaTheme="minorEastAsia"/>
        </w:rPr>
        <w:t xml:space="preserve"> the risk for overdose</w:t>
      </w:r>
      <w:r w:rsidRPr="00925F79">
        <w:rPr>
          <w:rFonts w:eastAsiaTheme="minorEastAsia"/>
        </w:rPr>
        <w:t xml:space="preserve"> </w:t>
      </w:r>
      <w:r w:rsidRPr="00925F79" w:rsidR="002F5C2A">
        <w:rPr>
          <w:rFonts w:eastAsiaTheme="minorEastAsia"/>
        </w:rPr>
        <w:t>(e.g.,</w:t>
      </w:r>
      <w:r w:rsidRPr="00925F79">
        <w:rPr>
          <w:rFonts w:eastAsiaTheme="minorEastAsia"/>
        </w:rPr>
        <w:t xml:space="preserve"> benzodiazepines and opioids</w:t>
      </w:r>
      <w:r w:rsidRPr="00925F79" w:rsidR="002F5C2A">
        <w:rPr>
          <w:rFonts w:eastAsiaTheme="minorEastAsia"/>
        </w:rPr>
        <w:t>)</w:t>
      </w:r>
      <w:r w:rsidRPr="00925F79">
        <w:rPr>
          <w:rFonts w:eastAsiaTheme="minorEastAsia"/>
        </w:rPr>
        <w:t xml:space="preserve">. Recent studies indicate that 40% of primary care clinics and up to 55% of pain clinics may not accept new patients who are already taking opioids for chronic pain. </w:t>
      </w:r>
      <w:r w:rsidRPr="00925F79" w:rsidR="00CC6B19">
        <w:t>Displace</w:t>
      </w:r>
      <w:r w:rsidRPr="00925F79">
        <w:t>d patients often are at risk of experiencing withdrawal symptoms,</w:t>
      </w:r>
      <w:r w:rsidRPr="00925F79" w:rsidR="002F5C2A">
        <w:t xml:space="preserve"> requiring </w:t>
      </w:r>
      <w:r w:rsidRPr="00925F79" w:rsidR="002031EE">
        <w:t xml:space="preserve">more frequent </w:t>
      </w:r>
      <w:r w:rsidRPr="00925F79" w:rsidR="002F5C2A">
        <w:t>emergency medical care</w:t>
      </w:r>
      <w:r w:rsidRPr="00925F79">
        <w:t>, and turning to the illicit drug market where they are at risk of overdose</w:t>
      </w:r>
      <w:r w:rsidRPr="00925F79" w:rsidR="002F5C2A">
        <w:t>, particularly</w:t>
      </w:r>
      <w:r w:rsidRPr="00925F79">
        <w:t xml:space="preserve"> if they encounter more potent </w:t>
      </w:r>
      <w:r w:rsidRPr="00925F79" w:rsidR="000D4F3A">
        <w:t>su</w:t>
      </w:r>
      <w:r w:rsidRPr="00925F79">
        <w:t>bstances, such as illicitly manufactured fentanyl.</w:t>
      </w:r>
      <w:r w:rsidRPr="00925F79" w:rsidR="000B657B">
        <w:t xml:space="preserve"> </w:t>
      </w:r>
      <w:r w:rsidRPr="00925F79" w:rsidR="002031EE">
        <w:t>D</w:t>
      </w:r>
      <w:r w:rsidRPr="00925F79" w:rsidR="000B657B">
        <w:t>isplaced</w:t>
      </w:r>
      <w:r w:rsidRPr="00925F79">
        <w:t xml:space="preserve"> patients are also at </w:t>
      </w:r>
      <w:r w:rsidRPr="00925F79" w:rsidR="002F5C2A">
        <w:t xml:space="preserve">increased </w:t>
      </w:r>
      <w:r w:rsidRPr="00925F79">
        <w:t xml:space="preserve">risk of suicide. </w:t>
      </w:r>
    </w:p>
    <w:p w:rsidR="007806D9" w:rsidRPr="00925F79" w:rsidP="007806D9" w14:paraId="3B851E25" w14:textId="77777777">
      <w:pPr>
        <w:jc w:val="both"/>
      </w:pPr>
    </w:p>
    <w:p w:rsidR="00820231" w:rsidRPr="00925F79" w:rsidP="00820231" w14:paraId="1FC2902A" w14:textId="39C033BF">
      <w:r w:rsidRPr="00925F79">
        <w:rPr>
          <w:rFonts w:eastAsiaTheme="minorEastAsia"/>
        </w:rPr>
        <w:t xml:space="preserve">Because a primary goal of </w:t>
      </w:r>
      <w:r w:rsidRPr="00925F79" w:rsidR="00CC6B19">
        <w:rPr>
          <w:rFonts w:eastAsiaTheme="minorEastAsia"/>
        </w:rPr>
        <w:t xml:space="preserve">the </w:t>
      </w:r>
      <w:r w:rsidRPr="00925F79" w:rsidR="002F5C2A">
        <w:rPr>
          <w:rFonts w:eastAsiaTheme="minorEastAsia"/>
        </w:rPr>
        <w:t xml:space="preserve">ORRP </w:t>
      </w:r>
      <w:r w:rsidRPr="00925F79" w:rsidR="00CC6B19">
        <w:rPr>
          <w:rFonts w:eastAsiaTheme="minorEastAsia"/>
        </w:rPr>
        <w:t>program</w:t>
      </w:r>
      <w:r w:rsidRPr="00925F79">
        <w:rPr>
          <w:rFonts w:eastAsiaTheme="minorEastAsia"/>
        </w:rPr>
        <w:t xml:space="preserve"> is to facilitate care continuity for patients impacted by disrupted access to opioid prescriptions</w:t>
      </w:r>
      <w:r w:rsidRPr="00925F79" w:rsidR="002031EE">
        <w:rPr>
          <w:rFonts w:eastAsiaTheme="minorEastAsia"/>
        </w:rPr>
        <w:t xml:space="preserve"> to mitigate these risks</w:t>
      </w:r>
      <w:r w:rsidRPr="00925F79">
        <w:rPr>
          <w:rFonts w:eastAsiaTheme="minorEastAsia"/>
        </w:rPr>
        <w:t xml:space="preserve">, </w:t>
      </w:r>
      <w:r w:rsidRPr="00925F79" w:rsidR="002F5C2A">
        <w:rPr>
          <w:rFonts w:eastAsiaTheme="minorEastAsia"/>
        </w:rPr>
        <w:t>the program</w:t>
      </w:r>
      <w:r w:rsidRPr="00925F79">
        <w:rPr>
          <w:rFonts w:eastAsiaTheme="minorEastAsia"/>
        </w:rPr>
        <w:t xml:space="preserve"> needs to better understand </w:t>
      </w:r>
      <w:r w:rsidRPr="00925F79" w:rsidR="00CC6B19">
        <w:rPr>
          <w:rFonts w:eastAsiaTheme="minorEastAsia"/>
        </w:rPr>
        <w:t xml:space="preserve">the </w:t>
      </w:r>
      <w:r w:rsidRPr="00925F79">
        <w:t xml:space="preserve">most salient barriers to connecting </w:t>
      </w:r>
      <w:r w:rsidRPr="00925F79" w:rsidR="002F5C2A">
        <w:t>these</w:t>
      </w:r>
      <w:r w:rsidRPr="00925F79">
        <w:t xml:space="preserve"> patients with care</w:t>
      </w:r>
      <w:r w:rsidRPr="00925F79">
        <w:rPr>
          <w:rFonts w:eastAsiaTheme="minorEastAsia"/>
        </w:rPr>
        <w:t xml:space="preserve">. </w:t>
      </w:r>
      <w:r w:rsidRPr="00925F79" w:rsidR="00481149">
        <w:rPr>
          <w:rFonts w:eastAsiaTheme="minorEastAsia"/>
        </w:rPr>
        <w:t xml:space="preserve">Barriers may be related to individual-level factors (e.g., clinicians’ beliefs and attitudes) as well as policy or systems-level factors. </w:t>
      </w:r>
      <w:r w:rsidRPr="00925F79" w:rsidR="00481149">
        <w:t xml:space="preserve">For example, </w:t>
      </w:r>
      <w:r w:rsidRPr="00925F79">
        <w:t xml:space="preserve">possible reasons clinicians </w:t>
      </w:r>
      <w:r w:rsidRPr="00925F79" w:rsidR="002F5C2A">
        <w:t>are not willing or able to</w:t>
      </w:r>
      <w:r w:rsidRPr="00925F79">
        <w:t xml:space="preserve"> </w:t>
      </w:r>
      <w:r w:rsidRPr="00925F79" w:rsidR="008D4F34">
        <w:t xml:space="preserve">accept </w:t>
      </w:r>
      <w:r w:rsidRPr="00925F79" w:rsidR="00CC6B19">
        <w:t>these</w:t>
      </w:r>
      <w:r w:rsidRPr="00925F79">
        <w:t xml:space="preserve"> patients c</w:t>
      </w:r>
      <w:r w:rsidRPr="00925F79" w:rsidR="002F5C2A">
        <w:t>ould</w:t>
      </w:r>
      <w:r w:rsidRPr="00925F79">
        <w:t xml:space="preserve"> include stigma, liability concerns, health system rules or prescribing limits, lack of training, or schedule/time constraints. </w:t>
      </w:r>
      <w:r w:rsidRPr="00925F79">
        <w:t xml:space="preserve">This project aims to elucidate the most important factors affecting willingness and/or ability to </w:t>
      </w:r>
      <w:r w:rsidRPr="00925F79" w:rsidR="008D4F34">
        <w:t xml:space="preserve">accept </w:t>
      </w:r>
      <w:r w:rsidRPr="00925F79">
        <w:t xml:space="preserve">displaced patients on long-term opioid therapy by conducting interviews with </w:t>
      </w:r>
      <w:r w:rsidRPr="00925F79" w:rsidR="00B109DC">
        <w:t xml:space="preserve">key </w:t>
      </w:r>
      <w:r w:rsidRPr="00925F79" w:rsidR="002F5C2A">
        <w:t xml:space="preserve">stakeholders, </w:t>
      </w:r>
      <w:r w:rsidRPr="00925F79" w:rsidR="00B109DC">
        <w:t xml:space="preserve">including </w:t>
      </w:r>
      <w:r w:rsidRPr="00925F79" w:rsidR="008D4F34">
        <w:rPr>
          <w:rFonts w:eastAsiaTheme="minorEastAsia"/>
        </w:rPr>
        <w:t>clinicians</w:t>
      </w:r>
      <w:r w:rsidRPr="00925F79" w:rsidR="00481149">
        <w:rPr>
          <w:rFonts w:eastAsiaTheme="minorEastAsia"/>
        </w:rPr>
        <w:t xml:space="preserve">, </w:t>
      </w:r>
      <w:r w:rsidRPr="00925F79" w:rsidR="00B109DC">
        <w:rPr>
          <w:rFonts w:eastAsiaTheme="minorEastAsia"/>
        </w:rPr>
        <w:t>health care administrators, public health practitioners, and federal partners</w:t>
      </w:r>
      <w:r w:rsidRPr="00925F79" w:rsidR="00E91158">
        <w:rPr>
          <w:rFonts w:eastAsiaTheme="minorEastAsia"/>
        </w:rPr>
        <w:t>.</w:t>
      </w:r>
      <w:r w:rsidRPr="00925F79">
        <w:rPr>
          <w:rFonts w:eastAsiaTheme="minorEastAsia"/>
        </w:rPr>
        <w:t xml:space="preserve"> </w:t>
      </w:r>
      <w:r w:rsidRPr="00925F79" w:rsidR="007806D9">
        <w:t>Th</w:t>
      </w:r>
      <w:r w:rsidRPr="00925F79" w:rsidR="00B109DC">
        <w:t>ese interview responses</w:t>
      </w:r>
      <w:r w:rsidRPr="00925F79" w:rsidR="007806D9">
        <w:t xml:space="preserve"> will </w:t>
      </w:r>
      <w:r w:rsidRPr="00925F79" w:rsidR="007806D9">
        <w:t xml:space="preserve">help </w:t>
      </w:r>
      <w:r w:rsidRPr="00925F79">
        <w:t>ORRP</w:t>
      </w:r>
      <w:r w:rsidRPr="00925F79" w:rsidR="007806D9">
        <w:t xml:space="preserve"> </w:t>
      </w:r>
      <w:r w:rsidRPr="00925F79" w:rsidR="00B109DC">
        <w:t>delineate</w:t>
      </w:r>
      <w:r w:rsidRPr="00925F79" w:rsidR="007806D9">
        <w:t xml:space="preserve"> specific reasons clinicians are hesitant </w:t>
      </w:r>
      <w:r w:rsidRPr="00925F79" w:rsidR="000B657B">
        <w:t xml:space="preserve">to </w:t>
      </w:r>
      <w:r w:rsidRPr="00925F79" w:rsidR="007806D9">
        <w:t xml:space="preserve">accept new patients who have been taking long term opioid therapy </w:t>
      </w:r>
      <w:r w:rsidRPr="00925F79" w:rsidR="00CC6B19">
        <w:t>AND</w:t>
      </w:r>
      <w:r w:rsidRPr="00925F79" w:rsidR="007806D9">
        <w:t xml:space="preserve"> possible </w:t>
      </w:r>
      <w:r w:rsidRPr="00925F79">
        <w:t>approaches</w:t>
      </w:r>
      <w:r w:rsidRPr="00925F79" w:rsidR="007806D9">
        <w:t xml:space="preserve"> to</w:t>
      </w:r>
      <w:r w:rsidRPr="00925F79" w:rsidR="00B109DC">
        <w:t xml:space="preserve"> address these barriers </w:t>
      </w:r>
      <w:r w:rsidRPr="00925F79" w:rsidR="002031EE">
        <w:t xml:space="preserve">to </w:t>
      </w:r>
      <w:r w:rsidRPr="00925F79" w:rsidR="00E21ABC">
        <w:t xml:space="preserve">facilitate </w:t>
      </w:r>
      <w:r w:rsidRPr="00925F79">
        <w:t xml:space="preserve">the </w:t>
      </w:r>
      <w:r w:rsidRPr="00925F79" w:rsidR="008D4F34">
        <w:t xml:space="preserve">acceptance </w:t>
      </w:r>
      <w:r w:rsidRPr="00925F79">
        <w:t xml:space="preserve">of these patients by </w:t>
      </w:r>
      <w:r w:rsidRPr="00925F79" w:rsidR="007806D9">
        <w:t xml:space="preserve">clinicians and health systems. </w:t>
      </w:r>
      <w:r w:rsidRPr="00925F79">
        <w:t xml:space="preserve">Information gathered will be used internally to inform effective intervention design with </w:t>
      </w:r>
      <w:r w:rsidRPr="00925F79">
        <w:t>an ultimate goal</w:t>
      </w:r>
      <w:r w:rsidRPr="00925F79">
        <w:t xml:space="preserve"> of general service improvement. Without these types of feedback, ORRP will not be able to improve current and future resources to meet patient, clinician and health system needs.</w:t>
      </w:r>
    </w:p>
    <w:p w:rsidR="007806D9" w:rsidRPr="00925F79" w:rsidP="007806D9" w14:paraId="37A2211D" w14:textId="06215721">
      <w:pPr>
        <w:jc w:val="both"/>
      </w:pPr>
    </w:p>
    <w:p w:rsidR="00B46F2C" w:rsidRPr="00925F79" w:rsidP="00434E33" w14:paraId="53CD42CA" w14:textId="77777777">
      <w:pPr>
        <w:pStyle w:val="Header"/>
        <w:tabs>
          <w:tab w:val="clear" w:pos="4320"/>
          <w:tab w:val="clear" w:pos="8640"/>
        </w:tabs>
        <w:rPr>
          <w:b/>
        </w:rPr>
      </w:pPr>
    </w:p>
    <w:p w:rsidR="00B46F2C" w:rsidRPr="00925F79" w:rsidP="00D75A5A" w14:paraId="54A2E4B0" w14:textId="46346AF5">
      <w:pPr>
        <w:widowControl w:val="0"/>
        <w:pBdr>
          <w:top w:val="nil"/>
          <w:left w:val="nil"/>
          <w:bottom w:val="nil"/>
          <w:right w:val="nil"/>
          <w:between w:val="nil"/>
        </w:pBdr>
        <w:tabs>
          <w:tab w:val="center" w:pos="4320"/>
          <w:tab w:val="right" w:pos="8640"/>
        </w:tabs>
        <w:rPr>
          <w:b/>
          <w:color w:val="000000"/>
        </w:rPr>
      </w:pPr>
      <w:r w:rsidRPr="000462BD">
        <w:rPr>
          <w:b/>
        </w:rPr>
        <w:t>DESCRIPTION OF RESPONDENTS</w:t>
      </w:r>
      <w:r w:rsidRPr="000462BD">
        <w:t>:</w:t>
      </w:r>
      <w:r w:rsidRPr="00925F79">
        <w:t xml:space="preserve"> </w:t>
      </w:r>
    </w:p>
    <w:p w:rsidR="00B46F2C" w:rsidRPr="00925F79" w14:paraId="082C1CD7" w14:textId="77777777">
      <w:pPr>
        <w:rPr>
          <w:b/>
        </w:rPr>
      </w:pPr>
    </w:p>
    <w:p w:rsidR="00B46F2C" w:rsidRPr="00925F79" w14:paraId="1F5B22F9" w14:textId="77777777">
      <w:pPr>
        <w:rPr>
          <w:b/>
        </w:rPr>
      </w:pPr>
      <w:r w:rsidRPr="00925F79">
        <w:rPr>
          <w:b/>
        </w:rPr>
        <w:t>TYPE OF COLLECTION:</w:t>
      </w:r>
      <w:r w:rsidRPr="00925F79">
        <w:t xml:space="preserve"> (Check one)</w:t>
      </w:r>
    </w:p>
    <w:p w:rsidR="00B46F2C" w:rsidRPr="00925F79" w:rsidP="0096108F" w14:paraId="06596D26" w14:textId="77777777">
      <w:pPr>
        <w:pStyle w:val="BodyTextIndent"/>
        <w:tabs>
          <w:tab w:val="left" w:pos="360"/>
        </w:tabs>
        <w:ind w:left="0"/>
        <w:rPr>
          <w:i/>
          <w:sz w:val="24"/>
          <w:szCs w:val="24"/>
        </w:rPr>
      </w:pPr>
      <w:r w:rsidRPr="00925F79">
        <w:rPr>
          <w:i/>
          <w:sz w:val="24"/>
          <w:szCs w:val="24"/>
        </w:rPr>
        <w:t xml:space="preserve">Instruction: Please sparingly use the </w:t>
      </w:r>
      <w:r w:rsidRPr="00925F79">
        <w:rPr>
          <w:i/>
          <w:sz w:val="24"/>
          <w:szCs w:val="24"/>
        </w:rPr>
        <w:t>Other</w:t>
      </w:r>
      <w:r w:rsidRPr="00925F79">
        <w:rPr>
          <w:i/>
          <w:sz w:val="24"/>
          <w:szCs w:val="24"/>
        </w:rPr>
        <w:t xml:space="preserve"> category</w:t>
      </w:r>
    </w:p>
    <w:p w:rsidR="004E1C18" w:rsidRPr="00925F79" w:rsidP="0096108F" w14:paraId="2FBCF13F" w14:textId="77777777">
      <w:pPr>
        <w:pStyle w:val="BodyTextIndent"/>
        <w:tabs>
          <w:tab w:val="left" w:pos="360"/>
        </w:tabs>
        <w:ind w:left="0"/>
        <w:rPr>
          <w:bCs/>
          <w:sz w:val="24"/>
          <w:szCs w:val="24"/>
        </w:rPr>
      </w:pPr>
    </w:p>
    <w:p w:rsidR="00B46F2C" w:rsidRPr="00925F79" w:rsidP="0096108F" w14:paraId="7E7FB854" w14:textId="63F81730">
      <w:pPr>
        <w:pStyle w:val="BodyTextIndent"/>
        <w:tabs>
          <w:tab w:val="left" w:pos="360"/>
        </w:tabs>
        <w:ind w:left="0"/>
        <w:rPr>
          <w:bCs/>
          <w:sz w:val="24"/>
          <w:szCs w:val="24"/>
        </w:rPr>
      </w:pPr>
      <w:r w:rsidRPr="00925F79">
        <w:rPr>
          <w:bCs/>
          <w:sz w:val="24"/>
          <w:szCs w:val="24"/>
        </w:rPr>
        <w:t>[ ]</w:t>
      </w:r>
      <w:r w:rsidRPr="00925F79">
        <w:rPr>
          <w:bCs/>
          <w:sz w:val="24"/>
          <w:szCs w:val="24"/>
        </w:rPr>
        <w:t xml:space="preserve"> Customer Comment Card/Complaint Form </w:t>
      </w:r>
      <w:r w:rsidRPr="00925F79">
        <w:rPr>
          <w:bCs/>
          <w:sz w:val="24"/>
          <w:szCs w:val="24"/>
        </w:rPr>
        <w:tab/>
        <w:t xml:space="preserve">[ ] Customer Satisfaction Survey    </w:t>
      </w:r>
    </w:p>
    <w:p w:rsidR="00B46F2C" w:rsidRPr="00925F79" w:rsidP="0096108F" w14:paraId="04CF626F" w14:textId="77777777">
      <w:pPr>
        <w:pStyle w:val="BodyTextIndent"/>
        <w:tabs>
          <w:tab w:val="left" w:pos="360"/>
        </w:tabs>
        <w:ind w:left="0"/>
        <w:rPr>
          <w:bCs/>
          <w:sz w:val="24"/>
          <w:szCs w:val="24"/>
        </w:rPr>
      </w:pPr>
      <w:r w:rsidRPr="00925F79">
        <w:rPr>
          <w:bCs/>
          <w:sz w:val="24"/>
          <w:szCs w:val="24"/>
        </w:rPr>
        <w:t>[ ]</w:t>
      </w:r>
      <w:r w:rsidRPr="00925F79">
        <w:rPr>
          <w:bCs/>
          <w:sz w:val="24"/>
          <w:szCs w:val="24"/>
        </w:rPr>
        <w:t xml:space="preserve"> Usability Testing (e.g., Website or Software</w:t>
      </w:r>
      <w:r w:rsidRPr="00925F79">
        <w:rPr>
          <w:bCs/>
          <w:sz w:val="24"/>
          <w:szCs w:val="24"/>
        </w:rPr>
        <w:tab/>
        <w:t>[ ] Small Discussion Group</w:t>
      </w:r>
    </w:p>
    <w:p w:rsidR="00B46F2C" w:rsidRPr="00925F79" w:rsidP="00820231" w14:paraId="4F9F5D25" w14:textId="0E315DE9">
      <w:pPr>
        <w:pStyle w:val="BodyTextIndent"/>
        <w:tabs>
          <w:tab w:val="left" w:pos="360"/>
        </w:tabs>
        <w:ind w:left="0"/>
        <w:rPr>
          <w:bCs/>
          <w:sz w:val="24"/>
          <w:szCs w:val="24"/>
          <w:u w:val="single"/>
        </w:rPr>
      </w:pPr>
      <w:r w:rsidRPr="00925F79">
        <w:rPr>
          <w:bCs/>
          <w:sz w:val="24"/>
          <w:szCs w:val="24"/>
        </w:rPr>
        <w:t>[</w:t>
      </w:r>
      <w:r w:rsidRPr="00925F79" w:rsidR="00660A3F">
        <w:rPr>
          <w:bCs/>
          <w:sz w:val="24"/>
          <w:szCs w:val="24"/>
        </w:rPr>
        <w:t xml:space="preserve"> </w:t>
      </w:r>
      <w:r w:rsidRPr="00925F79">
        <w:rPr>
          <w:bCs/>
          <w:sz w:val="24"/>
          <w:szCs w:val="24"/>
        </w:rPr>
        <w:t>]</w:t>
      </w:r>
      <w:r w:rsidRPr="00925F79">
        <w:rPr>
          <w:bCs/>
          <w:sz w:val="24"/>
          <w:szCs w:val="24"/>
        </w:rPr>
        <w:t xml:space="preserve"> Focus Group  </w:t>
      </w:r>
      <w:r w:rsidRPr="00925F79">
        <w:rPr>
          <w:bCs/>
          <w:sz w:val="24"/>
          <w:szCs w:val="24"/>
        </w:rPr>
        <w:tab/>
      </w:r>
      <w:r w:rsidRPr="00925F79">
        <w:rPr>
          <w:bCs/>
          <w:sz w:val="24"/>
          <w:szCs w:val="24"/>
        </w:rPr>
        <w:tab/>
      </w:r>
      <w:r w:rsidRPr="00925F79">
        <w:rPr>
          <w:bCs/>
          <w:sz w:val="24"/>
          <w:szCs w:val="24"/>
        </w:rPr>
        <w:tab/>
      </w:r>
      <w:r w:rsidRPr="00925F79">
        <w:rPr>
          <w:bCs/>
          <w:sz w:val="24"/>
          <w:szCs w:val="24"/>
        </w:rPr>
        <w:tab/>
      </w:r>
      <w:r w:rsidRPr="00925F79">
        <w:rPr>
          <w:bCs/>
          <w:sz w:val="24"/>
          <w:szCs w:val="24"/>
        </w:rPr>
        <w:tab/>
        <w:t>[</w:t>
      </w:r>
      <w:r w:rsidRPr="00925F79" w:rsidR="007E32EE">
        <w:rPr>
          <w:bCs/>
          <w:sz w:val="24"/>
          <w:szCs w:val="24"/>
        </w:rPr>
        <w:t>X</w:t>
      </w:r>
      <w:r w:rsidRPr="00925F79">
        <w:rPr>
          <w:bCs/>
          <w:sz w:val="24"/>
          <w:szCs w:val="24"/>
        </w:rPr>
        <w:t xml:space="preserve"> ] Other:</w:t>
      </w:r>
      <w:r w:rsidRPr="00925F79">
        <w:rPr>
          <w:bCs/>
          <w:sz w:val="24"/>
          <w:szCs w:val="24"/>
          <w:u w:val="single"/>
        </w:rPr>
        <w:t xml:space="preserve"> </w:t>
      </w:r>
      <w:r w:rsidRPr="00925F79">
        <w:rPr>
          <w:b/>
          <w:sz w:val="24"/>
          <w:szCs w:val="24"/>
          <w:u w:val="single"/>
        </w:rPr>
        <w:t>__</w:t>
      </w:r>
      <w:r w:rsidRPr="00925F79" w:rsidR="00820231">
        <w:rPr>
          <w:b/>
          <w:sz w:val="24"/>
          <w:szCs w:val="24"/>
          <w:u w:val="single"/>
        </w:rPr>
        <w:t xml:space="preserve">Stakeholder </w:t>
      </w:r>
      <w:r w:rsidRPr="00925F79" w:rsidR="007E32EE">
        <w:rPr>
          <w:b/>
          <w:sz w:val="24"/>
          <w:szCs w:val="24"/>
          <w:u w:val="single"/>
        </w:rPr>
        <w:t>Interviews</w:t>
      </w:r>
      <w:r w:rsidRPr="00925F79">
        <w:rPr>
          <w:b/>
          <w:sz w:val="24"/>
          <w:szCs w:val="24"/>
          <w:u w:val="single"/>
        </w:rPr>
        <w:t>____</w:t>
      </w:r>
    </w:p>
    <w:p w:rsidR="00820231" w:rsidRPr="00925F79" w:rsidP="00820231" w14:paraId="265BBE14" w14:textId="77777777">
      <w:pPr>
        <w:pStyle w:val="BodyTextIndent"/>
        <w:tabs>
          <w:tab w:val="left" w:pos="360"/>
        </w:tabs>
        <w:ind w:left="0"/>
      </w:pPr>
    </w:p>
    <w:p w:rsidR="00B46F2C" w:rsidRPr="00925F79" w14:paraId="2FC52DD5" w14:textId="77777777">
      <w:pPr>
        <w:rPr>
          <w:b/>
        </w:rPr>
      </w:pPr>
      <w:r w:rsidRPr="00925F79">
        <w:rPr>
          <w:b/>
        </w:rPr>
        <w:t>CERTIFICATION:</w:t>
      </w:r>
    </w:p>
    <w:p w:rsidR="00B46F2C" w:rsidRPr="00925F79" w14:paraId="3A7C129B" w14:textId="77777777"/>
    <w:p w:rsidR="00B46F2C" w:rsidRPr="00925F79" w:rsidP="008101A5" w14:paraId="44E29010" w14:textId="77777777">
      <w:r w:rsidRPr="00925F79">
        <w:t xml:space="preserve">I certify the following to be true: </w:t>
      </w:r>
    </w:p>
    <w:p w:rsidR="00B46F2C" w:rsidRPr="00925F79" w:rsidP="008101A5" w14:paraId="42BD81CA" w14:textId="77777777">
      <w:pPr>
        <w:pStyle w:val="ListParagraph"/>
        <w:numPr>
          <w:ilvl w:val="0"/>
          <w:numId w:val="14"/>
        </w:numPr>
      </w:pPr>
      <w:r w:rsidRPr="00925F79">
        <w:t xml:space="preserve">The collection is voluntary. </w:t>
      </w:r>
    </w:p>
    <w:p w:rsidR="00B46F2C" w:rsidRPr="00925F79" w:rsidP="008101A5" w14:paraId="7B290343" w14:textId="77777777">
      <w:pPr>
        <w:pStyle w:val="ListParagraph"/>
        <w:numPr>
          <w:ilvl w:val="0"/>
          <w:numId w:val="14"/>
        </w:numPr>
      </w:pPr>
      <w:r w:rsidRPr="00925F79">
        <w:t xml:space="preserve">The collection is </w:t>
      </w:r>
      <w:r w:rsidRPr="00925F79">
        <w:t>low-burden</w:t>
      </w:r>
      <w:r w:rsidRPr="00925F79">
        <w:t xml:space="preserve"> for respondents and low-cost for the Federal Government.</w:t>
      </w:r>
    </w:p>
    <w:p w:rsidR="00B46F2C" w:rsidRPr="00925F79" w:rsidP="008101A5" w14:paraId="6F6F1C38" w14:textId="77777777">
      <w:pPr>
        <w:pStyle w:val="ListParagraph"/>
        <w:numPr>
          <w:ilvl w:val="0"/>
          <w:numId w:val="14"/>
        </w:numPr>
      </w:pPr>
      <w:r w:rsidRPr="00925F79">
        <w:t xml:space="preserve">The collection is non-controversial and does </w:t>
      </w:r>
      <w:r w:rsidRPr="00925F79">
        <w:rPr>
          <w:u w:val="single"/>
        </w:rPr>
        <w:t>not</w:t>
      </w:r>
      <w:r w:rsidRPr="00925F79">
        <w:t xml:space="preserve"> raise issues of concern to other federal agencies.</w:t>
      </w:r>
      <w:r w:rsidRPr="00925F79">
        <w:tab/>
      </w:r>
      <w:r w:rsidRPr="00925F79">
        <w:tab/>
      </w:r>
      <w:r w:rsidRPr="00925F79">
        <w:tab/>
      </w:r>
      <w:r w:rsidRPr="00925F79">
        <w:tab/>
      </w:r>
      <w:r w:rsidRPr="00925F79">
        <w:tab/>
      </w:r>
      <w:r w:rsidRPr="00925F79">
        <w:tab/>
      </w:r>
      <w:r w:rsidRPr="00925F79">
        <w:tab/>
      </w:r>
      <w:r w:rsidRPr="00925F79">
        <w:tab/>
      </w:r>
      <w:r w:rsidRPr="00925F79">
        <w:tab/>
      </w:r>
    </w:p>
    <w:p w:rsidR="00B46F2C" w:rsidRPr="00925F79" w:rsidP="008101A5" w14:paraId="149A8C5A" w14:textId="77777777">
      <w:pPr>
        <w:pStyle w:val="ListParagraph"/>
        <w:numPr>
          <w:ilvl w:val="0"/>
          <w:numId w:val="14"/>
        </w:numPr>
      </w:pPr>
      <w:r w:rsidRPr="00925F79">
        <w:t xml:space="preserve">The results are </w:t>
      </w:r>
      <w:r w:rsidRPr="00925F79">
        <w:rPr>
          <w:u w:val="single"/>
        </w:rPr>
        <w:t>not</w:t>
      </w:r>
      <w:r w:rsidRPr="00925F79">
        <w:t xml:space="preserve"> intended to be disseminated to the public.</w:t>
      </w:r>
      <w:r w:rsidRPr="00925F79">
        <w:tab/>
      </w:r>
      <w:r w:rsidRPr="00925F79">
        <w:tab/>
      </w:r>
    </w:p>
    <w:p w:rsidR="00B46F2C" w:rsidRPr="00925F79" w:rsidP="008101A5" w14:paraId="080723DA" w14:textId="77777777">
      <w:pPr>
        <w:pStyle w:val="ListParagraph"/>
        <w:numPr>
          <w:ilvl w:val="0"/>
          <w:numId w:val="14"/>
        </w:numPr>
      </w:pPr>
      <w:r w:rsidRPr="00925F79">
        <w:t xml:space="preserve">Information gathered will not be used for the purpose of </w:t>
      </w:r>
      <w:r w:rsidRPr="00925F79">
        <w:rPr>
          <w:u w:val="single"/>
        </w:rPr>
        <w:t>substantially</w:t>
      </w:r>
      <w:r w:rsidRPr="00925F79">
        <w:t xml:space="preserve"> informing </w:t>
      </w:r>
      <w:r w:rsidRPr="00925F79">
        <w:rPr>
          <w:u w:val="single"/>
        </w:rPr>
        <w:t xml:space="preserve">influential </w:t>
      </w:r>
      <w:r w:rsidRPr="00925F79">
        <w:t xml:space="preserve">policy decisions. </w:t>
      </w:r>
    </w:p>
    <w:p w:rsidR="00B46F2C" w:rsidRPr="00925F79" w:rsidP="009C13B9" w14:paraId="67184CDE" w14:textId="77777777"/>
    <w:p w:rsidR="00B46F2C" w:rsidRPr="00925F79" w:rsidP="009C13B9" w14:paraId="2A49D889" w14:textId="6EA7A04F">
      <w:r w:rsidRPr="00925F79">
        <w:t>Name:_</w:t>
      </w:r>
      <w:r w:rsidRPr="00925F79">
        <w:t>_________</w:t>
      </w:r>
      <w:r w:rsidR="00661791">
        <w:t>Karen Angel</w:t>
      </w:r>
      <w:r w:rsidRPr="00925F79">
        <w:t>______________________________________</w:t>
      </w:r>
      <w:r w:rsidR="00E441DD">
        <w:t>7</w:t>
      </w:r>
    </w:p>
    <w:p w:rsidR="00B46F2C" w:rsidRPr="00925F79" w:rsidP="009C13B9" w14:paraId="6E04CB38" w14:textId="77777777">
      <w:pPr>
        <w:pStyle w:val="ListParagraph"/>
        <w:ind w:left="360"/>
      </w:pPr>
    </w:p>
    <w:p w:rsidR="00B46F2C" w:rsidRPr="00925F79" w:rsidP="009C13B9" w14:paraId="48F5202D" w14:textId="77777777">
      <w:r w:rsidRPr="00925F79">
        <w:t>To assist review, please provide answers to the following question:</w:t>
      </w:r>
    </w:p>
    <w:p w:rsidR="00B46F2C" w:rsidRPr="00925F79" w:rsidP="009C13B9" w14:paraId="7EE0297F" w14:textId="77777777">
      <w:pPr>
        <w:pStyle w:val="ListParagraph"/>
        <w:ind w:left="360"/>
      </w:pPr>
    </w:p>
    <w:p w:rsidR="00B46F2C" w:rsidRPr="00925F79" w:rsidP="00C86E91" w14:paraId="78A4F474" w14:textId="77777777">
      <w:pPr>
        <w:rPr>
          <w:b/>
        </w:rPr>
      </w:pPr>
      <w:r w:rsidRPr="00925F79">
        <w:rPr>
          <w:b/>
        </w:rPr>
        <w:t>Personally Identifiable Information:</w:t>
      </w:r>
    </w:p>
    <w:p w:rsidR="00B46F2C" w:rsidRPr="00925F79" w:rsidP="00C86E91" w14:paraId="6B430824" w14:textId="786F8590">
      <w:pPr>
        <w:pStyle w:val="ListParagraph"/>
        <w:numPr>
          <w:ilvl w:val="0"/>
          <w:numId w:val="18"/>
        </w:numPr>
      </w:pPr>
      <w:r w:rsidRPr="00925F79">
        <w:t xml:space="preserve">Is personally identifiable information (PII) collected?  </w:t>
      </w:r>
      <w:r w:rsidRPr="00925F79">
        <w:t>[  ]</w:t>
      </w:r>
      <w:r w:rsidRPr="00925F79">
        <w:t xml:space="preserve"> Yes  [</w:t>
      </w:r>
      <w:r w:rsidRPr="00925F79" w:rsidR="007E32EE">
        <w:t>X</w:t>
      </w:r>
      <w:r w:rsidRPr="00925F79">
        <w:t xml:space="preserve"> ]  No </w:t>
      </w:r>
    </w:p>
    <w:p w:rsidR="00B46F2C" w:rsidRPr="00925F79" w:rsidP="00C86E91" w14:paraId="059C2C9E" w14:textId="6963EE34">
      <w:pPr>
        <w:pStyle w:val="ListParagraph"/>
        <w:numPr>
          <w:ilvl w:val="0"/>
          <w:numId w:val="18"/>
        </w:numPr>
      </w:pPr>
      <w:r w:rsidRPr="00925F79">
        <w:t xml:space="preserve">If </w:t>
      </w:r>
      <w:r w:rsidRPr="00925F79">
        <w:t>Yes</w:t>
      </w:r>
      <w:r w:rsidRPr="00925F79">
        <w:t xml:space="preserve">, is the information that will be collected included in records that are subject to the Privacy Act of 1974?   </w:t>
      </w:r>
      <w:r w:rsidRPr="00925F79">
        <w:t>[  ]</w:t>
      </w:r>
      <w:r w:rsidRPr="00925F79">
        <w:t xml:space="preserve"> Yes [</w:t>
      </w:r>
      <w:r w:rsidRPr="00925F79" w:rsidR="007E32EE">
        <w:t>X</w:t>
      </w:r>
      <w:r w:rsidRPr="00925F79">
        <w:t xml:space="preserve"> ] No   </w:t>
      </w:r>
    </w:p>
    <w:p w:rsidR="00B46F2C" w:rsidRPr="00925F79" w:rsidP="00C86E91" w14:paraId="53684D4A" w14:textId="39B63BB3">
      <w:pPr>
        <w:pStyle w:val="ListParagraph"/>
        <w:numPr>
          <w:ilvl w:val="0"/>
          <w:numId w:val="18"/>
        </w:numPr>
      </w:pPr>
      <w:r w:rsidRPr="00925F79">
        <w:t xml:space="preserve">If Applicable, has a System or Records Notice been published?  </w:t>
      </w:r>
      <w:r w:rsidRPr="00925F79">
        <w:t>[  ]</w:t>
      </w:r>
      <w:r w:rsidRPr="00925F79">
        <w:t xml:space="preserve"> Yes  [ </w:t>
      </w:r>
      <w:r w:rsidRPr="00925F79" w:rsidR="007E32EE">
        <w:t>X</w:t>
      </w:r>
      <w:r w:rsidRPr="00925F79">
        <w:t xml:space="preserve"> ] No</w:t>
      </w:r>
    </w:p>
    <w:p w:rsidR="00EF484B" w:rsidRPr="00925F79" w:rsidP="00C86E91" w14:paraId="27C1C53F" w14:textId="77777777">
      <w:pPr>
        <w:pStyle w:val="ListParagraph"/>
        <w:ind w:left="0"/>
        <w:rPr>
          <w:b/>
        </w:rPr>
      </w:pPr>
    </w:p>
    <w:p w:rsidR="00B46F2C" w:rsidRPr="00925F79" w:rsidP="00C86E91" w14:paraId="6369E9F2" w14:textId="26C67D4D">
      <w:pPr>
        <w:pStyle w:val="ListParagraph"/>
        <w:ind w:left="0"/>
        <w:rPr>
          <w:b/>
        </w:rPr>
      </w:pPr>
      <w:r w:rsidRPr="00925F79">
        <w:rPr>
          <w:b/>
        </w:rPr>
        <w:t>Gifts or Payments:</w:t>
      </w:r>
    </w:p>
    <w:p w:rsidR="00EF484B" w:rsidRPr="00925F79" w:rsidP="00C86E91" w14:paraId="1938BDBC" w14:textId="1F1D10B4">
      <w:r w:rsidRPr="00925F79">
        <w:t xml:space="preserve">Is an incentive (e.g., money or reimbursement of expenses, token of appreciation) provided to participants?  </w:t>
      </w:r>
      <w:r w:rsidRPr="00925F79">
        <w:t>[  ]</w:t>
      </w:r>
      <w:r w:rsidRPr="00925F79">
        <w:t xml:space="preserve"> Yes [ </w:t>
      </w:r>
      <w:r w:rsidRPr="00925F79" w:rsidR="007E32EE">
        <w:t>X</w:t>
      </w:r>
      <w:r w:rsidRPr="00925F79">
        <w:t xml:space="preserve"> ] No</w:t>
      </w:r>
    </w:p>
    <w:p w:rsidR="00EF484B" w:rsidRPr="00925F79" w:rsidP="00C86E91" w14:paraId="5B421EF2" w14:textId="77777777">
      <w:pPr>
        <w:rPr>
          <w:b/>
        </w:rPr>
      </w:pPr>
    </w:p>
    <w:p w:rsidR="00B46F2C" w:rsidRPr="00925F79" w14:paraId="665813D7" w14:textId="7EAB416A">
      <w:r w:rsidRPr="00925F79">
        <w:rPr>
          <w:b/>
        </w:rPr>
        <w:t xml:space="preserve">If Yes: </w:t>
      </w:r>
      <w:r w:rsidRPr="00925F79">
        <w:t>Please describe the incentive. If amounts are outside of customary incentives, please also provide a justification</w:t>
      </w:r>
      <w:r w:rsidRPr="00925F79" w:rsidR="00D75A5A">
        <w:t>.</w:t>
      </w:r>
      <w:r w:rsidRPr="00925F79">
        <w:t xml:space="preserve"> </w:t>
      </w:r>
    </w:p>
    <w:p w:rsidR="00B46F2C" w:rsidRPr="00925F79" w14:paraId="5BFDF9FE" w14:textId="77777777">
      <w:pPr>
        <w:rPr>
          <w:b/>
        </w:rPr>
      </w:pPr>
    </w:p>
    <w:p w:rsidR="00B46F2C" w:rsidRPr="00925F79" w:rsidP="001612AF" w14:paraId="0F6F775B" w14:textId="42D20DD0">
      <w:pPr>
        <w:rPr>
          <w:i/>
        </w:rPr>
      </w:pPr>
      <w:r w:rsidRPr="00925F79">
        <w:rPr>
          <w:b/>
        </w:rPr>
        <w:t>BURDEN HOURS</w:t>
      </w:r>
      <w:r w:rsidRPr="00925F79">
        <w:t xml:space="preserve"> </w:t>
      </w:r>
    </w:p>
    <w:p w:rsidR="001612AF" w:rsidRPr="00925F79" w:rsidP="001612AF" w14:paraId="547BEF01" w14:textId="77777777"/>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7"/>
        <w:gridCol w:w="1416"/>
        <w:gridCol w:w="2083"/>
        <w:gridCol w:w="1583"/>
        <w:gridCol w:w="2384"/>
      </w:tblGrid>
      <w:tr w14:paraId="71F3E9D4" w14:textId="77777777" w:rsidTr="00DE0CF5">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2657" w:type="dxa"/>
          </w:tcPr>
          <w:p w:rsidR="008750C1" w:rsidP="00DE0CF5" w14:paraId="350CB196" w14:textId="77777777">
            <w:pPr>
              <w:rPr>
                <w:b/>
              </w:rPr>
            </w:pPr>
            <w:r>
              <w:rPr>
                <w:b/>
              </w:rPr>
              <w:t xml:space="preserve">Category of Respondent </w:t>
            </w:r>
          </w:p>
        </w:tc>
        <w:tc>
          <w:tcPr>
            <w:tcW w:w="1416" w:type="dxa"/>
          </w:tcPr>
          <w:p w:rsidR="008750C1" w:rsidP="00DE0CF5" w14:paraId="43058D2D" w14:textId="77777777">
            <w:pPr>
              <w:rPr>
                <w:b/>
              </w:rPr>
            </w:pPr>
            <w:r>
              <w:rPr>
                <w:b/>
              </w:rPr>
              <w:t>Form Name</w:t>
            </w:r>
          </w:p>
        </w:tc>
        <w:tc>
          <w:tcPr>
            <w:tcW w:w="2083" w:type="dxa"/>
          </w:tcPr>
          <w:p w:rsidR="008750C1" w:rsidP="00DE0CF5" w14:paraId="4705CE57" w14:textId="77777777">
            <w:pPr>
              <w:rPr>
                <w:b/>
              </w:rPr>
            </w:pPr>
            <w:r>
              <w:rPr>
                <w:b/>
              </w:rPr>
              <w:t>No. of Respondents</w:t>
            </w:r>
          </w:p>
        </w:tc>
        <w:tc>
          <w:tcPr>
            <w:tcW w:w="1583" w:type="dxa"/>
          </w:tcPr>
          <w:p w:rsidR="008750C1" w:rsidP="00DE0CF5" w14:paraId="44C9B506" w14:textId="77777777">
            <w:pPr>
              <w:rPr>
                <w:b/>
              </w:rPr>
            </w:pPr>
            <w:r>
              <w:rPr>
                <w:b/>
              </w:rPr>
              <w:t>Participation Time</w:t>
            </w:r>
          </w:p>
        </w:tc>
        <w:tc>
          <w:tcPr>
            <w:tcW w:w="2384" w:type="dxa"/>
          </w:tcPr>
          <w:p w:rsidR="008750C1" w:rsidP="00DE0CF5" w14:paraId="093283B8" w14:textId="77777777">
            <w:pPr>
              <w:rPr>
                <w:b/>
              </w:rPr>
            </w:pPr>
            <w:r>
              <w:rPr>
                <w:b/>
              </w:rPr>
              <w:t>Burden</w:t>
            </w:r>
          </w:p>
        </w:tc>
      </w:tr>
      <w:tr w14:paraId="18ACEEB7" w14:textId="77777777" w:rsidTr="00DE0CF5">
        <w:tblPrEx>
          <w:tblW w:w="10123" w:type="dxa"/>
          <w:tblLayout w:type="fixed"/>
          <w:tblLook w:val="0600"/>
        </w:tblPrEx>
        <w:trPr>
          <w:trHeight w:val="275"/>
        </w:trPr>
        <w:tc>
          <w:tcPr>
            <w:tcW w:w="2657" w:type="dxa"/>
          </w:tcPr>
          <w:p w:rsidR="008750C1" w:rsidP="00DE0CF5" w14:paraId="355E6EDD" w14:textId="77777777">
            <w:r>
              <w:t>State public health, justice and key organization leads/ Health system leaders/ Clinicians, Frontline Professionals or Clinical Experts / Other Stakeholders</w:t>
            </w:r>
          </w:p>
        </w:tc>
        <w:tc>
          <w:tcPr>
            <w:tcW w:w="1416" w:type="dxa"/>
          </w:tcPr>
          <w:p w:rsidR="008750C1" w:rsidP="00DE0CF5" w14:paraId="02CFF014" w14:textId="77777777">
            <w:r w:rsidRPr="00925F79">
              <w:t>Opioid Rapid Response Program Care Continuity Project Stakeholder Interview (Att. 1</w:t>
            </w:r>
            <w:r>
              <w:t>)</w:t>
            </w:r>
          </w:p>
        </w:tc>
        <w:tc>
          <w:tcPr>
            <w:tcW w:w="2083" w:type="dxa"/>
          </w:tcPr>
          <w:p w:rsidR="008750C1" w:rsidP="00DE0CF5" w14:paraId="7E39CFEE" w14:textId="77777777">
            <w:r>
              <w:t>32</w:t>
            </w:r>
          </w:p>
        </w:tc>
        <w:tc>
          <w:tcPr>
            <w:tcW w:w="1583" w:type="dxa"/>
          </w:tcPr>
          <w:p w:rsidR="008750C1" w:rsidP="00DE0CF5" w14:paraId="0AEAE529" w14:textId="77777777">
            <w:r>
              <w:t>1</w:t>
            </w:r>
          </w:p>
        </w:tc>
        <w:tc>
          <w:tcPr>
            <w:tcW w:w="2384" w:type="dxa"/>
          </w:tcPr>
          <w:p w:rsidR="008750C1" w:rsidRPr="000B1668" w:rsidP="00DE0CF5" w14:paraId="70661E7F" w14:textId="77777777">
            <w:pPr>
              <w:rPr>
                <w:color w:val="000000" w:themeColor="text1"/>
              </w:rPr>
            </w:pPr>
            <w:r>
              <w:rPr>
                <w:color w:val="000000" w:themeColor="text1"/>
              </w:rPr>
              <w:t>32</w:t>
            </w:r>
          </w:p>
        </w:tc>
      </w:tr>
      <w:tr w14:paraId="24F7D685" w14:textId="77777777" w:rsidTr="00DE0CF5">
        <w:tblPrEx>
          <w:tblW w:w="10123" w:type="dxa"/>
          <w:tblLayout w:type="fixed"/>
          <w:tblLook w:val="0600"/>
        </w:tblPrEx>
        <w:trPr>
          <w:trHeight w:val="261"/>
        </w:trPr>
        <w:tc>
          <w:tcPr>
            <w:tcW w:w="2657" w:type="dxa"/>
            <w:shd w:val="clear" w:color="auto" w:fill="auto"/>
            <w:tcMar>
              <w:top w:w="100" w:type="dxa"/>
              <w:left w:w="100" w:type="dxa"/>
              <w:bottom w:w="100" w:type="dxa"/>
              <w:right w:w="100" w:type="dxa"/>
            </w:tcMar>
          </w:tcPr>
          <w:p w:rsidR="008750C1" w:rsidP="00DE0CF5" w14:paraId="3D4EB0A2" w14:textId="77777777">
            <w:r>
              <w:rPr>
                <w:b/>
              </w:rPr>
              <w:t>Totals</w:t>
            </w:r>
          </w:p>
        </w:tc>
        <w:tc>
          <w:tcPr>
            <w:tcW w:w="1416" w:type="dxa"/>
          </w:tcPr>
          <w:p w:rsidR="008750C1" w:rsidRPr="000B1668" w:rsidP="00DE0CF5" w14:paraId="0EDAFBA4" w14:textId="77777777">
            <w:pPr>
              <w:widowControl w:val="0"/>
              <w:pBdr>
                <w:top w:val="nil"/>
                <w:left w:val="nil"/>
                <w:bottom w:val="nil"/>
                <w:right w:val="nil"/>
                <w:between w:val="nil"/>
              </w:pBdr>
              <w:rPr>
                <w:color w:val="000000" w:themeColor="text1"/>
              </w:rPr>
            </w:pPr>
          </w:p>
        </w:tc>
        <w:tc>
          <w:tcPr>
            <w:tcW w:w="2083" w:type="dxa"/>
            <w:shd w:val="clear" w:color="auto" w:fill="auto"/>
            <w:tcMar>
              <w:top w:w="100" w:type="dxa"/>
              <w:left w:w="100" w:type="dxa"/>
              <w:bottom w:w="100" w:type="dxa"/>
              <w:right w:w="100" w:type="dxa"/>
            </w:tcMar>
          </w:tcPr>
          <w:p w:rsidR="008750C1" w:rsidRPr="000B1668" w:rsidP="00DE0CF5" w14:paraId="01F46C51" w14:textId="77777777">
            <w:pPr>
              <w:widowControl w:val="0"/>
              <w:pBdr>
                <w:top w:val="nil"/>
                <w:left w:val="nil"/>
                <w:bottom w:val="nil"/>
                <w:right w:val="nil"/>
                <w:between w:val="nil"/>
              </w:pBdr>
              <w:rPr>
                <w:color w:val="000000" w:themeColor="text1"/>
              </w:rPr>
            </w:pPr>
            <w:r>
              <w:rPr>
                <w:color w:val="000000" w:themeColor="text1"/>
              </w:rPr>
              <w:t>32</w:t>
            </w:r>
          </w:p>
        </w:tc>
        <w:tc>
          <w:tcPr>
            <w:tcW w:w="1583" w:type="dxa"/>
            <w:shd w:val="clear" w:color="auto" w:fill="auto"/>
            <w:tcMar>
              <w:top w:w="100" w:type="dxa"/>
              <w:left w:w="100" w:type="dxa"/>
              <w:bottom w:w="100" w:type="dxa"/>
              <w:right w:w="100" w:type="dxa"/>
            </w:tcMar>
          </w:tcPr>
          <w:p w:rsidR="008750C1" w:rsidP="00DE0CF5" w14:paraId="18EC1993" w14:textId="77777777">
            <w:pPr>
              <w:widowControl w:val="0"/>
              <w:pBdr>
                <w:top w:val="nil"/>
                <w:left w:val="nil"/>
                <w:bottom w:val="nil"/>
                <w:right w:val="nil"/>
                <w:between w:val="nil"/>
              </w:pBdr>
            </w:pPr>
          </w:p>
        </w:tc>
        <w:tc>
          <w:tcPr>
            <w:tcW w:w="2384" w:type="dxa"/>
            <w:shd w:val="clear" w:color="auto" w:fill="auto"/>
            <w:tcMar>
              <w:top w:w="100" w:type="dxa"/>
              <w:left w:w="100" w:type="dxa"/>
              <w:bottom w:w="100" w:type="dxa"/>
              <w:right w:w="100" w:type="dxa"/>
            </w:tcMar>
          </w:tcPr>
          <w:p w:rsidR="008750C1" w:rsidRPr="006567F7" w:rsidP="00DE0CF5" w14:paraId="349DCE15" w14:textId="77777777">
            <w:pPr>
              <w:widowControl w:val="0"/>
              <w:pBdr>
                <w:top w:val="nil"/>
                <w:left w:val="nil"/>
                <w:bottom w:val="nil"/>
                <w:right w:val="nil"/>
                <w:between w:val="nil"/>
              </w:pBdr>
              <w:rPr>
                <w:color w:val="000000" w:themeColor="text1"/>
              </w:rPr>
            </w:pPr>
            <w:r>
              <w:rPr>
                <w:color w:val="000000" w:themeColor="text1"/>
              </w:rPr>
              <w:t xml:space="preserve">32 </w:t>
            </w:r>
          </w:p>
        </w:tc>
      </w:tr>
    </w:tbl>
    <w:p w:rsidR="008750C1" w:rsidP="008750C1" w14:paraId="52ED6C74" w14:textId="77777777"/>
    <w:p w:rsidR="00B56723" w:rsidRPr="00925F79" w:rsidP="001612AF" w14:paraId="5D7B2CD4" w14:textId="77777777"/>
    <w:p w:rsidR="00B46F2C" w:rsidRPr="00925F79" w:rsidP="00F3170F" w14:paraId="1AB33144" w14:textId="77777777"/>
    <w:p w:rsidR="00B46F2C" w:rsidRPr="00925F79" w14:paraId="6775AEDB" w14:textId="26EA45C8">
      <w:pPr>
        <w:rPr>
          <w:rFonts w:eastAsia="Calibri"/>
          <w:b/>
          <w:bCs/>
          <w:color w:val="000000"/>
          <w:szCs w:val="20"/>
        </w:rPr>
      </w:pPr>
      <w:r w:rsidRPr="000462BD">
        <w:rPr>
          <w:b/>
        </w:rPr>
        <w:t xml:space="preserve">FEDERAL COST:  </w:t>
      </w:r>
      <w:r w:rsidRPr="000462BD">
        <w:t xml:space="preserve">The estimated annual cost to the Federal government is </w:t>
      </w:r>
      <w:r w:rsidRPr="000462BD" w:rsidR="001612AF">
        <w:rPr>
          <w:u w:val="single"/>
        </w:rPr>
        <w:t>$</w:t>
      </w:r>
      <w:r w:rsidR="006B75B4">
        <w:t xml:space="preserve"> $117,655.60</w:t>
      </w:r>
    </w:p>
    <w:p w:rsidR="00925F79" w:rsidRPr="00925F79" w14:paraId="78D23E7C" w14:textId="77777777">
      <w:pPr>
        <w:rPr>
          <w:b/>
        </w:rPr>
      </w:pPr>
    </w:p>
    <w:p w:rsidR="00B46F2C" w:rsidRPr="00925F79" w14:paraId="28C1E765" w14:textId="77777777">
      <w:pPr>
        <w:rPr>
          <w:b/>
          <w:bCs/>
          <w:u w:val="single"/>
        </w:rPr>
      </w:pPr>
    </w:p>
    <w:p w:rsidR="00B46F2C" w:rsidRPr="00925F79" w:rsidP="00F06866" w14:paraId="31D6CD62" w14:textId="77777777">
      <w:pPr>
        <w:rPr>
          <w:b/>
        </w:rPr>
      </w:pPr>
      <w:r w:rsidRPr="00925F79">
        <w:rPr>
          <w:b/>
          <w:bCs/>
          <w:u w:val="single"/>
        </w:rPr>
        <w:t xml:space="preserve">If you are conducting a focus group, survey, or plan to employ statistical methods, </w:t>
      </w:r>
      <w:r w:rsidRPr="00925F79">
        <w:rPr>
          <w:b/>
          <w:bCs/>
          <w:u w:val="single"/>
        </w:rPr>
        <w:t>please  provide</w:t>
      </w:r>
      <w:r w:rsidRPr="00925F79">
        <w:rPr>
          <w:b/>
          <w:bCs/>
          <w:u w:val="single"/>
        </w:rPr>
        <w:t xml:space="preserve"> answers to the following questions:</w:t>
      </w:r>
    </w:p>
    <w:p w:rsidR="00B46F2C" w:rsidRPr="00925F79" w:rsidP="00F06866" w14:paraId="1891EB37" w14:textId="77777777">
      <w:pPr>
        <w:rPr>
          <w:b/>
        </w:rPr>
      </w:pPr>
    </w:p>
    <w:p w:rsidR="00B46F2C" w:rsidRPr="000462BD" w:rsidP="00F06866" w14:paraId="30F962D1" w14:textId="77777777">
      <w:pPr>
        <w:rPr>
          <w:b/>
        </w:rPr>
      </w:pPr>
      <w:r w:rsidRPr="000462BD">
        <w:rPr>
          <w:b/>
        </w:rPr>
        <w:t>The selection of your targeted respondents</w:t>
      </w:r>
    </w:p>
    <w:p w:rsidR="00B46F2C" w:rsidRPr="000462BD" w:rsidP="0069403B" w14:paraId="6A50AA7D" w14:textId="16EC7BA7">
      <w:pPr>
        <w:pStyle w:val="ListParagraph"/>
        <w:numPr>
          <w:ilvl w:val="0"/>
          <w:numId w:val="15"/>
        </w:numPr>
      </w:pPr>
      <w:r w:rsidRPr="000462BD">
        <w:t>Do you have a customer list or something similar that defines the universe of potential respondents and do you have a sampling plan for selecting from this universe?</w:t>
      </w:r>
      <w:r w:rsidRPr="000462BD">
        <w:tab/>
      </w:r>
      <w:r w:rsidRPr="000462BD">
        <w:tab/>
      </w:r>
      <w:r w:rsidRPr="000462BD">
        <w:tab/>
      </w:r>
      <w:r w:rsidRPr="000462BD">
        <w:tab/>
      </w:r>
      <w:r w:rsidRPr="000462BD">
        <w:tab/>
      </w:r>
      <w:r w:rsidRPr="000462BD">
        <w:tab/>
      </w:r>
      <w:r w:rsidRPr="000462BD">
        <w:tab/>
      </w:r>
      <w:r w:rsidRPr="000462BD">
        <w:tab/>
      </w:r>
      <w:r w:rsidRPr="000462BD">
        <w:tab/>
      </w:r>
      <w:r w:rsidRPr="000462BD">
        <w:tab/>
      </w:r>
      <w:r w:rsidRPr="000462BD">
        <w:tab/>
      </w:r>
      <w:r w:rsidRPr="000462BD">
        <w:t>[ ]</w:t>
      </w:r>
      <w:r w:rsidRPr="000462BD">
        <w:t xml:space="preserve"> Yes</w:t>
      </w:r>
      <w:r w:rsidRPr="000462BD">
        <w:tab/>
        <w:t>[</w:t>
      </w:r>
      <w:r w:rsidRPr="000462BD" w:rsidR="00820231">
        <w:t>X</w:t>
      </w:r>
      <w:r w:rsidRPr="000462BD">
        <w:t xml:space="preserve"> ] No</w:t>
      </w:r>
    </w:p>
    <w:p w:rsidR="00B46F2C" w:rsidRPr="00925F79" w:rsidP="00636621" w14:paraId="33A970F3" w14:textId="77777777">
      <w:pPr>
        <w:pStyle w:val="ListParagraph"/>
      </w:pPr>
    </w:p>
    <w:p w:rsidR="004E1C18" w:rsidRPr="00925F79" w:rsidP="001B0AAA" w14:paraId="065EF791" w14:textId="55F2BE75">
      <w:r w:rsidRPr="00925F79">
        <w:rPr>
          <w:b/>
        </w:rPr>
        <w:t xml:space="preserve">If </w:t>
      </w:r>
      <w:r w:rsidRPr="00925F79">
        <w:rPr>
          <w:b/>
        </w:rPr>
        <w:t>Yes:</w:t>
      </w:r>
      <w:r w:rsidRPr="00925F79">
        <w:t xml:space="preserve"> </w:t>
      </w:r>
      <w:r w:rsidRPr="00925F79">
        <w:t xml:space="preserve">Please </w:t>
      </w:r>
      <w:r w:rsidRPr="00925F79">
        <w:t>provide a description of both below (</w:t>
      </w:r>
      <w:r w:rsidRPr="00925F79">
        <w:t>or</w:t>
      </w:r>
      <w:r w:rsidRPr="00925F79">
        <w:t xml:space="preserve"> attach the sampling plan)   </w:t>
      </w:r>
    </w:p>
    <w:p w:rsidR="00B46F2C" w:rsidRPr="00925F79" w:rsidP="001B0AAA" w14:paraId="044C2EA0" w14:textId="57FA8D95">
      <w:r w:rsidRPr="00925F79">
        <w:rPr>
          <w:b/>
        </w:rPr>
        <w:t>If No:</w:t>
      </w:r>
      <w:r w:rsidRPr="00925F79">
        <w:t xml:space="preserve"> </w:t>
      </w:r>
      <w:r w:rsidRPr="00925F79">
        <w:t xml:space="preserve">Please </w:t>
      </w:r>
      <w:r w:rsidRPr="00925F79">
        <w:t>provide a description of how you plan to identify your potential group of respondents and how you will select them</w:t>
      </w:r>
      <w:r w:rsidRPr="00925F79" w:rsidR="000F6D85">
        <w:t xml:space="preserve"> or ask them to self-select/volunteer</w:t>
      </w:r>
    </w:p>
    <w:p w:rsidR="00204D2E" w:rsidRPr="00925F79" w:rsidP="001B0AAA" w14:paraId="421661A6" w14:textId="6FACF2F2"/>
    <w:p w:rsidR="00204D2E" w:rsidRPr="00925F79" w:rsidP="00204D2E" w14:paraId="354CC033" w14:textId="002EBD0D">
      <w:pPr>
        <w:spacing w:after="180"/>
        <w:rPr>
          <w:szCs w:val="20"/>
        </w:rPr>
      </w:pPr>
      <w:r w:rsidRPr="00925F79">
        <w:rPr>
          <w:szCs w:val="20"/>
        </w:rPr>
        <w:t xml:space="preserve">Key organizations and/or informants will be identified from: </w:t>
      </w:r>
    </w:p>
    <w:p w:rsidR="00204D2E" w:rsidRPr="00925F79" w:rsidP="00204D2E" w14:paraId="5C762BB5" w14:textId="77777777">
      <w:pPr>
        <w:numPr>
          <w:ilvl w:val="0"/>
          <w:numId w:val="19"/>
        </w:numPr>
        <w:spacing w:after="180"/>
        <w:rPr>
          <w:szCs w:val="20"/>
        </w:rPr>
      </w:pPr>
      <w:r w:rsidRPr="00925F79">
        <w:rPr>
          <w:b/>
          <w:bCs/>
          <w:szCs w:val="20"/>
        </w:rPr>
        <w:t>Environmental scan</w:t>
      </w:r>
      <w:r w:rsidRPr="00925F79">
        <w:rPr>
          <w:szCs w:val="20"/>
        </w:rPr>
        <w:t xml:space="preserve"> and </w:t>
      </w:r>
      <w:r w:rsidRPr="00925F79">
        <w:rPr>
          <w:b/>
          <w:bCs/>
          <w:szCs w:val="20"/>
        </w:rPr>
        <w:t>literature review</w:t>
      </w:r>
      <w:r w:rsidRPr="00925F79">
        <w:rPr>
          <w:szCs w:val="20"/>
        </w:rPr>
        <w:t xml:space="preserve"> findings for</w:t>
      </w:r>
    </w:p>
    <w:p w:rsidR="00204D2E" w:rsidRPr="00925F79" w:rsidP="00204D2E" w14:paraId="3C77AE06" w14:textId="77777777">
      <w:pPr>
        <w:numPr>
          <w:ilvl w:val="1"/>
          <w:numId w:val="19"/>
        </w:numPr>
      </w:pPr>
      <w:r w:rsidRPr="00925F79">
        <w:t xml:space="preserve">Potential </w:t>
      </w:r>
      <w:r w:rsidRPr="00925F79">
        <w:rPr>
          <w:i/>
          <w:iCs/>
        </w:rPr>
        <w:t>organizations</w:t>
      </w:r>
      <w:r w:rsidRPr="00925F79">
        <w:t xml:space="preserve"> from which to identify or nominate an interviewee</w:t>
      </w:r>
    </w:p>
    <w:p w:rsidR="00204D2E" w:rsidRPr="00925F79" w:rsidP="00204D2E" w14:paraId="565BEBE7" w14:textId="77777777">
      <w:pPr>
        <w:numPr>
          <w:ilvl w:val="1"/>
          <w:numId w:val="19"/>
        </w:numPr>
        <w:spacing w:after="180"/>
        <w:rPr>
          <w:szCs w:val="20"/>
        </w:rPr>
      </w:pPr>
      <w:r w:rsidRPr="00925F79">
        <w:rPr>
          <w:i/>
          <w:iCs/>
          <w:szCs w:val="20"/>
        </w:rPr>
        <w:t>Specific individuals</w:t>
      </w:r>
      <w:r w:rsidRPr="00925F79">
        <w:rPr>
          <w:szCs w:val="20"/>
        </w:rPr>
        <w:t xml:space="preserve"> who authored, </w:t>
      </w:r>
      <w:r w:rsidRPr="00925F79">
        <w:rPr>
          <w:szCs w:val="20"/>
        </w:rPr>
        <w:t>led</w:t>
      </w:r>
      <w:r w:rsidRPr="00925F79">
        <w:rPr>
          <w:szCs w:val="20"/>
        </w:rPr>
        <w:t xml:space="preserve"> or contributed to relevant resources </w:t>
      </w:r>
    </w:p>
    <w:p w:rsidR="00204D2E" w:rsidRPr="00925F79" w:rsidP="00204D2E" w14:paraId="1F75E0F3" w14:textId="77777777">
      <w:pPr>
        <w:numPr>
          <w:ilvl w:val="0"/>
          <w:numId w:val="19"/>
        </w:numPr>
        <w:spacing w:after="180"/>
        <w:rPr>
          <w:szCs w:val="20"/>
        </w:rPr>
      </w:pPr>
      <w:r w:rsidRPr="00925F79">
        <w:rPr>
          <w:b/>
          <w:bCs/>
          <w:szCs w:val="20"/>
        </w:rPr>
        <w:t xml:space="preserve">CDC COR, ORRP team, or </w:t>
      </w:r>
      <w:r w:rsidRPr="00925F79">
        <w:rPr>
          <w:b/>
          <w:bCs/>
          <w:szCs w:val="20"/>
        </w:rPr>
        <w:t>Abt</w:t>
      </w:r>
      <w:r w:rsidRPr="00925F79">
        <w:rPr>
          <w:b/>
          <w:bCs/>
          <w:szCs w:val="20"/>
        </w:rPr>
        <w:t xml:space="preserve"> Team recommended organizations or individuals </w:t>
      </w:r>
      <w:r w:rsidRPr="00925F79">
        <w:rPr>
          <w:szCs w:val="20"/>
        </w:rPr>
        <w:t>based on past experiences or familiarity with the individuals’ expertise and experiences</w:t>
      </w:r>
    </w:p>
    <w:p w:rsidR="001612AF" w:rsidRPr="00925F79" w:rsidP="001B0AAA" w14:paraId="053D14F2" w14:textId="13593878"/>
    <w:p w:rsidR="001612AF" w:rsidRPr="00925F79" w:rsidP="001B0AAA" w14:paraId="60D8220B" w14:textId="77777777"/>
    <w:p w:rsidR="00B46F2C" w:rsidRPr="00925F79" w:rsidP="00A403BB" w14:paraId="0B53C238" w14:textId="77777777"/>
    <w:p w:rsidR="00B46F2C" w:rsidRPr="00925F79" w:rsidP="00A403BB" w14:paraId="274E9A10" w14:textId="77777777">
      <w:pPr>
        <w:rPr>
          <w:b/>
        </w:rPr>
      </w:pPr>
      <w:r w:rsidRPr="00925F79">
        <w:rPr>
          <w:b/>
        </w:rPr>
        <w:t>Administration of the Instrument</w:t>
      </w:r>
    </w:p>
    <w:p w:rsidR="00B46F2C" w:rsidRPr="00925F79" w:rsidP="00A403BB" w14:paraId="0D7928BD" w14:textId="77777777">
      <w:pPr>
        <w:pStyle w:val="ListParagraph"/>
        <w:numPr>
          <w:ilvl w:val="0"/>
          <w:numId w:val="17"/>
        </w:numPr>
      </w:pPr>
      <w:r w:rsidRPr="00925F79">
        <w:t>How will you collect the information? (Check all that apply)</w:t>
      </w:r>
    </w:p>
    <w:p w:rsidR="00B46F2C" w:rsidRPr="00925F79" w:rsidP="001B0AAA" w14:paraId="7C1C94BA" w14:textId="09507E80">
      <w:pPr>
        <w:ind w:left="720"/>
      </w:pPr>
      <w:r w:rsidRPr="00925F79">
        <w:t>[</w:t>
      </w:r>
      <w:r w:rsidRPr="00925F79" w:rsidR="007B6A1A">
        <w:t xml:space="preserve"> </w:t>
      </w:r>
      <w:r w:rsidRPr="00925F79">
        <w:t>]</w:t>
      </w:r>
      <w:r w:rsidRPr="00925F79">
        <w:t xml:space="preserve"> Web-based or other forms of Social Media </w:t>
      </w:r>
    </w:p>
    <w:p w:rsidR="00B46F2C" w:rsidRPr="00925F79" w:rsidP="001B0AAA" w14:paraId="6F829B01" w14:textId="7011BD41">
      <w:pPr>
        <w:ind w:left="720"/>
      </w:pPr>
      <w:r w:rsidRPr="00925F79">
        <w:t>[</w:t>
      </w:r>
      <w:r w:rsidRPr="00925F79" w:rsidR="00820231">
        <w:t>X</w:t>
      </w:r>
      <w:r w:rsidRPr="00925F79">
        <w:t xml:space="preserve">  ]</w:t>
      </w:r>
      <w:r w:rsidRPr="00925F79">
        <w:t xml:space="preserve"> Telephone</w:t>
      </w:r>
      <w:r w:rsidRPr="00925F79">
        <w:tab/>
      </w:r>
    </w:p>
    <w:p w:rsidR="00B46F2C" w:rsidRPr="00925F79" w:rsidP="001B0AAA" w14:paraId="008163E3" w14:textId="77777777">
      <w:pPr>
        <w:ind w:left="720"/>
      </w:pPr>
      <w:r w:rsidRPr="00925F79">
        <w:t>[  ]</w:t>
      </w:r>
      <w:r w:rsidRPr="00925F79">
        <w:t xml:space="preserve"> In-person</w:t>
      </w:r>
      <w:r w:rsidRPr="00925F79">
        <w:tab/>
      </w:r>
    </w:p>
    <w:p w:rsidR="00B46F2C" w:rsidRPr="00925F79" w:rsidP="001B0AAA" w14:paraId="7EE1ABF1" w14:textId="77777777">
      <w:pPr>
        <w:ind w:left="720"/>
      </w:pPr>
      <w:r w:rsidRPr="00925F79">
        <w:t>[  ]</w:t>
      </w:r>
      <w:r w:rsidRPr="00925F79">
        <w:t xml:space="preserve"> Mail </w:t>
      </w:r>
    </w:p>
    <w:p w:rsidR="00B46F2C" w:rsidRPr="00925F79" w:rsidP="001B0AAA" w14:paraId="328E2A66" w14:textId="77777777">
      <w:pPr>
        <w:ind w:left="720"/>
      </w:pPr>
      <w:r w:rsidRPr="00925F79">
        <w:t>[  ]</w:t>
      </w:r>
      <w:r w:rsidRPr="00925F79">
        <w:t xml:space="preserve"> Other, Explain</w:t>
      </w:r>
    </w:p>
    <w:p w:rsidR="00B46F2C" w:rsidRPr="00925F79" w:rsidP="00F24CFC" w14:paraId="12FD5503" w14:textId="73964EC3">
      <w:pPr>
        <w:pStyle w:val="ListParagraph"/>
        <w:numPr>
          <w:ilvl w:val="0"/>
          <w:numId w:val="17"/>
        </w:numPr>
      </w:pPr>
      <w:r w:rsidRPr="00925F79">
        <w:t xml:space="preserve">Will interviewers or facilitators be used?  [ </w:t>
      </w:r>
      <w:r w:rsidRPr="00925F79" w:rsidR="00820231">
        <w:t>X</w:t>
      </w:r>
      <w:r w:rsidRPr="00925F79">
        <w:t xml:space="preserve"> ]</w:t>
      </w:r>
      <w:r w:rsidRPr="00925F79">
        <w:t xml:space="preserve"> Yes [  ] No</w:t>
      </w:r>
    </w:p>
    <w:p w:rsidR="00B46F2C" w:rsidRPr="00925F79" w:rsidP="00F24CFC" w14:paraId="1BB31248" w14:textId="77777777">
      <w:pPr>
        <w:pStyle w:val="ListParagraph"/>
        <w:ind w:left="360"/>
      </w:pPr>
      <w:r w:rsidRPr="00925F79">
        <w:t xml:space="preserve"> </w:t>
      </w:r>
    </w:p>
    <w:p w:rsidR="00B46F2C" w:rsidRPr="0038253C" w:rsidP="0024521E" w14:paraId="3FD124DB" w14:textId="77777777">
      <w:pPr>
        <w:rPr>
          <w:b/>
        </w:rPr>
      </w:pPr>
      <w:r w:rsidRPr="00925F79">
        <w:rPr>
          <w:b/>
        </w:rPr>
        <w:t>Please make sure that all instruments, instructions, and scripts are submitted with the request.</w:t>
      </w:r>
    </w:p>
    <w:p w:rsidR="003A4C87" w:rsidRPr="0038253C" w:rsidP="0024521E" w14:paraId="557FB116" w14:textId="77777777">
      <w:pPr>
        <w:rPr>
          <w:b/>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445" w14:paraId="0C41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445" w14:paraId="425F8D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445" w14:paraId="79EC40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445" w14:paraId="5E6E89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445" w14:paraId="1F2650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BC5540B"/>
    <w:multiLevelType w:val="hybridMultilevel"/>
    <w:tmpl w:val="6E4E3F50"/>
    <w:lvl w:ilvl="0">
      <w:start w:val="1"/>
      <w:numFmt w:val="bullet"/>
      <w:lvlText w:val=""/>
      <w:lvlJc w:val="left"/>
      <w:pPr>
        <w:ind w:left="720" w:hanging="360"/>
      </w:pPr>
      <w:rPr>
        <w:rFonts w:ascii="Symbol" w:hAnsi="Symbol" w:hint="default"/>
        <w:color w:val="C00000"/>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174"/>
    <w:rsid w:val="00023A57"/>
    <w:rsid w:val="00042A8C"/>
    <w:rsid w:val="000462BD"/>
    <w:rsid w:val="00047A64"/>
    <w:rsid w:val="00047A9D"/>
    <w:rsid w:val="00050B95"/>
    <w:rsid w:val="00067329"/>
    <w:rsid w:val="00084813"/>
    <w:rsid w:val="000B1668"/>
    <w:rsid w:val="000B2838"/>
    <w:rsid w:val="000B657B"/>
    <w:rsid w:val="000D44CA"/>
    <w:rsid w:val="000D4F3A"/>
    <w:rsid w:val="000E200B"/>
    <w:rsid w:val="000F68BE"/>
    <w:rsid w:val="000F6D85"/>
    <w:rsid w:val="00145293"/>
    <w:rsid w:val="00146B20"/>
    <w:rsid w:val="001612AF"/>
    <w:rsid w:val="00164C3F"/>
    <w:rsid w:val="00165A79"/>
    <w:rsid w:val="00170D16"/>
    <w:rsid w:val="001927A4"/>
    <w:rsid w:val="00194AC6"/>
    <w:rsid w:val="001A23B0"/>
    <w:rsid w:val="001A25CC"/>
    <w:rsid w:val="001B0AAA"/>
    <w:rsid w:val="001C39F7"/>
    <w:rsid w:val="002031EE"/>
    <w:rsid w:val="00204D2E"/>
    <w:rsid w:val="002319FE"/>
    <w:rsid w:val="00237B48"/>
    <w:rsid w:val="0024035B"/>
    <w:rsid w:val="0024521E"/>
    <w:rsid w:val="00263C3D"/>
    <w:rsid w:val="00265236"/>
    <w:rsid w:val="00274D0B"/>
    <w:rsid w:val="002821FF"/>
    <w:rsid w:val="00291893"/>
    <w:rsid w:val="002B3C95"/>
    <w:rsid w:val="002B47F1"/>
    <w:rsid w:val="002D0B92"/>
    <w:rsid w:val="002E52CD"/>
    <w:rsid w:val="002F5C2A"/>
    <w:rsid w:val="0035690C"/>
    <w:rsid w:val="003675DB"/>
    <w:rsid w:val="0038253C"/>
    <w:rsid w:val="003859BC"/>
    <w:rsid w:val="00391BB4"/>
    <w:rsid w:val="003A4C87"/>
    <w:rsid w:val="003C4F49"/>
    <w:rsid w:val="003D5BBE"/>
    <w:rsid w:val="003E05AC"/>
    <w:rsid w:val="003E3C61"/>
    <w:rsid w:val="003F1C5B"/>
    <w:rsid w:val="0040417A"/>
    <w:rsid w:val="0041337D"/>
    <w:rsid w:val="00427AF0"/>
    <w:rsid w:val="00434E33"/>
    <w:rsid w:val="00441434"/>
    <w:rsid w:val="00443C35"/>
    <w:rsid w:val="00450CC2"/>
    <w:rsid w:val="0045264C"/>
    <w:rsid w:val="00481149"/>
    <w:rsid w:val="004876EC"/>
    <w:rsid w:val="004A52CE"/>
    <w:rsid w:val="004D6E14"/>
    <w:rsid w:val="004E1C18"/>
    <w:rsid w:val="005009B0"/>
    <w:rsid w:val="00512CA7"/>
    <w:rsid w:val="005438CD"/>
    <w:rsid w:val="00561445"/>
    <w:rsid w:val="005A1006"/>
    <w:rsid w:val="005A1ED9"/>
    <w:rsid w:val="005E714A"/>
    <w:rsid w:val="00604EE0"/>
    <w:rsid w:val="006140A0"/>
    <w:rsid w:val="00621E79"/>
    <w:rsid w:val="00623EDE"/>
    <w:rsid w:val="00636621"/>
    <w:rsid w:val="00642B49"/>
    <w:rsid w:val="00655F9E"/>
    <w:rsid w:val="006567F7"/>
    <w:rsid w:val="00660A3F"/>
    <w:rsid w:val="00661791"/>
    <w:rsid w:val="006832D9"/>
    <w:rsid w:val="0069403B"/>
    <w:rsid w:val="006B75B4"/>
    <w:rsid w:val="006C11EF"/>
    <w:rsid w:val="006F3DDE"/>
    <w:rsid w:val="00704678"/>
    <w:rsid w:val="00731698"/>
    <w:rsid w:val="007425E7"/>
    <w:rsid w:val="00756F45"/>
    <w:rsid w:val="007806D9"/>
    <w:rsid w:val="007B05B4"/>
    <w:rsid w:val="007B6A1A"/>
    <w:rsid w:val="007E32EE"/>
    <w:rsid w:val="00802607"/>
    <w:rsid w:val="008101A5"/>
    <w:rsid w:val="00820231"/>
    <w:rsid w:val="00822664"/>
    <w:rsid w:val="00837EAD"/>
    <w:rsid w:val="00843796"/>
    <w:rsid w:val="00851CFC"/>
    <w:rsid w:val="00872D70"/>
    <w:rsid w:val="008750C1"/>
    <w:rsid w:val="00895229"/>
    <w:rsid w:val="008D4F34"/>
    <w:rsid w:val="008F0203"/>
    <w:rsid w:val="008F50D4"/>
    <w:rsid w:val="009238C1"/>
    <w:rsid w:val="009239AA"/>
    <w:rsid w:val="00925F79"/>
    <w:rsid w:val="00935927"/>
    <w:rsid w:val="00935ADA"/>
    <w:rsid w:val="00945844"/>
    <w:rsid w:val="00946B6C"/>
    <w:rsid w:val="00955A71"/>
    <w:rsid w:val="0096108F"/>
    <w:rsid w:val="009930A5"/>
    <w:rsid w:val="009C13B9"/>
    <w:rsid w:val="009D01A2"/>
    <w:rsid w:val="009E1791"/>
    <w:rsid w:val="009F5923"/>
    <w:rsid w:val="00A403BB"/>
    <w:rsid w:val="00A674DF"/>
    <w:rsid w:val="00A83AA6"/>
    <w:rsid w:val="00A85C82"/>
    <w:rsid w:val="00AD3D72"/>
    <w:rsid w:val="00AE1809"/>
    <w:rsid w:val="00B109DC"/>
    <w:rsid w:val="00B43BFF"/>
    <w:rsid w:val="00B46F2C"/>
    <w:rsid w:val="00B56723"/>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B19"/>
    <w:rsid w:val="00CC6FAF"/>
    <w:rsid w:val="00CE7721"/>
    <w:rsid w:val="00D24698"/>
    <w:rsid w:val="00D6383F"/>
    <w:rsid w:val="00D71221"/>
    <w:rsid w:val="00D75A5A"/>
    <w:rsid w:val="00DB59D0"/>
    <w:rsid w:val="00DC33D3"/>
    <w:rsid w:val="00DC4E96"/>
    <w:rsid w:val="00DE0CF5"/>
    <w:rsid w:val="00E02391"/>
    <w:rsid w:val="00E21ABC"/>
    <w:rsid w:val="00E252F3"/>
    <w:rsid w:val="00E26329"/>
    <w:rsid w:val="00E40B50"/>
    <w:rsid w:val="00E441DD"/>
    <w:rsid w:val="00E50293"/>
    <w:rsid w:val="00E57B71"/>
    <w:rsid w:val="00E65FFC"/>
    <w:rsid w:val="00E80951"/>
    <w:rsid w:val="00E854FE"/>
    <w:rsid w:val="00E86CC6"/>
    <w:rsid w:val="00E91158"/>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B261E"/>
    <w:rsid w:val="00FC0A8E"/>
    <w:rsid w:val="00FD4AFE"/>
    <w:rsid w:val="00FD6D92"/>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7806D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806D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80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w4sn xmlns="1a946141-6c5f-4014-8fbe-3262ec763809">6.1</w4sn>
    <Category xmlns="1a946141-6c5f-4014-8fbe-3262ec763809">B. Generic</Category>
    <Sub_x002d_Category xmlns="1a946141-6c5f-4014-8fbe-3262ec763809">2. Service Delivery Generic</Sub_x002d_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D54424FB38D846B5411172F3049FC2" ma:contentTypeVersion="13" ma:contentTypeDescription="Create a new document." ma:contentTypeScope="" ma:versionID="c551fca9b11cdc9d5a41999cd414f839">
  <xsd:schema xmlns:xsd="http://www.w3.org/2001/XMLSchema" xmlns:xs="http://www.w3.org/2001/XMLSchema" xmlns:p="http://schemas.microsoft.com/office/2006/metadata/properties" xmlns:ns2="1a946141-6c5f-4014-8fbe-3262ec763809" xmlns:ns3="http://schemas.microsoft.com/sharepoint/v4" targetNamespace="http://schemas.microsoft.com/office/2006/metadata/properties" ma:root="true" ma:fieldsID="84e6ce6d57d03df953fd8ce902bf7d9d" ns2:_="" ns3:_="">
    <xsd:import namespace="1a946141-6c5f-4014-8fbe-3262ec763809"/>
    <xsd:import namespace="http://schemas.microsoft.com/sharepoint/v4"/>
    <xsd:element name="properties">
      <xsd:complexType>
        <xsd:sequence>
          <xsd:element name="documentManagement">
            <xsd:complexType>
              <xsd:all>
                <xsd:element ref="ns2:Category" minOccurs="0"/>
                <xsd:element ref="ns2:w4sn" minOccurs="0"/>
                <xsd:element ref="ns2:Sub_x002d_Category" minOccurs="0"/>
                <xsd:element ref="ns3:IconOverlay"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46141-6c5f-4014-8fbe-3262ec763809"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4sn" ma:index="9" nillable="true" ma:displayName="Number" ma:internalName="w4sn" ma:readOnly="false" ma:percentage="FALSE">
      <xsd:simpleType>
        <xsd:restriction base="dms:Number"/>
      </xsd:simpleType>
    </xsd:element>
    <xsd:element name="Sub_x002d_Category" ma:index="10" nillable="true" ma:displayName="Sub-Category" ma:internalName="Sub_x002d_Categor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6CE38-1E9E-4859-AA33-2951BDA9D08A}">
  <ds:schemaRefs>
    <ds:schemaRef ds:uri="http://schemas.microsoft.com/office/infopath/2007/PartnerControls"/>
    <ds:schemaRef ds:uri="http://schemas.openxmlformats.org/package/2006/metadata/core-properties"/>
    <ds:schemaRef ds:uri="1a946141-6c5f-4014-8fbe-3262ec763809"/>
    <ds:schemaRef ds:uri="http://schemas.microsoft.com/office/2006/metadata/properties"/>
    <ds:schemaRef ds:uri="http://purl.org/dc/elements/1.1/"/>
    <ds:schemaRef ds:uri="http://purl.org/dc/dcmitype/"/>
    <ds:schemaRef ds:uri="http://purl.org/dc/terms/"/>
    <ds:schemaRef ds:uri="http://schemas.microsoft.com/sharepoint/v4"/>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3.xml><?xml version="1.0" encoding="utf-8"?>
<ds:datastoreItem xmlns:ds="http://schemas.openxmlformats.org/officeDocument/2006/customXml" ds:itemID="{205034FC-2653-4351-9BCD-C2803D7E4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46141-6c5f-4014-8fbe-3262ec76380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2EB71-A500-4E38-AF08-CE647A512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1527</Words>
  <Characters>8496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4</cp:revision>
  <cp:lastPrinted>2019-03-29T13:58:00Z</cp:lastPrinted>
  <dcterms:created xsi:type="dcterms:W3CDTF">2022-10-07T19:43:00Z</dcterms:created>
  <dcterms:modified xsi:type="dcterms:W3CDTF">2022-11-08T17:19:00Z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0x01010086D54424FB38D846B5411172F3049FC2</vt:lpwstr>
  </property>
  <property fmtid="{D5CDD505-2E9C-101B-9397-08002B2CF9AE}" pid="3" name="MSIP_Label_8af03ff0-41c5-4c41-b55e-fabb8fae94be_ActionId">
    <vt:lpwstr>6ca31ae0-5732-4b5c-8823-4f68eda831ae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2021-10-12T15:32:40Z</vt:lpwstr>
  </property>
  <property fmtid="{D5CDD505-2E9C-101B-9397-08002B2CF9AE}" pid="9" name="MSIP_Label_8af03ff0-41c5-4c41-b55e-fabb8fae94be_SiteId">
    <vt:lpwstr>9ce70869-60db-44fd-abe8-d2767077fc8f</vt:lpwstr>
  </property>
  <property fmtid="{D5CDD505-2E9C-101B-9397-08002B2CF9AE}" pid="10" name="Order0">
    <vt:r8>4</vt:r8>
  </property>
  <property fmtid="{D5CDD505-2E9C-101B-9397-08002B2CF9AE}" pid="11" name="URL">
    <vt:lpwstr/>
  </property>
  <property fmtid="{D5CDD505-2E9C-101B-9397-08002B2CF9AE}" pid="12" name="_dlc_DocIdItemGuid">
    <vt:lpwstr>c0695f03-219c-4ff9-82d8-e4d88cfd62e7</vt:lpwstr>
  </property>
  <property fmtid="{D5CDD505-2E9C-101B-9397-08002B2CF9AE}" pid="13" name="_NewReviewCycle">
    <vt:lpwstr/>
  </property>
</Properties>
</file>