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1A323121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23D43AFE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6B29209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1FE7D8C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3ED462C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1C72F34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4573445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00EAAC4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0070577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45DEF07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14BBB736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B011DE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011DE" w:rsidP="00B011DE" w14:paraId="5E77589E" w14:textId="17D548B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 </w:t>
      </w:r>
      <w:r w:rsidR="005A1B74">
        <w:t xml:space="preserve">Feedback on </w:t>
      </w:r>
      <w:r w:rsidR="005869E1">
        <w:t xml:space="preserve">an </w:t>
      </w:r>
      <w:r w:rsidR="005A1B74">
        <w:t>Innovation Hub Training</w:t>
      </w:r>
      <w:r w:rsidR="00F025A5">
        <w:t xml:space="preserve"> </w:t>
      </w:r>
    </w:p>
    <w:p w:rsidR="00B46F2C" w:rsidRPr="009239AA" w:rsidP="00434E33" w14:paraId="6D607A79" w14:textId="238F8DDA">
      <w:pPr>
        <w:rPr>
          <w:b/>
        </w:rPr>
      </w:pPr>
    </w:p>
    <w:p w:rsidR="00B46F2C" w14:paraId="29476A1F" w14:textId="77777777"/>
    <w:p w:rsidR="00762D00" w:rsidP="00B011DE" w14:paraId="620615CD" w14:textId="77777777">
      <w:r>
        <w:rPr>
          <w:b/>
        </w:rPr>
        <w:t>PURPOSE</w:t>
      </w:r>
      <w:r w:rsidRPr="009239AA">
        <w:rPr>
          <w:b/>
        </w:rPr>
        <w:t xml:space="preserve">:  </w:t>
      </w:r>
      <w:r>
        <w:t xml:space="preserve">CDC has provided a service titled Innovation Hub Training to state/local partners, and CDC is now seeking feedback from those who received this service in order to improve upon the services provided. </w:t>
      </w:r>
    </w:p>
    <w:p w:rsidR="00B011DE" w:rsidP="00B011DE" w14:paraId="7676B1C4" w14:textId="5B94441E">
      <w:pPr>
        <w:rPr>
          <w:sz w:val="22"/>
          <w:szCs w:val="22"/>
        </w:rPr>
      </w:pPr>
      <w:r>
        <w:t xml:space="preserve"> </w:t>
      </w:r>
      <w:r>
        <w:rPr>
          <w:b/>
          <w:bCs/>
        </w:rPr>
        <w:t xml:space="preserve"> </w:t>
      </w:r>
    </w:p>
    <w:p w:rsidR="00B011DE" w:rsidP="00B011DE" w14:paraId="428EA6F0" w14:textId="3491A3A7">
      <w:r>
        <w:t xml:space="preserve">Training includes </w:t>
      </w:r>
      <w:r>
        <w:t xml:space="preserve">but </w:t>
      </w:r>
      <w:r>
        <w:t xml:space="preserve">is </w:t>
      </w:r>
      <w:r>
        <w:t>not limited to:</w:t>
      </w:r>
    </w:p>
    <w:p w:rsidR="00B011DE" w:rsidP="00B011DE" w14:paraId="75A70D0A" w14:textId="77777777">
      <w:pPr>
        <w:pStyle w:val="ListParagraph"/>
        <w:numPr>
          <w:ilvl w:val="0"/>
          <w:numId w:val="19"/>
        </w:numPr>
        <w:spacing w:after="160" w:line="256" w:lineRule="auto"/>
      </w:pPr>
      <w:r>
        <w:rPr>
          <w:b/>
          <w:bCs/>
        </w:rPr>
        <w:t>Full Cohort Collaboration:</w:t>
      </w:r>
      <w:r>
        <w:t xml:space="preserve"> (3) Core Cohort Hub meetings will occur to initiate kick-off, at the mid-point, and the capstone of the Academy experience. The kick-off and mid-point meetings will be offered through either a web-based training (kick-off and mid-point) or an in-person symposium (capstone) and topics covered may include identifying and developing key technical skills, engaging in policy development processes, identifying, and braiding unique funding streams, and subject matter expert-led webinars related to the Academy curriculum. </w:t>
      </w:r>
    </w:p>
    <w:p w:rsidR="00B011DE" w:rsidP="00B011DE" w14:paraId="24AC4041" w14:textId="77777777">
      <w:pPr>
        <w:pStyle w:val="ListParagraph"/>
        <w:numPr>
          <w:ilvl w:val="0"/>
          <w:numId w:val="19"/>
        </w:numPr>
        <w:spacing w:after="160" w:line="256" w:lineRule="auto"/>
      </w:pPr>
      <w:r>
        <w:rPr>
          <w:b/>
          <w:bCs/>
        </w:rPr>
        <w:t>Peer-to-peer learning:</w:t>
      </w:r>
      <w:r>
        <w:t xml:space="preserve"> Monthly Cohort Calls will offer an opportunity for peer-to-peer learning through more informal ‘office hours’ style sessions that will encourage discussion and sharing between cohort members. A skilled facilitator will be assigned to calls to help initiate discussion, provide feedback, and document learnings. </w:t>
      </w:r>
    </w:p>
    <w:p w:rsidR="00B011DE" w:rsidP="00B011DE" w14:paraId="7F29CEC2" w14:textId="77777777">
      <w:pPr>
        <w:pStyle w:val="ListParagraph"/>
        <w:numPr>
          <w:ilvl w:val="0"/>
          <w:numId w:val="19"/>
        </w:numPr>
        <w:spacing w:after="160" w:line="256" w:lineRule="auto"/>
      </w:pPr>
      <w:r>
        <w:rPr>
          <w:b/>
          <w:bCs/>
        </w:rPr>
        <w:t>One-on-one coaching:</w:t>
      </w:r>
      <w:r>
        <w:t xml:space="preserve"> Additional one-on-one coaching will be available as needed and requested between web-based trainings and peer learning sessions. TTA may be geared toward helping cohort complete capstone project.</w:t>
      </w:r>
    </w:p>
    <w:p w:rsidR="00B011DE" w:rsidP="00B011DE" w14:paraId="01EDDDD2" w14:textId="77777777">
      <w:pPr>
        <w:pStyle w:val="ListParagraph"/>
        <w:numPr>
          <w:ilvl w:val="1"/>
          <w:numId w:val="19"/>
        </w:numPr>
        <w:spacing w:after="160" w:line="256" w:lineRule="auto"/>
      </w:pPr>
      <w:r>
        <w:rPr>
          <w:i/>
          <w:iCs/>
        </w:rPr>
        <w:t>TTA Navigator:</w:t>
      </w:r>
      <w:r>
        <w:t xml:space="preserve"> NNPHI will act as TTA navigator to connect cohort members with subject matter experts for content specific one-on-one coaching. NNPHI will develop an online form for participants to request TTA.</w:t>
      </w:r>
    </w:p>
    <w:p w:rsidR="00B46F2C" w14:paraId="102237EE" w14:textId="77777777"/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7F3A27" w:rsidP="007F3A27" w14:paraId="7255230B" w14:textId="1E902465">
      <w:pPr>
        <w:rPr>
          <w:sz w:val="22"/>
          <w:szCs w:val="22"/>
        </w:rPr>
      </w:pPr>
      <w:r>
        <w:t>Public health professionals at the state, tribal, local, and territorial levels</w:t>
      </w:r>
      <w:r w:rsidR="008576CA">
        <w:t xml:space="preserve"> will participate in the training and TA and will serve as respondents.</w:t>
      </w:r>
      <w:r>
        <w:t xml:space="preserve"> Responsibilities of these public health leaders may include developing, implementing, and evaluating programs; supervising staff; establishing and maintaining community partnerships; managing timelines and work plans; making policy recommendations; and providing technical expertise. These leaders should have strong skills or interest in data literacy, systems thinking, needs analysis, visual communication, integrative thinking, and community-based planning. CDC and NNPHI are particularly interested in supporting health strategists focusing on healthcare, housing and/or transportation related issues but will also consider supporting </w:t>
      </w:r>
      <w:r w:rsidR="008576CA">
        <w:t>participants</w:t>
      </w:r>
      <w:r>
        <w:t xml:space="preserve"> engaged in other cross-sectoral work. </w:t>
      </w:r>
    </w:p>
    <w:p w:rsidR="00B46F2C" w14:paraId="2E0BF9BC" w14:textId="77777777"/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41E39F4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7F3A27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2114A43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 xml:space="preserve">[ </w:t>
      </w:r>
      <w:r w:rsidR="008576CA">
        <w:rPr>
          <w:bCs/>
          <w:sz w:val="24"/>
        </w:rPr>
        <w:t>x</w:t>
      </w:r>
      <w:r>
        <w:rPr>
          <w:bCs/>
          <w:sz w:val="24"/>
        </w:rPr>
        <w:t>] Small Discussion Group</w:t>
      </w:r>
    </w:p>
    <w:p w:rsidR="00B46F2C" w:rsidRPr="00F06866" w:rsidP="0096108F" w14:paraId="22FFEFCD" w14:textId="254E95D5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 w:rsidR="005869E1">
        <w:rPr>
          <w:bCs/>
          <w:sz w:val="24"/>
        </w:rPr>
        <w:t>x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76A4F5B0">
      <w:r>
        <w:t>Name</w:t>
      </w:r>
      <w:r w:rsidR="00B46245">
        <w:t>: Andrea Neiman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5461BD5B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7F3A27">
        <w:t>x</w:t>
      </w:r>
      <w:r>
        <w:t xml:space="preserve">]  No </w:t>
      </w:r>
    </w:p>
    <w:p w:rsidR="00B46F2C" w:rsidP="00C86E91" w14:paraId="059C2C9E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44AA3B1A">
      <w:r>
        <w:t xml:space="preserve">Is an incentive (e.g., money or reimbursement of expenses, token of appreciation) provided to participants?  [  ] Yes [ </w:t>
      </w:r>
      <w:r w:rsidR="007F3A27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pPr w:leftFromText="180" w:rightFromText="180" w:vertAnchor="text" w:horzAnchor="margin" w:tblpXSpec="center" w:tblpY="127"/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8"/>
        <w:gridCol w:w="2537"/>
        <w:gridCol w:w="1657"/>
        <w:gridCol w:w="1989"/>
        <w:gridCol w:w="1898"/>
      </w:tblGrid>
      <w:tr w14:paraId="49D4AAB7" w14:textId="77777777" w:rsidTr="00F42C57">
        <w:tblPrEx>
          <w:tblW w:w="109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62"/>
        </w:trPr>
        <w:tc>
          <w:tcPr>
            <w:tcW w:w="2858" w:type="dxa"/>
          </w:tcPr>
          <w:p w:rsidR="002A1C1B" w:rsidRPr="00512CA7" w:rsidP="002A1C1B" w14:paraId="23F240B3" w14:textId="2FFDCE45">
            <w:pPr>
              <w:rPr>
                <w:b/>
              </w:rPr>
            </w:pPr>
            <w:r w:rsidRPr="003C6817">
              <w:t xml:space="preserve">Category of Respondent </w:t>
            </w:r>
          </w:p>
        </w:tc>
        <w:tc>
          <w:tcPr>
            <w:tcW w:w="2537" w:type="dxa"/>
          </w:tcPr>
          <w:p w:rsidR="002A1C1B" w:rsidRPr="00512CA7" w:rsidP="002A1C1B" w14:paraId="1FA8C8AE" w14:textId="23585821">
            <w:pPr>
              <w:rPr>
                <w:b/>
              </w:rPr>
            </w:pPr>
            <w:r w:rsidRPr="003C6817">
              <w:t>Form Name</w:t>
            </w:r>
          </w:p>
        </w:tc>
        <w:tc>
          <w:tcPr>
            <w:tcW w:w="1657" w:type="dxa"/>
          </w:tcPr>
          <w:p w:rsidR="002A1C1B" w:rsidRPr="00512CA7" w:rsidP="002A1C1B" w14:paraId="292770C9" w14:textId="34A4BE80">
            <w:pPr>
              <w:rPr>
                <w:b/>
              </w:rPr>
            </w:pPr>
            <w:r w:rsidRPr="003C6817">
              <w:t>No. of Respondents</w:t>
            </w:r>
          </w:p>
        </w:tc>
        <w:tc>
          <w:tcPr>
            <w:tcW w:w="1989" w:type="dxa"/>
          </w:tcPr>
          <w:p w:rsidR="002A1C1B" w:rsidRPr="00512CA7" w:rsidP="002A1C1B" w14:paraId="691EA3FC" w14:textId="6E46F461">
            <w:pPr>
              <w:rPr>
                <w:b/>
              </w:rPr>
            </w:pPr>
            <w:r w:rsidRPr="003C6817">
              <w:t>Participation Time</w:t>
            </w:r>
          </w:p>
        </w:tc>
        <w:tc>
          <w:tcPr>
            <w:tcW w:w="1898" w:type="dxa"/>
          </w:tcPr>
          <w:p w:rsidR="002A1C1B" w:rsidRPr="00512CA7" w:rsidP="002A1C1B" w14:paraId="5785FA00" w14:textId="0BCFF683">
            <w:pPr>
              <w:rPr>
                <w:b/>
              </w:rPr>
            </w:pPr>
            <w:r w:rsidRPr="003C6817">
              <w:t>Burden (in hours)</w:t>
            </w:r>
          </w:p>
        </w:tc>
      </w:tr>
      <w:tr w14:paraId="18509E13" w14:textId="77777777" w:rsidTr="00F42C57">
        <w:tblPrEx>
          <w:tblW w:w="10939" w:type="dxa"/>
          <w:tblLayout w:type="fixed"/>
          <w:tblLook w:val="01E0"/>
        </w:tblPrEx>
        <w:trPr>
          <w:trHeight w:val="262"/>
        </w:trPr>
        <w:tc>
          <w:tcPr>
            <w:tcW w:w="2858" w:type="dxa"/>
          </w:tcPr>
          <w:p w:rsidR="002A1C1B" w:rsidP="002A1C1B" w14:paraId="7EA60AB7" w14:textId="1B6C43B0">
            <w:r w:rsidRPr="003C6817">
              <w:t>Customer / Participant</w:t>
            </w:r>
          </w:p>
        </w:tc>
        <w:tc>
          <w:tcPr>
            <w:tcW w:w="2537" w:type="dxa"/>
          </w:tcPr>
          <w:p w:rsidR="002A1C1B" w:rsidP="002A1C1B" w14:paraId="42F5FF53" w14:textId="37B7D4C2">
            <w:r w:rsidRPr="003C6817">
              <w:t xml:space="preserve">Orientation Assessment </w:t>
            </w:r>
          </w:p>
        </w:tc>
        <w:tc>
          <w:tcPr>
            <w:tcW w:w="1657" w:type="dxa"/>
          </w:tcPr>
          <w:p w:rsidR="002A1C1B" w:rsidP="002A1C1B" w14:paraId="7250DBE8" w14:textId="541891E6">
            <w:r w:rsidRPr="003C6817">
              <w:t>25</w:t>
            </w:r>
          </w:p>
        </w:tc>
        <w:tc>
          <w:tcPr>
            <w:tcW w:w="1989" w:type="dxa"/>
          </w:tcPr>
          <w:p w:rsidR="002A1C1B" w:rsidP="002A1C1B" w14:paraId="23113B6F" w14:textId="5E3E311B">
            <w:r w:rsidRPr="003C6817">
              <w:t xml:space="preserve">3/60 </w:t>
            </w:r>
          </w:p>
        </w:tc>
        <w:tc>
          <w:tcPr>
            <w:tcW w:w="1898" w:type="dxa"/>
          </w:tcPr>
          <w:p w:rsidR="002A1C1B" w:rsidP="002A1C1B" w14:paraId="6721D761" w14:textId="6E6D0C41">
            <w:r w:rsidRPr="003C6817">
              <w:t>1</w:t>
            </w:r>
          </w:p>
        </w:tc>
      </w:tr>
      <w:tr w14:paraId="2E201A27" w14:textId="77777777" w:rsidTr="00F42C57">
        <w:tblPrEx>
          <w:tblW w:w="10939" w:type="dxa"/>
          <w:tblLayout w:type="fixed"/>
          <w:tblLook w:val="01E0"/>
        </w:tblPrEx>
        <w:trPr>
          <w:trHeight w:val="262"/>
        </w:trPr>
        <w:tc>
          <w:tcPr>
            <w:tcW w:w="2858" w:type="dxa"/>
          </w:tcPr>
          <w:p w:rsidR="002A1C1B" w:rsidP="002A1C1B" w14:paraId="67CCFFB7" w14:textId="783A03CF">
            <w:r w:rsidRPr="003C6817">
              <w:t>Customer / Participant</w:t>
            </w:r>
          </w:p>
        </w:tc>
        <w:tc>
          <w:tcPr>
            <w:tcW w:w="2537" w:type="dxa"/>
          </w:tcPr>
          <w:p w:rsidR="002A1C1B" w:rsidP="002A1C1B" w14:paraId="3E7AEDE4" w14:textId="7A508517">
            <w:r w:rsidRPr="003C6817">
              <w:t>In-Person Post Session</w:t>
            </w:r>
          </w:p>
        </w:tc>
        <w:tc>
          <w:tcPr>
            <w:tcW w:w="1657" w:type="dxa"/>
          </w:tcPr>
          <w:p w:rsidR="002A1C1B" w:rsidP="002A1C1B" w14:paraId="0D051893" w14:textId="150CD252">
            <w:r w:rsidRPr="003C6817">
              <w:t>25</w:t>
            </w:r>
          </w:p>
        </w:tc>
        <w:tc>
          <w:tcPr>
            <w:tcW w:w="1989" w:type="dxa"/>
          </w:tcPr>
          <w:p w:rsidR="002A1C1B" w:rsidP="002A1C1B" w14:paraId="178C8397" w14:textId="562CBDDB">
            <w:r w:rsidRPr="003C6817">
              <w:t>3/60</w:t>
            </w:r>
          </w:p>
        </w:tc>
        <w:tc>
          <w:tcPr>
            <w:tcW w:w="1898" w:type="dxa"/>
          </w:tcPr>
          <w:p w:rsidR="002A1C1B" w:rsidP="002A1C1B" w14:paraId="04A0F693" w14:textId="764E5842">
            <w:r w:rsidRPr="003C6817">
              <w:t>1</w:t>
            </w:r>
          </w:p>
        </w:tc>
      </w:tr>
      <w:tr w14:paraId="267208D9" w14:textId="77777777" w:rsidTr="00F42C57">
        <w:tblPrEx>
          <w:tblW w:w="10939" w:type="dxa"/>
          <w:tblLayout w:type="fixed"/>
          <w:tblLook w:val="01E0"/>
        </w:tblPrEx>
        <w:trPr>
          <w:trHeight w:val="262"/>
        </w:trPr>
        <w:tc>
          <w:tcPr>
            <w:tcW w:w="2858" w:type="dxa"/>
          </w:tcPr>
          <w:p w:rsidR="002A1C1B" w:rsidP="002A1C1B" w14:paraId="20981F37" w14:textId="38843BCE">
            <w:r w:rsidRPr="003C6817">
              <w:t>Customer / Participant</w:t>
            </w:r>
          </w:p>
        </w:tc>
        <w:tc>
          <w:tcPr>
            <w:tcW w:w="2537" w:type="dxa"/>
          </w:tcPr>
          <w:p w:rsidR="002A1C1B" w:rsidP="002A1C1B" w14:paraId="06F23AAE" w14:textId="7D047AA5">
            <w:r w:rsidRPr="003C6817">
              <w:t xml:space="preserve">In-Person Session Assessment </w:t>
            </w:r>
          </w:p>
        </w:tc>
        <w:tc>
          <w:tcPr>
            <w:tcW w:w="1657" w:type="dxa"/>
          </w:tcPr>
          <w:p w:rsidR="002A1C1B" w:rsidP="002A1C1B" w14:paraId="15C1D372" w14:textId="0BDF314D">
            <w:r w:rsidRPr="003C6817">
              <w:t>25</w:t>
            </w:r>
          </w:p>
        </w:tc>
        <w:tc>
          <w:tcPr>
            <w:tcW w:w="1989" w:type="dxa"/>
          </w:tcPr>
          <w:p w:rsidR="002A1C1B" w:rsidP="002A1C1B" w14:paraId="47D972A9" w14:textId="34D4CA68">
            <w:r w:rsidRPr="003C6817">
              <w:t>4/60</w:t>
            </w:r>
          </w:p>
        </w:tc>
        <w:tc>
          <w:tcPr>
            <w:tcW w:w="1898" w:type="dxa"/>
          </w:tcPr>
          <w:p w:rsidR="002A1C1B" w:rsidP="002A1C1B" w14:paraId="7C10AAB6" w14:textId="75FF7FC0">
            <w:r w:rsidRPr="003C6817">
              <w:t>2</w:t>
            </w:r>
          </w:p>
        </w:tc>
      </w:tr>
      <w:tr w14:paraId="3348DFA1" w14:textId="77777777" w:rsidTr="00F42C57">
        <w:tblPrEx>
          <w:tblW w:w="10939" w:type="dxa"/>
          <w:tblLayout w:type="fixed"/>
          <w:tblLook w:val="01E0"/>
        </w:tblPrEx>
        <w:trPr>
          <w:trHeight w:val="262"/>
        </w:trPr>
        <w:tc>
          <w:tcPr>
            <w:tcW w:w="2858" w:type="dxa"/>
          </w:tcPr>
          <w:p w:rsidR="002A1C1B" w:rsidP="002A1C1B" w14:paraId="7FCA22B4" w14:textId="344746F9">
            <w:r w:rsidRPr="003C6817">
              <w:t>Customer / Participant</w:t>
            </w:r>
          </w:p>
        </w:tc>
        <w:tc>
          <w:tcPr>
            <w:tcW w:w="2537" w:type="dxa"/>
          </w:tcPr>
          <w:p w:rsidR="002A1C1B" w:rsidP="002A1C1B" w14:paraId="08A2443D" w14:textId="5009B19F">
            <w:r w:rsidRPr="003C6817">
              <w:t>Post-Program Assessment Instrument</w:t>
            </w:r>
          </w:p>
        </w:tc>
        <w:tc>
          <w:tcPr>
            <w:tcW w:w="1657" w:type="dxa"/>
          </w:tcPr>
          <w:p w:rsidR="002A1C1B" w:rsidP="002A1C1B" w14:paraId="54207A8D" w14:textId="786D8C1B">
            <w:r w:rsidRPr="003C6817">
              <w:t>25</w:t>
            </w:r>
          </w:p>
        </w:tc>
        <w:tc>
          <w:tcPr>
            <w:tcW w:w="1989" w:type="dxa"/>
          </w:tcPr>
          <w:p w:rsidR="002A1C1B" w:rsidP="002A1C1B" w14:paraId="7D0A5B5F" w14:textId="571B52CE">
            <w:r w:rsidRPr="003C6817">
              <w:t>4/60</w:t>
            </w:r>
          </w:p>
        </w:tc>
        <w:tc>
          <w:tcPr>
            <w:tcW w:w="1898" w:type="dxa"/>
          </w:tcPr>
          <w:p w:rsidR="002A1C1B" w:rsidP="002A1C1B" w14:paraId="116037C9" w14:textId="34562408">
            <w:r w:rsidRPr="003C6817">
              <w:t>2</w:t>
            </w:r>
          </w:p>
        </w:tc>
      </w:tr>
      <w:tr w14:paraId="257EEF07" w14:textId="77777777" w:rsidTr="00F42C57">
        <w:tblPrEx>
          <w:tblW w:w="10939" w:type="dxa"/>
          <w:tblLayout w:type="fixed"/>
          <w:tblLook w:val="01E0"/>
        </w:tblPrEx>
        <w:trPr>
          <w:trHeight w:val="262"/>
        </w:trPr>
        <w:tc>
          <w:tcPr>
            <w:tcW w:w="2858" w:type="dxa"/>
          </w:tcPr>
          <w:p w:rsidR="002A1C1B" w:rsidP="002A1C1B" w14:paraId="0DB7F384" w14:textId="0EAA0EF0">
            <w:r w:rsidRPr="003C6817">
              <w:t>Customer / Participant</w:t>
            </w:r>
          </w:p>
        </w:tc>
        <w:tc>
          <w:tcPr>
            <w:tcW w:w="2537" w:type="dxa"/>
          </w:tcPr>
          <w:p w:rsidR="002A1C1B" w:rsidP="002A1C1B" w14:paraId="6505C221" w14:textId="35C8B87E">
            <w:r w:rsidRPr="003C6817">
              <w:t xml:space="preserve">Post-Program Interview Discussion Guide </w:t>
            </w:r>
          </w:p>
        </w:tc>
        <w:tc>
          <w:tcPr>
            <w:tcW w:w="1657" w:type="dxa"/>
          </w:tcPr>
          <w:p w:rsidR="002A1C1B" w:rsidP="002A1C1B" w14:paraId="28F54827" w14:textId="5CEF2A71">
            <w:r w:rsidRPr="003C6817">
              <w:t>25</w:t>
            </w:r>
          </w:p>
        </w:tc>
        <w:tc>
          <w:tcPr>
            <w:tcW w:w="1989" w:type="dxa"/>
          </w:tcPr>
          <w:p w:rsidR="002A1C1B" w:rsidP="002A1C1B" w14:paraId="64DDC3AD" w14:textId="3FF0A4B5">
            <w:r w:rsidRPr="003C6817">
              <w:t>5/60</w:t>
            </w:r>
          </w:p>
        </w:tc>
        <w:tc>
          <w:tcPr>
            <w:tcW w:w="1898" w:type="dxa"/>
          </w:tcPr>
          <w:p w:rsidR="002A1C1B" w:rsidP="002A1C1B" w14:paraId="2AA8B6F0" w14:textId="21788853">
            <w:r w:rsidRPr="003C6817">
              <w:t>2</w:t>
            </w:r>
          </w:p>
        </w:tc>
      </w:tr>
      <w:tr w14:paraId="3A110FEE" w14:textId="77777777" w:rsidTr="00F42C57">
        <w:tblPrEx>
          <w:tblW w:w="10939" w:type="dxa"/>
          <w:tblLayout w:type="fixed"/>
          <w:tblLook w:val="01E0"/>
        </w:tblPrEx>
        <w:trPr>
          <w:trHeight w:val="276"/>
        </w:trPr>
        <w:tc>
          <w:tcPr>
            <w:tcW w:w="2858" w:type="dxa"/>
          </w:tcPr>
          <w:p w:rsidR="002A1C1B" w:rsidRPr="00512CA7" w:rsidP="002A1C1B" w14:paraId="11A4B138" w14:textId="6ABCEE92">
            <w:pPr>
              <w:rPr>
                <w:b/>
              </w:rPr>
            </w:pPr>
            <w:r w:rsidRPr="003C6817">
              <w:t>Totals</w:t>
            </w:r>
          </w:p>
        </w:tc>
        <w:tc>
          <w:tcPr>
            <w:tcW w:w="2537" w:type="dxa"/>
          </w:tcPr>
          <w:p w:rsidR="002A1C1B" w:rsidRPr="00512CA7" w:rsidP="002A1C1B" w14:paraId="762F645E" w14:textId="77777777">
            <w:pPr>
              <w:rPr>
                <w:b/>
              </w:rPr>
            </w:pPr>
          </w:p>
        </w:tc>
        <w:tc>
          <w:tcPr>
            <w:tcW w:w="1657" w:type="dxa"/>
          </w:tcPr>
          <w:p w:rsidR="002A1C1B" w:rsidRPr="00512CA7" w:rsidP="002A1C1B" w14:paraId="132A5EBD" w14:textId="7F4901CC">
            <w:pPr>
              <w:rPr>
                <w:b/>
              </w:rPr>
            </w:pPr>
            <w:r w:rsidRPr="003C6817">
              <w:t>125</w:t>
            </w:r>
          </w:p>
        </w:tc>
        <w:tc>
          <w:tcPr>
            <w:tcW w:w="1989" w:type="dxa"/>
          </w:tcPr>
          <w:p w:rsidR="002A1C1B" w:rsidP="002A1C1B" w14:paraId="5B814469" w14:textId="2ED6E785"/>
        </w:tc>
        <w:tc>
          <w:tcPr>
            <w:tcW w:w="1898" w:type="dxa"/>
          </w:tcPr>
          <w:p w:rsidR="002A1C1B" w:rsidRPr="00512CA7" w:rsidP="002A1C1B" w14:paraId="092A627D" w14:textId="1B5C5DEE">
            <w:pPr>
              <w:rPr>
                <w:b/>
              </w:rPr>
            </w:pPr>
            <w:r w:rsidRPr="003C6817">
              <w:t xml:space="preserve">8 hours </w:t>
            </w:r>
          </w:p>
        </w:tc>
      </w:tr>
    </w:tbl>
    <w:p w:rsidR="00B46F2C" w:rsidRPr="006832D9" w:rsidP="00F3170F" w14:paraId="0F6F775B" w14:textId="77777777">
      <w:pPr>
        <w:keepNext/>
        <w:keepLines/>
        <w:rPr>
          <w:b/>
        </w:rPr>
      </w:pPr>
    </w:p>
    <w:p w:rsidR="00B46F2C" w:rsidP="00F3170F" w14:paraId="545D4F2C" w14:textId="319D9E36">
      <w:r>
        <w:t># respondent * participation time</w:t>
      </w:r>
    </w:p>
    <w:p w:rsidR="00B46F2C" w:rsidP="00F3170F" w14:paraId="1AB33144" w14:textId="77777777"/>
    <w:p w:rsidR="00B46F2C" w14:paraId="6775AEDB" w14:textId="11C55A42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</w:t>
      </w:r>
      <w:r w:rsidR="007F3A27">
        <w:t xml:space="preserve">0 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6B50202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8576CA">
        <w:t>x</w:t>
      </w:r>
      <w:r>
        <w:t>]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194A2F5C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8576CA" w:rsidRPr="008576CA" w:rsidP="008576CA" w14:paraId="4E079C69" w14:textId="3790179A">
      <w:pPr>
        <w:pStyle w:val="ListParagraph"/>
        <w:numPr>
          <w:ilvl w:val="0"/>
          <w:numId w:val="20"/>
        </w:numPr>
        <w:rPr>
          <w:b/>
          <w:bCs/>
          <w:i/>
          <w:iCs/>
        </w:rPr>
      </w:pPr>
      <w:r w:rsidRPr="008576CA">
        <w:rPr>
          <w:b/>
          <w:bCs/>
          <w:i/>
          <w:iCs/>
        </w:rPr>
        <w:t>This will be for those who participate in the trainings.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77777777">
      <w:pPr>
        <w:ind w:left="720"/>
      </w:pPr>
      <w:r>
        <w:t xml:space="preserve">[  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5B244627">
      <w:pPr>
        <w:ind w:left="720"/>
      </w:pPr>
      <w:r>
        <w:t xml:space="preserve">[ </w:t>
      </w:r>
      <w:r w:rsidR="007F3A27">
        <w:t>x</w:t>
      </w:r>
      <w:r>
        <w:t xml:space="preserve">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7777777">
      <w:pPr>
        <w:ind w:left="720"/>
      </w:pPr>
      <w:r>
        <w:t>[  ] Other, Explain</w:t>
      </w:r>
    </w:p>
    <w:p w:rsidR="00B46F2C" w:rsidP="00F24CFC" w14:paraId="12FD5503" w14:textId="69969022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8576CA">
        <w:t>x</w:t>
      </w:r>
      <w:r>
        <w:t xml:space="preserve"> ] Yes [  ] No</w:t>
      </w:r>
    </w:p>
    <w:p w:rsidR="008576CA" w:rsidP="008576CA" w14:paraId="50245BBE" w14:textId="3F3CF876">
      <w:pPr>
        <w:pStyle w:val="ListParagraph"/>
        <w:numPr>
          <w:ilvl w:val="0"/>
          <w:numId w:val="20"/>
        </w:numPr>
      </w:pPr>
      <w:r>
        <w:t xml:space="preserve">Potential for focus group approach and/or small group discussion. 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4C18AB4B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76CA" w:rsidRPr="008576CA" w:rsidP="005955C3" w14:paraId="1B4D38FE" w14:textId="14F31402">
      <w:pPr>
        <w:pStyle w:val="ListParagraph"/>
        <w:rPr>
          <w:bCs/>
        </w:rPr>
      </w:pPr>
      <w:r>
        <w:t xml:space="preserve"> </w:t>
      </w:r>
    </w:p>
    <w:p w:rsidR="00CC3913" w:rsidP="0024521E" w14:paraId="3DDBD443" w14:textId="356AE7F4">
      <w:pPr>
        <w:rPr>
          <w:b/>
        </w:rPr>
      </w:pPr>
    </w:p>
    <w:p w:rsidR="00CC3913" w:rsidP="0024521E" w14:paraId="61515EC5" w14:textId="77777777">
      <w:pPr>
        <w:rPr>
          <w:b/>
        </w:rPr>
      </w:pP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3913" w14:paraId="4D2C64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4FC60D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3F1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3913" w14:paraId="334BE6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3913" w14:paraId="62ACC3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3913" w14:paraId="77E7E6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3913" w14:paraId="08A071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C8597C"/>
    <w:multiLevelType w:val="hybridMultilevel"/>
    <w:tmpl w:val="0360CF36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338072D"/>
    <w:multiLevelType w:val="hybridMultilevel"/>
    <w:tmpl w:val="D9BA7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310267">
    <w:abstractNumId w:val="11"/>
  </w:num>
  <w:num w:numId="2" w16cid:durableId="761880399">
    <w:abstractNumId w:val="18"/>
  </w:num>
  <w:num w:numId="3" w16cid:durableId="2123915549">
    <w:abstractNumId w:val="17"/>
  </w:num>
  <w:num w:numId="4" w16cid:durableId="1093820293">
    <w:abstractNumId w:val="19"/>
  </w:num>
  <w:num w:numId="5" w16cid:durableId="588928105">
    <w:abstractNumId w:val="3"/>
  </w:num>
  <w:num w:numId="6" w16cid:durableId="430975300">
    <w:abstractNumId w:val="1"/>
  </w:num>
  <w:num w:numId="7" w16cid:durableId="1489900714">
    <w:abstractNumId w:val="9"/>
  </w:num>
  <w:num w:numId="8" w16cid:durableId="1298221449">
    <w:abstractNumId w:val="14"/>
  </w:num>
  <w:num w:numId="9" w16cid:durableId="600919128">
    <w:abstractNumId w:val="10"/>
  </w:num>
  <w:num w:numId="10" w16cid:durableId="1377000998">
    <w:abstractNumId w:val="2"/>
  </w:num>
  <w:num w:numId="11" w16cid:durableId="1206866654">
    <w:abstractNumId w:val="6"/>
  </w:num>
  <w:num w:numId="12" w16cid:durableId="1900162950">
    <w:abstractNumId w:val="7"/>
  </w:num>
  <w:num w:numId="13" w16cid:durableId="1257708070">
    <w:abstractNumId w:val="0"/>
  </w:num>
  <w:num w:numId="14" w16cid:durableId="99448259">
    <w:abstractNumId w:val="16"/>
  </w:num>
  <w:num w:numId="15" w16cid:durableId="502016541">
    <w:abstractNumId w:val="13"/>
  </w:num>
  <w:num w:numId="16" w16cid:durableId="129055630">
    <w:abstractNumId w:val="12"/>
  </w:num>
  <w:num w:numId="17" w16cid:durableId="597373834">
    <w:abstractNumId w:val="4"/>
  </w:num>
  <w:num w:numId="18" w16cid:durableId="383875065">
    <w:abstractNumId w:val="5"/>
  </w:num>
  <w:num w:numId="19" w16cid:durableId="1482774816">
    <w:abstractNumId w:val="15"/>
  </w:num>
  <w:num w:numId="20" w16cid:durableId="1884707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63F6D"/>
    <w:rsid w:val="00067329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5236"/>
    <w:rsid w:val="00274D0B"/>
    <w:rsid w:val="002821FF"/>
    <w:rsid w:val="00291893"/>
    <w:rsid w:val="002A1C1B"/>
    <w:rsid w:val="002B3C95"/>
    <w:rsid w:val="002D0B92"/>
    <w:rsid w:val="002E52CD"/>
    <w:rsid w:val="003675DB"/>
    <w:rsid w:val="003859BC"/>
    <w:rsid w:val="00391BB4"/>
    <w:rsid w:val="003A4C87"/>
    <w:rsid w:val="003C4F49"/>
    <w:rsid w:val="003C6817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76EC"/>
    <w:rsid w:val="004A52CE"/>
    <w:rsid w:val="004D6E14"/>
    <w:rsid w:val="004E1C18"/>
    <w:rsid w:val="005009B0"/>
    <w:rsid w:val="00512CA7"/>
    <w:rsid w:val="005869E1"/>
    <w:rsid w:val="005955C3"/>
    <w:rsid w:val="005A1006"/>
    <w:rsid w:val="005A1B74"/>
    <w:rsid w:val="005A1ED9"/>
    <w:rsid w:val="005E714A"/>
    <w:rsid w:val="006140A0"/>
    <w:rsid w:val="00621E79"/>
    <w:rsid w:val="00636621"/>
    <w:rsid w:val="00642B49"/>
    <w:rsid w:val="00660A3F"/>
    <w:rsid w:val="006832D9"/>
    <w:rsid w:val="0069403B"/>
    <w:rsid w:val="006C11EF"/>
    <w:rsid w:val="006F3DDE"/>
    <w:rsid w:val="00704678"/>
    <w:rsid w:val="007425E7"/>
    <w:rsid w:val="00762D00"/>
    <w:rsid w:val="007B05B4"/>
    <w:rsid w:val="007F3A27"/>
    <w:rsid w:val="00802607"/>
    <w:rsid w:val="008101A5"/>
    <w:rsid w:val="00813AA6"/>
    <w:rsid w:val="00822664"/>
    <w:rsid w:val="00843796"/>
    <w:rsid w:val="008576CA"/>
    <w:rsid w:val="00891935"/>
    <w:rsid w:val="00895229"/>
    <w:rsid w:val="008F0203"/>
    <w:rsid w:val="008F50D4"/>
    <w:rsid w:val="009239AA"/>
    <w:rsid w:val="00935927"/>
    <w:rsid w:val="00935ADA"/>
    <w:rsid w:val="00946B6C"/>
    <w:rsid w:val="00955A71"/>
    <w:rsid w:val="0096108F"/>
    <w:rsid w:val="00975DBE"/>
    <w:rsid w:val="009C13B9"/>
    <w:rsid w:val="009D01A2"/>
    <w:rsid w:val="009F5923"/>
    <w:rsid w:val="00A403BB"/>
    <w:rsid w:val="00A674DF"/>
    <w:rsid w:val="00A83AA6"/>
    <w:rsid w:val="00AD3D72"/>
    <w:rsid w:val="00AE1809"/>
    <w:rsid w:val="00AE7189"/>
    <w:rsid w:val="00B011DE"/>
    <w:rsid w:val="00B159E5"/>
    <w:rsid w:val="00B46245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C008AA"/>
    <w:rsid w:val="00C14CC4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C3913"/>
    <w:rsid w:val="00CC6FAF"/>
    <w:rsid w:val="00CE7721"/>
    <w:rsid w:val="00D24698"/>
    <w:rsid w:val="00D614EE"/>
    <w:rsid w:val="00D6383F"/>
    <w:rsid w:val="00D71221"/>
    <w:rsid w:val="00D73A5D"/>
    <w:rsid w:val="00DB59D0"/>
    <w:rsid w:val="00DC33D3"/>
    <w:rsid w:val="00E02391"/>
    <w:rsid w:val="00E252F3"/>
    <w:rsid w:val="00E26329"/>
    <w:rsid w:val="00E40B50"/>
    <w:rsid w:val="00E50293"/>
    <w:rsid w:val="00E57B71"/>
    <w:rsid w:val="00E65FFC"/>
    <w:rsid w:val="00E70F6D"/>
    <w:rsid w:val="00E80951"/>
    <w:rsid w:val="00E854FE"/>
    <w:rsid w:val="00E86CC6"/>
    <w:rsid w:val="00EB56B3"/>
    <w:rsid w:val="00EC408C"/>
    <w:rsid w:val="00ED6492"/>
    <w:rsid w:val="00EF2095"/>
    <w:rsid w:val="00EF484B"/>
    <w:rsid w:val="00F025A5"/>
    <w:rsid w:val="00F06866"/>
    <w:rsid w:val="00F121F6"/>
    <w:rsid w:val="00F132BA"/>
    <w:rsid w:val="00F15956"/>
    <w:rsid w:val="00F24CFC"/>
    <w:rsid w:val="00F3170F"/>
    <w:rsid w:val="00F3472B"/>
    <w:rsid w:val="00F4017B"/>
    <w:rsid w:val="00F42C57"/>
    <w:rsid w:val="00F54F1F"/>
    <w:rsid w:val="00F60CA9"/>
    <w:rsid w:val="00F73F18"/>
    <w:rsid w:val="00F976B0"/>
    <w:rsid w:val="00FA6DE7"/>
    <w:rsid w:val="00FC0A8E"/>
    <w:rsid w:val="00FD6D92"/>
    <w:rsid w:val="00FE2FA6"/>
    <w:rsid w:val="00FE3DF2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11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1D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1DE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B5C6-C94A-495F-AC70-D47FFEE8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Neiman, Andrea (CDC/OD/OADPS)</cp:lastModifiedBy>
  <cp:revision>3</cp:revision>
  <cp:lastPrinted>2019-03-29T13:58:00Z</cp:lastPrinted>
  <dcterms:created xsi:type="dcterms:W3CDTF">2023-01-19T20:12:00Z</dcterms:created>
  <dcterms:modified xsi:type="dcterms:W3CDTF">2023-01-20T06:57:00Z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4a961b58-d748-40c1-b003-c79e6390c743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2022-10-11T17:21:34Z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