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40995" w:rsidRPr="00540995" w14:paraId="25E563B2" w14:textId="3C186423">
      <w:pPr>
        <w:rPr>
          <w:b/>
          <w:bCs/>
        </w:rPr>
      </w:pPr>
      <w:r w:rsidRPr="00540995">
        <w:rPr>
          <w:b/>
          <w:bCs/>
        </w:rPr>
        <w:t xml:space="preserve">DOH </w:t>
      </w:r>
      <w:r w:rsidR="00E006CA">
        <w:rPr>
          <w:b/>
          <w:bCs/>
        </w:rPr>
        <w:t>TA Satisfaction</w:t>
      </w:r>
      <w:r w:rsidRPr="00540995">
        <w:rPr>
          <w:b/>
          <w:bCs/>
        </w:rPr>
        <w:t xml:space="preserve"> </w:t>
      </w:r>
      <w:r w:rsidR="00E006CA">
        <w:rPr>
          <w:b/>
          <w:bCs/>
        </w:rPr>
        <w:t>Survey Process Flow</w:t>
      </w:r>
      <w:r w:rsidRPr="00540995">
        <w:rPr>
          <w:b/>
          <w:bCs/>
        </w:rPr>
        <w:t xml:space="preserve"> </w:t>
      </w:r>
      <w:r w:rsidR="00E006CA">
        <w:rPr>
          <w:b/>
          <w:bCs/>
        </w:rPr>
        <w:t>M</w:t>
      </w:r>
      <w:r w:rsidRPr="00540995">
        <w:rPr>
          <w:b/>
          <w:bCs/>
        </w:rPr>
        <w:t>ockup</w:t>
      </w:r>
    </w:p>
    <w:p w:rsidR="008C2CE1" w14:paraId="7F98822D" w14:textId="31A5A657">
      <w:r w:rsidRPr="00D5642B">
        <w:rPr>
          <w:b/>
          <w:bCs/>
          <w:i/>
          <w:iCs/>
        </w:rPr>
        <w:t>Step 1:</w:t>
      </w:r>
      <w:r>
        <w:t xml:space="preserve"> </w:t>
      </w:r>
      <w:r w:rsidR="00E006CA">
        <w:t>Once a T</w:t>
      </w:r>
      <w:r w:rsidR="00F82F34">
        <w:t>echnical Assistance</w:t>
      </w:r>
      <w:r w:rsidR="00E006CA">
        <w:t xml:space="preserve"> </w:t>
      </w:r>
      <w:r w:rsidR="00F82F34">
        <w:t>C</w:t>
      </w:r>
      <w:r w:rsidR="00E006CA">
        <w:t xml:space="preserve">ase is closed, </w:t>
      </w:r>
      <w:r w:rsidR="000D11CE">
        <w:t xml:space="preserve">the recipient will receive </w:t>
      </w:r>
      <w:r w:rsidR="000550FB">
        <w:t xml:space="preserve">an </w:t>
      </w:r>
      <w:r w:rsidR="00F82F34">
        <w:t>email with a link</w:t>
      </w:r>
      <w:r w:rsidR="000D11CE">
        <w:t xml:space="preserve"> to </w:t>
      </w:r>
      <w:r w:rsidR="00F82F34">
        <w:t>submit a Satisfaction Survey.</w:t>
      </w:r>
      <w:r w:rsidR="00E006CA">
        <w:t xml:space="preserve"> </w:t>
      </w:r>
    </w:p>
    <w:p w:rsidR="001C40C0" w:rsidRPr="001C40C0" w14:paraId="32CC9509" w14:textId="23255D82">
      <w:pPr>
        <w:rPr>
          <w:b/>
          <w:bCs/>
        </w:rPr>
      </w:pPr>
      <w:r>
        <w:br/>
      </w:r>
      <w:r w:rsidRPr="001C40C0">
        <w:rPr>
          <w:b/>
          <w:bCs/>
        </w:rPr>
        <w:t xml:space="preserve">Text </w:t>
      </w:r>
      <w:r>
        <w:rPr>
          <w:b/>
          <w:bCs/>
        </w:rPr>
        <w:t>of</w:t>
      </w:r>
      <w:r w:rsidRPr="001C40C0">
        <w:rPr>
          <w:b/>
          <w:bCs/>
        </w:rPr>
        <w:t xml:space="preserve"> email</w:t>
      </w:r>
      <w:r>
        <w:rPr>
          <w:b/>
          <w:bCs/>
        </w:rPr>
        <w:t xml:space="preserve"> with link to survey</w:t>
      </w:r>
      <w:r w:rsidRPr="001C40C0">
        <w:rPr>
          <w:b/>
          <w:bCs/>
        </w:rPr>
        <w:t>:</w:t>
      </w:r>
    </w:p>
    <w:p w:rsidR="001C40C0" w:rsidRPr="001C40C0" w:rsidP="001C40C0" w14:paraId="63961D7F" w14:textId="77777777">
      <w:r w:rsidRPr="001C40C0">
        <w:t>Hello,</w:t>
      </w:r>
    </w:p>
    <w:p w:rsidR="001C40C0" w:rsidRPr="001C40C0" w:rsidP="001C40C0" w14:paraId="5CE51747" w14:textId="79A88F90">
      <w:r w:rsidRPr="001C40C0">
        <w:t>A Technical Assistance provider recently closed your Technical Assistance case.</w:t>
      </w:r>
    </w:p>
    <w:p w:rsidR="001C40C0" w:rsidRPr="001C40C0" w:rsidP="001C40C0" w14:paraId="2CAAB2C8" w14:textId="6AA7479B">
      <w:r w:rsidRPr="001C40C0">
        <w:t>Please take a moment to</w:t>
      </w:r>
      <w:r w:rsidR="004845C2">
        <w:t xml:space="preserve"> tell us about your Technical Assistance experience </w:t>
      </w:r>
      <w:r w:rsidRPr="001C40C0">
        <w:t>by clicking on the link below</w:t>
      </w:r>
      <w:r w:rsidR="00AB792D">
        <w:t>.</w:t>
      </w:r>
      <w:r w:rsidR="00636A2F">
        <w:t xml:space="preserve"> </w:t>
      </w:r>
      <w:r w:rsidRPr="00636A2F" w:rsidR="00636A2F">
        <w:t xml:space="preserve">Survey responses will be </w:t>
      </w:r>
      <w:r w:rsidR="00636A2F">
        <w:t xml:space="preserve">visible to the Division of Oral Health Program Services Team </w:t>
      </w:r>
      <w:r w:rsidRPr="00636A2F" w:rsidR="00636A2F">
        <w:t xml:space="preserve">and not national partners. </w:t>
      </w:r>
      <w:r w:rsidR="00AB792D">
        <w:t xml:space="preserve"> </w:t>
      </w:r>
      <w:r w:rsidR="00944474">
        <w:t>C</w:t>
      </w:r>
      <w:r w:rsidR="0081267A">
        <w:t xml:space="preserve">ompleting </w:t>
      </w:r>
      <w:r w:rsidR="00944474">
        <w:t>the survey</w:t>
      </w:r>
      <w:r w:rsidR="00AB792D">
        <w:t xml:space="preserve"> is optional.</w:t>
      </w:r>
    </w:p>
    <w:p w:rsidR="001C40C0" w:rsidRPr="001C40C0" w:rsidP="001C40C0" w14:paraId="36281567" w14:textId="77777777">
      <w:pPr>
        <w:rPr>
          <w:color w:val="FF0000"/>
        </w:rPr>
      </w:pPr>
      <w:r w:rsidRPr="001C40C0">
        <w:rPr>
          <w:color w:val="FF0000"/>
        </w:rPr>
        <w:t>[Link to survey will be here]</w:t>
      </w:r>
    </w:p>
    <w:p w:rsidR="001C40C0" w:rsidRPr="001C40C0" w:rsidP="001C40C0" w14:paraId="6C699776" w14:textId="77777777">
      <w:r w:rsidRPr="001C40C0">
        <w:t xml:space="preserve">Case Number: </w:t>
      </w:r>
      <w:r w:rsidRPr="001C40C0">
        <w:rPr>
          <w:color w:val="FF0000"/>
        </w:rPr>
        <w:t>Case Number will appear here</w:t>
      </w:r>
    </w:p>
    <w:p w:rsidR="001C40C0" w:rsidRPr="001C40C0" w:rsidP="001C40C0" w14:paraId="3C334D16" w14:textId="77777777">
      <w:r w:rsidRPr="001C40C0">
        <w:t xml:space="preserve">Subject: </w:t>
      </w:r>
      <w:r w:rsidRPr="001C40C0">
        <w:rPr>
          <w:color w:val="FF0000"/>
        </w:rPr>
        <w:t>Subject of case will appear here</w:t>
      </w:r>
    </w:p>
    <w:p w:rsidR="001C40C0" w:rsidRPr="001C40C0" w:rsidP="001C40C0" w14:paraId="69306B03" w14:textId="77777777">
      <w:r w:rsidRPr="001C40C0">
        <w:t>TA Provider(s): (</w:t>
      </w:r>
      <w:r w:rsidRPr="001C40C0">
        <w:rPr>
          <w:color w:val="FF0000"/>
        </w:rPr>
        <w:t>TA providers for the case will be listed here</w:t>
      </w:r>
      <w:r w:rsidRPr="001C40C0">
        <w:t>)</w:t>
      </w:r>
    </w:p>
    <w:p w:rsidR="001C40C0" w:rsidRPr="001C40C0" w:rsidP="001C40C0" w14:paraId="24E17DEC" w14:textId="77777777"/>
    <w:p w:rsidR="001C40C0" w:rsidRPr="001C40C0" w:rsidP="001C40C0" w14:paraId="4001359C" w14:textId="2E72F63A">
      <w:r w:rsidRPr="001C40C0">
        <w:t xml:space="preserve">We appreciate your response. </w:t>
      </w:r>
    </w:p>
    <w:p w:rsidR="00142DDE" w:rsidP="001C40C0" w14:paraId="60D58A85" w14:textId="0B5CDEA6">
      <w:r>
        <w:t>Thank you,</w:t>
      </w:r>
    </w:p>
    <w:p w:rsidR="001C40C0" w:rsidRPr="001C40C0" w:rsidP="001C40C0" w14:paraId="04F834D3" w14:textId="21AC0F59">
      <w:r>
        <w:t xml:space="preserve">Division of Oral Health </w:t>
      </w:r>
      <w:r w:rsidRPr="001C40C0">
        <w:t>Program Service</w:t>
      </w:r>
      <w:r>
        <w:t>s</w:t>
      </w:r>
      <w:r w:rsidRPr="001C40C0">
        <w:t xml:space="preserve"> Team</w:t>
      </w:r>
    </w:p>
    <w:p w:rsidR="001C40C0" w14:paraId="134FE3EF" w14:textId="7AE7F4A1"/>
    <w:p w:rsidR="001C40C0" w:rsidP="001C40C0" w14:paraId="35BC9136" w14:textId="079C5A4F">
      <w:r w:rsidRPr="00D5642B">
        <w:rPr>
          <w:b/>
          <w:bCs/>
          <w:i/>
          <w:iCs/>
        </w:rPr>
        <w:t xml:space="preserve">Step </w:t>
      </w:r>
      <w:r>
        <w:rPr>
          <w:b/>
          <w:bCs/>
          <w:i/>
          <w:iCs/>
        </w:rPr>
        <w:t>2</w:t>
      </w:r>
      <w:r w:rsidRPr="00D5642B">
        <w:rPr>
          <w:b/>
          <w:bCs/>
          <w:i/>
          <w:iCs/>
        </w:rPr>
        <w:t>:</w:t>
      </w:r>
      <w:r>
        <w:t xml:space="preserve"> Once a recipient follows the survey link, they will be taken to the survey. </w:t>
      </w:r>
    </w:p>
    <w:p w:rsidR="00B62B56" w:rsidRPr="00F82F34" w14:paraId="4A7538C2" w14:textId="07477E4D">
      <w:r>
        <w:rPr>
          <w:noProof/>
        </w:rPr>
        <w:drawing>
          <wp:inline distT="0" distB="0" distL="0" distR="0">
            <wp:extent cx="5708774" cy="2693406"/>
            <wp:effectExtent l="19050" t="19050" r="2540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673" cy="2697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E4569" w14:paraId="640B2D58" w14:textId="2521995A">
      <w:r w:rsidRPr="00D5642B">
        <w:rPr>
          <w:b/>
          <w:bCs/>
          <w:i/>
          <w:iCs/>
        </w:rPr>
        <w:t xml:space="preserve">Step </w:t>
      </w:r>
      <w:r w:rsidR="001C40C0">
        <w:rPr>
          <w:b/>
          <w:bCs/>
          <w:i/>
          <w:iCs/>
        </w:rPr>
        <w:t>3</w:t>
      </w:r>
      <w:r w:rsidRPr="00D5642B">
        <w:rPr>
          <w:b/>
          <w:bCs/>
          <w:i/>
          <w:iCs/>
        </w:rPr>
        <w:t>:</w:t>
      </w:r>
      <w:r>
        <w:t xml:space="preserve"> </w:t>
      </w:r>
      <w:r w:rsidR="00F82F34">
        <w:t>Recipients</w:t>
      </w:r>
      <w:r>
        <w:t xml:space="preserve"> will </w:t>
      </w:r>
      <w:r>
        <w:t xml:space="preserve">select one </w:t>
      </w:r>
      <w:r w:rsidR="00F82F34">
        <w:t>of the</w:t>
      </w:r>
      <w:r w:rsidR="00A46A50">
        <w:t xml:space="preserve"> following</w:t>
      </w:r>
      <w:r w:rsidR="00F82F34">
        <w:t xml:space="preserve"> </w:t>
      </w:r>
      <w:r>
        <w:t>options</w:t>
      </w:r>
      <w:r w:rsidR="003C5446">
        <w:t xml:space="preserve"> regarding their Technical Assistance experience</w:t>
      </w:r>
      <w:r w:rsidR="00F82F34">
        <w:t>:</w:t>
      </w:r>
    </w:p>
    <w:p w:rsidR="00A46A50" w:rsidP="00A46A50" w14:paraId="567AA78A" w14:textId="77777777">
      <w:pPr>
        <w:pStyle w:val="ListParagraph"/>
        <w:numPr>
          <w:ilvl w:val="0"/>
          <w:numId w:val="1"/>
        </w:numPr>
      </w:pPr>
      <w:r>
        <w:t>My TA needs were met</w:t>
      </w:r>
    </w:p>
    <w:p w:rsidR="00AE4569" w:rsidP="00AE4569" w14:paraId="084A09BF" w14:textId="4CAFC823">
      <w:pPr>
        <w:pStyle w:val="ListParagraph"/>
        <w:numPr>
          <w:ilvl w:val="0"/>
          <w:numId w:val="1"/>
        </w:numPr>
      </w:pPr>
      <w:r>
        <w:t>My TA needs were somewhat met</w:t>
      </w:r>
    </w:p>
    <w:p w:rsidR="00AE4569" w:rsidP="00AE4569" w14:paraId="15898A65" w14:textId="77777777">
      <w:pPr>
        <w:pStyle w:val="ListParagraph"/>
        <w:numPr>
          <w:ilvl w:val="0"/>
          <w:numId w:val="1"/>
        </w:numPr>
      </w:pPr>
      <w:r>
        <w:t>My TA needs were not met</w:t>
      </w:r>
    </w:p>
    <w:p w:rsidR="00F82F34" w:rsidP="00477D27" w14:paraId="49B705DA" w14:textId="33C5E4BC">
      <w:pPr>
        <w:ind w:left="360"/>
      </w:pPr>
      <w:r>
        <w:t xml:space="preserve">Users can also add </w:t>
      </w:r>
      <w:r w:rsidR="006546AE">
        <w:t xml:space="preserve">additional comments or suggestions </w:t>
      </w:r>
      <w:r>
        <w:t xml:space="preserve">in </w:t>
      </w:r>
      <w:r w:rsidRPr="00F82F34">
        <w:t xml:space="preserve">text </w:t>
      </w:r>
      <w:r>
        <w:t>box</w:t>
      </w:r>
      <w:r w:rsidR="00477D27">
        <w:t xml:space="preserve"> and then </w:t>
      </w:r>
      <w:r w:rsidRPr="00477D27" w:rsidR="00477D27">
        <w:rPr>
          <w:b/>
          <w:bCs/>
        </w:rPr>
        <w:t>S</w:t>
      </w:r>
      <w:r>
        <w:rPr>
          <w:b/>
          <w:bCs/>
        </w:rPr>
        <w:t xml:space="preserve">ubmit </w:t>
      </w:r>
      <w:r w:rsidR="00477D27">
        <w:t xml:space="preserve">the </w:t>
      </w:r>
      <w:r>
        <w:t>survey</w:t>
      </w:r>
      <w:r w:rsidR="00477D27">
        <w:t>.</w:t>
      </w:r>
    </w:p>
    <w:p w:rsidR="00F82F34" w:rsidP="00477D27" w14:paraId="79AA870E" w14:textId="26C363F7">
      <w:pPr>
        <w:ind w:left="360"/>
      </w:pPr>
      <w:r>
        <w:rPr>
          <w:noProof/>
        </w:rPr>
        <w:drawing>
          <wp:inline distT="0" distB="0" distL="0" distR="0">
            <wp:extent cx="5834016" cy="1507744"/>
            <wp:effectExtent l="19050" t="19050" r="14605" b="16510"/>
            <wp:docPr id="7" name="Picture 7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837" cy="15097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5642B" w:rsidP="00A24CF5" w14:paraId="3EF40EDF" w14:textId="4F8607F1">
      <w:r w:rsidRPr="00A24CF5">
        <w:rPr>
          <w:b/>
          <w:bCs/>
          <w:i/>
          <w:iCs/>
        </w:rPr>
        <w:t>Note:</w:t>
      </w:r>
      <w:r w:rsidR="00477D27">
        <w:t xml:space="preserve"> </w:t>
      </w:r>
      <w:r>
        <w:t xml:space="preserve">Survey </w:t>
      </w:r>
      <w:r>
        <w:t>responses</w:t>
      </w:r>
      <w:r>
        <w:t xml:space="preserve"> will be visible only to internal CDC users</w:t>
      </w:r>
      <w:r w:rsidR="00142DDE">
        <w:t xml:space="preserve"> and</w:t>
      </w:r>
      <w:r>
        <w:t xml:space="preserve"> not </w:t>
      </w:r>
      <w:r w:rsidR="00142DDE">
        <w:t>n</w:t>
      </w:r>
      <w:r>
        <w:t xml:space="preserve">ational </w:t>
      </w:r>
      <w:r w:rsidR="00142DDE">
        <w:t>p</w:t>
      </w:r>
      <w:r>
        <w:t xml:space="preserve">artners. </w:t>
      </w:r>
    </w:p>
    <w:p w:rsidR="00332FB2" w:rsidP="00A24CF5" w14:paraId="63EB9771" w14:textId="0ED4F089"/>
    <w:p w:rsidR="00332FB2" w:rsidP="00A24CF5" w14:paraId="1A1C651B" w14:textId="12C00B2C">
      <w:r w:rsidRPr="00A24CF5">
        <w:rPr>
          <w:b/>
          <w:bCs/>
          <w:i/>
          <w:iCs/>
        </w:rPr>
        <w:t>Note:</w:t>
      </w: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216877</wp:posOffset>
            </wp:positionH>
            <wp:positionV relativeFrom="paragraph">
              <wp:posOffset>323606</wp:posOffset>
            </wp:positionV>
            <wp:extent cx="5902569" cy="1505912"/>
            <wp:effectExtent l="19050" t="19050" r="22225" b="184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569" cy="150591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t xml:space="preserve">If a person does not submit a </w:t>
      </w:r>
      <w:r w:rsidR="00976122">
        <w:t>response,</w:t>
      </w:r>
      <w:r>
        <w:t xml:space="preserve"> they will see the following screen.</w:t>
      </w:r>
    </w:p>
    <w:p w:rsidR="00332FB2" w:rsidP="00A24CF5" w14:paraId="45FC68D7" w14:textId="5AD376F1"/>
    <w:p w:rsidR="00540995" w14:paraId="4BCD0BC0" w14:textId="03E2FBF3"/>
    <w:p w:rsidR="00540995" w:rsidP="00D5642B" w14:paraId="6D136D50" w14:textId="3F194360">
      <w:pPr>
        <w:ind w:firstLine="720"/>
      </w:pPr>
    </w:p>
    <w:p w:rsidR="00477D27" w:rsidP="00477D27" w14:paraId="230F8958" w14:textId="374CD3DB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C55F85"/>
    <w:multiLevelType w:val="hybridMultilevel"/>
    <w:tmpl w:val="10363D86"/>
    <w:lvl w:ilvl="0">
      <w:start w:val="6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A5A2D"/>
    <w:multiLevelType w:val="hybridMultilevel"/>
    <w:tmpl w:val="C372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95"/>
    <w:rsid w:val="0000593E"/>
    <w:rsid w:val="00012D03"/>
    <w:rsid w:val="000243DF"/>
    <w:rsid w:val="000550FB"/>
    <w:rsid w:val="00066D16"/>
    <w:rsid w:val="000D11CE"/>
    <w:rsid w:val="0012474B"/>
    <w:rsid w:val="00142DDE"/>
    <w:rsid w:val="001515CE"/>
    <w:rsid w:val="001C40C0"/>
    <w:rsid w:val="0026481C"/>
    <w:rsid w:val="002C2E59"/>
    <w:rsid w:val="002E1CA2"/>
    <w:rsid w:val="00315F19"/>
    <w:rsid w:val="00332FB2"/>
    <w:rsid w:val="00341EF1"/>
    <w:rsid w:val="003870D3"/>
    <w:rsid w:val="003C5446"/>
    <w:rsid w:val="00462142"/>
    <w:rsid w:val="004779EE"/>
    <w:rsid w:val="00477D27"/>
    <w:rsid w:val="004845C2"/>
    <w:rsid w:val="00511CF7"/>
    <w:rsid w:val="00540995"/>
    <w:rsid w:val="0054644D"/>
    <w:rsid w:val="005603E3"/>
    <w:rsid w:val="005C5632"/>
    <w:rsid w:val="005F4D93"/>
    <w:rsid w:val="00632C72"/>
    <w:rsid w:val="00636A2F"/>
    <w:rsid w:val="006546AE"/>
    <w:rsid w:val="00667CC8"/>
    <w:rsid w:val="00684BE8"/>
    <w:rsid w:val="0081267A"/>
    <w:rsid w:val="00831647"/>
    <w:rsid w:val="00857F46"/>
    <w:rsid w:val="00865296"/>
    <w:rsid w:val="008C2CE1"/>
    <w:rsid w:val="008C5819"/>
    <w:rsid w:val="008E007F"/>
    <w:rsid w:val="0090373B"/>
    <w:rsid w:val="00927E48"/>
    <w:rsid w:val="00944474"/>
    <w:rsid w:val="00976122"/>
    <w:rsid w:val="009D5F46"/>
    <w:rsid w:val="00A22BB6"/>
    <w:rsid w:val="00A24CF5"/>
    <w:rsid w:val="00A278B9"/>
    <w:rsid w:val="00A46A50"/>
    <w:rsid w:val="00A61C79"/>
    <w:rsid w:val="00AB792D"/>
    <w:rsid w:val="00AE4569"/>
    <w:rsid w:val="00B34D0E"/>
    <w:rsid w:val="00B62B56"/>
    <w:rsid w:val="00B77291"/>
    <w:rsid w:val="00C750E3"/>
    <w:rsid w:val="00C82C02"/>
    <w:rsid w:val="00C83358"/>
    <w:rsid w:val="00CB05E0"/>
    <w:rsid w:val="00D5642B"/>
    <w:rsid w:val="00DA5A2D"/>
    <w:rsid w:val="00DC49D1"/>
    <w:rsid w:val="00E006CA"/>
    <w:rsid w:val="00E93D0B"/>
    <w:rsid w:val="00F239A7"/>
    <w:rsid w:val="00F568FF"/>
    <w:rsid w:val="00F5755E"/>
    <w:rsid w:val="00F71CD1"/>
    <w:rsid w:val="00F82F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1E5F0A"/>
  <w15:chartTrackingRefBased/>
  <w15:docId w15:val="{5D53486B-D29D-47C8-AB0A-89C32B7B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3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9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Chand, Saurabh</dc:creator>
  <cp:lastModifiedBy>Turay, Khadija (CDC/DDNID/NCCDPHP/DOH)</cp:lastModifiedBy>
  <cp:revision>3</cp:revision>
  <dcterms:created xsi:type="dcterms:W3CDTF">2022-10-31T17:41:00Z</dcterms:created>
  <dcterms:modified xsi:type="dcterms:W3CDTF">2022-10-31T17:43:00Z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01e4a15a-275a-4d71-9b7b-7e294cc8ac0a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2022-09-27T23:31:08Z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ea60d57e-af5b-4752-ac57-3e4f28ca11dc_ActionId">
    <vt:lpwstr>47202307-43d2-4f2f-b40e-c1ab9e5d0b02</vt:lpwstr>
  </property>
  <property fmtid="{D5CDD505-2E9C-101B-9397-08002B2CF9AE}" pid="10" name="MSIP_Label_ea60d57e-af5b-4752-ac57-3e4f28ca11dc_ContentBits">
    <vt:lpwstr>0</vt:lpwstr>
  </property>
  <property fmtid="{D5CDD505-2E9C-101B-9397-08002B2CF9AE}" pid="11" name="MSIP_Label_ea60d57e-af5b-4752-ac57-3e4f28ca11dc_Enabled">
    <vt:lpwstr>true</vt:lpwstr>
  </property>
  <property fmtid="{D5CDD505-2E9C-101B-9397-08002B2CF9AE}" pid="12" name="MSIP_Label_ea60d57e-af5b-4752-ac57-3e4f28ca11dc_Method">
    <vt:lpwstr>Standard</vt:lpwstr>
  </property>
  <property fmtid="{D5CDD505-2E9C-101B-9397-08002B2CF9AE}" pid="13" name="MSIP_Label_ea60d57e-af5b-4752-ac57-3e4f28ca11dc_Name">
    <vt:lpwstr>ea60d57e-af5b-4752-ac57-3e4f28ca11dc</vt:lpwstr>
  </property>
  <property fmtid="{D5CDD505-2E9C-101B-9397-08002B2CF9AE}" pid="14" name="MSIP_Label_ea60d57e-af5b-4752-ac57-3e4f28ca11dc_SetDate">
    <vt:lpwstr>2022-06-08T04:59:04Z</vt:lpwstr>
  </property>
  <property fmtid="{D5CDD505-2E9C-101B-9397-08002B2CF9AE}" pid="15" name="MSIP_Label_ea60d57e-af5b-4752-ac57-3e4f28ca11dc_SiteId">
    <vt:lpwstr>36da45f1-dd2c-4d1f-af13-5abe46b99921</vt:lpwstr>
  </property>
</Properties>
</file>