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10F1450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D70B8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04CE911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7816363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03A1BE2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29F3BCF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4DCEA83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116ED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61C6700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7A0B40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0C18813B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116ED9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bookmarkStart w:id="0" w:name="_Hlk116652776"/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  <w:bookmarkEnd w:id="0"/>
          </w:p>
          <w:p w:rsidR="00145293" w14:paraId="19592842" w14:textId="3F2B8BF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F03A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:rsidRPr="0061217A" w14:paraId="0C6A3ACE" w14:textId="32621B77">
            <w:pPr>
              <w:widowControl w:val="0"/>
              <w:rPr>
                <w:sz w:val="22"/>
                <w:szCs w:val="22"/>
              </w:rPr>
            </w:pPr>
            <w:r w:rsidRPr="0061217A">
              <w:rPr>
                <w:sz w:val="22"/>
                <w:szCs w:val="22"/>
              </w:rPr>
              <w:t xml:space="preserve">Data </w:t>
            </w:r>
            <w:r w:rsidRPr="0061217A"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Pr="0061217A" w:rsidR="00450CC2">
              <w:rPr>
                <w:sz w:val="22"/>
                <w:szCs w:val="22"/>
              </w:rPr>
              <w:t xml:space="preserve">for the purpose of program evaluation, </w:t>
            </w:r>
            <w:r w:rsidRPr="0061217A" w:rsidR="00E252F3">
              <w:rPr>
                <w:sz w:val="22"/>
                <w:szCs w:val="22"/>
              </w:rPr>
              <w:t xml:space="preserve">for </w:t>
            </w:r>
            <w:r w:rsidRPr="0061217A" w:rsidR="00450CC2">
              <w:rPr>
                <w:sz w:val="22"/>
                <w:szCs w:val="22"/>
              </w:rPr>
              <w:t xml:space="preserve">surveillance, </w:t>
            </w:r>
            <w:r w:rsidRPr="0061217A" w:rsidR="00E252F3">
              <w:rPr>
                <w:sz w:val="22"/>
                <w:szCs w:val="22"/>
              </w:rPr>
              <w:t xml:space="preserve">for </w:t>
            </w:r>
            <w:r w:rsidRPr="0061217A" w:rsidR="000F6D85">
              <w:rPr>
                <w:sz w:val="22"/>
                <w:szCs w:val="22"/>
              </w:rPr>
              <w:t xml:space="preserve">program </w:t>
            </w:r>
            <w:r w:rsidRPr="0061217A" w:rsidR="00450CC2">
              <w:rPr>
                <w:sz w:val="22"/>
                <w:szCs w:val="22"/>
              </w:rPr>
              <w:t xml:space="preserve">needs assessment, or </w:t>
            </w:r>
            <w:r w:rsidRPr="0061217A" w:rsidR="00E252F3">
              <w:rPr>
                <w:sz w:val="22"/>
                <w:szCs w:val="22"/>
              </w:rPr>
              <w:t xml:space="preserve">for </w:t>
            </w:r>
            <w:r w:rsidRPr="0061217A" w:rsidR="00450CC2">
              <w:rPr>
                <w:sz w:val="22"/>
                <w:szCs w:val="22"/>
              </w:rPr>
              <w:t>research</w:t>
            </w:r>
            <w:r w:rsidRPr="0061217A" w:rsidR="003C4F49">
              <w:rPr>
                <w:sz w:val="22"/>
                <w:szCs w:val="22"/>
              </w:rPr>
              <w:t>.</w:t>
            </w:r>
            <w:r w:rsidRPr="0061217A" w:rsidR="00450CC2">
              <w:rPr>
                <w:sz w:val="22"/>
                <w:szCs w:val="22"/>
              </w:rPr>
              <w:t xml:space="preserve"> </w:t>
            </w:r>
          </w:p>
          <w:p w:rsidR="00145293" w:rsidRPr="0061217A" w14:paraId="625EA79B" w14:textId="122C8063">
            <w:pPr>
              <w:widowControl w:val="0"/>
              <w:rPr>
                <w:sz w:val="22"/>
                <w:szCs w:val="22"/>
              </w:rPr>
            </w:pPr>
            <w:r w:rsidRPr="0061217A">
              <w:rPr>
                <w:rFonts w:eastAsiaTheme="minorHAnsi"/>
                <w:sz w:val="22"/>
                <w:szCs w:val="22"/>
              </w:rPr>
              <w:t>[  ]</w:t>
            </w:r>
            <w:r w:rsidRPr="0061217A"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61217A">
              <w:rPr>
                <w:rFonts w:eastAsiaTheme="minorHAnsi"/>
                <w:sz w:val="22"/>
                <w:szCs w:val="22"/>
              </w:rPr>
              <w:t>X</w:t>
            </w:r>
            <w:r w:rsidRPr="0061217A"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bookmarkStart w:id="1" w:name="_Hlk116652810"/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  <w:bookmarkEnd w:id="1"/>
          </w:p>
          <w:p w:rsidR="00FD6D92" w:rsidRPr="003C4F49" w:rsidP="003C4F49" w14:paraId="71699EB3" w14:textId="57697C33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B91946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453087" w:rsidP="00434E33" w14:paraId="5A22C675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</w:t>
      </w:r>
    </w:p>
    <w:p w:rsidR="00453087" w:rsidP="00434E33" w14:paraId="2472C2E6" w14:textId="77777777"/>
    <w:p w:rsidR="00B46F2C" w:rsidRPr="009239AA" w:rsidP="00434E33" w14:paraId="6D607A79" w14:textId="3EF6A029">
      <w:pPr>
        <w:rPr>
          <w:b/>
        </w:rPr>
      </w:pPr>
      <w:r>
        <w:t xml:space="preserve">Epi Info™ User </w:t>
      </w:r>
      <w:r w:rsidR="00EA0FC1">
        <w:t>Survey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:rsidRPr="00D53428" w:rsidP="00434E33" w14:paraId="53CD42CA" w14:textId="07336794">
      <w:pPr>
        <w:pStyle w:val="Header"/>
        <w:tabs>
          <w:tab w:val="clear" w:pos="4320"/>
          <w:tab w:val="clear" w:pos="8640"/>
        </w:tabs>
        <w:rPr>
          <w:bCs/>
        </w:rPr>
      </w:pPr>
    </w:p>
    <w:p w:rsidR="005E762F" w:rsidP="006359CF" w14:paraId="3B89908A" w14:textId="212EAF03">
      <w:pPr>
        <w:pStyle w:val="Header"/>
        <w:tabs>
          <w:tab w:val="clear" w:pos="4320"/>
          <w:tab w:val="clear" w:pos="8640"/>
        </w:tabs>
        <w:ind w:left="720"/>
        <w:rPr>
          <w:bCs/>
        </w:rPr>
      </w:pPr>
      <w:r w:rsidRPr="005E762F">
        <w:rPr>
          <w:bCs/>
        </w:rPr>
        <w:t xml:space="preserve">Epi Info™ is a free and open-source software for epidemiologists and public health professionals that was developed by the Informatics Services Branch within </w:t>
      </w:r>
      <w:r w:rsidR="006970D9">
        <w:rPr>
          <w:bCs/>
        </w:rPr>
        <w:t>Division of Health Informatics and Surveillance (</w:t>
      </w:r>
      <w:r w:rsidRPr="005E762F">
        <w:rPr>
          <w:bCs/>
        </w:rPr>
        <w:t>DHIS</w:t>
      </w:r>
      <w:r w:rsidR="006970D9">
        <w:rPr>
          <w:bCs/>
        </w:rPr>
        <w:t>)</w:t>
      </w:r>
      <w:r w:rsidRPr="005E762F">
        <w:rPr>
          <w:bCs/>
        </w:rPr>
        <w:t>. Epi Info™ is customized epidemiological software that can be downloaded from the CDC Internet site at http://www.cdc.gov/epiinfo/. Epi Info™ supports data collection, management, and analysis for outbreak investigations, surveys, and surveillance. The Epi Info™ tools are used widely within CDC and its training programs, by U.S. state and territorial health departments, and international institutions.</w:t>
      </w:r>
    </w:p>
    <w:p w:rsidR="005E762F" w:rsidP="006359CF" w14:paraId="2C804255" w14:textId="77777777">
      <w:pPr>
        <w:pStyle w:val="Header"/>
        <w:tabs>
          <w:tab w:val="clear" w:pos="4320"/>
          <w:tab w:val="clear" w:pos="8640"/>
        </w:tabs>
        <w:ind w:left="720"/>
        <w:rPr>
          <w:bCs/>
        </w:rPr>
      </w:pPr>
    </w:p>
    <w:p w:rsidR="00845058" w:rsidP="006359CF" w14:paraId="394AF213" w14:textId="272C8645">
      <w:pPr>
        <w:pStyle w:val="Header"/>
        <w:tabs>
          <w:tab w:val="clear" w:pos="4320"/>
          <w:tab w:val="clear" w:pos="8640"/>
        </w:tabs>
        <w:ind w:left="720"/>
        <w:rPr>
          <w:bCs/>
        </w:rPr>
      </w:pPr>
      <w:r w:rsidRPr="00D53428">
        <w:rPr>
          <w:bCs/>
        </w:rPr>
        <w:t xml:space="preserve">The </w:t>
      </w:r>
      <w:r w:rsidR="0067603E">
        <w:rPr>
          <w:bCs/>
        </w:rPr>
        <w:t xml:space="preserve">purpose of the </w:t>
      </w:r>
      <w:r w:rsidRPr="00D53428">
        <w:rPr>
          <w:bCs/>
        </w:rPr>
        <w:t xml:space="preserve">Epi Info™ user </w:t>
      </w:r>
      <w:r w:rsidR="00C258DD">
        <w:rPr>
          <w:bCs/>
        </w:rPr>
        <w:t>survey</w:t>
      </w:r>
      <w:r w:rsidRPr="00D53428" w:rsidR="00C258DD">
        <w:rPr>
          <w:bCs/>
        </w:rPr>
        <w:t xml:space="preserve"> </w:t>
      </w:r>
      <w:r w:rsidR="00ED4294">
        <w:rPr>
          <w:bCs/>
        </w:rPr>
        <w:t xml:space="preserve">is to </w:t>
      </w:r>
      <w:r w:rsidR="00107D0E">
        <w:rPr>
          <w:bCs/>
        </w:rPr>
        <w:t xml:space="preserve">inform </w:t>
      </w:r>
      <w:r w:rsidRPr="00D53428">
        <w:rPr>
          <w:bCs/>
        </w:rPr>
        <w:t>future improvement</w:t>
      </w:r>
      <w:r w:rsidR="00107D0E">
        <w:rPr>
          <w:bCs/>
        </w:rPr>
        <w:t>s</w:t>
      </w:r>
      <w:r w:rsidRPr="00D53428">
        <w:rPr>
          <w:bCs/>
        </w:rPr>
        <w:t xml:space="preserve"> </w:t>
      </w:r>
      <w:r w:rsidR="00842FA3">
        <w:rPr>
          <w:bCs/>
        </w:rPr>
        <w:t xml:space="preserve">to </w:t>
      </w:r>
      <w:r w:rsidRPr="00D53428">
        <w:rPr>
          <w:bCs/>
        </w:rPr>
        <w:t xml:space="preserve">the software </w:t>
      </w:r>
      <w:r w:rsidR="00842FA3">
        <w:rPr>
          <w:bCs/>
        </w:rPr>
        <w:t xml:space="preserve">and user support services </w:t>
      </w:r>
      <w:r w:rsidRPr="00D53428">
        <w:rPr>
          <w:bCs/>
        </w:rPr>
        <w:t xml:space="preserve">so that </w:t>
      </w:r>
      <w:r w:rsidR="00506186">
        <w:rPr>
          <w:bCs/>
        </w:rPr>
        <w:t xml:space="preserve">Epi Info™ </w:t>
      </w:r>
      <w:r w:rsidRPr="00D53428">
        <w:rPr>
          <w:bCs/>
        </w:rPr>
        <w:t xml:space="preserve">will be more efficient and effective for users domestically and internationally. </w:t>
      </w:r>
      <w:r w:rsidR="00F20CFB">
        <w:rPr>
          <w:bCs/>
        </w:rPr>
        <w:t>An</w:t>
      </w:r>
      <w:r w:rsidR="001A1EB3">
        <w:rPr>
          <w:bCs/>
        </w:rPr>
        <w:t xml:space="preserve"> online </w:t>
      </w:r>
      <w:r w:rsidR="009E0020">
        <w:rPr>
          <w:bCs/>
        </w:rPr>
        <w:t xml:space="preserve">survey </w:t>
      </w:r>
      <w:r w:rsidR="003D3993">
        <w:rPr>
          <w:bCs/>
        </w:rPr>
        <w:t xml:space="preserve">will </w:t>
      </w:r>
      <w:r w:rsidR="000B6718">
        <w:rPr>
          <w:bCs/>
        </w:rPr>
        <w:t xml:space="preserve">be </w:t>
      </w:r>
      <w:r w:rsidR="009E0020">
        <w:rPr>
          <w:bCs/>
        </w:rPr>
        <w:t xml:space="preserve">conducted </w:t>
      </w:r>
      <w:r w:rsidR="000B6718">
        <w:rPr>
          <w:bCs/>
        </w:rPr>
        <w:t xml:space="preserve">to </w:t>
      </w:r>
      <w:r w:rsidR="003D3993">
        <w:rPr>
          <w:bCs/>
        </w:rPr>
        <w:t xml:space="preserve">collect </w:t>
      </w:r>
      <w:r w:rsidR="000B0BDD">
        <w:rPr>
          <w:bCs/>
        </w:rPr>
        <w:t xml:space="preserve">information about use of Epi Info™, </w:t>
      </w:r>
      <w:r w:rsidR="0076169D">
        <w:rPr>
          <w:bCs/>
        </w:rPr>
        <w:t xml:space="preserve">opinions about Epi Info™, </w:t>
      </w:r>
      <w:r w:rsidR="006C34EA">
        <w:rPr>
          <w:bCs/>
        </w:rPr>
        <w:t>suggestions for improvements, feedback on user training and support, use of other software tools, user and organizational characteristics, and technological resources and capabilities</w:t>
      </w:r>
      <w:r w:rsidR="00DB23A1">
        <w:rPr>
          <w:bCs/>
        </w:rPr>
        <w:t xml:space="preserve">. </w:t>
      </w:r>
    </w:p>
    <w:p w:rsidR="00845058" w:rsidP="006359CF" w14:paraId="20BCEE5D" w14:textId="77777777">
      <w:pPr>
        <w:pStyle w:val="Header"/>
        <w:tabs>
          <w:tab w:val="clear" w:pos="4320"/>
          <w:tab w:val="clear" w:pos="8640"/>
        </w:tabs>
        <w:ind w:left="720"/>
        <w:rPr>
          <w:bCs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77777777"/>
    <w:p w:rsidR="00751637" w:rsidP="006359CF" w14:paraId="0F9BCA77" w14:textId="2EB169B1">
      <w:pPr>
        <w:ind w:left="720"/>
      </w:pPr>
      <w:r>
        <w:t xml:space="preserve">Potential respondents </w:t>
      </w:r>
      <w:r w:rsidR="00EA01C1">
        <w:t xml:space="preserve">will </w:t>
      </w:r>
      <w:r>
        <w:t xml:space="preserve">include current or past domestic or international Epi Info™ users at CDC, state, local, territorial, or tribal (SLTT) public health departments or other partners, such as non-profit organizations and universities. </w:t>
      </w:r>
      <w:r w:rsidR="00A83FB1">
        <w:t xml:space="preserve">Because </w:t>
      </w:r>
      <w:r w:rsidR="00A6608C">
        <w:t>t</w:t>
      </w:r>
      <w:r w:rsidR="00290F64">
        <w:t>he Epi Info™ software is av</w:t>
      </w:r>
      <w:r w:rsidR="00613C13">
        <w:t xml:space="preserve">ailable for free to anyone who wants to download </w:t>
      </w:r>
      <w:r w:rsidR="0035458D">
        <w:t xml:space="preserve">and use </w:t>
      </w:r>
      <w:r w:rsidR="00613C13">
        <w:t>it</w:t>
      </w:r>
      <w:r w:rsidR="00300DD7">
        <w:t xml:space="preserve">, </w:t>
      </w:r>
      <w:r w:rsidR="001D1CE6">
        <w:t xml:space="preserve">potential respondents </w:t>
      </w:r>
      <w:r w:rsidR="007878E2">
        <w:t>could also in</w:t>
      </w:r>
      <w:r w:rsidR="002455D1">
        <w:t xml:space="preserve">clude </w:t>
      </w:r>
      <w:r w:rsidR="00093977">
        <w:t xml:space="preserve">members of the </w:t>
      </w:r>
      <w:r w:rsidR="000B1E46">
        <w:t xml:space="preserve">general </w:t>
      </w:r>
      <w:r w:rsidR="00825AE4">
        <w:t>public</w:t>
      </w:r>
      <w:r w:rsidR="000B1E46">
        <w:t xml:space="preserve">. </w:t>
      </w:r>
    </w:p>
    <w:p w:rsidR="004F38AF" w:rsidP="00751637" w14:paraId="19004591" w14:textId="3A797855"/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Please sparingly use the </w:t>
      </w:r>
      <w:r>
        <w:rPr>
          <w:i/>
          <w:sz w:val="22"/>
          <w:szCs w:val="22"/>
        </w:rPr>
        <w:t>Other</w:t>
      </w:r>
      <w:r>
        <w:rPr>
          <w:i/>
          <w:sz w:val="22"/>
          <w:szCs w:val="22"/>
        </w:rPr>
        <w:t xml:space="preserve">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61DC24C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DD3A41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DD70333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52F1E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44550C64">
      <w:r w:rsidRPr="0057227F">
        <w:t>Name:_</w:t>
      </w:r>
      <w:r w:rsidRPr="0057227F">
        <w:t>_</w:t>
      </w:r>
      <w:r w:rsidR="00261EF3">
        <w:t>Jos</w:t>
      </w:r>
      <w:r w:rsidR="00A15DA6">
        <w:t>é</w:t>
      </w:r>
      <w:r w:rsidR="00261EF3">
        <w:t xml:space="preserve"> Aponte</w:t>
      </w:r>
      <w:r w:rsidRPr="0057227F">
        <w:t>______________________________________________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7B5221F9">
      <w:pPr>
        <w:pStyle w:val="ListParagraph"/>
        <w:numPr>
          <w:ilvl w:val="0"/>
          <w:numId w:val="18"/>
        </w:numPr>
      </w:pPr>
      <w:r>
        <w:t>Is personally identifiable information (PII) collected?  [] Yes [</w:t>
      </w:r>
      <w:r w:rsidR="001933D9">
        <w:t>X</w:t>
      </w:r>
      <w:r>
        <w:t>]  No</w:t>
      </w:r>
      <w:r>
        <w:t xml:space="preserve"> </w:t>
      </w:r>
    </w:p>
    <w:p w:rsidR="00B46F2C" w:rsidP="00C86E91" w14:paraId="059C2C9E" w14:textId="304BAD0B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is the information that will be collected included in records that are subject to the Privacy Act of 1974?   </w:t>
      </w:r>
      <w:r>
        <w:t>[  ]</w:t>
      </w:r>
      <w:r>
        <w:t xml:space="preserve"> Yes [</w:t>
      </w:r>
      <w:r w:rsidR="631ACB27">
        <w:t>X</w:t>
      </w:r>
      <w:r>
        <w:t xml:space="preserve"> 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69321FEE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18088E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:rsidP="00C86E91" w14:paraId="396C6BC7" w14:textId="249B0808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F18B4AE" w14:textId="7777777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AC2C79" w:rsidRPr="00512CA7" w14:paraId="53657A12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AC2C79" w:rsidRPr="00512CA7" w14:paraId="7708F381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AC2C79" w:rsidRPr="00512CA7" w14:paraId="2D729C71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AC2C79" w14:paraId="549945D0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  <w:p w:rsidR="00356BE2" w:rsidRPr="00512CA7" w14:paraId="20E86934" w14:textId="65626328">
            <w:pPr>
              <w:rPr>
                <w:b/>
              </w:rPr>
            </w:pPr>
            <w:r>
              <w:rPr>
                <w:b/>
              </w:rPr>
              <w:t>(In hours)</w:t>
            </w:r>
          </w:p>
        </w:tc>
      </w:tr>
      <w:tr w14:paraId="363BF084" w14:textId="7777777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580CF6" w:rsidRPr="00BD3A2F" w:rsidP="00A0377E" w14:paraId="0CCE84BC" w14:textId="4CE89551">
            <w:pPr>
              <w:rPr>
                <w:bCs/>
              </w:rPr>
            </w:pPr>
            <w:r>
              <w:rPr>
                <w:bCs/>
              </w:rPr>
              <w:t>(1) Individuals or Households</w:t>
            </w:r>
          </w:p>
        </w:tc>
        <w:tc>
          <w:tcPr>
            <w:tcW w:w="1530" w:type="dxa"/>
          </w:tcPr>
          <w:p w:rsidR="00580CF6" w:rsidRPr="00C409B6" w:rsidP="00F41E8C" w14:paraId="69C6DA70" w14:textId="1329A7B5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710" w:type="dxa"/>
          </w:tcPr>
          <w:p w:rsidR="00580CF6" w:rsidP="00F41E8C" w14:paraId="0CB6F918" w14:textId="5BEF844B">
            <w:pPr>
              <w:jc w:val="center"/>
            </w:pPr>
            <w:r>
              <w:t>20/60</w:t>
            </w:r>
          </w:p>
        </w:tc>
        <w:tc>
          <w:tcPr>
            <w:tcW w:w="1003" w:type="dxa"/>
          </w:tcPr>
          <w:p w:rsidR="00580CF6" w:rsidRPr="00F41E8C" w:rsidP="00F41E8C" w14:paraId="627ED19A" w14:textId="092D28F2">
            <w:pPr>
              <w:jc w:val="center"/>
            </w:pPr>
            <w:r>
              <w:t>367</w:t>
            </w:r>
          </w:p>
        </w:tc>
      </w:tr>
      <w:tr w14:paraId="02A09A61" w14:textId="7777777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A0377E" w:rsidRPr="00512CA7" w:rsidP="00A0377E" w14:paraId="6E789861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A0377E" w:rsidRPr="00F41E8C" w:rsidP="00F41E8C" w14:paraId="237AA69C" w14:textId="513DB8BE">
            <w:pPr>
              <w:jc w:val="center"/>
              <w:rPr>
                <w:bCs/>
              </w:rPr>
            </w:pPr>
            <w:r w:rsidRPr="00F41E8C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F41E8C">
              <w:rPr>
                <w:bCs/>
              </w:rPr>
              <w:t>00</w:t>
            </w:r>
          </w:p>
        </w:tc>
        <w:tc>
          <w:tcPr>
            <w:tcW w:w="1710" w:type="dxa"/>
          </w:tcPr>
          <w:p w:rsidR="00A0377E" w:rsidP="00F41E8C" w14:paraId="33567016" w14:textId="00439B68">
            <w:pPr>
              <w:jc w:val="center"/>
            </w:pPr>
            <w:r>
              <w:t>20/60</w:t>
            </w:r>
          </w:p>
        </w:tc>
        <w:tc>
          <w:tcPr>
            <w:tcW w:w="1003" w:type="dxa"/>
          </w:tcPr>
          <w:p w:rsidR="00A0377E" w:rsidRPr="00F41E8C" w:rsidP="00F41E8C" w14:paraId="1616C56D" w14:textId="7ED07854">
            <w:pPr>
              <w:jc w:val="center"/>
            </w:pPr>
            <w:r w:rsidRPr="00F41E8C">
              <w:t>367</w:t>
            </w:r>
          </w:p>
        </w:tc>
      </w:tr>
    </w:tbl>
    <w:p w:rsidR="00B46F2C" w:rsidP="00F3170F" w14:paraId="1AB33144" w14:textId="77777777"/>
    <w:p w:rsidR="007A3016" w:rsidRPr="006E43AD" w:rsidP="007A3016" w14:paraId="0072A297" w14:textId="3899BE19">
      <w:r>
        <w:rPr>
          <w:b/>
          <w:bCs/>
          <w:i/>
          <w:iCs/>
        </w:rPr>
        <w:t>FEDERAL COST: </w:t>
      </w:r>
      <w:r w:rsidR="00A25ED2">
        <w:t xml:space="preserve"> The estimated annual cost to the Federal government is $</w:t>
      </w:r>
      <w:r w:rsidR="00E63FFE">
        <w:t>8,184</w:t>
      </w:r>
      <w:r w:rsidR="00A25ED2">
        <w:t xml:space="preserve">. This is based on pay for </w:t>
      </w:r>
      <w:r w:rsidR="00BA20A4">
        <w:t>three</w:t>
      </w:r>
      <w:r w:rsidR="00A25ED2">
        <w:t xml:space="preserve"> positions</w:t>
      </w:r>
      <w:r w:rsidR="00F969FB">
        <w:t xml:space="preserve"> and the license for Qualtrics software</w:t>
      </w:r>
      <w:r w:rsidR="00A25ED2">
        <w:t xml:space="preserve">. The first position </w:t>
      </w:r>
      <w:r w:rsidRPr="001B3232" w:rsidR="00A25ED2">
        <w:t xml:space="preserve">estimate is based on the time required for one </w:t>
      </w:r>
      <w:r w:rsidR="00AB23F9">
        <w:t xml:space="preserve">contractor to </w:t>
      </w:r>
      <w:r w:rsidR="003D2EAF">
        <w:t>design and create the web-based survey</w:t>
      </w:r>
      <w:r w:rsidR="005A7DA3">
        <w:t xml:space="preserve"> (pay grade to be equivalent to GS-</w:t>
      </w:r>
      <w:r w:rsidR="00C5403B">
        <w:t>12</w:t>
      </w:r>
      <w:r w:rsidR="005A7DA3">
        <w:t>)</w:t>
      </w:r>
      <w:r w:rsidR="00630CB5">
        <w:t>. The second and third positions are for a</w:t>
      </w:r>
      <w:r w:rsidR="00371693">
        <w:t xml:space="preserve"> Pub</w:t>
      </w:r>
      <w:r w:rsidR="002314CF">
        <w:t>l</w:t>
      </w:r>
      <w:r w:rsidR="00371693">
        <w:t>ic Health Advisor (GS-13</w:t>
      </w:r>
      <w:r w:rsidR="00D04F06">
        <w:t xml:space="preserve">) </w:t>
      </w:r>
      <w:r w:rsidR="00ED7795">
        <w:t>for s</w:t>
      </w:r>
      <w:r w:rsidRPr="00ED7795" w:rsidR="00ED7795">
        <w:t xml:space="preserve">urvey deployment, survey support, </w:t>
      </w:r>
      <w:r w:rsidR="00683368">
        <w:t xml:space="preserve">and </w:t>
      </w:r>
      <w:r w:rsidRPr="00ED7795" w:rsidR="00ED7795">
        <w:t>data management (cleaning, analysis, reporting)</w:t>
      </w:r>
      <w:r w:rsidR="005606FC">
        <w:t xml:space="preserve"> </w:t>
      </w:r>
      <w:r w:rsidR="00D04F06">
        <w:t xml:space="preserve">and a Statistician (GS-14) </w:t>
      </w:r>
      <w:r w:rsidR="005606FC">
        <w:t>for p</w:t>
      </w:r>
      <w:r w:rsidRPr="005606FC" w:rsidR="005606FC">
        <w:t>rovid</w:t>
      </w:r>
      <w:r w:rsidR="005606FC">
        <w:t>ing</w:t>
      </w:r>
      <w:r w:rsidRPr="005606FC" w:rsidR="005606FC">
        <w:t xml:space="preserve"> oversight and guidance on data analysis</w:t>
      </w:r>
      <w:r w:rsidR="00DB7874">
        <w:t xml:space="preserve"> and feedback </w:t>
      </w:r>
      <w:r w:rsidRPr="005606FC" w:rsidR="005606FC">
        <w:t>on the final report</w:t>
      </w:r>
      <w:r w:rsidR="00A25ED2">
        <w:t>.</w:t>
      </w:r>
    </w:p>
    <w:p w:rsidR="007A3016" w:rsidP="007A3016" w14:paraId="48D42D0F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7A3016" w:rsidRPr="00A52140" w:rsidP="007A3016" w14:paraId="5868C362" w14:textId="77777777"/>
    <w:p w:rsidR="007A3016" w:rsidP="007A3016" w14:paraId="461C733F" w14:textId="77777777">
      <w:pPr>
        <w:spacing w:line="276" w:lineRule="auto"/>
        <w:rPr>
          <w:i/>
          <w:iCs/>
        </w:rPr>
      </w:pPr>
      <w:r>
        <w:rPr>
          <w:i/>
          <w:iCs/>
        </w:rPr>
        <w:t>Estimated Annualized Cost to the Federal Government</w:t>
      </w:r>
    </w:p>
    <w:tbl>
      <w:tblPr>
        <w:tblW w:w="9742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5745"/>
        <w:gridCol w:w="1363"/>
        <w:gridCol w:w="1397"/>
        <w:gridCol w:w="1237"/>
      </w:tblGrid>
      <w:tr w14:paraId="5685D322" w14:textId="77777777" w:rsidTr="007A3016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rPr>
          <w:trHeight w:val="593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4C7E2043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Staff (FTE)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1DA88528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Estimated Hours 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650908B3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Hourly Rate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016" w14:paraId="269FAB92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</w:rPr>
              <w:t>Total Cost</w:t>
            </w:r>
          </w:p>
        </w:tc>
      </w:tr>
      <w:tr w14:paraId="07113DC0" w14:textId="77777777" w:rsidTr="007A3016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9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5FA6E262" w14:textId="51732F65">
            <w:pPr>
              <w:spacing w:line="276" w:lineRule="auto"/>
              <w:rPr>
                <w:i/>
                <w:iCs/>
              </w:rPr>
            </w:pPr>
            <w:r w:rsidRPr="0069472D">
              <w:rPr>
                <w:i/>
                <w:iCs/>
              </w:rPr>
              <w:t>Contractor (GS-</w:t>
            </w:r>
            <w:r w:rsidR="008B56B3">
              <w:rPr>
                <w:i/>
                <w:iCs/>
              </w:rPr>
              <w:t xml:space="preserve">12 </w:t>
            </w:r>
            <w:r w:rsidRPr="0069472D">
              <w:rPr>
                <w:i/>
                <w:iCs/>
              </w:rPr>
              <w:t>equivalent): survey design, creat</w:t>
            </w:r>
            <w:r>
              <w:rPr>
                <w:i/>
                <w:iCs/>
              </w:rPr>
              <w:t>ion of</w:t>
            </w:r>
            <w:r w:rsidRPr="0069472D">
              <w:rPr>
                <w:i/>
                <w:iCs/>
              </w:rPr>
              <w:t xml:space="preserve"> web-based survey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240D45CF" w14:textId="4AEE1620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E9018F">
              <w:rPr>
                <w:i/>
                <w:iCs/>
              </w:rPr>
              <w:t>0</w:t>
            </w:r>
          </w:p>
          <w:p w:rsidR="00AF01D6" w14:paraId="2047ACA9" w14:textId="7EF0F6FA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(0.01 Contractor)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78B787D0" w14:textId="2AD39AB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84510D">
              <w:rPr>
                <w:i/>
                <w:iCs/>
              </w:rPr>
              <w:t>48.41</w:t>
            </w:r>
            <w:r>
              <w:rPr>
                <w:i/>
                <w:iCs/>
              </w:rPr>
              <w:t>/h</w:t>
            </w:r>
            <w:r w:rsidR="001622A7">
              <w:rPr>
                <w:i/>
                <w:iCs/>
              </w:rPr>
              <w:t>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57D" w14:paraId="33E22E26" w14:textId="12E28D09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CC5664">
              <w:rPr>
                <w:i/>
                <w:iCs/>
              </w:rPr>
              <w:t>2,420</w:t>
            </w:r>
          </w:p>
        </w:tc>
      </w:tr>
      <w:tr w14:paraId="5724B0C8" w14:textId="77777777" w:rsidTr="007A3016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9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6701AA0C" w14:textId="7777777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Public Health Advisor (GS13)</w:t>
            </w:r>
          </w:p>
          <w:p w:rsidR="007A3016" w14:paraId="45E58160" w14:textId="7777777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Survey deployment, survey support, data management (cleaning, analysis, reporting)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10A112C0" w14:textId="7777777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  <w:p w:rsidR="007A3016" w14:paraId="0E58FF2F" w14:textId="7777777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(0.01 FTE)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074260BB" w14:textId="7777777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$53.16/hour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18859152" w14:textId="7777777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$1,116</w:t>
            </w:r>
          </w:p>
        </w:tc>
      </w:tr>
      <w:tr w14:paraId="58D0E54B" w14:textId="77777777" w:rsidTr="007A3016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9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359ED920" w14:textId="18495B1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Statistician (GS14)</w:t>
            </w:r>
          </w:p>
          <w:p w:rsidR="007A3016" w14:paraId="29FC6CC1" w14:textId="4FE76ADB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Provide </w:t>
            </w:r>
            <w:r w:rsidR="00CC7C42">
              <w:rPr>
                <w:i/>
                <w:iCs/>
              </w:rPr>
              <w:t xml:space="preserve">oversight and </w:t>
            </w:r>
            <w:r>
              <w:rPr>
                <w:i/>
                <w:iCs/>
              </w:rPr>
              <w:t>guidance on data analysis. Provide feedback on the final report.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53E4F091" w14:textId="7777777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  <w:p w:rsidR="007A3016" w14:paraId="10EDDD52" w14:textId="7777777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(0.01 FTE)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105042D2" w14:textId="7777777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$53.16/hour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72203652" w14:textId="7777777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$1,116</w:t>
            </w:r>
          </w:p>
        </w:tc>
      </w:tr>
      <w:tr w14:paraId="0604B1E5" w14:textId="77777777" w:rsidTr="00920B9D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60F951AD" w14:textId="77777777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License for Qualtrics software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016" w14:paraId="57BF351C" w14:textId="77777777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016" w14:paraId="5D655627" w14:textId="77777777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016" w14:paraId="13A6EDFD" w14:textId="2A7B1A1F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$</w:t>
            </w:r>
            <w:r w:rsidR="004D27F3">
              <w:rPr>
                <w:i/>
                <w:iCs/>
              </w:rPr>
              <w:t>3,532</w:t>
            </w:r>
          </w:p>
        </w:tc>
      </w:tr>
      <w:tr w14:paraId="3FBC0668" w14:textId="77777777" w:rsidTr="007A3016">
        <w:tblPrEx>
          <w:tblW w:w="9742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68109AEB" w14:textId="68AD0BAA">
            <w:pPr>
              <w:spacing w:line="276" w:lineRule="auto"/>
              <w:rPr>
                <w:b/>
                <w:bCs/>
                <w:i/>
                <w:iCs/>
              </w:rPr>
            </w:pPr>
            <w:r w:rsidRPr="00920B9D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601418DD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7E0ABAE9" w14:textId="777777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388" w:rsidRPr="00920B9D" w14:paraId="7CB17AAC" w14:textId="2914472B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20B9D">
              <w:rPr>
                <w:b/>
                <w:bCs/>
                <w:i/>
                <w:iCs/>
              </w:rPr>
              <w:t>$</w:t>
            </w:r>
            <w:r w:rsidR="00E63FFE">
              <w:rPr>
                <w:b/>
                <w:bCs/>
                <w:i/>
                <w:iCs/>
              </w:rPr>
              <w:t>8</w:t>
            </w:r>
            <w:r w:rsidRPr="00920B9D">
              <w:rPr>
                <w:b/>
                <w:bCs/>
                <w:i/>
                <w:iCs/>
              </w:rPr>
              <w:t>,</w:t>
            </w:r>
            <w:r w:rsidR="00E63FFE">
              <w:rPr>
                <w:b/>
                <w:bCs/>
                <w:i/>
                <w:iCs/>
              </w:rPr>
              <w:t>184</w:t>
            </w:r>
          </w:p>
        </w:tc>
      </w:tr>
    </w:tbl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647DCA7F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</w:t>
      </w:r>
      <w:r w:rsidR="00A86325">
        <w:t xml:space="preserve"> </w:t>
      </w:r>
      <w:r>
        <w:t>]</w:t>
      </w:r>
      <w:r>
        <w:t xml:space="preserve"> Yes</w:t>
      </w:r>
      <w:r>
        <w:tab/>
        <w:t>[</w:t>
      </w:r>
      <w:r w:rsidR="00A86325">
        <w:t xml:space="preserve"> X</w:t>
      </w:r>
      <w:r w:rsidR="005620E0">
        <w:t xml:space="preserve"> </w:t>
      </w:r>
      <w:r>
        <w:t>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3EF81B18" w14:paraId="1BB86051" w14:textId="6420E4D1">
      <w:pPr>
        <w:ind w:left="720"/>
      </w:pPr>
      <w:r>
        <w:t xml:space="preserve">All </w:t>
      </w:r>
      <w:r w:rsidR="4B7BD0A7">
        <w:t>current</w:t>
      </w:r>
      <w:r w:rsidR="00F270A9">
        <w:t xml:space="preserve">, </w:t>
      </w:r>
      <w:r w:rsidR="4B7BD0A7">
        <w:t>former</w:t>
      </w:r>
      <w:r w:rsidR="00F270A9">
        <w:t>, and potential future users of</w:t>
      </w:r>
      <w:r w:rsidR="4B7BD0A7">
        <w:t xml:space="preserve"> </w:t>
      </w:r>
      <w:r>
        <w:t xml:space="preserve">Epi Info™ users are eligible to participate in the </w:t>
      </w:r>
      <w:r w:rsidR="00D6457B">
        <w:t xml:space="preserve">online </w:t>
      </w:r>
      <w:r w:rsidR="002179B0">
        <w:t>survey</w:t>
      </w:r>
      <w:r>
        <w:t xml:space="preserve">. Some users will be identified from lists maintained by </w:t>
      </w:r>
      <w:r w:rsidRPr="00DF50FD">
        <w:t>CDC</w:t>
      </w:r>
      <w:r w:rsidR="00DF50FD">
        <w:t xml:space="preserve"> of individuals who have </w:t>
      </w:r>
      <w:r w:rsidR="00EE3237">
        <w:t>interacted with the Epi Info™ program through discussions, consultations, and/or training</w:t>
      </w:r>
      <w:r w:rsidRPr="00DF50FD">
        <w:t xml:space="preserve"> </w:t>
      </w:r>
      <w:r w:rsidRPr="00DF50FD" w:rsidR="00F270A9">
        <w:t>(see</w:t>
      </w:r>
      <w:r w:rsidRPr="00DF50FD" w:rsidR="00DF50FD">
        <w:t xml:space="preserve"> </w:t>
      </w:r>
      <w:r w:rsidRPr="00DF50FD" w:rsidR="00DF50FD">
        <w:fldChar w:fldCharType="begin"/>
      </w:r>
      <w:r w:rsidRPr="00DF50FD" w:rsidR="00DF50FD">
        <w:instrText xml:space="preserve"> REF _Ref125112511 \h </w:instrText>
      </w:r>
      <w:r w:rsidR="00DF50FD">
        <w:instrText xml:space="preserve"> \* MERGEFORMAT </w:instrText>
      </w:r>
      <w:r w:rsidRPr="00DF50FD" w:rsidR="00DF50FD">
        <w:fldChar w:fldCharType="separate"/>
      </w:r>
      <w:r w:rsidRPr="00DF50FD" w:rsidR="00DF50FD">
        <w:t xml:space="preserve">Table </w:t>
      </w:r>
      <w:r w:rsidRPr="00DF50FD" w:rsidR="00DF50FD">
        <w:rPr>
          <w:noProof/>
        </w:rPr>
        <w:t>1</w:t>
      </w:r>
      <w:r w:rsidRPr="00DF50FD" w:rsidR="00DF50FD">
        <w:fldChar w:fldCharType="end"/>
      </w:r>
      <w:r w:rsidRPr="00DF50FD" w:rsidR="00DF50FD">
        <w:t xml:space="preserve"> below)</w:t>
      </w:r>
      <w:r w:rsidRPr="00DF50FD">
        <w:t>. These</w:t>
      </w:r>
      <w:r>
        <w:t xml:space="preserve"> lists include contact information </w:t>
      </w:r>
      <w:r w:rsidR="00FC659F">
        <w:t xml:space="preserve">(email addresses) </w:t>
      </w:r>
      <w:r>
        <w:t xml:space="preserve">that </w:t>
      </w:r>
      <w:r w:rsidR="008D74B5">
        <w:t>will</w:t>
      </w:r>
      <w:r>
        <w:t xml:space="preserve"> be used to send email </w:t>
      </w:r>
      <w:r w:rsidR="00731A62">
        <w:t xml:space="preserve">communications </w:t>
      </w:r>
      <w:r w:rsidR="11DF15B5">
        <w:t>inviting the individual to</w:t>
      </w:r>
      <w:r w:rsidR="008D74B5">
        <w:t xml:space="preserve"> voluntarily</w:t>
      </w:r>
      <w:r w:rsidR="11DF15B5">
        <w:t xml:space="preserve"> participate in the user </w:t>
      </w:r>
      <w:r w:rsidR="00F41E8C">
        <w:t>survey</w:t>
      </w:r>
      <w:r w:rsidR="11DF15B5">
        <w:t xml:space="preserve">. </w:t>
      </w:r>
    </w:p>
    <w:p w:rsidR="00F270A9" w:rsidRPr="00E401A4" w:rsidP="3EF81B18" w14:paraId="28F1E2BE" w14:textId="77777777">
      <w:pPr>
        <w:ind w:left="720"/>
        <w:rPr>
          <w:sz w:val="28"/>
          <w:szCs w:val="28"/>
        </w:rPr>
      </w:pPr>
    </w:p>
    <w:p w:rsidR="00DF50FD" w:rsidRPr="00E401A4" w:rsidP="00DF50FD" w14:paraId="38FE8BC5" w14:textId="3D3D4D16">
      <w:pPr>
        <w:pStyle w:val="Caption"/>
        <w:keepNext/>
        <w:jc w:val="center"/>
        <w:rPr>
          <w:color w:val="auto"/>
          <w:sz w:val="20"/>
          <w:szCs w:val="20"/>
        </w:rPr>
      </w:pPr>
      <w:bookmarkStart w:id="2" w:name="_Ref125112511"/>
      <w:r w:rsidRPr="00E401A4">
        <w:rPr>
          <w:color w:val="auto"/>
          <w:sz w:val="20"/>
          <w:szCs w:val="20"/>
        </w:rPr>
        <w:t xml:space="preserve">Table </w:t>
      </w:r>
      <w:r w:rsidRPr="00E401A4">
        <w:rPr>
          <w:color w:val="auto"/>
          <w:sz w:val="20"/>
          <w:szCs w:val="20"/>
        </w:rPr>
        <w:fldChar w:fldCharType="begin"/>
      </w:r>
      <w:r w:rsidRPr="00E401A4">
        <w:rPr>
          <w:color w:val="auto"/>
          <w:sz w:val="20"/>
          <w:szCs w:val="20"/>
        </w:rPr>
        <w:instrText xml:space="preserve"> SEQ Table \* ARABIC </w:instrText>
      </w:r>
      <w:r w:rsidRPr="00E401A4">
        <w:rPr>
          <w:color w:val="auto"/>
          <w:sz w:val="20"/>
          <w:szCs w:val="20"/>
        </w:rPr>
        <w:fldChar w:fldCharType="separate"/>
      </w:r>
      <w:r w:rsidRPr="00E401A4">
        <w:rPr>
          <w:noProof/>
          <w:color w:val="auto"/>
          <w:sz w:val="20"/>
          <w:szCs w:val="20"/>
        </w:rPr>
        <w:t>1</w:t>
      </w:r>
      <w:r w:rsidRPr="00E401A4">
        <w:rPr>
          <w:color w:val="auto"/>
          <w:sz w:val="20"/>
          <w:szCs w:val="20"/>
        </w:rPr>
        <w:fldChar w:fldCharType="end"/>
      </w:r>
      <w:bookmarkEnd w:id="2"/>
      <w:r w:rsidRPr="00E401A4">
        <w:rPr>
          <w:color w:val="auto"/>
          <w:sz w:val="20"/>
          <w:szCs w:val="20"/>
        </w:rPr>
        <w:t>. Source of Information for email addresses of potential respondents as of 1/13/2023</w:t>
      </w:r>
    </w:p>
    <w:tbl>
      <w:tblPr>
        <w:tblStyle w:val="TableGrid"/>
        <w:tblW w:w="6115" w:type="dxa"/>
        <w:jc w:val="center"/>
        <w:tblLook w:val="04A0"/>
      </w:tblPr>
      <w:tblGrid>
        <w:gridCol w:w="4495"/>
        <w:gridCol w:w="1620"/>
      </w:tblGrid>
      <w:tr w14:paraId="2E5A9FA9" w14:textId="77777777" w:rsidTr="00DF50FD">
        <w:tblPrEx>
          <w:tblW w:w="6115" w:type="dxa"/>
          <w:jc w:val="center"/>
          <w:tblLook w:val="04A0"/>
        </w:tblPrEx>
        <w:trPr>
          <w:trHeight w:val="341"/>
          <w:jc w:val="center"/>
        </w:trPr>
        <w:tc>
          <w:tcPr>
            <w:tcW w:w="4495" w:type="dxa"/>
            <w:noWrap/>
            <w:hideMark/>
          </w:tcPr>
          <w:p w:rsidR="00DF50FD" w:rsidRPr="00A31387" w14:paraId="1844C7B4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387">
              <w:rPr>
                <w:b/>
                <w:bCs/>
                <w:color w:val="000000"/>
                <w:sz w:val="22"/>
                <w:szCs w:val="22"/>
              </w:rPr>
              <w:t>Source of Information</w:t>
            </w:r>
            <w:r w:rsidRPr="00A31387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  <w:noWrap/>
            <w:hideMark/>
          </w:tcPr>
          <w:p w:rsidR="00DF50FD" w:rsidRPr="00A31387" w14:paraId="21AE14A4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387">
              <w:rPr>
                <w:b/>
                <w:bCs/>
                <w:color w:val="000000"/>
                <w:sz w:val="22"/>
                <w:szCs w:val="22"/>
              </w:rPr>
              <w:t xml:space="preserve">Count </w:t>
            </w:r>
          </w:p>
        </w:tc>
      </w:tr>
      <w:tr w14:paraId="4A190AA2" w14:textId="77777777" w:rsidTr="00DF50FD">
        <w:tblPrEx>
          <w:tblW w:w="6115" w:type="dxa"/>
          <w:jc w:val="center"/>
          <w:tblLook w:val="04A0"/>
        </w:tblPrEx>
        <w:trPr>
          <w:trHeight w:val="288"/>
          <w:jc w:val="center"/>
        </w:trPr>
        <w:tc>
          <w:tcPr>
            <w:tcW w:w="4495" w:type="dxa"/>
            <w:noWrap/>
            <w:hideMark/>
          </w:tcPr>
          <w:p w:rsidR="00DF50FD" w:rsidRPr="00A31387" w14:paraId="65ABE631" w14:textId="77777777">
            <w:pPr>
              <w:rPr>
                <w:color w:val="000000"/>
                <w:sz w:val="22"/>
                <w:szCs w:val="22"/>
              </w:rPr>
            </w:pPr>
            <w:r w:rsidRPr="00A31387">
              <w:rPr>
                <w:color w:val="000000"/>
                <w:sz w:val="22"/>
                <w:szCs w:val="22"/>
              </w:rPr>
              <w:t xml:space="preserve">Epi Info™ Confluence </w:t>
            </w:r>
          </w:p>
        </w:tc>
        <w:tc>
          <w:tcPr>
            <w:tcW w:w="1620" w:type="dxa"/>
            <w:noWrap/>
            <w:hideMark/>
          </w:tcPr>
          <w:p w:rsidR="00DF50FD" w:rsidRPr="00A31387" w14:paraId="0EAAD0CD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A31387">
              <w:rPr>
                <w:color w:val="000000"/>
                <w:sz w:val="22"/>
                <w:szCs w:val="22"/>
              </w:rPr>
              <w:t>661</w:t>
            </w:r>
          </w:p>
        </w:tc>
      </w:tr>
      <w:tr w14:paraId="61366716" w14:textId="77777777" w:rsidTr="00DF50FD">
        <w:tblPrEx>
          <w:tblW w:w="6115" w:type="dxa"/>
          <w:jc w:val="center"/>
          <w:tblLook w:val="04A0"/>
        </w:tblPrEx>
        <w:trPr>
          <w:trHeight w:val="288"/>
          <w:jc w:val="center"/>
        </w:trPr>
        <w:tc>
          <w:tcPr>
            <w:tcW w:w="4495" w:type="dxa"/>
            <w:noWrap/>
            <w:hideMark/>
          </w:tcPr>
          <w:p w:rsidR="00DF50FD" w:rsidRPr="00A31387" w14:paraId="3DB9D19A" w14:textId="77777777">
            <w:pPr>
              <w:rPr>
                <w:color w:val="000000"/>
                <w:sz w:val="22"/>
                <w:szCs w:val="22"/>
              </w:rPr>
            </w:pPr>
            <w:r w:rsidRPr="00A31387">
              <w:rPr>
                <w:color w:val="000000"/>
                <w:sz w:val="22"/>
                <w:szCs w:val="22"/>
              </w:rPr>
              <w:t xml:space="preserve">Epi Info™ JIRA </w:t>
            </w:r>
          </w:p>
        </w:tc>
        <w:tc>
          <w:tcPr>
            <w:tcW w:w="1620" w:type="dxa"/>
            <w:noWrap/>
          </w:tcPr>
          <w:p w:rsidR="00DF50FD" w:rsidRPr="00A31387" w14:paraId="1CAAD83D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A31387">
              <w:rPr>
                <w:color w:val="000000"/>
                <w:sz w:val="22"/>
                <w:szCs w:val="22"/>
              </w:rPr>
              <w:t>1278</w:t>
            </w:r>
          </w:p>
        </w:tc>
      </w:tr>
      <w:tr w14:paraId="7A1B3165" w14:textId="77777777" w:rsidTr="00DF50FD">
        <w:tblPrEx>
          <w:tblW w:w="6115" w:type="dxa"/>
          <w:jc w:val="center"/>
          <w:tblLook w:val="04A0"/>
        </w:tblPrEx>
        <w:trPr>
          <w:trHeight w:val="288"/>
          <w:jc w:val="center"/>
        </w:trPr>
        <w:tc>
          <w:tcPr>
            <w:tcW w:w="4495" w:type="dxa"/>
            <w:noWrap/>
          </w:tcPr>
          <w:p w:rsidR="00DF50FD" w:rsidRPr="00A31387" w14:paraId="7F1DA967" w14:textId="75945EF9">
            <w:pPr>
              <w:rPr>
                <w:color w:val="000000"/>
                <w:sz w:val="22"/>
                <w:szCs w:val="22"/>
              </w:rPr>
            </w:pPr>
            <w:r w:rsidRPr="00A31387">
              <w:rPr>
                <w:color w:val="000000"/>
                <w:sz w:val="22"/>
                <w:szCs w:val="22"/>
              </w:rPr>
              <w:t xml:space="preserve">Recent Epi Info™ </w:t>
            </w:r>
            <w:r w:rsidRPr="00A31387">
              <w:rPr>
                <w:color w:val="000000"/>
                <w:sz w:val="22"/>
                <w:szCs w:val="22"/>
              </w:rPr>
              <w:t>Training Rosters</w:t>
            </w:r>
          </w:p>
        </w:tc>
        <w:tc>
          <w:tcPr>
            <w:tcW w:w="1620" w:type="dxa"/>
            <w:noWrap/>
          </w:tcPr>
          <w:p w:rsidR="00DF50FD" w:rsidRPr="00A31387" w14:paraId="2FF8E2A2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A31387">
              <w:rPr>
                <w:color w:val="000000"/>
                <w:sz w:val="22"/>
                <w:szCs w:val="22"/>
              </w:rPr>
              <w:t>225</w:t>
            </w:r>
          </w:p>
        </w:tc>
      </w:tr>
      <w:tr w14:paraId="11818FA9" w14:textId="77777777" w:rsidTr="00DF50FD">
        <w:tblPrEx>
          <w:tblW w:w="6115" w:type="dxa"/>
          <w:jc w:val="center"/>
          <w:tblLook w:val="04A0"/>
        </w:tblPrEx>
        <w:trPr>
          <w:trHeight w:val="288"/>
          <w:jc w:val="center"/>
        </w:trPr>
        <w:tc>
          <w:tcPr>
            <w:tcW w:w="4495" w:type="dxa"/>
            <w:noWrap/>
          </w:tcPr>
          <w:p w:rsidR="00DF50FD" w:rsidRPr="00A31387" w14:paraId="0042FA03" w14:textId="7E8A96A6">
            <w:pPr>
              <w:rPr>
                <w:color w:val="000000"/>
                <w:sz w:val="22"/>
                <w:szCs w:val="22"/>
              </w:rPr>
            </w:pPr>
            <w:r w:rsidRPr="00A31387">
              <w:rPr>
                <w:color w:val="000000"/>
                <w:sz w:val="22"/>
                <w:szCs w:val="22"/>
              </w:rPr>
              <w:t xml:space="preserve">Epi Info™ partners recommended by </w:t>
            </w:r>
            <w:r w:rsidR="00A2018B">
              <w:rPr>
                <w:color w:val="000000"/>
                <w:sz w:val="22"/>
                <w:szCs w:val="22"/>
              </w:rPr>
              <w:t>Epi Info™ team</w:t>
            </w:r>
            <w:r w:rsidRPr="00A31387">
              <w:rPr>
                <w:color w:val="000000"/>
                <w:sz w:val="22"/>
                <w:szCs w:val="22"/>
              </w:rPr>
              <w:t xml:space="preserve"> and listening session participants </w:t>
            </w:r>
          </w:p>
        </w:tc>
        <w:tc>
          <w:tcPr>
            <w:tcW w:w="1620" w:type="dxa"/>
            <w:noWrap/>
          </w:tcPr>
          <w:p w:rsidR="00DF50FD" w:rsidRPr="00A31387" w14:paraId="247E048E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A31387">
              <w:rPr>
                <w:color w:val="000000"/>
                <w:sz w:val="22"/>
                <w:szCs w:val="22"/>
              </w:rPr>
              <w:t>63</w:t>
            </w:r>
          </w:p>
        </w:tc>
      </w:tr>
      <w:tr w14:paraId="66249A1F" w14:textId="77777777" w:rsidTr="00DF50FD">
        <w:tblPrEx>
          <w:tblW w:w="6115" w:type="dxa"/>
          <w:jc w:val="center"/>
          <w:tblLook w:val="04A0"/>
        </w:tblPrEx>
        <w:trPr>
          <w:trHeight w:val="288"/>
          <w:jc w:val="center"/>
        </w:trPr>
        <w:tc>
          <w:tcPr>
            <w:tcW w:w="4495" w:type="dxa"/>
            <w:noWrap/>
            <w:hideMark/>
          </w:tcPr>
          <w:p w:rsidR="00DF50FD" w:rsidRPr="00A31387" w14:paraId="3271009D" w14:textId="77777777">
            <w:pPr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A31387">
              <w:rPr>
                <w:b/>
                <w:bCs/>
                <w:color w:val="000000"/>
                <w:sz w:val="22"/>
                <w:szCs w:val="22"/>
              </w:rPr>
              <w:t>Unique Emails</w:t>
            </w:r>
            <w:r w:rsidRPr="00A31387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  <w:noWrap/>
            <w:hideMark/>
          </w:tcPr>
          <w:p w:rsidR="00DF50FD" w:rsidRPr="00A31387" w14:paraId="3431660C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387">
              <w:rPr>
                <w:b/>
                <w:bCs/>
                <w:color w:val="000000"/>
                <w:sz w:val="22"/>
                <w:szCs w:val="22"/>
              </w:rPr>
              <w:t>1516</w:t>
            </w:r>
          </w:p>
        </w:tc>
      </w:tr>
    </w:tbl>
    <w:p w:rsidR="00DF50FD" w:rsidRPr="00DB58B9" w:rsidP="00DF50FD" w14:paraId="25398735" w14:textId="008476EC">
      <w:pPr>
        <w:ind w:left="1620"/>
        <w:rPr>
          <w:sz w:val="18"/>
          <w:szCs w:val="18"/>
        </w:rPr>
      </w:pPr>
      <w:r w:rsidRPr="00DB58B9">
        <w:rPr>
          <w:vertAlign w:val="superscript"/>
        </w:rPr>
        <w:t>1</w:t>
      </w:r>
      <w:r w:rsidRPr="00DB58B9">
        <w:rPr>
          <w:sz w:val="18"/>
          <w:szCs w:val="18"/>
        </w:rPr>
        <w:t xml:space="preserve">Individuals may appear </w:t>
      </w:r>
      <w:r>
        <w:rPr>
          <w:sz w:val="18"/>
          <w:szCs w:val="18"/>
        </w:rPr>
        <w:t xml:space="preserve">in more than one information </w:t>
      </w:r>
      <w:r w:rsidR="00F41E8C">
        <w:rPr>
          <w:sz w:val="18"/>
          <w:szCs w:val="18"/>
        </w:rPr>
        <w:t>source.</w:t>
      </w:r>
    </w:p>
    <w:p w:rsidR="00DF50FD" w:rsidP="00DF50FD" w14:paraId="1FF058BB" w14:textId="77777777">
      <w:pPr>
        <w:ind w:left="720"/>
        <w:jc w:val="center"/>
      </w:pPr>
    </w:p>
    <w:p w:rsidR="00F270A9" w:rsidP="00F270A9" w14:paraId="41CB86D9" w14:textId="05EC92F4">
      <w:pPr>
        <w:ind w:left="720"/>
      </w:pPr>
      <w:r>
        <w:t xml:space="preserve">A link to the </w:t>
      </w:r>
      <w:r w:rsidR="00E401A4">
        <w:t>online questionnaire</w:t>
      </w:r>
      <w:r>
        <w:t xml:space="preserve"> will </w:t>
      </w:r>
      <w:r w:rsidR="00731A62">
        <w:t xml:space="preserve">also </w:t>
      </w:r>
      <w:r>
        <w:t>be posted on selected websites, such the Epi Info™ website and CDC intranet home page</w:t>
      </w:r>
      <w:r w:rsidR="00E505E7">
        <w:t xml:space="preserve">. Since CDC does not maintain a </w:t>
      </w:r>
      <w:r w:rsidR="00F95949">
        <w:t xml:space="preserve">complete </w:t>
      </w:r>
      <w:r w:rsidR="00E505E7">
        <w:t xml:space="preserve">list of Epi Info™ users, this will </w:t>
      </w:r>
      <w:r>
        <w:t xml:space="preserve">allow feedback to be gathered from the broader community of users </w:t>
      </w:r>
      <w:r w:rsidR="00252F05">
        <w:t>not identified in the</w:t>
      </w:r>
      <w:r w:rsidR="00E401A4">
        <w:t xml:space="preserve"> information sources above</w:t>
      </w:r>
      <w:r>
        <w:t>.</w:t>
      </w:r>
      <w:r w:rsidR="00EE6835">
        <w:t xml:space="preserve"> </w:t>
      </w:r>
      <w:r>
        <w:t xml:space="preserve">The link to the </w:t>
      </w:r>
      <w:r w:rsidR="00252F05">
        <w:t>online questionnaire</w:t>
      </w:r>
      <w:r>
        <w:t xml:space="preserve"> may also be distributed by selected public health associations </w:t>
      </w:r>
      <w:r w:rsidR="004D7A14">
        <w:t xml:space="preserve">and organizations </w:t>
      </w:r>
      <w:r>
        <w:t>whose members are likely users of Epi Info™.</w:t>
      </w:r>
    </w:p>
    <w:p w:rsidR="00162DC1" w:rsidP="00A403BB" w14:paraId="218ACEBC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31E3B8A2">
      <w:pPr>
        <w:ind w:left="720"/>
      </w:pPr>
      <w:r>
        <w:t>[</w:t>
      </w:r>
      <w:r w:rsidR="00073F6C">
        <w:t>X</w:t>
      </w:r>
      <w:r>
        <w:t xml:space="preserve">] Web-based or other forms of </w:t>
      </w:r>
      <w:r>
        <w:t>Social Media</w:t>
      </w:r>
      <w:r>
        <w:t xml:space="preserve">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C658DD" w:rsidP="00C658DD" w14:paraId="4A27A79E" w14:textId="77777777"/>
    <w:p w:rsidR="00D03681" w:rsidP="00D03681" w14:paraId="5E266990" w14:textId="00DF5198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</w:t>
      </w:r>
      <w:r w:rsidR="001167F5">
        <w:t xml:space="preserve">  </w:t>
      </w:r>
      <w:r>
        <w:t>]</w:t>
      </w:r>
      <w:r>
        <w:t xml:space="preserve"> Yes [</w:t>
      </w:r>
      <w:r w:rsidR="001167F5">
        <w:t>X</w:t>
      </w:r>
      <w:r>
        <w:t>] No</w:t>
      </w:r>
    </w:p>
    <w:p w:rsidR="00B46F2C" w:rsidP="00F24CFC" w14:paraId="1BB31248" w14:textId="3B826F81">
      <w:pPr>
        <w:pStyle w:val="ListParagraph"/>
        <w:ind w:left="360"/>
      </w:pP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P="00A31387" w14:paraId="6717D2E3" w14:textId="7AA95DD2"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0B8BD2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B9036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4F1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60B606E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25647D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11EF891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B3A" w14:paraId="35C5C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793486">
    <w:abstractNumId w:val="10"/>
  </w:num>
  <w:num w:numId="2" w16cid:durableId="393699662">
    <w:abstractNumId w:val="16"/>
  </w:num>
  <w:num w:numId="3" w16cid:durableId="285546414">
    <w:abstractNumId w:val="15"/>
  </w:num>
  <w:num w:numId="4" w16cid:durableId="2040204602">
    <w:abstractNumId w:val="17"/>
  </w:num>
  <w:num w:numId="5" w16cid:durableId="1675690362">
    <w:abstractNumId w:val="3"/>
  </w:num>
  <w:num w:numId="6" w16cid:durableId="1224827768">
    <w:abstractNumId w:val="1"/>
  </w:num>
  <w:num w:numId="7" w16cid:durableId="1130827000">
    <w:abstractNumId w:val="8"/>
  </w:num>
  <w:num w:numId="8" w16cid:durableId="1742097051">
    <w:abstractNumId w:val="13"/>
  </w:num>
  <w:num w:numId="9" w16cid:durableId="1733890645">
    <w:abstractNumId w:val="9"/>
  </w:num>
  <w:num w:numId="10" w16cid:durableId="1076363995">
    <w:abstractNumId w:val="2"/>
  </w:num>
  <w:num w:numId="11" w16cid:durableId="163210718">
    <w:abstractNumId w:val="6"/>
  </w:num>
  <w:num w:numId="12" w16cid:durableId="104621668">
    <w:abstractNumId w:val="7"/>
  </w:num>
  <w:num w:numId="13" w16cid:durableId="1609267318">
    <w:abstractNumId w:val="0"/>
  </w:num>
  <w:num w:numId="14" w16cid:durableId="314262071">
    <w:abstractNumId w:val="14"/>
  </w:num>
  <w:num w:numId="15" w16cid:durableId="1862232978">
    <w:abstractNumId w:val="12"/>
  </w:num>
  <w:num w:numId="16" w16cid:durableId="1134447884">
    <w:abstractNumId w:val="11"/>
  </w:num>
  <w:num w:numId="17" w16cid:durableId="1193301623">
    <w:abstractNumId w:val="4"/>
  </w:num>
  <w:num w:numId="18" w16cid:durableId="2129155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E7E"/>
    <w:rsid w:val="00003E69"/>
    <w:rsid w:val="00016110"/>
    <w:rsid w:val="00021DAE"/>
    <w:rsid w:val="00023A57"/>
    <w:rsid w:val="000306DE"/>
    <w:rsid w:val="00032C74"/>
    <w:rsid w:val="00035236"/>
    <w:rsid w:val="00041F3A"/>
    <w:rsid w:val="0004695C"/>
    <w:rsid w:val="00047A64"/>
    <w:rsid w:val="00052168"/>
    <w:rsid w:val="00053599"/>
    <w:rsid w:val="00053772"/>
    <w:rsid w:val="00054788"/>
    <w:rsid w:val="00063043"/>
    <w:rsid w:val="00067329"/>
    <w:rsid w:val="0007052B"/>
    <w:rsid w:val="00073F6C"/>
    <w:rsid w:val="00076461"/>
    <w:rsid w:val="00081A3F"/>
    <w:rsid w:val="00084F6F"/>
    <w:rsid w:val="00093977"/>
    <w:rsid w:val="00095C6E"/>
    <w:rsid w:val="00096569"/>
    <w:rsid w:val="000A076B"/>
    <w:rsid w:val="000A4C2C"/>
    <w:rsid w:val="000B0BDD"/>
    <w:rsid w:val="000B0C8A"/>
    <w:rsid w:val="000B1E46"/>
    <w:rsid w:val="000B2838"/>
    <w:rsid w:val="000B6718"/>
    <w:rsid w:val="000C26FF"/>
    <w:rsid w:val="000C557D"/>
    <w:rsid w:val="000C6E7D"/>
    <w:rsid w:val="000D44CA"/>
    <w:rsid w:val="000D57E2"/>
    <w:rsid w:val="000E1EE2"/>
    <w:rsid w:val="000E200B"/>
    <w:rsid w:val="000F2C27"/>
    <w:rsid w:val="000F68BE"/>
    <w:rsid w:val="000F69AA"/>
    <w:rsid w:val="000F6D85"/>
    <w:rsid w:val="000F6E8B"/>
    <w:rsid w:val="000F752D"/>
    <w:rsid w:val="00107D0E"/>
    <w:rsid w:val="001167F5"/>
    <w:rsid w:val="00116ED9"/>
    <w:rsid w:val="0012125A"/>
    <w:rsid w:val="00131D2F"/>
    <w:rsid w:val="00132FDE"/>
    <w:rsid w:val="001365FF"/>
    <w:rsid w:val="00137B8F"/>
    <w:rsid w:val="00141B89"/>
    <w:rsid w:val="00145293"/>
    <w:rsid w:val="001453BE"/>
    <w:rsid w:val="001462FB"/>
    <w:rsid w:val="00146B20"/>
    <w:rsid w:val="001610C6"/>
    <w:rsid w:val="001622A7"/>
    <w:rsid w:val="00162DC1"/>
    <w:rsid w:val="001634DE"/>
    <w:rsid w:val="001708B4"/>
    <w:rsid w:val="00170D16"/>
    <w:rsid w:val="0018088E"/>
    <w:rsid w:val="00180EAC"/>
    <w:rsid w:val="001927A4"/>
    <w:rsid w:val="001933D9"/>
    <w:rsid w:val="00194AC6"/>
    <w:rsid w:val="0019619F"/>
    <w:rsid w:val="0019762C"/>
    <w:rsid w:val="001A1EB3"/>
    <w:rsid w:val="001A23B0"/>
    <w:rsid w:val="001A25CC"/>
    <w:rsid w:val="001A430E"/>
    <w:rsid w:val="001A7A65"/>
    <w:rsid w:val="001B0252"/>
    <w:rsid w:val="001B0AAA"/>
    <w:rsid w:val="001B107A"/>
    <w:rsid w:val="001B2123"/>
    <w:rsid w:val="001B2261"/>
    <w:rsid w:val="001B3232"/>
    <w:rsid w:val="001C39F7"/>
    <w:rsid w:val="001D1CE6"/>
    <w:rsid w:val="001D41FF"/>
    <w:rsid w:val="001D519E"/>
    <w:rsid w:val="001F25BB"/>
    <w:rsid w:val="001F5225"/>
    <w:rsid w:val="001F5645"/>
    <w:rsid w:val="0020150E"/>
    <w:rsid w:val="0021135F"/>
    <w:rsid w:val="002115C4"/>
    <w:rsid w:val="00217052"/>
    <w:rsid w:val="002179B0"/>
    <w:rsid w:val="002314CF"/>
    <w:rsid w:val="00236B6C"/>
    <w:rsid w:val="00237B48"/>
    <w:rsid w:val="00242A4B"/>
    <w:rsid w:val="00244CBD"/>
    <w:rsid w:val="0024521E"/>
    <w:rsid w:val="002455D1"/>
    <w:rsid w:val="00252F05"/>
    <w:rsid w:val="00261EF3"/>
    <w:rsid w:val="00263C3D"/>
    <w:rsid w:val="00265236"/>
    <w:rsid w:val="00274D0B"/>
    <w:rsid w:val="00277DC7"/>
    <w:rsid w:val="0028030F"/>
    <w:rsid w:val="002821FF"/>
    <w:rsid w:val="00290F64"/>
    <w:rsid w:val="00291893"/>
    <w:rsid w:val="00292B8A"/>
    <w:rsid w:val="002A0870"/>
    <w:rsid w:val="002A0D2D"/>
    <w:rsid w:val="002A3C89"/>
    <w:rsid w:val="002A5E8C"/>
    <w:rsid w:val="002B1C00"/>
    <w:rsid w:val="002B3C95"/>
    <w:rsid w:val="002C0B5C"/>
    <w:rsid w:val="002C4F30"/>
    <w:rsid w:val="002C5021"/>
    <w:rsid w:val="002D0B92"/>
    <w:rsid w:val="002D5E15"/>
    <w:rsid w:val="002E52CD"/>
    <w:rsid w:val="002E6D6F"/>
    <w:rsid w:val="002F04F5"/>
    <w:rsid w:val="002F673A"/>
    <w:rsid w:val="00300111"/>
    <w:rsid w:val="00300DD7"/>
    <w:rsid w:val="003039C3"/>
    <w:rsid w:val="003062CF"/>
    <w:rsid w:val="003124A8"/>
    <w:rsid w:val="00325177"/>
    <w:rsid w:val="00334788"/>
    <w:rsid w:val="00335B10"/>
    <w:rsid w:val="00346525"/>
    <w:rsid w:val="003500AD"/>
    <w:rsid w:val="003511B0"/>
    <w:rsid w:val="00352F1E"/>
    <w:rsid w:val="003532F5"/>
    <w:rsid w:val="003540A6"/>
    <w:rsid w:val="0035458D"/>
    <w:rsid w:val="00354B3A"/>
    <w:rsid w:val="00354F49"/>
    <w:rsid w:val="00356BE2"/>
    <w:rsid w:val="003625D3"/>
    <w:rsid w:val="003675DB"/>
    <w:rsid w:val="003700A2"/>
    <w:rsid w:val="00371693"/>
    <w:rsid w:val="003859BC"/>
    <w:rsid w:val="00390689"/>
    <w:rsid w:val="00390C9D"/>
    <w:rsid w:val="00391272"/>
    <w:rsid w:val="00391BB4"/>
    <w:rsid w:val="00391CCA"/>
    <w:rsid w:val="003A4773"/>
    <w:rsid w:val="003A4C87"/>
    <w:rsid w:val="003A6131"/>
    <w:rsid w:val="003A788B"/>
    <w:rsid w:val="003B1FB0"/>
    <w:rsid w:val="003B5441"/>
    <w:rsid w:val="003C2F6E"/>
    <w:rsid w:val="003C4F49"/>
    <w:rsid w:val="003D1F4E"/>
    <w:rsid w:val="003D2EAF"/>
    <w:rsid w:val="003D3993"/>
    <w:rsid w:val="003D5BBE"/>
    <w:rsid w:val="003E05AC"/>
    <w:rsid w:val="003E3C61"/>
    <w:rsid w:val="003F1C5B"/>
    <w:rsid w:val="003F2D4D"/>
    <w:rsid w:val="0040417A"/>
    <w:rsid w:val="004070ED"/>
    <w:rsid w:val="0041337D"/>
    <w:rsid w:val="00433B33"/>
    <w:rsid w:val="0043455D"/>
    <w:rsid w:val="00434E33"/>
    <w:rsid w:val="004373C8"/>
    <w:rsid w:val="00440A18"/>
    <w:rsid w:val="00441434"/>
    <w:rsid w:val="00441AF5"/>
    <w:rsid w:val="00446250"/>
    <w:rsid w:val="00450CC2"/>
    <w:rsid w:val="0045264C"/>
    <w:rsid w:val="00453087"/>
    <w:rsid w:val="004543E0"/>
    <w:rsid w:val="004614F8"/>
    <w:rsid w:val="00471C27"/>
    <w:rsid w:val="00474892"/>
    <w:rsid w:val="004876EC"/>
    <w:rsid w:val="0049197F"/>
    <w:rsid w:val="0049388D"/>
    <w:rsid w:val="00496322"/>
    <w:rsid w:val="0049781F"/>
    <w:rsid w:val="004A52CE"/>
    <w:rsid w:val="004C093B"/>
    <w:rsid w:val="004C2AD4"/>
    <w:rsid w:val="004C5E93"/>
    <w:rsid w:val="004D27F3"/>
    <w:rsid w:val="004D2C95"/>
    <w:rsid w:val="004D3F9C"/>
    <w:rsid w:val="004D6E14"/>
    <w:rsid w:val="004D7A14"/>
    <w:rsid w:val="004E1C18"/>
    <w:rsid w:val="004E6938"/>
    <w:rsid w:val="004F38AF"/>
    <w:rsid w:val="004F4418"/>
    <w:rsid w:val="005009B0"/>
    <w:rsid w:val="00506186"/>
    <w:rsid w:val="00512CA7"/>
    <w:rsid w:val="00513077"/>
    <w:rsid w:val="00526140"/>
    <w:rsid w:val="00530AD4"/>
    <w:rsid w:val="005375D9"/>
    <w:rsid w:val="00542388"/>
    <w:rsid w:val="00542E2E"/>
    <w:rsid w:val="005606FC"/>
    <w:rsid w:val="005620E0"/>
    <w:rsid w:val="0057227F"/>
    <w:rsid w:val="0057409F"/>
    <w:rsid w:val="00574C77"/>
    <w:rsid w:val="00577188"/>
    <w:rsid w:val="00580CF6"/>
    <w:rsid w:val="00583825"/>
    <w:rsid w:val="00591BB9"/>
    <w:rsid w:val="00591E4F"/>
    <w:rsid w:val="00593214"/>
    <w:rsid w:val="00594B76"/>
    <w:rsid w:val="005A1006"/>
    <w:rsid w:val="005A1ED9"/>
    <w:rsid w:val="005A7DA3"/>
    <w:rsid w:val="005B1E22"/>
    <w:rsid w:val="005C5BD8"/>
    <w:rsid w:val="005D4ED1"/>
    <w:rsid w:val="005D6B7B"/>
    <w:rsid w:val="005E1625"/>
    <w:rsid w:val="005E714A"/>
    <w:rsid w:val="005E762F"/>
    <w:rsid w:val="006011CD"/>
    <w:rsid w:val="0061217A"/>
    <w:rsid w:val="00613C13"/>
    <w:rsid w:val="006140A0"/>
    <w:rsid w:val="00621E79"/>
    <w:rsid w:val="00627ABD"/>
    <w:rsid w:val="00630CB5"/>
    <w:rsid w:val="006348E0"/>
    <w:rsid w:val="006359CF"/>
    <w:rsid w:val="00636621"/>
    <w:rsid w:val="00641AA0"/>
    <w:rsid w:val="00642635"/>
    <w:rsid w:val="00642B49"/>
    <w:rsid w:val="00643451"/>
    <w:rsid w:val="00651763"/>
    <w:rsid w:val="006559C9"/>
    <w:rsid w:val="00660A3F"/>
    <w:rsid w:val="0067603E"/>
    <w:rsid w:val="00676D2E"/>
    <w:rsid w:val="00681894"/>
    <w:rsid w:val="006832D9"/>
    <w:rsid w:val="00683368"/>
    <w:rsid w:val="00684BF3"/>
    <w:rsid w:val="00693438"/>
    <w:rsid w:val="0069403B"/>
    <w:rsid w:val="0069472D"/>
    <w:rsid w:val="006970D9"/>
    <w:rsid w:val="00697434"/>
    <w:rsid w:val="006B0B85"/>
    <w:rsid w:val="006B4FD8"/>
    <w:rsid w:val="006B5A31"/>
    <w:rsid w:val="006C11EF"/>
    <w:rsid w:val="006C34EA"/>
    <w:rsid w:val="006D4561"/>
    <w:rsid w:val="006E28BF"/>
    <w:rsid w:val="006E43AD"/>
    <w:rsid w:val="006F01EF"/>
    <w:rsid w:val="006F3DDE"/>
    <w:rsid w:val="00702480"/>
    <w:rsid w:val="00704678"/>
    <w:rsid w:val="00704A2D"/>
    <w:rsid w:val="007211A6"/>
    <w:rsid w:val="00721988"/>
    <w:rsid w:val="00731A62"/>
    <w:rsid w:val="00733F12"/>
    <w:rsid w:val="007425E7"/>
    <w:rsid w:val="00751637"/>
    <w:rsid w:val="00757F34"/>
    <w:rsid w:val="0076169D"/>
    <w:rsid w:val="0078130A"/>
    <w:rsid w:val="007878E2"/>
    <w:rsid w:val="007945A5"/>
    <w:rsid w:val="007A0B40"/>
    <w:rsid w:val="007A3016"/>
    <w:rsid w:val="007A5AB6"/>
    <w:rsid w:val="007B05B4"/>
    <w:rsid w:val="007B34DA"/>
    <w:rsid w:val="007D106B"/>
    <w:rsid w:val="007D5149"/>
    <w:rsid w:val="007E4645"/>
    <w:rsid w:val="00800291"/>
    <w:rsid w:val="00802607"/>
    <w:rsid w:val="00803C84"/>
    <w:rsid w:val="008101A5"/>
    <w:rsid w:val="00812E11"/>
    <w:rsid w:val="0081457D"/>
    <w:rsid w:val="00822664"/>
    <w:rsid w:val="008241C3"/>
    <w:rsid w:val="00824B95"/>
    <w:rsid w:val="00825AE4"/>
    <w:rsid w:val="0084247D"/>
    <w:rsid w:val="00842FA3"/>
    <w:rsid w:val="00843796"/>
    <w:rsid w:val="00845058"/>
    <w:rsid w:val="0084510D"/>
    <w:rsid w:val="008537C5"/>
    <w:rsid w:val="00864827"/>
    <w:rsid w:val="00867A9D"/>
    <w:rsid w:val="00882A92"/>
    <w:rsid w:val="00887DC8"/>
    <w:rsid w:val="00891C7F"/>
    <w:rsid w:val="0089240E"/>
    <w:rsid w:val="00894A71"/>
    <w:rsid w:val="00895229"/>
    <w:rsid w:val="00896793"/>
    <w:rsid w:val="00897C9D"/>
    <w:rsid w:val="008B546B"/>
    <w:rsid w:val="008B56B3"/>
    <w:rsid w:val="008B6186"/>
    <w:rsid w:val="008C0207"/>
    <w:rsid w:val="008D74B5"/>
    <w:rsid w:val="008E3B93"/>
    <w:rsid w:val="008F0203"/>
    <w:rsid w:val="008F2F18"/>
    <w:rsid w:val="008F50D4"/>
    <w:rsid w:val="009020A6"/>
    <w:rsid w:val="009050C2"/>
    <w:rsid w:val="00913F0B"/>
    <w:rsid w:val="009160EE"/>
    <w:rsid w:val="00920B9D"/>
    <w:rsid w:val="009239AA"/>
    <w:rsid w:val="00927048"/>
    <w:rsid w:val="009323FA"/>
    <w:rsid w:val="00935343"/>
    <w:rsid w:val="00935927"/>
    <w:rsid w:val="00935ADA"/>
    <w:rsid w:val="00942E9A"/>
    <w:rsid w:val="00943B4D"/>
    <w:rsid w:val="00946B6C"/>
    <w:rsid w:val="00954A76"/>
    <w:rsid w:val="00955A71"/>
    <w:rsid w:val="0095779F"/>
    <w:rsid w:val="0096108F"/>
    <w:rsid w:val="00963411"/>
    <w:rsid w:val="00964F6E"/>
    <w:rsid w:val="009763E8"/>
    <w:rsid w:val="0098207A"/>
    <w:rsid w:val="009933C5"/>
    <w:rsid w:val="00993A00"/>
    <w:rsid w:val="00997C83"/>
    <w:rsid w:val="009A55B2"/>
    <w:rsid w:val="009B1B97"/>
    <w:rsid w:val="009C13B9"/>
    <w:rsid w:val="009C5089"/>
    <w:rsid w:val="009C5CD3"/>
    <w:rsid w:val="009D01A2"/>
    <w:rsid w:val="009D47AC"/>
    <w:rsid w:val="009D7000"/>
    <w:rsid w:val="009E0020"/>
    <w:rsid w:val="009F1E7F"/>
    <w:rsid w:val="009F5923"/>
    <w:rsid w:val="00A0377E"/>
    <w:rsid w:val="00A15DA6"/>
    <w:rsid w:val="00A2018B"/>
    <w:rsid w:val="00A21CD6"/>
    <w:rsid w:val="00A25ED2"/>
    <w:rsid w:val="00A312A0"/>
    <w:rsid w:val="00A31387"/>
    <w:rsid w:val="00A37DED"/>
    <w:rsid w:val="00A403BB"/>
    <w:rsid w:val="00A52140"/>
    <w:rsid w:val="00A566BB"/>
    <w:rsid w:val="00A62DF9"/>
    <w:rsid w:val="00A6608C"/>
    <w:rsid w:val="00A674DF"/>
    <w:rsid w:val="00A67979"/>
    <w:rsid w:val="00A7218A"/>
    <w:rsid w:val="00A83AA6"/>
    <w:rsid w:val="00A83C50"/>
    <w:rsid w:val="00A83FB1"/>
    <w:rsid w:val="00A8437D"/>
    <w:rsid w:val="00A86325"/>
    <w:rsid w:val="00A902F4"/>
    <w:rsid w:val="00A93165"/>
    <w:rsid w:val="00A93E13"/>
    <w:rsid w:val="00A9494C"/>
    <w:rsid w:val="00AA0283"/>
    <w:rsid w:val="00AA07BF"/>
    <w:rsid w:val="00AA14FE"/>
    <w:rsid w:val="00AB23F9"/>
    <w:rsid w:val="00AC2C79"/>
    <w:rsid w:val="00AC489B"/>
    <w:rsid w:val="00AD1D36"/>
    <w:rsid w:val="00AD3D72"/>
    <w:rsid w:val="00AE1809"/>
    <w:rsid w:val="00AE7651"/>
    <w:rsid w:val="00AF01D6"/>
    <w:rsid w:val="00AF246E"/>
    <w:rsid w:val="00AF7DFF"/>
    <w:rsid w:val="00B01AFF"/>
    <w:rsid w:val="00B044BB"/>
    <w:rsid w:val="00B15C00"/>
    <w:rsid w:val="00B31AFC"/>
    <w:rsid w:val="00B37469"/>
    <w:rsid w:val="00B46930"/>
    <w:rsid w:val="00B46F2C"/>
    <w:rsid w:val="00B620E6"/>
    <w:rsid w:val="00B65DDD"/>
    <w:rsid w:val="00B7501A"/>
    <w:rsid w:val="00B76F71"/>
    <w:rsid w:val="00B80D76"/>
    <w:rsid w:val="00B876F2"/>
    <w:rsid w:val="00B91946"/>
    <w:rsid w:val="00B97B58"/>
    <w:rsid w:val="00BA20A4"/>
    <w:rsid w:val="00BA2105"/>
    <w:rsid w:val="00BA6FE4"/>
    <w:rsid w:val="00BA7E06"/>
    <w:rsid w:val="00BB43B5"/>
    <w:rsid w:val="00BB5491"/>
    <w:rsid w:val="00BB6219"/>
    <w:rsid w:val="00BC1A29"/>
    <w:rsid w:val="00BD290F"/>
    <w:rsid w:val="00BD2F21"/>
    <w:rsid w:val="00BD3A2F"/>
    <w:rsid w:val="00BD5271"/>
    <w:rsid w:val="00BD52B3"/>
    <w:rsid w:val="00BF03AD"/>
    <w:rsid w:val="00C008AA"/>
    <w:rsid w:val="00C14289"/>
    <w:rsid w:val="00C14CC4"/>
    <w:rsid w:val="00C14F0C"/>
    <w:rsid w:val="00C24AB3"/>
    <w:rsid w:val="00C258DD"/>
    <w:rsid w:val="00C3188A"/>
    <w:rsid w:val="00C33C52"/>
    <w:rsid w:val="00C409B6"/>
    <w:rsid w:val="00C40D8B"/>
    <w:rsid w:val="00C47189"/>
    <w:rsid w:val="00C52C79"/>
    <w:rsid w:val="00C5403B"/>
    <w:rsid w:val="00C626DE"/>
    <w:rsid w:val="00C658DD"/>
    <w:rsid w:val="00C66211"/>
    <w:rsid w:val="00C77EF7"/>
    <w:rsid w:val="00C809B5"/>
    <w:rsid w:val="00C82D99"/>
    <w:rsid w:val="00C83F4C"/>
    <w:rsid w:val="00C8407A"/>
    <w:rsid w:val="00C8488C"/>
    <w:rsid w:val="00C860E8"/>
    <w:rsid w:val="00C86E91"/>
    <w:rsid w:val="00C91D3A"/>
    <w:rsid w:val="00C9606B"/>
    <w:rsid w:val="00CA2650"/>
    <w:rsid w:val="00CA68F9"/>
    <w:rsid w:val="00CB0C07"/>
    <w:rsid w:val="00CB1078"/>
    <w:rsid w:val="00CC3593"/>
    <w:rsid w:val="00CC5664"/>
    <w:rsid w:val="00CC6FAF"/>
    <w:rsid w:val="00CC7C42"/>
    <w:rsid w:val="00CC7FAA"/>
    <w:rsid w:val="00CD436B"/>
    <w:rsid w:val="00CE0F4A"/>
    <w:rsid w:val="00CE7721"/>
    <w:rsid w:val="00CF5CA4"/>
    <w:rsid w:val="00D003CD"/>
    <w:rsid w:val="00D03681"/>
    <w:rsid w:val="00D04F06"/>
    <w:rsid w:val="00D13B79"/>
    <w:rsid w:val="00D1727D"/>
    <w:rsid w:val="00D23644"/>
    <w:rsid w:val="00D24698"/>
    <w:rsid w:val="00D270EB"/>
    <w:rsid w:val="00D307F9"/>
    <w:rsid w:val="00D30F30"/>
    <w:rsid w:val="00D3223C"/>
    <w:rsid w:val="00D52B3B"/>
    <w:rsid w:val="00D53428"/>
    <w:rsid w:val="00D54D5D"/>
    <w:rsid w:val="00D6383F"/>
    <w:rsid w:val="00D6457B"/>
    <w:rsid w:val="00D70B8D"/>
    <w:rsid w:val="00D71221"/>
    <w:rsid w:val="00D72694"/>
    <w:rsid w:val="00D800A5"/>
    <w:rsid w:val="00D801D7"/>
    <w:rsid w:val="00D9408B"/>
    <w:rsid w:val="00DA0E7B"/>
    <w:rsid w:val="00DB23A1"/>
    <w:rsid w:val="00DB58B9"/>
    <w:rsid w:val="00DB59D0"/>
    <w:rsid w:val="00DB7874"/>
    <w:rsid w:val="00DC1F5A"/>
    <w:rsid w:val="00DC32AE"/>
    <w:rsid w:val="00DC33D3"/>
    <w:rsid w:val="00DD1FAE"/>
    <w:rsid w:val="00DD3A41"/>
    <w:rsid w:val="00DE29AF"/>
    <w:rsid w:val="00DF1760"/>
    <w:rsid w:val="00DF50FD"/>
    <w:rsid w:val="00DF5FBF"/>
    <w:rsid w:val="00E02391"/>
    <w:rsid w:val="00E0677A"/>
    <w:rsid w:val="00E24B95"/>
    <w:rsid w:val="00E25217"/>
    <w:rsid w:val="00E252F3"/>
    <w:rsid w:val="00E26329"/>
    <w:rsid w:val="00E401A4"/>
    <w:rsid w:val="00E40B50"/>
    <w:rsid w:val="00E414E0"/>
    <w:rsid w:val="00E46147"/>
    <w:rsid w:val="00E50293"/>
    <w:rsid w:val="00E505E7"/>
    <w:rsid w:val="00E518B2"/>
    <w:rsid w:val="00E51A66"/>
    <w:rsid w:val="00E5751E"/>
    <w:rsid w:val="00E57B71"/>
    <w:rsid w:val="00E6018C"/>
    <w:rsid w:val="00E62A66"/>
    <w:rsid w:val="00E63BBC"/>
    <w:rsid w:val="00E63FFE"/>
    <w:rsid w:val="00E65FFC"/>
    <w:rsid w:val="00E75F23"/>
    <w:rsid w:val="00E80951"/>
    <w:rsid w:val="00E81B59"/>
    <w:rsid w:val="00E8222A"/>
    <w:rsid w:val="00E82250"/>
    <w:rsid w:val="00E84894"/>
    <w:rsid w:val="00E854FE"/>
    <w:rsid w:val="00E86CC6"/>
    <w:rsid w:val="00E9018F"/>
    <w:rsid w:val="00E94103"/>
    <w:rsid w:val="00EA01C1"/>
    <w:rsid w:val="00EA0FC1"/>
    <w:rsid w:val="00EA2686"/>
    <w:rsid w:val="00EA6ED8"/>
    <w:rsid w:val="00EB0E9F"/>
    <w:rsid w:val="00EB3D27"/>
    <w:rsid w:val="00EB4987"/>
    <w:rsid w:val="00EB56B3"/>
    <w:rsid w:val="00EC408C"/>
    <w:rsid w:val="00EC4426"/>
    <w:rsid w:val="00EC6B15"/>
    <w:rsid w:val="00ED4294"/>
    <w:rsid w:val="00ED6492"/>
    <w:rsid w:val="00ED7795"/>
    <w:rsid w:val="00EE0DBF"/>
    <w:rsid w:val="00EE1B4C"/>
    <w:rsid w:val="00EE1D19"/>
    <w:rsid w:val="00EE3237"/>
    <w:rsid w:val="00EE6835"/>
    <w:rsid w:val="00EF076C"/>
    <w:rsid w:val="00EF2095"/>
    <w:rsid w:val="00EF484B"/>
    <w:rsid w:val="00F01A8A"/>
    <w:rsid w:val="00F06866"/>
    <w:rsid w:val="00F10397"/>
    <w:rsid w:val="00F121F6"/>
    <w:rsid w:val="00F132BA"/>
    <w:rsid w:val="00F13D96"/>
    <w:rsid w:val="00F15956"/>
    <w:rsid w:val="00F20CFB"/>
    <w:rsid w:val="00F24CFC"/>
    <w:rsid w:val="00F270A9"/>
    <w:rsid w:val="00F3170F"/>
    <w:rsid w:val="00F32DE9"/>
    <w:rsid w:val="00F3447D"/>
    <w:rsid w:val="00F3472B"/>
    <w:rsid w:val="00F372E8"/>
    <w:rsid w:val="00F4017B"/>
    <w:rsid w:val="00F41E8C"/>
    <w:rsid w:val="00F518A1"/>
    <w:rsid w:val="00F54F1F"/>
    <w:rsid w:val="00F60CA9"/>
    <w:rsid w:val="00F664D4"/>
    <w:rsid w:val="00F8441D"/>
    <w:rsid w:val="00F8691B"/>
    <w:rsid w:val="00F95353"/>
    <w:rsid w:val="00F95949"/>
    <w:rsid w:val="00F95C85"/>
    <w:rsid w:val="00F969FB"/>
    <w:rsid w:val="00F976B0"/>
    <w:rsid w:val="00FA6DE7"/>
    <w:rsid w:val="00FB247A"/>
    <w:rsid w:val="00FC0A8E"/>
    <w:rsid w:val="00FC141C"/>
    <w:rsid w:val="00FC659F"/>
    <w:rsid w:val="00FD6D92"/>
    <w:rsid w:val="00FE2FA6"/>
    <w:rsid w:val="00FE3DF2"/>
    <w:rsid w:val="00FE503D"/>
    <w:rsid w:val="01CF2EF6"/>
    <w:rsid w:val="043E5197"/>
    <w:rsid w:val="04AD1A41"/>
    <w:rsid w:val="11DF15B5"/>
    <w:rsid w:val="16AC2231"/>
    <w:rsid w:val="1D1B63B5"/>
    <w:rsid w:val="1D785411"/>
    <w:rsid w:val="21E687BF"/>
    <w:rsid w:val="238AA539"/>
    <w:rsid w:val="25907DCF"/>
    <w:rsid w:val="2951D94F"/>
    <w:rsid w:val="29669B9C"/>
    <w:rsid w:val="3862FF4F"/>
    <w:rsid w:val="3EF81B18"/>
    <w:rsid w:val="48D3D424"/>
    <w:rsid w:val="4B7BD0A7"/>
    <w:rsid w:val="59059659"/>
    <w:rsid w:val="5DAE5FED"/>
    <w:rsid w:val="6064958A"/>
    <w:rsid w:val="631ACB27"/>
    <w:rsid w:val="66CB2BEE"/>
    <w:rsid w:val="673C2774"/>
    <w:rsid w:val="6BF6703A"/>
    <w:rsid w:val="6E5D2E12"/>
    <w:rsid w:val="70C9E15D"/>
    <w:rsid w:val="70EEBC9C"/>
    <w:rsid w:val="7E998F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2C17E4EE-43D3-46EB-B941-1BD09480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1135F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1708B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locked/>
    <w:rsid w:val="006B4FD8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713e0b27-e2fc-472c-83df-839ed001d4a3">
      <Terms xmlns="http://schemas.microsoft.com/office/infopath/2007/PartnerControls"/>
    </lcf76f155ced4ddcb4097134ff3c332f>
    <SharedWithUsers xmlns="52a7ae50-f400-4b7c-8c2d-4a66b921d317">
      <UserInfo>
        <DisplayName>Kelly A Hay</DisplayName>
        <AccountId>18</AccountId>
        <AccountType/>
      </UserInfo>
      <UserInfo>
        <DisplayName>Dr. Ida Sahlu Nagler</DisplayName>
        <AccountId>15</AccountId>
        <AccountType/>
      </UserInfo>
      <UserInfo>
        <DisplayName>Dr. John M Rose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24EE3D8412749BB532398B9C62F09" ma:contentTypeVersion="12" ma:contentTypeDescription="Create a new document." ma:contentTypeScope="" ma:versionID="fb8bcc9c52b6b28ab99a0d522368ff1f">
  <xsd:schema xmlns:xsd="http://www.w3.org/2001/XMLSchema" xmlns:xs="http://www.w3.org/2001/XMLSchema" xmlns:p="http://schemas.microsoft.com/office/2006/metadata/properties" xmlns:ns2="713e0b27-e2fc-472c-83df-839ed001d4a3" xmlns:ns3="52a7ae50-f400-4b7c-8c2d-4a66b921d317" xmlns:ns4="b5a44311-ed64-4a72-909f-c9dc6973bde2" targetNamespace="http://schemas.microsoft.com/office/2006/metadata/properties" ma:root="true" ma:fieldsID="7851379593cb92fa8c601088060a3e2c" ns2:_="" ns3:_="" ns4:_="">
    <xsd:import namespace="713e0b27-e2fc-472c-83df-839ed001d4a3"/>
    <xsd:import namespace="52a7ae50-f400-4b7c-8c2d-4a66b921d317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e0b27-e2fc-472c-83df-839ed001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7ae50-f400-4b7c-8c2d-4a66b921d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e08a07d-682d-4345-9430-6232e2ff8e0d}" ma:internalName="TaxCatchAll" ma:showField="CatchAllData" ma:web="52a7ae50-f400-4b7c-8c2d-4a66b921d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16A10-498D-4754-B976-E6539060A517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713e0b27-e2fc-472c-83df-839ed001d4a3"/>
    <ds:schemaRef ds:uri="52a7ae50-f400-4b7c-8c2d-4a66b921d317"/>
  </ds:schemaRefs>
</ds:datastoreItem>
</file>

<file path=customXml/itemProps2.xml><?xml version="1.0" encoding="utf-8"?>
<ds:datastoreItem xmlns:ds="http://schemas.openxmlformats.org/officeDocument/2006/customXml" ds:itemID="{C799938E-89E3-4355-AC39-B70F37B38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e0b27-e2fc-472c-83df-839ed001d4a3"/>
    <ds:schemaRef ds:uri="52a7ae50-f400-4b7c-8c2d-4a66b921d317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25654-4500-4F97-B4A3-A173493D7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B9851-B9B5-40C2-B616-EC1D71791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Gadsden-Knowles, Kim (CDC/DDPHSS/CSELS/DHIS)</cp:lastModifiedBy>
  <cp:revision>66</cp:revision>
  <cp:lastPrinted>2019-03-29T13:58:00Z</cp:lastPrinted>
  <dcterms:created xsi:type="dcterms:W3CDTF">2023-06-13T14:05:00Z</dcterms:created>
  <dcterms:modified xsi:type="dcterms:W3CDTF">2023-06-20T23:01:00Z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0x0101007CC24EE3D8412749BB532398B9C62F09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1dd939b7-340f-40f6-a4e5-ade93c70f2ce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2022-05-13T16:36:36Z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