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8751C" w14:paraId="534A1F50" w14:textId="777777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Invitation Email</w:t>
      </w:r>
    </w:p>
    <w:p w:rsidR="00E8751C" w14:paraId="5DA02AF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51C" w14:paraId="649DE71A" w14:textId="7E1C0B7A">
      <w:pPr>
        <w:spacing w:after="0" w:line="276" w:lineRule="auto"/>
        <w:rPr>
          <w:rFonts w:ascii="Source Sans Pro" w:eastAsia="Source Sans Pro" w:hAnsi="Source Sans Pro" w:cs="Source Sans Pro"/>
          <w:b/>
          <w:sz w:val="36"/>
          <w:szCs w:val="36"/>
        </w:rPr>
      </w:pPr>
      <w:r>
        <w:rPr>
          <w:rFonts w:ascii="Source Sans Pro" w:eastAsia="Source Sans Pro" w:hAnsi="Source Sans Pro" w:cs="Source Sans Pro"/>
          <w:b/>
          <w:sz w:val="36"/>
          <w:szCs w:val="36"/>
        </w:rPr>
        <w:t xml:space="preserve">Join a </w:t>
      </w:r>
      <w:r w:rsidR="003A09DD">
        <w:rPr>
          <w:rFonts w:ascii="Source Sans Pro" w:eastAsia="Source Sans Pro" w:hAnsi="Source Sans Pro" w:cs="Source Sans Pro"/>
          <w:b/>
          <w:sz w:val="36"/>
          <w:szCs w:val="36"/>
        </w:rPr>
        <w:t>9</w:t>
      </w:r>
      <w:r>
        <w:rPr>
          <w:rFonts w:ascii="Source Sans Pro" w:eastAsia="Source Sans Pro" w:hAnsi="Source Sans Pro" w:cs="Source Sans Pro"/>
          <w:b/>
          <w:sz w:val="36"/>
          <w:szCs w:val="36"/>
        </w:rPr>
        <w:t xml:space="preserve">0-minute </w:t>
      </w:r>
      <w:r w:rsidR="00616E6A">
        <w:rPr>
          <w:rFonts w:ascii="Source Sans Pro" w:eastAsia="Source Sans Pro" w:hAnsi="Source Sans Pro" w:cs="Source Sans Pro"/>
          <w:b/>
          <w:sz w:val="36"/>
          <w:szCs w:val="36"/>
        </w:rPr>
        <w:t>PHDS 2.0</w:t>
      </w:r>
      <w:r>
        <w:rPr>
          <w:rFonts w:ascii="Source Sans Pro" w:eastAsia="Source Sans Pro" w:hAnsi="Source Sans Pro" w:cs="Source Sans Pro"/>
          <w:b/>
          <w:sz w:val="36"/>
          <w:szCs w:val="36"/>
        </w:rPr>
        <w:t xml:space="preserve"> Focus Group to </w:t>
      </w:r>
      <w:r w:rsidR="00616E6A">
        <w:rPr>
          <w:rFonts w:ascii="Source Sans Pro" w:eastAsia="Source Sans Pro" w:hAnsi="Source Sans Pro" w:cs="Source Sans Pro"/>
          <w:b/>
          <w:sz w:val="36"/>
          <w:szCs w:val="36"/>
        </w:rPr>
        <w:t>revisit CDC’s public health data strategy for FY 2024.</w:t>
      </w:r>
    </w:p>
    <w:p w:rsidR="00E8751C" w14:paraId="18B7BD52" w14:textId="77777777">
      <w:pPr>
        <w:spacing w:after="0" w:line="276" w:lineRule="auto"/>
        <w:rPr>
          <w:rFonts w:ascii="Source Sans Pro" w:eastAsia="Source Sans Pro" w:hAnsi="Source Sans Pro" w:cs="Source Sans Pro"/>
          <w:b/>
          <w:sz w:val="30"/>
          <w:szCs w:val="30"/>
        </w:rPr>
      </w:pPr>
    </w:p>
    <w:p w:rsidR="00E8751C" w14:paraId="5BE6A357" w14:textId="77777777">
      <w:pPr>
        <w:spacing w:after="0" w:line="276" w:lineRule="auto"/>
        <w:rPr>
          <w:b/>
        </w:rPr>
      </w:pPr>
      <w:r>
        <w:rPr>
          <w:b/>
        </w:rPr>
        <w:t>Why focus groups?</w:t>
      </w:r>
    </w:p>
    <w:p w:rsidR="00E8751C" w14:paraId="3A15356B" w14:textId="77777777">
      <w:pPr>
        <w:spacing w:after="0" w:line="276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We want to gather input from state, tribal, local, and territorial (STLT) public health agencies</w:t>
      </w:r>
      <w:r w:rsidR="00616E6A">
        <w:rPr>
          <w:rFonts w:ascii="Source Sans Pro" w:eastAsia="Source Sans Pro" w:hAnsi="Source Sans Pro" w:cs="Source Sans Pro"/>
        </w:rPr>
        <w:t xml:space="preserve"> as well as public health partners</w:t>
      </w:r>
      <w:r>
        <w:rPr>
          <w:rFonts w:ascii="Source Sans Pro" w:eastAsia="Source Sans Pro" w:hAnsi="Source Sans Pro" w:cs="Source Sans Pro"/>
        </w:rPr>
        <w:t xml:space="preserve"> to inform the </w:t>
      </w:r>
      <w:r w:rsidR="00616E6A">
        <w:rPr>
          <w:rFonts w:ascii="Source Sans Pro" w:eastAsia="Source Sans Pro" w:hAnsi="Source Sans Pro" w:cs="Source Sans Pro"/>
        </w:rPr>
        <w:t xml:space="preserve">revision of Public Health Data Strategy (PHDS) goals and milestones for the new fiscal year. Topics in the focus groups will be a) resonance of current goals, b) </w:t>
      </w:r>
      <w:r>
        <w:rPr>
          <w:rFonts w:ascii="Source Sans Pro" w:eastAsia="Source Sans Pro" w:hAnsi="Source Sans Pro" w:cs="Source Sans Pro"/>
        </w:rPr>
        <w:t>prioritizatio</w:t>
      </w:r>
      <w:r w:rsidR="00616E6A">
        <w:rPr>
          <w:rFonts w:ascii="Source Sans Pro" w:eastAsia="Source Sans Pro" w:hAnsi="Source Sans Pro" w:cs="Source Sans Pro"/>
        </w:rPr>
        <w:t>n of goals, and c) validation of the milestones set for the coming year. The PHDS 2.0 will be a t</w:t>
      </w:r>
      <w:r>
        <w:rPr>
          <w:rFonts w:ascii="Source Sans Pro" w:eastAsia="Source Sans Pro" w:hAnsi="Source Sans Pro" w:cs="Source Sans Pro"/>
        </w:rPr>
        <w:t xml:space="preserve">ool to help </w:t>
      </w:r>
      <w:r w:rsidR="00616E6A">
        <w:rPr>
          <w:rFonts w:ascii="Source Sans Pro" w:eastAsia="Source Sans Pro" w:hAnsi="Source Sans Pro" w:cs="Source Sans Pro"/>
        </w:rPr>
        <w:t>CDC</w:t>
      </w:r>
      <w:r>
        <w:rPr>
          <w:rFonts w:ascii="Source Sans Pro" w:eastAsia="Source Sans Pro" w:hAnsi="Source Sans Pro" w:cs="Source Sans Pro"/>
        </w:rPr>
        <w:t xml:space="preserve"> more efficiently and effectively </w:t>
      </w:r>
      <w:r w:rsidR="00616E6A">
        <w:rPr>
          <w:rFonts w:ascii="Source Sans Pro" w:eastAsia="Source Sans Pro" w:hAnsi="Source Sans Pro" w:cs="Source Sans Pro"/>
        </w:rPr>
        <w:t xml:space="preserve">work to </w:t>
      </w:r>
      <w:r>
        <w:rPr>
          <w:rFonts w:ascii="Source Sans Pro" w:eastAsia="Source Sans Pro" w:hAnsi="Source Sans Pro" w:cs="Source Sans Pro"/>
        </w:rPr>
        <w:t>collect, use, analyze, and share surveillance data</w:t>
      </w:r>
      <w:r w:rsidR="00616E6A">
        <w:rPr>
          <w:rFonts w:ascii="Source Sans Pro" w:eastAsia="Source Sans Pro" w:hAnsi="Source Sans Pro" w:cs="Source Sans Pro"/>
        </w:rPr>
        <w:t xml:space="preserve"> to meet customer needs</w:t>
      </w:r>
      <w:r>
        <w:rPr>
          <w:rFonts w:ascii="Source Sans Pro" w:eastAsia="Source Sans Pro" w:hAnsi="Source Sans Pro" w:cs="Source Sans Pro"/>
        </w:rPr>
        <w:t xml:space="preserve">. </w:t>
      </w:r>
    </w:p>
    <w:p w:rsidR="00E8751C" w14:paraId="5AAF2A87" w14:textId="77777777">
      <w:pPr>
        <w:spacing w:after="0" w:line="276" w:lineRule="auto"/>
        <w:rPr>
          <w:rFonts w:ascii="Source Sans Pro" w:eastAsia="Source Sans Pro" w:hAnsi="Source Sans Pro" w:cs="Source Sans Pro"/>
        </w:rPr>
      </w:pPr>
    </w:p>
    <w:p w:rsidR="00E8751C" w14:paraId="0CFF6306" w14:textId="77777777">
      <w:pPr>
        <w:spacing w:after="0" w:line="276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These focus groups will be conducted in a workshop format, where everyone’s voice will be heard. </w:t>
      </w:r>
    </w:p>
    <w:p w:rsidR="00E8751C" w14:paraId="3C8698D3" w14:textId="77777777">
      <w:pPr>
        <w:spacing w:after="0" w:line="276" w:lineRule="auto"/>
      </w:pPr>
    </w:p>
    <w:p w:rsidR="00E8751C" w14:paraId="12A1A09C" w14:textId="77777777">
      <w:pPr>
        <w:spacing w:after="0" w:line="276" w:lineRule="auto"/>
        <w:rPr>
          <w:b/>
        </w:rPr>
      </w:pPr>
      <w:r>
        <w:rPr>
          <w:b/>
        </w:rPr>
        <w:t>What do we want to know?</w:t>
      </w:r>
    </w:p>
    <w:p w:rsidR="00E8751C" w14:paraId="5D9B3EDC" w14:textId="77777777">
      <w:pPr>
        <w:spacing w:after="0" w:line="276" w:lineRule="auto"/>
      </w:pPr>
      <w:r>
        <w:t xml:space="preserve">We want to identify </w:t>
      </w:r>
      <w:r w:rsidR="00616E6A">
        <w:t xml:space="preserve">public health </w:t>
      </w:r>
      <w:r>
        <w:t>pain point</w:t>
      </w:r>
      <w:r w:rsidR="00616E6A">
        <w:t>s and they are related to CDC goals. We also want to prioritize the goals &amp; milestones to work more effectively at addressing these pain points.</w:t>
      </w:r>
    </w:p>
    <w:p w:rsidR="00616E6A" w14:paraId="27C774FC" w14:textId="77777777">
      <w:pPr>
        <w:spacing w:after="0" w:line="276" w:lineRule="auto"/>
        <w:rPr>
          <w:b/>
        </w:rPr>
      </w:pPr>
    </w:p>
    <w:p w:rsidR="00E8751C" w14:paraId="29DFB314" w14:textId="77777777">
      <w:pPr>
        <w:spacing w:after="0" w:line="276" w:lineRule="auto"/>
      </w:pPr>
      <w:r>
        <w:t>We’ll initially have a topic-centered approach for these groups with a specific focus on</w:t>
      </w:r>
      <w:r w:rsidR="00616E6A">
        <w:rPr>
          <w:rFonts w:ascii="Source Sans Pro" w:eastAsia="Source Sans Pro" w:hAnsi="Source Sans Pro" w:cs="Source Sans Pro"/>
          <w:sz w:val="20"/>
          <w:szCs w:val="20"/>
        </w:rPr>
        <w:t xml:space="preserve"> the existing PHDS 1.0 goals:</w:t>
      </w:r>
    </w:p>
    <w:p w:rsidR="00E8751C" w14:paraId="05E5BD57" w14:textId="77777777">
      <w:pPr>
        <w:spacing w:after="0" w:line="276" w:lineRule="auto"/>
        <w:rPr>
          <w:b/>
        </w:rPr>
      </w:pPr>
      <w:r>
        <w:rPr>
          <w:b/>
        </w:rPr>
        <w:t xml:space="preserve"> </w:t>
      </w:r>
    </w:p>
    <w:p w:rsidR="00E8751C" w14:paraId="599D797D" w14:textId="77777777">
      <w:pPr>
        <w:spacing w:after="0" w:line="276" w:lineRule="auto"/>
        <w:rPr>
          <w:b/>
        </w:rPr>
      </w:pPr>
      <w:r>
        <w:rPr>
          <w:b/>
        </w:rPr>
        <w:t>Who should participate?</w:t>
      </w:r>
    </w:p>
    <w:p w:rsidR="00E8751C" w14:paraId="094A83CF" w14:textId="77777777">
      <w:pPr>
        <w:spacing w:after="0" w:line="276" w:lineRule="auto"/>
      </w:pPr>
      <w:r>
        <w:t xml:space="preserve">We want to hear from STLT public health agency staff who interact with surveillance data at any point along the lifecycle (including but not limited to epidemiologists, IT staff, </w:t>
      </w:r>
      <w:r>
        <w:t>nurses</w:t>
      </w:r>
      <w:r>
        <w:t xml:space="preserve"> and administrators).</w:t>
      </w:r>
    </w:p>
    <w:p w:rsidR="00E8751C" w14:paraId="0AAF560C" w14:textId="77777777">
      <w:pPr>
        <w:spacing w:after="0" w:line="276" w:lineRule="auto"/>
        <w:rPr>
          <w:b/>
        </w:rPr>
      </w:pPr>
      <w:r>
        <w:rPr>
          <w:b/>
        </w:rPr>
        <w:t xml:space="preserve"> </w:t>
      </w:r>
    </w:p>
    <w:p w:rsidR="00E8751C" w14:paraId="0384C688" w14:textId="77777777">
      <w:pPr>
        <w:spacing w:after="0" w:line="276" w:lineRule="auto"/>
        <w:rPr>
          <w:b/>
        </w:rPr>
      </w:pPr>
      <w:r>
        <w:rPr>
          <w:b/>
        </w:rPr>
        <w:t>How do you sign up?</w:t>
      </w:r>
    </w:p>
    <w:p w:rsidR="00616E6A" w14:paraId="17C0FD6A" w14:textId="77777777">
      <w:pPr>
        <w:spacing w:after="0" w:line="276" w:lineRule="auto"/>
      </w:pPr>
      <w:r>
        <w:t xml:space="preserve">Focus groups will </w:t>
      </w:r>
      <w:r>
        <w:t>held</w:t>
      </w:r>
      <w:r>
        <w:t xml:space="preserve"> </w:t>
      </w:r>
      <w:r>
        <w:t>November</w:t>
      </w:r>
      <w:r>
        <w:t xml:space="preserve"> </w:t>
      </w:r>
      <w:r>
        <w:t>6-14</w:t>
      </w:r>
      <w:r w:rsidRPr="00616E6A">
        <w:rPr>
          <w:vertAlign w:val="superscript"/>
        </w:rPr>
        <w:t>th</w:t>
      </w:r>
      <w:r>
        <w:t xml:space="preserve">. </w:t>
      </w:r>
      <w:r>
        <w:t>Please use this link to sign up:</w:t>
      </w:r>
    </w:p>
    <w:p w:rsidR="00E8751C" w14:paraId="61C69336" w14:textId="77777777">
      <w:pPr>
        <w:spacing w:after="0" w:line="276" w:lineRule="auto"/>
      </w:pPr>
      <w:hyperlink r:id="rId5">
        <w:r w:rsidR="00616E6A">
          <w:rPr>
            <w:color w:val="1155CC"/>
            <w:highlight w:val="white"/>
            <w:u w:val="single"/>
          </w:rPr>
          <w:t>[insert</w:t>
        </w:r>
      </w:hyperlink>
      <w:r w:rsidR="00616E6A">
        <w:rPr>
          <w:color w:val="1155CC"/>
          <w:u w:val="single"/>
        </w:rPr>
        <w:t xml:space="preserve"> link here]</w:t>
      </w:r>
    </w:p>
    <w:p w:rsidR="00E8751C" w14:paraId="1A0A784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after="0" w:line="240" w:lineRule="auto"/>
        <w:rPr>
          <w:rFonts w:ascii="Arial" w:eastAsia="Arial" w:hAnsi="Arial" w:cs="Arial"/>
          <w:u w:val="single"/>
        </w:rPr>
      </w:pPr>
    </w:p>
    <w:p w:rsidR="00E8751C" w14:paraId="1EB5FB37" w14:textId="77777777">
      <w:pPr>
        <w:spacing w:after="0" w:line="276" w:lineRule="auto"/>
        <w:rPr>
          <w:b/>
        </w:rPr>
      </w:pPr>
      <w:r>
        <w:rPr>
          <w:b/>
        </w:rPr>
        <w:t xml:space="preserve">If you have any questions, please send an email to: </w:t>
      </w:r>
      <w:hyperlink r:id="rId6">
        <w:r>
          <w:rPr>
            <w:b/>
            <w:color w:val="1155CC"/>
            <w:u w:val="single"/>
          </w:rPr>
          <w:t>dmibuildingblocks@cdc.gov</w:t>
        </w:r>
      </w:hyperlink>
    </w:p>
    <w:p w:rsidR="00E8751C" w14:paraId="46732D45" w14:textId="77777777">
      <w:pPr>
        <w:spacing w:after="0" w:line="276" w:lineRule="auto"/>
        <w:rPr>
          <w:b/>
        </w:rPr>
      </w:pPr>
    </w:p>
    <w:p w:rsidR="00E8751C" w14:paraId="4B9C8410" w14:textId="77777777">
      <w:pPr>
        <w:spacing w:after="0" w:line="276" w:lineRule="auto"/>
        <w:rPr>
          <w:b/>
        </w:rPr>
      </w:pPr>
      <w:r>
        <w:rPr>
          <w:b/>
        </w:rPr>
        <w:t xml:space="preserve">WE LOOK FORWARD TO LEARNING FROM YOU! </w:t>
      </w:r>
    </w:p>
    <w:p w:rsidR="00E8751C" w14:paraId="4E83250A" w14:textId="77777777">
      <w:pPr>
        <w:spacing w:after="0" w:line="276" w:lineRule="auto"/>
        <w:rPr>
          <w:b/>
        </w:rPr>
      </w:pPr>
    </w:p>
    <w:p w:rsidR="00E8751C" w:rsidRPr="003A09DD" w:rsidP="003A09DD" w14:paraId="1830D890" w14:textId="19F8D03E">
      <w:pPr>
        <w:rPr>
          <w:rFonts w:cs="Times New Roman"/>
        </w:rPr>
      </w:pPr>
      <w:r w:rsidRPr="003A09DD">
        <w:rPr>
          <w:rFonts w:cs="Times New Roman"/>
        </w:rPr>
        <w:t xml:space="preserve">Public reporting burden of this collection of information is estimated to average </w:t>
      </w:r>
      <w:r>
        <w:rPr>
          <w:rFonts w:cs="Times New Roman"/>
        </w:rPr>
        <w:t>9</w:t>
      </w:r>
      <w:r w:rsidRPr="003A09DD">
        <w:rPr>
          <w:rFonts w:cs="Times New Roman"/>
        </w:rPr>
        <w:t xml:space="preserve">0 minutes per response, including the time for reviewing instructions, searching existing data sources, </w:t>
      </w:r>
      <w:r w:rsidRPr="003A09DD">
        <w:rPr>
          <w:rFonts w:cs="Times New Roman"/>
        </w:rPr>
        <w:t>gathering</w:t>
      </w:r>
      <w:r w:rsidRPr="003A09DD">
        <w:rPr>
          <w:rFonts w:cs="Times New Roman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</w:t>
      </w:r>
      <w:r>
        <w:rPr>
          <w:rFonts w:cs="Times New Roman"/>
        </w:rPr>
        <w:t>H21-8</w:t>
      </w:r>
      <w:r w:rsidRPr="003A09DD">
        <w:rPr>
          <w:rFonts w:cs="Times New Roman"/>
        </w:rPr>
        <w:t xml:space="preserve"> Atlanta, Georgia 30333; ATTN: PRA (0920-1</w:t>
      </w:r>
      <w:r>
        <w:rPr>
          <w:rFonts w:cs="Times New Roman"/>
        </w:rPr>
        <w:t>050</w:t>
      </w:r>
      <w:r w:rsidRPr="003A09DD">
        <w:rPr>
          <w:rFonts w:cs="Times New Roman"/>
        </w:rPr>
        <w:t>)</w:t>
      </w:r>
    </w:p>
    <w:p w:rsidR="00E8751C" w14:paraId="24F0BD51" w14:textId="77777777">
      <w:pPr>
        <w:spacing w:after="0" w:line="276" w:lineRule="auto"/>
        <w:rPr>
          <w:b/>
        </w:rPr>
      </w:pPr>
    </w:p>
    <w:p w:rsidR="00E8751C" w14:paraId="429B9E53" w14:textId="77777777">
      <w:pPr>
        <w:spacing w:after="0" w:line="276" w:lineRule="auto"/>
        <w:rPr>
          <w:b/>
        </w:rPr>
      </w:pPr>
    </w:p>
    <w:p w:rsidR="00E8751C" w14:paraId="67159E15" w14:textId="77777777">
      <w:pPr>
        <w:spacing w:after="0" w:line="276" w:lineRule="auto"/>
        <w:rPr>
          <w:b/>
        </w:rPr>
      </w:pPr>
    </w:p>
    <w:p w:rsidR="00E8751C" w14:paraId="435E73DB" w14:textId="77777777">
      <w:pPr>
        <w:spacing w:after="0" w:line="276" w:lineRule="auto"/>
        <w:rPr>
          <w:b/>
        </w:rPr>
      </w:pPr>
    </w:p>
    <w:p w:rsidR="00E8751C" w14:paraId="198F6570" w14:textId="77777777">
      <w:pPr>
        <w:spacing w:after="0" w:line="276" w:lineRule="auto"/>
        <w:rPr>
          <w:b/>
        </w:rPr>
      </w:pPr>
    </w:p>
    <w:p w:rsidR="00AF5DA1" w14:paraId="216F1DE1" w14:textId="77777777">
      <w:pPr>
        <w:spacing w:after="0" w:line="276" w:lineRule="auto"/>
        <w:rPr>
          <w:b/>
          <w:i/>
        </w:rPr>
      </w:pPr>
    </w:p>
    <w:p w:rsidR="00CE0D86" w14:paraId="3ED9F484" w14:textId="77777777">
      <w:pPr>
        <w:spacing w:after="0" w:line="276" w:lineRule="auto"/>
        <w:rPr>
          <w:b/>
          <w:i/>
        </w:rPr>
      </w:pPr>
    </w:p>
    <w:p w:rsidR="00E8751C" w14:paraId="4A863322" w14:textId="77777777">
      <w:pPr>
        <w:spacing w:after="0" w:line="276" w:lineRule="auto"/>
        <w:rPr>
          <w:b/>
          <w:i/>
        </w:rPr>
      </w:pPr>
      <w:r>
        <w:rPr>
          <w:b/>
          <w:i/>
        </w:rPr>
        <w:t>Signup Form</w:t>
      </w:r>
    </w:p>
    <w:p w:rsidR="00E8751C" w14:paraId="19648E9F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4906183" cy="7319963"/>
            <wp:effectExtent l="0" t="0" r="0" b="0"/>
            <wp:docPr id="1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6183" cy="731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51C" w14:paraId="41C0397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51C" w14:paraId="066A2E1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E8751C" w14:paraId="32767B8D" w14:textId="777777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Mural.co</w:t>
      </w:r>
    </w:p>
    <w:p w:rsidR="00E8751C" w14:paraId="066E923D" w14:textId="777777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Mural.co view - only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8751C" w:rsidP="004250EF" w14:paraId="5AECE29C" w14:textId="77777777">
      <w:pPr>
        <w:tabs>
          <w:tab w:val="center" w:pos="45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 w:history="1">
        <w:r w:rsidRPr="004250EF" w:rsidR="004250EF">
          <w:rPr>
            <w:rStyle w:val="Hyperlink"/>
          </w:rPr>
          <w:t>https://app.mural.co/t/primedatainput6410/m/primedatainput6410/1698240745702/78e18a536766086648894b0797de0029e6cbae79?sender=u90053609a796446034c81828</w:t>
        </w:r>
      </w:hyperlink>
    </w:p>
    <w:p w:rsidR="004250EF" w14:paraId="4CBE5A34" w14:textId="777777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751C" w14:paraId="3D976D6F" w14:textId="777777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Screenshot of the Mural.co board</w:t>
      </w:r>
      <w:r w:rsidR="004250EF">
        <w:rPr>
          <w:rFonts w:ascii="Times New Roman" w:eastAsia="Times New Roman" w:hAnsi="Times New Roman" w:cs="Times New Roman"/>
          <w:i/>
          <w:sz w:val="24"/>
          <w:szCs w:val="24"/>
        </w:rPr>
        <w:t xml:space="preserve"> outline</w:t>
      </w:r>
    </w:p>
    <w:p w:rsidR="00E8751C" w14:paraId="754E0E6B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51C" w14:paraId="4E8C0992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51C" w14:paraId="6D57F2B0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00800" cy="4577715"/>
            <wp:effectExtent l="0" t="0" r="0" b="0"/>
            <wp:docPr id="3844217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21714" name="Picture 384421714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57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D86" w14:paraId="6206432B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CE0D86" w:rsidP="00CE0D86" w14:paraId="254BC4EE" w14:textId="777777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Screenshot of the Mural.co board Problem 1</w:t>
      </w:r>
    </w:p>
    <w:p w:rsidR="00CE0D86" w:rsidP="00CE0D86" w14:paraId="66CE9F0C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D86" w:rsidP="00CE0D86" w14:paraId="1FB87F3B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D86" w14:paraId="03F5B52E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D86" w14:paraId="043468C7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61000" cy="3352800"/>
            <wp:effectExtent l="0" t="0" r="0" b="0"/>
            <wp:docPr id="17763599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359947" name="Picture 1776359947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D86" w14:paraId="69A43D35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D86" w:rsidP="00CE0D86" w14:paraId="5CCD0CD1" w14:textId="777777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Screenshot of the Mural.co board Problem 2</w:t>
      </w:r>
    </w:p>
    <w:p w:rsidR="00CE0D86" w:rsidP="00CE0D86" w14:paraId="4171A3B7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D86" w:rsidP="00CE0D86" w14:paraId="3FA26BA3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D86" w14:paraId="550822FB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73700" cy="3403600"/>
            <wp:effectExtent l="0" t="0" r="0" b="0"/>
            <wp:docPr id="9636538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53856" name="Picture 963653856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D86" w14:paraId="3432DE10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E0D86" w:rsidP="00CE0D86" w14:paraId="1E7DCE5A" w14:textId="777777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Screenshot of the Mural.co board Problem 3</w:t>
      </w:r>
    </w:p>
    <w:p w:rsidR="00CE0D86" w:rsidP="00CE0D86" w14:paraId="5B62118F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D86" w:rsidP="00CE0D86" w14:paraId="5C4883FF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51500" cy="3530600"/>
            <wp:effectExtent l="0" t="0" r="0" b="0"/>
            <wp:docPr id="150863126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631261" name="Picture 1508631261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D86" w14:paraId="64FCC0CD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D86" w14:paraId="4F7D5948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D86" w:rsidP="00CE0D86" w14:paraId="16D6ECB6" w14:textId="777777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Screenshot of the Mural.co board Problem 4</w:t>
      </w:r>
    </w:p>
    <w:p w:rsidR="00CE0D86" w:rsidP="00CE0D86" w14:paraId="4E43B584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D86" w:rsidP="00CE0D86" w14:paraId="16977A06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D86" w14:paraId="4C30EF54" w14:textId="7777777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88000" cy="3492500"/>
            <wp:effectExtent l="0" t="0" r="0" b="0"/>
            <wp:docPr id="17139696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6965" name="Picture 171396965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260" w:right="1080" w:bottom="990" w:left="1080" w:header="720" w:footer="27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751C" w14:paraId="37361E2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751C" w14:paraId="7EA4050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6E6A">
      <w:rPr>
        <w:noProof/>
        <w:color w:val="000000"/>
      </w:rPr>
      <w:t>1</w:t>
    </w:r>
    <w:r>
      <w:rPr>
        <w:color w:val="000000"/>
      </w:rPr>
      <w:fldChar w:fldCharType="end"/>
    </w:r>
  </w:p>
  <w:p w:rsidR="00E8751C" w14:paraId="7560CD4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751C" w14:paraId="21F2010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751C" w14:paraId="4051FA4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9DD" w14:paraId="506BE79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Quattrocento Sans" w:eastAsia="Quattrocento Sans" w:hAnsi="Quattrocento Sans" w:cs="Quattrocento Sans"/>
        <w:color w:val="000000"/>
      </w:rPr>
    </w:pPr>
    <w:r>
      <w:rPr>
        <w:rFonts w:ascii="Quattrocento Sans" w:eastAsia="Quattrocento Sans" w:hAnsi="Quattrocento Sans" w:cs="Quattrocento Sans"/>
        <w:color w:val="000000"/>
      </w:rPr>
      <w:t>Form Approved</w:t>
    </w:r>
  </w:p>
  <w:p w:rsidR="00E8751C" w14:paraId="16AA12BF" w14:textId="452C52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Quattrocento Sans" w:eastAsia="Quattrocento Sans" w:hAnsi="Quattrocento Sans" w:cs="Quattrocento Sans"/>
        <w:color w:val="000000"/>
      </w:rPr>
    </w:pPr>
    <w:r>
      <w:rPr>
        <w:rFonts w:ascii="Quattrocento Sans" w:eastAsia="Quattrocento Sans" w:hAnsi="Quattrocento Sans" w:cs="Quattrocento Sans"/>
        <w:color w:val="000000"/>
      </w:rPr>
      <w:t>OMB Control No. 0920-1050</w:t>
    </w:r>
  </w:p>
  <w:p w:rsidR="00E8751C" w14:paraId="159DEF86" w14:textId="364DAC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Quattrocento Sans" w:eastAsia="Quattrocento Sans" w:hAnsi="Quattrocento Sans" w:cs="Quattrocento Sans"/>
        <w:color w:val="000000"/>
      </w:rPr>
    </w:pPr>
    <w:r>
      <w:rPr>
        <w:rFonts w:ascii="Quattrocento Sans" w:eastAsia="Quattrocento Sans" w:hAnsi="Quattrocento Sans" w:cs="Quattrocento Sans"/>
      </w:rPr>
      <w:t xml:space="preserve">Date: </w:t>
    </w:r>
    <w:r w:rsidR="003A09DD">
      <w:rPr>
        <w:rFonts w:ascii="Quattrocento Sans" w:eastAsia="Quattrocento Sans" w:hAnsi="Quattrocento Sans" w:cs="Quattrocento Sans"/>
      </w:rPr>
      <w:t>06</w:t>
    </w:r>
    <w:r>
      <w:rPr>
        <w:rFonts w:ascii="Quattrocento Sans" w:eastAsia="Quattrocento Sans" w:hAnsi="Quattrocento Sans" w:cs="Quattrocento Sans"/>
      </w:rPr>
      <w:t>/</w:t>
    </w:r>
    <w:r w:rsidR="003A09DD">
      <w:rPr>
        <w:rFonts w:ascii="Quattrocento Sans" w:eastAsia="Quattrocento Sans" w:hAnsi="Quattrocento Sans" w:cs="Quattrocento Sans"/>
      </w:rPr>
      <w:t>3</w:t>
    </w:r>
    <w:r>
      <w:rPr>
        <w:rFonts w:ascii="Quattrocento Sans" w:eastAsia="Quattrocento Sans" w:hAnsi="Quattrocento Sans" w:cs="Quattrocento Sans"/>
      </w:rPr>
      <w:t>0/202</w:t>
    </w:r>
    <w:r w:rsidR="003A09DD">
      <w:rPr>
        <w:rFonts w:ascii="Quattrocento Sans" w:eastAsia="Quattrocento Sans" w:hAnsi="Quattrocento Sans" w:cs="Quattrocento Sans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751C" w14:paraId="2CCD905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1C"/>
    <w:rsid w:val="003A09DD"/>
    <w:rsid w:val="003F071B"/>
    <w:rsid w:val="003F5FF6"/>
    <w:rsid w:val="004250EF"/>
    <w:rsid w:val="0047715B"/>
    <w:rsid w:val="00616E6A"/>
    <w:rsid w:val="00892C96"/>
    <w:rsid w:val="009E1097"/>
    <w:rsid w:val="00AF5DA1"/>
    <w:rsid w:val="00CC1D30"/>
    <w:rsid w:val="00CE0D86"/>
    <w:rsid w:val="00E875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9700D2"/>
  <w15:docId w15:val="{BB277C36-A5D8-794F-8EB2-DDD9724E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67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67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5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94F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04EB7"/>
    <w:rPr>
      <w:rFonts w:asciiTheme="majorHAnsi" w:eastAsiaTheme="majorEastAsia" w:hAnsiTheme="majorHAnsi" w:cstheme="majorBidi"/>
      <w:color w:val="002677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04EB7"/>
    <w:rPr>
      <w:rFonts w:asciiTheme="majorHAnsi" w:eastAsiaTheme="majorEastAsia" w:hAnsiTheme="majorHAnsi" w:cstheme="majorBidi"/>
      <w:color w:val="002677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04E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3BD"/>
    <w:rPr>
      <w:color w:val="0033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3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75573"/>
    <w:rPr>
      <w:rFonts w:asciiTheme="majorHAnsi" w:eastAsiaTheme="majorEastAsia" w:hAnsiTheme="majorHAnsi" w:cstheme="majorBidi"/>
      <w:color w:val="00194F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B0"/>
  </w:style>
  <w:style w:type="paragraph" w:styleId="Footer">
    <w:name w:val="footer"/>
    <w:basedOn w:val="Normal"/>
    <w:link w:val="FooterChar"/>
    <w:uiPriority w:val="99"/>
    <w:unhideWhenUsed/>
    <w:rsid w:val="0096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B0"/>
  </w:style>
  <w:style w:type="paragraph" w:styleId="NoSpacing">
    <w:name w:val="No Spacing"/>
    <w:uiPriority w:val="1"/>
    <w:qFormat/>
    <w:rsid w:val="00E479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Accent5">
    <w:name w:val="Grid Table 4 Accent 5"/>
    <w:basedOn w:val="TableNormal"/>
    <w:uiPriority w:val="49"/>
    <w:rsid w:val="007D7D38"/>
    <w:pPr>
      <w:spacing w:after="0" w:line="240" w:lineRule="auto"/>
    </w:pPr>
    <w:tblPr>
      <w:tblStyleRowBandSize w:val="1"/>
      <w:tblStyleColBandSize w:val="1"/>
      <w:tblBorders>
        <w:top w:val="single" w:sz="4" w:space="0" w:color="AEE669" w:themeColor="accent5" w:themeTint="99"/>
        <w:left w:val="single" w:sz="4" w:space="0" w:color="AEE669" w:themeColor="accent5" w:themeTint="99"/>
        <w:bottom w:val="single" w:sz="4" w:space="0" w:color="AEE669" w:themeColor="accent5" w:themeTint="99"/>
        <w:right w:val="single" w:sz="4" w:space="0" w:color="AEE669" w:themeColor="accent5" w:themeTint="99"/>
        <w:insideH w:val="single" w:sz="4" w:space="0" w:color="AEE669" w:themeColor="accent5" w:themeTint="99"/>
        <w:insideV w:val="single" w:sz="4" w:space="0" w:color="AEE6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BC1F" w:themeColor="accent5"/>
          <w:left w:val="single" w:sz="4" w:space="0" w:color="77BC1F" w:themeColor="accent5"/>
          <w:bottom w:val="single" w:sz="4" w:space="0" w:color="77BC1F" w:themeColor="accent5"/>
          <w:right w:val="single" w:sz="4" w:space="0" w:color="77BC1F" w:themeColor="accent5"/>
          <w:insideH w:val="nil"/>
          <w:insideV w:val="nil"/>
        </w:tcBorders>
        <w:shd w:val="clear" w:color="auto" w:fill="77BC1F" w:themeFill="accent5"/>
      </w:tcPr>
    </w:tblStylePr>
    <w:tblStylePr w:type="lastRow">
      <w:rPr>
        <w:b/>
        <w:bCs/>
      </w:rPr>
      <w:tblPr/>
      <w:tcPr>
        <w:tcBorders>
          <w:top w:val="double" w:sz="4" w:space="0" w:color="77BC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C" w:themeFill="accent5" w:themeFillTint="33"/>
      </w:tcPr>
    </w:tblStylePr>
    <w:tblStylePr w:type="band1Horz">
      <w:tblPr/>
      <w:tcPr>
        <w:shd w:val="clear" w:color="auto" w:fill="E4F6CC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7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6C0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0C63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F5D58"/>
    <w:rPr>
      <w:color w:val="692045" w:themeColor="followedHyperlink"/>
      <w:u w:val="single"/>
    </w:rPr>
  </w:style>
  <w:style w:type="paragraph" w:styleId="Revision">
    <w:name w:val="Revision"/>
    <w:hidden/>
    <w:uiPriority w:val="99"/>
    <w:semiHidden/>
    <w:rsid w:val="00903C61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906F0A"/>
    <w:pPr>
      <w:spacing w:after="0" w:line="240" w:lineRule="auto"/>
    </w:pPr>
    <w:tblPr>
      <w:tblStyleRowBandSize w:val="1"/>
      <w:tblStyleColBandSize w:val="1"/>
      <w:tblBorders>
        <w:top w:val="single" w:sz="4" w:space="0" w:color="739FFF" w:themeColor="text1" w:themeTint="66"/>
        <w:left w:val="single" w:sz="4" w:space="0" w:color="739FFF" w:themeColor="text1" w:themeTint="66"/>
        <w:bottom w:val="single" w:sz="4" w:space="0" w:color="739FFF" w:themeColor="text1" w:themeTint="66"/>
        <w:right w:val="single" w:sz="4" w:space="0" w:color="739FFF" w:themeColor="text1" w:themeTint="66"/>
        <w:insideH w:val="single" w:sz="4" w:space="0" w:color="739FFF" w:themeColor="text1" w:themeTint="66"/>
        <w:insideV w:val="single" w:sz="4" w:space="0" w:color="739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D6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6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263E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urveymonkey.com/r/L35PNRK" TargetMode="External" /><Relationship Id="rId6" Type="http://schemas.openxmlformats.org/officeDocument/2006/relationships/hyperlink" Target="mailto:dmibuildingblocks@cdc.gov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app.mural.co/t/primedatainput6410/m/primedatainput6410/1698240745702/78e18a536766086648894b0797de0029e6cbae79?sender=u90053609a796446034c81828" TargetMode="Externa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CSTLTS 2019">
      <a:dk1>
        <a:srgbClr val="0033A0"/>
      </a:dk1>
      <a:lt1>
        <a:srgbClr val="FFFFFF"/>
      </a:lt1>
      <a:dk2>
        <a:srgbClr val="000000"/>
      </a:dk2>
      <a:lt2>
        <a:srgbClr val="E2E0D4"/>
      </a:lt2>
      <a:accent1>
        <a:srgbClr val="0033A0"/>
      </a:accent1>
      <a:accent2>
        <a:srgbClr val="EDAA00"/>
      </a:accent2>
      <a:accent3>
        <a:srgbClr val="007297"/>
      </a:accent3>
      <a:accent4>
        <a:srgbClr val="692045"/>
      </a:accent4>
      <a:accent5>
        <a:srgbClr val="77BC1F"/>
      </a:accent5>
      <a:accent6>
        <a:srgbClr val="C2531A"/>
      </a:accent6>
      <a:hlink>
        <a:srgbClr val="0033A0"/>
      </a:hlink>
      <a:folHlink>
        <a:srgbClr val="6920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Nw0qN9YDRdLMaPXm6n+lpvd0Cg==">AMUW2mVorPWLZ6pzqoCf9P8HUGURBw+qRxUsagiGaqIWqT19P/g5JkXFKZn5qojSdQAYRMl4WmmQUS/70bfZ3Azc1hmJgOSYE5BNlPVuW9C6pQ8dDkroHak=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Argotsinger, Brittany (CDC/DDPHSIS/CSTLTS/DPIFS)</dc:creator>
  <cp:lastModifiedBy>Joyce, Kevin J. (CDC/IOD/OS)</cp:lastModifiedBy>
  <cp:revision>3</cp:revision>
  <dcterms:created xsi:type="dcterms:W3CDTF">2023-11-09T14:13:00Z</dcterms:created>
  <dcterms:modified xsi:type="dcterms:W3CDTF">2023-11-09T14:21:00Z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bf05544d-2a92-4b6a-bf4c-b0dac57c37b6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2021-03-02T18:21:43Z</vt:lpwstr>
  </property>
  <property fmtid="{D5CDD505-2E9C-101B-9397-08002B2CF9AE}" pid="10" name="MSIP_Label_7b94a7b8-f06c-4dfe-bdcc-9b548fd58c31_SiteId">
    <vt:lpwstr>9ce70869-60db-44fd-abe8-d2767077fc8f</vt:lpwstr>
  </property>
</Properties>
</file>