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034" w14:paraId="0DCAB6D0" w14:textId="5731E2EA">
      <w:pPr>
        <w:pStyle w:val="Heading2"/>
        <w:tabs>
          <w:tab w:val="left" w:pos="900"/>
        </w:tabs>
        <w:ind w:right="-180"/>
      </w:pPr>
      <w:r>
        <w:rPr>
          <w:sz w:val="28"/>
          <w:szCs w:val="28"/>
        </w:rPr>
        <w:t xml:space="preserve"> Request for Approval under the “</w:t>
      </w:r>
      <w:bookmarkStart w:id="0" w:name="_Hlk177632102"/>
      <w:r>
        <w:rPr>
          <w:sz w:val="28"/>
          <w:szCs w:val="28"/>
        </w:rPr>
        <w:t>Generic Clearance for the Collection of</w:t>
      </w:r>
      <w:r w:rsidR="00651CC7">
        <w:rPr>
          <w:sz w:val="28"/>
          <w:szCs w:val="28"/>
        </w:rPr>
        <w:t xml:space="preserve"> </w:t>
      </w:r>
      <w:r>
        <w:rPr>
          <w:sz w:val="28"/>
          <w:szCs w:val="28"/>
        </w:rPr>
        <w:t>Routine Customer Feedback” (OMB Control Number: 0920-1050)</w:t>
      </w:r>
      <w:bookmarkEnd w:id="0"/>
    </w:p>
    <w:p w:rsidR="00CD6034" w14:paraId="0DCAB6D1"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19" name="Straight Arrow Connector 19"/>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2012555226" name="image1.png"/>
                <wp:cNvGraphicFramePr/>
                <a:graphic xmlns:a="http://schemas.openxmlformats.org/drawingml/2006/main">
                  <a:graphicData uri="http://schemas.openxmlformats.org/drawingml/2006/picture">
                    <pic:pic xmlns:pic="http://schemas.openxmlformats.org/drawingml/2006/picture">
                      <pic:nvPicPr>
                        <pic:cNvPr id="2012555226" name="image1.png"/>
                        <pic:cNvPicPr/>
                      </pic:nvPicPr>
                      <pic:blipFill>
                        <a:blip xmlns:r="http://schemas.openxmlformats.org/officeDocument/2006/relationships" r:embed="rId8"/>
                        <a:stretch>
                          <a:fillRect/>
                        </a:stretch>
                      </pic:blipFill>
                      <pic:spPr>
                        <a:xfrm>
                          <a:off x="0" y="0"/>
                          <a:ext cx="0" cy="19050"/>
                        </a:xfrm>
                        <a:prstGeom prst="rect">
                          <a:avLst/>
                        </a:prstGeom>
                      </pic:spPr>
                    </pic:pic>
                  </a:graphicData>
                </a:graphic>
              </wp:anchor>
            </w:drawing>
          </mc:Fallback>
        </mc:AlternateContent>
      </w:r>
    </w:p>
    <w:p w:rsidR="00CD6034" w14:paraId="0DCAB6D2"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CD6034" w14:paraId="0DCAB6D3" w14:textId="77777777">
      <w:pPr>
        <w:widowControl w:val="0"/>
        <w:spacing w:before="120"/>
        <w:rPr>
          <w:b/>
          <w:sz w:val="22"/>
          <w:szCs w:val="22"/>
        </w:rPr>
      </w:pPr>
      <w:r>
        <w:rPr>
          <w:b/>
          <w:sz w:val="22"/>
          <w:szCs w:val="22"/>
        </w:rPr>
        <w:t>DETERMINE IF YOUR COLLECTION IS APPROPRIATE FOR THIS GENERIC CLEARANCE MECHANISM:</w:t>
      </w:r>
    </w:p>
    <w:p w:rsidR="00CD6034" w14:paraId="0DCAB6D4"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CD6034" w14:paraId="0DCAB6D5"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CD6034" w14:paraId="0DCAB6D6" w14:textId="77777777">
      <w:pPr>
        <w:widowControl w:val="0"/>
        <w:spacing w:before="120"/>
        <w:rPr>
          <w:b/>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0DCAB6D9"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CD6034" w14:paraId="0DCAB6D7"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CD6034" w14:paraId="0DCAB6D8" w14:textId="77777777">
            <w:pPr>
              <w:widowControl w:val="0"/>
              <w:rPr>
                <w:b/>
                <w:sz w:val="22"/>
                <w:szCs w:val="22"/>
              </w:rPr>
            </w:pPr>
            <w:r>
              <w:rPr>
                <w:b/>
                <w:sz w:val="22"/>
                <w:szCs w:val="22"/>
              </w:rPr>
              <w:t>Column B</w:t>
            </w:r>
          </w:p>
        </w:tc>
      </w:tr>
      <w:tr w14:paraId="0DCAB6DE"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CD6034" w14:paraId="0DCAB6DA" w14:textId="77777777">
            <w:pPr>
              <w:rPr>
                <w:sz w:val="22"/>
                <w:szCs w:val="22"/>
              </w:rPr>
            </w:pPr>
            <w:r>
              <w:rPr>
                <w:sz w:val="22"/>
                <w:szCs w:val="22"/>
              </w:rPr>
              <w:t>The information gathered will only be used internally to CDC.</w:t>
            </w:r>
          </w:p>
          <w:p w:rsidR="00CD6034" w14:paraId="0DCAB6DB"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CD6034" w14:paraId="0DCAB6DC" w14:textId="77777777">
            <w:pPr>
              <w:widowControl w:val="0"/>
              <w:rPr>
                <w:sz w:val="22"/>
                <w:szCs w:val="22"/>
              </w:rPr>
            </w:pPr>
            <w:r>
              <w:rPr>
                <w:sz w:val="22"/>
                <w:szCs w:val="22"/>
              </w:rPr>
              <w:t xml:space="preserve">Information gathered will be publicly released or published. </w:t>
            </w:r>
          </w:p>
          <w:p w:rsidR="00CD6034" w14:paraId="0DCAB6DD" w14:textId="77777777">
            <w:pPr>
              <w:widowControl w:val="0"/>
              <w:rPr>
                <w:sz w:val="22"/>
                <w:szCs w:val="22"/>
              </w:rPr>
            </w:pPr>
            <w:r>
              <w:rPr>
                <w:sz w:val="22"/>
                <w:szCs w:val="22"/>
              </w:rPr>
              <w:t>[  ]</w:t>
            </w:r>
            <w:r>
              <w:rPr>
                <w:sz w:val="22"/>
                <w:szCs w:val="22"/>
              </w:rPr>
              <w:t xml:space="preserve"> Yes     [X ] No</w:t>
            </w:r>
          </w:p>
        </w:tc>
      </w:tr>
      <w:tr w14:paraId="0DCAB6E3"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CD6034" w14:paraId="0DCAB6DF" w14:textId="77777777">
            <w:pPr>
              <w:rPr>
                <w:sz w:val="22"/>
                <w:szCs w:val="22"/>
              </w:rPr>
            </w:pPr>
            <w:r>
              <w:rPr>
                <w:sz w:val="22"/>
                <w:szCs w:val="22"/>
              </w:rPr>
              <w:t xml:space="preserve">Data is qualitative in nature and not generalizable to people from whom data was not collected. </w:t>
            </w:r>
          </w:p>
          <w:p w:rsidR="00CD6034" w14:paraId="0DCAB6E0" w14:textId="77777777">
            <w:pPr>
              <w:rPr>
                <w:sz w:val="22"/>
                <w:szCs w:val="22"/>
              </w:rPr>
            </w:pPr>
            <w:r>
              <w:rPr>
                <w:sz w:val="22"/>
                <w:szCs w:val="22"/>
              </w:rPr>
              <w:t xml:space="preserve">[ 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CD6034" w14:paraId="0DCAB6E1" w14:textId="77777777">
            <w:pPr>
              <w:widowControl w:val="0"/>
              <w:rPr>
                <w:sz w:val="22"/>
                <w:szCs w:val="22"/>
              </w:rPr>
            </w:pPr>
            <w:r>
              <w:rPr>
                <w:sz w:val="22"/>
                <w:szCs w:val="22"/>
              </w:rPr>
              <w:t xml:space="preserve">Employs quantitative study design (e.g. those that rely on probability design or experimental methods) </w:t>
            </w:r>
          </w:p>
          <w:p w:rsidR="00CD6034" w14:paraId="0DCAB6E2" w14:textId="77777777">
            <w:pPr>
              <w:widowControl w:val="0"/>
              <w:rPr>
                <w:sz w:val="22"/>
                <w:szCs w:val="22"/>
              </w:rPr>
            </w:pPr>
            <w:r>
              <w:rPr>
                <w:sz w:val="22"/>
                <w:szCs w:val="22"/>
              </w:rPr>
              <w:t>[  ]</w:t>
            </w:r>
            <w:r>
              <w:rPr>
                <w:sz w:val="22"/>
                <w:szCs w:val="22"/>
              </w:rPr>
              <w:t xml:space="preserve"> Yes     [X ] No</w:t>
            </w:r>
          </w:p>
        </w:tc>
      </w:tr>
      <w:tr w14:paraId="0DCAB6E8"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CD6034" w14:paraId="0DCAB6E4" w14:textId="77777777">
            <w:pPr>
              <w:rPr>
                <w:sz w:val="22"/>
                <w:szCs w:val="22"/>
              </w:rPr>
            </w:pPr>
            <w:sdt>
              <w:sdtPr>
                <w:tag w:val="goog_rdk_0"/>
                <w:id w:val="-124777752"/>
                <w:richText/>
              </w:sdtPr>
              <w:sdtContent/>
            </w:sdt>
            <w:sdt>
              <w:sdtPr>
                <w:tag w:val="goog_rdk_1"/>
                <w:id w:val="-1180806705"/>
                <w:richText/>
              </w:sdtPr>
              <w:sdtContent/>
            </w:sdt>
            <w:sdt>
              <w:sdtPr>
                <w:tag w:val="goog_rdk_2"/>
                <w:id w:val="-635799051"/>
                <w:richText/>
              </w:sdtPr>
              <w:sdtContent/>
            </w:sdt>
            <w:r w:rsidR="00145554">
              <w:rPr>
                <w:sz w:val="22"/>
                <w:szCs w:val="22"/>
              </w:rPr>
              <w:t>There are no sensitive questions within this collection (e.g. sexual orientation, gender identity).</w:t>
            </w:r>
          </w:p>
          <w:p w:rsidR="00CD6034" w14:paraId="0DCAB6E5" w14:textId="77777777">
            <w:pPr>
              <w:rPr>
                <w:sz w:val="22"/>
                <w:szCs w:val="22"/>
              </w:rPr>
            </w:pPr>
            <w:r>
              <w:rPr>
                <w:sz w:val="22"/>
                <w:szCs w:val="22"/>
              </w:rPr>
              <w:t>[</w:t>
            </w:r>
            <w:r>
              <w:rPr>
                <w:sz w:val="22"/>
                <w:szCs w:val="22"/>
              </w:rPr>
              <w:t>X ]</w:t>
            </w:r>
            <w:r>
              <w:rPr>
                <w:sz w:val="22"/>
                <w:szCs w:val="22"/>
              </w:rPr>
              <w:t xml:space="preserve"> Yes     [] No</w:t>
            </w:r>
          </w:p>
        </w:tc>
        <w:tc>
          <w:tcPr>
            <w:tcW w:w="4675" w:type="dxa"/>
            <w:tcBorders>
              <w:top w:val="single" w:sz="4" w:space="0" w:color="000000"/>
              <w:left w:val="single" w:sz="4" w:space="0" w:color="000000"/>
              <w:bottom w:val="single" w:sz="4" w:space="0" w:color="000000"/>
              <w:right w:val="single" w:sz="4" w:space="0" w:color="000000"/>
            </w:tcBorders>
          </w:tcPr>
          <w:p w:rsidR="00CD6034" w14:paraId="0DCAB6E6" w14:textId="77777777">
            <w:pPr>
              <w:widowControl w:val="0"/>
              <w:rPr>
                <w:sz w:val="22"/>
                <w:szCs w:val="22"/>
              </w:rPr>
            </w:pPr>
            <w:r>
              <w:rPr>
                <w:sz w:val="22"/>
                <w:szCs w:val="22"/>
              </w:rPr>
              <w:t>Sensitive questions will be asked (e.g. sexual orientation, gender identity).</w:t>
            </w:r>
          </w:p>
          <w:p w:rsidR="00CD6034" w14:paraId="0DCAB6E7" w14:textId="77777777">
            <w:pPr>
              <w:widowControl w:val="0"/>
              <w:rPr>
                <w:sz w:val="22"/>
                <w:szCs w:val="22"/>
              </w:rPr>
            </w:pPr>
            <w:r>
              <w:rPr>
                <w:sz w:val="22"/>
                <w:szCs w:val="22"/>
              </w:rPr>
              <w:t>[  ]</w:t>
            </w:r>
            <w:r>
              <w:rPr>
                <w:sz w:val="22"/>
                <w:szCs w:val="22"/>
              </w:rPr>
              <w:t xml:space="preserve"> Yes     [ X ] No</w:t>
            </w:r>
          </w:p>
        </w:tc>
      </w:tr>
      <w:tr w14:paraId="0DCAB6ED"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CD6034" w14:paraId="0DCAB6E9" w14:textId="77777777">
            <w:pPr>
              <w:rPr>
                <w:sz w:val="22"/>
                <w:szCs w:val="22"/>
              </w:rPr>
            </w:pPr>
            <w:r>
              <w:rPr>
                <w:sz w:val="22"/>
                <w:szCs w:val="22"/>
              </w:rPr>
              <w:t>Collection does not raise issues of concern to any other Federal agencies.</w:t>
            </w:r>
          </w:p>
          <w:p w:rsidR="00CD6034" w14:paraId="0DCAB6EA"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CD6034" w14:paraId="0DCAB6EB" w14:textId="77777777">
            <w:pPr>
              <w:widowControl w:val="0"/>
              <w:rPr>
                <w:sz w:val="22"/>
                <w:szCs w:val="22"/>
              </w:rPr>
            </w:pPr>
            <w:r>
              <w:rPr>
                <w:sz w:val="22"/>
                <w:szCs w:val="22"/>
              </w:rPr>
              <w:t>Other Federal agencies may have equities or concerns regarding this collection.</w:t>
            </w:r>
          </w:p>
          <w:p w:rsidR="00CD6034" w14:paraId="0DCAB6EC" w14:textId="77777777">
            <w:pPr>
              <w:widowControl w:val="0"/>
              <w:rPr>
                <w:sz w:val="22"/>
                <w:szCs w:val="22"/>
              </w:rPr>
            </w:pPr>
            <w:r>
              <w:rPr>
                <w:sz w:val="22"/>
                <w:szCs w:val="22"/>
              </w:rPr>
              <w:t>[  ]</w:t>
            </w:r>
            <w:r>
              <w:rPr>
                <w:sz w:val="22"/>
                <w:szCs w:val="22"/>
              </w:rPr>
              <w:t xml:space="preserve"> Yes     [X ] No</w:t>
            </w:r>
          </w:p>
        </w:tc>
      </w:tr>
      <w:tr w14:paraId="0DCAB6F2"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CD6034" w14:paraId="0DCAB6EE" w14:textId="77777777">
            <w:pPr>
              <w:rPr>
                <w:sz w:val="22"/>
                <w:szCs w:val="22"/>
              </w:rPr>
            </w:pPr>
            <w:r>
              <w:rPr>
                <w:sz w:val="22"/>
                <w:szCs w:val="22"/>
              </w:rPr>
              <w:t>Data collection is focused on determining ways to improve delivery of services to customers of a current CDC program.</w:t>
            </w:r>
          </w:p>
          <w:p w:rsidR="00CD6034" w14:paraId="0DCAB6EF"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CD6034" w14:paraId="0DCAB6F0"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CD6034" w14:paraId="0DCAB6F1" w14:textId="77777777">
            <w:pPr>
              <w:widowControl w:val="0"/>
              <w:rPr>
                <w:sz w:val="22"/>
                <w:szCs w:val="22"/>
              </w:rPr>
            </w:pPr>
            <w:r>
              <w:rPr>
                <w:sz w:val="22"/>
                <w:szCs w:val="22"/>
              </w:rPr>
              <w:t>[  ]</w:t>
            </w:r>
            <w:r>
              <w:rPr>
                <w:sz w:val="22"/>
                <w:szCs w:val="22"/>
              </w:rPr>
              <w:t xml:space="preserve"> Yes     [ X ] No</w:t>
            </w:r>
          </w:p>
        </w:tc>
      </w:tr>
      <w:tr w14:paraId="0DCAB6F7"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CD6034" w14:paraId="0DCAB6F3"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CD6034" w14:paraId="0DCAB6F4" w14:textId="77777777">
            <w:pPr>
              <w:rPr>
                <w:sz w:val="22"/>
                <w:szCs w:val="22"/>
              </w:rPr>
            </w:pPr>
            <w:r>
              <w:rPr>
                <w:sz w:val="22"/>
                <w:szCs w:val="22"/>
              </w:rPr>
              <w:t xml:space="preserve">[ </w:t>
            </w:r>
            <w:r>
              <w:rPr>
                <w:sz w:val="22"/>
                <w:szCs w:val="22"/>
              </w:rPr>
              <w:t>X ]</w:t>
            </w:r>
            <w:r>
              <w:rPr>
                <w:sz w:val="22"/>
                <w:szCs w:val="22"/>
              </w:rPr>
              <w:t xml:space="preserve"> Yes     [  ] No</w:t>
            </w:r>
          </w:p>
          <w:p w:rsidR="00CD6034" w14:paraId="0DCAB6F5"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CD6034" w14:paraId="0DCAB6F6" w14:textId="77777777">
            <w:pPr>
              <w:rPr>
                <w:sz w:val="22"/>
                <w:szCs w:val="22"/>
              </w:rPr>
            </w:pPr>
          </w:p>
        </w:tc>
      </w:tr>
    </w:tbl>
    <w:p w:rsidR="00CD6034" w14:paraId="0DCAB6F8" w14:textId="77777777">
      <w:pPr>
        <w:widowControl w:val="0"/>
        <w:spacing w:before="120"/>
        <w:rPr>
          <w:sz w:val="22"/>
          <w:szCs w:val="22"/>
        </w:rPr>
      </w:pPr>
      <w:r>
        <w:rPr>
          <w:sz w:val="22"/>
          <w:szCs w:val="22"/>
        </w:rPr>
        <w:t>Did you select “Yes” to all criteria in Column A?</w:t>
      </w:r>
    </w:p>
    <w:p w:rsidR="00CD6034" w14:paraId="0DCAB6F9"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CD6034" w14:paraId="0DCAB6FA" w14:textId="77777777">
      <w:pPr>
        <w:widowControl w:val="0"/>
        <w:spacing w:before="120"/>
        <w:rPr>
          <w:sz w:val="22"/>
          <w:szCs w:val="22"/>
        </w:rPr>
      </w:pPr>
      <w:r>
        <w:rPr>
          <w:sz w:val="22"/>
          <w:szCs w:val="22"/>
        </w:rPr>
        <w:t>Did you select “Yes” to any criterion in Column B?</w:t>
      </w:r>
    </w:p>
    <w:p w:rsidR="00CD6034" w14:paraId="0DCAB6FB"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4324ED" w:rsidP="004324ED" w14:paraId="461CDFAB" w14:textId="5CBD7CF5">
      <w:pPr>
        <w:pBdr>
          <w:top w:val="nil"/>
          <w:left w:val="nil"/>
          <w:bottom w:val="nil"/>
          <w:right w:val="nil"/>
          <w:between w:val="nil"/>
        </w:pBdr>
        <w:rPr>
          <w:color w:val="000000"/>
          <w:sz w:val="22"/>
          <w:szCs w:val="22"/>
        </w:rPr>
      </w:pPr>
      <w:r>
        <w:rPr>
          <w:color w:val="000000"/>
        </w:rPr>
        <w:t xml:space="preserve">Note: Use OMB format when asking race/ethnicity as well as gender questions. </w:t>
      </w:r>
    </w:p>
    <w:p w:rsidR="004324ED" w:rsidP="004324ED" w14:paraId="3E112D68" w14:textId="184E20BF">
      <w:pPr>
        <w:pBdr>
          <w:top w:val="nil"/>
          <w:left w:val="nil"/>
          <w:bottom w:val="single" w:sz="12" w:space="1" w:color="auto"/>
          <w:right w:val="nil"/>
          <w:between w:val="nil"/>
        </w:pBdr>
        <w:rPr>
          <w:color w:val="000000"/>
          <w:sz w:val="22"/>
          <w:szCs w:val="22"/>
        </w:rPr>
      </w:pPr>
    </w:p>
    <w:p w:rsidR="0039789F" w14:paraId="42CA2BDE"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1825492777" name="image3.png"/>
                <wp:cNvGraphicFramePr/>
                <a:graphic xmlns:a="http://schemas.openxmlformats.org/drawingml/2006/main">
                  <a:graphicData uri="http://schemas.openxmlformats.org/drawingml/2006/picture">
                    <pic:pic xmlns:pic="http://schemas.openxmlformats.org/drawingml/2006/picture">
                      <pic:nvPicPr>
                        <pic:cNvPr id="1825492777" name="image3.png"/>
                        <pic:cNvPicPr/>
                      </pic:nvPicPr>
                      <pic:blipFill>
                        <a:blip xmlns:r="http://schemas.openxmlformats.org/officeDocument/2006/relationships" r:embed="rId9"/>
                        <a:stretch>
                          <a:fillRect/>
                        </a:stretch>
                      </pic:blipFill>
                      <pic:spPr>
                        <a:xfrm>
                          <a:off x="0" y="0"/>
                          <a:ext cx="0" cy="19050"/>
                        </a:xfrm>
                        <a:prstGeom prst="rect">
                          <a:avLst/>
                        </a:prstGeom>
                      </pic:spPr>
                    </pic:pic>
                  </a:graphicData>
                </a:graphic>
              </wp:anchor>
            </w:drawing>
          </mc:Fallback>
        </mc:AlternateContent>
      </w:r>
      <w:r>
        <w:rPr>
          <w:b/>
        </w:rPr>
        <w:t>TITLE OF INFORMATION COLLECTION:</w:t>
      </w:r>
      <w:r>
        <w:t xml:space="preserve">  </w:t>
      </w:r>
    </w:p>
    <w:p w:rsidR="00CD6034" w:rsidRPr="002F77AF" w14:paraId="0DCAB6FF" w14:textId="4286A73A">
      <w:pPr>
        <w:rPr>
          <w:rFonts w:asciiTheme="minorHAnsi" w:hAnsiTheme="minorHAnsi" w:cstheme="minorHAnsi"/>
        </w:rPr>
      </w:pPr>
      <w:r w:rsidRPr="002F77AF">
        <w:rPr>
          <w:rFonts w:asciiTheme="minorHAnsi" w:hAnsiTheme="minorHAnsi" w:cstheme="minorHAnsi"/>
        </w:rPr>
        <w:t>Essentials for Parenting Toddlers Customer Service Feedback</w:t>
      </w:r>
    </w:p>
    <w:p w:rsidR="00CD6034" w14:paraId="0DCAB700" w14:textId="77777777"/>
    <w:p w:rsidR="00CD6034" w14:paraId="0DCAB701" w14:textId="77777777">
      <w:pPr>
        <w:rPr>
          <w:b/>
        </w:rPr>
      </w:pPr>
      <w:r>
        <w:rPr>
          <w:b/>
        </w:rPr>
        <w:t xml:space="preserve">PURPOSE:  </w:t>
      </w:r>
    </w:p>
    <w:p w:rsidR="00CD6034" w:rsidP="008438FE" w14:paraId="0DCAB702" w14:textId="252A12CD">
      <w:pPr>
        <w:spacing w:line="276" w:lineRule="auto"/>
        <w:rPr>
          <w:b/>
          <w:highlight w:val="yellow"/>
        </w:rPr>
      </w:pPr>
      <w:r w:rsidRPr="002F77AF">
        <w:rPr>
          <w:rFonts w:eastAsia="Calibri" w:asciiTheme="minorHAnsi" w:hAnsiTheme="minorHAnsi" w:cstheme="minorHAnsi"/>
        </w:rPr>
        <w:t>Essentials for Parenting (</w:t>
      </w:r>
      <w:r w:rsidRPr="002F77AF">
        <w:rPr>
          <w:rFonts w:eastAsia="Calibri" w:asciiTheme="minorHAnsi" w:hAnsiTheme="minorHAnsi" w:cstheme="minorHAnsi"/>
        </w:rPr>
        <w:t>EfP</w:t>
      </w:r>
      <w:r w:rsidRPr="002F77AF">
        <w:rPr>
          <w:rFonts w:eastAsia="Calibri" w:asciiTheme="minorHAnsi" w:hAnsiTheme="minorHAnsi" w:cstheme="minorHAnsi"/>
        </w:rPr>
        <w:t xml:space="preserve">) Toddlers and Preschoolers is a highly accessed resource on CDC’s website. It serves as a free, self-directed, and universal parenting resource that addresses common parenting challenges. </w:t>
      </w:r>
      <w:r w:rsidRPr="002F77AF">
        <w:rPr>
          <w:rFonts w:eastAsia="Calibri" w:asciiTheme="minorHAnsi" w:hAnsiTheme="minorHAnsi" w:cstheme="minorHAnsi"/>
        </w:rPr>
        <w:t>EfP</w:t>
      </w:r>
      <w:r w:rsidRPr="002F77AF">
        <w:rPr>
          <w:rFonts w:eastAsia="Calibri" w:asciiTheme="minorHAnsi" w:hAnsiTheme="minorHAnsi" w:cstheme="minorHAnsi"/>
        </w:rPr>
        <w:t xml:space="preserve"> Toddlers and Preschoolers has not had a refresh with updated recommendations for parents and caregivers of toddlers and preschoolers in several years. CDC's Division of Violence Prevention </w:t>
      </w:r>
      <w:r w:rsidRPr="002F77AF" w:rsidR="00412143">
        <w:rPr>
          <w:rFonts w:eastAsia="Calibri" w:asciiTheme="minorHAnsi" w:hAnsiTheme="minorHAnsi" w:cstheme="minorHAnsi"/>
        </w:rPr>
        <w:t xml:space="preserve">will </w:t>
      </w:r>
      <w:r w:rsidRPr="002F77AF">
        <w:rPr>
          <w:rFonts w:eastAsia="Calibri" w:asciiTheme="minorHAnsi" w:hAnsiTheme="minorHAnsi" w:cstheme="minorHAnsi"/>
        </w:rPr>
        <w:t xml:space="preserve">conduct interviews </w:t>
      </w:r>
      <w:r w:rsidRPr="002F77AF" w:rsidR="00412143">
        <w:rPr>
          <w:rFonts w:asciiTheme="minorHAnsi" w:hAnsiTheme="minorHAnsi" w:cstheme="minorHAnsi"/>
        </w:rPr>
        <w:t xml:space="preserve">with parents and caregivers of children ages 2-4 </w:t>
      </w:r>
      <w:r w:rsidRPr="002F77AF">
        <w:rPr>
          <w:rFonts w:eastAsia="Calibri" w:asciiTheme="minorHAnsi" w:hAnsiTheme="minorHAnsi" w:cstheme="minorHAnsi"/>
        </w:rPr>
        <w:t xml:space="preserve">to identify parenting best practices and existing evidence-based materials for parents and caregivers of toddlers and preschoolers. </w:t>
      </w:r>
      <w:r w:rsidRPr="002F77AF" w:rsidR="00412143">
        <w:rPr>
          <w:rFonts w:eastAsia="Calibri" w:asciiTheme="minorHAnsi" w:hAnsiTheme="minorHAnsi" w:cstheme="minorHAnsi"/>
        </w:rPr>
        <w:t xml:space="preserve">We </w:t>
      </w:r>
      <w:r w:rsidRPr="002F77AF">
        <w:rPr>
          <w:rFonts w:eastAsia="Calibri" w:asciiTheme="minorHAnsi" w:hAnsiTheme="minorHAnsi" w:cstheme="minorHAnsi"/>
        </w:rPr>
        <w:t>will conduct five focus groups with a max of 40 participants total with English- and Spanish-speaking parents and caregive</w:t>
      </w:r>
      <w:r w:rsidRPr="002F77AF" w:rsidR="00412143">
        <w:rPr>
          <w:rFonts w:eastAsia="Calibri" w:asciiTheme="minorHAnsi" w:hAnsiTheme="minorHAnsi" w:cstheme="minorHAnsi"/>
        </w:rPr>
        <w:t>rs</w:t>
      </w:r>
      <w:r w:rsidRPr="002F77AF" w:rsidR="008438FE">
        <w:rPr>
          <w:rFonts w:eastAsia="Calibri" w:asciiTheme="minorHAnsi" w:hAnsiTheme="minorHAnsi" w:cstheme="minorHAnsi"/>
        </w:rPr>
        <w:t xml:space="preserve">. </w:t>
      </w:r>
      <w:r w:rsidRPr="002F77AF">
        <w:rPr>
          <w:rFonts w:eastAsia="Calibri" w:asciiTheme="minorHAnsi" w:hAnsiTheme="minorHAnsi" w:cstheme="minorHAnsi"/>
        </w:rPr>
        <w:t xml:space="preserve">The intent of this information collection is to understand how parents and caregivers respond to the updated </w:t>
      </w:r>
      <w:r w:rsidRPr="002F77AF" w:rsidR="00412143">
        <w:rPr>
          <w:rFonts w:eastAsia="Calibri" w:asciiTheme="minorHAnsi" w:hAnsiTheme="minorHAnsi" w:cstheme="minorHAnsi"/>
        </w:rPr>
        <w:t xml:space="preserve">online </w:t>
      </w:r>
      <w:r w:rsidRPr="002F77AF">
        <w:rPr>
          <w:rFonts w:eastAsia="Calibri" w:asciiTheme="minorHAnsi" w:hAnsiTheme="minorHAnsi" w:cstheme="minorHAnsi"/>
        </w:rPr>
        <w:t xml:space="preserve">content of Essentials for Parenting Toddlers and Preschoolers. </w:t>
      </w:r>
      <w:r w:rsidRPr="002F77AF" w:rsidR="00412143">
        <w:rPr>
          <w:rFonts w:asciiTheme="minorHAnsi" w:hAnsiTheme="minorHAnsi" w:cstheme="minorHAnsi"/>
        </w:rPr>
        <w:t xml:space="preserve">We will use what we learn to refine the updated content based on users’ needs and preferences. The information collected from focus group testing will let us know what parents of toddlers and preschoolers think about the updated content and ensure content on parenting techniques is tailored appropriately to parents and caregivers across diverse backgrounds. Parents and caregivers can use these updated materials to learn how to use positive parenting strategies to create healthy relationships with their toddlers and preschoolers. </w:t>
      </w:r>
      <w:r w:rsidRPr="002F77AF">
        <w:rPr>
          <w:rFonts w:eastAsia="Calibri" w:asciiTheme="minorHAnsi" w:hAnsiTheme="minorHAnsi" w:cstheme="minorHAnsi"/>
        </w:rPr>
        <w:t>Information gathered will be used only internally and is not intended for release beyond CDC</w:t>
      </w:r>
      <w:r>
        <w:rPr>
          <w:rFonts w:ascii="Calibri" w:eastAsia="Calibri" w:hAnsi="Calibri" w:cs="Calibri"/>
        </w:rPr>
        <w:t>.</w:t>
      </w:r>
    </w:p>
    <w:p w:rsidR="00CD6034" w14:paraId="0DCAB703" w14:textId="77777777">
      <w:pPr>
        <w:rPr>
          <w:highlight w:val="yellow"/>
        </w:rPr>
      </w:pPr>
    </w:p>
    <w:p w:rsidR="00CD6034" w14:paraId="0DCAB704" w14:textId="77777777">
      <w:pPr>
        <w:widowControl w:val="0"/>
        <w:pBdr>
          <w:top w:val="nil"/>
          <w:left w:val="nil"/>
          <w:bottom w:val="nil"/>
          <w:right w:val="nil"/>
          <w:between w:val="nil"/>
        </w:pBdr>
        <w:tabs>
          <w:tab w:val="center" w:pos="4320"/>
          <w:tab w:val="right" w:pos="8640"/>
        </w:tabs>
        <w:rPr>
          <w:b/>
          <w:color w:val="000000"/>
        </w:rPr>
      </w:pPr>
    </w:p>
    <w:p w:rsidR="00CD6034" w14:paraId="0DCAB705" w14:textId="77777777">
      <w:pPr>
        <w:widowControl w:val="0"/>
        <w:pBdr>
          <w:top w:val="nil"/>
          <w:left w:val="nil"/>
          <w:bottom w:val="nil"/>
          <w:right w:val="nil"/>
          <w:between w:val="nil"/>
        </w:pBdr>
        <w:tabs>
          <w:tab w:val="center" w:pos="4320"/>
          <w:tab w:val="right" w:pos="8640"/>
        </w:tabs>
      </w:pPr>
      <w:r>
        <w:rPr>
          <w:b/>
        </w:rPr>
        <w:t>DESCRIPTION OF RESPONDENTS</w:t>
      </w:r>
      <w:r>
        <w:t xml:space="preserve">: </w:t>
      </w:r>
    </w:p>
    <w:p w:rsidR="00CD6034" w14:paraId="0DCAB706" w14:textId="5B5D8F03">
      <w:pPr>
        <w:widowControl w:val="0"/>
        <w:pBdr>
          <w:top w:val="nil"/>
          <w:left w:val="nil"/>
          <w:bottom w:val="nil"/>
          <w:right w:val="nil"/>
          <w:between w:val="nil"/>
        </w:pBdr>
        <w:tabs>
          <w:tab w:val="center" w:pos="4320"/>
          <w:tab w:val="right" w:pos="8640"/>
        </w:tabs>
        <w:rPr>
          <w:rFonts w:ascii="Calibri" w:eastAsia="Calibri" w:hAnsi="Calibri" w:cs="Calibri"/>
        </w:rPr>
      </w:pPr>
      <w:r>
        <w:rPr>
          <w:rFonts w:ascii="Calibri" w:eastAsia="Calibri" w:hAnsi="Calibri" w:cs="Calibri"/>
        </w:rPr>
        <w:t>English- and Spanish-speaking parents and caregivers of toddlers and preschoolers 2–4 years old.</w:t>
      </w:r>
      <w:r w:rsidR="00412143">
        <w:rPr>
          <w:rFonts w:ascii="Calibri" w:eastAsia="Calibri" w:hAnsi="Calibri" w:cs="Calibri"/>
        </w:rPr>
        <w:t xml:space="preserve"> </w:t>
      </w:r>
      <w:r w:rsidR="00412143">
        <w:t>To recruit a broad sample of parents/caregivers of toddlers and preschoolers, we will work with a market research firm.</w:t>
      </w:r>
    </w:p>
    <w:p w:rsidR="00CD6034" w14:paraId="0DCAB707" w14:textId="77777777">
      <w:pPr>
        <w:rPr>
          <w:b/>
        </w:rPr>
      </w:pPr>
    </w:p>
    <w:p w:rsidR="00CD6034" w14:paraId="0DCAB708" w14:textId="77777777">
      <w:pPr>
        <w:rPr>
          <w:b/>
        </w:rPr>
      </w:pPr>
      <w:r>
        <w:rPr>
          <w:b/>
        </w:rPr>
        <w:t>TYPE OF COLLECTION:</w:t>
      </w:r>
      <w:r>
        <w:t xml:space="preserve"> (Check one)</w:t>
      </w:r>
    </w:p>
    <w:p w:rsidR="00CD6034" w14:paraId="0DCAB709"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CD6034" w14:paraId="0DCAB70A" w14:textId="77777777">
      <w:pPr>
        <w:pBdr>
          <w:top w:val="nil"/>
          <w:left w:val="nil"/>
          <w:bottom w:val="nil"/>
          <w:right w:val="nil"/>
          <w:between w:val="nil"/>
        </w:pBdr>
        <w:tabs>
          <w:tab w:val="left" w:pos="360"/>
        </w:tabs>
        <w:rPr>
          <w:color w:val="000000"/>
          <w:sz w:val="16"/>
          <w:szCs w:val="16"/>
        </w:rPr>
      </w:pPr>
    </w:p>
    <w:p w:rsidR="00CD6034" w14:paraId="0DCAB70B"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CD6034" w14:paraId="0DCAB70C"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 Small Discussion Group</w:t>
      </w:r>
    </w:p>
    <w:p w:rsidR="00CD6034" w14:paraId="0DCAB70D" w14:textId="77777777">
      <w:pPr>
        <w:pBdr>
          <w:top w:val="nil"/>
          <w:left w:val="nil"/>
          <w:bottom w:val="nil"/>
          <w:right w:val="nil"/>
          <w:between w:val="nil"/>
        </w:pBdr>
        <w:tabs>
          <w:tab w:val="left" w:pos="360"/>
        </w:tabs>
        <w:rPr>
          <w:color w:val="000000"/>
        </w:rPr>
      </w:pPr>
      <w:r>
        <w:rPr>
          <w:color w:val="000000"/>
        </w:rPr>
        <w:t xml:space="preserve">[ X] Focus </w:t>
      </w:r>
      <w:r>
        <w:rPr>
          <w:color w:val="000000"/>
        </w:rPr>
        <w:t xml:space="preserve">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CD6034" w14:paraId="0DCAB70E" w14:textId="77777777">
      <w:pPr>
        <w:widowControl w:val="0"/>
        <w:pBdr>
          <w:top w:val="nil"/>
          <w:left w:val="nil"/>
          <w:bottom w:val="nil"/>
          <w:right w:val="nil"/>
          <w:between w:val="nil"/>
        </w:pBdr>
        <w:tabs>
          <w:tab w:val="center" w:pos="4320"/>
          <w:tab w:val="right" w:pos="8640"/>
        </w:tabs>
        <w:rPr>
          <w:color w:val="000000"/>
        </w:rPr>
      </w:pPr>
    </w:p>
    <w:p w:rsidR="00CD6034" w14:paraId="0DCAB70F" w14:textId="77777777">
      <w:pPr>
        <w:rPr>
          <w:b/>
        </w:rPr>
      </w:pPr>
      <w:r>
        <w:rPr>
          <w:b/>
        </w:rPr>
        <w:t>CERTIFICATION:</w:t>
      </w:r>
    </w:p>
    <w:p w:rsidR="00CD6034" w14:paraId="0DCAB710" w14:textId="77777777">
      <w:pPr>
        <w:rPr>
          <w:sz w:val="16"/>
          <w:szCs w:val="16"/>
        </w:rPr>
      </w:pPr>
    </w:p>
    <w:p w:rsidR="00CD6034" w14:paraId="0DCAB711" w14:textId="77777777">
      <w:r>
        <w:t xml:space="preserve">I certify the following to be true: </w:t>
      </w:r>
    </w:p>
    <w:p w:rsidR="00CD6034" w14:paraId="0DCAB712" w14:textId="77777777">
      <w:pPr>
        <w:numPr>
          <w:ilvl w:val="0"/>
          <w:numId w:val="4"/>
        </w:numPr>
        <w:pBdr>
          <w:top w:val="nil"/>
          <w:left w:val="nil"/>
          <w:bottom w:val="nil"/>
          <w:right w:val="nil"/>
          <w:between w:val="nil"/>
        </w:pBdr>
      </w:pPr>
      <w:r>
        <w:rPr>
          <w:color w:val="000000"/>
        </w:rPr>
        <w:t xml:space="preserve">The collection is voluntary. </w:t>
      </w:r>
    </w:p>
    <w:p w:rsidR="00CD6034" w14:paraId="0DCAB713" w14:textId="77777777">
      <w:pPr>
        <w:numPr>
          <w:ilvl w:val="0"/>
          <w:numId w:val="4"/>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CD6034" w14:paraId="0DCAB714" w14:textId="77777777">
      <w:pPr>
        <w:numPr>
          <w:ilvl w:val="0"/>
          <w:numId w:val="4"/>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D6034" w14:paraId="0DCAB715" w14:textId="77777777">
      <w:pPr>
        <w:numPr>
          <w:ilvl w:val="0"/>
          <w:numId w:val="4"/>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CD6034" w14:paraId="0DCAB716" w14:textId="77777777">
      <w:pPr>
        <w:numPr>
          <w:ilvl w:val="0"/>
          <w:numId w:val="4"/>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CD6034" w14:paraId="0DCAB717" w14:textId="77777777"/>
    <w:p w:rsidR="00CD6034" w14:paraId="0DCAB718" w14:textId="77777777">
      <w:r>
        <w:t>Name:_</w:t>
      </w:r>
      <w:r>
        <w:t>____Karen</w:t>
      </w:r>
      <w:r>
        <w:t xml:space="preserve"> Angel_______________________________</w:t>
      </w:r>
    </w:p>
    <w:p w:rsidR="00CD6034" w14:paraId="0DCAB719" w14:textId="77777777">
      <w:pPr>
        <w:pBdr>
          <w:top w:val="nil"/>
          <w:left w:val="nil"/>
          <w:bottom w:val="nil"/>
          <w:right w:val="nil"/>
          <w:between w:val="nil"/>
        </w:pBdr>
        <w:ind w:left="360"/>
        <w:rPr>
          <w:color w:val="000000"/>
        </w:rPr>
      </w:pPr>
    </w:p>
    <w:p w:rsidR="00CD6034" w14:paraId="0DCAB71A" w14:textId="77777777">
      <w:r>
        <w:t>To assist review, please provide answers to the following question:</w:t>
      </w:r>
    </w:p>
    <w:p w:rsidR="00CD6034" w14:paraId="0DCAB71B" w14:textId="77777777">
      <w:pPr>
        <w:pBdr>
          <w:top w:val="nil"/>
          <w:left w:val="nil"/>
          <w:bottom w:val="nil"/>
          <w:right w:val="nil"/>
          <w:between w:val="nil"/>
        </w:pBdr>
        <w:ind w:left="360"/>
        <w:rPr>
          <w:color w:val="000000"/>
        </w:rPr>
      </w:pPr>
    </w:p>
    <w:p w:rsidR="00CD6034" w14:paraId="0DCAB71C" w14:textId="77777777">
      <w:pPr>
        <w:rPr>
          <w:b/>
        </w:rPr>
      </w:pPr>
      <w:r>
        <w:rPr>
          <w:b/>
        </w:rPr>
        <w:t>Personally Identifiable Information:</w:t>
      </w:r>
    </w:p>
    <w:p w:rsidR="00CD6034" w14:paraId="0DCAB71D" w14:textId="77777777">
      <w:pPr>
        <w:numPr>
          <w:ilvl w:val="0"/>
          <w:numId w:val="3"/>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 X]  No </w:t>
      </w:r>
    </w:p>
    <w:p w:rsidR="00CD6034" w14:paraId="0DCAB71E" w14:textId="77777777">
      <w:pPr>
        <w:numPr>
          <w:ilvl w:val="0"/>
          <w:numId w:val="3"/>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[X ] No   </w:t>
      </w:r>
    </w:p>
    <w:p w:rsidR="00CD6034" w14:paraId="0DCAB71F" w14:textId="77777777">
      <w:pPr>
        <w:numPr>
          <w:ilvl w:val="0"/>
          <w:numId w:val="3"/>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w:t>
      </w:r>
      <w:r>
        <w:t>X</w:t>
      </w:r>
      <w:r>
        <w:rPr>
          <w:color w:val="000000"/>
        </w:rPr>
        <w:t>] No</w:t>
      </w:r>
    </w:p>
    <w:p w:rsidR="00CD6034" w14:paraId="0DCAB720" w14:textId="77777777">
      <w:pPr>
        <w:pBdr>
          <w:top w:val="nil"/>
          <w:left w:val="nil"/>
          <w:bottom w:val="nil"/>
          <w:right w:val="nil"/>
          <w:between w:val="nil"/>
        </w:pBdr>
      </w:pPr>
    </w:p>
    <w:p w:rsidR="00CD6034" w14:paraId="0DCAB721" w14:textId="269837B6">
      <w:pPr>
        <w:rPr>
          <w:rFonts w:ascii="Calibri" w:eastAsia="Calibri" w:hAnsi="Calibri" w:cs="Calibri"/>
        </w:rPr>
      </w:pPr>
      <w:r>
        <w:rPr>
          <w:rFonts w:ascii="Calibri" w:eastAsia="Calibri" w:hAnsi="Calibri" w:cs="Calibri"/>
        </w:rPr>
        <w:t>This submission has been reviewed by the CDC NCIPC’s Information Systems Security Officer, who has determined that the Privacy Act does not apply because CDC will not have access to or receive any personally identifiable information (PII) about participants.</w:t>
      </w:r>
    </w:p>
    <w:p w:rsidR="00CD6034" w14:paraId="0DCAB722" w14:textId="77777777">
      <w:pPr>
        <w:pBdr>
          <w:top w:val="nil"/>
          <w:left w:val="nil"/>
          <w:bottom w:val="nil"/>
          <w:right w:val="nil"/>
          <w:between w:val="nil"/>
        </w:pBdr>
        <w:rPr>
          <w:b/>
          <w:color w:val="000000"/>
        </w:rPr>
      </w:pPr>
    </w:p>
    <w:p w:rsidR="00CD6034" w14:paraId="0DCAB723" w14:textId="77777777">
      <w:pPr>
        <w:pBdr>
          <w:top w:val="nil"/>
          <w:left w:val="nil"/>
          <w:bottom w:val="nil"/>
          <w:right w:val="nil"/>
          <w:between w:val="nil"/>
        </w:pBdr>
        <w:rPr>
          <w:b/>
          <w:color w:val="000000"/>
        </w:rPr>
      </w:pPr>
      <w:r>
        <w:rPr>
          <w:b/>
          <w:color w:val="000000"/>
        </w:rPr>
        <w:t>Gifts or Payments:</w:t>
      </w:r>
    </w:p>
    <w:p w:rsidR="00CD6034" w14:paraId="0DCAB724" w14:textId="77777777">
      <w:r>
        <w:t xml:space="preserve">Is an incentive (e.g., money or reimbursement of expenses, token of appreciation) provided to participants?  [ </w:t>
      </w:r>
      <w:r>
        <w:t>X ]</w:t>
      </w:r>
      <w:r>
        <w:t xml:space="preserve"> Yes [  ] No</w:t>
      </w:r>
    </w:p>
    <w:p w:rsidR="00CD6034" w14:paraId="0DCAB725" w14:textId="77777777">
      <w:pPr>
        <w:rPr>
          <w:b/>
        </w:rPr>
      </w:pPr>
    </w:p>
    <w:p w:rsidR="00CD6034" w14:paraId="0DCAB726" w14:textId="77777777">
      <w:r>
        <w:rPr>
          <w:b/>
        </w:rPr>
        <w:t xml:space="preserve">If Yes: </w:t>
      </w:r>
      <w:r>
        <w:t xml:space="preserve">Please describe the incentive. If amounts are outside of customary incentives, please also provide a justification. </w:t>
      </w:r>
    </w:p>
    <w:p w:rsidR="00CD6034" w14:paraId="0DCAB727" w14:textId="77777777"/>
    <w:p w:rsidR="00CD6034" w:rsidRPr="00651CC7" w14:paraId="0DCAB72F" w14:textId="6A934818">
      <w:pPr>
        <w:rPr>
          <w:rFonts w:ascii="Calibri" w:eastAsia="Calibri" w:hAnsi="Calibri" w:cs="Calibri"/>
        </w:rPr>
      </w:pPr>
      <w:r>
        <w:rPr>
          <w:rFonts w:ascii="Calibri" w:eastAsia="Calibri" w:hAnsi="Calibri" w:cs="Calibri"/>
        </w:rPr>
        <w:t xml:space="preserve">We will use incentives for participation in focus group sessions for the parent/caregiver primary audience. We will use the information collected from focus group testing to understand how parents and caregivers of 2 to 4-year-olds respond to the content of the Essentials for Parenting Toddlers and Preschoolers resource and to ensure content on parenting techniques is tailored appropriately to parents and caregivers across diverse backgrounds. To address these goals, we will aim to recruit a diverse sample of parents and caregivers to ensure messages meet the needs of diverse families. To facilitate recruitment of the target number of participants, </w:t>
      </w:r>
      <w:r w:rsidR="00ED2CC4">
        <w:rPr>
          <w:rFonts w:ascii="Calibri" w:eastAsia="Calibri" w:hAnsi="Calibri" w:cs="Calibri"/>
        </w:rPr>
        <w:t xml:space="preserve">CDC </w:t>
      </w:r>
      <w:r>
        <w:rPr>
          <w:rFonts w:ascii="Calibri" w:eastAsia="Calibri" w:hAnsi="Calibri" w:cs="Calibri"/>
        </w:rPr>
        <w:t>will provide a $40 token of appreciation following their participation in one focus group</w:t>
      </w:r>
      <w:r w:rsidR="005C559B">
        <w:rPr>
          <w:rFonts w:ascii="Calibri" w:eastAsia="Calibri" w:hAnsi="Calibri" w:cs="Calibri"/>
        </w:rPr>
        <w:t xml:space="preserve">, amount approved by OMB for this generic mechanism. </w:t>
      </w:r>
      <w:r>
        <w:rPr>
          <w:rFonts w:ascii="Calibri" w:eastAsia="Calibri" w:hAnsi="Calibri" w:cs="Calibri"/>
        </w:rPr>
        <w:t xml:space="preserve">The </w:t>
      </w:r>
      <w:hyperlink r:id="rId10">
        <w:r>
          <w:rPr>
            <w:rFonts w:ascii="Calibri" w:eastAsia="Calibri" w:hAnsi="Calibri" w:cs="Calibri"/>
            <w:color w:val="1155CC"/>
            <w:u w:val="single"/>
          </w:rPr>
          <w:t>Office of Population Affairs</w:t>
        </w:r>
      </w:hyperlink>
      <w:r>
        <w:rPr>
          <w:rFonts w:ascii="Calibri" w:eastAsia="Calibri" w:hAnsi="Calibri" w:cs="Calibri"/>
        </w:rPr>
        <w:t xml:space="preserve"> encourages the use of incentives to encourage participation in focus groups (</w:t>
      </w:r>
      <w:r>
        <w:rPr>
          <w:rFonts w:ascii="Calibri" w:eastAsia="Calibri" w:hAnsi="Calibri" w:cs="Calibri"/>
        </w:rPr>
        <w:t>Aharpour</w:t>
      </w:r>
      <w:r>
        <w:rPr>
          <w:rFonts w:ascii="Calibri" w:eastAsia="Calibri" w:hAnsi="Calibri" w:cs="Calibri"/>
        </w:rPr>
        <w:t xml:space="preserve"> et al., 2020), and research has shown that compensation for participation in research can contribute to improved response rates and expedited data collection (Berlin et al., 1992).</w:t>
      </w:r>
    </w:p>
    <w:p w:rsidR="00CD6034" w14:paraId="0DCAB730" w14:textId="77777777">
      <w:pPr>
        <w:rPr>
          <w:b/>
        </w:rPr>
      </w:pPr>
    </w:p>
    <w:p w:rsidR="00CD6034" w14:paraId="0DCAB731" w14:textId="77777777">
      <w:pPr>
        <w:rPr>
          <w:i/>
        </w:rPr>
      </w:pPr>
      <w:r>
        <w:rPr>
          <w:b/>
        </w:rPr>
        <w:t>BURDEN HOURS</w:t>
      </w:r>
      <w:r>
        <w:t xml:space="preserve"> </w:t>
      </w:r>
    </w:p>
    <w:p w:rsidR="00CD6034" w14:paraId="0DCAB732" w14:textId="77777777"/>
    <w:tbl>
      <w:tblPr>
        <w:tblStyle w:val="a6"/>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20"/>
        <w:gridCol w:w="2430"/>
        <w:gridCol w:w="1620"/>
        <w:gridCol w:w="1620"/>
        <w:gridCol w:w="1080"/>
      </w:tblGrid>
      <w:tr w14:paraId="0DCAB738" w14:textId="77777777" w:rsidTr="00E04B91">
        <w:tblPrEx>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2420" w:type="dxa"/>
          </w:tcPr>
          <w:p w:rsidR="00CD6034" w14:paraId="0DCAB733" w14:textId="77777777">
            <w:pPr>
              <w:rPr>
                <w:b/>
              </w:rPr>
            </w:pPr>
            <w:r>
              <w:rPr>
                <w:b/>
              </w:rPr>
              <w:t xml:space="preserve">Category of Respondent </w:t>
            </w:r>
          </w:p>
        </w:tc>
        <w:tc>
          <w:tcPr>
            <w:tcW w:w="2430" w:type="dxa"/>
          </w:tcPr>
          <w:p w:rsidR="00CD6034" w14:paraId="0DCAB734" w14:textId="77777777">
            <w:pPr>
              <w:rPr>
                <w:b/>
              </w:rPr>
            </w:pPr>
            <w:r>
              <w:rPr>
                <w:b/>
              </w:rPr>
              <w:t>Form Name</w:t>
            </w:r>
          </w:p>
        </w:tc>
        <w:tc>
          <w:tcPr>
            <w:tcW w:w="1620" w:type="dxa"/>
          </w:tcPr>
          <w:p w:rsidR="00CD6034" w14:paraId="0DCAB735" w14:textId="77777777">
            <w:pPr>
              <w:rPr>
                <w:b/>
              </w:rPr>
            </w:pPr>
            <w:r>
              <w:rPr>
                <w:b/>
              </w:rPr>
              <w:t>No. of Respondents</w:t>
            </w:r>
          </w:p>
        </w:tc>
        <w:tc>
          <w:tcPr>
            <w:tcW w:w="1620" w:type="dxa"/>
          </w:tcPr>
          <w:p w:rsidR="00CD6034" w14:paraId="0DCAB736" w14:textId="7FF1E595">
            <w:pPr>
              <w:rPr>
                <w:b/>
              </w:rPr>
            </w:pPr>
            <w:r>
              <w:rPr>
                <w:b/>
              </w:rPr>
              <w:t>Participation Time</w:t>
            </w:r>
            <w:r w:rsidR="005C559B">
              <w:rPr>
                <w:b/>
              </w:rPr>
              <w:t xml:space="preserve"> Hour</w:t>
            </w:r>
          </w:p>
        </w:tc>
        <w:tc>
          <w:tcPr>
            <w:tcW w:w="1080" w:type="dxa"/>
          </w:tcPr>
          <w:p w:rsidR="00CD6034" w14:paraId="0DCAB737" w14:textId="77777777">
            <w:pPr>
              <w:rPr>
                <w:b/>
              </w:rPr>
            </w:pPr>
            <w:r>
              <w:rPr>
                <w:b/>
              </w:rPr>
              <w:t>Burden</w:t>
            </w:r>
          </w:p>
        </w:tc>
      </w:tr>
      <w:tr w14:paraId="0DCAB73E" w14:textId="77777777" w:rsidTr="00E04B91">
        <w:tblPrEx>
          <w:tblW w:w="9170" w:type="dxa"/>
          <w:tblLayout w:type="fixed"/>
          <w:tblLook w:val="0600"/>
        </w:tblPrEx>
        <w:trPr>
          <w:trHeight w:val="275"/>
        </w:trPr>
        <w:tc>
          <w:tcPr>
            <w:tcW w:w="2420" w:type="dxa"/>
            <w:vMerge w:val="restart"/>
          </w:tcPr>
          <w:p w:rsidR="000A1970" w14:paraId="2DDC065B" w14:textId="77777777">
            <w:r>
              <w:t>Parents and Caregivers of children ages 2-4</w:t>
            </w:r>
          </w:p>
          <w:p w:rsidR="000A1970" w:rsidP="00B35A89" w14:paraId="0DCAB739" w14:textId="2F41B4B6"/>
        </w:tc>
        <w:tc>
          <w:tcPr>
            <w:tcW w:w="2430" w:type="dxa"/>
          </w:tcPr>
          <w:p w:rsidR="000A1970" w14:paraId="0DCAB73A" w14:textId="4611AF36">
            <w:r>
              <w:t>Recruitment Screener</w:t>
            </w:r>
            <w:r w:rsidR="00E04B91">
              <w:t xml:space="preserve"> (Att. 1)</w:t>
            </w:r>
          </w:p>
        </w:tc>
        <w:tc>
          <w:tcPr>
            <w:tcW w:w="1620" w:type="dxa"/>
          </w:tcPr>
          <w:p w:rsidR="000A1970" w14:paraId="0DCAB73B" w14:textId="77777777">
            <w:r>
              <w:t>150</w:t>
            </w:r>
          </w:p>
        </w:tc>
        <w:tc>
          <w:tcPr>
            <w:tcW w:w="1620" w:type="dxa"/>
          </w:tcPr>
          <w:p w:rsidR="000A1970" w14:paraId="0DCAB73C" w14:textId="77777777">
            <w:r>
              <w:t>2/60</w:t>
            </w:r>
          </w:p>
        </w:tc>
        <w:tc>
          <w:tcPr>
            <w:tcW w:w="1080" w:type="dxa"/>
          </w:tcPr>
          <w:p w:rsidR="000A1970" w14:paraId="0DCAB73D" w14:textId="77777777">
            <w:pPr>
              <w:rPr>
                <w:color w:val="000000"/>
              </w:rPr>
            </w:pPr>
            <w:r>
              <w:t>5</w:t>
            </w:r>
          </w:p>
        </w:tc>
      </w:tr>
      <w:tr w14:paraId="0DCAB744" w14:textId="77777777" w:rsidTr="00E04B91">
        <w:tblPrEx>
          <w:tblW w:w="9170" w:type="dxa"/>
          <w:tblLayout w:type="fixed"/>
          <w:tblLook w:val="0600"/>
        </w:tblPrEx>
        <w:trPr>
          <w:trHeight w:val="275"/>
        </w:trPr>
        <w:tc>
          <w:tcPr>
            <w:tcW w:w="2420" w:type="dxa"/>
            <w:vMerge/>
          </w:tcPr>
          <w:p w:rsidR="000A1970" w14:paraId="0DCAB73F" w14:textId="2DABAB6B"/>
        </w:tc>
        <w:tc>
          <w:tcPr>
            <w:tcW w:w="2430" w:type="dxa"/>
          </w:tcPr>
          <w:p w:rsidR="000A1970" w14:paraId="0DCAB740" w14:textId="68346212">
            <w:r>
              <w:t>Focus Group Guide</w:t>
            </w:r>
            <w:r w:rsidR="000F687A">
              <w:t xml:space="preserve"> (Att. 3)</w:t>
            </w:r>
          </w:p>
        </w:tc>
        <w:tc>
          <w:tcPr>
            <w:tcW w:w="1620" w:type="dxa"/>
          </w:tcPr>
          <w:p w:rsidR="000A1970" w14:paraId="0DCAB741" w14:textId="77777777">
            <w:r>
              <w:t>40</w:t>
            </w:r>
          </w:p>
        </w:tc>
        <w:tc>
          <w:tcPr>
            <w:tcW w:w="1620" w:type="dxa"/>
          </w:tcPr>
          <w:p w:rsidR="000A1970" w14:paraId="0DCAB742" w14:textId="6937A3A6">
            <w:r>
              <w:t>1</w:t>
            </w:r>
          </w:p>
        </w:tc>
        <w:tc>
          <w:tcPr>
            <w:tcW w:w="1080" w:type="dxa"/>
          </w:tcPr>
          <w:p w:rsidR="000A1970" w14:paraId="0DCAB743" w14:textId="77777777">
            <w:pPr>
              <w:rPr>
                <w:color w:val="000000"/>
              </w:rPr>
            </w:pPr>
            <w:r>
              <w:t>40</w:t>
            </w:r>
          </w:p>
        </w:tc>
      </w:tr>
      <w:tr w14:paraId="70B5C600" w14:textId="77777777" w:rsidTr="00E04B91">
        <w:tblPrEx>
          <w:tblW w:w="9170" w:type="dxa"/>
          <w:tblLayout w:type="fixed"/>
          <w:tblLook w:val="0600"/>
        </w:tblPrEx>
        <w:trPr>
          <w:trHeight w:val="275"/>
        </w:trPr>
        <w:tc>
          <w:tcPr>
            <w:tcW w:w="2420" w:type="dxa"/>
            <w:vMerge/>
          </w:tcPr>
          <w:p w:rsidR="000A1970" w14:paraId="55F49E10" w14:textId="77777777"/>
        </w:tc>
        <w:tc>
          <w:tcPr>
            <w:tcW w:w="2430" w:type="dxa"/>
          </w:tcPr>
          <w:p w:rsidR="000A1970" w14:paraId="2460B5B0" w14:textId="75806A4C">
            <w:r>
              <w:t>Consent Form</w:t>
            </w:r>
            <w:r w:rsidR="00E04B91">
              <w:t xml:space="preserve"> (Att. 2)</w:t>
            </w:r>
          </w:p>
        </w:tc>
        <w:tc>
          <w:tcPr>
            <w:tcW w:w="1620" w:type="dxa"/>
          </w:tcPr>
          <w:p w:rsidR="000A1970" w14:paraId="2D26EDAA" w14:textId="673687C1">
            <w:r>
              <w:t>40</w:t>
            </w:r>
          </w:p>
        </w:tc>
        <w:tc>
          <w:tcPr>
            <w:tcW w:w="1620" w:type="dxa"/>
          </w:tcPr>
          <w:p w:rsidR="000A1970" w14:paraId="49786C99" w14:textId="0C5C1A50">
            <w:r>
              <w:t>5/60</w:t>
            </w:r>
          </w:p>
        </w:tc>
        <w:tc>
          <w:tcPr>
            <w:tcW w:w="1080" w:type="dxa"/>
          </w:tcPr>
          <w:p w:rsidR="000A1970" w14:paraId="2BEAFB41" w14:textId="67EBA730">
            <w:r>
              <w:t>3</w:t>
            </w:r>
          </w:p>
        </w:tc>
      </w:tr>
      <w:tr w14:paraId="069C0885" w14:textId="77777777" w:rsidTr="00E04B91">
        <w:tblPrEx>
          <w:tblW w:w="9170" w:type="dxa"/>
          <w:tblLayout w:type="fixed"/>
          <w:tblLook w:val="0600"/>
        </w:tblPrEx>
        <w:trPr>
          <w:trHeight w:val="275"/>
        </w:trPr>
        <w:tc>
          <w:tcPr>
            <w:tcW w:w="2420" w:type="dxa"/>
            <w:vMerge/>
          </w:tcPr>
          <w:p w:rsidR="000A1970" w14:paraId="0879E298" w14:textId="77777777"/>
        </w:tc>
        <w:tc>
          <w:tcPr>
            <w:tcW w:w="2430" w:type="dxa"/>
          </w:tcPr>
          <w:p w:rsidR="000A1970" w14:paraId="46F6869C" w14:textId="1A8C8DF8">
            <w:r>
              <w:t xml:space="preserve">Recruitment Screener </w:t>
            </w:r>
            <w:r w:rsidR="000F687A">
              <w:t>–</w:t>
            </w:r>
            <w:r>
              <w:t xml:space="preserve"> Spanish</w:t>
            </w:r>
            <w:r w:rsidR="000F687A">
              <w:t xml:space="preserve"> (Att. 4)</w:t>
            </w:r>
          </w:p>
        </w:tc>
        <w:tc>
          <w:tcPr>
            <w:tcW w:w="1620" w:type="dxa"/>
          </w:tcPr>
          <w:p w:rsidR="000A1970" w14:paraId="7A96DAA5" w14:textId="417C9A11">
            <w:r>
              <w:t>150</w:t>
            </w:r>
          </w:p>
        </w:tc>
        <w:tc>
          <w:tcPr>
            <w:tcW w:w="1620" w:type="dxa"/>
          </w:tcPr>
          <w:p w:rsidR="000A1970" w14:paraId="084EF331" w14:textId="171640E4">
            <w:r>
              <w:t>2/60</w:t>
            </w:r>
          </w:p>
        </w:tc>
        <w:tc>
          <w:tcPr>
            <w:tcW w:w="1080" w:type="dxa"/>
          </w:tcPr>
          <w:p w:rsidR="000A1970" w14:paraId="57D44D08" w14:textId="02067B7C">
            <w:r>
              <w:t>5</w:t>
            </w:r>
          </w:p>
        </w:tc>
      </w:tr>
      <w:tr w14:paraId="7F355995" w14:textId="77777777" w:rsidTr="00E04B91">
        <w:tblPrEx>
          <w:tblW w:w="9170" w:type="dxa"/>
          <w:tblLayout w:type="fixed"/>
          <w:tblLook w:val="0600"/>
        </w:tblPrEx>
        <w:trPr>
          <w:trHeight w:val="275"/>
        </w:trPr>
        <w:tc>
          <w:tcPr>
            <w:tcW w:w="2420" w:type="dxa"/>
            <w:vMerge/>
          </w:tcPr>
          <w:p w:rsidR="000A1970" w14:paraId="19491FB4" w14:textId="77777777"/>
        </w:tc>
        <w:tc>
          <w:tcPr>
            <w:tcW w:w="2430" w:type="dxa"/>
          </w:tcPr>
          <w:p w:rsidR="000A1970" w14:paraId="25520346" w14:textId="3EA0EB7B">
            <w:r>
              <w:t xml:space="preserve">Focus Group Guide </w:t>
            </w:r>
            <w:r w:rsidR="000F687A">
              <w:t>–</w:t>
            </w:r>
            <w:r>
              <w:t xml:space="preserve"> Spanish</w:t>
            </w:r>
            <w:r w:rsidR="000F687A">
              <w:t xml:space="preserve"> (Att. 5)</w:t>
            </w:r>
          </w:p>
        </w:tc>
        <w:tc>
          <w:tcPr>
            <w:tcW w:w="1620" w:type="dxa"/>
          </w:tcPr>
          <w:p w:rsidR="000A1970" w14:paraId="565467D3" w14:textId="448023D1">
            <w:r>
              <w:t>40</w:t>
            </w:r>
          </w:p>
        </w:tc>
        <w:tc>
          <w:tcPr>
            <w:tcW w:w="1620" w:type="dxa"/>
          </w:tcPr>
          <w:p w:rsidR="000A1970" w14:paraId="7F1FE9DB" w14:textId="6E85FA64">
            <w:r>
              <w:t>1</w:t>
            </w:r>
          </w:p>
        </w:tc>
        <w:tc>
          <w:tcPr>
            <w:tcW w:w="1080" w:type="dxa"/>
          </w:tcPr>
          <w:p w:rsidR="000A1970" w14:paraId="065B7F75" w14:textId="0F956A82">
            <w:r>
              <w:t>40</w:t>
            </w:r>
          </w:p>
        </w:tc>
      </w:tr>
      <w:tr w14:paraId="6A951251" w14:textId="77777777" w:rsidTr="00E04B91">
        <w:tblPrEx>
          <w:tblW w:w="9170" w:type="dxa"/>
          <w:tblLayout w:type="fixed"/>
          <w:tblLook w:val="0600"/>
        </w:tblPrEx>
        <w:trPr>
          <w:trHeight w:val="275"/>
        </w:trPr>
        <w:tc>
          <w:tcPr>
            <w:tcW w:w="2420" w:type="dxa"/>
            <w:vMerge/>
          </w:tcPr>
          <w:p w:rsidR="000A1970" w14:paraId="1598D97E" w14:textId="77777777"/>
        </w:tc>
        <w:tc>
          <w:tcPr>
            <w:tcW w:w="2430" w:type="dxa"/>
          </w:tcPr>
          <w:p w:rsidR="000A1970" w14:paraId="23DC6E5F" w14:textId="4D943057">
            <w:r>
              <w:t xml:space="preserve">Consent Form </w:t>
            </w:r>
            <w:r w:rsidR="000F687A">
              <w:t>–</w:t>
            </w:r>
            <w:r>
              <w:t xml:space="preserve"> Spanish</w:t>
            </w:r>
            <w:r w:rsidR="000F687A">
              <w:t xml:space="preserve"> (Att.6)</w:t>
            </w:r>
          </w:p>
        </w:tc>
        <w:tc>
          <w:tcPr>
            <w:tcW w:w="1620" w:type="dxa"/>
          </w:tcPr>
          <w:p w:rsidR="000A1970" w14:paraId="5A8303CF" w14:textId="1B9718DB">
            <w:r>
              <w:t>40</w:t>
            </w:r>
          </w:p>
        </w:tc>
        <w:tc>
          <w:tcPr>
            <w:tcW w:w="1620" w:type="dxa"/>
          </w:tcPr>
          <w:p w:rsidR="000A1970" w14:paraId="6F35F91C" w14:textId="3F329BC4">
            <w:r>
              <w:t>5/60</w:t>
            </w:r>
          </w:p>
        </w:tc>
        <w:tc>
          <w:tcPr>
            <w:tcW w:w="1080" w:type="dxa"/>
          </w:tcPr>
          <w:p w:rsidR="000A1970" w14:paraId="04A28A02" w14:textId="5679D705">
            <w:r>
              <w:t>3</w:t>
            </w:r>
          </w:p>
        </w:tc>
      </w:tr>
      <w:tr w14:paraId="0DCAB74A" w14:textId="77777777" w:rsidTr="00D667DF">
        <w:tblPrEx>
          <w:tblW w:w="9170" w:type="dxa"/>
          <w:tblLayout w:type="fixed"/>
          <w:tblLook w:val="0600"/>
        </w:tblPrEx>
        <w:trPr>
          <w:trHeight w:val="261"/>
        </w:trPr>
        <w:tc>
          <w:tcPr>
            <w:tcW w:w="8090" w:type="dxa"/>
            <w:gridSpan w:val="4"/>
            <w:shd w:val="clear" w:color="auto" w:fill="auto"/>
            <w:tcMar>
              <w:top w:w="100" w:type="dxa"/>
              <w:left w:w="100" w:type="dxa"/>
              <w:bottom w:w="100" w:type="dxa"/>
              <w:right w:w="100" w:type="dxa"/>
            </w:tcMar>
          </w:tcPr>
          <w:p w:rsidR="00E04B91" w14:paraId="0DCAB748" w14:textId="32FB2947">
            <w:pPr>
              <w:widowControl w:val="0"/>
              <w:pBdr>
                <w:top w:val="nil"/>
                <w:left w:val="nil"/>
                <w:bottom w:val="nil"/>
                <w:right w:val="nil"/>
                <w:between w:val="nil"/>
              </w:pBdr>
            </w:pPr>
            <w:r>
              <w:rPr>
                <w:b/>
              </w:rPr>
              <w:t>Totals</w:t>
            </w:r>
          </w:p>
        </w:tc>
        <w:tc>
          <w:tcPr>
            <w:tcW w:w="1080" w:type="dxa"/>
            <w:shd w:val="clear" w:color="auto" w:fill="auto"/>
            <w:tcMar>
              <w:top w:w="100" w:type="dxa"/>
              <w:left w:w="100" w:type="dxa"/>
              <w:bottom w:w="100" w:type="dxa"/>
              <w:right w:w="100" w:type="dxa"/>
            </w:tcMar>
          </w:tcPr>
          <w:p w:rsidR="00E04B91" w14:paraId="0DCAB749" w14:textId="3722D7D7">
            <w:pPr>
              <w:widowControl w:val="0"/>
              <w:pBdr>
                <w:top w:val="nil"/>
                <w:left w:val="nil"/>
                <w:bottom w:val="nil"/>
                <w:right w:val="nil"/>
                <w:between w:val="nil"/>
              </w:pBdr>
              <w:rPr>
                <w:color w:val="000000"/>
              </w:rPr>
            </w:pPr>
            <w:r>
              <w:t>96</w:t>
            </w:r>
          </w:p>
        </w:tc>
      </w:tr>
    </w:tbl>
    <w:p w:rsidR="00CD6034" w14:paraId="0DCAB74B" w14:textId="77777777"/>
    <w:p w:rsidR="00CD6034" w14:paraId="0DCAB74C" w14:textId="77777777"/>
    <w:p w:rsidR="00CD6034" w14:paraId="0DCAB74D" w14:textId="77777777">
      <w:pPr>
        <w:rPr>
          <w:b/>
        </w:rPr>
      </w:pPr>
      <w:r>
        <w:rPr>
          <w:b/>
        </w:rPr>
        <w:t xml:space="preserve">FEDERAL COST: </w:t>
      </w:r>
      <w:sdt>
        <w:sdtPr>
          <w:tag w:val="goog_rdk_3"/>
          <w:id w:val="2142993493"/>
          <w:richText/>
        </w:sdtPr>
        <w:sdtContent/>
      </w:sdt>
      <w:sdt>
        <w:sdtPr>
          <w:tag w:val="goog_rdk_4"/>
          <w:id w:val="778310577"/>
          <w:richText/>
        </w:sdtPr>
        <w:sdtContent/>
      </w:sdt>
      <w:sdt>
        <w:sdtPr>
          <w:tag w:val="goog_rdk_5"/>
          <w:id w:val="-1473596400"/>
          <w:richText/>
        </w:sdtPr>
        <w:sdtContent/>
      </w:sdt>
      <w:r>
        <w:rPr>
          <w:b/>
        </w:rPr>
        <w:t xml:space="preserve"> </w:t>
      </w:r>
      <w:r>
        <w:t xml:space="preserve">The estimated annual cost to the Federal government </w:t>
      </w:r>
      <w:r>
        <w:t>is  _</w:t>
      </w:r>
      <w:r>
        <w:t>_</w:t>
      </w:r>
      <w:r>
        <w:rPr>
          <w:u w:val="single"/>
        </w:rPr>
        <w:t>$</w:t>
      </w:r>
      <w:r>
        <w:t xml:space="preserve"> 5,000.</w:t>
      </w:r>
    </w:p>
    <w:p w:rsidR="00CD6034" w14:paraId="0DCAB74E" w14:textId="77777777">
      <w:pPr>
        <w:rPr>
          <w:b/>
          <w:u w:val="single"/>
        </w:rPr>
      </w:pPr>
    </w:p>
    <w:p w:rsidR="00CD6034" w14:paraId="0DCAB74F"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CD6034" w14:paraId="0DCAB750" w14:textId="77777777">
      <w:pPr>
        <w:rPr>
          <w:b/>
        </w:rPr>
      </w:pPr>
    </w:p>
    <w:p w:rsidR="00CD6034" w14:paraId="0DCAB751" w14:textId="77777777">
      <w:pPr>
        <w:rPr>
          <w:b/>
        </w:rPr>
      </w:pPr>
      <w:r>
        <w:rPr>
          <w:b/>
        </w:rPr>
        <w:t>The selection of your targeted respondents</w:t>
      </w:r>
    </w:p>
    <w:p w:rsidR="00CD6034" w14:paraId="0DCAB752" w14:textId="77777777">
      <w:pPr>
        <w:numPr>
          <w:ilvl w:val="0"/>
          <w:numId w:val="1"/>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[X ] No</w:t>
      </w:r>
    </w:p>
    <w:p w:rsidR="00CD6034" w14:paraId="0DCAB753" w14:textId="77777777">
      <w:pPr>
        <w:pBdr>
          <w:top w:val="nil"/>
          <w:left w:val="nil"/>
          <w:bottom w:val="nil"/>
          <w:right w:val="nil"/>
          <w:between w:val="nil"/>
        </w:pBdr>
        <w:ind w:left="720"/>
        <w:rPr>
          <w:color w:val="000000"/>
        </w:rPr>
      </w:pPr>
    </w:p>
    <w:p w:rsidR="00CD6034" w14:paraId="0DCAB754" w14:textId="77777777">
      <w:r>
        <w:rPr>
          <w:b/>
        </w:rPr>
        <w:t>If Yes:</w:t>
      </w:r>
      <w:r>
        <w:t xml:space="preserve"> Please provide a description of both below (or attach the sampling plan)   </w:t>
      </w:r>
    </w:p>
    <w:p w:rsidR="00CD6034" w14:paraId="0DCAB755" w14:textId="77777777">
      <w:r>
        <w:rPr>
          <w:b/>
        </w:rPr>
        <w:t>If No:</w:t>
      </w:r>
      <w:r>
        <w:t xml:space="preserve"> Please provide a description of how you plan to identify your potential group of respondents and how you will select them or ask them to self-select/</w:t>
      </w:r>
      <w:r>
        <w:t>volunteer</w:t>
      </w:r>
    </w:p>
    <w:p w:rsidR="00CD6034" w14:paraId="0DCAB756" w14:textId="77777777"/>
    <w:p w:rsidR="00CD6034" w14:paraId="0DCAB757" w14:textId="729D71CE">
      <w:pPr>
        <w:rPr>
          <w:rFonts w:ascii="Calibri" w:eastAsia="Calibri" w:hAnsi="Calibri" w:cs="Calibri"/>
        </w:rPr>
      </w:pPr>
      <w:r>
        <w:rPr>
          <w:rFonts w:ascii="Calibri" w:eastAsia="Calibri" w:hAnsi="Calibri" w:cs="Calibri"/>
        </w:rPr>
        <w:t xml:space="preserve">CDC </w:t>
      </w:r>
      <w:r w:rsidR="00145554">
        <w:rPr>
          <w:rFonts w:ascii="Calibri" w:eastAsia="Calibri" w:hAnsi="Calibri" w:cs="Calibri"/>
        </w:rPr>
        <w:t>will conduct a total of five focus groups with English- and Spanish-speaking parents and caregivers of preschoolers and toddlers 2-4 years old. Each group will have up to 8 participants for a maximum of 40 participants across all groups. To gather a broad sample of parents/caregivers of toddlers and preschoolers, we will work with a market research firm</w:t>
      </w:r>
      <w:r w:rsidR="007A6DF3">
        <w:rPr>
          <w:rFonts w:ascii="Calibri" w:eastAsia="Calibri" w:hAnsi="Calibri" w:cs="Calibri"/>
        </w:rPr>
        <w:t>, L&amp;E,</w:t>
      </w:r>
      <w:r w:rsidR="00145554">
        <w:rPr>
          <w:rFonts w:ascii="Calibri" w:eastAsia="Calibri" w:hAnsi="Calibri" w:cs="Calibri"/>
        </w:rPr>
        <w:t xml:space="preserve"> for recruitment. </w:t>
      </w:r>
      <w:r w:rsidR="008C0842">
        <w:rPr>
          <w:rFonts w:ascii="Calibri" w:eastAsia="Calibri" w:hAnsi="Calibri" w:cs="Calibri"/>
        </w:rPr>
        <w:t>L&amp;E</w:t>
      </w:r>
      <w:r w:rsidR="00864A4C">
        <w:rPr>
          <w:rFonts w:ascii="Calibri" w:eastAsia="Calibri" w:hAnsi="Calibri" w:cs="Calibri"/>
        </w:rPr>
        <w:t xml:space="preserve"> (recruitment firm) has a nationwide reach in their database to recruit for projects </w:t>
      </w:r>
      <w:r w:rsidR="00864A4C">
        <w:rPr>
          <w:rFonts w:ascii="Calibri" w:eastAsia="Calibri" w:hAnsi="Calibri" w:cs="Calibri"/>
        </w:rPr>
        <w:t>all across</w:t>
      </w:r>
      <w:r w:rsidR="00864A4C">
        <w:rPr>
          <w:rFonts w:ascii="Calibri" w:eastAsia="Calibri" w:hAnsi="Calibri" w:cs="Calibri"/>
        </w:rPr>
        <w:t xml:space="preserve"> the United States. </w:t>
      </w:r>
    </w:p>
    <w:p w:rsidR="00CD6034" w14:paraId="0DCAB758" w14:textId="77777777"/>
    <w:p w:rsidR="00CD6034" w14:paraId="0DCAB759" w14:textId="77777777">
      <w:pPr>
        <w:rPr>
          <w:b/>
        </w:rPr>
      </w:pPr>
      <w:r>
        <w:rPr>
          <w:b/>
        </w:rPr>
        <w:t>Administration of the Instrument</w:t>
      </w:r>
    </w:p>
    <w:p w:rsidR="00CD6034" w14:paraId="0DCAB75A" w14:textId="77777777">
      <w:pPr>
        <w:numPr>
          <w:ilvl w:val="0"/>
          <w:numId w:val="2"/>
        </w:numPr>
        <w:pBdr>
          <w:top w:val="nil"/>
          <w:left w:val="nil"/>
          <w:bottom w:val="nil"/>
          <w:right w:val="nil"/>
          <w:between w:val="nil"/>
        </w:pBdr>
      </w:pPr>
      <w:r>
        <w:rPr>
          <w:color w:val="000000"/>
        </w:rPr>
        <w:t>How will you collect the information? (Check all that apply)</w:t>
      </w:r>
    </w:p>
    <w:p w:rsidR="00CD6034" w14:paraId="0DCAB75B" w14:textId="77777777">
      <w:pPr>
        <w:ind w:left="720"/>
      </w:pPr>
      <w:r>
        <w:t xml:space="preserve">[ </w:t>
      </w:r>
      <w:r>
        <w:t>X ]</w:t>
      </w:r>
      <w:r>
        <w:t xml:space="preserve"> Web-based or other forms of Social Media </w:t>
      </w:r>
    </w:p>
    <w:p w:rsidR="00CD6034" w14:paraId="0DCAB75C" w14:textId="77777777">
      <w:pPr>
        <w:ind w:left="720"/>
      </w:pPr>
      <w:r>
        <w:t>[  ]</w:t>
      </w:r>
      <w:r>
        <w:t xml:space="preserve"> Telephone</w:t>
      </w:r>
      <w:r>
        <w:tab/>
      </w:r>
    </w:p>
    <w:p w:rsidR="00CD6034" w14:paraId="0DCAB75D" w14:textId="77777777">
      <w:pPr>
        <w:ind w:left="720"/>
      </w:pPr>
      <w:r>
        <w:t>[  ]</w:t>
      </w:r>
      <w:r>
        <w:t xml:space="preserve"> In-person</w:t>
      </w:r>
      <w:r>
        <w:tab/>
      </w:r>
    </w:p>
    <w:p w:rsidR="00CD6034" w14:paraId="0DCAB75E" w14:textId="77777777">
      <w:pPr>
        <w:ind w:left="720"/>
      </w:pPr>
      <w:r>
        <w:t>[  ]</w:t>
      </w:r>
      <w:r>
        <w:t xml:space="preserve"> Mail </w:t>
      </w:r>
    </w:p>
    <w:p w:rsidR="00CD6034" w14:paraId="0DCAB75F" w14:textId="77777777">
      <w:pPr>
        <w:ind w:left="720"/>
      </w:pPr>
      <w:r>
        <w:t>[  ]</w:t>
      </w:r>
      <w:r>
        <w:t xml:space="preserve"> Other, Explain</w:t>
      </w:r>
    </w:p>
    <w:p w:rsidR="00CD6034" w14:paraId="0DCAB760" w14:textId="77777777">
      <w:pPr>
        <w:numPr>
          <w:ilvl w:val="0"/>
          <w:numId w:val="2"/>
        </w:numPr>
        <w:pBdr>
          <w:top w:val="nil"/>
          <w:left w:val="nil"/>
          <w:bottom w:val="nil"/>
          <w:right w:val="nil"/>
          <w:between w:val="nil"/>
        </w:pBdr>
      </w:pPr>
      <w:r>
        <w:rPr>
          <w:color w:val="000000"/>
        </w:rPr>
        <w:t xml:space="preserve">Will interviewers or facilitators be used?  [ </w:t>
      </w:r>
      <w:r>
        <w:rPr>
          <w:color w:val="000000"/>
        </w:rPr>
        <w:t>X ]</w:t>
      </w:r>
      <w:r>
        <w:rPr>
          <w:color w:val="000000"/>
        </w:rPr>
        <w:t xml:space="preserve"> Yes [  ] No</w:t>
      </w:r>
    </w:p>
    <w:p w:rsidR="00CD6034" w14:paraId="0DCAB761" w14:textId="77777777">
      <w:pPr>
        <w:pBdr>
          <w:top w:val="nil"/>
          <w:left w:val="nil"/>
          <w:bottom w:val="nil"/>
          <w:right w:val="nil"/>
          <w:between w:val="nil"/>
        </w:pBdr>
        <w:ind w:left="360"/>
        <w:rPr>
          <w:color w:val="000000"/>
        </w:rPr>
      </w:pPr>
      <w:r>
        <w:rPr>
          <w:color w:val="000000"/>
        </w:rPr>
        <w:t xml:space="preserve"> </w:t>
      </w:r>
    </w:p>
    <w:p w:rsidR="00CD6034" w14:paraId="0DCAB767" w14:textId="77777777">
      <w:pPr>
        <w:spacing w:after="160" w:line="259" w:lineRule="auto"/>
        <w:rPr>
          <w:b/>
        </w:rPr>
      </w:pPr>
      <w:bookmarkStart w:id="1" w:name="_heading=h.24ycmbj8hvpm" w:colFirst="0" w:colLast="0"/>
      <w:bookmarkStart w:id="2" w:name="_heading=h.b81xntemn86q" w:colFirst="0" w:colLast="0"/>
      <w:bookmarkEnd w:id="1"/>
      <w:bookmarkEnd w:id="2"/>
      <w:r>
        <w:rPr>
          <w:b/>
        </w:rPr>
        <w:t>References</w:t>
      </w:r>
    </w:p>
    <w:p w:rsidR="00CD6034" w14:paraId="0DCAB768" w14:textId="77777777">
      <w:pPr>
        <w:tabs>
          <w:tab w:val="left" w:pos="5670"/>
        </w:tabs>
        <w:spacing w:after="200"/>
        <w:rPr>
          <w:rFonts w:ascii="Calibri" w:eastAsia="Calibri" w:hAnsi="Calibri" w:cs="Calibri"/>
        </w:rPr>
      </w:pPr>
      <w:r>
        <w:rPr>
          <w:rFonts w:ascii="Calibri" w:eastAsia="Calibri" w:hAnsi="Calibri" w:cs="Calibri"/>
        </w:rPr>
        <w:t>Aharpour</w:t>
      </w:r>
      <w:r>
        <w:rPr>
          <w:rFonts w:ascii="Calibri" w:eastAsia="Calibri" w:hAnsi="Calibri" w:cs="Calibri"/>
        </w:rPr>
        <w:t xml:space="preserve">, D., Angus, M.H., and O’Connell, K., (2020). Tip Sheet for Conducting Focus Groups, Washington, DC: Office of Population Affairs, Office of the Assistant Secretary for Health, U.S. Department of </w:t>
      </w:r>
      <w:r>
        <w:rPr>
          <w:rFonts w:ascii="Calibri" w:eastAsia="Calibri" w:hAnsi="Calibri" w:cs="Calibri"/>
        </w:rPr>
        <w:t>Health</w:t>
      </w:r>
      <w:r>
        <w:rPr>
          <w:rFonts w:ascii="Calibri" w:eastAsia="Calibri" w:hAnsi="Calibri" w:cs="Calibri"/>
        </w:rPr>
        <w:t xml:space="preserve"> and Human Services</w:t>
      </w:r>
    </w:p>
    <w:p w:rsidR="00CD6034" w14:paraId="0DCAB769" w14:textId="77777777">
      <w:pPr>
        <w:tabs>
          <w:tab w:val="left" w:pos="5670"/>
        </w:tabs>
        <w:spacing w:after="200"/>
        <w:rPr>
          <w:rFonts w:ascii="Calibri" w:eastAsia="Calibri" w:hAnsi="Calibri" w:cs="Calibri"/>
        </w:rPr>
      </w:pPr>
      <w:r>
        <w:rPr>
          <w:rFonts w:ascii="Calibri" w:eastAsia="Calibri" w:hAnsi="Calibri" w:cs="Calibri"/>
        </w:rPr>
        <w:t xml:space="preserve"> Berlin, M., </w:t>
      </w:r>
      <w:r>
        <w:rPr>
          <w:rFonts w:ascii="Calibri" w:eastAsia="Calibri" w:hAnsi="Calibri" w:cs="Calibri"/>
        </w:rPr>
        <w:t>Mohadjer</w:t>
      </w:r>
      <w:r>
        <w:rPr>
          <w:rFonts w:ascii="Calibri" w:eastAsia="Calibri" w:hAnsi="Calibri" w:cs="Calibri"/>
        </w:rPr>
        <w:t xml:space="preserve">, L., </w:t>
      </w:r>
      <w:r>
        <w:rPr>
          <w:rFonts w:ascii="Calibri" w:eastAsia="Calibri" w:hAnsi="Calibri" w:cs="Calibri"/>
        </w:rPr>
        <w:t>Waksberg</w:t>
      </w:r>
      <w:r>
        <w:rPr>
          <w:rFonts w:ascii="Calibri" w:eastAsia="Calibri" w:hAnsi="Calibri" w:cs="Calibri"/>
        </w:rPr>
        <w:t>, J., Kolstad, A., Kirsch, I., Rock, D., &amp; Yamamoto, K. (1992). An experiment in monetary incentives. In Proceedings of survey research methods section (pp. 393-398).</w:t>
      </w:r>
    </w:p>
    <w:p w:rsidR="00CD6034" w14:paraId="0DCAB76A" w14:textId="77777777">
      <w:pPr>
        <w:tabs>
          <w:tab w:val="left" w:pos="5670"/>
        </w:tabs>
        <w:spacing w:after="200"/>
        <w:rPr>
          <w:rFonts w:ascii="Calibri" w:eastAsia="Calibri" w:hAnsi="Calibri" w:cs="Calibri"/>
        </w:rPr>
      </w:pPr>
      <w:r>
        <w:rPr>
          <w:rFonts w:ascii="Calibri" w:eastAsia="Calibri" w:hAnsi="Calibri" w:cs="Calibri"/>
        </w:rPr>
        <w:t>Lathen</w:t>
      </w:r>
      <w:r>
        <w:rPr>
          <w:rFonts w:ascii="Calibri" w:eastAsia="Calibri" w:hAnsi="Calibri" w:cs="Calibri"/>
        </w:rPr>
        <w:t xml:space="preserve">, L., &amp; </w:t>
      </w:r>
      <w:r>
        <w:rPr>
          <w:rFonts w:ascii="Calibri" w:eastAsia="Calibri" w:hAnsi="Calibri" w:cs="Calibri"/>
        </w:rPr>
        <w:t>Laestadius</w:t>
      </w:r>
      <w:r>
        <w:rPr>
          <w:rFonts w:ascii="Calibri" w:eastAsia="Calibri" w:hAnsi="Calibri" w:cs="Calibri"/>
        </w:rPr>
        <w:t xml:space="preserve">, L. (2021). Reflections on Online Focus Group Research </w:t>
      </w:r>
      <w:r>
        <w:rPr>
          <w:rFonts w:ascii="Calibri" w:eastAsia="Calibri" w:hAnsi="Calibri" w:cs="Calibri"/>
        </w:rPr>
        <w:t>With</w:t>
      </w:r>
      <w:r>
        <w:rPr>
          <w:rFonts w:ascii="Calibri" w:eastAsia="Calibri" w:hAnsi="Calibri" w:cs="Calibri"/>
        </w:rPr>
        <w:t xml:space="preserve"> Low Socio-Economic Status African American Adults During COVID-19. International Journal of Qualitative Methods, 20, 16094069211021712. https://doi.org/10.1177/16094069211021713</w:t>
      </w:r>
    </w:p>
    <w:p w:rsidR="00CD6034" w14:paraId="0DCAB76B" w14:textId="77777777">
      <w:pPr>
        <w:rPr>
          <w:b/>
        </w:rPr>
      </w:pPr>
    </w:p>
    <w:sectPr>
      <w:footerReference w:type="default" r:id="rId11"/>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034" w14:paraId="0DCAB780" w14:textId="464B520C">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76808">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0C0D4A"/>
    <w:multiLevelType w:val="multilevel"/>
    <w:tmpl w:val="149A9C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4D346E0"/>
    <w:multiLevelType w:val="multilevel"/>
    <w:tmpl w:val="74A07F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DD1412B"/>
    <w:multiLevelType w:val="multilevel"/>
    <w:tmpl w:val="992A8C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B105EA"/>
    <w:multiLevelType w:val="multilevel"/>
    <w:tmpl w:val="3D707C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8592633">
    <w:abstractNumId w:val="1"/>
  </w:num>
  <w:num w:numId="2" w16cid:durableId="726533790">
    <w:abstractNumId w:val="2"/>
  </w:num>
  <w:num w:numId="3" w16cid:durableId="1606188194">
    <w:abstractNumId w:val="0"/>
  </w:num>
  <w:num w:numId="4" w16cid:durableId="1039085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34"/>
    <w:rsid w:val="00082A6B"/>
    <w:rsid w:val="000A1970"/>
    <w:rsid w:val="000F687A"/>
    <w:rsid w:val="000F7FA6"/>
    <w:rsid w:val="00145554"/>
    <w:rsid w:val="001710BD"/>
    <w:rsid w:val="00176808"/>
    <w:rsid w:val="001D256D"/>
    <w:rsid w:val="001E0558"/>
    <w:rsid w:val="00273B5E"/>
    <w:rsid w:val="002E724A"/>
    <w:rsid w:val="002F77AF"/>
    <w:rsid w:val="0039789F"/>
    <w:rsid w:val="00412143"/>
    <w:rsid w:val="00427B05"/>
    <w:rsid w:val="004324ED"/>
    <w:rsid w:val="0053416A"/>
    <w:rsid w:val="005C559B"/>
    <w:rsid w:val="00651CC7"/>
    <w:rsid w:val="006E66EE"/>
    <w:rsid w:val="007A6DF3"/>
    <w:rsid w:val="00811024"/>
    <w:rsid w:val="00830037"/>
    <w:rsid w:val="008438FE"/>
    <w:rsid w:val="00864A4C"/>
    <w:rsid w:val="008C0842"/>
    <w:rsid w:val="009E133C"/>
    <w:rsid w:val="00A249E6"/>
    <w:rsid w:val="00A74EE2"/>
    <w:rsid w:val="00B35A89"/>
    <w:rsid w:val="00C719B8"/>
    <w:rsid w:val="00CD6034"/>
    <w:rsid w:val="00D05BB1"/>
    <w:rsid w:val="00D14157"/>
    <w:rsid w:val="00DB5921"/>
    <w:rsid w:val="00E04B91"/>
    <w:rsid w:val="00E83203"/>
    <w:rsid w:val="00ED2C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CAB6D0"/>
  <w15:docId w15:val="{92AD1B16-4746-4A3F-9D85-9B610999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rPr>
      <w:sz w:val="20"/>
      <w:szCs w:val="20"/>
    </w:rPr>
    <w:tblPr>
      <w:tblStyleRowBandSize w:val="1"/>
      <w:tblStyleColBandSize w:val="1"/>
      <w:tblCellMar>
        <w:left w:w="115" w:type="dxa"/>
        <w:right w:w="115" w:type="dxa"/>
      </w:tblCellMar>
    </w:tblPr>
  </w:style>
  <w:style w:type="table" w:customStyle="1" w:styleId="a2">
    <w:name w:val="a2"/>
    <w:basedOn w:val="TableNormal"/>
    <w:rPr>
      <w:sz w:val="20"/>
      <w:szCs w:val="20"/>
    </w:rPr>
    <w:tblPr>
      <w:tblStyleRowBandSize w:val="1"/>
      <w:tblStyleColBandSize w:val="1"/>
      <w:tblCellMar>
        <w:left w:w="115" w:type="dxa"/>
        <w:right w:w="115" w:type="dxa"/>
      </w:tblCellMar>
    </w:tblPr>
  </w:style>
  <w:style w:type="table" w:customStyle="1" w:styleId="a3">
    <w:name w:val="a3"/>
    <w:basedOn w:val="TableNormal"/>
    <w:rPr>
      <w:sz w:val="20"/>
      <w:szCs w:val="20"/>
    </w:rPr>
    <w:tblPr>
      <w:tblStyleRowBandSize w:val="1"/>
      <w:tblStyleColBandSize w:val="1"/>
      <w:tblCellMar>
        <w:left w:w="115" w:type="dxa"/>
        <w:right w:w="115" w:type="dxa"/>
      </w:tblCellMar>
    </w:tblPr>
  </w:style>
  <w:style w:type="table" w:customStyle="1" w:styleId="a4">
    <w:name w:val="a4"/>
    <w:basedOn w:val="TableNormal"/>
    <w:rPr>
      <w:sz w:val="20"/>
      <w:szCs w:val="20"/>
    </w:rPr>
    <w:tblPr>
      <w:tblStyleRowBandSize w:val="1"/>
      <w:tblStyleColBandSize w:val="1"/>
      <w:tblCellMar>
        <w:left w:w="115" w:type="dxa"/>
        <w:right w:w="115" w:type="dxa"/>
      </w:tblCellMar>
    </w:tblPr>
  </w:style>
  <w:style w:type="paragraph" w:styleId="Revision">
    <w:name w:val="Revision"/>
    <w:hidden/>
    <w:uiPriority w:val="99"/>
    <w:semiHidden/>
    <w:rsid w:val="00FC67E4"/>
  </w:style>
  <w:style w:type="character" w:styleId="Mention">
    <w:name w:val="Mention"/>
    <w:basedOn w:val="DefaultParagraphFont"/>
    <w:uiPriority w:val="99"/>
    <w:unhideWhenUsed/>
    <w:rsid w:val="00621A94"/>
    <w:rPr>
      <w:color w:val="2B579A"/>
      <w:shd w:val="clear" w:color="auto" w:fill="E1DFDD"/>
    </w:r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a.hhs.gov/sites/default/files/2021-08/focus-group-tip-sheet-april-2020.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nRJZ/cu9tLP0BQi0xLbpgMi0Q==">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</go:docsCustomData>
</go:gDocsCustomXmlDataStorage>
</file>

<file path=customXml/itemProps1.xml><?xml version="1.0" encoding="utf-8"?>
<ds:datastoreItem xmlns:ds="http://schemas.openxmlformats.org/officeDocument/2006/customXml" ds:itemID="{57F2BE61-B9F3-45CB-BFA2-9A7025E086BB}">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customXml/itemProps2.xml><?xml version="1.0" encoding="utf-8"?>
<ds:datastoreItem xmlns:ds="http://schemas.openxmlformats.org/officeDocument/2006/customXml" ds:itemID="{90A52CB5-2055-4468-B908-3C3E20699520}">
  <ds:schemaRefs>
    <ds:schemaRef ds:uri="http://schemas.microsoft.com/sharepoint/v3/contenttype/forms"/>
  </ds:schemaRefs>
</ds:datastoreItem>
</file>

<file path=customXml/itemProps3.xml><?xml version="1.0" encoding="utf-8"?>
<ds:datastoreItem xmlns:ds="http://schemas.openxmlformats.org/officeDocument/2006/customXml" ds:itemID="{AA83D5EB-C24E-46DE-AF9C-D782963EC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1576</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Zirger, Jeffrey (CDC/IOD/OS)</cp:lastModifiedBy>
  <cp:revision>8</cp:revision>
  <dcterms:created xsi:type="dcterms:W3CDTF">2024-09-20T18:18:00Z</dcterms:created>
  <dcterms:modified xsi:type="dcterms:W3CDTF">2024-10-02T16:39:00Z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afe4328e4f98c3ddc8b4febd610d0f26bafd00a2323af1ca99d5f803790c8993</vt:lpwstr>
  </property>
  <property fmtid="{D5CDD505-2E9C-101B-9397-08002B2CF9AE}" pid="4" name="MediaServiceImageTags">
    <vt:lpwstr>MediaServiceImageTags</vt:lpwstr>
  </property>
  <property fmtid="{D5CDD505-2E9C-101B-9397-08002B2CF9AE}" pid="5" name="MSIP_Label_7b94a7b8-f06c-4dfe-bdcc-9b548fd58c31_ActionId">
    <vt:lpwstr>69800fa8-bf4b-4b21-ae64-381fbe9a7e6f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2024-03-05T17:12:12Z</vt:lpwstr>
  </property>
  <property fmtid="{D5CDD505-2E9C-101B-9397-08002B2CF9AE}" pid="11" name="MSIP_Label_7b94a7b8-f06c-4dfe-bdcc-9b548fd58c31_SiteId">
    <vt:lpwstr>9ce70869-60db-44fd-abe8-d2767077fc8f</vt:lpwstr>
  </property>
  <property fmtid="{D5CDD505-2E9C-101B-9397-08002B2CF9AE}" pid="12" name="_NewReviewCycle">
    <vt:lpwstr>_NewReviewCycle</vt:lpwstr>
  </property>
</Properties>
</file>