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B46F2C" w:rsidP="00F06866" w14:paraId="4A225714" w14:textId="41A70E2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 </w:t>
      </w: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6CD2926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1229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B593E6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014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297DF48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12292">
              <w:rPr>
                <w:rFonts w:eastAsiaTheme="minorHAnsi"/>
                <w:sz w:val="22"/>
                <w:szCs w:val="22"/>
              </w:rPr>
              <w:t xml:space="preserve">X </w:t>
            </w:r>
            <w:r>
              <w:rPr>
                <w:rFonts w:eastAsiaTheme="minorHAnsi"/>
                <w:sz w:val="22"/>
                <w:szCs w:val="22"/>
              </w:rPr>
              <w:t>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79BCE80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014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601A7392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1229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5F1DA410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014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71D09F6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12292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22269F8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014AD">
              <w:rPr>
                <w:rFonts w:eastAsiaTheme="minorHAnsi"/>
                <w:sz w:val="22"/>
                <w:szCs w:val="22"/>
              </w:rPr>
              <w:t xml:space="preserve">X 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557C8CF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0014AD">
              <w:rPr>
                <w:rFonts w:eastAsiaTheme="minorHAnsi"/>
                <w:sz w:val="22"/>
                <w:szCs w:val="22"/>
              </w:rPr>
              <w:t xml:space="preserve"> </w:t>
            </w:r>
            <w:r w:rsidR="000014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3EC2C71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0014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26399D6E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0014AD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443C35" w:rsidP="00443C35" w14:paraId="47D846A5" w14:textId="2569220D">
      <w:pPr>
        <w:pStyle w:val="ListParagraph"/>
        <w:ind w:left="0"/>
        <w:rPr>
          <w:sz w:val="22"/>
          <w:szCs w:val="22"/>
        </w:rPr>
      </w:pPr>
      <w:r>
        <w:t xml:space="preserve">Note: Use OMB format when asking race/ethnicity as well as </w:t>
      </w:r>
      <w:r w:rsidR="00F17896">
        <w:t>sex</w:t>
      </w:r>
      <w:r>
        <w:t xml:space="preserve"> questions. </w:t>
      </w:r>
    </w:p>
    <w:p w:rsidR="00145293" w:rsidP="00443C35" w14:paraId="71B5FAB9" w14:textId="77777777">
      <w:pPr>
        <w:widowControl w:val="0"/>
        <w:spacing w:before="120"/>
        <w:rPr>
          <w:sz w:val="22"/>
          <w:szCs w:val="22"/>
        </w:rPr>
      </w:pPr>
    </w:p>
    <w:p w:rsidR="00B46F2C" w14:paraId="29476A1F" w14:textId="5BBA89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1D087B3">
        <w:rPr>
          <w:b/>
          <w:bCs/>
        </w:rPr>
        <w:t>TITLE OF INFORMATION COLLECTION:</w:t>
      </w:r>
      <w:r>
        <w:t xml:space="preserve">  </w:t>
      </w:r>
      <w:r w:rsidRPr="00DB5A63" w:rsidR="00DB5A63">
        <w:t xml:space="preserve">Translating Evidence to Practice Implementation Tools for Preventing Overdose </w:t>
      </w:r>
      <w:r w:rsidR="00D75A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6" name="Straight Arrow Connector 6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7" type="#_x0000_t32" alt="Title: Title Underline - Description: Underlining of Title" style="width:469.5pt;height:3pt;margin-top:0;margin-left:0;mso-wrap-distance-bottom:0;mso-wrap-distance-left:9pt;mso-wrap-distance-right:9pt;mso-wrap-distance-top:0;mso-wrap-style:square;position:absolute;visibility:visible;z-index:251664384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D75A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5" name="Straight Arrow Connector 5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8" type="#_x0000_t32" alt="Title: Title Underline - Description: Underlining of Title" style="width:469.5pt;height:3pt;margin-top:0;margin-left:0;mso-wrap-distance-bottom:0;mso-wrap-distance-left:9pt;mso-wrap-distance-right:9pt;mso-wrap-distance-top:0;mso-wrap-style:square;position:absolute;visibility:visible;z-index:251665408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7B6A1A" w14:paraId="574FEEBA" w14:textId="77777777"/>
    <w:p w:rsidR="00655F9E" w:rsidRPr="00CA1DEB" w:rsidP="0032692E" w14:paraId="27EF9B80" w14:textId="4E44453C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Pr="00CA1DEB" w:rsidR="00DB5A63">
        <w:rPr>
          <w:bCs/>
        </w:rPr>
        <w:t xml:space="preserve">The purpose of this data collection is to </w:t>
      </w:r>
      <w:r w:rsidRPr="00CA1DEB" w:rsidR="00C7039B">
        <w:rPr>
          <w:bCs/>
        </w:rPr>
        <w:t xml:space="preserve">understand perspectives of public health partners implementing overdose </w:t>
      </w:r>
      <w:r w:rsidR="00404492">
        <w:rPr>
          <w:bCs/>
        </w:rPr>
        <w:t xml:space="preserve">prevention </w:t>
      </w:r>
      <w:r w:rsidRPr="00CA1DEB" w:rsidR="00C7039B">
        <w:rPr>
          <w:bCs/>
        </w:rPr>
        <w:t>activities in the field</w:t>
      </w:r>
      <w:r w:rsidR="000F1792">
        <w:rPr>
          <w:bCs/>
        </w:rPr>
        <w:t xml:space="preserve"> and their needs </w:t>
      </w:r>
      <w:r w:rsidR="00743E92">
        <w:rPr>
          <w:bCs/>
        </w:rPr>
        <w:t>in regard to</w:t>
      </w:r>
      <w:r w:rsidR="000F1792">
        <w:rPr>
          <w:bCs/>
        </w:rPr>
        <w:t xml:space="preserve"> implementation tools that help support these activities</w:t>
      </w:r>
      <w:r w:rsidRPr="00CA1DEB" w:rsidR="005636CA">
        <w:rPr>
          <w:bCs/>
        </w:rPr>
        <w:t xml:space="preserve">. </w:t>
      </w:r>
      <w:r w:rsidRPr="00CA1DEB" w:rsidR="006612C1">
        <w:rPr>
          <w:bCs/>
        </w:rPr>
        <w:t xml:space="preserve">Understanding their feedback on existing materials and gaps in existing materials will be essential for developing new materials that </w:t>
      </w:r>
      <w:r w:rsidR="00931475">
        <w:rPr>
          <w:bCs/>
        </w:rPr>
        <w:t xml:space="preserve">are actionable and implementable for partners. </w:t>
      </w:r>
      <w:r w:rsidRPr="00972559" w:rsidR="00972559">
        <w:rPr>
          <w:bCs/>
        </w:rPr>
        <w:t xml:space="preserve">The proposed project intends to support the development of actionable tools and </w:t>
      </w:r>
      <w:r w:rsidR="004A13D8">
        <w:rPr>
          <w:bCs/>
        </w:rPr>
        <w:t xml:space="preserve">implementation </w:t>
      </w:r>
      <w:r w:rsidRPr="00972559" w:rsidR="00972559">
        <w:rPr>
          <w:bCs/>
        </w:rPr>
        <w:t xml:space="preserve">guidance materials on solutions to current issues and challenges in overdose prevention with topics including but not limited to; community responses to changing drug supply landscape and patterns of use, </w:t>
      </w:r>
      <w:r w:rsidR="00E24AB3">
        <w:rPr>
          <w:bCs/>
        </w:rPr>
        <w:t xml:space="preserve">strategies for </w:t>
      </w:r>
      <w:r w:rsidR="003915D3">
        <w:rPr>
          <w:bCs/>
        </w:rPr>
        <w:t>overdose prevention</w:t>
      </w:r>
      <w:r w:rsidR="00E24AB3">
        <w:rPr>
          <w:bCs/>
        </w:rPr>
        <w:t xml:space="preserve"> </w:t>
      </w:r>
      <w:r w:rsidRPr="00972559" w:rsidR="00972559">
        <w:rPr>
          <w:bCs/>
        </w:rPr>
        <w:t>for individuals who use drugs alone, grief support and wellness for patient navigators, a qualitative understanding of health departments’ experiences implementing linkage to care (L2C) and L2C surveillance, and strategies that support retention and reengagement in care</w:t>
      </w:r>
      <w:r w:rsidR="00972559">
        <w:rPr>
          <w:bCs/>
        </w:rPr>
        <w:t>. This project is a cooperative agreement with the National Council of Mental Wellbeing, who will help lead the data collection, data synthesis, and product development.</w:t>
      </w:r>
      <w:r w:rsidR="00D341D2">
        <w:rPr>
          <w:bCs/>
        </w:rPr>
        <w:t xml:space="preserve"> This data collection will be administered by survey</w:t>
      </w:r>
      <w:r w:rsidR="003915D3">
        <w:rPr>
          <w:bCs/>
        </w:rPr>
        <w:t xml:space="preserve">. </w:t>
      </w:r>
      <w:r w:rsidRPr="0032692E" w:rsidR="0032692E">
        <w:rPr>
          <w:bCs/>
        </w:rPr>
        <w:t>The purpose of the survey</w:t>
      </w:r>
      <w:r w:rsidR="0032692E">
        <w:rPr>
          <w:bCs/>
        </w:rPr>
        <w:t xml:space="preserve"> and follow-up key informant interviews</w:t>
      </w:r>
      <w:r w:rsidRPr="0032692E" w:rsidR="0032692E">
        <w:rPr>
          <w:bCs/>
        </w:rPr>
        <w:t xml:space="preserve"> is two-fold: 1) to determine what</w:t>
      </w:r>
      <w:r w:rsidR="0032692E">
        <w:rPr>
          <w:bCs/>
        </w:rPr>
        <w:t xml:space="preserve"> </w:t>
      </w:r>
      <w:r w:rsidRPr="0032692E" w:rsidR="0032692E">
        <w:rPr>
          <w:bCs/>
        </w:rPr>
        <w:t>general overdose prevention/substance use resources are helpful for the field and 2) to assess the utility of tools the</w:t>
      </w:r>
      <w:r w:rsidR="0032692E">
        <w:rPr>
          <w:bCs/>
        </w:rPr>
        <w:t xml:space="preserve"> </w:t>
      </w:r>
      <w:r w:rsidRPr="0032692E" w:rsidR="0032692E">
        <w:rPr>
          <w:bCs/>
        </w:rPr>
        <w:t>National Council</w:t>
      </w:r>
      <w:r w:rsidR="00A410E7">
        <w:rPr>
          <w:bCs/>
        </w:rPr>
        <w:t xml:space="preserve"> and CDC</w:t>
      </w:r>
      <w:r w:rsidRPr="0032692E" w:rsidR="0032692E">
        <w:rPr>
          <w:bCs/>
        </w:rPr>
        <w:t xml:space="preserve"> ha</w:t>
      </w:r>
      <w:r w:rsidR="00A410E7">
        <w:rPr>
          <w:bCs/>
        </w:rPr>
        <w:t>ve</w:t>
      </w:r>
      <w:r w:rsidRPr="0032692E" w:rsidR="0032692E">
        <w:rPr>
          <w:bCs/>
        </w:rPr>
        <w:t xml:space="preserve"> previously developed and disseminated.</w:t>
      </w:r>
      <w:r w:rsidR="0032692E">
        <w:rPr>
          <w:bCs/>
        </w:rPr>
        <w:t xml:space="preserve"> </w:t>
      </w:r>
      <w:r w:rsidR="00630700">
        <w:rPr>
          <w:bCs/>
        </w:rPr>
        <w:t>This results from this data collection will inform the development of implementation tools</w:t>
      </w:r>
      <w:r w:rsidR="00ED3250">
        <w:rPr>
          <w:bCs/>
        </w:rPr>
        <w:t xml:space="preserve"> such as informing type of tool (i.e. </w:t>
      </w:r>
      <w:r w:rsidR="007D7D1C">
        <w:rPr>
          <w:bCs/>
        </w:rPr>
        <w:t xml:space="preserve">briefings, templates, webinars, </w:t>
      </w:r>
      <w:r w:rsidR="00A93B90">
        <w:rPr>
          <w:bCs/>
        </w:rPr>
        <w:t>worksheets, etc</w:t>
      </w:r>
      <w:r w:rsidR="007C6264">
        <w:rPr>
          <w:bCs/>
        </w:rPr>
        <w:t xml:space="preserve">.), length of tools, strategies for </w:t>
      </w:r>
      <w:r w:rsidR="003A613C">
        <w:rPr>
          <w:bCs/>
        </w:rPr>
        <w:t>dissemination,</w:t>
      </w:r>
      <w:r w:rsidR="008162B9">
        <w:rPr>
          <w:bCs/>
        </w:rPr>
        <w:t xml:space="preserve"> and audience of the tools.  </w:t>
      </w:r>
    </w:p>
    <w:p w:rsidR="00655F9E" w:rsidP="00655F9E" w14:paraId="2E2D52EB" w14:textId="77777777"/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D75A5A" w:rsidP="51D087B3" w14:paraId="54A2E4B0" w14:textId="38D24A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bCs/>
          <w:color w:val="000000"/>
        </w:rPr>
      </w:pPr>
      <w:r w:rsidRPr="51D087B3">
        <w:rPr>
          <w:b/>
          <w:bCs/>
        </w:rPr>
        <w:t>DESCRIPTION OF RESPONDENTS</w:t>
      </w:r>
      <w:r>
        <w:t xml:space="preserve">: </w:t>
      </w:r>
      <w:r w:rsidR="000022D8">
        <w:t>Respondents will be individuals who utilize overdose intervention materials</w:t>
      </w:r>
      <w:r w:rsidR="00630700">
        <w:t xml:space="preserve"> and tools</w:t>
      </w:r>
      <w:r w:rsidR="00B446F7">
        <w:t xml:space="preserve">, including OD2A: LOCAL </w:t>
      </w:r>
      <w:r w:rsidR="00A016F6">
        <w:t xml:space="preserve">and State </w:t>
      </w:r>
      <w:r w:rsidR="00B446F7">
        <w:t>recipients (</w:t>
      </w:r>
      <w:r w:rsidR="009926C5">
        <w:t>9</w:t>
      </w:r>
      <w:r w:rsidR="00B446F7">
        <w:t>0) and NCMW listserv participants (expected 180 respondents).</w:t>
      </w: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03AD7DD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E724EA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61DAF08">
      <w:r>
        <w:t>Name:</w:t>
      </w:r>
      <w:r w:rsidR="00E724EA">
        <w:t xml:space="preserve"> </w:t>
      </w:r>
      <w:r w:rsidRPr="00E724EA" w:rsidR="00E724EA">
        <w:rPr>
          <w:u w:val="single"/>
        </w:rPr>
        <w:t xml:space="preserve">Miranda Gali, Natanya </w:t>
      </w:r>
      <w:r w:rsidRPr="00E724EA" w:rsidR="00E724EA">
        <w:rPr>
          <w:u w:val="single"/>
        </w:rPr>
        <w:t>Robinowitz</w:t>
      </w:r>
      <w:r w:rsidRPr="00E724EA" w:rsidR="00E724EA">
        <w:rPr>
          <w:u w:val="single"/>
        </w:rPr>
        <w:t>, Rebecca Glover-</w:t>
      </w:r>
      <w:r w:rsidRPr="00E724EA" w:rsidR="00E724EA">
        <w:rPr>
          <w:u w:val="single"/>
        </w:rPr>
        <w:t>Kudon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20A6905E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E724EA">
        <w:t xml:space="preserve"> X</w:t>
      </w:r>
      <w:r>
        <w:t xml:space="preserve"> ]  No </w:t>
      </w:r>
    </w:p>
    <w:p w:rsidR="00B46F2C" w:rsidP="00C86E91" w14:paraId="059C2C9E" w14:textId="0D5CD5A9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</w:t>
      </w:r>
      <w:r w:rsidR="00FC1A9C">
        <w:t>X</w:t>
      </w:r>
      <w:r>
        <w:t xml:space="preserve"> ] No   </w:t>
      </w:r>
    </w:p>
    <w:p w:rsidR="00B46F2C" w:rsidP="00C86E91" w14:paraId="53684D4A" w14:textId="3D7D761B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FC1A9C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1F62A6B4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8F0F1B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RPr="001612AF" w14:paraId="665813D7" w14:textId="7EAB416A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>provide a justification</w:t>
      </w:r>
      <w:r w:rsidR="00D75A5A">
        <w:t>.</w:t>
      </w:r>
      <w:r w:rsidRPr="008F50D4">
        <w:t xml:space="preserve"> </w:t>
      </w:r>
    </w:p>
    <w:p w:rsidR="00B46F2C" w14:paraId="5BFDF9FE" w14:textId="77777777">
      <w:pPr>
        <w:rPr>
          <w:b/>
        </w:rPr>
      </w:pPr>
    </w:p>
    <w:p w:rsidR="00B46F2C" w:rsidRPr="001612AF" w:rsidP="001612AF" w14:paraId="0F6F775B" w14:textId="42D20DD0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1612AF" w:rsidP="001612AF" w14:paraId="547BEF01" w14:textId="77777777"/>
    <w:tbl>
      <w:tblPr>
        <w:tblW w:w="10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57"/>
        <w:gridCol w:w="1416"/>
        <w:gridCol w:w="2083"/>
        <w:gridCol w:w="1583"/>
        <w:gridCol w:w="2384"/>
      </w:tblGrid>
      <w:tr w14:paraId="3C1D3739" w14:textId="77777777" w:rsidTr="00756F45">
        <w:tblPrEx>
          <w:tblW w:w="10123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522"/>
        </w:trPr>
        <w:tc>
          <w:tcPr>
            <w:tcW w:w="2657" w:type="dxa"/>
          </w:tcPr>
          <w:p w:rsidR="00756F45" w:rsidP="006D6116" w14:paraId="318CE377" w14:textId="77777777">
            <w:pPr>
              <w:rPr>
                <w:b/>
              </w:rPr>
            </w:pPr>
            <w:r>
              <w:rPr>
                <w:b/>
              </w:rPr>
              <w:t xml:space="preserve">Category of </w:t>
            </w:r>
            <w:r>
              <w:rPr>
                <w:b/>
              </w:rPr>
              <w:t>Respondent</w:t>
            </w:r>
            <w:r>
              <w:rPr>
                <w:b/>
              </w:rPr>
              <w:t xml:space="preserve"> </w:t>
            </w:r>
          </w:p>
        </w:tc>
        <w:tc>
          <w:tcPr>
            <w:tcW w:w="1416" w:type="dxa"/>
          </w:tcPr>
          <w:p w:rsidR="00756F45" w:rsidP="006D6116" w14:paraId="77864ACD" w14:textId="24720629">
            <w:pPr>
              <w:rPr>
                <w:b/>
              </w:rPr>
            </w:pPr>
            <w:r>
              <w:rPr>
                <w:b/>
              </w:rPr>
              <w:t>Form Name</w:t>
            </w:r>
          </w:p>
        </w:tc>
        <w:tc>
          <w:tcPr>
            <w:tcW w:w="2083" w:type="dxa"/>
          </w:tcPr>
          <w:p w:rsidR="00756F45" w:rsidP="006D6116" w14:paraId="04FF0781" w14:textId="634C0C72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583" w:type="dxa"/>
          </w:tcPr>
          <w:p w:rsidR="00756F45" w:rsidP="006D6116" w14:paraId="46CF86FA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2384" w:type="dxa"/>
          </w:tcPr>
          <w:p w:rsidR="00756F45" w:rsidP="006D6116" w14:paraId="2279F79E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14:paraId="70D7882C" w14:textId="77777777" w:rsidTr="00756F45">
        <w:tblPrEx>
          <w:tblW w:w="10123" w:type="dxa"/>
          <w:tblLayout w:type="fixed"/>
          <w:tblLook w:val="0600"/>
        </w:tblPrEx>
        <w:trPr>
          <w:trHeight w:val="275"/>
        </w:trPr>
        <w:tc>
          <w:tcPr>
            <w:tcW w:w="2657" w:type="dxa"/>
          </w:tcPr>
          <w:p w:rsidR="00756F45" w:rsidP="006D6116" w14:paraId="47DC62D8" w14:textId="6F716C04">
            <w:r>
              <w:t xml:space="preserve">OD2A Recipients </w:t>
            </w:r>
            <w:r w:rsidR="00192C29">
              <w:t>&amp; NCMW Harm Reduction Listserv Respondents</w:t>
            </w:r>
          </w:p>
        </w:tc>
        <w:tc>
          <w:tcPr>
            <w:tcW w:w="1416" w:type="dxa"/>
          </w:tcPr>
          <w:p w:rsidR="00756F45" w:rsidP="006D6116" w14:paraId="28AD2491" w14:textId="172D3868">
            <w:r w:rsidRPr="00074E6C">
              <w:t>Tools for Overdose Prevention Survey</w:t>
            </w:r>
            <w:r w:rsidR="00D852FA">
              <w:t xml:space="preserve"> </w:t>
            </w:r>
            <w:r w:rsidR="00D852FA">
              <w:t>Att</w:t>
            </w:r>
            <w:r w:rsidR="00D852FA">
              <w:t xml:space="preserve"> 1</w:t>
            </w:r>
          </w:p>
        </w:tc>
        <w:tc>
          <w:tcPr>
            <w:tcW w:w="2083" w:type="dxa"/>
          </w:tcPr>
          <w:p w:rsidR="00756F45" w:rsidP="006D6116" w14:paraId="6CC8C9D7" w14:textId="20C337A8">
            <w:r>
              <w:t>270</w:t>
            </w:r>
          </w:p>
        </w:tc>
        <w:tc>
          <w:tcPr>
            <w:tcW w:w="1583" w:type="dxa"/>
          </w:tcPr>
          <w:p w:rsidR="00756F45" w:rsidP="006D6116" w14:paraId="6DF420FB" w14:textId="1EA4E942">
            <w:r>
              <w:t>40/60</w:t>
            </w:r>
          </w:p>
        </w:tc>
        <w:tc>
          <w:tcPr>
            <w:tcW w:w="2384" w:type="dxa"/>
          </w:tcPr>
          <w:p w:rsidR="00756F45" w:rsidRPr="000B1668" w:rsidP="006D6116" w14:paraId="49A24255" w14:textId="009B63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180 hours</w:t>
            </w:r>
          </w:p>
        </w:tc>
      </w:tr>
      <w:tr w14:paraId="13E184A1" w14:textId="77777777" w:rsidTr="00756F45">
        <w:tblPrEx>
          <w:tblW w:w="10123" w:type="dxa"/>
          <w:tblLayout w:type="fixed"/>
          <w:tblLook w:val="0600"/>
        </w:tblPrEx>
        <w:trPr>
          <w:trHeight w:val="275"/>
        </w:trPr>
        <w:tc>
          <w:tcPr>
            <w:tcW w:w="2657" w:type="dxa"/>
          </w:tcPr>
          <w:p w:rsidR="00074E6C" w:rsidP="006D6116" w14:paraId="2C134DAF" w14:textId="7E542D33">
            <w:r>
              <w:t>OD2A Recipients &amp; NCMW Harm Reduction Listserv Respondents</w:t>
            </w:r>
          </w:p>
        </w:tc>
        <w:tc>
          <w:tcPr>
            <w:tcW w:w="1416" w:type="dxa"/>
          </w:tcPr>
          <w:p w:rsidR="00074E6C" w:rsidRPr="00074E6C" w:rsidP="006D6116" w14:paraId="7B98018C" w14:textId="7233E27A">
            <w:r>
              <w:t>Recruitment email</w:t>
            </w:r>
            <w:r w:rsidR="0019296A">
              <w:t xml:space="preserve"> </w:t>
            </w:r>
            <w:r w:rsidR="00D852FA">
              <w:t>Att</w:t>
            </w:r>
            <w:r w:rsidR="00D852FA">
              <w:t xml:space="preserve"> 2</w:t>
            </w:r>
          </w:p>
        </w:tc>
        <w:tc>
          <w:tcPr>
            <w:tcW w:w="2083" w:type="dxa"/>
          </w:tcPr>
          <w:p w:rsidR="00074E6C" w:rsidP="006D6116" w14:paraId="118042EF" w14:textId="516CF5AE">
            <w:r>
              <w:t>270</w:t>
            </w:r>
          </w:p>
        </w:tc>
        <w:tc>
          <w:tcPr>
            <w:tcW w:w="1583" w:type="dxa"/>
          </w:tcPr>
          <w:p w:rsidR="00074E6C" w:rsidP="006D6116" w14:paraId="00949409" w14:textId="1DE25F8D">
            <w:r>
              <w:t>2</w:t>
            </w:r>
            <w:r w:rsidR="00294885">
              <w:t>/60</w:t>
            </w:r>
          </w:p>
        </w:tc>
        <w:tc>
          <w:tcPr>
            <w:tcW w:w="2384" w:type="dxa"/>
          </w:tcPr>
          <w:p w:rsidR="00074E6C" w:rsidP="006D6116" w14:paraId="5EFFBC23" w14:textId="766E73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hours</w:t>
            </w:r>
          </w:p>
        </w:tc>
      </w:tr>
      <w:tr w14:paraId="5C77FA5A" w14:textId="77777777" w:rsidTr="00756F45">
        <w:tblPrEx>
          <w:tblW w:w="10123" w:type="dxa"/>
          <w:tblLayout w:type="fixed"/>
          <w:tblLook w:val="0600"/>
        </w:tblPrEx>
        <w:trPr>
          <w:trHeight w:val="261"/>
        </w:trPr>
        <w:tc>
          <w:tcPr>
            <w:tcW w:w="2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P="006D6116" w14:paraId="27B3AD7E" w14:textId="77777777">
            <w:r>
              <w:rPr>
                <w:b/>
              </w:rPr>
              <w:t>Totals</w:t>
            </w:r>
          </w:p>
        </w:tc>
        <w:tc>
          <w:tcPr>
            <w:tcW w:w="1416" w:type="dxa"/>
          </w:tcPr>
          <w:p w:rsidR="00756F45" w:rsidRPr="000B1668" w:rsidP="006D6116" w14:paraId="361CB9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RPr="000B1668" w:rsidP="006D6116" w14:paraId="33137106" w14:textId="7F15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P="006D6116" w14:paraId="0BE3BA24" w14:textId="53310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F45" w:rsidRPr="006567F7" w:rsidP="006D6116" w14:paraId="3A68AB14" w14:textId="2375E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19296A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hours</w:t>
            </w:r>
          </w:p>
        </w:tc>
      </w:tr>
    </w:tbl>
    <w:p w:rsidR="001612AF" w:rsidP="001612AF" w14:paraId="01CC319B" w14:textId="77777777"/>
    <w:p w:rsidR="00B46F2C" w:rsidP="00F3170F" w14:paraId="1AB33144" w14:textId="77777777"/>
    <w:p w:rsidR="00B46F2C" w14:paraId="6775AEDB" w14:textId="32B27583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is__</w:t>
      </w:r>
      <w:r w:rsidRPr="00AE48D9" w:rsidR="001612AF">
        <w:rPr>
          <w:u w:val="single"/>
        </w:rPr>
        <w:t>$</w:t>
      </w:r>
      <w:r w:rsidR="001612AF">
        <w:t xml:space="preserve"> </w:t>
      </w:r>
      <w:r w:rsidR="00027F58">
        <w:t>1,500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3B7FCB4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E44F05">
        <w:t xml:space="preserve"> </w:t>
      </w:r>
      <w:r w:rsidR="00E44F05">
        <w:t>X</w:t>
      </w:r>
      <w:r>
        <w:t xml:space="preserve"> ]</w:t>
      </w:r>
      <w:r>
        <w:t xml:space="preserve">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07FE33B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1612AF" w:rsidP="001B0AAA" w14:paraId="053D14F2" w14:textId="13593878"/>
    <w:p w:rsidR="00E44F05" w:rsidP="001B0AAA" w14:paraId="4AA04622" w14:textId="6B166152">
      <w:r>
        <w:t>The list of respondents will include OD2</w:t>
      </w:r>
      <w:r>
        <w:t>A:LOCAL</w:t>
      </w:r>
      <w:r w:rsidR="009926C5">
        <w:t xml:space="preserve"> and OD2A State</w:t>
      </w:r>
      <w:r>
        <w:t xml:space="preserve"> recipients as well as NCMW’s listserv. These lists are already cultivated</w:t>
      </w:r>
      <w:r w:rsidR="0011476C">
        <w:t>.</w:t>
      </w:r>
    </w:p>
    <w:p w:rsidR="001612AF" w:rsidP="001B0AAA" w14:paraId="60D8220B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6976C7F7">
      <w:pPr>
        <w:ind w:left="720"/>
      </w:pPr>
      <w:r>
        <w:t>[</w:t>
      </w:r>
      <w:r w:rsidR="00E44F05">
        <w:t xml:space="preserve"> </w:t>
      </w:r>
      <w:r w:rsidR="007B6A1A">
        <w:t xml:space="preserve"> </w:t>
      </w:r>
      <w:r>
        <w:t>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079DE130">
      <w:pPr>
        <w:ind w:left="720"/>
      </w:pPr>
      <w:r>
        <w:t xml:space="preserve">[  </w:t>
      </w:r>
      <w:r w:rsidR="001D3BC5">
        <w:t>X</w:t>
      </w:r>
      <w:r>
        <w:t>] Other, Explain</w:t>
      </w:r>
      <w:r w:rsidR="001D3BC5">
        <w:t xml:space="preserve"> – Email based communication </w:t>
      </w:r>
    </w:p>
    <w:p w:rsidR="00B46F2C" w:rsidP="00F24CFC" w14:paraId="12FD5503" w14:textId="4E06843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F7A2C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035826">
    <w:abstractNumId w:val="10"/>
  </w:num>
  <w:num w:numId="2" w16cid:durableId="1660500132">
    <w:abstractNumId w:val="16"/>
  </w:num>
  <w:num w:numId="3" w16cid:durableId="87624391">
    <w:abstractNumId w:val="15"/>
  </w:num>
  <w:num w:numId="4" w16cid:durableId="1017462887">
    <w:abstractNumId w:val="17"/>
  </w:num>
  <w:num w:numId="5" w16cid:durableId="743916397">
    <w:abstractNumId w:val="3"/>
  </w:num>
  <w:num w:numId="6" w16cid:durableId="176426995">
    <w:abstractNumId w:val="1"/>
  </w:num>
  <w:num w:numId="7" w16cid:durableId="1621837999">
    <w:abstractNumId w:val="8"/>
  </w:num>
  <w:num w:numId="8" w16cid:durableId="1536230351">
    <w:abstractNumId w:val="13"/>
  </w:num>
  <w:num w:numId="9" w16cid:durableId="1547908245">
    <w:abstractNumId w:val="9"/>
  </w:num>
  <w:num w:numId="10" w16cid:durableId="163935047">
    <w:abstractNumId w:val="2"/>
  </w:num>
  <w:num w:numId="11" w16cid:durableId="2084136908">
    <w:abstractNumId w:val="6"/>
  </w:num>
  <w:num w:numId="12" w16cid:durableId="402870412">
    <w:abstractNumId w:val="7"/>
  </w:num>
  <w:num w:numId="13" w16cid:durableId="579751158">
    <w:abstractNumId w:val="0"/>
  </w:num>
  <w:num w:numId="14" w16cid:durableId="1773865223">
    <w:abstractNumId w:val="14"/>
  </w:num>
  <w:num w:numId="15" w16cid:durableId="1641033484">
    <w:abstractNumId w:val="12"/>
  </w:num>
  <w:num w:numId="16" w16cid:durableId="236211994">
    <w:abstractNumId w:val="11"/>
  </w:num>
  <w:num w:numId="17" w16cid:durableId="1156873043">
    <w:abstractNumId w:val="4"/>
  </w:num>
  <w:num w:numId="18" w16cid:durableId="108588214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Wilson, Lauren (CDC/NCIPC/DOP)">
    <w15:presenceInfo w15:providerId="AD" w15:userId="S::mqv6@cdc.gov::97799d1e-3b0b-4302-8952-3735c87cc6c8"/>
  </w15:person>
  <w15:person w15:author="Gali, Miranda (CDC/NCIPC/DOP)">
    <w15:presenceInfo w15:providerId="AD" w15:userId="S::tyy5@cdc.gov::4d854d63-6e97-485c-a811-57e3b0707dba"/>
  </w15:person>
  <w15:person w15:author="Cote, Pierre Olivier (CDC/NCIPC/DOP)">
    <w15:presenceInfo w15:providerId="AD" w15:userId="S::yyc8@cdc.gov::0c629cbd-c2dc-46c6-baec-1bf1f6b1da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4AD"/>
    <w:rsid w:val="000022D8"/>
    <w:rsid w:val="00023A57"/>
    <w:rsid w:val="00027F58"/>
    <w:rsid w:val="00047A64"/>
    <w:rsid w:val="00062CA6"/>
    <w:rsid w:val="00067329"/>
    <w:rsid w:val="00074E6C"/>
    <w:rsid w:val="000B1668"/>
    <w:rsid w:val="000B2838"/>
    <w:rsid w:val="000D44CA"/>
    <w:rsid w:val="000E200B"/>
    <w:rsid w:val="000F1792"/>
    <w:rsid w:val="000F68BE"/>
    <w:rsid w:val="000F6D85"/>
    <w:rsid w:val="0011476C"/>
    <w:rsid w:val="00121E91"/>
    <w:rsid w:val="00145293"/>
    <w:rsid w:val="00146B20"/>
    <w:rsid w:val="001612AF"/>
    <w:rsid w:val="00170D16"/>
    <w:rsid w:val="0018338E"/>
    <w:rsid w:val="001927A4"/>
    <w:rsid w:val="0019296A"/>
    <w:rsid w:val="00192C29"/>
    <w:rsid w:val="00194AC6"/>
    <w:rsid w:val="001A23B0"/>
    <w:rsid w:val="001A25CC"/>
    <w:rsid w:val="001B0AAA"/>
    <w:rsid w:val="001C39F7"/>
    <w:rsid w:val="001D3BC5"/>
    <w:rsid w:val="00237B48"/>
    <w:rsid w:val="0024035B"/>
    <w:rsid w:val="0024521E"/>
    <w:rsid w:val="00263C3D"/>
    <w:rsid w:val="00265236"/>
    <w:rsid w:val="0026739D"/>
    <w:rsid w:val="00274D0B"/>
    <w:rsid w:val="002821FF"/>
    <w:rsid w:val="00291893"/>
    <w:rsid w:val="00294885"/>
    <w:rsid w:val="002A38B7"/>
    <w:rsid w:val="002B3C95"/>
    <w:rsid w:val="002B4652"/>
    <w:rsid w:val="002D0B92"/>
    <w:rsid w:val="002D388E"/>
    <w:rsid w:val="002E52CD"/>
    <w:rsid w:val="002F06D1"/>
    <w:rsid w:val="0032692E"/>
    <w:rsid w:val="00335AB1"/>
    <w:rsid w:val="0036393E"/>
    <w:rsid w:val="003675DB"/>
    <w:rsid w:val="003859BC"/>
    <w:rsid w:val="003915D3"/>
    <w:rsid w:val="00391BB4"/>
    <w:rsid w:val="003A4C87"/>
    <w:rsid w:val="003A613C"/>
    <w:rsid w:val="003C4F49"/>
    <w:rsid w:val="003D5BBE"/>
    <w:rsid w:val="003E05AC"/>
    <w:rsid w:val="003E3C61"/>
    <w:rsid w:val="003F1C5B"/>
    <w:rsid w:val="003F5954"/>
    <w:rsid w:val="00402E9B"/>
    <w:rsid w:val="0040417A"/>
    <w:rsid w:val="00404492"/>
    <w:rsid w:val="0041337D"/>
    <w:rsid w:val="00427ECA"/>
    <w:rsid w:val="00434E33"/>
    <w:rsid w:val="00441434"/>
    <w:rsid w:val="00443C35"/>
    <w:rsid w:val="00450CC2"/>
    <w:rsid w:val="0045264C"/>
    <w:rsid w:val="004876EC"/>
    <w:rsid w:val="004A13D8"/>
    <w:rsid w:val="004A52CE"/>
    <w:rsid w:val="004C5202"/>
    <w:rsid w:val="004D6E14"/>
    <w:rsid w:val="004E1C18"/>
    <w:rsid w:val="004F48C1"/>
    <w:rsid w:val="005009B0"/>
    <w:rsid w:val="00512CA7"/>
    <w:rsid w:val="00522CF5"/>
    <w:rsid w:val="00535D0A"/>
    <w:rsid w:val="005438CD"/>
    <w:rsid w:val="005636CA"/>
    <w:rsid w:val="00582177"/>
    <w:rsid w:val="005A1006"/>
    <w:rsid w:val="005A1ED9"/>
    <w:rsid w:val="005B224E"/>
    <w:rsid w:val="005E714A"/>
    <w:rsid w:val="006140A0"/>
    <w:rsid w:val="00621E79"/>
    <w:rsid w:val="00630700"/>
    <w:rsid w:val="00636621"/>
    <w:rsid w:val="00642B49"/>
    <w:rsid w:val="00655F9E"/>
    <w:rsid w:val="006567F7"/>
    <w:rsid w:val="00660A3F"/>
    <w:rsid w:val="006612C1"/>
    <w:rsid w:val="006832D9"/>
    <w:rsid w:val="0069403B"/>
    <w:rsid w:val="006B32EE"/>
    <w:rsid w:val="006C11EF"/>
    <w:rsid w:val="006D6116"/>
    <w:rsid w:val="006D6504"/>
    <w:rsid w:val="006D7271"/>
    <w:rsid w:val="006F3DDE"/>
    <w:rsid w:val="00704678"/>
    <w:rsid w:val="00712372"/>
    <w:rsid w:val="00726B30"/>
    <w:rsid w:val="00733573"/>
    <w:rsid w:val="00735F1C"/>
    <w:rsid w:val="007425E7"/>
    <w:rsid w:val="00743E92"/>
    <w:rsid w:val="00756F45"/>
    <w:rsid w:val="00762E46"/>
    <w:rsid w:val="007B05B4"/>
    <w:rsid w:val="007B0C4A"/>
    <w:rsid w:val="007B6A1A"/>
    <w:rsid w:val="007C6264"/>
    <w:rsid w:val="007D7D1C"/>
    <w:rsid w:val="007F7921"/>
    <w:rsid w:val="00802607"/>
    <w:rsid w:val="008101A5"/>
    <w:rsid w:val="008162B9"/>
    <w:rsid w:val="00822664"/>
    <w:rsid w:val="00843796"/>
    <w:rsid w:val="00851CFC"/>
    <w:rsid w:val="00895229"/>
    <w:rsid w:val="008A2CF8"/>
    <w:rsid w:val="008F0203"/>
    <w:rsid w:val="008F0F1B"/>
    <w:rsid w:val="008F50D4"/>
    <w:rsid w:val="009135FE"/>
    <w:rsid w:val="009239AA"/>
    <w:rsid w:val="00931475"/>
    <w:rsid w:val="00935927"/>
    <w:rsid w:val="00935ADA"/>
    <w:rsid w:val="00946B6C"/>
    <w:rsid w:val="00955A71"/>
    <w:rsid w:val="0096108F"/>
    <w:rsid w:val="00964D1B"/>
    <w:rsid w:val="00972559"/>
    <w:rsid w:val="00976A9D"/>
    <w:rsid w:val="009926C5"/>
    <w:rsid w:val="009930A5"/>
    <w:rsid w:val="009C13B9"/>
    <w:rsid w:val="009D01A2"/>
    <w:rsid w:val="009F5923"/>
    <w:rsid w:val="00A016F6"/>
    <w:rsid w:val="00A31CBA"/>
    <w:rsid w:val="00A403BB"/>
    <w:rsid w:val="00A40EAB"/>
    <w:rsid w:val="00A410E7"/>
    <w:rsid w:val="00A674DF"/>
    <w:rsid w:val="00A83AA6"/>
    <w:rsid w:val="00A919BE"/>
    <w:rsid w:val="00A93B90"/>
    <w:rsid w:val="00AD3D72"/>
    <w:rsid w:val="00AE1809"/>
    <w:rsid w:val="00AE4409"/>
    <w:rsid w:val="00AE48D9"/>
    <w:rsid w:val="00AE6141"/>
    <w:rsid w:val="00B446F7"/>
    <w:rsid w:val="00B44CFB"/>
    <w:rsid w:val="00B46F2C"/>
    <w:rsid w:val="00B53290"/>
    <w:rsid w:val="00B76F71"/>
    <w:rsid w:val="00B80D76"/>
    <w:rsid w:val="00B83722"/>
    <w:rsid w:val="00B876F2"/>
    <w:rsid w:val="00B945C6"/>
    <w:rsid w:val="00BA2105"/>
    <w:rsid w:val="00BA7E06"/>
    <w:rsid w:val="00BB43B5"/>
    <w:rsid w:val="00BB6219"/>
    <w:rsid w:val="00BB7278"/>
    <w:rsid w:val="00BC13EF"/>
    <w:rsid w:val="00BD290F"/>
    <w:rsid w:val="00BD39E3"/>
    <w:rsid w:val="00BF5965"/>
    <w:rsid w:val="00BF7A2C"/>
    <w:rsid w:val="00C008AA"/>
    <w:rsid w:val="00C14CC4"/>
    <w:rsid w:val="00C230E2"/>
    <w:rsid w:val="00C32A67"/>
    <w:rsid w:val="00C33C52"/>
    <w:rsid w:val="00C40D8B"/>
    <w:rsid w:val="00C7039B"/>
    <w:rsid w:val="00C719DE"/>
    <w:rsid w:val="00C744D2"/>
    <w:rsid w:val="00C809B5"/>
    <w:rsid w:val="00C8407A"/>
    <w:rsid w:val="00C8488C"/>
    <w:rsid w:val="00C86E91"/>
    <w:rsid w:val="00C93D61"/>
    <w:rsid w:val="00C9606B"/>
    <w:rsid w:val="00CA1DEB"/>
    <w:rsid w:val="00CA2650"/>
    <w:rsid w:val="00CB1078"/>
    <w:rsid w:val="00CB5C9C"/>
    <w:rsid w:val="00CC6FAF"/>
    <w:rsid w:val="00CE7721"/>
    <w:rsid w:val="00D04FCA"/>
    <w:rsid w:val="00D12292"/>
    <w:rsid w:val="00D13E1B"/>
    <w:rsid w:val="00D24698"/>
    <w:rsid w:val="00D341D2"/>
    <w:rsid w:val="00D6383F"/>
    <w:rsid w:val="00D71221"/>
    <w:rsid w:val="00D75A5A"/>
    <w:rsid w:val="00D852FA"/>
    <w:rsid w:val="00DB59D0"/>
    <w:rsid w:val="00DB5A63"/>
    <w:rsid w:val="00DC33D3"/>
    <w:rsid w:val="00DC405B"/>
    <w:rsid w:val="00E02391"/>
    <w:rsid w:val="00E025BF"/>
    <w:rsid w:val="00E108B1"/>
    <w:rsid w:val="00E24AB3"/>
    <w:rsid w:val="00E252F3"/>
    <w:rsid w:val="00E26329"/>
    <w:rsid w:val="00E2785B"/>
    <w:rsid w:val="00E343F7"/>
    <w:rsid w:val="00E40B50"/>
    <w:rsid w:val="00E44F05"/>
    <w:rsid w:val="00E50293"/>
    <w:rsid w:val="00E57B71"/>
    <w:rsid w:val="00E65FFC"/>
    <w:rsid w:val="00E724EA"/>
    <w:rsid w:val="00E734F2"/>
    <w:rsid w:val="00E74027"/>
    <w:rsid w:val="00E80951"/>
    <w:rsid w:val="00E854FE"/>
    <w:rsid w:val="00E86CC6"/>
    <w:rsid w:val="00EA0ED2"/>
    <w:rsid w:val="00EA4E66"/>
    <w:rsid w:val="00EB56B3"/>
    <w:rsid w:val="00EC408C"/>
    <w:rsid w:val="00ED3250"/>
    <w:rsid w:val="00ED6492"/>
    <w:rsid w:val="00EF2095"/>
    <w:rsid w:val="00EF484B"/>
    <w:rsid w:val="00EF5ABA"/>
    <w:rsid w:val="00F06866"/>
    <w:rsid w:val="00F121F6"/>
    <w:rsid w:val="00F132BA"/>
    <w:rsid w:val="00F15956"/>
    <w:rsid w:val="00F17896"/>
    <w:rsid w:val="00F24CFC"/>
    <w:rsid w:val="00F3170F"/>
    <w:rsid w:val="00F3472B"/>
    <w:rsid w:val="00F4017B"/>
    <w:rsid w:val="00F54F1F"/>
    <w:rsid w:val="00F60CA9"/>
    <w:rsid w:val="00F95335"/>
    <w:rsid w:val="00F976B0"/>
    <w:rsid w:val="00FA6DE7"/>
    <w:rsid w:val="00FC0A8E"/>
    <w:rsid w:val="00FC1A9C"/>
    <w:rsid w:val="00FD6D92"/>
    <w:rsid w:val="00FE2FA6"/>
    <w:rsid w:val="00FE3DF2"/>
    <w:rsid w:val="51D087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C35"/>
    <w:rPr>
      <w:rFonts w:ascii="Times New Roman" w:hAnsi="Times New Roman" w:cs="Times New Roman" w:hint="default"/>
      <w:color w:val="0000FF"/>
      <w:u w:val="single"/>
    </w:rPr>
  </w:style>
  <w:style w:type="paragraph" w:styleId="Revision">
    <w:name w:val="Revision"/>
    <w:hidden/>
    <w:uiPriority w:val="99"/>
    <w:semiHidden/>
    <w:rsid w:val="00BB7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4sn xmlns="1a946141-6c5f-4014-8fbe-3262ec763809" xsi:nil="true"/>
    <IconOverlay xmlns="http://schemas.microsoft.com/sharepoint/v4" xsi:nil="true"/>
    <Sub_x002d_Category xmlns="1a946141-6c5f-4014-8fbe-3262ec763809">2. Service Delivery Generic</Sub_x002d_Category>
    <Category xmlns="1a946141-6c5f-4014-8fbe-3262ec763809">C. Generic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4424FB38D846B5411172F3049FC2" ma:contentTypeVersion="17" ma:contentTypeDescription="Create a new document." ma:contentTypeScope="" ma:versionID="0cbaf4efd879ea5673392c38e202d3c5">
  <xsd:schema xmlns:xsd="http://www.w3.org/2001/XMLSchema" xmlns:xs="http://www.w3.org/2001/XMLSchema" xmlns:p="http://schemas.microsoft.com/office/2006/metadata/properties" xmlns:ns2="1a946141-6c5f-4014-8fbe-3262ec763809" xmlns:ns3="http://schemas.microsoft.com/sharepoint/v4" xmlns:ns4="58a1310c-c0bd-4560-9dfd-13a14dcd98a0" targetNamespace="http://schemas.microsoft.com/office/2006/metadata/properties" ma:root="true" ma:fieldsID="1e64746e1cf8fbde60fb98d5a6441260" ns2:_="" ns3:_="" ns4:_="">
    <xsd:import namespace="1a946141-6c5f-4014-8fbe-3262ec763809"/>
    <xsd:import namespace="http://schemas.microsoft.com/sharepoint/v4"/>
    <xsd:import namespace="58a1310c-c0bd-4560-9dfd-13a14dcd98a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4sn" minOccurs="0"/>
                <xsd:element ref="ns2:Sub_x002d_Category" minOccurs="0"/>
                <xsd:element ref="ns3:IconOverla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6141-6c5f-4014-8fbe-3262ec76380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4sn" ma:index="9" nillable="true" ma:displayName="Number" ma:internalName="w4sn" ma:readOnly="false" ma:percentage="FALSE">
      <xsd:simpleType>
        <xsd:restriction base="dms:Number"/>
      </xsd:simpleType>
    </xsd:element>
    <xsd:element name="Sub_x002d_Category" ma:index="10" nillable="true" ma:displayName="Sub-Category" ma:internalName="Sub_x002d_Category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9F02E-3353-4588-B0EC-832419406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F4CE6-DFE4-45EE-97EF-AB92CCE4C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631BA-8075-4008-9838-942A48E4886E}">
  <ds:schemaRefs>
    <ds:schemaRef ds:uri="http://schemas.microsoft.com/office/2006/metadata/properties"/>
    <ds:schemaRef ds:uri="http://schemas.microsoft.com/office/infopath/2007/PartnerControls"/>
    <ds:schemaRef ds:uri="1a946141-6c5f-4014-8fbe-3262ec76380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F5BFAEC-0FD3-4755-B09F-28FA016CB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6141-6c5f-4014-8fbe-3262ec763809"/>
    <ds:schemaRef ds:uri="http://schemas.microsoft.com/sharepoint/v4"/>
    <ds:schemaRef ds:uri="58a1310c-c0bd-4560-9dfd-13a14dcd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1252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Zirger, Jeffrey (CDC/OD/OS)</cp:lastModifiedBy>
  <cp:revision>5</cp:revision>
  <cp:lastPrinted>2019-03-29T13:58:00Z</cp:lastPrinted>
  <dcterms:created xsi:type="dcterms:W3CDTF">2025-03-04T14:10:00Z</dcterms:created>
  <dcterms:modified xsi:type="dcterms:W3CDTF">2025-03-05T19:29:00Z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0x01010086D54424FB38D846B5411172F3049FC2</vt:lpwstr>
  </property>
  <property fmtid="{D5CDD505-2E9C-101B-9397-08002B2CF9AE}" pid="3" name="MSIP_Label_7b94a7b8-f06c-4dfe-bdcc-9b548fd58c31_ActionId">
    <vt:lpwstr>69800fa8-bf4b-4b21-ae64-381fbe9a7e6f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2024-03-05T17:12:12Z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NewReviewCycle">
    <vt:lpwstr/>
  </property>
</Properties>
</file>