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D289B" w14:paraId="3062D6ED" w14:textId="3C8E00BB">
      <w:pPr>
        <w:pStyle w:val="Heading1"/>
        <w:spacing w:before="0" w:after="200"/>
      </w:pPr>
      <w:bookmarkStart w:id="0" w:name="_yyq79h6pria6"/>
      <w:bookmarkEnd w:id="0"/>
      <w:r w:rsidRPr="55C21AAC">
        <w:rPr>
          <w:rFonts w:ascii="Libre Franklin" w:eastAsia="Libre Franklin" w:hAnsi="Libre Franklin" w:cs="Libre Franklin"/>
          <w:b/>
          <w:bCs/>
          <w:sz w:val="52"/>
          <w:szCs w:val="52"/>
          <w:lang w:val="en-US"/>
        </w:rPr>
        <w:t>C</w:t>
      </w:r>
      <w:r w:rsidRPr="55C21AAC">
        <w:rPr>
          <w:rFonts w:ascii="Libre Franklin" w:eastAsia="Libre Franklin" w:hAnsi="Libre Franklin" w:cs="Libre Franklin"/>
          <w:b/>
          <w:bCs/>
          <w:sz w:val="52"/>
          <w:szCs w:val="52"/>
          <w:lang w:val="en-US"/>
        </w:rPr>
        <w:t xml:space="preserve">DC </w:t>
      </w:r>
      <w:r w:rsidRPr="55C21AAC">
        <w:rPr>
          <w:rFonts w:ascii="Libre Franklin" w:eastAsia="Libre Franklin" w:hAnsi="Libre Franklin" w:cs="Libre Franklin"/>
          <w:b/>
          <w:bCs/>
          <w:sz w:val="52"/>
          <w:szCs w:val="52"/>
          <w:lang w:val="en-US"/>
        </w:rPr>
        <w:t>eICR</w:t>
      </w:r>
      <w:r w:rsidRPr="55C21AAC">
        <w:rPr>
          <w:rFonts w:ascii="Libre Franklin" w:eastAsia="Libre Franklin" w:hAnsi="Libre Franklin" w:cs="Libre Franklin"/>
          <w:b/>
          <w:bCs/>
          <w:sz w:val="52"/>
          <w:szCs w:val="52"/>
          <w:lang w:val="en-US"/>
        </w:rPr>
        <w:t xml:space="preserve"> Data</w:t>
      </w:r>
      <w:r w:rsidRPr="55C21AAC" w:rsidR="2C7100FE">
        <w:rPr>
          <w:rFonts w:ascii="Libre Franklin" w:eastAsia="Libre Franklin" w:hAnsi="Libre Franklin" w:cs="Libre Franklin"/>
          <w:b/>
          <w:bCs/>
          <w:sz w:val="52"/>
          <w:szCs w:val="52"/>
          <w:lang w:val="en-US"/>
        </w:rPr>
        <w:t xml:space="preserve"> </w:t>
      </w:r>
      <w:r w:rsidRPr="55C21AAC">
        <w:rPr>
          <w:rFonts w:ascii="Libre Franklin" w:eastAsia="Libre Franklin" w:hAnsi="Libre Franklin" w:cs="Libre Franklin"/>
          <w:b/>
          <w:bCs/>
          <w:sz w:val="52"/>
          <w:szCs w:val="52"/>
          <w:lang w:val="en-US"/>
        </w:rPr>
        <w:t>Project:</w:t>
      </w:r>
      <w:r w:rsidRPr="55C21AAC">
        <w:rPr>
          <w:lang w:val="en-US"/>
        </w:rPr>
        <w:t xml:space="preserve"> </w:t>
      </w:r>
      <w:r w:rsidRPr="55C21AAC">
        <w:rPr>
          <w:lang w:val="en-US"/>
        </w:rPr>
        <w:t>Participant Recruiting</w:t>
      </w:r>
    </w:p>
    <w:p w:rsidR="00FD289B" w14:paraId="5ADC175D" w14:textId="77777777">
      <w:pPr>
        <w:pStyle w:val="Heading3"/>
      </w:pPr>
      <w:bookmarkStart w:id="1" w:name="_6op7nmg4j2pv" w:colFirst="0" w:colLast="0"/>
      <w:bookmarkEnd w:id="1"/>
      <w:r>
        <w:t>Recruitment email</w:t>
      </w:r>
    </w:p>
    <w:p w:rsidR="00FD289B" w14:paraId="48793FBF" w14:textId="304E70D7">
      <w:r>
        <w:t xml:space="preserve">Recruitment for this endeavor </w:t>
      </w:r>
      <w:r w:rsidR="00FD69C2">
        <w:t>will be</w:t>
      </w:r>
      <w:r>
        <w:t xml:space="preserve"> done through POCs at DCHHS and CPHD. This</w:t>
      </w:r>
      <w:r w:rsidR="00FD69C2">
        <w:t xml:space="preserve"> will be t</w:t>
      </w:r>
      <w:r>
        <w:t>he email sent out by th</w:t>
      </w:r>
      <w:r w:rsidR="00FD69C2">
        <w:t>e</w:t>
      </w:r>
      <w:r>
        <w:t xml:space="preserve"> POCs to the interview participants:</w:t>
      </w:r>
    </w:p>
    <w:p w:rsidR="00FD289B" w14:paraId="6E8F70FA" w14:textId="77777777">
      <w:pPr>
        <w:ind w:left="720"/>
      </w:pPr>
      <w:r>
        <w:t>Dear team,</w:t>
      </w:r>
    </w:p>
    <w:p w:rsidR="00FD289B" w14:paraId="0FEE2AEC" w14:textId="0863F6D5">
      <w:pPr>
        <w:ind w:left="720"/>
      </w:pPr>
      <w:r w:rsidRPr="18D11EC2">
        <w:rPr>
          <w:lang w:val="en-US"/>
        </w:rPr>
        <w:t xml:space="preserve">The CDC is launching a discovery </w:t>
      </w:r>
      <w:r w:rsidRPr="18D11EC2" w:rsidR="4A86AA59">
        <w:rPr>
          <w:lang w:val="en-US"/>
        </w:rPr>
        <w:t xml:space="preserve">exploration </w:t>
      </w:r>
      <w:r w:rsidRPr="18D11EC2">
        <w:rPr>
          <w:lang w:val="en-US"/>
        </w:rPr>
        <w:t xml:space="preserve">initiative with [DCHHS] to thoroughly understand the landscape of electronic </w:t>
      </w:r>
      <w:r w:rsidRPr="18D11EC2">
        <w:rPr>
          <w:lang w:val="en-US"/>
        </w:rPr>
        <w:t>initial</w:t>
      </w:r>
      <w:r w:rsidRPr="18D11EC2">
        <w:rPr>
          <w:lang w:val="en-US"/>
        </w:rPr>
        <w:t xml:space="preserve"> case report (</w:t>
      </w:r>
      <w:r w:rsidRPr="18D11EC2">
        <w:rPr>
          <w:lang w:val="en-US"/>
        </w:rPr>
        <w:t>eICR</w:t>
      </w:r>
      <w:r w:rsidRPr="18D11EC2">
        <w:rPr>
          <w:lang w:val="en-US"/>
        </w:rPr>
        <w:t>) usage—including workflows, technological infrastructure, and the people involved.</w:t>
      </w:r>
      <w:r w:rsidRPr="18D11EC2" w:rsidR="6E8767FC">
        <w:rPr>
          <w:lang w:val="en-US"/>
        </w:rPr>
        <w:t xml:space="preserve"> Our goal is to improve the effectiveness of the data you receive by being able to offer methods to improve that data (ex. Deduplication).</w:t>
      </w:r>
      <w:r w:rsidRPr="18D11EC2">
        <w:rPr>
          <w:lang w:val="en-US"/>
        </w:rPr>
        <w:t xml:space="preserve"> We are working with our contractor Skylight to conduct 1-1 interviews that dive deep into one or more of these areas. We are reaching out to you as you have been </w:t>
      </w:r>
      <w:r w:rsidRPr="18D11EC2">
        <w:rPr>
          <w:lang w:val="en-US"/>
        </w:rPr>
        <w:t>identified</w:t>
      </w:r>
      <w:r w:rsidRPr="18D11EC2">
        <w:rPr>
          <w:lang w:val="en-US"/>
        </w:rPr>
        <w:t xml:space="preserve"> by [Point of Contact Name] as an important expert that would be helpful for our </w:t>
      </w:r>
      <w:r w:rsidRPr="18D11EC2" w:rsidR="346C6284">
        <w:rPr>
          <w:lang w:val="en-US"/>
        </w:rPr>
        <w:t>discovery exploration</w:t>
      </w:r>
      <w:r w:rsidRPr="18D11EC2">
        <w:rPr>
          <w:lang w:val="en-US"/>
        </w:rPr>
        <w:t xml:space="preserve">. We look forward to speaking with you! </w:t>
      </w:r>
    </w:p>
    <w:p w:rsidR="00FD289B" w14:paraId="3EF15C34" w14:textId="77777777">
      <w:pPr>
        <w:ind w:left="720"/>
      </w:pPr>
      <w:r w:rsidRPr="25AC2173">
        <w:rPr>
          <w:lang w:val="en-US"/>
        </w:rPr>
        <w:t xml:space="preserve">If you could please confirm the best available times for you with Monica at  </w:t>
      </w:r>
      <w:r w:rsidRPr="25AC2173">
        <w:rPr>
          <w:lang w:val="en-US"/>
        </w:rPr>
        <w:t>monica@skylight.digital</w:t>
      </w:r>
      <w:r w:rsidRPr="25AC2173">
        <w:rPr>
          <w:lang w:val="en-US"/>
        </w:rPr>
        <w:t>.</w:t>
      </w:r>
    </w:p>
    <w:p w:rsidR="00FD289B" w14:paraId="4C6B00C5" w14:textId="77777777">
      <w:pPr>
        <w:ind w:left="720"/>
      </w:pPr>
      <w:r w:rsidRPr="25AC2173">
        <w:rPr>
          <w:lang w:val="en-US"/>
        </w:rPr>
        <w:t>We’d greatly appreciate it!</w:t>
      </w:r>
    </w:p>
    <w:p w:rsidR="00FD289B" w14:paraId="40096327" w14:textId="77777777">
      <w:pPr>
        <w:ind w:left="720"/>
      </w:pPr>
      <w:r>
        <w:t xml:space="preserve"> Thank you</w:t>
      </w:r>
    </w:p>
    <w:p w:rsidR="00FD289B" w14:paraId="432DA3FD" w14:textId="61CD5B95">
      <w:r>
        <w:t>A follow</w:t>
      </w:r>
      <w:r w:rsidR="00FD69C2">
        <w:t xml:space="preserve"> </w:t>
      </w:r>
      <w:r>
        <w:t>up email w</w:t>
      </w:r>
      <w:r w:rsidR="00FD69C2">
        <w:t>ill t</w:t>
      </w:r>
      <w:r>
        <w:t>hen</w:t>
      </w:r>
      <w:r w:rsidR="00FD69C2">
        <w:t xml:space="preserve"> be</w:t>
      </w:r>
      <w:r>
        <w:t xml:space="preserve"> sent to schedule the interview directly: </w:t>
      </w:r>
    </w:p>
    <w:p w:rsidR="00FD289B" w14:paraId="48F8EC10" w14:textId="77777777">
      <w:pPr>
        <w:ind w:left="720"/>
      </w:pPr>
      <w:r>
        <w:t xml:space="preserve">Hi [First Name], </w:t>
      </w:r>
    </w:p>
    <w:p w:rsidR="00FD289B" w14:paraId="108502C6" w14:textId="77777777">
      <w:pPr>
        <w:ind w:left="720"/>
      </w:pPr>
      <w:r w:rsidRPr="25AC2173">
        <w:rPr>
          <w:lang w:val="en-US"/>
        </w:rPr>
        <w:t xml:space="preserve">Thank you for offering your time for us to connect with you and learn about your work with </w:t>
      </w:r>
      <w:r w:rsidRPr="25AC2173">
        <w:rPr>
          <w:lang w:val="en-US"/>
        </w:rPr>
        <w:t>eICR</w:t>
      </w:r>
      <w:r w:rsidRPr="25AC2173">
        <w:rPr>
          <w:lang w:val="en-US"/>
        </w:rPr>
        <w:t>. At your earliest convenience, please book this time slot in Calendly: [Calendly link] and answer the 5 short questions so that we can tailor the interview for your area of expertise.</w:t>
      </w:r>
    </w:p>
    <w:p w:rsidR="00FD289B" w14:paraId="59C81B0D" w14:textId="77777777">
      <w:pPr>
        <w:ind w:left="720"/>
      </w:pPr>
      <w:r>
        <w:t xml:space="preserve">Please let me know if you have any questions. </w:t>
      </w:r>
    </w:p>
    <w:p w:rsidR="00FD289B" w14:paraId="6CC2B99B" w14:textId="77777777">
      <w:pPr>
        <w:ind w:left="720"/>
      </w:pPr>
      <w:r>
        <w:t>Thank you!</w:t>
      </w:r>
    </w:p>
    <w:p w:rsidR="00FD289B" w14:paraId="05576121" w14:textId="77777777">
      <w:pPr>
        <w:pStyle w:val="Heading3"/>
      </w:pPr>
      <w:bookmarkStart w:id="2" w:name="_s0i9z6dtupxh" w:colFirst="0" w:colLast="0"/>
      <w:bookmarkEnd w:id="2"/>
      <w:r>
        <w:t>Pre-interview questions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315"/>
        <w:gridCol w:w="1605"/>
        <w:gridCol w:w="4440"/>
      </w:tblGrid>
      <w:tr w14:paraId="2F1ED701" w14:textId="77777777" w:rsidTr="25AC2173">
        <w:tblPrEx>
          <w:tblW w:w="936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89B" w14:paraId="0435DF2C" w14:textId="77777777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Question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89B" w14:paraId="21BF4698" w14:textId="77777777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Question Type</w:t>
            </w: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89B" w14:paraId="4204041E" w14:textId="77777777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Options (if multiple choice)</w:t>
            </w:r>
          </w:p>
        </w:tc>
      </w:tr>
      <w:tr w14:paraId="370CC18D" w14:textId="77777777" w:rsidTr="25AC2173">
        <w:tblPrEx>
          <w:tblW w:w="9360" w:type="dxa"/>
          <w:tblLayout w:type="fixed"/>
          <w:tblLook w:val="0600"/>
        </w:tblPrEx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89B" w14:paraId="4D2B0E9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Q1: Role / job title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89B" w14:paraId="07DC814B" w14:textId="7777777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 Line</w:t>
            </w: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89B" w14:paraId="3158CF12" w14:textId="7777777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14:paraId="279AB955" w14:textId="77777777" w:rsidTr="25AC2173">
        <w:tblPrEx>
          <w:tblW w:w="9360" w:type="dxa"/>
          <w:tblLayout w:type="fixed"/>
          <w:tblLook w:val="0600"/>
        </w:tblPrEx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89B" w14:paraId="7F6A1A28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Q2: Department / team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89B" w14:paraId="247A6BDE" w14:textId="7777777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 Line</w:t>
            </w: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89B" w14:paraId="0788D687" w14:textId="7777777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14:paraId="1D941ECC" w14:textId="77777777" w:rsidTr="25AC2173">
        <w:tblPrEx>
          <w:tblW w:w="9360" w:type="dxa"/>
          <w:tblLayout w:type="fixed"/>
          <w:tblLook w:val="0600"/>
        </w:tblPrEx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89B" w:rsidP="25AC2173" w14:paraId="75C4C5DF" w14:textId="77777777">
            <w:pPr>
              <w:rPr>
                <w:sz w:val="20"/>
                <w:szCs w:val="20"/>
                <w:shd w:val="clear" w:color="auto" w:fill="FFF2CC"/>
                <w:lang w:val="en-US"/>
              </w:rPr>
            </w:pPr>
            <w:r w:rsidRPr="25AC2173">
              <w:rPr>
                <w:sz w:val="20"/>
                <w:szCs w:val="20"/>
                <w:lang w:val="en-US"/>
              </w:rPr>
              <w:t xml:space="preserve">Q3: Of the following areas related to </w:t>
            </w:r>
            <w:r w:rsidRPr="25AC2173">
              <w:rPr>
                <w:sz w:val="20"/>
                <w:szCs w:val="20"/>
                <w:lang w:val="en-US"/>
              </w:rPr>
              <w:t>eICR</w:t>
            </w:r>
            <w:r w:rsidRPr="25AC2173">
              <w:rPr>
                <w:sz w:val="20"/>
                <w:szCs w:val="20"/>
                <w:lang w:val="en-US"/>
              </w:rPr>
              <w:t xml:space="preserve">, which do you spend time on or have expertise in? Check all that apply. (For descriptions, see: https://tinyurl.com/ecr-data) </w:t>
            </w:r>
          </w:p>
          <w:p w:rsidR="00FD289B" w14:paraId="18E7ED9B" w14:textId="7777777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Note:</w:t>
            </w:r>
            <w:r>
              <w:rPr>
                <w:sz w:val="20"/>
                <w:szCs w:val="20"/>
              </w:rPr>
              <w:t xml:space="preserve"> The shortened link goes to a read only version </w:t>
            </w:r>
            <w:r>
              <w:rPr>
                <w:sz w:val="20"/>
                <w:szCs w:val="20"/>
              </w:rPr>
              <w:t>of:</w:t>
            </w:r>
            <w:hyperlink r:id="rId7" w:anchor="heading=h.6jcbxk5ih7ci">
              <w:r>
                <w:rPr>
                  <w:color w:val="0000EE"/>
                  <w:u w:val="single"/>
                </w:rPr>
                <w:t>eICR Use Cases</w:t>
              </w:r>
            </w:hyperlink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89B" w14:paraId="149314E0" w14:textId="7777777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Checkboxes</w:t>
            </w:r>
          </w:p>
          <w:p w:rsidR="00FD289B" w14:paraId="69948660" w14:textId="7777777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including “Other” option</w:t>
            </w: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89B" w14:paraId="01F40924" w14:textId="77777777">
            <w:pPr>
              <w:widowControl w:val="0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 investigation and follow-up</w:t>
            </w:r>
          </w:p>
          <w:p w:rsidR="00FD289B" w:rsidP="25AC2173" w14:paraId="0A0F4BA6" w14:textId="77777777">
            <w:pPr>
              <w:widowControl w:val="0"/>
              <w:numPr>
                <w:ilvl w:val="0"/>
                <w:numId w:val="1"/>
              </w:numPr>
              <w:spacing w:after="0"/>
              <w:rPr>
                <w:sz w:val="20"/>
                <w:szCs w:val="20"/>
                <w:lang w:val="en-US"/>
              </w:rPr>
            </w:pPr>
            <w:r w:rsidRPr="25AC2173">
              <w:rPr>
                <w:sz w:val="20"/>
                <w:szCs w:val="20"/>
                <w:lang w:val="en-US"/>
              </w:rPr>
              <w:t>Prepare  eCR data for analysis</w:t>
            </w:r>
          </w:p>
          <w:p w:rsidR="00FD289B" w14:paraId="07D5E12C" w14:textId="77777777">
            <w:pPr>
              <w:widowControl w:val="0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analysis &amp; reporting</w:t>
            </w:r>
          </w:p>
          <w:p w:rsidR="00FD289B" w14:paraId="332C127E" w14:textId="77777777">
            <w:pPr>
              <w:widowControl w:val="0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 implementation &amp; maintenance</w:t>
            </w:r>
          </w:p>
          <w:p w:rsidR="00FD289B" w14:paraId="3CCE3B3A" w14:textId="77777777">
            <w:pPr>
              <w:widowControl w:val="0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integration</w:t>
            </w:r>
          </w:p>
          <w:p w:rsidR="00FD289B" w14:paraId="4EC2EFA5" w14:textId="788A8443">
            <w:pPr>
              <w:widowControl w:val="0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Quality &amp; improvement</w:t>
            </w:r>
          </w:p>
          <w:p w:rsidR="00FD289B" w14:paraId="27706309" w14:textId="77777777">
            <w:pPr>
              <w:widowControl w:val="0"/>
              <w:numPr>
                <w:ilvl w:val="0"/>
                <w:numId w:val="1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governance &amp; compliance</w:t>
            </w:r>
          </w:p>
        </w:tc>
      </w:tr>
      <w:tr w14:paraId="152A0A0F" w14:textId="77777777" w:rsidTr="25AC2173">
        <w:tblPrEx>
          <w:tblW w:w="9360" w:type="dxa"/>
          <w:tblLayout w:type="fixed"/>
          <w:tblLook w:val="0600"/>
        </w:tblPrEx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89B" w14:paraId="566E395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Q4: Do we have your consent to record the interview? It will be viewable only by Skylight team members and CDC stakeholders.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89B" w14:paraId="5D9BD35E" w14:textId="7777777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 button</w:t>
            </w: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89B" w14:paraId="3E089F88" w14:textId="77777777">
            <w:pPr>
              <w:widowControl w:val="0"/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  <w:p w:rsidR="00FD289B" w14:paraId="6BDCEAD6" w14:textId="77777777">
            <w:pPr>
              <w:widowControl w:val="0"/>
              <w:numPr>
                <w:ilvl w:val="0"/>
                <w:numId w:val="2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14:paraId="0E587BC4" w14:textId="77777777" w:rsidTr="25AC2173">
        <w:tblPrEx>
          <w:tblW w:w="9360" w:type="dxa"/>
          <w:tblLayout w:type="fixed"/>
          <w:tblLook w:val="0600"/>
        </w:tblPrEx>
        <w:tc>
          <w:tcPr>
            <w:tcW w:w="3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89B" w14:paraId="08D08DBC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Q5: Do we have your consent to live stream the interview to other Skylight team members only?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89B" w14:paraId="43DA262F" w14:textId="7777777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Radio button</w:t>
            </w:r>
          </w:p>
        </w:tc>
        <w:tc>
          <w:tcPr>
            <w:tcW w:w="4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289B" w14:paraId="22F7BE74" w14:textId="77777777">
            <w:pPr>
              <w:widowControl w:val="0"/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  <w:p w:rsidR="00FD289B" w14:paraId="155238C4" w14:textId="77777777">
            <w:pPr>
              <w:widowControl w:val="0"/>
              <w:numPr>
                <w:ilvl w:val="0"/>
                <w:numId w:val="3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:rsidR="00FD289B" w14:paraId="7390C965" w14:textId="77777777">
      <w:pPr>
        <w:spacing w:after="0"/>
        <w:rPr>
          <w:color w:val="0D0D0D"/>
        </w:rPr>
      </w:pPr>
    </w:p>
    <w:p w:rsidR="00FD289B" w14:paraId="148B1491" w14:textId="77777777">
      <w:pPr>
        <w:spacing w:after="0"/>
      </w:pPr>
    </w:p>
    <w:sectPr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">
    <w:altName w:val="Calibri"/>
    <w:charset w:val="00"/>
    <w:family w:val="auto"/>
    <w:pitch w:val="variable"/>
    <w:sig w:usb0="A00000FF" w:usb1="4000205B" w:usb2="00000000" w:usb3="00000000" w:csb0="00000193" w:csb1="00000000"/>
  </w:font>
  <w:font w:name="Libre Franklin SemiBold">
    <w:charset w:val="00"/>
    <w:family w:val="auto"/>
    <w:pitch w:val="variable"/>
    <w:sig w:usb0="A00000FF" w:usb1="4000205B" w:usb2="00000000" w:usb3="00000000" w:csb0="00000193" w:csb1="00000000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Libre Franklin Light"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60901D5"/>
    <w:multiLevelType w:val="multilevel"/>
    <w:tmpl w:val="DEACE7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3EF266B"/>
    <w:multiLevelType w:val="multilevel"/>
    <w:tmpl w:val="2514D7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6535331"/>
    <w:multiLevelType w:val="multilevel"/>
    <w:tmpl w:val="872E6F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40538234">
    <w:abstractNumId w:val="0"/>
  </w:num>
  <w:num w:numId="2" w16cid:durableId="980426954">
    <w:abstractNumId w:val="1"/>
  </w:num>
  <w:num w:numId="3" w16cid:durableId="1395808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89B"/>
    <w:rsid w:val="00004259"/>
    <w:rsid w:val="00326C7E"/>
    <w:rsid w:val="003977D1"/>
    <w:rsid w:val="003B71DC"/>
    <w:rsid w:val="00422C25"/>
    <w:rsid w:val="00476433"/>
    <w:rsid w:val="0067407F"/>
    <w:rsid w:val="00CC01E7"/>
    <w:rsid w:val="00DE37A2"/>
    <w:rsid w:val="00FD289B"/>
    <w:rsid w:val="00FD69C2"/>
    <w:rsid w:val="0829E1FE"/>
    <w:rsid w:val="090EAECD"/>
    <w:rsid w:val="0F4B660B"/>
    <w:rsid w:val="18D11EC2"/>
    <w:rsid w:val="1A805D95"/>
    <w:rsid w:val="25AC2173"/>
    <w:rsid w:val="2C7100FE"/>
    <w:rsid w:val="2E72E06E"/>
    <w:rsid w:val="346C6284"/>
    <w:rsid w:val="47AF51F5"/>
    <w:rsid w:val="480EB12C"/>
    <w:rsid w:val="4A86AA59"/>
    <w:rsid w:val="52A7372C"/>
    <w:rsid w:val="55C21AAC"/>
    <w:rsid w:val="5FFFE183"/>
    <w:rsid w:val="6E8767FC"/>
    <w:rsid w:val="726AE227"/>
    <w:rsid w:val="7E8D0B3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7218C1"/>
  <w15:docId w15:val="{46F3FE7E-9BAA-4A44-94E6-8F40C73F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re Franklin" w:eastAsia="Libre Franklin" w:hAnsi="Libre Franklin" w:cs="Libre Franklin"/>
        <w:color w:val="37383B"/>
        <w:sz w:val="22"/>
        <w:szCs w:val="22"/>
        <w:lang w:val="en" w:eastAsia="en-US" w:bidi="ar-SA"/>
      </w:rPr>
    </w:rPrDefault>
    <w:pPrDefault>
      <w:pPr>
        <w:spacing w:after="24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line="264" w:lineRule="auto"/>
      <w:outlineLvl w:val="0"/>
    </w:pPr>
    <w:rPr>
      <w:rFonts w:ascii="Libre Franklin SemiBold" w:eastAsia="Libre Franklin SemiBold" w:hAnsi="Libre Franklin SemiBold" w:cs="Libre Franklin SemiBold"/>
      <w:color w:val="468FBA"/>
      <w:sz w:val="56"/>
      <w:szCs w:val="5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80" w:line="240" w:lineRule="auto"/>
      <w:outlineLvl w:val="1"/>
    </w:pPr>
    <w:rPr>
      <w:color w:val="1C1D20"/>
      <w:sz w:val="48"/>
      <w:szCs w:val="4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80" w:line="268" w:lineRule="auto"/>
      <w:outlineLvl w:val="2"/>
    </w:pPr>
    <w:rPr>
      <w:rFonts w:ascii="Libre Franklin SemiBold" w:eastAsia="Libre Franklin SemiBold" w:hAnsi="Libre Franklin SemiBold" w:cs="Libre Franklin SemiBold"/>
      <w:color w:val="2F363D"/>
      <w:sz w:val="40"/>
      <w:szCs w:val="4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line="268" w:lineRule="auto"/>
      <w:outlineLvl w:val="3"/>
    </w:pPr>
    <w:rPr>
      <w:color w:val="1C1D20"/>
      <w:sz w:val="32"/>
      <w:szCs w:val="3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outlineLvl w:val="4"/>
    </w:pPr>
    <w:rPr>
      <w:rFonts w:ascii="Libre Franklin SemiBold" w:eastAsia="Libre Franklin SemiBold" w:hAnsi="Libre Franklin SemiBold" w:cs="Libre Franklin SemiBold"/>
      <w:color w:val="1C1D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outlineLvl w:val="5"/>
    </w:pPr>
    <w:rPr>
      <w:rFonts w:ascii="Roboto Mono" w:eastAsia="Roboto Mono" w:hAnsi="Roboto Mono" w:cs="Roboto Mono"/>
      <w:color w:val="76767B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line="211" w:lineRule="auto"/>
    </w:pPr>
    <w:rPr>
      <w:rFonts w:ascii="Libre Franklin SemiBold" w:eastAsia="Libre Franklin SemiBold" w:hAnsi="Libre Franklin SemiBold" w:cs="Libre Franklin SemiBold"/>
      <w:color w:val="468FBA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Libre Franklin Light" w:eastAsia="Libre Franklin Light" w:hAnsi="Libre Franklin Light" w:cs="Libre Franklin Light"/>
      <w:color w:val="666666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7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7A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docs.google.com/document/d/1GMWpvdn88YXHJ9Pwb-iZJ7XF6cBR3WAX_lmUwnAU0eA/edit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c06c88-ae6b-4cbe-81bd-158a47268078" xsi:nil="true"/>
    <lcf76f155ced4ddcb4097134ff3c332f xmlns="5385339b-cd81-4f55-993b-c50ec3153bf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5A6FCC7B2334E8DD55D0C4C1E5F03" ma:contentTypeVersion="14" ma:contentTypeDescription="Create a new document." ma:contentTypeScope="" ma:versionID="6755dd41f5361c03134c39200585ec2a">
  <xsd:schema xmlns:xsd="http://www.w3.org/2001/XMLSchema" xmlns:xs="http://www.w3.org/2001/XMLSchema" xmlns:p="http://schemas.microsoft.com/office/2006/metadata/properties" xmlns:ns2="5385339b-cd81-4f55-993b-c50ec3153bf9" xmlns:ns3="86c06c88-ae6b-4cbe-81bd-158a47268078" targetNamespace="http://schemas.microsoft.com/office/2006/metadata/properties" ma:root="true" ma:fieldsID="ca691f783490bd669004e99a299fa73e" ns2:_="" ns3:_="">
    <xsd:import namespace="5385339b-cd81-4f55-993b-c50ec3153bf9"/>
    <xsd:import namespace="86c06c88-ae6b-4cbe-81bd-158a47268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5339b-cd81-4f55-993b-c50ec3153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06c88-ae6b-4cbe-81bd-158a47268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9dc8012-ea62-486d-98bf-860b8cc7db9c}" ma:internalName="TaxCatchAll" ma:showField="CatchAllData" ma:web="86c06c88-ae6b-4cbe-81bd-158a47268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0142A-6AEC-47EF-A86E-F620DA34FC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14352F-B725-4C77-BAFB-93C9CE5D7268}">
  <ds:schemaRefs>
    <ds:schemaRef ds:uri="http://schemas.microsoft.com/office/2006/metadata/properties"/>
    <ds:schemaRef ds:uri="http://schemas.microsoft.com/office/infopath/2007/PartnerControls"/>
    <ds:schemaRef ds:uri="86c06c88-ae6b-4cbe-81bd-158a47268078"/>
    <ds:schemaRef ds:uri="5385339b-cd81-4f55-993b-c50ec3153bf9"/>
  </ds:schemaRefs>
</ds:datastoreItem>
</file>

<file path=customXml/itemProps3.xml><?xml version="1.0" encoding="utf-8"?>
<ds:datastoreItem xmlns:ds="http://schemas.openxmlformats.org/officeDocument/2006/customXml" ds:itemID="{C990678A-961D-471F-A478-DF38568F7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5339b-cd81-4f55-993b-c50ec3153bf9"/>
    <ds:schemaRef ds:uri="86c06c88-ae6b-4cbe-81bd-158a47268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Siman, Alicia Maria (CDC/OD/OPHDST)</cp:lastModifiedBy>
  <cp:revision>14</cp:revision>
  <dcterms:created xsi:type="dcterms:W3CDTF">2024-11-22T15:22:00Z</dcterms:created>
  <dcterms:modified xsi:type="dcterms:W3CDTF">2024-12-09T18:14:08Z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0x01010057B5A6FCC7B2334E8DD55D0C4C1E5F03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8cdf24fc-ccdf-4fd2-a691-d00c3ab80008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2024-11-21T19:07:52Z</vt:lpwstr>
  </property>
  <property fmtid="{D5CDD505-2E9C-101B-9397-08002B2CF9AE}" pid="10" name="MSIP_Label_7b94a7b8-f06c-4dfe-bdcc-9b548fd58c31_SiteId">
    <vt:lpwstr>9ce70869-60db-44fd-abe8-d2767077fc8f</vt:lpwstr>
  </property>
</Properties>
</file>