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163CE" w:rsidRPr="004163CE" w:rsidP="004163CE" w14:paraId="3918235A" w14:textId="77777777">
      <w:pPr>
        <w:jc w:val="center"/>
        <w:rPr>
          <w:rStyle w:val="eop"/>
          <w:b/>
          <w:bCs/>
          <w:color w:val="000000"/>
          <w:sz w:val="32"/>
          <w:szCs w:val="32"/>
          <w:shd w:val="clear" w:color="auto" w:fill="FFFFFF"/>
        </w:rPr>
      </w:pPr>
      <w:bookmarkStart w:id="1" w:name="_Toc473880016"/>
      <w:bookmarkStart w:id="2" w:name="_Toc177036675"/>
      <w:bookmarkEnd w:id="0"/>
      <w:r w:rsidRPr="004163CE">
        <w:rPr>
          <w:rStyle w:val="normaltextrun"/>
          <w:b/>
          <w:bCs/>
          <w:color w:val="000000"/>
          <w:sz w:val="32"/>
          <w:szCs w:val="32"/>
          <w:shd w:val="clear" w:color="auto" w:fill="FFFFFF"/>
        </w:rPr>
        <w:t>Pathogens of High Consequence</w:t>
      </w:r>
      <w:r w:rsidRPr="004163CE">
        <w:rPr>
          <w:rStyle w:val="eop"/>
          <w:b/>
          <w:bCs/>
          <w:color w:val="000000"/>
          <w:sz w:val="32"/>
          <w:szCs w:val="32"/>
          <w:shd w:val="clear" w:color="auto" w:fill="FFFFFF"/>
        </w:rPr>
        <w:t> </w:t>
      </w:r>
    </w:p>
    <w:p w:rsidR="002348EC" w:rsidP="004A13E8" w14:paraId="5E2C3FDD" w14:textId="77777777">
      <w:pPr>
        <w:pStyle w:val="Heading3"/>
      </w:pPr>
      <w:r>
        <w:t xml:space="preserve">Emergency Revision </w:t>
      </w:r>
      <w:r w:rsidRPr="004A13E8" w:rsidR="004A13E8">
        <w:t xml:space="preserve">Request for </w:t>
      </w:r>
    </w:p>
    <w:p w:rsidR="004A13E8" w:rsidRPr="004A13E8" w:rsidP="004A13E8" w14:paraId="55FE1774" w14:textId="6D0D1792">
      <w:pPr>
        <w:pStyle w:val="Heading3"/>
      </w:pPr>
      <w:r w:rsidRPr="004A13E8">
        <w:t xml:space="preserve">OMB </w:t>
      </w:r>
      <w:bookmarkEnd w:id="1"/>
      <w:bookmarkEnd w:id="2"/>
      <w:r w:rsidR="002348EC">
        <w:t>Control No. 0920-0666 – National Healthcare Safety Network</w:t>
      </w:r>
      <w:r w:rsidR="00DC74EE">
        <w:t xml:space="preserve"> </w:t>
      </w:r>
    </w:p>
    <w:p w:rsidR="004A13E8" w:rsidP="004A13E8" w14:paraId="55FE1775" w14:textId="77777777">
      <w:pPr>
        <w:spacing w:after="0" w:line="240" w:lineRule="auto"/>
        <w:jc w:val="center"/>
        <w:rPr>
          <w:b/>
        </w:rPr>
      </w:pPr>
    </w:p>
    <w:p w:rsidR="004A13E8" w:rsidRPr="004A13E8" w:rsidP="004A13E8" w14:paraId="55FE1776" w14:textId="6119AACC">
      <w:pPr>
        <w:pStyle w:val="Heading4"/>
      </w:pPr>
      <w:r>
        <w:t xml:space="preserve">December </w:t>
      </w:r>
      <w:r w:rsidR="0090208D">
        <w:t>23</w:t>
      </w:r>
      <w:r w:rsidR="00BD6584">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8" w:history="1">
        <w:r w:rsidRPr="00490660" w:rsidR="00CA3902">
          <w:rPr>
            <w:rStyle w:val="Hyperlink"/>
          </w:rPr>
          <w:t>nhr9@cdc.gov</w:t>
        </w:r>
      </w:hyperlink>
      <w:r w:rsidR="00CA3902">
        <w:rPr>
          <w:rStyle w:val="Hyperlink"/>
        </w:rPr>
        <w:t xml:space="preserve"> </w:t>
      </w:r>
      <w:r>
        <w:br w:type="page"/>
      </w:r>
    </w:p>
    <w:sdt>
      <w:sdtPr>
        <w:rPr>
          <w:b w:val="0"/>
        </w:rPr>
        <w:id w:val="1940745089"/>
        <w:docPartObj>
          <w:docPartGallery w:val="Table of Contents"/>
          <w:docPartUnique/>
        </w:docPartObj>
      </w:sdt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970ABC1" w14:paraId="69D377E9" w14:textId="77777777">
          <w:pPr>
            <w:pStyle w:val="TOC2"/>
            <w:tabs>
              <w:tab w:val="right" w:leader="dot" w:pos="10070"/>
            </w:tabs>
            <w:rPr>
              <w:rFonts w:asciiTheme="minorHAnsi" w:eastAsiaTheme="minorEastAsia" w:hAnsiTheme="minorHAnsi"/>
              <w:noProof/>
              <w:sz w:val="22"/>
            </w:rPr>
          </w:pPr>
        </w:p>
        <w:p w:rsidR="009025A4" w:rsidP="002348EC" w14:paraId="5C473B94" w14:textId="2A4E295C">
          <w:pPr>
            <w:pStyle w:val="TOC1"/>
            <w:tabs>
              <w:tab w:val="right" w:leader="dot" w:pos="10070"/>
            </w:tabs>
            <w:rPr>
              <w:rFonts w:asciiTheme="minorHAnsi" w:eastAsiaTheme="minorEastAsia" w:hAnsiTheme="minorHAnsi"/>
              <w:noProof/>
              <w:kern w:val="2"/>
              <w:sz w:val="22"/>
              <w14:ligatures w14:val="standardContextual"/>
            </w:rPr>
          </w:pPr>
          <w:r>
            <w:fldChar w:fldCharType="begin"/>
          </w:r>
          <w:r w:rsidR="00243DAD">
            <w:instrText>TOC \o "1-3" \z \u \h</w:instrText>
          </w:r>
          <w:r>
            <w:fldChar w:fldCharType="separate"/>
          </w:r>
        </w:p>
        <w:p w:rsidR="009025A4" w14:paraId="33C591A8" w14:textId="330F118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6" w:history="1">
            <w:r w:rsidRPr="009348AC">
              <w:rPr>
                <w:rStyle w:val="Hyperlink"/>
                <w:noProof/>
              </w:rPr>
              <w:t>1.</w:t>
            </w:r>
            <w:r>
              <w:rPr>
                <w:rFonts w:asciiTheme="minorHAnsi" w:eastAsiaTheme="minorEastAsia" w:hAnsiTheme="minorHAnsi"/>
                <w:noProof/>
                <w:kern w:val="2"/>
                <w:sz w:val="22"/>
                <w14:ligatures w14:val="standardContextual"/>
              </w:rPr>
              <w:tab/>
            </w:r>
            <w:r w:rsidRPr="009348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_Toc177036676 \h </w:instrText>
            </w:r>
            <w:r>
              <w:rPr>
                <w:noProof/>
                <w:webHidden/>
              </w:rPr>
              <w:fldChar w:fldCharType="separate"/>
            </w:r>
            <w:r w:rsidR="00150AD7">
              <w:rPr>
                <w:noProof/>
                <w:webHidden/>
              </w:rPr>
              <w:t>3</w:t>
            </w:r>
            <w:r>
              <w:rPr>
                <w:noProof/>
                <w:webHidden/>
              </w:rPr>
              <w:fldChar w:fldCharType="end"/>
            </w:r>
          </w:hyperlink>
        </w:p>
        <w:p w:rsidR="009025A4" w14:paraId="3D719B4B" w14:textId="754B15D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7" w:history="1">
            <w:r w:rsidRPr="009348AC">
              <w:rPr>
                <w:rStyle w:val="Hyperlink"/>
                <w:noProof/>
              </w:rPr>
              <w:t>2.</w:t>
            </w:r>
            <w:r>
              <w:rPr>
                <w:rFonts w:asciiTheme="minorHAnsi" w:eastAsiaTheme="minorEastAsia" w:hAnsiTheme="minorHAnsi"/>
                <w:noProof/>
                <w:kern w:val="2"/>
                <w:sz w:val="22"/>
                <w14:ligatures w14:val="standardContextual"/>
              </w:rPr>
              <w:tab/>
            </w:r>
            <w:r w:rsidRPr="009348AC">
              <w:rPr>
                <w:rStyle w:val="Hyperlink"/>
                <w:noProof/>
              </w:rPr>
              <w:t>Purpose and Use of Information Collection</w:t>
            </w:r>
            <w:r>
              <w:rPr>
                <w:noProof/>
                <w:webHidden/>
              </w:rPr>
              <w:tab/>
            </w:r>
            <w:r>
              <w:rPr>
                <w:noProof/>
                <w:webHidden/>
              </w:rPr>
              <w:fldChar w:fldCharType="begin"/>
            </w:r>
            <w:r>
              <w:rPr>
                <w:noProof/>
                <w:webHidden/>
              </w:rPr>
              <w:instrText xml:space="preserve"> PAGEREF _Toc177036677 \h </w:instrText>
            </w:r>
            <w:r>
              <w:rPr>
                <w:noProof/>
                <w:webHidden/>
              </w:rPr>
              <w:fldChar w:fldCharType="separate"/>
            </w:r>
            <w:r w:rsidR="00150AD7">
              <w:rPr>
                <w:noProof/>
                <w:webHidden/>
              </w:rPr>
              <w:t>4</w:t>
            </w:r>
            <w:r>
              <w:rPr>
                <w:noProof/>
                <w:webHidden/>
              </w:rPr>
              <w:fldChar w:fldCharType="end"/>
            </w:r>
          </w:hyperlink>
        </w:p>
        <w:p w:rsidR="009025A4" w14:paraId="4A5F6E1A" w14:textId="5A8C375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8" w:history="1">
            <w:r w:rsidRPr="009348AC">
              <w:rPr>
                <w:rStyle w:val="Hyperlink"/>
                <w:noProof/>
              </w:rPr>
              <w:t>3.</w:t>
            </w:r>
            <w:r>
              <w:rPr>
                <w:rFonts w:asciiTheme="minorHAnsi" w:eastAsiaTheme="minorEastAsia" w:hAnsiTheme="minorHAnsi"/>
                <w:noProof/>
                <w:kern w:val="2"/>
                <w:sz w:val="22"/>
                <w14:ligatures w14:val="standardContextual"/>
              </w:rPr>
              <w:tab/>
            </w:r>
            <w:r w:rsidRPr="009348A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_Toc177036678 \h </w:instrText>
            </w:r>
            <w:r>
              <w:rPr>
                <w:noProof/>
                <w:webHidden/>
              </w:rPr>
              <w:fldChar w:fldCharType="separate"/>
            </w:r>
            <w:r w:rsidR="00150AD7">
              <w:rPr>
                <w:noProof/>
                <w:webHidden/>
              </w:rPr>
              <w:t>4</w:t>
            </w:r>
            <w:r>
              <w:rPr>
                <w:noProof/>
                <w:webHidden/>
              </w:rPr>
              <w:fldChar w:fldCharType="end"/>
            </w:r>
          </w:hyperlink>
        </w:p>
        <w:p w:rsidR="009025A4" w14:paraId="4A0FBDD3" w14:textId="460D9CC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9" w:history="1">
            <w:r w:rsidRPr="009348AC">
              <w:rPr>
                <w:rStyle w:val="Hyperlink"/>
                <w:noProof/>
              </w:rPr>
              <w:t>4.</w:t>
            </w:r>
            <w:r>
              <w:rPr>
                <w:rFonts w:asciiTheme="minorHAnsi" w:eastAsiaTheme="minorEastAsia" w:hAnsiTheme="minorHAnsi"/>
                <w:noProof/>
                <w:kern w:val="2"/>
                <w:sz w:val="22"/>
                <w14:ligatures w14:val="standardContextual"/>
              </w:rPr>
              <w:tab/>
            </w:r>
            <w:r w:rsidRPr="009348A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_Toc177036679 \h </w:instrText>
            </w:r>
            <w:r>
              <w:rPr>
                <w:noProof/>
                <w:webHidden/>
              </w:rPr>
              <w:fldChar w:fldCharType="separate"/>
            </w:r>
            <w:r w:rsidR="00150AD7">
              <w:rPr>
                <w:noProof/>
                <w:webHidden/>
              </w:rPr>
              <w:t>5</w:t>
            </w:r>
            <w:r>
              <w:rPr>
                <w:noProof/>
                <w:webHidden/>
              </w:rPr>
              <w:fldChar w:fldCharType="end"/>
            </w:r>
          </w:hyperlink>
        </w:p>
        <w:p w:rsidR="009025A4" w14:paraId="58F23472" w14:textId="120CD30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0" w:history="1">
            <w:r w:rsidRPr="009348AC">
              <w:rPr>
                <w:rStyle w:val="Hyperlink"/>
                <w:noProof/>
              </w:rPr>
              <w:t>5.</w:t>
            </w:r>
            <w:r>
              <w:rPr>
                <w:rFonts w:asciiTheme="minorHAnsi" w:eastAsiaTheme="minorEastAsia" w:hAnsiTheme="minorHAnsi"/>
                <w:noProof/>
                <w:kern w:val="2"/>
                <w:sz w:val="22"/>
                <w14:ligatures w14:val="standardContextual"/>
              </w:rPr>
              <w:tab/>
            </w:r>
            <w:r w:rsidRPr="009348AC">
              <w:rPr>
                <w:rStyle w:val="Hyperlink"/>
                <w:noProof/>
              </w:rPr>
              <w:t>Impact on Small Businesses or Other Small Entities</w:t>
            </w:r>
            <w:r>
              <w:rPr>
                <w:noProof/>
                <w:webHidden/>
              </w:rPr>
              <w:tab/>
            </w:r>
            <w:r>
              <w:rPr>
                <w:noProof/>
                <w:webHidden/>
              </w:rPr>
              <w:fldChar w:fldCharType="begin"/>
            </w:r>
            <w:r>
              <w:rPr>
                <w:noProof/>
                <w:webHidden/>
              </w:rPr>
              <w:instrText xml:space="preserve"> PAGEREF _Toc177036680 \h </w:instrText>
            </w:r>
            <w:r>
              <w:rPr>
                <w:noProof/>
                <w:webHidden/>
              </w:rPr>
              <w:fldChar w:fldCharType="separate"/>
            </w:r>
            <w:r w:rsidR="00150AD7">
              <w:rPr>
                <w:noProof/>
                <w:webHidden/>
              </w:rPr>
              <w:t>5</w:t>
            </w:r>
            <w:r>
              <w:rPr>
                <w:noProof/>
                <w:webHidden/>
              </w:rPr>
              <w:fldChar w:fldCharType="end"/>
            </w:r>
          </w:hyperlink>
        </w:p>
        <w:p w:rsidR="009025A4" w14:paraId="5ED2EFB9" w14:textId="57BA18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1" w:history="1">
            <w:r w:rsidRPr="009348AC">
              <w:rPr>
                <w:rStyle w:val="Hyperlink"/>
                <w:noProof/>
              </w:rPr>
              <w:t>6.</w:t>
            </w:r>
            <w:r>
              <w:rPr>
                <w:rFonts w:asciiTheme="minorHAnsi" w:eastAsiaTheme="minorEastAsia" w:hAnsiTheme="minorHAnsi"/>
                <w:noProof/>
                <w:kern w:val="2"/>
                <w:sz w:val="22"/>
                <w14:ligatures w14:val="standardContextual"/>
              </w:rPr>
              <w:tab/>
            </w:r>
            <w:r w:rsidRPr="009348A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_Toc177036681 \h </w:instrText>
            </w:r>
            <w:r>
              <w:rPr>
                <w:noProof/>
                <w:webHidden/>
              </w:rPr>
              <w:fldChar w:fldCharType="separate"/>
            </w:r>
            <w:r w:rsidR="00150AD7">
              <w:rPr>
                <w:noProof/>
                <w:webHidden/>
              </w:rPr>
              <w:t>5</w:t>
            </w:r>
            <w:r>
              <w:rPr>
                <w:noProof/>
                <w:webHidden/>
              </w:rPr>
              <w:fldChar w:fldCharType="end"/>
            </w:r>
          </w:hyperlink>
        </w:p>
        <w:p w:rsidR="009025A4" w14:paraId="5D438524" w14:textId="36D3E7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2" w:history="1">
            <w:r w:rsidRPr="009348AC">
              <w:rPr>
                <w:rStyle w:val="Hyperlink"/>
                <w:noProof/>
              </w:rPr>
              <w:t>7.</w:t>
            </w:r>
            <w:r>
              <w:rPr>
                <w:rFonts w:asciiTheme="minorHAnsi" w:eastAsiaTheme="minorEastAsia" w:hAnsiTheme="minorHAnsi"/>
                <w:noProof/>
                <w:kern w:val="2"/>
                <w:sz w:val="22"/>
                <w14:ligatures w14:val="standardContextual"/>
              </w:rPr>
              <w:tab/>
            </w:r>
            <w:r w:rsidRPr="009348A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_Toc177036682 \h </w:instrText>
            </w:r>
            <w:r>
              <w:rPr>
                <w:noProof/>
                <w:webHidden/>
              </w:rPr>
              <w:fldChar w:fldCharType="separate"/>
            </w:r>
            <w:r w:rsidR="00150AD7">
              <w:rPr>
                <w:noProof/>
                <w:webHidden/>
              </w:rPr>
              <w:t>5</w:t>
            </w:r>
            <w:r>
              <w:rPr>
                <w:noProof/>
                <w:webHidden/>
              </w:rPr>
              <w:fldChar w:fldCharType="end"/>
            </w:r>
          </w:hyperlink>
        </w:p>
        <w:p w:rsidR="009025A4" w14:paraId="0257965D" w14:textId="7485ED3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3" w:history="1">
            <w:r w:rsidRPr="009348AC">
              <w:rPr>
                <w:rStyle w:val="Hyperlink"/>
                <w:noProof/>
              </w:rPr>
              <w:t>8.</w:t>
            </w:r>
            <w:r>
              <w:rPr>
                <w:rFonts w:asciiTheme="minorHAnsi" w:eastAsiaTheme="minorEastAsia" w:hAnsiTheme="minorHAnsi"/>
                <w:noProof/>
                <w:kern w:val="2"/>
                <w:sz w:val="22"/>
                <w14:ligatures w14:val="standardContextual"/>
              </w:rPr>
              <w:tab/>
            </w:r>
            <w:r w:rsidRPr="009348A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_Toc177036683 \h </w:instrText>
            </w:r>
            <w:r>
              <w:rPr>
                <w:noProof/>
                <w:webHidden/>
              </w:rPr>
              <w:fldChar w:fldCharType="separate"/>
            </w:r>
            <w:r w:rsidR="00150AD7">
              <w:rPr>
                <w:noProof/>
                <w:webHidden/>
              </w:rPr>
              <w:t>5</w:t>
            </w:r>
            <w:r>
              <w:rPr>
                <w:noProof/>
                <w:webHidden/>
              </w:rPr>
              <w:fldChar w:fldCharType="end"/>
            </w:r>
          </w:hyperlink>
        </w:p>
        <w:p w:rsidR="009025A4" w14:paraId="753030EB" w14:textId="1F32F12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4" w:history="1">
            <w:r w:rsidRPr="009348AC">
              <w:rPr>
                <w:rStyle w:val="Hyperlink"/>
                <w:noProof/>
              </w:rPr>
              <w:t>9.</w:t>
            </w:r>
            <w:r>
              <w:rPr>
                <w:rFonts w:asciiTheme="minorHAnsi" w:eastAsiaTheme="minorEastAsia" w:hAnsiTheme="minorHAnsi"/>
                <w:noProof/>
                <w:kern w:val="2"/>
                <w:sz w:val="22"/>
                <w14:ligatures w14:val="standardContextual"/>
              </w:rPr>
              <w:tab/>
            </w:r>
            <w:r w:rsidRPr="009348AC">
              <w:rPr>
                <w:rStyle w:val="Hyperlink"/>
                <w:noProof/>
              </w:rPr>
              <w:t>Explanation of Any Payment or Gift to Respondents</w:t>
            </w:r>
            <w:r>
              <w:rPr>
                <w:noProof/>
                <w:webHidden/>
              </w:rPr>
              <w:tab/>
            </w:r>
            <w:r>
              <w:rPr>
                <w:noProof/>
                <w:webHidden/>
              </w:rPr>
              <w:fldChar w:fldCharType="begin"/>
            </w:r>
            <w:r>
              <w:rPr>
                <w:noProof/>
                <w:webHidden/>
              </w:rPr>
              <w:instrText xml:space="preserve"> PAGEREF _Toc177036684 \h </w:instrText>
            </w:r>
            <w:r>
              <w:rPr>
                <w:noProof/>
                <w:webHidden/>
              </w:rPr>
              <w:fldChar w:fldCharType="separate"/>
            </w:r>
            <w:r w:rsidR="00150AD7">
              <w:rPr>
                <w:noProof/>
                <w:webHidden/>
              </w:rPr>
              <w:t>5</w:t>
            </w:r>
            <w:r>
              <w:rPr>
                <w:noProof/>
                <w:webHidden/>
              </w:rPr>
              <w:fldChar w:fldCharType="end"/>
            </w:r>
          </w:hyperlink>
        </w:p>
        <w:p w:rsidR="009025A4" w14:paraId="54D19DFC" w14:textId="1220E35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5" w:history="1">
            <w:r w:rsidRPr="009348AC">
              <w:rPr>
                <w:rStyle w:val="Hyperlink"/>
                <w:noProof/>
              </w:rPr>
              <w:t>10.</w:t>
            </w:r>
            <w:r>
              <w:rPr>
                <w:rFonts w:asciiTheme="minorHAnsi" w:eastAsiaTheme="minorEastAsia" w:hAnsiTheme="minorHAnsi"/>
                <w:noProof/>
                <w:kern w:val="2"/>
                <w:sz w:val="22"/>
                <w14:ligatures w14:val="standardContextual"/>
              </w:rPr>
              <w:tab/>
            </w:r>
            <w:r w:rsidRPr="009348A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_Toc177036685 \h </w:instrText>
            </w:r>
            <w:r>
              <w:rPr>
                <w:noProof/>
                <w:webHidden/>
              </w:rPr>
              <w:fldChar w:fldCharType="separate"/>
            </w:r>
            <w:r w:rsidR="00150AD7">
              <w:rPr>
                <w:noProof/>
                <w:webHidden/>
              </w:rPr>
              <w:t>5</w:t>
            </w:r>
            <w:r>
              <w:rPr>
                <w:noProof/>
                <w:webHidden/>
              </w:rPr>
              <w:fldChar w:fldCharType="end"/>
            </w:r>
          </w:hyperlink>
        </w:p>
        <w:p w:rsidR="009025A4" w14:paraId="08A6ABA2" w14:textId="621B460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6" w:history="1">
            <w:r w:rsidRPr="009348AC">
              <w:rPr>
                <w:rStyle w:val="Hyperlink"/>
                <w:noProof/>
              </w:rPr>
              <w:t>11.</w:t>
            </w:r>
            <w:r>
              <w:rPr>
                <w:rFonts w:asciiTheme="minorHAnsi" w:eastAsiaTheme="minorEastAsia" w:hAnsiTheme="minorHAnsi"/>
                <w:noProof/>
                <w:kern w:val="2"/>
                <w:sz w:val="22"/>
                <w14:ligatures w14:val="standardContextual"/>
              </w:rPr>
              <w:tab/>
            </w:r>
            <w:r w:rsidRPr="009348A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_Toc177036686 \h </w:instrText>
            </w:r>
            <w:r>
              <w:rPr>
                <w:noProof/>
                <w:webHidden/>
              </w:rPr>
              <w:fldChar w:fldCharType="separate"/>
            </w:r>
            <w:r w:rsidR="00150AD7">
              <w:rPr>
                <w:noProof/>
                <w:webHidden/>
              </w:rPr>
              <w:t>5</w:t>
            </w:r>
            <w:r>
              <w:rPr>
                <w:noProof/>
                <w:webHidden/>
              </w:rPr>
              <w:fldChar w:fldCharType="end"/>
            </w:r>
          </w:hyperlink>
        </w:p>
        <w:p w:rsidR="009025A4" w14:paraId="7D132C95" w14:textId="3A72E59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7" w:history="1">
            <w:r w:rsidRPr="009348AC">
              <w:rPr>
                <w:rStyle w:val="Hyperlink"/>
                <w:noProof/>
              </w:rPr>
              <w:t>12.</w:t>
            </w:r>
            <w:r>
              <w:rPr>
                <w:rFonts w:asciiTheme="minorHAnsi" w:eastAsiaTheme="minorEastAsia" w:hAnsiTheme="minorHAnsi"/>
                <w:noProof/>
                <w:kern w:val="2"/>
                <w:sz w:val="22"/>
                <w14:ligatures w14:val="standardContextual"/>
              </w:rPr>
              <w:tab/>
            </w:r>
            <w:r w:rsidRPr="009348AC">
              <w:rPr>
                <w:rStyle w:val="Hyperlink"/>
                <w:noProof/>
              </w:rPr>
              <w:t>Estimates of Annualized Burden Hours and Costs</w:t>
            </w:r>
            <w:r>
              <w:rPr>
                <w:noProof/>
                <w:webHidden/>
              </w:rPr>
              <w:tab/>
            </w:r>
            <w:r>
              <w:rPr>
                <w:noProof/>
                <w:webHidden/>
              </w:rPr>
              <w:fldChar w:fldCharType="begin"/>
            </w:r>
            <w:r>
              <w:rPr>
                <w:noProof/>
                <w:webHidden/>
              </w:rPr>
              <w:instrText xml:space="preserve"> PAGEREF _Toc177036687 \h </w:instrText>
            </w:r>
            <w:r>
              <w:rPr>
                <w:noProof/>
                <w:webHidden/>
              </w:rPr>
              <w:fldChar w:fldCharType="separate"/>
            </w:r>
            <w:r w:rsidR="00150AD7">
              <w:rPr>
                <w:noProof/>
                <w:webHidden/>
              </w:rPr>
              <w:t>6</w:t>
            </w:r>
            <w:r>
              <w:rPr>
                <w:noProof/>
                <w:webHidden/>
              </w:rPr>
              <w:fldChar w:fldCharType="end"/>
            </w:r>
          </w:hyperlink>
        </w:p>
        <w:p w:rsidR="009025A4" w14:paraId="63A23BF3" w14:textId="02092A1B">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8" w:history="1">
            <w:r w:rsidRPr="009348AC">
              <w:rPr>
                <w:rStyle w:val="Hyperlink"/>
                <w:noProof/>
              </w:rPr>
              <w:t>13.</w:t>
            </w:r>
            <w:r>
              <w:rPr>
                <w:rFonts w:asciiTheme="minorHAnsi" w:eastAsiaTheme="minorEastAsia" w:hAnsiTheme="minorHAnsi"/>
                <w:noProof/>
                <w:kern w:val="2"/>
                <w:sz w:val="22"/>
                <w14:ligatures w14:val="standardContextual"/>
              </w:rPr>
              <w:tab/>
            </w:r>
            <w:r w:rsidRPr="009348AC">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_Toc177036688 \h </w:instrText>
            </w:r>
            <w:r>
              <w:rPr>
                <w:noProof/>
                <w:webHidden/>
              </w:rPr>
              <w:fldChar w:fldCharType="separate"/>
            </w:r>
            <w:r w:rsidR="00150AD7">
              <w:rPr>
                <w:noProof/>
                <w:webHidden/>
              </w:rPr>
              <w:t>7</w:t>
            </w:r>
            <w:r>
              <w:rPr>
                <w:noProof/>
                <w:webHidden/>
              </w:rPr>
              <w:fldChar w:fldCharType="end"/>
            </w:r>
          </w:hyperlink>
        </w:p>
        <w:p w:rsidR="009025A4" w14:paraId="5331BE39" w14:textId="23101A9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0" w:history="1">
            <w:r w:rsidRPr="009348AC">
              <w:rPr>
                <w:rStyle w:val="Hyperlink"/>
                <w:noProof/>
              </w:rPr>
              <w:t>14.</w:t>
            </w:r>
            <w:r>
              <w:rPr>
                <w:rFonts w:asciiTheme="minorHAnsi" w:eastAsiaTheme="minorEastAsia" w:hAnsiTheme="minorHAnsi"/>
                <w:noProof/>
                <w:kern w:val="2"/>
                <w:sz w:val="22"/>
                <w14:ligatures w14:val="standardContextual"/>
              </w:rPr>
              <w:tab/>
            </w:r>
            <w:r w:rsidRPr="009348AC">
              <w:rPr>
                <w:rStyle w:val="Hyperlink"/>
                <w:noProof/>
              </w:rPr>
              <w:t>Annualized Cost to the Government</w:t>
            </w:r>
            <w:r>
              <w:rPr>
                <w:noProof/>
                <w:webHidden/>
              </w:rPr>
              <w:tab/>
            </w:r>
            <w:r>
              <w:rPr>
                <w:noProof/>
                <w:webHidden/>
              </w:rPr>
              <w:fldChar w:fldCharType="begin"/>
            </w:r>
            <w:r>
              <w:rPr>
                <w:noProof/>
                <w:webHidden/>
              </w:rPr>
              <w:instrText xml:space="preserve"> PAGEREF _Toc177036690 \h </w:instrText>
            </w:r>
            <w:r>
              <w:rPr>
                <w:noProof/>
                <w:webHidden/>
              </w:rPr>
              <w:fldChar w:fldCharType="separate"/>
            </w:r>
            <w:r w:rsidR="00150AD7">
              <w:rPr>
                <w:noProof/>
                <w:webHidden/>
              </w:rPr>
              <w:t>7</w:t>
            </w:r>
            <w:r>
              <w:rPr>
                <w:noProof/>
                <w:webHidden/>
              </w:rPr>
              <w:fldChar w:fldCharType="end"/>
            </w:r>
          </w:hyperlink>
        </w:p>
        <w:p w:rsidR="009025A4" w14:paraId="6BB192ED" w14:textId="72F4001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2" w:history="1">
            <w:r w:rsidRPr="009348AC">
              <w:rPr>
                <w:rStyle w:val="Hyperlink"/>
                <w:noProof/>
              </w:rPr>
              <w:t>15.</w:t>
            </w:r>
            <w:r>
              <w:rPr>
                <w:rFonts w:asciiTheme="minorHAnsi" w:eastAsiaTheme="minorEastAsia" w:hAnsiTheme="minorHAnsi"/>
                <w:noProof/>
                <w:kern w:val="2"/>
                <w:sz w:val="22"/>
                <w14:ligatures w14:val="standardContextual"/>
              </w:rPr>
              <w:tab/>
            </w:r>
            <w:r w:rsidRPr="009348AC">
              <w:rPr>
                <w:rStyle w:val="Hyperlink"/>
                <w:noProof/>
              </w:rPr>
              <w:t>Explanation for Program Changes or Adjustments</w:t>
            </w:r>
            <w:r>
              <w:rPr>
                <w:noProof/>
                <w:webHidden/>
              </w:rPr>
              <w:tab/>
            </w:r>
            <w:r>
              <w:rPr>
                <w:noProof/>
                <w:webHidden/>
              </w:rPr>
              <w:fldChar w:fldCharType="begin"/>
            </w:r>
            <w:r>
              <w:rPr>
                <w:noProof/>
                <w:webHidden/>
              </w:rPr>
              <w:instrText xml:space="preserve"> PAGEREF _Toc177036692 \h </w:instrText>
            </w:r>
            <w:r>
              <w:rPr>
                <w:noProof/>
                <w:webHidden/>
              </w:rPr>
              <w:fldChar w:fldCharType="separate"/>
            </w:r>
            <w:r w:rsidR="00150AD7">
              <w:rPr>
                <w:noProof/>
                <w:webHidden/>
              </w:rPr>
              <w:t>7</w:t>
            </w:r>
            <w:r>
              <w:rPr>
                <w:noProof/>
                <w:webHidden/>
              </w:rPr>
              <w:fldChar w:fldCharType="end"/>
            </w:r>
          </w:hyperlink>
        </w:p>
        <w:p w:rsidR="009025A4" w14:paraId="165E8084" w14:textId="21BB192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3" w:history="1">
            <w:r w:rsidRPr="009348AC">
              <w:rPr>
                <w:rStyle w:val="Hyperlink"/>
                <w:noProof/>
              </w:rPr>
              <w:t>16.</w:t>
            </w:r>
            <w:r>
              <w:rPr>
                <w:rFonts w:asciiTheme="minorHAnsi" w:eastAsiaTheme="minorEastAsia" w:hAnsiTheme="minorHAnsi"/>
                <w:noProof/>
                <w:kern w:val="2"/>
                <w:sz w:val="22"/>
                <w14:ligatures w14:val="standardContextual"/>
              </w:rPr>
              <w:tab/>
            </w:r>
            <w:r w:rsidRPr="009348A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_Toc177036693 \h </w:instrText>
            </w:r>
            <w:r>
              <w:rPr>
                <w:noProof/>
                <w:webHidden/>
              </w:rPr>
              <w:fldChar w:fldCharType="separate"/>
            </w:r>
            <w:r w:rsidR="00150AD7">
              <w:rPr>
                <w:noProof/>
                <w:webHidden/>
              </w:rPr>
              <w:t>7</w:t>
            </w:r>
            <w:r>
              <w:rPr>
                <w:noProof/>
                <w:webHidden/>
              </w:rPr>
              <w:fldChar w:fldCharType="end"/>
            </w:r>
          </w:hyperlink>
        </w:p>
        <w:p w:rsidR="009025A4" w14:paraId="42750984" w14:textId="700CCB1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4" w:history="1">
            <w:r w:rsidRPr="009348AC">
              <w:rPr>
                <w:rStyle w:val="Hyperlink"/>
                <w:noProof/>
              </w:rPr>
              <w:t>17.</w:t>
            </w:r>
            <w:r>
              <w:rPr>
                <w:rFonts w:asciiTheme="minorHAnsi" w:eastAsiaTheme="minorEastAsia" w:hAnsiTheme="minorHAnsi"/>
                <w:noProof/>
                <w:kern w:val="2"/>
                <w:sz w:val="22"/>
                <w14:ligatures w14:val="standardContextual"/>
              </w:rPr>
              <w:tab/>
            </w:r>
            <w:r w:rsidRPr="009348A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_Toc177036694 \h </w:instrText>
            </w:r>
            <w:r>
              <w:rPr>
                <w:noProof/>
                <w:webHidden/>
              </w:rPr>
              <w:fldChar w:fldCharType="separate"/>
            </w:r>
            <w:r w:rsidR="00150AD7">
              <w:rPr>
                <w:noProof/>
                <w:webHidden/>
              </w:rPr>
              <w:t>7</w:t>
            </w:r>
            <w:r>
              <w:rPr>
                <w:noProof/>
                <w:webHidden/>
              </w:rPr>
              <w:fldChar w:fldCharType="end"/>
            </w:r>
          </w:hyperlink>
        </w:p>
        <w:p w:rsidR="009025A4" w14:paraId="1EFAE452" w14:textId="145B61B3">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5" w:history="1">
            <w:r w:rsidRPr="009348AC">
              <w:rPr>
                <w:rStyle w:val="Hyperlink"/>
                <w:noProof/>
              </w:rPr>
              <w:t>18.</w:t>
            </w:r>
            <w:r>
              <w:rPr>
                <w:rFonts w:asciiTheme="minorHAnsi" w:eastAsiaTheme="minorEastAsia" w:hAnsiTheme="minorHAnsi"/>
                <w:noProof/>
                <w:kern w:val="2"/>
                <w:sz w:val="22"/>
                <w14:ligatures w14:val="standardContextual"/>
              </w:rPr>
              <w:tab/>
            </w:r>
            <w:r w:rsidRPr="009348A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_Toc177036695 \h </w:instrText>
            </w:r>
            <w:r>
              <w:rPr>
                <w:noProof/>
                <w:webHidden/>
              </w:rPr>
              <w:fldChar w:fldCharType="separate"/>
            </w:r>
            <w:r w:rsidR="00150AD7">
              <w:rPr>
                <w:noProof/>
                <w:webHidden/>
              </w:rPr>
              <w:t>8</w:t>
            </w:r>
            <w:r>
              <w:rPr>
                <w:noProof/>
                <w:webHidden/>
              </w:rPr>
              <w:fldChar w:fldCharType="end"/>
            </w:r>
          </w:hyperlink>
        </w:p>
        <w:p w:rsidR="009025A4" w14:paraId="1A15EFB0" w14:textId="32B12513">
          <w:pPr>
            <w:pStyle w:val="TOC1"/>
            <w:tabs>
              <w:tab w:val="right" w:leader="dot" w:pos="10070"/>
            </w:tabs>
            <w:rPr>
              <w:rFonts w:asciiTheme="minorHAnsi" w:eastAsiaTheme="minorEastAsia" w:hAnsiTheme="minorHAnsi"/>
              <w:noProof/>
              <w:kern w:val="2"/>
              <w:sz w:val="22"/>
              <w14:ligatures w14:val="standardContextual"/>
            </w:rPr>
          </w:pPr>
          <w:hyperlink w:anchor="_Toc177036696" w:history="1">
            <w:r w:rsidRPr="009348AC">
              <w:rPr>
                <w:rStyle w:val="Hyperlink"/>
                <w:noProof/>
              </w:rPr>
              <w:t>Attachments</w:t>
            </w:r>
            <w:r>
              <w:rPr>
                <w:noProof/>
                <w:webHidden/>
              </w:rPr>
              <w:tab/>
            </w:r>
            <w:r>
              <w:rPr>
                <w:noProof/>
                <w:webHidden/>
              </w:rPr>
              <w:fldChar w:fldCharType="begin"/>
            </w:r>
            <w:r>
              <w:rPr>
                <w:noProof/>
                <w:webHidden/>
              </w:rPr>
              <w:instrText xml:space="preserve"> PAGEREF _Toc177036696 \h </w:instrText>
            </w:r>
            <w:r>
              <w:rPr>
                <w:noProof/>
                <w:webHidden/>
              </w:rPr>
              <w:fldChar w:fldCharType="separate"/>
            </w:r>
            <w:r w:rsidR="00150AD7">
              <w:rPr>
                <w:noProof/>
                <w:webHidden/>
              </w:rPr>
              <w:t>8</w:t>
            </w:r>
            <w:r>
              <w:rPr>
                <w:noProof/>
                <w:webHidden/>
              </w:rPr>
              <w:fldChar w:fldCharType="end"/>
            </w:r>
          </w:hyperlink>
        </w:p>
        <w:p w:rsidR="0970ABC1" w:rsidP="0970ABC1" w14:paraId="54629FAF" w14:textId="5698FADE">
          <w:pPr>
            <w:pStyle w:val="TOC1"/>
            <w:tabs>
              <w:tab w:val="right" w:leader="dot" w:pos="10065"/>
            </w:tabs>
            <w:rPr>
              <w:rStyle w:val="Hyperlink"/>
            </w:rPr>
          </w:pPr>
          <w:r>
            <w:fldChar w:fldCharType="end"/>
          </w:r>
        </w:p>
      </w:sdtContent>
    </w:sdt>
    <w:p w:rsidR="004A13E8" w14:paraId="55FE17B0" w14:textId="77777777"/>
    <w:p w:rsidR="004A13E8" w14:paraId="55FE17B1" w14:textId="77777777">
      <w:r>
        <w:br w:type="page"/>
      </w:r>
    </w:p>
    <w:p w:rsidR="004A13E8" w:rsidP="00E75A0E" w14:paraId="55FE17B2" w14:textId="50F69BDF">
      <w:pPr>
        <w:pStyle w:val="Subtitle"/>
        <w:spacing w:line="276" w:lineRule="auto"/>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877820"/>
                <wp:effectExtent l="0" t="0" r="19050" b="17780"/>
                <wp:wrapTight wrapText="bothSides">
                  <wp:wrapPolygon>
                    <wp:start x="0" y="0"/>
                    <wp:lineTo x="0" y="21590"/>
                    <wp:lineTo x="21600" y="2159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877820"/>
                        </a:xfrm>
                        <a:prstGeom prst="rect">
                          <a:avLst/>
                        </a:prstGeom>
                        <a:solidFill>
                          <a:srgbClr val="FFFFFF"/>
                        </a:solidFill>
                        <a:ln w="9525">
                          <a:solidFill>
                            <a:srgbClr val="000000"/>
                          </a:solidFill>
                          <a:miter lim="800000"/>
                          <a:headEnd/>
                          <a:tailEnd/>
                        </a:ln>
                      </wps:spPr>
                      <wps:txbx>
                        <w:txbxContent>
                          <w:p w:rsidR="000D2DA7" w:rsidRPr="000D2DA7" w:rsidP="00007EF6" w14:textId="3206CBC6">
                            <w:pPr>
                              <w:pStyle w:val="Bullets"/>
                              <w:numPr>
                                <w:ilvl w:val="0"/>
                                <w:numId w:val="0"/>
                              </w:numPr>
                              <w:ind w:left="360"/>
                              <w:rPr>
                                <w:b/>
                              </w:rPr>
                            </w:pPr>
                            <w:r w:rsidRPr="000D2DA7">
                              <w:rPr>
                                <w:b/>
                              </w:rPr>
                              <w:t>Goal of the study:</w:t>
                            </w:r>
                            <w:r w:rsidRPr="000D2DA7" w:rsidR="001A58BE">
                              <w:rPr>
                                <w:b/>
                              </w:rPr>
                              <w:t xml:space="preserve"> </w:t>
                            </w:r>
                            <w:r w:rsidRPr="004D6B28">
                              <w:rPr>
                                <w:rFonts w:cs="Times New Roman"/>
                                <w:bCs/>
                              </w:rPr>
                              <w:t xml:space="preserve">The collection of data on the </w:t>
                            </w:r>
                            <w:r w:rsidR="00E04AE7">
                              <w:rPr>
                                <w:rFonts w:cs="Times New Roman"/>
                              </w:rPr>
                              <w:t>Pathogens of High Consequence</w:t>
                            </w:r>
                            <w:r w:rsidRPr="004D6B28" w:rsidR="004D6B28">
                              <w:rPr>
                                <w:rFonts w:cs="Times New Roman"/>
                              </w:rPr>
                              <w:t xml:space="preserve"> </w:t>
                            </w:r>
                            <w:r w:rsidRPr="004D6B28">
                              <w:rPr>
                                <w:rFonts w:cs="Times New Roman"/>
                                <w:bCs/>
                              </w:rPr>
                              <w:t>form</w:t>
                            </w:r>
                            <w:r w:rsidRPr="004D6B28">
                              <w:rPr>
                                <w:rFonts w:cs="Times New Roman"/>
                              </w:rPr>
                              <w:t xml:space="preserve"> </w:t>
                            </w:r>
                            <w:r w:rsidR="002068CB">
                              <w:rPr>
                                <w:rFonts w:cs="Times New Roman"/>
                              </w:rPr>
                              <w:t>will advise CDC on which patient populations (</w:t>
                            </w:r>
                            <w:r w:rsidR="002068CB">
                              <w:rPr>
                                <w:rStyle w:val="normaltextrun"/>
                                <w:rFonts w:cs="Times New Roman"/>
                                <w:sz w:val="28"/>
                                <w:szCs w:val="28"/>
                                <w:shd w:val="clear" w:color="auto" w:fill="FFFFFF"/>
                              </w:rPr>
                              <w:t xml:space="preserve">(i.e., </w:t>
                            </w:r>
                            <w:r w:rsidR="002068CB">
                              <w:rPr>
                                <w:rStyle w:val="normaltextrun"/>
                                <w:rFonts w:cs="Times New Roman"/>
                                <w:szCs w:val="24"/>
                              </w:rPr>
                              <w:t xml:space="preserve">pediatric and adult) are being affected by specific pathogens and the need for healthcare infection control and prevention.  The data collection will also </w:t>
                            </w:r>
                            <w:r>
                              <w:t xml:space="preserve">provide information on the </w:t>
                            </w:r>
                            <w:r w:rsidRPr="00566662">
                              <w:t>severity of illness a disease is causing, and what region(s) of the country may be more affected</w:t>
                            </w:r>
                            <w:r>
                              <w:t xml:space="preserve"> by specific outbreaks</w:t>
                            </w:r>
                            <w:r w:rsidRPr="00566662">
                              <w:t xml:space="preserve">. </w:t>
                            </w:r>
                          </w:p>
                          <w:p w:rsidR="009567B2" w:rsidP="000D2DA7" w14:textId="243E4245">
                            <w:pPr>
                              <w:pStyle w:val="Bullets"/>
                              <w:numPr>
                                <w:ilvl w:val="0"/>
                                <w:numId w:val="0"/>
                              </w:numPr>
                              <w:ind w:left="360"/>
                              <w:rPr>
                                <w:bCs/>
                              </w:rPr>
                            </w:pPr>
                            <w:r w:rsidRPr="007A6D9E">
                              <w:rPr>
                                <w:b/>
                              </w:rPr>
                              <w:t>Intended use of the resulting data:</w:t>
                            </w:r>
                            <w:r w:rsidRPr="007A6D9E" w:rsidR="001A58BE">
                              <w:rPr>
                                <w:b/>
                              </w:rPr>
                              <w:t xml:space="preserve"> </w:t>
                            </w:r>
                            <w:r w:rsidRPr="007A6D9E" w:rsidR="00E460A0">
                              <w:rPr>
                                <w:bCs/>
                              </w:rPr>
                              <w:t xml:space="preserve">The data collected will </w:t>
                            </w:r>
                            <w:r w:rsidRPr="007A6D9E" w:rsidR="000D2DA7">
                              <w:rPr>
                                <w:bCs/>
                              </w:rPr>
                              <w:t>help</w:t>
                            </w:r>
                            <w:r w:rsidRPr="002068CB">
                              <w:rPr>
                                <w:bCs/>
                              </w:rPr>
                              <w:t xml:space="preserve"> ensure that local and state authorities are equipped to contain and prevent further spread</w:t>
                            </w:r>
                            <w:r>
                              <w:rPr>
                                <w:bCs/>
                              </w:rPr>
                              <w:t xml:space="preserve">. </w:t>
                            </w:r>
                          </w:p>
                          <w:p w:rsidR="004A13E8" w:rsidRPr="007A6D9E" w:rsidP="009567B2" w14:textId="17CC9FEC">
                            <w:pPr>
                              <w:pStyle w:val="Bullets"/>
                              <w:numPr>
                                <w:ilvl w:val="0"/>
                                <w:numId w:val="0"/>
                              </w:numPr>
                              <w:ind w:firstLine="360"/>
                              <w:rPr>
                                <w:b/>
                              </w:rPr>
                            </w:pPr>
                            <w:r w:rsidRPr="007A6D9E">
                              <w:rPr>
                                <w:b/>
                              </w:rPr>
                              <w:t>Methods to be used to collect:</w:t>
                            </w:r>
                            <w:r w:rsidRPr="007A6D9E" w:rsidR="001A58BE">
                              <w:rPr>
                                <w:b/>
                              </w:rPr>
                              <w:t xml:space="preserve"> </w:t>
                            </w:r>
                            <w:r w:rsidR="002348EC">
                              <w:rPr>
                                <w:bCs/>
                              </w:rPr>
                              <w:t>S</w:t>
                            </w:r>
                            <w:r w:rsidRPr="002348EC" w:rsidR="002348EC">
                              <w:rPr>
                                <w:bCs/>
                              </w:rPr>
                              <w:t>ecure NHSN internet application</w:t>
                            </w:r>
                            <w:r w:rsidR="002348EC">
                              <w:rPr>
                                <w:bCs/>
                              </w:rPr>
                              <w:t xml:space="preserve"> (OMB Control No. 0920-0666)</w:t>
                            </w:r>
                          </w:p>
                          <w:p w:rsidR="00991A49" w:rsidRPr="007A6D9E" w:rsidP="000D2DA7" w14:textId="77777777">
                            <w:pPr>
                              <w:pStyle w:val="Bullets"/>
                              <w:numPr>
                                <w:ilvl w:val="0"/>
                                <w:numId w:val="0"/>
                              </w:numPr>
                              <w:ind w:left="360"/>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0D2DA7" w14:textId="340DE685">
                            <w:pPr>
                              <w:pStyle w:val="Bullets"/>
                              <w:numPr>
                                <w:ilvl w:val="0"/>
                                <w:numId w:val="0"/>
                              </w:numPr>
                              <w:ind w:left="360"/>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impact of </w:t>
                            </w:r>
                            <w:r w:rsidR="000D2DA7">
                              <w:t xml:space="preserve">disease in the U.S. </w:t>
                            </w:r>
                            <w:r>
                              <w:t>such as significance tests on pooled means, non-parametric tests on benchmark distributions, and negative binomial regression to assess independent associations.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26.6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0D2DA7" w:rsidRPr="000D2DA7" w:rsidP="00007EF6" w14:paraId="79113AF0" w14:textId="3206CBC6">
                      <w:pPr>
                        <w:pStyle w:val="Bullets"/>
                        <w:numPr>
                          <w:ilvl w:val="0"/>
                          <w:numId w:val="0"/>
                        </w:numPr>
                        <w:ind w:left="360"/>
                        <w:rPr>
                          <w:b/>
                        </w:rPr>
                      </w:pPr>
                      <w:r w:rsidRPr="000D2DA7">
                        <w:rPr>
                          <w:b/>
                        </w:rPr>
                        <w:t>Goal of the study:</w:t>
                      </w:r>
                      <w:r w:rsidRPr="000D2DA7" w:rsidR="001A58BE">
                        <w:rPr>
                          <w:b/>
                        </w:rPr>
                        <w:t xml:space="preserve"> </w:t>
                      </w:r>
                      <w:r w:rsidRPr="004D6B28">
                        <w:rPr>
                          <w:rFonts w:cs="Times New Roman"/>
                          <w:bCs/>
                        </w:rPr>
                        <w:t xml:space="preserve">The collection of data on the </w:t>
                      </w:r>
                      <w:r w:rsidR="00E04AE7">
                        <w:rPr>
                          <w:rFonts w:cs="Times New Roman"/>
                        </w:rPr>
                        <w:t>Pathogens of High Consequence</w:t>
                      </w:r>
                      <w:r w:rsidRPr="004D6B28" w:rsidR="004D6B28">
                        <w:rPr>
                          <w:rFonts w:cs="Times New Roman"/>
                        </w:rPr>
                        <w:t xml:space="preserve"> </w:t>
                      </w:r>
                      <w:r w:rsidRPr="004D6B28">
                        <w:rPr>
                          <w:rFonts w:cs="Times New Roman"/>
                          <w:bCs/>
                        </w:rPr>
                        <w:t>form</w:t>
                      </w:r>
                      <w:r w:rsidRPr="004D6B28">
                        <w:rPr>
                          <w:rFonts w:cs="Times New Roman"/>
                        </w:rPr>
                        <w:t xml:space="preserve"> </w:t>
                      </w:r>
                      <w:r w:rsidR="002068CB">
                        <w:rPr>
                          <w:rFonts w:cs="Times New Roman"/>
                        </w:rPr>
                        <w:t>will advise CDC on which patient populations (</w:t>
                      </w:r>
                      <w:r w:rsidR="002068CB">
                        <w:rPr>
                          <w:rStyle w:val="normaltextrun"/>
                          <w:rFonts w:cs="Times New Roman"/>
                          <w:sz w:val="28"/>
                          <w:szCs w:val="28"/>
                          <w:shd w:val="clear" w:color="auto" w:fill="FFFFFF"/>
                        </w:rPr>
                        <w:t xml:space="preserve">(i.e., </w:t>
                      </w:r>
                      <w:r w:rsidR="002068CB">
                        <w:rPr>
                          <w:rStyle w:val="normaltextrun"/>
                          <w:rFonts w:cs="Times New Roman"/>
                          <w:szCs w:val="24"/>
                        </w:rPr>
                        <w:t xml:space="preserve">pediatric and adult) are being affected by specific pathogens and the need for healthcare infection control and prevention.  The data collection will also </w:t>
                      </w:r>
                      <w:r>
                        <w:t xml:space="preserve">provide information on the </w:t>
                      </w:r>
                      <w:r w:rsidRPr="00566662">
                        <w:t>severity of illness a disease is causing, and what region(s) of the country may be more affected</w:t>
                      </w:r>
                      <w:r>
                        <w:t xml:space="preserve"> by specific outbreaks</w:t>
                      </w:r>
                      <w:r w:rsidRPr="00566662">
                        <w:t xml:space="preserve">. </w:t>
                      </w:r>
                    </w:p>
                    <w:p w:rsidR="009567B2" w:rsidP="000D2DA7" w14:paraId="6A3C5AEC" w14:textId="243E4245">
                      <w:pPr>
                        <w:pStyle w:val="Bullets"/>
                        <w:numPr>
                          <w:ilvl w:val="0"/>
                          <w:numId w:val="0"/>
                        </w:numPr>
                        <w:ind w:left="360"/>
                        <w:rPr>
                          <w:bCs/>
                        </w:rPr>
                      </w:pPr>
                      <w:r w:rsidRPr="007A6D9E">
                        <w:rPr>
                          <w:b/>
                        </w:rPr>
                        <w:t>Intended use of the resulting data:</w:t>
                      </w:r>
                      <w:r w:rsidRPr="007A6D9E" w:rsidR="001A58BE">
                        <w:rPr>
                          <w:b/>
                        </w:rPr>
                        <w:t xml:space="preserve"> </w:t>
                      </w:r>
                      <w:r w:rsidRPr="007A6D9E" w:rsidR="00E460A0">
                        <w:rPr>
                          <w:bCs/>
                        </w:rPr>
                        <w:t xml:space="preserve">The data collected will </w:t>
                      </w:r>
                      <w:r w:rsidRPr="007A6D9E" w:rsidR="000D2DA7">
                        <w:rPr>
                          <w:bCs/>
                        </w:rPr>
                        <w:t>help</w:t>
                      </w:r>
                      <w:r w:rsidRPr="002068CB">
                        <w:rPr>
                          <w:bCs/>
                        </w:rPr>
                        <w:t xml:space="preserve"> ensure that local and state authorities are equipped to contain and prevent further spread</w:t>
                      </w:r>
                      <w:r>
                        <w:rPr>
                          <w:bCs/>
                        </w:rPr>
                        <w:t xml:space="preserve">. </w:t>
                      </w:r>
                    </w:p>
                    <w:p w:rsidR="004A13E8" w:rsidRPr="007A6D9E" w:rsidP="009567B2" w14:paraId="55FE1839" w14:textId="17CC9FEC">
                      <w:pPr>
                        <w:pStyle w:val="Bullets"/>
                        <w:numPr>
                          <w:ilvl w:val="0"/>
                          <w:numId w:val="0"/>
                        </w:numPr>
                        <w:ind w:firstLine="360"/>
                        <w:rPr>
                          <w:b/>
                        </w:rPr>
                      </w:pPr>
                      <w:r w:rsidRPr="007A6D9E">
                        <w:rPr>
                          <w:b/>
                        </w:rPr>
                        <w:t>Methods to be used to collect:</w:t>
                      </w:r>
                      <w:r w:rsidRPr="007A6D9E" w:rsidR="001A58BE">
                        <w:rPr>
                          <w:b/>
                        </w:rPr>
                        <w:t xml:space="preserve"> </w:t>
                      </w:r>
                      <w:r w:rsidR="002348EC">
                        <w:rPr>
                          <w:bCs/>
                        </w:rPr>
                        <w:t>S</w:t>
                      </w:r>
                      <w:r w:rsidRPr="002348EC" w:rsidR="002348EC">
                        <w:rPr>
                          <w:bCs/>
                        </w:rPr>
                        <w:t>ecure NHSN internet application</w:t>
                      </w:r>
                      <w:r w:rsidR="002348EC">
                        <w:rPr>
                          <w:bCs/>
                        </w:rPr>
                        <w:t xml:space="preserve"> (OMB Control No. 0920-0666)</w:t>
                      </w:r>
                    </w:p>
                    <w:p w:rsidR="00991A49" w:rsidRPr="007A6D9E" w:rsidP="000D2DA7" w14:paraId="3FCFD262" w14:textId="77777777">
                      <w:pPr>
                        <w:pStyle w:val="Bullets"/>
                        <w:numPr>
                          <w:ilvl w:val="0"/>
                          <w:numId w:val="0"/>
                        </w:numPr>
                        <w:ind w:left="360"/>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0D2DA7" w14:paraId="3DEDD70E" w14:textId="340DE685">
                      <w:pPr>
                        <w:pStyle w:val="Bullets"/>
                        <w:numPr>
                          <w:ilvl w:val="0"/>
                          <w:numId w:val="0"/>
                        </w:numPr>
                        <w:ind w:left="360"/>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impact of </w:t>
                      </w:r>
                      <w:r w:rsidR="000D2DA7">
                        <w:t xml:space="preserve">disease in the U.S. </w:t>
                      </w:r>
                      <w:r>
                        <w:t>such as significance tests on pooled means, non-parametric tests on benchmark distributions, and negative binomial regression to assess independent associations.</w:t>
                      </w:r>
                    </w:p>
                  </w:txbxContent>
                </v:textbox>
                <w10:wrap type="tight"/>
              </v:shape>
            </w:pict>
          </mc:Fallback>
        </mc:AlternateContent>
      </w:r>
    </w:p>
    <w:p w:rsidR="004A13E8" w:rsidP="00E75A0E" w14:paraId="55FE17B3" w14:textId="77777777">
      <w:pPr>
        <w:pStyle w:val="Heading1"/>
        <w:spacing w:line="276" w:lineRule="auto"/>
      </w:pPr>
      <w:bookmarkStart w:id="3" w:name="_Toc177036676"/>
      <w:r w:rsidRPr="004A13E8">
        <w:t>Circumstances Making the Collection of Information Necessary</w:t>
      </w:r>
      <w:bookmarkEnd w:id="3"/>
    </w:p>
    <w:p w:rsidR="002348EC" w:rsidP="00E75A0E" w14:paraId="2230796C" w14:textId="1840F298">
      <w:pPr>
        <w:pStyle w:val="NoSpacing"/>
        <w:spacing w:after="200" w:line="276" w:lineRule="auto"/>
        <w:rPr>
          <w:rFonts w:cs="Times New Roman"/>
          <w:szCs w:val="24"/>
        </w:rPr>
      </w:pPr>
      <w:r w:rsidRPr="002348EC">
        <w:rPr>
          <w:rFonts w:cs="Times New Roman"/>
          <w:szCs w:val="24"/>
        </w:rPr>
        <w:t xml:space="preserve">The Centers for Disease Control and Prevention (CDC) is requesting Emergency approval for a Revision to one approved data collection form for the National healthcare Safety Network (NHSN). CDC requests OMB approval for an estimated burden of 111,021 hours.  This will bring the total burden to 777,146 hours for NHSN Form 57.130 – Pathogens of Concern. The overall burden will increase to 4,508,255 burden hours.  </w:t>
      </w:r>
    </w:p>
    <w:p w:rsidR="002348EC" w:rsidP="00E75A0E" w14:paraId="746B82E0" w14:textId="77777777">
      <w:pPr>
        <w:pStyle w:val="NoSpacing"/>
        <w:spacing w:after="200" w:line="276" w:lineRule="auto"/>
        <w:rPr>
          <w:u w:val="single"/>
        </w:rPr>
      </w:pPr>
      <w:r w:rsidRPr="00901147">
        <w:rPr>
          <w:u w:val="single"/>
        </w:rPr>
        <w:t>Background</w:t>
      </w:r>
    </w:p>
    <w:p w:rsidR="00BD6584" w:rsidRPr="002348EC" w:rsidP="00E75A0E" w14:paraId="1284C491" w14:textId="2A114AB3">
      <w:pPr>
        <w:pStyle w:val="NoSpacing"/>
        <w:spacing w:after="200" w:line="276" w:lineRule="auto"/>
        <w:rPr>
          <w:u w:val="single"/>
        </w:rPr>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Pr>
          <w:lang w:val="en"/>
        </w:rPr>
        <w:t xml:space="preserve">NHSN provides facilities, health departments,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also allows healthcare facilities to track blood safety errors and various HAI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356123" w:rsidP="00E75A0E" w14:paraId="1DB36914" w14:textId="4F4293F5">
      <w:pPr>
        <w:pStyle w:val="NoSpacing"/>
        <w:spacing w:after="200" w:line="276" w:lineRule="auto"/>
        <w:rPr>
          <w:i/>
        </w:rPr>
      </w:pPr>
      <w:r w:rsidRPr="00606705">
        <w:t xml:space="preserve">Enrollment in NHSN has continuously increased, with over </w:t>
      </w:r>
      <w:r w:rsidRPr="00BE2EAA">
        <w:t>37,000 actively reporting healthcare facilities across the U.S. Of the total enrolled healthcare facilities, there are over 6,000 acute care facilities</w:t>
      </w:r>
      <w:r>
        <w:t xml:space="preserve">. </w:t>
      </w:r>
      <w:r w:rsidRPr="00606705">
        <w:t xml:space="preserve">NHSN </w:t>
      </w:r>
      <w:r w:rsidRPr="00606705">
        <w:rPr>
          <w:noProof/>
        </w:rPr>
        <w:t>currently has</w:t>
      </w:r>
      <w:r w:rsidRPr="00606705">
        <w:t xml:space="preserve"> </w:t>
      </w:r>
      <w:r>
        <w:t>eight</w:t>
      </w:r>
      <w:r w:rsidRPr="00606705">
        <w:t xml:space="preserve"> </w:t>
      </w:r>
      <w:r w:rsidRPr="00606705">
        <w:t>components,</w:t>
      </w:r>
      <w:r>
        <w:t xml:space="preserve"> and the</w:t>
      </w:r>
      <w:r w:rsidRPr="004137CA">
        <w:t xml:space="preserve"> collection of information </w:t>
      </w:r>
      <w:r w:rsidRPr="00FE2A55">
        <w:rPr>
          <w:noProof/>
        </w:rPr>
        <w:t>is authorized</w:t>
      </w:r>
      <w:r w:rsidRPr="004137CA">
        <w:t xml:space="preserve"> by the Public Health Service Act (42 USC 242b, 242k, and 242m (d))</w:t>
      </w:r>
      <w:r w:rsidRPr="00201EFD">
        <w:rPr>
          <w:i/>
        </w:rPr>
        <w:t>, (Attachment A</w:t>
      </w:r>
      <w:r>
        <w:rPr>
          <w:i/>
        </w:rPr>
        <w:t>1-A3</w:t>
      </w:r>
      <w:r w:rsidRPr="00201EFD">
        <w:rPr>
          <w:i/>
        </w:rPr>
        <w:t>).</w:t>
      </w:r>
    </w:p>
    <w:p w:rsidR="00BD6584" w:rsidP="00E75A0E" w14:paraId="5FC8ED98" w14:textId="42A72DFD">
      <w:hyperlink w:anchor="_ENREF_1" w:tooltip="Shane, 2013 #101" w:history="1">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 </w:instrText>
        </w:r>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EN.CITE.DATA </w:instrText>
        </w:r>
        <w:r>
          <w:rPr>
            <w:rStyle w:val="Hyperlink"/>
          </w:rPr>
          <w:fldChar w:fldCharType="separate"/>
        </w:r>
        <w:r w:rsidRPr="00F8782D">
          <w:rPr>
            <w:rStyle w:val="Hyperlink"/>
          </w:rPr>
          <w:fldChar w:fldCharType="end"/>
        </w:r>
        <w:r>
          <w:rPr>
            <w:rStyle w:val="Hyperlink"/>
          </w:rPr>
          <w:fldChar w:fldCharType="separate"/>
        </w:r>
        <w:r w:rsidRPr="00F8782D">
          <w:rPr>
            <w:rStyle w:val="Hyperlink"/>
          </w:rPr>
          <w:fldChar w:fldCharType="end"/>
        </w:r>
      </w:hyperlink>
      <w:r>
        <w:t>D</w:t>
      </w:r>
      <w:r w:rsidRPr="00DE0BA1">
        <w:t xml:space="preserve">ata </w:t>
      </w:r>
      <w:r w:rsidRPr="00FE2A55">
        <w:rPr>
          <w:noProof/>
        </w:rPr>
        <w:t>reported</w:t>
      </w:r>
      <w:r w:rsidRPr="00DE0BA1">
        <w:t xml:space="preserve"> under </w:t>
      </w:r>
      <w:r w:rsidR="00356123">
        <w:t xml:space="preserve">NHSN’s </w:t>
      </w:r>
      <w:r w:rsidRPr="00DE0BA1">
        <w:t xml:space="preserve">Patient Safety Component are used to determine the magnitude of the healthcare-associated adverse events </w:t>
      </w:r>
      <w:r>
        <w:t>and</w:t>
      </w:r>
      <w:r w:rsidRPr="00DE0BA1">
        <w:t xml:space="preserve"> trends in the rates of the events, in the distribution of pathogens, and in the adherence to prevention practices</w:t>
      </w:r>
      <w:r>
        <w:t>. Data will</w:t>
      </w:r>
      <w:r w:rsidRPr="00DE0BA1">
        <w:t xml:space="preserve"> </w:t>
      </w:r>
      <w:r>
        <w:t xml:space="preserve">help </w:t>
      </w:r>
      <w:r w:rsidRPr="00DE0BA1">
        <w:t xml:space="preserve">detect changes in the epidemiology of adverse events resulting from new medical therapies and changing patient risks. </w:t>
      </w:r>
      <w:r w:rsidRPr="00DE0BA1">
        <w:t xml:space="preserve">Additionally, reported data </w:t>
      </w:r>
      <w:r>
        <w:rPr>
          <w:noProof/>
        </w:rPr>
        <w:t>is</w:t>
      </w:r>
      <w:r w:rsidRPr="00DE0BA1">
        <w:t xml:space="preserve"> </w:t>
      </w:r>
      <w:r w:rsidRPr="00FE2A55">
        <w:rPr>
          <w:noProof/>
        </w:rPr>
        <w:t>be</w:t>
      </w:r>
      <w:r>
        <w:rPr>
          <w:noProof/>
        </w:rPr>
        <w:t>ing</w:t>
      </w:r>
      <w:r w:rsidRPr="00DE0BA1">
        <w:t xml:space="preserve"> used to describe the epidemiology of antimicrobial use and resistance and to </w:t>
      </w:r>
      <w:r>
        <w:t xml:space="preserve">better </w:t>
      </w:r>
      <w:r w:rsidRPr="00DE0BA1">
        <w:t xml:space="preserve">understand the relationship of antimicrobial therapy to this rising problem. </w:t>
      </w:r>
    </w:p>
    <w:p w:rsidR="00BD6584" w:rsidP="00E75A0E" w14:paraId="5BB74DA0"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163CE" w:rsidP="00E75A0E" w14:paraId="45ABD31B" w14:textId="225FAE23">
      <w:pPr>
        <w:spacing w:after="0"/>
        <w:textAlignment w:val="baseline"/>
        <w:rPr>
          <w:rFonts w:eastAsia="Times New Roman" w:cs="Times New Roman"/>
          <w:szCs w:val="24"/>
          <w:shd w:val="clear" w:color="auto" w:fill="FFFFFF"/>
        </w:rPr>
      </w:pPr>
      <w:r w:rsidRPr="004163CE">
        <w:rPr>
          <w:rFonts w:eastAsia="Times New Roman" w:cs="Times New Roman"/>
          <w:szCs w:val="24"/>
        </w:rPr>
        <w:t xml:space="preserve">CDC’s Office of Readiness and Response (ORR) helps the nation prepare and respond to public health emergencies and threats and is monitoring many active CDC responses across the globe. Therefore, it is crucial for CDC to be aware of cases of these select infectious diseases of public health concern to ensure that local and state authorities are equipped to contain, care for </w:t>
      </w:r>
      <w:r w:rsidRPr="004163CE">
        <w:rPr>
          <w:rFonts w:eastAsia="Times New Roman" w:cs="Times New Roman"/>
          <w:szCs w:val="24"/>
        </w:rPr>
        <w:t>patients</w:t>
      </w:r>
      <w:r w:rsidRPr="004163CE">
        <w:rPr>
          <w:rFonts w:eastAsia="Times New Roman" w:cs="Times New Roman"/>
          <w:szCs w:val="24"/>
        </w:rPr>
        <w:t xml:space="preserve"> and prevent further spread, because, as stated by CDC’s Office of Readiness and Response, what starts locally can quickly become a global emergency.  The collection of this data </w:t>
      </w:r>
      <w:r w:rsidRPr="004163CE">
        <w:rPr>
          <w:rFonts w:eastAsia="Times New Roman" w:cs="Times New Roman"/>
          <w:szCs w:val="24"/>
          <w:shd w:val="clear" w:color="auto" w:fill="FFFFFF"/>
        </w:rPr>
        <w:t>is also tied to Division of Healthcare Quality and Promotion’s (DHQP) Surveillance Branch (SB) objectives, including creating new surveillance measures to support preparedness, emergency response, and resilience in healthcare systems, as well as growing our (SB’s) leadership in the nation’s evolving healthcare and public health informatics infrastructure.</w:t>
      </w:r>
    </w:p>
    <w:p w:rsidR="00E75A0E" w:rsidRPr="00E75A0E" w:rsidP="00E75A0E" w14:paraId="11145AB3" w14:textId="77777777">
      <w:pPr>
        <w:spacing w:after="0"/>
        <w:textAlignment w:val="baseline"/>
        <w:rPr>
          <w:rFonts w:eastAsia="Times New Roman" w:cs="Times New Roman"/>
          <w:szCs w:val="24"/>
          <w:shd w:val="clear" w:color="auto" w:fill="FFFFFF"/>
        </w:rPr>
      </w:pPr>
    </w:p>
    <w:p w:rsidR="004163CE" w:rsidP="00E75A0E" w14:paraId="044BA82C" w14:textId="39187A4B">
      <w:pPr>
        <w:pStyle w:val="NoSpacing"/>
        <w:spacing w:after="200" w:line="276" w:lineRule="auto"/>
      </w:pPr>
      <w:r>
        <w:t xml:space="preserve">The </w:t>
      </w:r>
      <w:r>
        <w:t xml:space="preserve">form </w:t>
      </w:r>
      <w:r w:rsidRPr="00F769F3" w:rsidR="00482066">
        <w:t xml:space="preserve"> captures</w:t>
      </w:r>
      <w:r w:rsidRPr="00F769F3" w:rsidR="00482066">
        <w:t xml:space="preserve"> the number of patients newly admitted and currently hospitalized with certain diseases in acute care hospitals, (i.e. Crimean-Congo Hemorrhagic Fever (CCHF), Dengue, Ebola, Lassa, Measles, Mpox, MERS-</w:t>
      </w:r>
      <w:r w:rsidRPr="00F769F3" w:rsidR="00482066">
        <w:t>CoV</w:t>
      </w:r>
      <w:r w:rsidRPr="00F769F3" w:rsidR="00482066">
        <w:t xml:space="preserve">, Nipah, and Toxigenic Vibrio cholerae) broken down by adult patients and pediatric patients. </w:t>
      </w:r>
      <w:r w:rsidR="00BE47EA">
        <w:t>Three</w:t>
      </w:r>
      <w:r w:rsidRPr="00F769F3" w:rsidR="00482066">
        <w:t xml:space="preserve"> additional diseases are being added to the data collection, Influenza A (H5), Marburg, </w:t>
      </w:r>
      <w:r w:rsidRPr="00F769F3" w:rsidR="00482066">
        <w:t xml:space="preserve">and  </w:t>
      </w:r>
      <w:r w:rsidRPr="00F769F3" w:rsidR="00482066">
        <w:t>Oropouche</w:t>
      </w:r>
      <w:r w:rsidRPr="00F769F3" w:rsidR="00482066">
        <w:t xml:space="preserve">.   </w:t>
      </w:r>
    </w:p>
    <w:p w:rsidR="004163CE" w:rsidRPr="004163CE" w:rsidP="00E75A0E" w14:paraId="564E1389" w14:textId="1A63111A">
      <w:pPr>
        <w:pStyle w:val="NoSpacing"/>
        <w:spacing w:after="200" w:line="276" w:lineRule="auto"/>
      </w:pPr>
      <w:r w:rsidRPr="004163CE">
        <w:rPr>
          <w:rFonts w:eastAsia="Times New Roman" w:cs="Times New Roman"/>
          <w:szCs w:val="24"/>
        </w:rPr>
        <w:t>Influenza A has been a concern since Summer 2024. H5 bird flu is widespread in wild birds worldwide and is causing outbreaks in poultry and U.S. dairy cows with several recent human cases in U.S. dairy and poultry workers. While the current public health risk is low, CDC is watching the situation carefully and working with states to monitor people with animal exposures. CDC is using its flu surveillance systems to monitor for H5 bird flu activity in people. As human cases continue to be detected and the fact that avian flu is a pathogen of public health concern, it is now being added to the collection to ensure NHSN is capturing all active responses to pathogens of concern</w:t>
      </w:r>
      <w:r>
        <w:rPr>
          <w:rFonts w:eastAsia="Times New Roman" w:cs="Times New Roman"/>
          <w:szCs w:val="24"/>
        </w:rPr>
        <w:t>.</w:t>
      </w:r>
    </w:p>
    <w:p w:rsidR="004163CE" w:rsidRPr="004163CE" w:rsidP="00E75A0E" w14:paraId="019F0986" w14:textId="2D27C06D">
      <w:pPr>
        <w:pStyle w:val="NoSpacing"/>
        <w:spacing w:after="200" w:line="276" w:lineRule="auto"/>
        <w:rPr>
          <w:rFonts w:cs="Times New Roman"/>
          <w:szCs w:val="24"/>
        </w:rPr>
      </w:pPr>
      <w:r w:rsidRPr="004163CE">
        <w:rPr>
          <w:rFonts w:eastAsia="Times New Roman" w:cs="Times New Roman"/>
          <w:szCs w:val="24"/>
        </w:rPr>
        <w:t xml:space="preserve">Marburg and </w:t>
      </w:r>
      <w:r w:rsidRPr="004163CE">
        <w:rPr>
          <w:rFonts w:eastAsia="Times New Roman" w:cs="Times New Roman"/>
          <w:szCs w:val="24"/>
        </w:rPr>
        <w:t>Oropouche</w:t>
      </w:r>
      <w:r w:rsidRPr="004163CE">
        <w:rPr>
          <w:rFonts w:eastAsia="Times New Roman" w:cs="Times New Roman"/>
          <w:szCs w:val="24"/>
        </w:rPr>
        <w:t xml:space="preserve"> were recently added to the list of active responses due to international outbreaks, which began this Fal</w:t>
      </w:r>
      <w:r>
        <w:rPr>
          <w:rFonts w:eastAsia="Times New Roman" w:cs="Times New Roman"/>
          <w:szCs w:val="24"/>
        </w:rPr>
        <w:t xml:space="preserve">l. </w:t>
      </w:r>
    </w:p>
    <w:p w:rsidR="004A13E8" w:rsidP="00E75A0E" w14:paraId="55FE17B7" w14:textId="77777777">
      <w:pPr>
        <w:pStyle w:val="Heading1"/>
        <w:spacing w:line="276" w:lineRule="auto"/>
      </w:pPr>
      <w:bookmarkStart w:id="4" w:name="_Toc177036677"/>
      <w:r>
        <w:t>Purpose and Use of Information Collection</w:t>
      </w:r>
      <w:bookmarkEnd w:id="4"/>
    </w:p>
    <w:p w:rsidR="009A1A78" w:rsidRPr="009A1A78" w:rsidP="00E75A0E" w14:paraId="7FFE960E" w14:textId="24369689">
      <w:pPr>
        <w:pStyle w:val="Heading1"/>
        <w:numPr>
          <w:ilvl w:val="0"/>
          <w:numId w:val="0"/>
        </w:numPr>
        <w:spacing w:line="276" w:lineRule="auto"/>
        <w:rPr>
          <w:rStyle w:val="normaltextrun"/>
          <w:b w:val="0"/>
          <w:bCs/>
          <w:shd w:val="clear" w:color="auto" w:fill="FFFFFF"/>
        </w:rPr>
      </w:pPr>
      <w:bookmarkStart w:id="5" w:name="_Hlk185404014"/>
      <w:r>
        <w:rPr>
          <w:b w:val="0"/>
          <w:bCs/>
        </w:rPr>
        <w:t>I</w:t>
      </w:r>
      <w:r w:rsidRPr="009A1A78">
        <w:rPr>
          <w:b w:val="0"/>
          <w:bCs/>
        </w:rPr>
        <w:t xml:space="preserve">t is crucial for CDC to be aware of cases of these select infectious diseases of public health concern to ensure that local and state authorities are equipped to contain, care for </w:t>
      </w:r>
      <w:r w:rsidRPr="009A1A78">
        <w:rPr>
          <w:b w:val="0"/>
          <w:bCs/>
        </w:rPr>
        <w:t>patients</w:t>
      </w:r>
      <w:r w:rsidRPr="009A1A78">
        <w:rPr>
          <w:b w:val="0"/>
          <w:bCs/>
        </w:rPr>
        <w:t xml:space="preserve"> and prevent further spread,</w:t>
      </w:r>
      <w:r w:rsidRPr="009A1A78">
        <w:rPr>
          <w:rStyle w:val="normaltextrun"/>
          <w:b w:val="0"/>
          <w:bCs/>
        </w:rPr>
        <w:t xml:space="preserve"> because, as stated by CDC’s Office of Readiness and Response, what starts locally can quickly </w:t>
      </w:r>
      <w:r w:rsidRPr="009A1A78">
        <w:rPr>
          <w:rStyle w:val="normaltextrun"/>
          <w:b w:val="0"/>
          <w:bCs/>
        </w:rPr>
        <w:t>become a global emergency. </w:t>
      </w:r>
      <w:r w:rsidRPr="009A1A78">
        <w:rPr>
          <w:rStyle w:val="eop"/>
          <w:b w:val="0"/>
          <w:bCs/>
        </w:rPr>
        <w:t> </w:t>
      </w:r>
      <w:r w:rsidRPr="009A1A78">
        <w:rPr>
          <w:b w:val="0"/>
          <w:bCs/>
        </w:rPr>
        <w:t xml:space="preserve">The collection of this data </w:t>
      </w:r>
      <w:r w:rsidRPr="009A1A78">
        <w:rPr>
          <w:rStyle w:val="normaltextrun"/>
          <w:b w:val="0"/>
          <w:bCs/>
          <w:shd w:val="clear" w:color="auto" w:fill="FFFFFF"/>
        </w:rPr>
        <w:t>is also tied to Division of Healthcare Quality and Promotion’s (DHQP) Surveillance Branch (SB) objectives, including creating new surveillance measures to support preparedness, emergency response, and resilience in healthcare systems, as well as growing our (SB’s) leadership in the nation’s evolving healthcare and public health informatics infrastructure.</w:t>
      </w:r>
    </w:p>
    <w:p w:rsidR="00482066" w:rsidRPr="000E68E3" w:rsidP="00E75A0E" w14:paraId="00D965C4" w14:textId="4D4DAE29">
      <w:pPr>
        <w:rPr>
          <w:rStyle w:val="normaltextrun"/>
          <w:rFonts w:cs="Times New Roman"/>
          <w:szCs w:val="24"/>
        </w:rPr>
      </w:pPr>
      <w:r w:rsidRPr="00125639">
        <w:rPr>
          <w:rStyle w:val="normaltextrun"/>
          <w:rFonts w:cs="Times New Roman"/>
          <w:szCs w:val="24"/>
        </w:rPr>
        <w:t xml:space="preserve">It is important for CDC to be aware of which patient populations (i.e., pediatric, and adult populations) are being </w:t>
      </w:r>
      <w:r w:rsidRPr="000E68E3">
        <w:rPr>
          <w:rStyle w:val="normaltextrun"/>
          <w:rFonts w:cs="Times New Roman"/>
          <w:szCs w:val="24"/>
        </w:rPr>
        <w:t xml:space="preserve">affected by these pathogens and the potential need for additional healthcare infection prevention and control. </w:t>
      </w:r>
      <w:r w:rsidRPr="000E68E3">
        <w:rPr>
          <w:rStyle w:val="normaltextrun"/>
          <w:rFonts w:cs="Times New Roman"/>
          <w:szCs w:val="24"/>
          <w:shd w:val="clear" w:color="auto" w:fill="FFFFFF"/>
        </w:rPr>
        <w:t>Since this form is collecting data on hospitalized patients, it may also help inform on the severity of illness a high consequence pathogen is causing, and what region(s) of the country may be more affected.</w:t>
      </w:r>
    </w:p>
    <w:p w:rsidR="00125639" w:rsidRPr="006500BF" w:rsidP="00E75A0E" w14:paraId="7154B528" w14:textId="76EF1B1A">
      <w:pPr>
        <w:rPr>
          <w:rStyle w:val="normaltextrun"/>
          <w:rFonts w:cs="Times New Roman"/>
          <w:szCs w:val="24"/>
        </w:rPr>
      </w:pPr>
      <w:r w:rsidRPr="000E68E3">
        <w:rPr>
          <w:rStyle w:val="normaltextrun"/>
          <w:rFonts w:cs="Times New Roman"/>
          <w:szCs w:val="24"/>
        </w:rPr>
        <w:t xml:space="preserve">Acute care hospitals </w:t>
      </w:r>
      <w:r w:rsidRPr="000E68E3" w:rsidR="00356123">
        <w:rPr>
          <w:rStyle w:val="normaltextrun"/>
          <w:rFonts w:cs="Times New Roman"/>
          <w:szCs w:val="24"/>
        </w:rPr>
        <w:t>enrolled in NHSN</w:t>
      </w:r>
      <w:r w:rsidRPr="000E68E3">
        <w:rPr>
          <w:rStyle w:val="normaltextrun"/>
          <w:rFonts w:cs="Times New Roman"/>
          <w:szCs w:val="24"/>
        </w:rPr>
        <w:t>s</w:t>
      </w:r>
      <w:r w:rsidRPr="000E68E3" w:rsidR="00356123">
        <w:rPr>
          <w:rStyle w:val="normaltextrun"/>
          <w:rFonts w:cs="Times New Roman"/>
          <w:szCs w:val="24"/>
        </w:rPr>
        <w:t xml:space="preserve"> Patient Safety Component will </w:t>
      </w:r>
      <w:r w:rsidRPr="000E68E3">
        <w:rPr>
          <w:rStyle w:val="normaltextrun"/>
          <w:rFonts w:cs="Times New Roman"/>
          <w:szCs w:val="24"/>
        </w:rPr>
        <w:t xml:space="preserve">begin collecting </w:t>
      </w:r>
      <w:r w:rsidR="00AA3CAC">
        <w:rPr>
          <w:rStyle w:val="normaltextrun"/>
          <w:rFonts w:cs="Times New Roman"/>
          <w:szCs w:val="24"/>
        </w:rPr>
        <w:t xml:space="preserve">this </w:t>
      </w:r>
      <w:r w:rsidRPr="000E68E3">
        <w:rPr>
          <w:rStyle w:val="normaltextrun"/>
          <w:rFonts w:cs="Times New Roman"/>
          <w:szCs w:val="24"/>
        </w:rPr>
        <w:t xml:space="preserve">data </w:t>
      </w:r>
      <w:r w:rsidR="00AA3CAC">
        <w:rPr>
          <w:rStyle w:val="normaltextrun"/>
          <w:rFonts w:cs="Times New Roman"/>
          <w:szCs w:val="24"/>
        </w:rPr>
        <w:t>beginning March</w:t>
      </w:r>
      <w:r w:rsidRPr="000E68E3">
        <w:rPr>
          <w:rStyle w:val="normaltextrun"/>
          <w:rFonts w:cs="Times New Roman"/>
          <w:szCs w:val="24"/>
        </w:rPr>
        <w:t xml:space="preserve"> 2025. </w:t>
      </w:r>
      <w:r w:rsidRPr="000E68E3">
        <w:rPr>
          <w:rStyle w:val="normaltextrun"/>
          <w:rFonts w:cs="Times New Roman"/>
          <w:szCs w:val="24"/>
          <w:shd w:val="clear" w:color="auto" w:fill="FFFFFF"/>
        </w:rPr>
        <w:t xml:space="preserve">Data collection is </w:t>
      </w:r>
      <w:r w:rsidRPr="000E68E3">
        <w:rPr>
          <w:rStyle w:val="normaltextrun"/>
          <w:rFonts w:cs="Times New Roman"/>
          <w:szCs w:val="24"/>
        </w:rPr>
        <w:t xml:space="preserve">optional, and facilities will only need to complete the data collection for days in which they have a case(s) of </w:t>
      </w:r>
      <w:r w:rsidRPr="000E68E3">
        <w:rPr>
          <w:rFonts w:cs="Times New Roman"/>
          <w:szCs w:val="24"/>
        </w:rPr>
        <w:t xml:space="preserve">Infectious Diseases of Public Health Concern </w:t>
      </w:r>
      <w:r w:rsidRPr="000E68E3">
        <w:rPr>
          <w:rStyle w:val="normaltextrun"/>
          <w:rFonts w:cs="Times New Roman"/>
          <w:szCs w:val="24"/>
        </w:rPr>
        <w:t>to report. If they do not have any cases to report, the form will default to zero cases to help reduce reporting burden. </w:t>
      </w:r>
      <w:r w:rsidRPr="000E68E3">
        <w:rPr>
          <w:rStyle w:val="eop"/>
          <w:rFonts w:cs="Times New Roman"/>
          <w:szCs w:val="24"/>
        </w:rPr>
        <w:t> </w:t>
      </w:r>
    </w:p>
    <w:p w:rsidR="004A13E8" w:rsidP="00E75A0E" w14:paraId="55FE17B9" w14:textId="77777777">
      <w:pPr>
        <w:pStyle w:val="Heading1"/>
        <w:spacing w:line="276" w:lineRule="auto"/>
      </w:pPr>
      <w:bookmarkStart w:id="6" w:name="_Toc177036678"/>
      <w:bookmarkEnd w:id="5"/>
      <w:r>
        <w:t>Use of Improved Information Technology and Burden Reduction</w:t>
      </w:r>
      <w:bookmarkEnd w:id="6"/>
    </w:p>
    <w:p w:rsidR="007364E7" w:rsidP="00E75A0E" w14:paraId="3397E332" w14:textId="144640D0">
      <w:pPr>
        <w:pStyle w:val="NoSpacing"/>
        <w:spacing w:after="200" w:line="276" w:lineRule="auto"/>
      </w:pPr>
      <w:r>
        <w:t xml:space="preserve">Data will be 100% collected via the </w:t>
      </w:r>
      <w:bookmarkStart w:id="7" w:name="_Hlk185839951"/>
      <w:r>
        <w:t>secure NHSN internet application</w:t>
      </w:r>
      <w:bookmarkEnd w:id="7"/>
      <w:r>
        <w:t>.</w:t>
      </w:r>
      <w:r w:rsidRPr="00B36EB2">
        <w:t xml:space="preserve"> Only the minimum amount of information necessary for data </w:t>
      </w:r>
      <w:r>
        <w:t xml:space="preserve">collection is </w:t>
      </w:r>
      <w:r w:rsidRPr="00371D80">
        <w:rPr>
          <w:noProof/>
        </w:rPr>
        <w:t>requested</w:t>
      </w:r>
      <w:r w:rsidRPr="00B36EB2">
        <w:t>. Institutions that participate in NHSN are required to have a computer and Internet Service Provider (ISP)</w:t>
      </w:r>
      <w:r>
        <w:t xml:space="preserve">. </w:t>
      </w:r>
    </w:p>
    <w:p w:rsidR="004A13E8" w:rsidP="00E75A0E" w14:paraId="55FE17BC" w14:textId="77777777">
      <w:pPr>
        <w:pStyle w:val="Heading1"/>
        <w:spacing w:line="276" w:lineRule="auto"/>
      </w:pPr>
      <w:bookmarkStart w:id="8" w:name="_Toc177036679"/>
      <w:r>
        <w:t>Efforts to Identify Duplication and Use of Similar Information</w:t>
      </w:r>
      <w:bookmarkEnd w:id="8"/>
    </w:p>
    <w:p w:rsidR="00D7360A" w:rsidRPr="00B36EB2" w:rsidP="00E75A0E" w14:paraId="6A3AAE42"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D7360A" w:rsidRPr="000A4767" w:rsidP="00E75A0E" w14:paraId="683C0EA3" w14:textId="77777777">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DC57CC" w:rsidP="00E75A0E" w14:paraId="55FE17BF" w14:textId="77777777">
      <w:pPr>
        <w:pStyle w:val="Heading1"/>
        <w:spacing w:line="276" w:lineRule="auto"/>
      </w:pPr>
      <w:bookmarkStart w:id="9" w:name="_Toc177036680"/>
      <w:r>
        <w:t>Impact on Small Businesses or Other Small Entities</w:t>
      </w:r>
      <w:bookmarkEnd w:id="9"/>
    </w:p>
    <w:p w:rsidR="004A13E8" w:rsidP="00E75A0E" w14:paraId="55FE17C0" w14:textId="77777777">
      <w:r>
        <w:t>This data collection wi</w:t>
      </w:r>
      <w:r w:rsidR="001523DF">
        <w:t>ll not involve small businesses.</w:t>
      </w:r>
    </w:p>
    <w:p w:rsidR="004A13E8" w:rsidP="00E75A0E" w14:paraId="55FE17C3" w14:textId="77777777">
      <w:pPr>
        <w:pStyle w:val="Heading1"/>
        <w:spacing w:line="276" w:lineRule="auto"/>
      </w:pPr>
      <w:bookmarkStart w:id="10" w:name="_Toc177036681"/>
      <w:r>
        <w:t>Consequences of Collecting the Information Less Frequently</w:t>
      </w:r>
      <w:bookmarkEnd w:id="10"/>
    </w:p>
    <w:p w:rsidR="00D7360A" w:rsidRPr="00145206" w:rsidP="00E75A0E" w14:paraId="1A487577" w14:textId="6E86BFE7">
      <w:pPr>
        <w:rPr>
          <w:rFonts w:cs="Times New Roman"/>
          <w:szCs w:val="24"/>
        </w:rPr>
      </w:pPr>
      <w:r>
        <w:t xml:space="preserve">This is </w:t>
      </w:r>
      <w:r w:rsidR="00ED14F8">
        <w:t xml:space="preserve">a </w:t>
      </w:r>
      <w:r>
        <w:t>data collection request to determine</w:t>
      </w:r>
      <w:r w:rsidR="00145206">
        <w:t xml:space="preserve"> the number of cases of specific infectious diseases of public health concern that affect </w:t>
      </w:r>
      <w:r>
        <w:t xml:space="preserve">acute care </w:t>
      </w:r>
      <w:r w:rsidR="00145206">
        <w:t>hospitals</w:t>
      </w:r>
      <w:r>
        <w:t xml:space="preserve">.  </w:t>
      </w:r>
      <w:r w:rsidR="00145206">
        <w:t xml:space="preserve">Data collection is optional, and facilities </w:t>
      </w:r>
      <w:r w:rsidRPr="000E68E3" w:rsidR="00145206">
        <w:rPr>
          <w:rStyle w:val="normaltextrun"/>
          <w:rFonts w:cs="Times New Roman"/>
          <w:szCs w:val="24"/>
        </w:rPr>
        <w:t xml:space="preserve">need to complete the data collection for days in which they have a case(s) of </w:t>
      </w:r>
      <w:r w:rsidRPr="000E68E3" w:rsidR="00145206">
        <w:rPr>
          <w:rFonts w:cs="Times New Roman"/>
          <w:szCs w:val="24"/>
        </w:rPr>
        <w:t xml:space="preserve">Infectious Diseases of Public </w:t>
      </w:r>
      <w:r w:rsidRPr="000E68E3" w:rsidR="00145206">
        <w:rPr>
          <w:rFonts w:cs="Times New Roman"/>
          <w:szCs w:val="24"/>
        </w:rPr>
        <w:t xml:space="preserve">Health Concern </w:t>
      </w:r>
      <w:r w:rsidRPr="000E68E3" w:rsidR="00145206">
        <w:rPr>
          <w:rStyle w:val="normaltextrun"/>
          <w:rFonts w:cs="Times New Roman"/>
          <w:szCs w:val="24"/>
        </w:rPr>
        <w:t>to report. If they do not have any cases to report, the form will default to zero cases to help reduce reporting burden. </w:t>
      </w:r>
      <w:r w:rsidRPr="00B36EB2" w:rsidR="00EE290B">
        <w:t xml:space="preserve">Collecting the data less </w:t>
      </w:r>
      <w:r w:rsidR="008947E8">
        <w:t>frequently</w:t>
      </w:r>
      <w:r w:rsidRPr="00B36EB2" w:rsidR="00EE290B">
        <w:t xml:space="preserve"> could potentially </w:t>
      </w:r>
      <w:r w:rsidR="00150AD7">
        <w:t xml:space="preserve">prevent NHSN from understanding how </w:t>
      </w:r>
      <w:r w:rsidR="00145206">
        <w:t xml:space="preserve">these specific infectious diseases are affecting acute care hospitals across the United States.  </w:t>
      </w:r>
      <w:r w:rsidR="00150AD7">
        <w:rPr>
          <w:rStyle w:val="normaltextrun"/>
          <w:color w:val="000000"/>
          <w:shd w:val="clear" w:color="auto" w:fill="FFFFFF"/>
        </w:rPr>
        <w:t xml:space="preserve"> </w:t>
      </w:r>
    </w:p>
    <w:p w:rsidR="004A13E8" w:rsidP="00E75A0E" w14:paraId="55FE17C6" w14:textId="77777777">
      <w:pPr>
        <w:pStyle w:val="Heading1"/>
        <w:spacing w:line="276" w:lineRule="auto"/>
      </w:pPr>
      <w:bookmarkStart w:id="11" w:name="_Toc177036682"/>
      <w:r>
        <w:t>Special Circumstances Relating to the Guidelines of 5 CFR 1320.5</w:t>
      </w:r>
      <w:bookmarkEnd w:id="11"/>
    </w:p>
    <w:p w:rsidR="004A13E8" w:rsidRPr="004A13E8" w:rsidP="00E75A0E" w14:paraId="55FE17C7" w14:textId="77777777">
      <w:r>
        <w:t>This request fully complies with the regulation 5 CFR 1320.5.</w:t>
      </w:r>
    </w:p>
    <w:p w:rsidR="004A13E8" w:rsidRPr="00D11A9D" w:rsidP="00E75A0E" w14:paraId="55FE17C8" w14:textId="77777777">
      <w:pPr>
        <w:pStyle w:val="Heading1"/>
        <w:spacing w:line="276" w:lineRule="auto"/>
      </w:pPr>
      <w:bookmarkStart w:id="12" w:name="_Toc177036683"/>
      <w:r w:rsidRPr="00D11A9D">
        <w:t>Comments in Response to the Federal Register Notice and Efforts to Consult Outside the Agency</w:t>
      </w:r>
      <w:bookmarkEnd w:id="12"/>
    </w:p>
    <w:p w:rsidR="00D11A9D" w:rsidP="00E75A0E" w14:paraId="7F1F569A" w14:textId="5C279802">
      <w:pPr>
        <w:rPr>
          <w:rStyle w:val="ui-provider"/>
        </w:rPr>
      </w:pPr>
      <w:r w:rsidRPr="00D11A9D">
        <w:rPr>
          <w:rStyle w:val="ui-provider"/>
        </w:rPr>
        <w:t xml:space="preserve">Because this is a request for an emergency clearance, OMB has waived the 60-day comment period. CDC is posting a 60-day notice in the Federal Register seeking additional notice and comment (Attachment </w:t>
      </w:r>
      <w:r w:rsidR="00DA4621">
        <w:rPr>
          <w:rStyle w:val="ui-provider"/>
        </w:rPr>
        <w:t>B</w:t>
      </w:r>
      <w:r w:rsidRPr="00D11A9D">
        <w:rPr>
          <w:rStyle w:val="ui-provider"/>
        </w:rPr>
        <w:t>).</w:t>
      </w:r>
      <w:r>
        <w:rPr>
          <w:rStyle w:val="ui-provider"/>
        </w:rPr>
        <w:t xml:space="preserve"> </w:t>
      </w:r>
    </w:p>
    <w:p w:rsidR="004A13E8" w:rsidRPr="00D11A9D" w:rsidP="00E75A0E" w14:paraId="55FE17CB" w14:textId="4AB844D3">
      <w:pPr>
        <w:pStyle w:val="Heading1"/>
        <w:spacing w:line="276" w:lineRule="auto"/>
      </w:pPr>
      <w:bookmarkStart w:id="13" w:name="_Toc177036684"/>
      <w:r w:rsidRPr="00D11A9D">
        <w:t>Explanation of Any Payment or Gift to Respondents</w:t>
      </w:r>
      <w:bookmarkEnd w:id="13"/>
    </w:p>
    <w:p w:rsidR="00D7360A" w:rsidP="00E75A0E" w14:paraId="36D786A3" w14:textId="77777777">
      <w:r>
        <w:t xml:space="preserve">No monetary incentive is provided to NHSN participants. </w:t>
      </w:r>
    </w:p>
    <w:p w:rsidR="004A13E8" w:rsidRPr="001C77B1" w:rsidP="00E75A0E" w14:paraId="55FE17CD" w14:textId="77777777">
      <w:pPr>
        <w:pStyle w:val="Heading1"/>
        <w:spacing w:line="276" w:lineRule="auto"/>
      </w:pPr>
      <w:bookmarkStart w:id="14" w:name="_Toc177036685"/>
      <w:r w:rsidRPr="001C77B1">
        <w:t>Protection of the Privacy and Confidentiality of Information Provided by Respondents</w:t>
      </w:r>
      <w:bookmarkEnd w:id="14"/>
    </w:p>
    <w:p w:rsidR="00457614" w:rsidRPr="001C77B1" w:rsidP="00E75A0E" w14:paraId="4231371F" w14:textId="13B7AF0B">
      <w:r>
        <w:rPr>
          <w:rStyle w:val="ui-provider"/>
        </w:rPr>
        <w:t>This submission has been reviewed by NCEZID who determined that the Privacy Act does not apply</w:t>
      </w:r>
      <w:r w:rsidR="00C60B2D">
        <w:rPr>
          <w:rStyle w:val="ui-provider"/>
        </w:rPr>
        <w:t xml:space="preserve"> (Attachment </w:t>
      </w:r>
      <w:r w:rsidR="00FF4CDB">
        <w:rPr>
          <w:rStyle w:val="ui-provider"/>
        </w:rPr>
        <w:t>F</w:t>
      </w:r>
      <w:r w:rsidR="00C60B2D">
        <w:rPr>
          <w:rStyle w:val="ui-provider"/>
        </w:rPr>
        <w:t>)</w:t>
      </w:r>
      <w:r>
        <w:rPr>
          <w:rStyle w:val="ui-provider"/>
        </w:rPr>
        <w:t>.</w:t>
      </w:r>
      <w:r w:rsidRPr="001C77B1">
        <w:t xml:space="preserve"> </w:t>
      </w:r>
    </w:p>
    <w:p w:rsidR="004A13E8" w:rsidP="00E75A0E" w14:paraId="55FE17D0" w14:textId="77777777">
      <w:pPr>
        <w:pStyle w:val="Heading1"/>
        <w:spacing w:line="276" w:lineRule="auto"/>
      </w:pPr>
      <w:bookmarkStart w:id="15" w:name="_Toc177036686"/>
      <w:r>
        <w:t>Institutional Review Board (IRB) and Justification for Sensitive Questions</w:t>
      </w:r>
      <w:bookmarkEnd w:id="15"/>
    </w:p>
    <w:p w:rsidR="004A13E8" w:rsidP="00E75A0E" w14:paraId="55FE17D1" w14:textId="77777777">
      <w:pPr>
        <w:rPr>
          <w:u w:val="single"/>
        </w:rPr>
      </w:pPr>
      <w:r>
        <w:rPr>
          <w:u w:val="single"/>
        </w:rPr>
        <w:t>Institutional Review Board (IRB)</w:t>
      </w:r>
    </w:p>
    <w:p w:rsidR="007364E7" w:rsidP="00E75A0E" w14:paraId="34FF4467" w14:textId="0384B7DB">
      <w:r>
        <w:t xml:space="preserve">NCEZID’s Human Subjects Advisor has determined that information collection is not research involving human subjects.  IRB approval </w:t>
      </w:r>
      <w:r w:rsidR="001E08A8">
        <w:t>is</w:t>
      </w:r>
      <w:r>
        <w:t xml:space="preserve"> not required</w:t>
      </w:r>
      <w:r w:rsidR="005E4D1B">
        <w:t xml:space="preserve"> (Attachment </w:t>
      </w:r>
      <w:r w:rsidR="00FF4CDB">
        <w:t>G</w:t>
      </w:r>
      <w:r w:rsidR="005E4D1B">
        <w:t>)</w:t>
      </w:r>
      <w:r>
        <w:t>.</w:t>
      </w:r>
    </w:p>
    <w:p w:rsidR="004A13E8" w:rsidRPr="0005699B" w:rsidP="00E75A0E" w14:paraId="55FE17D4" w14:textId="77777777">
      <w:r>
        <w:rPr>
          <w:u w:val="single"/>
        </w:rPr>
        <w:t>Justification for Sensitive Questions</w:t>
      </w:r>
    </w:p>
    <w:p w:rsidR="00D11A9D" w:rsidP="00E75A0E" w14:paraId="5596F082" w14:textId="55AC0782">
      <w:r>
        <w:t xml:space="preserve">Sensitive questions will not be asked on this questionnaire. </w:t>
      </w:r>
    </w:p>
    <w:p w:rsidR="004A13E8" w:rsidP="00E75A0E" w14:paraId="55FE17D7" w14:textId="77777777">
      <w:pPr>
        <w:pStyle w:val="Heading1"/>
        <w:spacing w:line="276" w:lineRule="auto"/>
      </w:pPr>
      <w:bookmarkStart w:id="16" w:name="_Toc177036687"/>
      <w:r>
        <w:t>Estimates of Annualized Burden Hours and Costs</w:t>
      </w:r>
      <w:bookmarkEnd w:id="16"/>
    </w:p>
    <w:p w:rsidR="00D11A9D" w:rsidP="00E75A0E" w14:paraId="67434035" w14:textId="69A075A0">
      <w:r>
        <w:t xml:space="preserve">A. </w:t>
      </w:r>
      <w:r w:rsidR="00C553B7">
        <w:t>Estimated Annualized Burden Hours</w:t>
      </w:r>
    </w:p>
    <w:p w:rsidR="004A13E8" w:rsidP="00E75A0E" w14:paraId="55FE17D9" w14:textId="0498656E">
      <w:r w:rsidRPr="00795DD7">
        <w:t>The table below provide the burden hours and cost estimates for the proposed NHSN data collection tool.</w:t>
      </w:r>
      <w:r w:rsidR="00580410">
        <w:t xml:space="preserve"> </w:t>
      </w:r>
    </w:p>
    <w:p w:rsidR="00E75A0E" w:rsidP="00E75A0E" w14:paraId="697C34D0" w14:textId="77777777"/>
    <w:tbl>
      <w:tblPr>
        <w:tblpPr w:leftFromText="180" w:rightFromText="180" w:vertAnchor="text" w:horzAnchor="margin" w:tblpXSpec="center" w:tblpY="194"/>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496"/>
        <w:gridCol w:w="1443"/>
        <w:gridCol w:w="1661"/>
        <w:gridCol w:w="1757"/>
        <w:gridCol w:w="1756"/>
      </w:tblGrid>
      <w:tr w14:paraId="0038B1CF" w14:textId="77777777" w:rsidTr="00E75A0E">
        <w:tblPrEx>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81"/>
        </w:trPr>
        <w:tc>
          <w:tcPr>
            <w:tcW w:w="1875" w:type="dxa"/>
            <w:shd w:val="clear" w:color="auto" w:fill="auto"/>
          </w:tcPr>
          <w:p w:rsidR="004163CE" w:rsidRPr="004163CE" w:rsidP="00E75A0E" w14:paraId="36DA614C"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Type of Respondents</w:t>
            </w:r>
          </w:p>
        </w:tc>
        <w:tc>
          <w:tcPr>
            <w:tcW w:w="1496" w:type="dxa"/>
            <w:shd w:val="clear" w:color="auto" w:fill="auto"/>
          </w:tcPr>
          <w:p w:rsidR="004163CE" w:rsidRPr="004163CE" w:rsidP="00E75A0E" w14:paraId="72D3847A"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Form Name</w:t>
            </w:r>
          </w:p>
        </w:tc>
        <w:tc>
          <w:tcPr>
            <w:tcW w:w="1443" w:type="dxa"/>
            <w:shd w:val="clear" w:color="auto" w:fill="auto"/>
          </w:tcPr>
          <w:p w:rsidR="004163CE" w:rsidRPr="004163CE" w:rsidP="00E75A0E" w14:paraId="378E321C"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Number of Respondents</w:t>
            </w:r>
          </w:p>
        </w:tc>
        <w:tc>
          <w:tcPr>
            <w:tcW w:w="1661" w:type="dxa"/>
            <w:shd w:val="clear" w:color="auto" w:fill="auto"/>
          </w:tcPr>
          <w:p w:rsidR="004163CE" w:rsidRPr="004163CE" w:rsidP="00E75A0E" w14:paraId="65252453"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Number of Responses per Respondent</w:t>
            </w:r>
          </w:p>
        </w:tc>
        <w:tc>
          <w:tcPr>
            <w:tcW w:w="1757" w:type="dxa"/>
            <w:shd w:val="clear" w:color="auto" w:fill="auto"/>
          </w:tcPr>
          <w:p w:rsidR="004163CE" w:rsidRPr="004163CE" w:rsidP="00E75A0E" w14:paraId="5CEF8148"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Average Burden per Response (in hours)</w:t>
            </w:r>
          </w:p>
        </w:tc>
        <w:tc>
          <w:tcPr>
            <w:tcW w:w="1756" w:type="dxa"/>
            <w:shd w:val="clear" w:color="auto" w:fill="auto"/>
          </w:tcPr>
          <w:p w:rsidR="004163CE" w:rsidRPr="004163CE" w:rsidP="00E75A0E" w14:paraId="6B3F8E08"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Total Burden (in hours)</w:t>
            </w:r>
          </w:p>
        </w:tc>
      </w:tr>
      <w:tr w14:paraId="3B03CF29" w14:textId="77777777" w:rsidTr="00E75A0E">
        <w:tblPrEx>
          <w:tblW w:w="9988" w:type="dxa"/>
          <w:tblLook w:val="04A0"/>
        </w:tblPrEx>
        <w:trPr>
          <w:trHeight w:val="1323"/>
        </w:trPr>
        <w:tc>
          <w:tcPr>
            <w:tcW w:w="1875" w:type="dxa"/>
            <w:shd w:val="clear" w:color="auto" w:fill="auto"/>
          </w:tcPr>
          <w:p w:rsidR="004163CE" w:rsidRPr="004163CE" w:rsidP="001A2CFD" w14:paraId="1A0A1111"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Infection Preventionist /Microbiologist</w:t>
            </w:r>
          </w:p>
        </w:tc>
        <w:tc>
          <w:tcPr>
            <w:tcW w:w="1496" w:type="dxa"/>
            <w:shd w:val="clear" w:color="auto" w:fill="auto"/>
          </w:tcPr>
          <w:p w:rsidR="004163CE" w:rsidRPr="004163CE" w:rsidP="001A2CFD" w14:paraId="0F3D7BDE" w14:textId="77777777">
            <w:pPr>
              <w:rPr>
                <w:rFonts w:cs="Times New Roman"/>
                <w:szCs w:val="24"/>
              </w:rPr>
            </w:pPr>
            <w:r w:rsidRPr="004163CE">
              <w:rPr>
                <w:rFonts w:cs="Times New Roman"/>
                <w:szCs w:val="24"/>
              </w:rPr>
              <w:t>57.130 Pathogens of High Consequence</w:t>
            </w:r>
          </w:p>
          <w:p w:rsidR="004163CE" w:rsidRPr="004163CE" w:rsidP="001A2CFD" w14:paraId="44C5A874" w14:textId="77777777">
            <w:pPr>
              <w:widowControl w:val="0"/>
              <w:tabs>
                <w:tab w:val="left" w:pos="0"/>
              </w:tabs>
              <w:autoSpaceDE w:val="0"/>
              <w:autoSpaceDN w:val="0"/>
              <w:adjustRightInd w:val="0"/>
              <w:rPr>
                <w:rFonts w:cs="Times New Roman"/>
                <w:color w:val="000000"/>
                <w:szCs w:val="24"/>
              </w:rPr>
            </w:pPr>
          </w:p>
        </w:tc>
        <w:tc>
          <w:tcPr>
            <w:tcW w:w="1443" w:type="dxa"/>
            <w:shd w:val="clear" w:color="auto" w:fill="auto"/>
          </w:tcPr>
          <w:p w:rsidR="004163CE" w:rsidRPr="004163CE" w:rsidP="001A2CFD" w14:paraId="6DDC4E00"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3650</w:t>
            </w:r>
          </w:p>
        </w:tc>
        <w:tc>
          <w:tcPr>
            <w:tcW w:w="1661" w:type="dxa"/>
            <w:shd w:val="clear" w:color="auto" w:fill="auto"/>
          </w:tcPr>
          <w:p w:rsidR="004163CE" w:rsidRPr="004163CE" w:rsidP="001A2CFD" w14:paraId="37A93C94"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365</w:t>
            </w:r>
          </w:p>
        </w:tc>
        <w:tc>
          <w:tcPr>
            <w:tcW w:w="1757" w:type="dxa"/>
            <w:shd w:val="clear" w:color="auto" w:fill="auto"/>
          </w:tcPr>
          <w:p w:rsidR="004163CE" w:rsidRPr="004163CE" w:rsidP="001A2CFD" w14:paraId="7285C6DD"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5/60</w:t>
            </w:r>
          </w:p>
        </w:tc>
        <w:tc>
          <w:tcPr>
            <w:tcW w:w="1756" w:type="dxa"/>
            <w:shd w:val="clear" w:color="auto" w:fill="auto"/>
          </w:tcPr>
          <w:p w:rsidR="004163CE" w:rsidRPr="004163CE" w:rsidP="001A2CFD" w14:paraId="112B08F8" w14:textId="77777777">
            <w:pPr>
              <w:widowControl w:val="0"/>
              <w:tabs>
                <w:tab w:val="left" w:pos="0"/>
              </w:tabs>
              <w:autoSpaceDE w:val="0"/>
              <w:autoSpaceDN w:val="0"/>
              <w:adjustRightInd w:val="0"/>
              <w:jc w:val="center"/>
              <w:rPr>
                <w:rFonts w:cs="Times New Roman"/>
                <w:color w:val="000000"/>
                <w:szCs w:val="24"/>
              </w:rPr>
            </w:pPr>
            <w:r w:rsidRPr="004163CE">
              <w:rPr>
                <w:rFonts w:cs="Times New Roman"/>
                <w:color w:val="000000"/>
                <w:szCs w:val="24"/>
              </w:rPr>
              <w:t>111,021</w:t>
            </w:r>
          </w:p>
        </w:tc>
      </w:tr>
      <w:tr w14:paraId="59CA6883" w14:textId="77777777" w:rsidTr="00E75A0E">
        <w:tblPrEx>
          <w:tblW w:w="9988" w:type="dxa"/>
          <w:tblLook w:val="04A0"/>
        </w:tblPrEx>
        <w:trPr>
          <w:trHeight w:val="266"/>
        </w:trPr>
        <w:tc>
          <w:tcPr>
            <w:tcW w:w="9988" w:type="dxa"/>
            <w:gridSpan w:val="6"/>
            <w:shd w:val="clear" w:color="auto" w:fill="auto"/>
          </w:tcPr>
          <w:p w:rsidR="004163CE" w:rsidRPr="004163CE" w:rsidP="001A2CFD" w14:paraId="1C2F3329" w14:textId="77777777">
            <w:pPr>
              <w:widowControl w:val="0"/>
              <w:tabs>
                <w:tab w:val="left" w:pos="0"/>
              </w:tabs>
              <w:autoSpaceDE w:val="0"/>
              <w:autoSpaceDN w:val="0"/>
              <w:adjustRightInd w:val="0"/>
              <w:rPr>
                <w:rFonts w:cs="Times New Roman"/>
                <w:color w:val="000000"/>
                <w:szCs w:val="24"/>
              </w:rPr>
            </w:pPr>
            <w:r w:rsidRPr="004163CE">
              <w:rPr>
                <w:rFonts w:cs="Times New Roman"/>
                <w:color w:val="000000"/>
                <w:szCs w:val="24"/>
              </w:rPr>
              <w:t>Total- 777,146</w:t>
            </w:r>
          </w:p>
        </w:tc>
      </w:tr>
    </w:tbl>
    <w:p w:rsidR="004163CE" w:rsidP="004A13E8" w14:paraId="07D2A396" w14:textId="77777777"/>
    <w:p w:rsidR="004A13E8" w:rsidRPr="004163CE" w:rsidP="004A13E8" w14:paraId="55FE17EC" w14:textId="7543302B">
      <w:pPr>
        <w:spacing w:before="240"/>
        <w:rPr>
          <w:szCs w:val="24"/>
        </w:rPr>
      </w:pPr>
      <w:r w:rsidRPr="004163CE">
        <w:rPr>
          <w:szCs w:val="24"/>
        </w:rPr>
        <w:t>B.</w:t>
      </w:r>
      <w:r w:rsidRPr="004163CE" w:rsidR="00C553B7">
        <w:rPr>
          <w:szCs w:val="24"/>
        </w:rPr>
        <w:t xml:space="preserve"> Estimated Annualized Burden Costs</w:t>
      </w:r>
      <w:r w:rsidRPr="004163CE" w:rsidR="009B0947">
        <w:rPr>
          <w:szCs w:val="24"/>
        </w:rPr>
        <w:t xml:space="preserve"> </w:t>
      </w:r>
    </w:p>
    <w:tbl>
      <w:tblPr>
        <w:tblStyle w:val="TableGrid"/>
        <w:tblW w:w="10075" w:type="dxa"/>
        <w:tblLook w:val="04A0"/>
      </w:tblPr>
      <w:tblGrid>
        <w:gridCol w:w="2976"/>
        <w:gridCol w:w="1728"/>
        <w:gridCol w:w="1759"/>
        <w:gridCol w:w="1753"/>
        <w:gridCol w:w="1859"/>
      </w:tblGrid>
      <w:tr w14:paraId="55FE17F2" w14:textId="77777777" w:rsidTr="00E271D2">
        <w:tblPrEx>
          <w:tblW w:w="10075" w:type="dxa"/>
          <w:tblLook w:val="04A0"/>
        </w:tblPrEx>
        <w:tc>
          <w:tcPr>
            <w:tcW w:w="2976" w:type="dxa"/>
          </w:tcPr>
          <w:p w:rsidR="004A13E8" w:rsidRPr="004163CE" w14:paraId="55FE17ED" w14:textId="77777777">
            <w:pPr>
              <w:rPr>
                <w:szCs w:val="24"/>
              </w:rPr>
            </w:pPr>
            <w:r w:rsidRPr="004163CE">
              <w:rPr>
                <w:szCs w:val="24"/>
              </w:rPr>
              <w:t>Type of Respondent</w:t>
            </w:r>
          </w:p>
        </w:tc>
        <w:tc>
          <w:tcPr>
            <w:tcW w:w="1728" w:type="dxa"/>
          </w:tcPr>
          <w:p w:rsidR="004A13E8" w:rsidRPr="004163CE" w14:paraId="55FE17EE" w14:textId="77777777">
            <w:pPr>
              <w:rPr>
                <w:szCs w:val="24"/>
              </w:rPr>
            </w:pPr>
            <w:r w:rsidRPr="004163CE">
              <w:rPr>
                <w:szCs w:val="24"/>
              </w:rPr>
              <w:t>Form Name</w:t>
            </w:r>
          </w:p>
        </w:tc>
        <w:tc>
          <w:tcPr>
            <w:tcW w:w="1759" w:type="dxa"/>
          </w:tcPr>
          <w:p w:rsidR="004A13E8" w:rsidRPr="004163CE" w14:paraId="55FE17EF" w14:textId="77777777">
            <w:pPr>
              <w:rPr>
                <w:szCs w:val="24"/>
              </w:rPr>
            </w:pPr>
            <w:r w:rsidRPr="004163CE">
              <w:rPr>
                <w:szCs w:val="24"/>
              </w:rPr>
              <w:t>Total Burden Hours</w:t>
            </w:r>
          </w:p>
        </w:tc>
        <w:tc>
          <w:tcPr>
            <w:tcW w:w="1753" w:type="dxa"/>
          </w:tcPr>
          <w:p w:rsidR="004A13E8" w:rsidRPr="004163CE" w14:paraId="55FE17F0" w14:textId="77777777">
            <w:pPr>
              <w:rPr>
                <w:szCs w:val="24"/>
              </w:rPr>
            </w:pPr>
            <w:r w:rsidRPr="004163CE">
              <w:rPr>
                <w:szCs w:val="24"/>
              </w:rPr>
              <w:t>Hourly Wage Rate</w:t>
            </w:r>
          </w:p>
        </w:tc>
        <w:tc>
          <w:tcPr>
            <w:tcW w:w="1859" w:type="dxa"/>
          </w:tcPr>
          <w:p w:rsidR="004A13E8" w:rsidRPr="004163CE" w14:paraId="55FE17F1" w14:textId="77777777">
            <w:pPr>
              <w:rPr>
                <w:szCs w:val="24"/>
              </w:rPr>
            </w:pPr>
            <w:r w:rsidRPr="004163CE">
              <w:rPr>
                <w:szCs w:val="24"/>
              </w:rPr>
              <w:t>Total Respondent Costs</w:t>
            </w:r>
          </w:p>
        </w:tc>
      </w:tr>
      <w:tr w14:paraId="55FE17F8" w14:textId="77777777" w:rsidTr="00E271D2">
        <w:tblPrEx>
          <w:tblW w:w="10075" w:type="dxa"/>
          <w:tblLook w:val="04A0"/>
        </w:tblPrEx>
        <w:tc>
          <w:tcPr>
            <w:tcW w:w="2976" w:type="dxa"/>
          </w:tcPr>
          <w:p w:rsidR="00145206" w:rsidRPr="004163CE" w:rsidP="00145206" w14:paraId="55FE17F3" w14:textId="6CF048FB">
            <w:pPr>
              <w:rPr>
                <w:szCs w:val="24"/>
              </w:rPr>
            </w:pPr>
            <w:r w:rsidRPr="004163CE">
              <w:rPr>
                <w:rFonts w:eastAsia="Times New Roman" w:cs="Times New Roman"/>
                <w:color w:val="000000"/>
                <w:szCs w:val="24"/>
              </w:rPr>
              <w:t>Infection Preventionist/Microbiologist</w:t>
            </w:r>
          </w:p>
        </w:tc>
        <w:tc>
          <w:tcPr>
            <w:tcW w:w="1728" w:type="dxa"/>
          </w:tcPr>
          <w:p w:rsidR="004163CE" w:rsidRPr="004163CE" w:rsidP="004163CE" w14:paraId="4D1095AF" w14:textId="77777777">
            <w:pPr>
              <w:jc w:val="center"/>
              <w:rPr>
                <w:rStyle w:val="eop"/>
                <w:color w:val="000000"/>
                <w:szCs w:val="24"/>
                <w:shd w:val="clear" w:color="auto" w:fill="FFFFFF"/>
              </w:rPr>
            </w:pPr>
            <w:r w:rsidRPr="004163CE">
              <w:rPr>
                <w:szCs w:val="24"/>
              </w:rPr>
              <w:t xml:space="preserve">57.130 </w:t>
            </w:r>
            <w:r w:rsidRPr="004163CE">
              <w:rPr>
                <w:rStyle w:val="normaltextrun"/>
                <w:color w:val="000000"/>
                <w:szCs w:val="24"/>
                <w:shd w:val="clear" w:color="auto" w:fill="FFFFFF"/>
              </w:rPr>
              <w:t>Pathogens of High Consequence</w:t>
            </w:r>
            <w:r w:rsidRPr="004163CE">
              <w:rPr>
                <w:rStyle w:val="eop"/>
                <w:color w:val="000000"/>
                <w:szCs w:val="24"/>
                <w:shd w:val="clear" w:color="auto" w:fill="FFFFFF"/>
              </w:rPr>
              <w:t> </w:t>
            </w:r>
          </w:p>
          <w:p w:rsidR="00145206" w:rsidRPr="004163CE" w:rsidP="00145206" w14:paraId="55FE17F4" w14:textId="104B3325">
            <w:pPr>
              <w:rPr>
                <w:szCs w:val="24"/>
              </w:rPr>
            </w:pPr>
          </w:p>
        </w:tc>
        <w:tc>
          <w:tcPr>
            <w:tcW w:w="1759" w:type="dxa"/>
          </w:tcPr>
          <w:p w:rsidR="00145206" w:rsidRPr="004163CE" w:rsidP="00145206" w14:paraId="55FE17F5" w14:textId="1E1AFA56">
            <w:pPr>
              <w:rPr>
                <w:szCs w:val="24"/>
              </w:rPr>
            </w:pPr>
            <w:r w:rsidRPr="004163CE">
              <w:rPr>
                <w:szCs w:val="24"/>
              </w:rPr>
              <w:t>777,146</w:t>
            </w:r>
          </w:p>
        </w:tc>
        <w:tc>
          <w:tcPr>
            <w:tcW w:w="1753" w:type="dxa"/>
          </w:tcPr>
          <w:p w:rsidR="00145206" w:rsidRPr="004163CE" w:rsidP="00145206" w14:paraId="55FE17F6" w14:textId="684BFE56">
            <w:pPr>
              <w:rPr>
                <w:szCs w:val="24"/>
              </w:rPr>
            </w:pPr>
            <w:r w:rsidRPr="004163CE">
              <w:rPr>
                <w:szCs w:val="24"/>
              </w:rPr>
              <w:t>$58.60</w:t>
            </w:r>
          </w:p>
        </w:tc>
        <w:tc>
          <w:tcPr>
            <w:tcW w:w="1859" w:type="dxa"/>
          </w:tcPr>
          <w:p w:rsidR="00145206" w:rsidRPr="004163CE" w:rsidP="00145206" w14:paraId="55FE17F7" w14:textId="440627BC">
            <w:pPr>
              <w:rPr>
                <w:szCs w:val="24"/>
              </w:rPr>
            </w:pPr>
            <w:r w:rsidRPr="004163CE">
              <w:rPr>
                <w:szCs w:val="24"/>
              </w:rPr>
              <w:t>$45,540,756</w:t>
            </w:r>
          </w:p>
        </w:tc>
      </w:tr>
      <w:tr w14:paraId="55FE17FC" w14:textId="77777777" w:rsidTr="009D60C5">
        <w:tblPrEx>
          <w:tblW w:w="10075" w:type="dxa"/>
          <w:tblLook w:val="04A0"/>
        </w:tblPrEx>
        <w:tc>
          <w:tcPr>
            <w:tcW w:w="10075" w:type="dxa"/>
            <w:gridSpan w:val="5"/>
          </w:tcPr>
          <w:p w:rsidR="00145206" w:rsidRPr="00145206" w:rsidP="00145206" w14:paraId="55FE17FB" w14:textId="65567B95">
            <w:pPr>
              <w:rPr>
                <w:b/>
              </w:rPr>
            </w:pPr>
            <w:r>
              <w:rPr>
                <w:b/>
              </w:rPr>
              <w:t xml:space="preserve">Total - </w:t>
            </w:r>
            <w:r w:rsidRPr="00145206">
              <w:rPr>
                <w:b/>
                <w:bCs/>
              </w:rPr>
              <w:t>$45,540,756</w:t>
            </w:r>
          </w:p>
        </w:tc>
      </w:tr>
    </w:tbl>
    <w:p w:rsidR="004A13E8" w:rsidP="00E75A0E" w14:paraId="55FE17FE" w14:textId="77777777">
      <w:pPr>
        <w:pStyle w:val="Heading1"/>
        <w:spacing w:before="240" w:line="276" w:lineRule="auto"/>
      </w:pPr>
      <w:bookmarkStart w:id="17" w:name="_Toc177036688"/>
      <w:r>
        <w:t>Estimates of Other Total Annual Cost Burden to Respondents or Record Keepers</w:t>
      </w:r>
      <w:bookmarkEnd w:id="17"/>
    </w:p>
    <w:p w:rsidR="007206BD" w:rsidRPr="00021542" w:rsidP="00E75A0E" w14:paraId="1E3B95E3" w14:textId="70BC9FBA">
      <w:pPr>
        <w:pStyle w:val="Heading1"/>
        <w:numPr>
          <w:ilvl w:val="0"/>
          <w:numId w:val="0"/>
        </w:numPr>
        <w:spacing w:line="276" w:lineRule="auto"/>
        <w:ind w:left="360"/>
        <w:rPr>
          <w:b w:val="0"/>
          <w:bCs/>
        </w:rPr>
      </w:pPr>
      <w:bookmarkStart w:id="18" w:name="_Toc176932424"/>
      <w:bookmarkStart w:id="19" w:name="_Toc177036689"/>
      <w:r w:rsidRPr="00D11A9D">
        <w:rPr>
          <w:b w:val="0"/>
          <w:bCs/>
        </w:rPr>
        <w:t>There are no costs to respondents other than their time to participate.</w:t>
      </w:r>
      <w:bookmarkEnd w:id="18"/>
      <w:bookmarkEnd w:id="19"/>
    </w:p>
    <w:p w:rsidR="004A13E8" w:rsidP="00E75A0E" w14:paraId="55FE1801" w14:textId="77777777">
      <w:pPr>
        <w:pStyle w:val="Heading1"/>
        <w:spacing w:line="276" w:lineRule="auto"/>
      </w:pPr>
      <w:bookmarkStart w:id="20" w:name="_Toc177036690"/>
      <w:bookmarkStart w:id="21" w:name="_Hlk185337727"/>
      <w:r>
        <w:t>Annualized Cost to the Government</w:t>
      </w:r>
      <w:bookmarkEnd w:id="20"/>
    </w:p>
    <w:p w:rsidR="007206BD" w:rsidRPr="004163CE" w:rsidP="00E75A0E" w14:paraId="1FD22D92" w14:textId="1778C6A5">
      <w:pPr>
        <w:pStyle w:val="Heading1"/>
        <w:numPr>
          <w:ilvl w:val="0"/>
          <w:numId w:val="0"/>
        </w:numPr>
        <w:spacing w:line="276" w:lineRule="auto"/>
        <w:ind w:left="360"/>
        <w:rPr>
          <w:b w:val="0"/>
          <w:bCs/>
        </w:rPr>
      </w:pPr>
      <w:bookmarkStart w:id="22" w:name="_Toc176932426"/>
      <w:bookmarkStart w:id="23" w:name="_Toc177036691"/>
      <w:r w:rsidRPr="00AA7E17">
        <w:rPr>
          <w:b w:val="0"/>
          <w:bCs/>
        </w:rPr>
        <w:t>A total of 1</w:t>
      </w:r>
      <w:r w:rsidR="00F769F3">
        <w:rPr>
          <w:b w:val="0"/>
          <w:bCs/>
        </w:rPr>
        <w:t>1</w:t>
      </w:r>
      <w:r w:rsidRPr="00AA7E17">
        <w:rPr>
          <w:b w:val="0"/>
          <w:bCs/>
        </w:rPr>
        <w:t xml:space="preserve"> FTEs/contractor personnel are actively involved in the development of this information collection. The estimated cost to the government is based on expenses incurred in the following </w:t>
      </w:r>
      <w:r w:rsidRPr="004163CE">
        <w:rPr>
          <w:b w:val="0"/>
          <w:bCs/>
        </w:rPr>
        <w:t>categories: personnel and programming contracts.  The items and their costs relevant to the proposed modifications to NHSN are shown in the table below. The total cost to the government in 2024 is estimated to be $</w:t>
      </w:r>
      <w:bookmarkEnd w:id="22"/>
      <w:bookmarkEnd w:id="23"/>
      <w:r w:rsidR="004163CE">
        <w:rPr>
          <w:b w:val="0"/>
          <w:bCs/>
        </w:rPr>
        <w:t>2395</w:t>
      </w:r>
      <w:r w:rsidRPr="004163CE" w:rsidR="00F769F3">
        <w:rPr>
          <w:b w:val="0"/>
          <w:bCs/>
        </w:rPr>
        <w:t xml:space="preserve">. </w:t>
      </w:r>
    </w:p>
    <w:tbl>
      <w:tblPr>
        <w:tblW w:w="10098" w:type="dxa"/>
        <w:tblCellMar>
          <w:left w:w="0" w:type="dxa"/>
          <w:right w:w="0" w:type="dxa"/>
        </w:tblCellMar>
        <w:tblLook w:val="04A0"/>
      </w:tblPr>
      <w:tblGrid>
        <w:gridCol w:w="1818"/>
        <w:gridCol w:w="3330"/>
        <w:gridCol w:w="2250"/>
        <w:gridCol w:w="2700"/>
      </w:tblGrid>
      <w:tr w14:paraId="1B8DAA6B" w14:textId="77777777" w:rsidTr="004163CE">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5360FADD" w14:textId="77777777">
            <w:pPr>
              <w:pStyle w:val="xmsonospacing"/>
              <w:spacing w:line="276" w:lineRule="auto"/>
            </w:pPr>
            <w:r w:rsidRPr="004163CE">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4163CE" w:rsidRPr="004163CE" w14:paraId="4A84DBA8" w14:textId="77777777">
            <w:pPr>
              <w:pStyle w:val="xmsonospacing"/>
              <w:spacing w:line="276" w:lineRule="auto"/>
            </w:pPr>
            <w:r w:rsidRPr="004163CE">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63CE" w:rsidRPr="004163CE" w14:paraId="65EBA108" w14:textId="77777777">
            <w:pPr>
              <w:pStyle w:val="xmsonospacing"/>
              <w:spacing w:line="276" w:lineRule="auto"/>
            </w:pPr>
            <w:r w:rsidRPr="004163CE">
              <w:rPr>
                <w:b/>
                <w:bCs/>
              </w:rPr>
              <w:t>Estimated Annual Cost</w:t>
            </w:r>
          </w:p>
        </w:tc>
      </w:tr>
      <w:tr w14:paraId="5A9C6983" w14:textId="77777777" w:rsidTr="004163CE">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4163CE" w:rsidRPr="004163CE" w14:paraId="24CF7DAD" w14:textId="77777777">
            <w:pPr>
              <w:pStyle w:val="xmsonospacing"/>
              <w:spacing w:line="276" w:lineRule="auto"/>
            </w:pPr>
            <w:r w:rsidRPr="004163CE">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4163CE" w:rsidRPr="004163CE" w14:paraId="47150F2B" w14:textId="77777777">
            <w:pPr>
              <w:pStyle w:val="xmsonospacing"/>
              <w:spacing w:line="276" w:lineRule="auto"/>
            </w:pPr>
            <w:r w:rsidRPr="004163CE">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4163CE" w:rsidRPr="004163CE" w14:paraId="0DF3BCBD" w14:textId="77777777">
            <w:pPr>
              <w:pStyle w:val="xmsonormal"/>
              <w:spacing w:line="276" w:lineRule="auto"/>
              <w:rPr>
                <w:rFonts w:ascii="Times New Roman" w:hAnsi="Times New Roman" w:cs="Times New Roman"/>
                <w:sz w:val="24"/>
                <w:szCs w:val="24"/>
              </w:rPr>
            </w:pPr>
            <w:r w:rsidRPr="004163CE">
              <w:rPr>
                <w:rFonts w:ascii="Times New Roman" w:hAnsi="Times New Roman" w:cs="Times New Roman"/>
                <w:sz w:val="24"/>
                <w:szCs w:val="24"/>
              </w:rPr>
              <w:t>FTE annual compensation in FY2024 will be $</w:t>
            </w:r>
          </w:p>
        </w:tc>
      </w:tr>
      <w:tr w14:paraId="063C2E84" w14:textId="77777777" w:rsidTr="004163CE">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3D88B20A" w14:textId="77777777">
            <w:pPr>
              <w:pStyle w:val="xmsonospacing"/>
              <w:spacing w:line="276" w:lineRule="auto"/>
              <w:ind w:firstLine="720"/>
            </w:pPr>
            <w:r w:rsidRPr="004163CE">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4022EF3E" w14:textId="77777777">
            <w:pPr>
              <w:pStyle w:val="xmsonospacing"/>
              <w:spacing w:line="276" w:lineRule="auto"/>
            </w:pPr>
            <w:r w:rsidRPr="004163CE">
              <w:t>Supervisory Medical Officer</w:t>
            </w:r>
          </w:p>
          <w:p w:rsidR="004163CE" w:rsidRPr="004163CE" w14:paraId="1740ED8D" w14:textId="77777777">
            <w:pPr>
              <w:pStyle w:val="xmsonospacing"/>
              <w:spacing w:line="276" w:lineRule="auto"/>
            </w:pPr>
            <w:r w:rsidRPr="004163CE">
              <w:t>Lead Statistician</w:t>
            </w:r>
          </w:p>
          <w:p w:rsidR="004163CE" w:rsidRPr="004163CE" w14:paraId="30E5ED66" w14:textId="77777777">
            <w:pPr>
              <w:pStyle w:val="xmsonospacing"/>
              <w:spacing w:line="276" w:lineRule="auto"/>
            </w:pPr>
            <w:r w:rsidRPr="004163CE">
              <w:t>Lead Epidemiologist</w:t>
            </w:r>
          </w:p>
          <w:p w:rsidR="004163CE" w:rsidRPr="004163CE" w14:paraId="7FD13E37" w14:textId="77777777">
            <w:pPr>
              <w:pStyle w:val="xmsonospacing"/>
              <w:spacing w:line="276" w:lineRule="auto"/>
            </w:pPr>
            <w:r w:rsidRPr="004163CE">
              <w:t xml:space="preserve">Health Scientist </w:t>
            </w:r>
          </w:p>
          <w:p w:rsidR="004163CE" w:rsidRPr="004163CE" w14:paraId="194CADDB" w14:textId="77777777">
            <w:pPr>
              <w:pStyle w:val="xmsonospacing"/>
              <w:spacing w:line="276" w:lineRule="auto"/>
            </w:pPr>
            <w:r w:rsidRPr="004163CE">
              <w:t>Lead Nurse Consultant</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2DB6775D" w14:textId="77777777">
            <w:pPr>
              <w:pStyle w:val="xmsonospacing"/>
              <w:spacing w:line="276" w:lineRule="auto"/>
              <w:ind w:firstLine="720"/>
            </w:pPr>
            <w:r w:rsidRPr="004163CE">
              <w:t>2</w:t>
            </w:r>
          </w:p>
          <w:p w:rsidR="004163CE" w:rsidRPr="004163CE" w14:paraId="4C0DE53B" w14:textId="77777777">
            <w:pPr>
              <w:pStyle w:val="xmsonospacing"/>
              <w:spacing w:line="276" w:lineRule="auto"/>
              <w:ind w:firstLine="720"/>
            </w:pPr>
            <w:r w:rsidRPr="004163CE">
              <w:t>1</w:t>
            </w:r>
          </w:p>
          <w:p w:rsidR="004163CE" w:rsidRPr="004163CE" w14:paraId="4C1FD5FC" w14:textId="77777777">
            <w:pPr>
              <w:pStyle w:val="xmsonospacing"/>
              <w:spacing w:line="276" w:lineRule="auto"/>
              <w:ind w:firstLine="720"/>
            </w:pPr>
            <w:r w:rsidRPr="004163CE">
              <w:t>1</w:t>
            </w:r>
          </w:p>
          <w:p w:rsidR="004163CE" w:rsidRPr="004163CE" w14:paraId="7C60FE4F" w14:textId="77777777">
            <w:pPr>
              <w:pStyle w:val="xmsonospacing"/>
              <w:spacing w:line="276" w:lineRule="auto"/>
              <w:ind w:firstLine="720"/>
            </w:pPr>
            <w:r w:rsidRPr="004163CE">
              <w:t>3</w:t>
            </w:r>
          </w:p>
          <w:p w:rsidR="004163CE" w:rsidRPr="004163CE" w14:paraId="30090DC4" w14:textId="77777777">
            <w:pPr>
              <w:pStyle w:val="xmsonospacing"/>
              <w:spacing w:line="276" w:lineRule="auto"/>
              <w:ind w:firstLine="720"/>
            </w:pPr>
            <w:r w:rsidRPr="004163CE">
              <w:t>1</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163CE" w:rsidRPr="004163CE" w14:paraId="6661F5C9" w14:textId="77777777">
            <w:pPr>
              <w:pStyle w:val="xmsonospacing"/>
              <w:spacing w:line="276" w:lineRule="auto"/>
              <w:ind w:firstLine="720"/>
            </w:pPr>
            <w:r w:rsidRPr="004163CE">
              <w:t>$269</w:t>
            </w:r>
          </w:p>
          <w:p w:rsidR="004163CE" w:rsidRPr="004163CE" w14:paraId="571F1B33" w14:textId="77777777">
            <w:pPr>
              <w:pStyle w:val="xmsonospacing"/>
              <w:spacing w:line="276" w:lineRule="auto"/>
              <w:ind w:firstLine="720"/>
            </w:pPr>
            <w:r w:rsidRPr="004163CE">
              <w:t>$102</w:t>
            </w:r>
          </w:p>
          <w:p w:rsidR="004163CE" w:rsidRPr="004163CE" w14:paraId="5F63650B" w14:textId="77777777">
            <w:pPr>
              <w:pStyle w:val="xmsonospacing"/>
              <w:spacing w:line="276" w:lineRule="auto"/>
              <w:ind w:firstLine="720"/>
            </w:pPr>
            <w:r w:rsidRPr="004163CE">
              <w:t>$256</w:t>
            </w:r>
          </w:p>
          <w:p w:rsidR="004163CE" w:rsidRPr="004163CE" w14:paraId="032837F5" w14:textId="77777777">
            <w:pPr>
              <w:pStyle w:val="xmsonospacing"/>
              <w:spacing w:line="276" w:lineRule="auto"/>
              <w:ind w:firstLine="720"/>
            </w:pPr>
            <w:r w:rsidRPr="004163CE">
              <w:t>$300</w:t>
            </w:r>
          </w:p>
          <w:p w:rsidR="004163CE" w:rsidRPr="004163CE" w14:paraId="38F76721" w14:textId="77777777">
            <w:pPr>
              <w:pStyle w:val="xmsonospacing"/>
              <w:spacing w:line="276" w:lineRule="auto"/>
              <w:ind w:firstLine="720"/>
            </w:pPr>
            <w:r w:rsidRPr="004163CE">
              <w:t>$76 </w:t>
            </w:r>
          </w:p>
        </w:tc>
      </w:tr>
      <w:tr w14:paraId="2AD32A11" w14:textId="77777777" w:rsidTr="004163CE">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4163CE" w:rsidRPr="004163CE" w14:paraId="4DD13A0C" w14:textId="77777777">
            <w:pPr>
              <w:pStyle w:val="xmsonospacing"/>
              <w:spacing w:line="276" w:lineRule="auto"/>
            </w:pPr>
            <w:r w:rsidRPr="004163CE">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4163CE" w:rsidRPr="004163CE" w14:paraId="6EACABC2" w14:textId="77777777">
            <w:pPr>
              <w:pStyle w:val="xmsonospacing"/>
              <w:spacing w:line="276" w:lineRule="auto"/>
            </w:pPr>
            <w:r w:rsidRPr="004163CE">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163CE" w:rsidRPr="004163CE" w14:paraId="714623AA" w14:textId="77777777">
            <w:pPr>
              <w:pStyle w:val="xmsonospacing"/>
              <w:spacing w:line="276" w:lineRule="auto"/>
              <w:ind w:firstLine="720"/>
              <w:rPr>
                <w:b/>
                <w:bCs/>
              </w:rPr>
            </w:pPr>
            <w:r w:rsidRPr="004163CE">
              <w:rPr>
                <w:b/>
                <w:bCs/>
              </w:rPr>
              <w:t>$1,392</w:t>
            </w:r>
          </w:p>
        </w:tc>
      </w:tr>
      <w:tr w14:paraId="5AB142CA" w14:textId="77777777" w:rsidTr="002348EC">
        <w:tblPrEx>
          <w:tblW w:w="10098" w:type="dxa"/>
          <w:tblCellMar>
            <w:left w:w="0" w:type="dxa"/>
            <w:right w:w="0" w:type="dxa"/>
          </w:tblCellMar>
          <w:tblLook w:val="04A0"/>
        </w:tblPrEx>
        <w:tc>
          <w:tcPr>
            <w:tcW w:w="1818" w:type="dxa"/>
            <w:tcBorders>
              <w:top w:val="nil"/>
              <w:left w:val="single" w:sz="8" w:space="0" w:color="auto"/>
              <w:bottom w:val="nil"/>
              <w:right w:val="dotted" w:sz="8" w:space="0" w:color="auto"/>
            </w:tcBorders>
            <w:tcMar>
              <w:top w:w="0" w:type="dxa"/>
              <w:left w:w="108" w:type="dxa"/>
              <w:bottom w:w="0" w:type="dxa"/>
              <w:right w:w="108" w:type="dxa"/>
            </w:tcMar>
            <w:hideMark/>
          </w:tcPr>
          <w:p w:rsidR="004163CE" w:rsidRPr="004163CE" w14:paraId="0201AB04" w14:textId="77777777">
            <w:pPr>
              <w:pStyle w:val="xmsonospacing"/>
              <w:spacing w:line="276" w:lineRule="auto"/>
              <w:ind w:firstLine="720"/>
            </w:pPr>
            <w:r w:rsidRPr="004163CE">
              <w:rPr>
                <w:b/>
                <w:bCs/>
              </w:rPr>
              <w:t>Total</w:t>
            </w:r>
          </w:p>
        </w:tc>
        <w:tc>
          <w:tcPr>
            <w:tcW w:w="5580" w:type="dxa"/>
            <w:gridSpan w:val="2"/>
            <w:tcBorders>
              <w:top w:val="nil"/>
              <w:left w:val="nil"/>
              <w:bottom w:val="nil"/>
              <w:right w:val="dotted" w:sz="8" w:space="0" w:color="auto"/>
            </w:tcBorders>
            <w:tcMar>
              <w:top w:w="0" w:type="dxa"/>
              <w:left w:w="108" w:type="dxa"/>
              <w:bottom w:w="0" w:type="dxa"/>
              <w:right w:w="108" w:type="dxa"/>
            </w:tcMar>
            <w:hideMark/>
          </w:tcPr>
          <w:p w:rsidR="004163CE" w:rsidRPr="004163CE" w14:paraId="150A6DF4" w14:textId="77777777">
            <w:pPr>
              <w:pStyle w:val="xmsonospacing"/>
              <w:spacing w:line="276" w:lineRule="auto"/>
              <w:ind w:firstLine="720"/>
            </w:pPr>
            <w:r w:rsidRPr="004163CE">
              <w:rPr>
                <w:b/>
                <w:bCs/>
              </w:rPr>
              <w:t> </w:t>
            </w:r>
          </w:p>
        </w:tc>
        <w:tc>
          <w:tcPr>
            <w:tcW w:w="2700" w:type="dxa"/>
            <w:tcBorders>
              <w:top w:val="nil"/>
              <w:left w:val="nil"/>
              <w:bottom w:val="nil"/>
              <w:right w:val="single" w:sz="8" w:space="0" w:color="auto"/>
            </w:tcBorders>
            <w:tcMar>
              <w:top w:w="0" w:type="dxa"/>
              <w:left w:w="108" w:type="dxa"/>
              <w:bottom w:w="0" w:type="dxa"/>
              <w:right w:w="108" w:type="dxa"/>
            </w:tcMar>
            <w:hideMark/>
          </w:tcPr>
          <w:p w:rsidR="004163CE" w:rsidRPr="004163CE" w14:paraId="4C28F7A5" w14:textId="77777777">
            <w:pPr>
              <w:pStyle w:val="xmsonospacing"/>
              <w:spacing w:line="276" w:lineRule="auto"/>
              <w:ind w:firstLine="720"/>
              <w:rPr>
                <w:b/>
                <w:bCs/>
              </w:rPr>
            </w:pPr>
            <w:r w:rsidRPr="004163CE">
              <w:rPr>
                <w:b/>
                <w:bCs/>
              </w:rPr>
              <w:t>$2,395</w:t>
            </w:r>
          </w:p>
        </w:tc>
      </w:tr>
      <w:tr w14:paraId="75488318" w14:textId="77777777" w:rsidTr="004163CE">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tcPr>
          <w:p w:rsidR="002348EC" w:rsidRPr="004163CE" w:rsidP="002348EC" w14:paraId="4B791671" w14:textId="77777777">
            <w:pPr>
              <w:pStyle w:val="xmsonospacing"/>
              <w:spacing w:line="276" w:lineRule="auto"/>
              <w:rPr>
                <w:b/>
                <w:bCs/>
              </w:rPr>
            </w:pP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tcPr>
          <w:p w:rsidR="002348EC" w:rsidRPr="004163CE" w14:paraId="7F5EBB33" w14:textId="77777777">
            <w:pPr>
              <w:pStyle w:val="xmsonospacing"/>
              <w:spacing w:line="276" w:lineRule="auto"/>
              <w:ind w:firstLine="720"/>
              <w:rPr>
                <w:b/>
                <w:bCs/>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348EC" w:rsidRPr="004163CE" w14:paraId="70407EAC" w14:textId="77777777">
            <w:pPr>
              <w:pStyle w:val="xmsonospacing"/>
              <w:spacing w:line="276" w:lineRule="auto"/>
              <w:ind w:firstLine="720"/>
              <w:rPr>
                <w:b/>
                <w:bCs/>
              </w:rPr>
            </w:pPr>
          </w:p>
        </w:tc>
      </w:tr>
    </w:tbl>
    <w:p w:rsidR="002348EC" w:rsidRPr="002348EC" w:rsidP="002348EC" w14:paraId="3FC6E101" w14:textId="455DCC19">
      <w:pPr>
        <w:pStyle w:val="Heading1"/>
        <w:numPr>
          <w:ilvl w:val="0"/>
          <w:numId w:val="0"/>
        </w:numPr>
        <w:spacing w:before="240" w:line="276" w:lineRule="auto"/>
        <w:ind w:left="360"/>
        <w:rPr>
          <w:b w:val="0"/>
          <w:bCs/>
        </w:rPr>
      </w:pPr>
      <w:bookmarkStart w:id="24" w:name="_Toc177036692"/>
      <w:bookmarkEnd w:id="21"/>
      <w:r>
        <w:rPr>
          <w:b w:val="0"/>
          <w:bCs/>
        </w:rPr>
        <w:t>The TOTAL burden for NHSN will increase to $</w:t>
      </w:r>
      <w:r w:rsidRPr="002348EC">
        <w:rPr>
          <w:b w:val="0"/>
          <w:bCs/>
        </w:rPr>
        <w:t>49,994,530</w:t>
      </w:r>
      <w:r w:rsidR="00D75972">
        <w:rPr>
          <w:b w:val="0"/>
          <w:bCs/>
        </w:rPr>
        <w:t>.</w:t>
      </w:r>
    </w:p>
    <w:p w:rsidR="004A13E8" w:rsidP="00E75A0E" w14:paraId="55FE1810" w14:textId="79DA1E3C">
      <w:pPr>
        <w:pStyle w:val="Heading1"/>
        <w:spacing w:before="240" w:line="276" w:lineRule="auto"/>
      </w:pPr>
      <w:r>
        <w:t>Explanation for Program Changes or Adjustments</w:t>
      </w:r>
      <w:bookmarkEnd w:id="24"/>
    </w:p>
    <w:p w:rsidR="004A13E8" w:rsidRPr="004A13E8" w:rsidP="00E75A0E" w14:paraId="55FE1811" w14:textId="639AA8EC">
      <w:r w:rsidRPr="002348EC">
        <w:t>This is an Emergency Revision of an existing data collection (OMB Control No. 0920-0666). The Revision modifies Form 57.130 Pathogens of High Consequence to add four (</w:t>
      </w:r>
      <w:r w:rsidR="00D75972">
        <w:t>3</w:t>
      </w:r>
      <w:r w:rsidRPr="002348EC">
        <w:t xml:space="preserve">) viruses/conditions.  Addition of these pathogens will add 111,021 burden hours to the collection.  The increased burden raises the total burden hours for </w:t>
      </w:r>
      <w:r w:rsidRPr="002348EC">
        <w:t>Form</w:t>
      </w:r>
      <w:r w:rsidRPr="002348EC">
        <w:t xml:space="preserve"> 57.130 to 777,146.  The total burden for the 0920-0666 package will increase to 4,508,255 hours</w:t>
      </w:r>
      <w:r w:rsidR="00D75972">
        <w:t>.</w:t>
      </w:r>
    </w:p>
    <w:p w:rsidR="004A13E8" w:rsidRPr="00E4062D" w:rsidP="00E75A0E" w14:paraId="55FE1812" w14:textId="35989BA9">
      <w:pPr>
        <w:pStyle w:val="Heading1"/>
        <w:spacing w:line="276" w:lineRule="auto"/>
      </w:pPr>
      <w:bookmarkStart w:id="25" w:name="_Toc177036693"/>
      <w:r w:rsidRPr="00E4062D">
        <w:t>Plans for Tabulation and Publication and Project Time Schedule</w:t>
      </w:r>
      <w:bookmarkEnd w:id="25"/>
    </w:p>
    <w:p w:rsidR="008F1415" w:rsidRPr="00AA7E17" w:rsidP="00E75A0E" w14:paraId="55FE1813" w14:textId="3625DD1A">
      <w:pPr>
        <w:rPr>
          <w:rFonts w:cs="Times New Roman"/>
          <w:szCs w:val="24"/>
        </w:rPr>
      </w:pPr>
      <w:r w:rsidRPr="00AA7E17">
        <w:rPr>
          <w:rStyle w:val="cf01"/>
          <w:rFonts w:ascii="Times New Roman" w:hAnsi="Times New Roman" w:cs="Times New Roman"/>
          <w:sz w:val="24"/>
          <w:szCs w:val="24"/>
        </w:rPr>
        <w:t xml:space="preserve">CDC NHSN does not have any definitive plans to publish results </w:t>
      </w:r>
      <w:r w:rsidRPr="00AA7E17" w:rsidR="007206BD">
        <w:rPr>
          <w:rStyle w:val="cf01"/>
          <w:rFonts w:ascii="Times New Roman" w:hAnsi="Times New Roman" w:cs="Times New Roman"/>
          <w:sz w:val="24"/>
          <w:szCs w:val="24"/>
        </w:rPr>
        <w:t>currently</w:t>
      </w:r>
      <w:r w:rsidRPr="00AA7E17">
        <w:rPr>
          <w:rStyle w:val="cf01"/>
          <w:rFonts w:ascii="Times New Roman" w:hAnsi="Times New Roman" w:cs="Times New Roman"/>
          <w:sz w:val="24"/>
          <w:szCs w:val="24"/>
        </w:rPr>
        <w:t xml:space="preserve">. </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E4062D" w:rsidP="00E75A0E" w14:paraId="55FE1814" w14:textId="77777777">
            <w:pPr>
              <w:spacing w:line="276" w:lineRule="auto"/>
              <w:jc w:val="center"/>
            </w:pPr>
            <w:r w:rsidRPr="00E4062D">
              <w:t>Project Time Schedule</w:t>
            </w:r>
          </w:p>
        </w:tc>
      </w:tr>
      <w:tr w14:paraId="55FE1818" w14:textId="77777777" w:rsidTr="004A13E8">
        <w:tblPrEx>
          <w:tblW w:w="0" w:type="auto"/>
          <w:tblLook w:val="04A0"/>
        </w:tblPrEx>
        <w:tc>
          <w:tcPr>
            <w:tcW w:w="5035" w:type="dxa"/>
            <w:vAlign w:val="center"/>
          </w:tcPr>
          <w:p w:rsidR="004A13E8" w:rsidRPr="00E4062D" w:rsidP="00E75A0E" w14:paraId="55FE1816" w14:textId="77777777">
            <w:pPr>
              <w:spacing w:line="276" w:lineRule="auto"/>
              <w:jc w:val="center"/>
            </w:pPr>
            <w:r w:rsidRPr="00E4062D">
              <w:t>Activity</w:t>
            </w:r>
          </w:p>
        </w:tc>
        <w:tc>
          <w:tcPr>
            <w:tcW w:w="5035" w:type="dxa"/>
            <w:vAlign w:val="center"/>
          </w:tcPr>
          <w:p w:rsidR="004A13E8" w:rsidP="00E75A0E" w14:paraId="55FE1817" w14:textId="77777777">
            <w:pPr>
              <w:spacing w:line="276" w:lineRule="auto"/>
              <w:jc w:val="center"/>
            </w:pPr>
            <w:r w:rsidRPr="00E4062D">
              <w:t>Time Schedule</w:t>
            </w:r>
          </w:p>
        </w:tc>
      </w:tr>
      <w:tr w14:paraId="55FE181B" w14:textId="77777777" w:rsidTr="004A13E8">
        <w:tblPrEx>
          <w:tblW w:w="0" w:type="auto"/>
          <w:tblLook w:val="04A0"/>
        </w:tblPrEx>
        <w:tc>
          <w:tcPr>
            <w:tcW w:w="5035" w:type="dxa"/>
          </w:tcPr>
          <w:p w:rsidR="004A13E8" w:rsidP="00E75A0E" w14:paraId="55FE1819" w14:textId="77777777">
            <w:pPr>
              <w:spacing w:line="276" w:lineRule="auto"/>
            </w:pPr>
          </w:p>
        </w:tc>
        <w:tc>
          <w:tcPr>
            <w:tcW w:w="5035" w:type="dxa"/>
          </w:tcPr>
          <w:p w:rsidR="004A13E8" w:rsidP="00E75A0E" w14:paraId="55FE181A" w14:textId="77777777">
            <w:pPr>
              <w:spacing w:line="276" w:lineRule="auto"/>
            </w:pPr>
          </w:p>
        </w:tc>
      </w:tr>
      <w:tr w14:paraId="55FE181E" w14:textId="77777777" w:rsidTr="004A13E8">
        <w:tblPrEx>
          <w:tblW w:w="0" w:type="auto"/>
          <w:tblLook w:val="04A0"/>
        </w:tblPrEx>
        <w:tc>
          <w:tcPr>
            <w:tcW w:w="5035" w:type="dxa"/>
          </w:tcPr>
          <w:p w:rsidR="004A13E8" w:rsidP="00E75A0E" w14:paraId="55FE181C" w14:textId="77777777">
            <w:pPr>
              <w:spacing w:line="276" w:lineRule="auto"/>
            </w:pPr>
          </w:p>
        </w:tc>
        <w:tc>
          <w:tcPr>
            <w:tcW w:w="5035" w:type="dxa"/>
          </w:tcPr>
          <w:p w:rsidR="004A13E8" w:rsidP="00E75A0E" w14:paraId="55FE181D" w14:textId="77777777">
            <w:pPr>
              <w:spacing w:line="276" w:lineRule="auto"/>
            </w:pPr>
          </w:p>
        </w:tc>
      </w:tr>
    </w:tbl>
    <w:p w:rsidR="004A13E8" w:rsidP="00E75A0E" w14:paraId="55FE1826" w14:textId="77777777">
      <w:pPr>
        <w:pStyle w:val="Heading1"/>
        <w:spacing w:before="240" w:line="276" w:lineRule="auto"/>
      </w:pPr>
      <w:bookmarkStart w:id="26" w:name="_Toc177036694"/>
      <w:r>
        <w:t>Reason(s) Display of OMB Expiration Date is Inappropriate</w:t>
      </w:r>
      <w:bookmarkEnd w:id="26"/>
    </w:p>
    <w:p w:rsidR="00021542" w:rsidRPr="004A13E8" w:rsidP="00E75A0E" w14:paraId="075A731C" w14:textId="659EC3F6">
      <w:r>
        <w:t>The display of the OMB Expiration date is not inappropriate.</w:t>
      </w:r>
    </w:p>
    <w:p w:rsidR="004A13E8" w:rsidP="00E75A0E" w14:paraId="55FE1828" w14:textId="77777777">
      <w:pPr>
        <w:pStyle w:val="Heading1"/>
        <w:spacing w:line="276" w:lineRule="auto"/>
      </w:pPr>
      <w:bookmarkStart w:id="27" w:name="_Toc177036695"/>
      <w:r>
        <w:t>Exceptions to Certification for Paperwork Reduction Act Submissions</w:t>
      </w:r>
      <w:bookmarkEnd w:id="27"/>
    </w:p>
    <w:p w:rsidR="004A13E8" w:rsidRPr="004A13E8" w:rsidP="00E75A0E" w14:paraId="55FE1829" w14:textId="670844D0">
      <w:r>
        <w:t>There are no exceptions to the certification.</w:t>
      </w:r>
    </w:p>
    <w:p w:rsidR="009E0CF9" w:rsidP="009E0CF9" w14:paraId="6A0732FF" w14:textId="77777777"/>
    <w:p w:rsidR="004163CE" w:rsidP="009E0CF9" w14:paraId="589FC123" w14:textId="77777777"/>
    <w:p w:rsidR="00E75A0E" w:rsidP="009E0CF9" w14:paraId="74E84E64" w14:textId="77777777"/>
    <w:p w:rsidR="00E75A0E" w:rsidP="009E0CF9" w14:paraId="17D1D2A0" w14:textId="77777777"/>
    <w:p w:rsidR="00E75A0E" w:rsidP="009E0CF9" w14:paraId="32EF807D" w14:textId="77777777"/>
    <w:p w:rsidR="00E75A0E" w:rsidP="009E0CF9" w14:paraId="7489B1CF" w14:textId="77777777"/>
    <w:p w:rsidR="00E75A0E" w:rsidP="009E0CF9" w14:paraId="36FD897B" w14:textId="77777777"/>
    <w:p w:rsidR="00E75A0E" w:rsidP="009E0CF9" w14:paraId="2DB9AFF7" w14:textId="77777777"/>
    <w:p w:rsidR="00AA7E17" w:rsidRPr="009E0CF9" w:rsidP="009E0CF9" w14:paraId="16A9B3E9" w14:textId="77777777"/>
    <w:p w:rsidR="004A13E8" w:rsidRPr="004A13E8" w:rsidP="004A13E8" w14:paraId="55FE182A" w14:textId="18913792">
      <w:pPr>
        <w:pStyle w:val="Heading1"/>
        <w:numPr>
          <w:ilvl w:val="0"/>
          <w:numId w:val="0"/>
        </w:numPr>
      </w:pPr>
      <w:bookmarkStart w:id="28" w:name="_Toc177036696"/>
      <w:r>
        <w:t>Attachments</w:t>
      </w:r>
      <w:bookmarkEnd w:id="28"/>
    </w:p>
    <w:p w:rsidR="004A13E8" w:rsidP="004A0034" w14:paraId="55FE182B" w14:textId="77777777">
      <w:pPr>
        <w:pStyle w:val="ListParagraph"/>
        <w:numPr>
          <w:ilvl w:val="0"/>
          <w:numId w:val="3"/>
        </w:numPr>
        <w:ind w:left="360"/>
      </w:pPr>
      <w:r>
        <w:t>Authorizing Legislation</w:t>
      </w:r>
    </w:p>
    <w:p w:rsidR="00AD2F36" w:rsidP="004A0034" w14:paraId="55FE182C" w14:textId="77777777">
      <w:pPr>
        <w:pStyle w:val="ListParagraph"/>
        <w:numPr>
          <w:ilvl w:val="0"/>
          <w:numId w:val="3"/>
        </w:numPr>
        <w:ind w:left="360"/>
      </w:pPr>
      <w:r>
        <w:t>60-Day FRN</w:t>
      </w:r>
    </w:p>
    <w:p w:rsidR="00DD244B" w:rsidP="004A0034" w14:paraId="64DBF97E" w14:textId="26FC3773">
      <w:pPr>
        <w:pStyle w:val="ListParagraph"/>
        <w:numPr>
          <w:ilvl w:val="0"/>
          <w:numId w:val="3"/>
        </w:numPr>
        <w:ind w:left="360"/>
      </w:pPr>
      <w:r>
        <w:t>FDA Announcement</w:t>
      </w:r>
    </w:p>
    <w:p w:rsidR="00174E5F" w:rsidP="004A0034" w14:paraId="11D31387" w14:textId="44A816E6">
      <w:pPr>
        <w:pStyle w:val="ListParagraph"/>
        <w:numPr>
          <w:ilvl w:val="0"/>
          <w:numId w:val="3"/>
        </w:numPr>
        <w:ind w:left="360"/>
      </w:pPr>
      <w:r>
        <w:t>Supplemental Announcements</w:t>
      </w:r>
    </w:p>
    <w:p w:rsidR="00AD2F36" w:rsidP="004A0034" w14:paraId="55FE182D" w14:textId="654D2C4F">
      <w:pPr>
        <w:pStyle w:val="ListParagraph"/>
        <w:numPr>
          <w:ilvl w:val="0"/>
          <w:numId w:val="3"/>
        </w:numPr>
        <w:ind w:left="360"/>
      </w:pPr>
      <w:r>
        <w:t>Information Collection instrument</w:t>
      </w:r>
      <w:r w:rsidR="00D24BB1">
        <w:t>s</w:t>
      </w:r>
    </w:p>
    <w:p w:rsidR="008439FD" w:rsidP="008439FD" w14:paraId="6138B522" w14:textId="77777777">
      <w:pPr>
        <w:pStyle w:val="ListParagraph"/>
        <w:numPr>
          <w:ilvl w:val="0"/>
          <w:numId w:val="3"/>
        </w:numPr>
        <w:ind w:left="360"/>
      </w:pPr>
      <w:r>
        <w:t xml:space="preserve">Privacy Impact Assessment </w:t>
      </w:r>
    </w:p>
    <w:p w:rsidR="00AD2F36" w:rsidRPr="004A13E8" w:rsidP="004A0034" w14:paraId="55FE182E" w14:textId="56B038C1">
      <w:pPr>
        <w:pStyle w:val="ListParagraph"/>
        <w:numPr>
          <w:ilvl w:val="0"/>
          <w:numId w:val="3"/>
        </w:numPr>
        <w:ind w:left="360"/>
      </w:pPr>
      <w:r>
        <w:t>Human Subjects Determination Memo</w:t>
      </w:r>
      <w:r>
        <w:t xml:space="preserve">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477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5AB239A6"/>
    <w:multiLevelType w:val="hybridMultilevel"/>
    <w:tmpl w:val="B46281C6"/>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
    <w:nsid w:val="707B670C"/>
    <w:multiLevelType w:val="hybridMultilevel"/>
    <w:tmpl w:val="D05CD5B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3"/>
  </w:num>
  <w:num w:numId="2" w16cid:durableId="1268074816">
    <w:abstractNumId w:val="0"/>
  </w:num>
  <w:num w:numId="3" w16cid:durableId="433329173">
    <w:abstractNumId w:val="2"/>
  </w:num>
  <w:num w:numId="4" w16cid:durableId="60542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7EF6"/>
    <w:rsid w:val="00011E8A"/>
    <w:rsid w:val="000152F3"/>
    <w:rsid w:val="00015C1E"/>
    <w:rsid w:val="00017C56"/>
    <w:rsid w:val="00021542"/>
    <w:rsid w:val="00025D24"/>
    <w:rsid w:val="0003202E"/>
    <w:rsid w:val="00033A13"/>
    <w:rsid w:val="00043AD5"/>
    <w:rsid w:val="000502F0"/>
    <w:rsid w:val="00051518"/>
    <w:rsid w:val="000527C5"/>
    <w:rsid w:val="0005699B"/>
    <w:rsid w:val="00061E3F"/>
    <w:rsid w:val="00072F36"/>
    <w:rsid w:val="00077A77"/>
    <w:rsid w:val="000920D0"/>
    <w:rsid w:val="000969D1"/>
    <w:rsid w:val="0009720C"/>
    <w:rsid w:val="000A4767"/>
    <w:rsid w:val="000B073D"/>
    <w:rsid w:val="000B32DB"/>
    <w:rsid w:val="000C1760"/>
    <w:rsid w:val="000D2DA7"/>
    <w:rsid w:val="000E0779"/>
    <w:rsid w:val="000E08CF"/>
    <w:rsid w:val="000E16D3"/>
    <w:rsid w:val="000E68E3"/>
    <w:rsid w:val="001146CE"/>
    <w:rsid w:val="00121BBC"/>
    <w:rsid w:val="00124128"/>
    <w:rsid w:val="00125639"/>
    <w:rsid w:val="00134496"/>
    <w:rsid w:val="00145206"/>
    <w:rsid w:val="00150AD7"/>
    <w:rsid w:val="00152092"/>
    <w:rsid w:val="001523DF"/>
    <w:rsid w:val="00157441"/>
    <w:rsid w:val="00174E5F"/>
    <w:rsid w:val="00181DB5"/>
    <w:rsid w:val="00187E17"/>
    <w:rsid w:val="001A2CFD"/>
    <w:rsid w:val="001A58BE"/>
    <w:rsid w:val="001B3B7D"/>
    <w:rsid w:val="001B5A1D"/>
    <w:rsid w:val="001C77B1"/>
    <w:rsid w:val="001E08A8"/>
    <w:rsid w:val="001E08DD"/>
    <w:rsid w:val="001E4149"/>
    <w:rsid w:val="001F67F9"/>
    <w:rsid w:val="00201EFD"/>
    <w:rsid w:val="002068CB"/>
    <w:rsid w:val="00206BDA"/>
    <w:rsid w:val="00217E89"/>
    <w:rsid w:val="0022616C"/>
    <w:rsid w:val="002348EC"/>
    <w:rsid w:val="00237BB7"/>
    <w:rsid w:val="00243DAD"/>
    <w:rsid w:val="002441B9"/>
    <w:rsid w:val="00245A5B"/>
    <w:rsid w:val="0025156B"/>
    <w:rsid w:val="00252E6F"/>
    <w:rsid w:val="00257BBA"/>
    <w:rsid w:val="002601E1"/>
    <w:rsid w:val="0026108E"/>
    <w:rsid w:val="00263718"/>
    <w:rsid w:val="0026752B"/>
    <w:rsid w:val="00275165"/>
    <w:rsid w:val="002768F3"/>
    <w:rsid w:val="00290847"/>
    <w:rsid w:val="002922FE"/>
    <w:rsid w:val="002957D2"/>
    <w:rsid w:val="00295F36"/>
    <w:rsid w:val="002A15BE"/>
    <w:rsid w:val="002A7CC4"/>
    <w:rsid w:val="002B16D1"/>
    <w:rsid w:val="002B5BF5"/>
    <w:rsid w:val="002C33F6"/>
    <w:rsid w:val="002C5308"/>
    <w:rsid w:val="002D1EAE"/>
    <w:rsid w:val="002E1063"/>
    <w:rsid w:val="002E1C43"/>
    <w:rsid w:val="002E2238"/>
    <w:rsid w:val="002F1B39"/>
    <w:rsid w:val="002F4E84"/>
    <w:rsid w:val="00303E0B"/>
    <w:rsid w:val="003040FB"/>
    <w:rsid w:val="00304BBB"/>
    <w:rsid w:val="0033107F"/>
    <w:rsid w:val="003419B3"/>
    <w:rsid w:val="00342A1C"/>
    <w:rsid w:val="00356123"/>
    <w:rsid w:val="00371D80"/>
    <w:rsid w:val="00383A17"/>
    <w:rsid w:val="00387110"/>
    <w:rsid w:val="00393347"/>
    <w:rsid w:val="00393D22"/>
    <w:rsid w:val="00397AF3"/>
    <w:rsid w:val="003A2AAD"/>
    <w:rsid w:val="003B2FB4"/>
    <w:rsid w:val="003D38D9"/>
    <w:rsid w:val="003E0077"/>
    <w:rsid w:val="003F2D22"/>
    <w:rsid w:val="003F60CF"/>
    <w:rsid w:val="004040E0"/>
    <w:rsid w:val="004137CA"/>
    <w:rsid w:val="004163CE"/>
    <w:rsid w:val="00421C59"/>
    <w:rsid w:val="00431FA4"/>
    <w:rsid w:val="0043440D"/>
    <w:rsid w:val="0043597C"/>
    <w:rsid w:val="0043628A"/>
    <w:rsid w:val="00446A7C"/>
    <w:rsid w:val="00455F63"/>
    <w:rsid w:val="00457614"/>
    <w:rsid w:val="0047631E"/>
    <w:rsid w:val="00482066"/>
    <w:rsid w:val="004841D1"/>
    <w:rsid w:val="00490551"/>
    <w:rsid w:val="00490660"/>
    <w:rsid w:val="00496ECA"/>
    <w:rsid w:val="004A0034"/>
    <w:rsid w:val="004A0E22"/>
    <w:rsid w:val="004A13E8"/>
    <w:rsid w:val="004A6DE8"/>
    <w:rsid w:val="004A7B21"/>
    <w:rsid w:val="004C20F0"/>
    <w:rsid w:val="004C24FD"/>
    <w:rsid w:val="004C4C4E"/>
    <w:rsid w:val="004D0CD2"/>
    <w:rsid w:val="004D1210"/>
    <w:rsid w:val="004D55EA"/>
    <w:rsid w:val="004D6B28"/>
    <w:rsid w:val="00532315"/>
    <w:rsid w:val="00533A2C"/>
    <w:rsid w:val="00541CF5"/>
    <w:rsid w:val="00542E42"/>
    <w:rsid w:val="005452DA"/>
    <w:rsid w:val="00551610"/>
    <w:rsid w:val="00553379"/>
    <w:rsid w:val="00553748"/>
    <w:rsid w:val="00566662"/>
    <w:rsid w:val="00567A42"/>
    <w:rsid w:val="005755F8"/>
    <w:rsid w:val="00576482"/>
    <w:rsid w:val="00580410"/>
    <w:rsid w:val="0058161C"/>
    <w:rsid w:val="005849AF"/>
    <w:rsid w:val="00594E6F"/>
    <w:rsid w:val="005B0C92"/>
    <w:rsid w:val="005B3AC2"/>
    <w:rsid w:val="005E2098"/>
    <w:rsid w:val="005E4D1B"/>
    <w:rsid w:val="00600D38"/>
    <w:rsid w:val="00606705"/>
    <w:rsid w:val="00610BC1"/>
    <w:rsid w:val="00612A0E"/>
    <w:rsid w:val="006237AF"/>
    <w:rsid w:val="006240D8"/>
    <w:rsid w:val="00627C48"/>
    <w:rsid w:val="006500BF"/>
    <w:rsid w:val="00653FB3"/>
    <w:rsid w:val="00674026"/>
    <w:rsid w:val="006751E8"/>
    <w:rsid w:val="0069787D"/>
    <w:rsid w:val="006A1FE7"/>
    <w:rsid w:val="006B27A4"/>
    <w:rsid w:val="006C6578"/>
    <w:rsid w:val="006D1151"/>
    <w:rsid w:val="006D1E4E"/>
    <w:rsid w:val="006F05BD"/>
    <w:rsid w:val="006F45BE"/>
    <w:rsid w:val="00713C81"/>
    <w:rsid w:val="007206BD"/>
    <w:rsid w:val="00727043"/>
    <w:rsid w:val="0073084C"/>
    <w:rsid w:val="007335B2"/>
    <w:rsid w:val="00734549"/>
    <w:rsid w:val="00735BAA"/>
    <w:rsid w:val="007364E7"/>
    <w:rsid w:val="00737A0A"/>
    <w:rsid w:val="00737DC7"/>
    <w:rsid w:val="00762C16"/>
    <w:rsid w:val="00766B83"/>
    <w:rsid w:val="00776BDA"/>
    <w:rsid w:val="00780DC1"/>
    <w:rsid w:val="00795DD7"/>
    <w:rsid w:val="007A318A"/>
    <w:rsid w:val="007A4087"/>
    <w:rsid w:val="007A6D9E"/>
    <w:rsid w:val="007B2056"/>
    <w:rsid w:val="007B7083"/>
    <w:rsid w:val="007C352F"/>
    <w:rsid w:val="007C48C5"/>
    <w:rsid w:val="007F46E9"/>
    <w:rsid w:val="007F6A50"/>
    <w:rsid w:val="00800CA0"/>
    <w:rsid w:val="00827F0C"/>
    <w:rsid w:val="00831C2C"/>
    <w:rsid w:val="008439FD"/>
    <w:rsid w:val="00853098"/>
    <w:rsid w:val="008833DF"/>
    <w:rsid w:val="008947E8"/>
    <w:rsid w:val="008B5D54"/>
    <w:rsid w:val="008C2A1E"/>
    <w:rsid w:val="008D5AEA"/>
    <w:rsid w:val="008F1415"/>
    <w:rsid w:val="008F4F8E"/>
    <w:rsid w:val="00901147"/>
    <w:rsid w:val="0090208D"/>
    <w:rsid w:val="009025A4"/>
    <w:rsid w:val="00905385"/>
    <w:rsid w:val="00915229"/>
    <w:rsid w:val="009169EC"/>
    <w:rsid w:val="00930A7F"/>
    <w:rsid w:val="009348AC"/>
    <w:rsid w:val="00937D6B"/>
    <w:rsid w:val="00940F13"/>
    <w:rsid w:val="009567B2"/>
    <w:rsid w:val="00963E7C"/>
    <w:rsid w:val="009742BF"/>
    <w:rsid w:val="00974303"/>
    <w:rsid w:val="00984FE5"/>
    <w:rsid w:val="00991A49"/>
    <w:rsid w:val="00997D0E"/>
    <w:rsid w:val="009A1386"/>
    <w:rsid w:val="009A1A78"/>
    <w:rsid w:val="009A627F"/>
    <w:rsid w:val="009A79E1"/>
    <w:rsid w:val="009B0947"/>
    <w:rsid w:val="009C1542"/>
    <w:rsid w:val="009D0096"/>
    <w:rsid w:val="009D126B"/>
    <w:rsid w:val="009E0CF9"/>
    <w:rsid w:val="009E11DB"/>
    <w:rsid w:val="009F4C51"/>
    <w:rsid w:val="00A013C5"/>
    <w:rsid w:val="00A24B3A"/>
    <w:rsid w:val="00A25C07"/>
    <w:rsid w:val="00A27AF3"/>
    <w:rsid w:val="00A46879"/>
    <w:rsid w:val="00A67086"/>
    <w:rsid w:val="00A83177"/>
    <w:rsid w:val="00A86073"/>
    <w:rsid w:val="00A90FE0"/>
    <w:rsid w:val="00AA0DC4"/>
    <w:rsid w:val="00AA3CAC"/>
    <w:rsid w:val="00AA7E17"/>
    <w:rsid w:val="00AC4316"/>
    <w:rsid w:val="00AD14FE"/>
    <w:rsid w:val="00AD2F36"/>
    <w:rsid w:val="00AE15A5"/>
    <w:rsid w:val="00B33246"/>
    <w:rsid w:val="00B36EB2"/>
    <w:rsid w:val="00B46183"/>
    <w:rsid w:val="00B55735"/>
    <w:rsid w:val="00B608AC"/>
    <w:rsid w:val="00B64B9E"/>
    <w:rsid w:val="00B6517A"/>
    <w:rsid w:val="00B657D0"/>
    <w:rsid w:val="00B65D04"/>
    <w:rsid w:val="00B80794"/>
    <w:rsid w:val="00B87614"/>
    <w:rsid w:val="00B91083"/>
    <w:rsid w:val="00B91400"/>
    <w:rsid w:val="00B923CD"/>
    <w:rsid w:val="00BA6B1A"/>
    <w:rsid w:val="00BC7BBC"/>
    <w:rsid w:val="00BD6584"/>
    <w:rsid w:val="00BE208A"/>
    <w:rsid w:val="00BE2EAA"/>
    <w:rsid w:val="00BE47EA"/>
    <w:rsid w:val="00BF57CA"/>
    <w:rsid w:val="00BF6F18"/>
    <w:rsid w:val="00C1186E"/>
    <w:rsid w:val="00C23FCB"/>
    <w:rsid w:val="00C27871"/>
    <w:rsid w:val="00C32380"/>
    <w:rsid w:val="00C553B7"/>
    <w:rsid w:val="00C60B2D"/>
    <w:rsid w:val="00C82FFD"/>
    <w:rsid w:val="00C857BD"/>
    <w:rsid w:val="00C90B13"/>
    <w:rsid w:val="00CA3902"/>
    <w:rsid w:val="00CB7313"/>
    <w:rsid w:val="00CB7517"/>
    <w:rsid w:val="00CD0A09"/>
    <w:rsid w:val="00CD2AA4"/>
    <w:rsid w:val="00CE7472"/>
    <w:rsid w:val="00CF3E26"/>
    <w:rsid w:val="00D11A9D"/>
    <w:rsid w:val="00D13EA1"/>
    <w:rsid w:val="00D15B49"/>
    <w:rsid w:val="00D24BB1"/>
    <w:rsid w:val="00D42969"/>
    <w:rsid w:val="00D7360A"/>
    <w:rsid w:val="00D75972"/>
    <w:rsid w:val="00D813CA"/>
    <w:rsid w:val="00D86CFF"/>
    <w:rsid w:val="00D952DF"/>
    <w:rsid w:val="00D96263"/>
    <w:rsid w:val="00DA17C1"/>
    <w:rsid w:val="00DA4621"/>
    <w:rsid w:val="00DB0F0B"/>
    <w:rsid w:val="00DC17BD"/>
    <w:rsid w:val="00DC57CC"/>
    <w:rsid w:val="00DC74EE"/>
    <w:rsid w:val="00DD22E7"/>
    <w:rsid w:val="00DD244B"/>
    <w:rsid w:val="00DD5505"/>
    <w:rsid w:val="00DD578B"/>
    <w:rsid w:val="00DD718D"/>
    <w:rsid w:val="00DE0BA1"/>
    <w:rsid w:val="00DE0FE6"/>
    <w:rsid w:val="00DE2B8A"/>
    <w:rsid w:val="00E0272C"/>
    <w:rsid w:val="00E04AE7"/>
    <w:rsid w:val="00E271D2"/>
    <w:rsid w:val="00E30F61"/>
    <w:rsid w:val="00E32BB7"/>
    <w:rsid w:val="00E365F6"/>
    <w:rsid w:val="00E4062D"/>
    <w:rsid w:val="00E460A0"/>
    <w:rsid w:val="00E61864"/>
    <w:rsid w:val="00E6650C"/>
    <w:rsid w:val="00E75A0E"/>
    <w:rsid w:val="00E80D2C"/>
    <w:rsid w:val="00EA44C3"/>
    <w:rsid w:val="00EB1207"/>
    <w:rsid w:val="00EC309D"/>
    <w:rsid w:val="00EC4504"/>
    <w:rsid w:val="00EC6B5B"/>
    <w:rsid w:val="00EC6D34"/>
    <w:rsid w:val="00ED0C44"/>
    <w:rsid w:val="00ED14F8"/>
    <w:rsid w:val="00ED31CF"/>
    <w:rsid w:val="00EE290B"/>
    <w:rsid w:val="00EF48A6"/>
    <w:rsid w:val="00F00226"/>
    <w:rsid w:val="00F20946"/>
    <w:rsid w:val="00F548DB"/>
    <w:rsid w:val="00F56C86"/>
    <w:rsid w:val="00F61A69"/>
    <w:rsid w:val="00F63A49"/>
    <w:rsid w:val="00F769F3"/>
    <w:rsid w:val="00F8166C"/>
    <w:rsid w:val="00F82871"/>
    <w:rsid w:val="00F85AFE"/>
    <w:rsid w:val="00F8782D"/>
    <w:rsid w:val="00F91857"/>
    <w:rsid w:val="00FA78C8"/>
    <w:rsid w:val="00FB475D"/>
    <w:rsid w:val="00FC6770"/>
    <w:rsid w:val="00FE0398"/>
    <w:rsid w:val="00FE0BCC"/>
    <w:rsid w:val="00FE2A18"/>
    <w:rsid w:val="00FE2A55"/>
    <w:rsid w:val="00FF11AA"/>
    <w:rsid w:val="00FF1DEC"/>
    <w:rsid w:val="00FF2FF4"/>
    <w:rsid w:val="00FF40BC"/>
    <w:rsid w:val="00FF4CDB"/>
    <w:rsid w:val="045EADFE"/>
    <w:rsid w:val="046D39CC"/>
    <w:rsid w:val="089A7D58"/>
    <w:rsid w:val="0970ABC1"/>
    <w:rsid w:val="16E587EA"/>
    <w:rsid w:val="1B825151"/>
    <w:rsid w:val="1C8592F4"/>
    <w:rsid w:val="2629FEB6"/>
    <w:rsid w:val="27FC4524"/>
    <w:rsid w:val="33F03DB6"/>
    <w:rsid w:val="3635DF87"/>
    <w:rsid w:val="377B3458"/>
    <w:rsid w:val="3E6FAEC2"/>
    <w:rsid w:val="3F8615BE"/>
    <w:rsid w:val="40AFD880"/>
    <w:rsid w:val="44F0BC71"/>
    <w:rsid w:val="47887863"/>
    <w:rsid w:val="48712AB9"/>
    <w:rsid w:val="49CCC0BD"/>
    <w:rsid w:val="4A1B5D14"/>
    <w:rsid w:val="4F868E29"/>
    <w:rsid w:val="52772A40"/>
    <w:rsid w:val="58252DE5"/>
    <w:rsid w:val="58CD9552"/>
    <w:rsid w:val="5B2E88A5"/>
    <w:rsid w:val="5BF821AC"/>
    <w:rsid w:val="60ABD9F1"/>
    <w:rsid w:val="61601D35"/>
    <w:rsid w:val="65BA8930"/>
    <w:rsid w:val="6A8F6253"/>
    <w:rsid w:val="7093CEE6"/>
    <w:rsid w:val="7AE21507"/>
    <w:rsid w:val="7D1ED9E3"/>
    <w:rsid w:val="7DD9B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B1338B6C-E1EF-4949-9EBA-6CF0B9F4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customStyle="1" w:styleId="normaltextrun">
    <w:name w:val="normaltextrun"/>
    <w:basedOn w:val="DefaultParagraphFont"/>
    <w:rsid w:val="00BD6584"/>
  </w:style>
  <w:style w:type="character" w:customStyle="1" w:styleId="NoSpacingChar">
    <w:name w:val="No Spacing Char"/>
    <w:basedOn w:val="DefaultParagraphFont"/>
    <w:link w:val="NoSpacing"/>
    <w:uiPriority w:val="1"/>
    <w:rsid w:val="00BD6584"/>
    <w:rPr>
      <w:rFonts w:ascii="Times New Roman" w:hAnsi="Times New Roman"/>
      <w:sz w:val="24"/>
    </w:rPr>
  </w:style>
  <w:style w:type="character" w:styleId="CommentReference">
    <w:name w:val="annotation reference"/>
    <w:basedOn w:val="DefaultParagraphFont"/>
    <w:uiPriority w:val="99"/>
    <w:semiHidden/>
    <w:unhideWhenUsed/>
    <w:rsid w:val="00356123"/>
    <w:rPr>
      <w:sz w:val="16"/>
      <w:szCs w:val="16"/>
    </w:rPr>
  </w:style>
  <w:style w:type="paragraph" w:styleId="CommentText">
    <w:name w:val="annotation text"/>
    <w:basedOn w:val="Normal"/>
    <w:link w:val="CommentTextChar"/>
    <w:uiPriority w:val="99"/>
    <w:unhideWhenUsed/>
    <w:rsid w:val="00356123"/>
    <w:pPr>
      <w:spacing w:line="240" w:lineRule="auto"/>
    </w:pPr>
    <w:rPr>
      <w:sz w:val="20"/>
      <w:szCs w:val="20"/>
    </w:rPr>
  </w:style>
  <w:style w:type="character" w:customStyle="1" w:styleId="CommentTextChar">
    <w:name w:val="Comment Text Char"/>
    <w:basedOn w:val="DefaultParagraphFont"/>
    <w:link w:val="CommentText"/>
    <w:uiPriority w:val="99"/>
    <w:rsid w:val="003561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6123"/>
    <w:rPr>
      <w:b/>
      <w:bCs/>
    </w:rPr>
  </w:style>
  <w:style w:type="character" w:customStyle="1" w:styleId="CommentSubjectChar">
    <w:name w:val="Comment Subject Char"/>
    <w:basedOn w:val="CommentTextChar"/>
    <w:link w:val="CommentSubject"/>
    <w:uiPriority w:val="99"/>
    <w:semiHidden/>
    <w:rsid w:val="00356123"/>
    <w:rPr>
      <w:rFonts w:ascii="Times New Roman" w:hAnsi="Times New Roman"/>
      <w:b/>
      <w:bCs/>
      <w:sz w:val="20"/>
      <w:szCs w:val="20"/>
    </w:rPr>
  </w:style>
  <w:style w:type="character" w:customStyle="1" w:styleId="eop">
    <w:name w:val="eop"/>
    <w:basedOn w:val="DefaultParagraphFont"/>
    <w:rsid w:val="00356123"/>
  </w:style>
  <w:style w:type="character" w:customStyle="1" w:styleId="ui-provider">
    <w:name w:val="ui-provider"/>
    <w:basedOn w:val="DefaultParagraphFont"/>
    <w:rsid w:val="00D11A9D"/>
  </w:style>
  <w:style w:type="paragraph" w:customStyle="1" w:styleId="xmsonospacing">
    <w:name w:val="x_msonospacing"/>
    <w:basedOn w:val="Normal"/>
    <w:rsid w:val="001C77B1"/>
    <w:pPr>
      <w:spacing w:after="0" w:line="240" w:lineRule="auto"/>
    </w:pPr>
    <w:rPr>
      <w:rFonts w:cs="Times New Roman"/>
      <w:szCs w:val="24"/>
    </w:rPr>
  </w:style>
  <w:style w:type="paragraph" w:customStyle="1" w:styleId="xmsonormal">
    <w:name w:val="x_msonormal"/>
    <w:basedOn w:val="Normal"/>
    <w:rsid w:val="001C77B1"/>
    <w:pPr>
      <w:spacing w:after="0" w:line="240" w:lineRule="auto"/>
    </w:pPr>
    <w:rPr>
      <w:rFonts w:ascii="Calibri" w:hAnsi="Calibri" w:cs="Calibri"/>
      <w:sz w:val="22"/>
    </w:rPr>
  </w:style>
  <w:style w:type="character" w:styleId="Mention">
    <w:name w:val="Mention"/>
    <w:basedOn w:val="DefaultParagraphFont"/>
    <w:uiPriority w:val="99"/>
    <w:unhideWhenUsed/>
    <w:rsid w:val="00F8166C"/>
    <w:rPr>
      <w:color w:val="2B579A"/>
      <w:shd w:val="clear" w:color="auto" w:fill="E1DFDD"/>
    </w:rPr>
  </w:style>
  <w:style w:type="paragraph" w:styleId="Revision">
    <w:name w:val="Revision"/>
    <w:hidden/>
    <w:uiPriority w:val="99"/>
    <w:semiHidden/>
    <w:rsid w:val="00DD5505"/>
    <w:pPr>
      <w:spacing w:after="0" w:line="240" w:lineRule="auto"/>
    </w:pPr>
    <w:rPr>
      <w:rFonts w:ascii="Times New Roman" w:hAnsi="Times New Roman"/>
      <w:sz w:val="24"/>
    </w:rPr>
  </w:style>
  <w:style w:type="character" w:customStyle="1" w:styleId="cf01">
    <w:name w:val="cf01"/>
    <w:basedOn w:val="DefaultParagraphFont"/>
    <w:rsid w:val="00E4062D"/>
    <w:rPr>
      <w:rFonts w:ascii="Segoe UI" w:hAnsi="Segoe UI" w:cs="Segoe UI" w:hint="default"/>
      <w:sz w:val="18"/>
      <w:szCs w:val="18"/>
    </w:rPr>
  </w:style>
  <w:style w:type="paragraph" w:customStyle="1" w:styleId="paragraph">
    <w:name w:val="paragraph"/>
    <w:basedOn w:val="Normal"/>
    <w:rsid w:val="00125639"/>
    <w:pPr>
      <w:spacing w:before="100" w:beforeAutospacing="1" w:after="100" w:afterAutospacing="1"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4B5BC57E-4BAA-4BC9-8B4B-0C60212E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5</cp:revision>
  <dcterms:created xsi:type="dcterms:W3CDTF">2024-12-20T21:11:00Z</dcterms:created>
  <dcterms:modified xsi:type="dcterms:W3CDTF">2024-12-23T15:25:00Z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