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sdt>
      <w:sdtPr>
        <w:id w:val="1141393971"/>
        <w:docPartObj>
          <w:docPartGallery w:val="Cover Pages"/>
          <w:docPartUnique/>
        </w:docPartObj>
      </w:sdtPr>
      <w:sdtContent>
        <w:p w:rsidR="00FE6EA5" w14:paraId="13B77232" w14:textId="77777777"/>
        <w:p w:rsidR="00195414" w:rsidP="00195414" w14:paraId="7FA49A23" w14:textId="77777777"/>
      </w:sdtContent>
    </w:sdt>
    <w:p w:rsidR="00E35DD1" w:rsidRPr="00195414" w:rsidP="00195414" w14:paraId="68BA36D6" w14:textId="77777777">
      <w:pPr>
        <w:ind w:left="2880" w:firstLine="720"/>
        <w:rPr>
          <w:rFonts w:eastAsia="Times New Roman" w:cs="Times New Roman"/>
        </w:rPr>
      </w:pPr>
      <w:r w:rsidRPr="00E35DD1">
        <w:t>Supporting Statement A for</w:t>
      </w:r>
    </w:p>
    <w:p w:rsidR="009E69CB" w:rsidRPr="009E69CB" w:rsidP="009E69CB" w14:paraId="7DFF853F" w14:textId="77777777">
      <w:pPr>
        <w:pStyle w:val="P1-StandPara"/>
        <w:tabs>
          <w:tab w:val="left" w:pos="720"/>
          <w:tab w:val="right" w:leader="dot" w:pos="9504"/>
        </w:tabs>
        <w:spacing w:before="120" w:after="120" w:line="240" w:lineRule="auto"/>
        <w:jc w:val="center"/>
        <w:rPr>
          <w:rFonts w:asciiTheme="minorHAnsi" w:hAnsiTheme="minorHAnsi"/>
          <w:szCs w:val="22"/>
        </w:rPr>
      </w:pPr>
      <w:r w:rsidRPr="009E69CB">
        <w:rPr>
          <w:rFonts w:asciiTheme="minorHAnsi" w:hAnsiTheme="minorHAnsi"/>
          <w:szCs w:val="22"/>
        </w:rPr>
        <w:t>National Eye Institute’s Intramural Research Program</w:t>
      </w:r>
    </w:p>
    <w:p w:rsidR="00E35DD1" w:rsidP="009E69CB" w14:paraId="2437E17E" w14:textId="10CDF2AE">
      <w:pPr>
        <w:pStyle w:val="P1-StandPara"/>
        <w:tabs>
          <w:tab w:val="left" w:pos="720"/>
          <w:tab w:val="right" w:leader="dot" w:pos="9504"/>
        </w:tabs>
        <w:spacing w:before="120" w:after="120" w:line="240" w:lineRule="auto"/>
        <w:ind w:firstLine="0"/>
        <w:jc w:val="center"/>
        <w:rPr>
          <w:rFonts w:asciiTheme="minorHAnsi" w:hAnsiTheme="minorHAnsi"/>
          <w:szCs w:val="22"/>
        </w:rPr>
      </w:pPr>
      <w:r w:rsidRPr="009E69CB">
        <w:rPr>
          <w:rFonts w:asciiTheme="minorHAnsi" w:hAnsiTheme="minorHAnsi"/>
          <w:szCs w:val="22"/>
        </w:rPr>
        <w:t>Application Form for electronic Individual Development Plan (</w:t>
      </w:r>
      <w:r w:rsidRPr="009E69CB">
        <w:rPr>
          <w:rFonts w:asciiTheme="minorHAnsi" w:hAnsiTheme="minorHAnsi"/>
          <w:szCs w:val="22"/>
        </w:rPr>
        <w:t>eIDP</w:t>
      </w:r>
      <w:r w:rsidRPr="009E69CB">
        <w:rPr>
          <w:rFonts w:asciiTheme="minorHAnsi" w:hAnsiTheme="minorHAnsi"/>
          <w:szCs w:val="22"/>
        </w:rPr>
        <w:t>)</w:t>
      </w:r>
      <w:r>
        <w:rPr>
          <w:rFonts w:asciiTheme="minorHAnsi" w:hAnsiTheme="minorHAnsi"/>
          <w:szCs w:val="22"/>
        </w:rPr>
        <w:t xml:space="preserve"> - NEI</w:t>
      </w:r>
    </w:p>
    <w:p w:rsidR="009E69CB" w:rsidP="009E69CB" w14:paraId="2305993F" w14:textId="77777777">
      <w:pPr>
        <w:pStyle w:val="P1-StandPara"/>
        <w:tabs>
          <w:tab w:val="left" w:pos="720"/>
          <w:tab w:val="right" w:leader="dot" w:pos="9504"/>
        </w:tabs>
        <w:spacing w:before="120" w:after="120" w:line="240" w:lineRule="auto"/>
        <w:ind w:firstLine="0"/>
        <w:jc w:val="center"/>
        <w:rPr>
          <w:rFonts w:asciiTheme="minorHAnsi" w:hAnsiTheme="minorHAnsi"/>
          <w:szCs w:val="22"/>
        </w:rPr>
      </w:pPr>
    </w:p>
    <w:p w:rsidR="00976490" w:rsidRPr="00E35DD1" w:rsidP="00767C53" w14:paraId="0ED25BFE" w14:textId="6C7D62B7">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 xml:space="preserve">OMB# </w:t>
      </w:r>
      <w:r w:rsidR="007E0332">
        <w:rPr>
          <w:rFonts w:asciiTheme="minorHAnsi" w:hAnsiTheme="minorHAnsi"/>
          <w:szCs w:val="22"/>
        </w:rPr>
        <w:t>0925-</w:t>
      </w:r>
      <w:r w:rsidRPr="00175534" w:rsidR="00175534">
        <w:rPr>
          <w:rFonts w:asciiTheme="minorHAnsi" w:hAnsiTheme="minorHAnsi"/>
          <w:szCs w:val="22"/>
        </w:rPr>
        <w:t>0772</w:t>
      </w:r>
      <w:r w:rsidR="007E0332">
        <w:rPr>
          <w:rFonts w:asciiTheme="minorHAnsi" w:hAnsiTheme="minorHAnsi"/>
          <w:szCs w:val="22"/>
        </w:rPr>
        <w:t xml:space="preserve"> </w:t>
      </w:r>
      <w:r>
        <w:rPr>
          <w:rFonts w:asciiTheme="minorHAnsi" w:hAnsiTheme="minorHAnsi"/>
          <w:szCs w:val="22"/>
        </w:rPr>
        <w:t xml:space="preserve">and </w:t>
      </w:r>
      <w:r w:rsidR="00175534">
        <w:rPr>
          <w:rFonts w:asciiTheme="minorHAnsi" w:hAnsiTheme="minorHAnsi"/>
          <w:szCs w:val="22"/>
        </w:rPr>
        <w:t>10</w:t>
      </w:r>
      <w:r w:rsidR="007E0332">
        <w:rPr>
          <w:rFonts w:asciiTheme="minorHAnsi" w:hAnsiTheme="minorHAnsi"/>
          <w:szCs w:val="22"/>
        </w:rPr>
        <w:t>/</w:t>
      </w:r>
      <w:r w:rsidR="00175534">
        <w:rPr>
          <w:rFonts w:asciiTheme="minorHAnsi" w:hAnsiTheme="minorHAnsi"/>
          <w:szCs w:val="22"/>
        </w:rPr>
        <w:t>31</w:t>
      </w:r>
      <w:r w:rsidR="007E0332">
        <w:rPr>
          <w:rFonts w:asciiTheme="minorHAnsi" w:hAnsiTheme="minorHAnsi"/>
          <w:szCs w:val="22"/>
        </w:rPr>
        <w:t>/</w:t>
      </w:r>
      <w:r w:rsidR="00175534">
        <w:rPr>
          <w:rFonts w:asciiTheme="minorHAnsi" w:hAnsiTheme="minorHAnsi"/>
          <w:szCs w:val="22"/>
        </w:rPr>
        <w:t>2024</w:t>
      </w:r>
    </w:p>
    <w:p w:rsidR="00E35DD1" w:rsidRPr="00E35DD1" w:rsidP="00E35DD1" w14:paraId="371FE21C" w14:textId="77777777">
      <w:pPr>
        <w:pStyle w:val="P1-StandPara"/>
        <w:tabs>
          <w:tab w:val="left" w:pos="720"/>
          <w:tab w:val="right" w:leader="dot" w:pos="9504"/>
        </w:tabs>
        <w:spacing w:before="120" w:after="120"/>
        <w:ind w:firstLine="0"/>
        <w:rPr>
          <w:rFonts w:asciiTheme="minorHAnsi" w:hAnsiTheme="minorHAnsi"/>
          <w:szCs w:val="22"/>
        </w:rPr>
      </w:pPr>
    </w:p>
    <w:p w:rsidR="00E35DD1" w:rsidRPr="00E35DD1" w:rsidP="00E35DD1" w14:paraId="1ECE92EB" w14:textId="6EB04AB4">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175534">
        <w:rPr>
          <w:rFonts w:asciiTheme="minorHAnsi" w:hAnsiTheme="minorHAnsi"/>
          <w:szCs w:val="22"/>
        </w:rPr>
        <w:t>October</w:t>
      </w:r>
      <w:r w:rsidR="00882BB5">
        <w:rPr>
          <w:rFonts w:asciiTheme="minorHAnsi" w:hAnsiTheme="minorHAnsi"/>
          <w:szCs w:val="22"/>
        </w:rPr>
        <w:t xml:space="preserve"> </w:t>
      </w:r>
      <w:r w:rsidR="00175534">
        <w:rPr>
          <w:rFonts w:asciiTheme="minorHAnsi" w:hAnsiTheme="minorHAnsi"/>
          <w:szCs w:val="22"/>
        </w:rPr>
        <w:t>7</w:t>
      </w:r>
      <w:r w:rsidR="00882BB5">
        <w:rPr>
          <w:rFonts w:asciiTheme="minorHAnsi" w:hAnsiTheme="minorHAnsi"/>
          <w:szCs w:val="22"/>
        </w:rPr>
        <w:t>, 202</w:t>
      </w:r>
      <w:r w:rsidR="00175534">
        <w:rPr>
          <w:rFonts w:asciiTheme="minorHAnsi" w:hAnsiTheme="minorHAnsi"/>
          <w:szCs w:val="22"/>
        </w:rPr>
        <w:t>4</w:t>
      </w:r>
    </w:p>
    <w:p w:rsidR="00FF30CE" w:rsidRPr="008942E9" w:rsidP="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175534" w14:paraId="580EAAC6" w14:textId="27C4BAA1">
      <w:pPr>
        <w:pStyle w:val="ListParagraph"/>
        <w:numPr>
          <w:ilvl w:val="0"/>
          <w:numId w:val="11"/>
        </w:numPr>
        <w:spacing w:after="0" w:line="240" w:lineRule="auto"/>
      </w:pPr>
      <w:r>
        <w:t xml:space="preserve">New </w:t>
      </w:r>
    </w:p>
    <w:p w:rsidR="00FF30CE" w:rsidP="00FF30CE" w14:paraId="45BA54F5" w14:textId="77777777">
      <w:pPr>
        <w:numPr>
          <w:ilvl w:val="0"/>
          <w:numId w:val="11"/>
        </w:numPr>
        <w:spacing w:after="0" w:line="240" w:lineRule="auto"/>
      </w:pPr>
      <w:r>
        <w:t>Revision</w:t>
      </w:r>
      <w:r>
        <w:tab/>
      </w:r>
      <w:r>
        <w:tab/>
      </w:r>
      <w:r>
        <w:tab/>
      </w:r>
    </w:p>
    <w:p w:rsidR="00FF30CE" w:rsidP="00175534" w14:paraId="185A0B7B" w14:textId="1D7EE0BC">
      <w:pPr>
        <w:pStyle w:val="ListParagraph"/>
        <w:numPr>
          <w:ilvl w:val="0"/>
          <w:numId w:val="11"/>
        </w:numPr>
        <w:spacing w:after="0" w:line="240" w:lineRule="auto"/>
      </w:pPr>
      <w:r>
        <w:t>Reinstatement with Change</w:t>
      </w:r>
    </w:p>
    <w:p w:rsidR="00FF30CE" w:rsidP="006F23ED" w14:paraId="5177244E" w14:textId="6DE63828">
      <w:pPr>
        <w:pStyle w:val="ListParagraph"/>
        <w:numPr>
          <w:ilvl w:val="0"/>
          <w:numId w:val="11"/>
        </w:numPr>
        <w:spacing w:after="0" w:line="240" w:lineRule="auto"/>
      </w:pPr>
      <w:r>
        <w:t>R</w:t>
      </w:r>
      <w:r>
        <w:t>einstatement without Change</w:t>
      </w:r>
    </w:p>
    <w:p w:rsidR="00FF30CE" w:rsidP="006F23ED" w14:paraId="62B8AE22" w14:textId="155CC65D">
      <w:pPr>
        <w:spacing w:after="0" w:line="240" w:lineRule="auto"/>
        <w:ind w:left="360"/>
      </w:pPr>
      <w:r w:rsidRPr="006F23ED">
        <w:rPr>
          <w:b/>
          <w:bCs/>
        </w:rPr>
        <w:t>X</w:t>
      </w:r>
      <w:r>
        <w:tab/>
      </w:r>
      <w:r>
        <w:t>Extension</w:t>
      </w:r>
    </w:p>
    <w:p w:rsidR="00FF30CE" w:rsidP="00FF30CE" w14:paraId="61FD3A79" w14:textId="77777777">
      <w:pPr>
        <w:numPr>
          <w:ilvl w:val="0"/>
          <w:numId w:val="11"/>
        </w:numPr>
        <w:spacing w:after="0" w:line="240" w:lineRule="auto"/>
      </w:pPr>
      <w:r>
        <w:t>Emergency</w:t>
      </w:r>
    </w:p>
    <w:p w:rsidR="00FF30CE" w:rsidP="00FF30CE" w14:paraId="4AB911EB" w14:textId="77777777">
      <w:pPr>
        <w:numPr>
          <w:ilvl w:val="0"/>
          <w:numId w:val="11"/>
        </w:numPr>
        <w:spacing w:after="0" w:line="240" w:lineRule="auto"/>
      </w:pPr>
      <w:r>
        <w:t>Existing</w:t>
      </w:r>
    </w:p>
    <w:p w:rsidR="00E35DD1" w:rsidRPr="00E35DD1" w:rsidP="00E35DD1" w14:paraId="75E71417" w14:textId="1FC53C24">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00E35DD1" w:rsidRPr="00E35DD1" w:rsidP="00E35DD1" w14:paraId="76887CBB" w14:textId="77777777">
      <w:pPr>
        <w:pStyle w:val="P1-StandPara"/>
        <w:tabs>
          <w:tab w:val="left" w:pos="720"/>
          <w:tab w:val="right" w:leader="dot" w:pos="9504"/>
        </w:tabs>
        <w:spacing w:before="120" w:after="120"/>
        <w:rPr>
          <w:rFonts w:asciiTheme="minorHAnsi" w:hAnsiTheme="minorHAnsi"/>
          <w:szCs w:val="22"/>
        </w:rPr>
      </w:pPr>
    </w:p>
    <w:p w:rsidR="00E35DD1" w:rsidRPr="00E35DD1" w:rsidP="00BE76A7" w14:paraId="6D261043"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00E35DD1" w:rsidRPr="00E35DD1" w:rsidP="00BE76A7" w14:paraId="684ABDC4" w14:textId="0BDF02E5">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Name:</w:t>
      </w:r>
      <w:r w:rsidR="009A3E27">
        <w:rPr>
          <w:rFonts w:asciiTheme="minorHAnsi" w:hAnsiTheme="minorHAnsi"/>
          <w:szCs w:val="22"/>
        </w:rPr>
        <w:t xml:space="preserve"> Cesar E. Perez-Gonzalez</w:t>
      </w:r>
    </w:p>
    <w:p w:rsidR="009A3E27" w:rsidP="00BE76A7" w14:paraId="568ECE6C" w14:textId="7777777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Address:</w:t>
      </w:r>
      <w:r>
        <w:rPr>
          <w:rFonts w:asciiTheme="minorHAnsi" w:hAnsiTheme="minorHAnsi"/>
          <w:szCs w:val="22"/>
        </w:rPr>
        <w:t xml:space="preserve"> Building 31, Room 6A22</w:t>
      </w:r>
    </w:p>
    <w:p w:rsidR="00E35DD1" w:rsidP="00BE76A7" w14:paraId="165F09E8" w14:textId="3EDA6550">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ab/>
        <w:t xml:space="preserve">  31 Center Dr</w:t>
      </w:r>
    </w:p>
    <w:p w:rsidR="009A3E27" w:rsidRPr="00E35DD1" w:rsidP="00BE76A7" w14:paraId="5B6D8919" w14:textId="50DE9B96">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ab/>
        <w:t xml:space="preserve">  Bethesda, MD  20892</w:t>
      </w:r>
    </w:p>
    <w:p w:rsidR="00E35DD1" w:rsidRPr="00E35DD1" w:rsidP="00BE76A7" w14:paraId="570BCCDE" w14:textId="38A2CF83">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9A3E27">
        <w:rPr>
          <w:rFonts w:asciiTheme="minorHAnsi" w:hAnsiTheme="minorHAnsi"/>
          <w:szCs w:val="22"/>
        </w:rPr>
        <w:t xml:space="preserve">  301-827-7755</w:t>
      </w:r>
    </w:p>
    <w:p w:rsidR="00E35DD1" w:rsidRPr="00E35DD1" w:rsidP="00BE76A7" w14:paraId="7ABF3457" w14:textId="41D29431">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Fax:</w:t>
      </w:r>
      <w:r w:rsidR="009A3E27">
        <w:rPr>
          <w:rFonts w:asciiTheme="minorHAnsi" w:hAnsiTheme="minorHAnsi"/>
          <w:szCs w:val="22"/>
        </w:rPr>
        <w:t xml:space="preserve">  301-451-6764</w:t>
      </w:r>
    </w:p>
    <w:p w:rsidR="00E35DD1" w:rsidRPr="00E35DD1" w:rsidP="00BE76A7" w14:paraId="1447E9B1" w14:textId="427F70AE">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9A3E27">
        <w:rPr>
          <w:rFonts w:asciiTheme="minorHAnsi" w:hAnsiTheme="minorHAnsi"/>
          <w:szCs w:val="22"/>
        </w:rPr>
        <w:t xml:space="preserve">  cesarp@nei.nih.gov</w:t>
      </w:r>
    </w:p>
    <w:p w:rsidR="007E0332" w:rsidP="00E35DD1" w14:paraId="59C10F8D" w14:textId="77777777">
      <w:pPr>
        <w:pStyle w:val="P1-StandPara"/>
        <w:tabs>
          <w:tab w:val="left" w:pos="720"/>
          <w:tab w:val="right" w:leader="dot" w:pos="9504"/>
        </w:tabs>
        <w:spacing w:before="120" w:after="120"/>
        <w:rPr>
          <w:rFonts w:asciiTheme="minorHAnsi" w:hAnsiTheme="minorHAnsi"/>
          <w:b/>
          <w:szCs w:val="22"/>
          <w:u w:val="single"/>
        </w:rPr>
      </w:pPr>
    </w:p>
    <w:p w:rsidR="007E0332" w:rsidP="00E35DD1" w14:paraId="3605EE51" w14:textId="77777777">
      <w:pPr>
        <w:pStyle w:val="P1-StandPara"/>
        <w:tabs>
          <w:tab w:val="left" w:pos="720"/>
          <w:tab w:val="right" w:leader="dot" w:pos="9504"/>
        </w:tabs>
        <w:spacing w:before="120" w:after="120"/>
        <w:rPr>
          <w:rFonts w:asciiTheme="minorHAnsi" w:hAnsiTheme="minorHAnsi"/>
          <w:b/>
          <w:szCs w:val="22"/>
          <w:u w:val="single"/>
        </w:rPr>
      </w:pPr>
    </w:p>
    <w:p w:rsidR="00E35DD1" w:rsidRPr="00E35DD1" w:rsidP="00E35DD1" w14:paraId="245B699E" w14:textId="5E7E801E">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rsidR="00E35DD1" w:rsidRPr="00E35DD1" w:rsidP="00E35DD1" w14:paraId="61EF9CBA" w14:textId="18795893">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rsidR="00E35DD1" w:rsidRPr="00E35DD1" w:rsidP="00E35DD1" w14:paraId="405C6C9A" w14:textId="77777777">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rsidR="00E35DD1" w:rsidRPr="00E35DD1" w:rsidP="00E35DD1" w14:paraId="34BF3267" w14:textId="77777777">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rsidR="00E35DD1" w:rsidRPr="00E35DD1" w:rsidP="00E35DD1" w14:paraId="25FD66D2" w14:textId="77777777">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rsidR="00E35DD1" w:rsidRPr="00E35DD1" w:rsidP="00E35DD1" w14:paraId="055E521F" w14:textId="77777777">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rsidR="00E35DD1" w:rsidRPr="00E35DD1" w:rsidP="00E35DD1" w14:paraId="0E811BD9" w14:textId="77777777">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rsidR="00E35DD1" w:rsidRPr="00E35DD1" w:rsidP="00E35DD1" w14:paraId="0A160A3C" w14:textId="77777777">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rsidR="00E35DD1" w:rsidRPr="00E35DD1" w:rsidP="00E35DD1" w14:paraId="0A934E55" w14:textId="77777777">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rsidR="00E35DD1" w:rsidRPr="00E35DD1" w:rsidP="00E35DD1" w14:paraId="5030BEA3" w14:textId="77777777">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rsidR="00E35DD1" w:rsidRPr="00E35DD1" w:rsidP="00E35DD1" w14:paraId="790E500C" w14:textId="77777777">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rsidR="00E35DD1" w:rsidRPr="00E35DD1" w:rsidP="00E35DD1" w14:paraId="3521DE96" w14:textId="77777777">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rsidR="00E35DD1" w:rsidRPr="00E35DD1" w:rsidP="00E35DD1" w14:paraId="6F64EEA4" w14:textId="77777777">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rsidR="00E35DD1" w:rsidRPr="00E35DD1" w:rsidP="00E35DD1" w14:paraId="0E23F4BB" w14:textId="77777777">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rsidR="00E35DD1" w:rsidRPr="00E35DD1" w:rsidP="00E35DD1" w14:paraId="147053D2" w14:textId="77777777">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rsidR="00E35DD1" w:rsidRPr="00E35DD1" w:rsidP="00E35DD1" w14:paraId="344C675F" w14:textId="77777777">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rsidR="00E35DD1" w:rsidRPr="00E35DD1" w:rsidP="00E35DD1" w14:paraId="7226774F" w14:textId="77777777">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rsidR="00E35DD1" w:rsidRPr="00E35DD1" w:rsidP="00E35DD1" w14:paraId="48BBFCB2" w14:textId="77777777">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rsidR="00E35DD1" w:rsidRPr="00E35DD1" w:rsidP="00E35DD1" w14:paraId="6EDA2130" w14:textId="77777777">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rsidR="00E35DD1" w:rsidP="00E35DD1" w14:paraId="41381730" w14:textId="77777777">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rsidR="00E35DD1" w:rsidP="00ED5885" w14:paraId="31AA879B" w14:textId="79D9D31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p>
    <w:p w:rsidR="00634749" w:rsidP="00ED5885" w14:paraId="348339E6" w14:textId="3A70C7A4">
      <w:pPr>
        <w:pStyle w:val="P1-StandPara"/>
        <w:tabs>
          <w:tab w:val="left" w:pos="720"/>
          <w:tab w:val="right" w:leader="dot" w:pos="9504"/>
        </w:tabs>
        <w:spacing w:before="120" w:after="120"/>
        <w:rPr>
          <w:rFonts w:asciiTheme="minorHAnsi" w:hAnsiTheme="minorHAnsi"/>
          <w:szCs w:val="22"/>
        </w:rPr>
      </w:pPr>
    </w:p>
    <w:p w:rsidR="009867AD" w:rsidP="00ED5885" w14:paraId="13A7ACA8" w14:textId="77777777">
      <w:pPr>
        <w:pStyle w:val="P1-StandPara"/>
        <w:tabs>
          <w:tab w:val="left" w:pos="720"/>
          <w:tab w:val="right" w:leader="dot" w:pos="9504"/>
        </w:tabs>
        <w:spacing w:before="120" w:after="120"/>
        <w:rPr>
          <w:rFonts w:asciiTheme="minorHAnsi" w:hAnsiTheme="minorHAnsi"/>
          <w:szCs w:val="22"/>
        </w:rPr>
      </w:pPr>
    </w:p>
    <w:p w:rsidR="00B81429" w:rsidP="00BE76A7" w14:paraId="6C67AC7F" w14:textId="4C8E94B8">
      <w:pPr>
        <w:pStyle w:val="P1-StandPara"/>
        <w:tabs>
          <w:tab w:val="left" w:pos="720"/>
          <w:tab w:val="right" w:leader="dot" w:pos="9504"/>
        </w:tabs>
        <w:spacing w:before="120" w:after="120" w:line="240" w:lineRule="auto"/>
        <w:ind w:firstLine="0"/>
        <w:rPr>
          <w:rFonts w:asciiTheme="minorHAnsi" w:hAnsiTheme="minorHAnsi"/>
          <w:b/>
          <w:szCs w:val="22"/>
        </w:rPr>
      </w:pPr>
    </w:p>
    <w:p w:rsidR="00B81429" w14:paraId="317ED43A" w14:textId="77777777">
      <w:pPr>
        <w:rPr>
          <w:b/>
        </w:rPr>
      </w:pPr>
      <w:r>
        <w:rPr>
          <w:b/>
        </w:rPr>
        <w:t>ATTACHMENTS</w:t>
      </w:r>
    </w:p>
    <w:p w:rsidR="00B81429" w14:paraId="4C3EB8DB" w14:textId="77777777">
      <w:pPr>
        <w:rPr>
          <w:b/>
        </w:rPr>
      </w:pPr>
    </w:p>
    <w:p w:rsidR="00B81429" w:rsidRPr="00CF1751" w:rsidP="00B81429" w14:paraId="1D468366"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 xml:space="preserve">Attachment 1 - Initial </w:t>
      </w:r>
      <w:r w:rsidRPr="00CF1751">
        <w:rPr>
          <w:rFonts w:asciiTheme="minorHAnsi" w:hAnsiTheme="minorHAnsi"/>
          <w:szCs w:val="22"/>
        </w:rPr>
        <w:t>eIDP</w:t>
      </w:r>
      <w:r w:rsidRPr="00CF1751">
        <w:rPr>
          <w:rFonts w:asciiTheme="minorHAnsi" w:hAnsiTheme="minorHAnsi"/>
          <w:szCs w:val="22"/>
        </w:rPr>
        <w:t xml:space="preserve"> Trainees Screenshots</w:t>
      </w:r>
    </w:p>
    <w:p w:rsidR="00B81429" w:rsidP="00B81429" w14:paraId="352BB1BA"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 xml:space="preserve">Attachment 2 - Exit Survey </w:t>
      </w:r>
      <w:r>
        <w:rPr>
          <w:rFonts w:asciiTheme="minorHAnsi" w:hAnsiTheme="minorHAnsi"/>
          <w:szCs w:val="22"/>
        </w:rPr>
        <w:t xml:space="preserve">Part 1 </w:t>
      </w:r>
      <w:r w:rsidRPr="00CF1751">
        <w:rPr>
          <w:rFonts w:asciiTheme="minorHAnsi" w:hAnsiTheme="minorHAnsi"/>
          <w:szCs w:val="22"/>
        </w:rPr>
        <w:t xml:space="preserve">Screenshots </w:t>
      </w:r>
    </w:p>
    <w:p w:rsidR="00B81429" w:rsidRPr="00CF1751" w:rsidP="00B81429" w14:paraId="684E05F5"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 xml:space="preserve">Attachment </w:t>
      </w:r>
      <w:r>
        <w:rPr>
          <w:rFonts w:asciiTheme="minorHAnsi" w:hAnsiTheme="minorHAnsi"/>
          <w:szCs w:val="22"/>
        </w:rPr>
        <w:t>3</w:t>
      </w:r>
      <w:r w:rsidRPr="00CF1751">
        <w:rPr>
          <w:rFonts w:asciiTheme="minorHAnsi" w:hAnsiTheme="minorHAnsi"/>
          <w:szCs w:val="22"/>
        </w:rPr>
        <w:t xml:space="preserve"> - Exit Survey </w:t>
      </w:r>
      <w:r>
        <w:rPr>
          <w:rFonts w:asciiTheme="minorHAnsi" w:hAnsiTheme="minorHAnsi"/>
          <w:szCs w:val="22"/>
        </w:rPr>
        <w:t xml:space="preserve">Part 2 </w:t>
      </w:r>
      <w:r w:rsidRPr="00CF1751">
        <w:rPr>
          <w:rFonts w:asciiTheme="minorHAnsi" w:hAnsiTheme="minorHAnsi"/>
          <w:szCs w:val="22"/>
        </w:rPr>
        <w:t>Screenshots</w:t>
      </w:r>
    </w:p>
    <w:p w:rsidR="00B81429" w:rsidRPr="00CF1751" w:rsidP="00B81429" w14:paraId="14477C98"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 xml:space="preserve">Attachment </w:t>
      </w:r>
      <w:r>
        <w:rPr>
          <w:rFonts w:asciiTheme="minorHAnsi" w:hAnsiTheme="minorHAnsi"/>
          <w:szCs w:val="22"/>
        </w:rPr>
        <w:t>4</w:t>
      </w:r>
      <w:r w:rsidRPr="00CF1751">
        <w:rPr>
          <w:rFonts w:asciiTheme="minorHAnsi" w:hAnsiTheme="minorHAnsi"/>
          <w:szCs w:val="22"/>
        </w:rPr>
        <w:t xml:space="preserve"> - Email Notification</w:t>
      </w:r>
    </w:p>
    <w:p w:rsidR="00B81429" w:rsidP="00B81429" w14:paraId="15839EF9" w14:textId="77777777">
      <w:pPr>
        <w:pStyle w:val="P1-StandPara"/>
        <w:tabs>
          <w:tab w:val="left" w:pos="720"/>
          <w:tab w:val="right" w:leader="dot" w:pos="9504"/>
        </w:tabs>
        <w:spacing w:before="120" w:after="120"/>
        <w:rPr>
          <w:rFonts w:asciiTheme="minorHAnsi" w:hAnsiTheme="minorHAnsi"/>
          <w:szCs w:val="22"/>
        </w:rPr>
      </w:pPr>
      <w:r w:rsidRPr="00CF1751">
        <w:rPr>
          <w:rFonts w:asciiTheme="minorHAnsi" w:hAnsiTheme="minorHAnsi"/>
          <w:szCs w:val="22"/>
        </w:rPr>
        <w:t xml:space="preserve">Attachment </w:t>
      </w:r>
      <w:r>
        <w:rPr>
          <w:rFonts w:asciiTheme="minorHAnsi" w:hAnsiTheme="minorHAnsi"/>
          <w:szCs w:val="22"/>
        </w:rPr>
        <w:t>5</w:t>
      </w:r>
      <w:r w:rsidRPr="00CF1751">
        <w:rPr>
          <w:rFonts w:asciiTheme="minorHAnsi" w:hAnsiTheme="minorHAnsi"/>
          <w:szCs w:val="22"/>
        </w:rPr>
        <w:t xml:space="preserve"> - Privacy Impact Assessment (PIA)</w:t>
      </w:r>
    </w:p>
    <w:p w:rsidR="00B81429" w14:paraId="14EC369B" w14:textId="69A07894">
      <w:pPr>
        <w:rPr>
          <w:rFonts w:eastAsia="Times New Roman" w:cs="Times New Roman"/>
          <w:b/>
        </w:rPr>
      </w:pPr>
      <w:r>
        <w:rPr>
          <w:b/>
        </w:rPr>
        <w:br w:type="page"/>
      </w:r>
    </w:p>
    <w:p w:rsidR="00976490" w:rsidP="00BE76A7" w14:paraId="650A05D4"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6A45F9" w:rsidP="00BE76A7" w14:paraId="605173DA" w14:textId="7777777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b/>
          <w:szCs w:val="22"/>
        </w:rPr>
        <w:t xml:space="preserve">A. </w:t>
      </w:r>
      <w:r w:rsidRPr="00BE76A7" w:rsidR="00BE76A7">
        <w:rPr>
          <w:rFonts w:asciiTheme="minorHAnsi" w:hAnsiTheme="minorHAnsi"/>
          <w:b/>
          <w:szCs w:val="22"/>
        </w:rPr>
        <w:t>Justification</w:t>
      </w:r>
    </w:p>
    <w:p w:rsidR="007149C3" w:rsidP="007149C3" w14:paraId="1BB8D05F" w14:textId="0915798B">
      <w:pPr>
        <w:pStyle w:val="P1-StandPara"/>
        <w:tabs>
          <w:tab w:val="left" w:pos="720"/>
          <w:tab w:val="right" w:leader="dot" w:pos="9504"/>
        </w:tabs>
        <w:spacing w:before="120" w:after="120" w:line="240" w:lineRule="auto"/>
        <w:ind w:firstLine="0"/>
        <w:rPr>
          <w:rFonts w:asciiTheme="minorHAnsi" w:hAnsiTheme="minorHAnsi"/>
          <w:szCs w:val="22"/>
        </w:rPr>
      </w:pPr>
      <w:bookmarkStart w:id="0" w:name="_Hlk80125609"/>
      <w:r w:rsidRPr="00CF1751">
        <w:rPr>
          <w:rFonts w:asciiTheme="minorHAnsi" w:hAnsiTheme="minorHAnsi"/>
          <w:szCs w:val="22"/>
        </w:rPr>
        <w:t xml:space="preserve">This </w:t>
      </w:r>
      <w:r>
        <w:rPr>
          <w:rFonts w:asciiTheme="minorHAnsi" w:hAnsiTheme="minorHAnsi"/>
          <w:szCs w:val="22"/>
        </w:rPr>
        <w:t xml:space="preserve">is to request </w:t>
      </w:r>
      <w:r w:rsidR="009B7B6A">
        <w:rPr>
          <w:rFonts w:asciiTheme="minorHAnsi" w:hAnsiTheme="minorHAnsi"/>
          <w:szCs w:val="22"/>
        </w:rPr>
        <w:t xml:space="preserve">approval </w:t>
      </w:r>
      <w:r w:rsidR="007E51FA">
        <w:rPr>
          <w:rFonts w:asciiTheme="minorHAnsi" w:hAnsiTheme="minorHAnsi"/>
          <w:szCs w:val="22"/>
        </w:rPr>
        <w:t xml:space="preserve">for the continued use of </w:t>
      </w:r>
      <w:r w:rsidRPr="00CF1751">
        <w:rPr>
          <w:rFonts w:asciiTheme="minorHAnsi" w:hAnsiTheme="minorHAnsi"/>
          <w:szCs w:val="22"/>
        </w:rPr>
        <w:t>an electronic Individual Development Plan (</w:t>
      </w:r>
      <w:r w:rsidRPr="00CF1751">
        <w:rPr>
          <w:rFonts w:asciiTheme="minorHAnsi" w:hAnsiTheme="minorHAnsi"/>
          <w:szCs w:val="22"/>
        </w:rPr>
        <w:t>eIDP</w:t>
      </w:r>
      <w:r w:rsidRPr="00CF1751">
        <w:rPr>
          <w:rFonts w:asciiTheme="minorHAnsi" w:hAnsiTheme="minorHAnsi"/>
          <w:szCs w:val="22"/>
        </w:rPr>
        <w:t>), with an exit survey.</w:t>
      </w:r>
      <w:r>
        <w:rPr>
          <w:rFonts w:asciiTheme="minorHAnsi" w:hAnsiTheme="minorHAnsi"/>
          <w:szCs w:val="22"/>
        </w:rPr>
        <w:t xml:space="preserve"> </w:t>
      </w:r>
      <w:r w:rsidRPr="00CF1751">
        <w:rPr>
          <w:rFonts w:asciiTheme="minorHAnsi" w:hAnsiTheme="minorHAnsi"/>
          <w:szCs w:val="22"/>
        </w:rPr>
        <w:t xml:space="preserve">Completing an </w:t>
      </w:r>
      <w:r>
        <w:rPr>
          <w:rFonts w:asciiTheme="minorHAnsi" w:hAnsiTheme="minorHAnsi"/>
          <w:szCs w:val="22"/>
        </w:rPr>
        <w:t>e</w:t>
      </w:r>
      <w:r w:rsidRPr="00CF1751">
        <w:rPr>
          <w:rFonts w:asciiTheme="minorHAnsi" w:hAnsiTheme="minorHAnsi"/>
          <w:szCs w:val="22"/>
        </w:rPr>
        <w:t>IDP</w:t>
      </w:r>
      <w:r w:rsidRPr="00CF1751">
        <w:rPr>
          <w:rFonts w:asciiTheme="minorHAnsi" w:hAnsiTheme="minorHAnsi"/>
          <w:szCs w:val="22"/>
        </w:rPr>
        <w:t xml:space="preserve"> is a crucial step in </w:t>
      </w:r>
      <w:r>
        <w:rPr>
          <w:rFonts w:asciiTheme="minorHAnsi" w:hAnsiTheme="minorHAnsi"/>
          <w:szCs w:val="22"/>
        </w:rPr>
        <w:t xml:space="preserve">a </w:t>
      </w:r>
      <w:r w:rsidRPr="00CF1751">
        <w:rPr>
          <w:rFonts w:asciiTheme="minorHAnsi" w:hAnsiTheme="minorHAnsi"/>
          <w:szCs w:val="22"/>
        </w:rPr>
        <w:t>trainees’ professional development and is a standard in graduate and postdoctoral education. An IDP is an effective tool for trainees to think about their career goals and skills needed to achieve them during their time at the NEI. Trainees work together with their research mentor to organize an</w:t>
      </w:r>
      <w:r>
        <w:rPr>
          <w:rFonts w:asciiTheme="minorHAnsi" w:hAnsiTheme="minorHAnsi"/>
          <w:szCs w:val="22"/>
        </w:rPr>
        <w:t>d describe</w:t>
      </w:r>
      <w:r w:rsidRPr="00CF1751">
        <w:rPr>
          <w:rFonts w:asciiTheme="minorHAnsi" w:hAnsiTheme="minorHAnsi"/>
          <w:szCs w:val="22"/>
        </w:rPr>
        <w:t xml:space="preserve"> their research projects, consider career </w:t>
      </w:r>
      <w:r>
        <w:rPr>
          <w:rFonts w:asciiTheme="minorHAnsi" w:hAnsiTheme="minorHAnsi"/>
          <w:szCs w:val="22"/>
        </w:rPr>
        <w:t>path</w:t>
      </w:r>
      <w:r w:rsidRPr="00CF1751">
        <w:rPr>
          <w:rFonts w:asciiTheme="minorHAnsi" w:hAnsiTheme="minorHAnsi"/>
          <w:szCs w:val="22"/>
        </w:rPr>
        <w:t>s, and set training goals and expectations.</w:t>
      </w:r>
      <w:r w:rsidR="00611B50">
        <w:rPr>
          <w:rFonts w:asciiTheme="minorHAnsi" w:hAnsiTheme="minorHAnsi"/>
          <w:szCs w:val="22"/>
        </w:rPr>
        <w:t xml:space="preserve"> The information provided by the trainee on their proposed project, for example,</w:t>
      </w:r>
      <w:r w:rsidR="007E51FA">
        <w:rPr>
          <w:rFonts w:asciiTheme="minorHAnsi" w:hAnsiTheme="minorHAnsi"/>
          <w:szCs w:val="22"/>
        </w:rPr>
        <w:t xml:space="preserve"> </w:t>
      </w:r>
      <w:r w:rsidR="00611B50">
        <w:rPr>
          <w:rFonts w:asciiTheme="minorHAnsi" w:hAnsiTheme="minorHAnsi"/>
          <w:szCs w:val="22"/>
        </w:rPr>
        <w:t>help</w:t>
      </w:r>
      <w:r w:rsidR="007E51FA">
        <w:rPr>
          <w:rFonts w:asciiTheme="minorHAnsi" w:hAnsiTheme="minorHAnsi"/>
          <w:szCs w:val="22"/>
        </w:rPr>
        <w:t>s</w:t>
      </w:r>
      <w:r w:rsidR="00611B50">
        <w:rPr>
          <w:rFonts w:asciiTheme="minorHAnsi" w:hAnsiTheme="minorHAnsi"/>
          <w:szCs w:val="22"/>
        </w:rPr>
        <w:t xml:space="preserve"> their mentor judge the merits and feasibility of </w:t>
      </w:r>
      <w:r w:rsidR="008812FA">
        <w:rPr>
          <w:rFonts w:asciiTheme="minorHAnsi" w:hAnsiTheme="minorHAnsi"/>
          <w:szCs w:val="22"/>
        </w:rPr>
        <w:t>said</w:t>
      </w:r>
      <w:r w:rsidR="00611B50">
        <w:rPr>
          <w:rFonts w:asciiTheme="minorHAnsi" w:hAnsiTheme="minorHAnsi"/>
          <w:szCs w:val="22"/>
        </w:rPr>
        <w:t xml:space="preserve"> project, helping </w:t>
      </w:r>
      <w:r w:rsidR="008812FA">
        <w:rPr>
          <w:rFonts w:asciiTheme="minorHAnsi" w:hAnsiTheme="minorHAnsi"/>
          <w:szCs w:val="22"/>
        </w:rPr>
        <w:t xml:space="preserve">identify problems early on and prevent possible delays. As research training at the NIH is time-limited (for example, postdoctoral fellows can only stay five years without special permission) and the types of research emphasized at the NIH and NEI are </w:t>
      </w:r>
      <w:r w:rsidR="00111DD0">
        <w:rPr>
          <w:rFonts w:asciiTheme="minorHAnsi" w:hAnsiTheme="minorHAnsi"/>
          <w:szCs w:val="22"/>
        </w:rPr>
        <w:t xml:space="preserve">high-risk/high-reward projects that typically span much of the trainee’s tenure, </w:t>
      </w:r>
      <w:r w:rsidR="007E51FA">
        <w:rPr>
          <w:rFonts w:asciiTheme="minorHAnsi" w:hAnsiTheme="minorHAnsi"/>
          <w:szCs w:val="22"/>
        </w:rPr>
        <w:t xml:space="preserve">the use of </w:t>
      </w:r>
      <w:r w:rsidR="00111DD0">
        <w:rPr>
          <w:rFonts w:asciiTheme="minorHAnsi" w:hAnsiTheme="minorHAnsi"/>
          <w:szCs w:val="22"/>
        </w:rPr>
        <w:t xml:space="preserve">the project section in the </w:t>
      </w:r>
      <w:r w:rsidR="00111DD0">
        <w:rPr>
          <w:rFonts w:asciiTheme="minorHAnsi" w:hAnsiTheme="minorHAnsi"/>
          <w:szCs w:val="22"/>
        </w:rPr>
        <w:t>eIDP</w:t>
      </w:r>
      <w:r w:rsidR="00111DD0">
        <w:rPr>
          <w:rFonts w:asciiTheme="minorHAnsi" w:hAnsiTheme="minorHAnsi"/>
          <w:szCs w:val="22"/>
        </w:rPr>
        <w:t xml:space="preserve"> assist</w:t>
      </w:r>
      <w:r w:rsidR="007E51FA">
        <w:rPr>
          <w:rFonts w:asciiTheme="minorHAnsi" w:hAnsiTheme="minorHAnsi"/>
          <w:szCs w:val="22"/>
        </w:rPr>
        <w:t>s</w:t>
      </w:r>
      <w:r w:rsidR="00111DD0">
        <w:rPr>
          <w:rFonts w:asciiTheme="minorHAnsi" w:hAnsiTheme="minorHAnsi"/>
          <w:szCs w:val="22"/>
        </w:rPr>
        <w:t xml:space="preserve"> mentors and mentees in aligning their goals and </w:t>
      </w:r>
      <w:r w:rsidR="007E51FA">
        <w:rPr>
          <w:rFonts w:asciiTheme="minorHAnsi" w:hAnsiTheme="minorHAnsi"/>
          <w:szCs w:val="22"/>
        </w:rPr>
        <w:t xml:space="preserve">has </w:t>
      </w:r>
      <w:r w:rsidR="00111DD0">
        <w:rPr>
          <w:rFonts w:asciiTheme="minorHAnsi" w:hAnsiTheme="minorHAnsi"/>
          <w:szCs w:val="22"/>
        </w:rPr>
        <w:t>ensur</w:t>
      </w:r>
      <w:r w:rsidR="007E51FA">
        <w:rPr>
          <w:rFonts w:asciiTheme="minorHAnsi" w:hAnsiTheme="minorHAnsi"/>
          <w:szCs w:val="22"/>
        </w:rPr>
        <w:t>ed</w:t>
      </w:r>
      <w:r w:rsidR="00111DD0">
        <w:rPr>
          <w:rFonts w:asciiTheme="minorHAnsi" w:hAnsiTheme="minorHAnsi"/>
          <w:szCs w:val="22"/>
        </w:rPr>
        <w:t xml:space="preserve"> that projects are well thought out and planned to avoid delays.</w:t>
      </w:r>
      <w:r w:rsidR="0097238E">
        <w:rPr>
          <w:rFonts w:asciiTheme="minorHAnsi" w:hAnsiTheme="minorHAnsi"/>
          <w:szCs w:val="22"/>
        </w:rPr>
        <w:t xml:space="preserve"> Additionally, in case of a dispute on the direction of a project, the mentor and mentee can refer back to what’s proposed within the </w:t>
      </w:r>
      <w:r w:rsidR="0097238E">
        <w:rPr>
          <w:rFonts w:asciiTheme="minorHAnsi" w:hAnsiTheme="minorHAnsi"/>
          <w:szCs w:val="22"/>
        </w:rPr>
        <w:t>eIDP</w:t>
      </w:r>
      <w:r w:rsidR="0097238E">
        <w:rPr>
          <w:rFonts w:asciiTheme="minorHAnsi" w:hAnsiTheme="minorHAnsi"/>
          <w:szCs w:val="22"/>
        </w:rPr>
        <w:t>.</w:t>
      </w:r>
    </w:p>
    <w:p w:rsidR="007149C3" w:rsidP="007149C3" w14:paraId="1C1E8A7B" w14:textId="6C6C958B">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 xml:space="preserve">The </w:t>
      </w:r>
      <w:r>
        <w:rPr>
          <w:rFonts w:asciiTheme="minorHAnsi" w:hAnsiTheme="minorHAnsi"/>
          <w:szCs w:val="22"/>
        </w:rPr>
        <w:t>eIDP</w:t>
      </w:r>
      <w:r>
        <w:rPr>
          <w:rFonts w:asciiTheme="minorHAnsi" w:hAnsiTheme="minorHAnsi"/>
          <w:szCs w:val="22"/>
        </w:rPr>
        <w:t xml:space="preserve"> involve</w:t>
      </w:r>
      <w:r w:rsidR="007E51FA">
        <w:rPr>
          <w:rFonts w:asciiTheme="minorHAnsi" w:hAnsiTheme="minorHAnsi"/>
          <w:szCs w:val="22"/>
        </w:rPr>
        <w:t>s</w:t>
      </w:r>
      <w:r>
        <w:rPr>
          <w:rFonts w:asciiTheme="minorHAnsi" w:hAnsiTheme="minorHAnsi"/>
          <w:szCs w:val="22"/>
        </w:rPr>
        <w:t xml:space="preserve"> an initial assessment when a trainee starts at the NEI and then collected annually afterwards to track progress as they complete their fellowship. The </w:t>
      </w:r>
      <w:r>
        <w:rPr>
          <w:rFonts w:asciiTheme="minorHAnsi" w:hAnsiTheme="minorHAnsi"/>
          <w:szCs w:val="22"/>
        </w:rPr>
        <w:t>eIDP</w:t>
      </w:r>
      <w:r>
        <w:rPr>
          <w:rFonts w:asciiTheme="minorHAnsi" w:hAnsiTheme="minorHAnsi"/>
          <w:szCs w:val="22"/>
        </w:rPr>
        <w:t xml:space="preserve"> system also includes an exit survey to collect outcomes data and assess the mentoring environment in the Intramural Research Program.</w:t>
      </w:r>
    </w:p>
    <w:p w:rsidR="009B7B6A" w:rsidRPr="00BE76A7" w:rsidP="007149C3" w14:paraId="5186551E" w14:textId="77777777">
      <w:pPr>
        <w:pStyle w:val="P1-StandPara"/>
        <w:tabs>
          <w:tab w:val="left" w:pos="720"/>
          <w:tab w:val="right" w:leader="dot" w:pos="9504"/>
        </w:tabs>
        <w:spacing w:before="120" w:after="120" w:line="240" w:lineRule="auto"/>
        <w:ind w:firstLine="0"/>
        <w:rPr>
          <w:rFonts w:asciiTheme="minorHAnsi" w:hAnsiTheme="minorHAnsi"/>
          <w:b/>
          <w:szCs w:val="22"/>
          <w:u w:val="single"/>
        </w:rPr>
      </w:pPr>
    </w:p>
    <w:bookmarkEnd w:id="0"/>
    <w:p w:rsidR="000F3043" w:rsidRPr="00E35DD1" w:rsidP="000F3043" w14:paraId="278F4695" w14:textId="77777777">
      <w:pPr>
        <w:pStyle w:val="P1-StandPara"/>
        <w:tabs>
          <w:tab w:val="left" w:pos="720"/>
          <w:tab w:val="right" w:leader="dot" w:pos="9504"/>
        </w:tabs>
        <w:spacing w:before="120" w:after="120"/>
        <w:ind w:firstLine="0"/>
        <w:rPr>
          <w:rFonts w:asciiTheme="minorHAnsi" w:hAnsiTheme="minorHAnsi"/>
          <w:b/>
          <w:szCs w:val="22"/>
        </w:rPr>
      </w:pPr>
      <w:r w:rsidRPr="00E35DD1">
        <w:rPr>
          <w:rFonts w:asciiTheme="minorHAnsi" w:hAnsiTheme="minorHAnsi"/>
          <w:b/>
          <w:szCs w:val="22"/>
        </w:rPr>
        <w:t>A.1</w:t>
      </w:r>
      <w:r w:rsidRPr="00E35DD1">
        <w:rPr>
          <w:rFonts w:asciiTheme="minorHAnsi" w:hAnsiTheme="minorHAnsi"/>
          <w:b/>
          <w:szCs w:val="22"/>
        </w:rPr>
        <w:tab/>
        <w:t>Circumstances Making the Collection of Information Necessary</w:t>
      </w:r>
    </w:p>
    <w:p w:rsidR="0040025C" w:rsidP="0040025C" w14:paraId="5F6A30B0" w14:textId="7FD6467F">
      <w:r w:rsidRPr="0040025C">
        <w:t xml:space="preserve">One of the goals of the National Eye Institute’s (NEI) Intramural Research Program (IRP) is to train and support the next generation of vision science researchers and ophthalmologists. Trainees come to the NEI with various educational levels (student, postbaccalaureate, graduate students, postdoctoral fellows) and for varying periods of time (6 months to 5 years). Training at the NEI focuses not only on the development of scientific and technical skills of our trainees but also their professional and career skills. </w:t>
      </w:r>
      <w:bookmarkStart w:id="1" w:name="_Hlk80125448"/>
      <w:r w:rsidR="007E51FA">
        <w:t>The c</w:t>
      </w:r>
      <w:r w:rsidRPr="0040025C">
        <w:t>ompleti</w:t>
      </w:r>
      <w:r w:rsidR="007E51FA">
        <w:t>on</w:t>
      </w:r>
      <w:r w:rsidRPr="0040025C">
        <w:t xml:space="preserve"> </w:t>
      </w:r>
      <w:r w:rsidR="007E51FA">
        <w:t xml:space="preserve">of </w:t>
      </w:r>
      <w:r w:rsidRPr="0040025C">
        <w:t xml:space="preserve">an annual Individual Development Plan (IDP) </w:t>
      </w:r>
      <w:r w:rsidR="007E51FA">
        <w:t>ha</w:t>
      </w:r>
      <w:r w:rsidRPr="0040025C">
        <w:t xml:space="preserve">s </w:t>
      </w:r>
      <w:r w:rsidR="007E51FA">
        <w:t xml:space="preserve">served </w:t>
      </w:r>
      <w:r w:rsidRPr="0040025C">
        <w:t>a crucial step in facilitating trainees’ professional development and is a standard in graduate and postdoctoral education. An IDP is an effective tool for trainees to think about their career goals and skills needed to achieve them during their time at the NEI. Trainees work together with their research mentor to organize and summarize their research projects, consider career goals, and set training goals and expectations.</w:t>
      </w:r>
      <w:r w:rsidR="00111DD0">
        <w:t xml:space="preserve"> Trainees can also use the </w:t>
      </w:r>
      <w:r w:rsidR="00111DD0">
        <w:t>eIDP</w:t>
      </w:r>
      <w:r w:rsidR="00111DD0">
        <w:t xml:space="preserve"> to work with the Training Director to address deficiencies in training that can negatively affect career plans; for example, if a trainee expresses interests in science writing jobs</w:t>
      </w:r>
      <w:r w:rsidR="0097238E">
        <w:t xml:space="preserve"> but do not have much a publication record or training in writing for certain audiences, the Training Director can advise the trainee on coursework available at the NIH</w:t>
      </w:r>
      <w:r w:rsidR="00BD7939">
        <w:t xml:space="preserve"> or other opportunities to help the trainee move to the next stage of their career.</w:t>
      </w:r>
      <w:r w:rsidR="00C674A0">
        <w:t xml:space="preserve"> Using the </w:t>
      </w:r>
      <w:r w:rsidR="00C674A0">
        <w:t>eIDP</w:t>
      </w:r>
      <w:r w:rsidR="00C674A0">
        <w:t>, a Training Director can provide information on possible career paths and the training required.</w:t>
      </w:r>
      <w:r w:rsidR="00AF7D29">
        <w:t xml:space="preserve"> </w:t>
      </w:r>
    </w:p>
    <w:p w:rsidR="00BD7939" w:rsidP="0040025C" w14:paraId="4E1AA44A" w14:textId="2DA8F60F">
      <w:r>
        <w:t xml:space="preserve">Additionally, a component of the </w:t>
      </w:r>
      <w:r>
        <w:t>eIDP</w:t>
      </w:r>
      <w:r>
        <w:t xml:space="preserve"> allows a mentor to outline clear expectations on not only research projects but also on meeting frequency, lab culture, and other information that can help acclimate a trainee easier into the </w:t>
      </w:r>
      <w:r w:rsidR="00374441">
        <w:t xml:space="preserve">laboratory and potentially head off disputes. </w:t>
      </w:r>
      <w:r w:rsidR="00074782">
        <w:t>It also allows the trainee to provide their input on their needs when it coms to the culture of the lab, for example, a fellow who needs additional guidance may request more frequent meetings w</w:t>
      </w:r>
      <w:r w:rsidR="00C674A0">
        <w:t>ith their mentor.</w:t>
      </w:r>
    </w:p>
    <w:p w:rsidR="00C674A0" w:rsidP="0040025C" w14:paraId="45F47843" w14:textId="2729C54C">
      <w:r>
        <w:t xml:space="preserve">The exit survey data will be useful in not only collecting important outcomes data on where our </w:t>
      </w:r>
      <w:r w:rsidR="00F61BEC">
        <w:t xml:space="preserve">trainees end up after they complete their time at the NEI, which is periodically requested by NIH leadership and </w:t>
      </w:r>
      <w:r w:rsidR="00F61BEC">
        <w:t xml:space="preserve">other Federal agencies such as the National Science Foundation, but also potentially identifying issues with mentors that could necessitate intervention by NEI leadership. It can also identify deficiencies in the NEI Training Program that the Training Director needs to address. For example, if the majority of exit surveys show that trainees feel that they are not getting adequate training in </w:t>
      </w:r>
      <w:r w:rsidR="009D4541">
        <w:t>grant writing, the Training Director can look at available options to provide that training for future trainees.</w:t>
      </w:r>
    </w:p>
    <w:bookmarkEnd w:id="1"/>
    <w:p w:rsidR="0040025C" w:rsidRPr="0040025C" w:rsidP="0040025C" w14:paraId="6D988778" w14:textId="760771BA">
      <w:r w:rsidRPr="0040025C">
        <w:t xml:space="preserve">The data collected comes from a detailed questionnaire focused on responses to career and professional goals and expectations while the trainee is at the NEI. It is expected that the trainees will complete the </w:t>
      </w:r>
      <w:r w:rsidRPr="0040025C">
        <w:t>eIDP</w:t>
      </w:r>
      <w:r w:rsidRPr="0040025C">
        <w:t xml:space="preserve"> annually and that their scientific and career development could be improved by their responses. </w:t>
      </w:r>
      <w:r w:rsidR="009D4541">
        <w:t xml:space="preserve">Doing an annual revision </w:t>
      </w:r>
      <w:r w:rsidR="0027466E">
        <w:t xml:space="preserve">of the </w:t>
      </w:r>
      <w:r w:rsidR="0027466E">
        <w:t>eIDP</w:t>
      </w:r>
      <w:r w:rsidR="0027466E">
        <w:t xml:space="preserve"> </w:t>
      </w:r>
      <w:r w:rsidR="009D4541">
        <w:t xml:space="preserve">will allow both the </w:t>
      </w:r>
      <w:r w:rsidR="0027466E">
        <w:t xml:space="preserve">mentor and mentee to adequately determine timelines for completion, address issues that could delay publication of results, and identify whether resources should continue to be provided to a particular project or if it should be discontinued in the best interests of the mentor and mentee. </w:t>
      </w:r>
      <w:r w:rsidRPr="0040025C">
        <w:t xml:space="preserve">The effectiveness of training could also be enhanced by the reports received by the trainees completing the </w:t>
      </w:r>
      <w:r w:rsidRPr="0040025C">
        <w:t>eIDP</w:t>
      </w:r>
      <w:r w:rsidRPr="0040025C">
        <w:t xml:space="preserve">. The </w:t>
      </w:r>
      <w:r w:rsidRPr="0040025C">
        <w:t>eIDP</w:t>
      </w:r>
      <w:r w:rsidRPr="0040025C">
        <w:t xml:space="preserve"> fulfills the requirements of the National Institutes of Health’s training authority as established under: the Public Health Service Act, </w:t>
      </w:r>
      <w:r>
        <w:fldChar w:fldCharType="begin"/>
      </w:r>
      <w:r w:rsidRPr="0040025C">
        <w:rPr>
          <w:rStyle w:val="Hyperlink"/>
        </w:rPr>
        <w:instrText xml:space="preserve"> HYPERLINK "https://www.law.cornell.edu/uscode/text/42" </w:instrText>
      </w:r>
      <w:r>
        <w:fldChar w:fldCharType="separate"/>
      </w:r>
      <w:r w:rsidRPr="0040025C">
        <w:rPr>
          <w:rStyle w:val="Hyperlink"/>
        </w:rPr>
        <w:t>42</w:t>
      </w:r>
      <w:r>
        <w:fldChar w:fldCharType="end"/>
      </w:r>
      <w:r w:rsidRPr="0040025C">
        <w:t xml:space="preserve"> U.S.C. </w:t>
      </w:r>
      <w:r>
        <w:fldChar w:fldCharType="begin"/>
      </w:r>
      <w:r w:rsidRPr="0040025C">
        <w:rPr>
          <w:rStyle w:val="Hyperlink"/>
        </w:rPr>
        <w:instrText xml:space="preserve"> HYPERLINK "https://www.law.cornell.edu/uscode/text/42/216" </w:instrText>
      </w:r>
      <w:r>
        <w:fldChar w:fldCharType="separate"/>
      </w:r>
      <w:r w:rsidRPr="0040025C">
        <w:rPr>
          <w:rStyle w:val="Hyperlink"/>
        </w:rPr>
        <w:t>216</w:t>
      </w:r>
      <w:r>
        <w:fldChar w:fldCharType="end"/>
      </w:r>
      <w:r w:rsidRPr="0040025C">
        <w:t xml:space="preserve">, </w:t>
      </w:r>
      <w:r>
        <w:fldChar w:fldCharType="begin"/>
      </w:r>
      <w:r w:rsidRPr="0040025C">
        <w:rPr>
          <w:rStyle w:val="Hyperlink"/>
        </w:rPr>
        <w:instrText xml:space="preserve"> HYPERLINK "https://www.law.cornell.edu/uscode/text/42/282" \l "b_13" </w:instrText>
      </w:r>
      <w:r>
        <w:fldChar w:fldCharType="separate"/>
      </w:r>
      <w:r w:rsidRPr="0040025C">
        <w:rPr>
          <w:rStyle w:val="Hyperlink"/>
        </w:rPr>
        <w:t>282(b)(13)</w:t>
      </w:r>
      <w:r>
        <w:fldChar w:fldCharType="end"/>
      </w:r>
      <w:r w:rsidRPr="0040025C">
        <w:t xml:space="preserve">, </w:t>
      </w:r>
      <w:r>
        <w:fldChar w:fldCharType="begin"/>
      </w:r>
      <w:r w:rsidRPr="0040025C">
        <w:rPr>
          <w:rStyle w:val="Hyperlink"/>
        </w:rPr>
        <w:instrText xml:space="preserve"> HYPERLINK "https://www.law.cornell.edu/uscode/text/42/284" \l "b_1_C" </w:instrText>
      </w:r>
      <w:r>
        <w:fldChar w:fldCharType="separate"/>
      </w:r>
      <w:r w:rsidRPr="0040025C">
        <w:rPr>
          <w:rStyle w:val="Hyperlink"/>
        </w:rPr>
        <w:t>284(b)(1)(C)</w:t>
      </w:r>
      <w:r>
        <w:fldChar w:fldCharType="end"/>
      </w:r>
      <w:r w:rsidRPr="0040025C">
        <w:t xml:space="preserve">, </w:t>
      </w:r>
      <w:r>
        <w:fldChar w:fldCharType="begin"/>
      </w:r>
      <w:r w:rsidRPr="0040025C">
        <w:rPr>
          <w:rStyle w:val="Hyperlink"/>
        </w:rPr>
        <w:instrText xml:space="preserve"> HYPERLINK "https://www.law.cornell.edu/uscode/text/42/285a-2" \l "b_3" </w:instrText>
      </w:r>
      <w:r>
        <w:fldChar w:fldCharType="separate"/>
      </w:r>
      <w:r w:rsidRPr="0040025C">
        <w:rPr>
          <w:rStyle w:val="Hyperlink"/>
        </w:rPr>
        <w:t>285a-2(b)(3)</w:t>
      </w:r>
      <w:r>
        <w:fldChar w:fldCharType="end"/>
      </w:r>
      <w:r w:rsidRPr="0040025C">
        <w:t xml:space="preserve">, </w:t>
      </w:r>
      <w:r>
        <w:fldChar w:fldCharType="begin"/>
      </w:r>
      <w:r w:rsidRPr="0040025C">
        <w:rPr>
          <w:rStyle w:val="Hyperlink"/>
        </w:rPr>
        <w:instrText xml:space="preserve"> HYPERLINK "https://www.law.cornell.edu/uscode/text/42/286b-3" </w:instrText>
      </w:r>
      <w:r>
        <w:fldChar w:fldCharType="separate"/>
      </w:r>
      <w:r w:rsidRPr="0040025C">
        <w:rPr>
          <w:rStyle w:val="Hyperlink"/>
        </w:rPr>
        <w:t>286b-3</w:t>
      </w:r>
      <w:r>
        <w:fldChar w:fldCharType="end"/>
      </w:r>
      <w:r w:rsidRPr="0040025C">
        <w:t xml:space="preserve">, </w:t>
      </w:r>
      <w:r>
        <w:fldChar w:fldCharType="begin"/>
      </w:r>
      <w:r w:rsidRPr="0040025C">
        <w:rPr>
          <w:rStyle w:val="Hyperlink"/>
        </w:rPr>
        <w:instrText xml:space="preserve"> HYPERLINK "https://www.law.cornell.edu/uscode/text/42/287c-21" \l "a" </w:instrText>
      </w:r>
      <w:r>
        <w:fldChar w:fldCharType="separate"/>
      </w:r>
      <w:r w:rsidRPr="0040025C">
        <w:rPr>
          <w:rStyle w:val="Hyperlink"/>
        </w:rPr>
        <w:t>287c-21(a)</w:t>
      </w:r>
      <w:r>
        <w:fldChar w:fldCharType="end"/>
      </w:r>
      <w:r w:rsidRPr="0040025C">
        <w:t>.</w:t>
      </w:r>
    </w:p>
    <w:p w:rsidR="000F3043" w:rsidRPr="00E35DD1" w:rsidP="00A00CF8" w14:paraId="3EE4B580" w14:textId="3D50CA35"/>
    <w:p w:rsidR="000F3043" w:rsidRPr="00714BFA" w:rsidP="000F3043" w14:paraId="6713C5AA" w14:textId="77777777">
      <w:pPr>
        <w:pStyle w:val="Heading2"/>
        <w:spacing w:line="480" w:lineRule="auto"/>
        <w:rPr>
          <w:rFonts w:asciiTheme="minorHAnsi" w:hAnsiTheme="minorHAnsi" w:cstheme="minorHAnsi"/>
          <w:b/>
          <w:color w:val="auto"/>
          <w:sz w:val="22"/>
          <w:szCs w:val="22"/>
        </w:rPr>
      </w:pPr>
      <w:bookmarkStart w:id="2" w:name="_Toc443881743"/>
      <w:bookmarkStart w:id="3" w:name="_Toc451592232"/>
      <w:bookmarkStart w:id="4" w:name="_Toc5610273"/>
      <w:bookmarkStart w:id="5" w:name="_Toc99178779"/>
      <w:r w:rsidRPr="00714BFA">
        <w:rPr>
          <w:rFonts w:asciiTheme="minorHAnsi" w:hAnsiTheme="minorHAnsi" w:cstheme="minorHAnsi"/>
          <w:b/>
          <w:color w:val="auto"/>
          <w:sz w:val="22"/>
          <w:szCs w:val="22"/>
        </w:rPr>
        <w:t>A.2    Purpose and Use of the Information</w:t>
      </w:r>
      <w:bookmarkEnd w:id="2"/>
      <w:bookmarkEnd w:id="3"/>
      <w:bookmarkEnd w:id="4"/>
      <w:bookmarkEnd w:id="5"/>
      <w:r w:rsidRPr="00714BFA">
        <w:rPr>
          <w:rFonts w:asciiTheme="minorHAnsi" w:hAnsiTheme="minorHAnsi" w:cstheme="minorHAnsi"/>
          <w:b/>
          <w:color w:val="auto"/>
          <w:sz w:val="22"/>
          <w:szCs w:val="22"/>
        </w:rPr>
        <w:t xml:space="preserve"> Collection</w:t>
      </w:r>
    </w:p>
    <w:p w:rsidR="0040025C" w:rsidRPr="0040025C" w:rsidP="0040025C" w14:paraId="12163953" w14:textId="166FD8CE">
      <w:r w:rsidRPr="0040025C">
        <w:t xml:space="preserve">The purpose of the </w:t>
      </w:r>
      <w:r w:rsidRPr="0040025C">
        <w:t>eIDP</w:t>
      </w:r>
      <w:r w:rsidRPr="0040025C">
        <w:t xml:space="preserve"> (</w:t>
      </w:r>
      <w:r w:rsidRPr="0040025C">
        <w:rPr>
          <w:b/>
        </w:rPr>
        <w:t>Attachment 1</w:t>
      </w:r>
      <w:r w:rsidR="00A33617">
        <w:rPr>
          <w:b/>
        </w:rPr>
        <w:t xml:space="preserve">: </w:t>
      </w:r>
      <w:r w:rsidRPr="00707096" w:rsidR="00A33617">
        <w:rPr>
          <w:b/>
          <w:bCs/>
        </w:rPr>
        <w:t xml:space="preserve">Initial </w:t>
      </w:r>
      <w:r w:rsidRPr="00707096" w:rsidR="00A33617">
        <w:rPr>
          <w:b/>
          <w:bCs/>
        </w:rPr>
        <w:t>eIDP</w:t>
      </w:r>
      <w:r w:rsidRPr="00707096" w:rsidR="00A33617">
        <w:rPr>
          <w:b/>
          <w:bCs/>
        </w:rPr>
        <w:t xml:space="preserve"> Trainees Screenshots</w:t>
      </w:r>
      <w:r w:rsidRPr="0040025C">
        <w:t>) is to ensure that NEI trainees are receiving proper career and professional guidance, making appropriate progress, and determining activities to achieve their goals</w:t>
      </w:r>
      <w:r w:rsidR="00AD7358">
        <w:t xml:space="preserve"> to help fellows successfully transition to the next stage of their career as future contributors and leaders of the U.S. research enterprise</w:t>
      </w:r>
      <w:r w:rsidRPr="0040025C">
        <w:t xml:space="preserve">. All fields within the </w:t>
      </w:r>
      <w:r w:rsidRPr="0040025C">
        <w:t>eIDP</w:t>
      </w:r>
      <w:r w:rsidRPr="0040025C">
        <w:t xml:space="preserve"> are required fields.</w:t>
      </w:r>
    </w:p>
    <w:p w:rsidR="0040025C" w:rsidRPr="0040025C" w:rsidP="0040025C" w14:paraId="51D80076" w14:textId="709620D1">
      <w:r w:rsidRPr="0040025C">
        <w:t xml:space="preserve">This request </w:t>
      </w:r>
      <w:r w:rsidRPr="00795812">
        <w:rPr>
          <w:highlight w:val="yellow"/>
        </w:rPr>
        <w:t xml:space="preserve">is for </w:t>
      </w:r>
      <w:r w:rsidRPr="00795812" w:rsidR="00AF7D29">
        <w:rPr>
          <w:highlight w:val="yellow"/>
        </w:rPr>
        <w:t>continued use of</w:t>
      </w:r>
      <w:r w:rsidR="00AF7D29">
        <w:t xml:space="preserve"> the NEI </w:t>
      </w:r>
      <w:r w:rsidR="00AF7D29">
        <w:t>eIDP</w:t>
      </w:r>
      <w:r w:rsidRPr="0040025C">
        <w:t xml:space="preserve"> involving approximately 150 trainees for the </w:t>
      </w:r>
      <w:r w:rsidRPr="0040025C">
        <w:t>eIDP</w:t>
      </w:r>
      <w:r w:rsidRPr="0040025C">
        <w:t xml:space="preserve"> to collect input on the application and review processes. The primary goal is to use the </w:t>
      </w:r>
      <w:r w:rsidRPr="0040025C">
        <w:t>eIDP</w:t>
      </w:r>
      <w:r w:rsidRPr="0040025C">
        <w:t xml:space="preserve"> is used to track trainees’ career and professional goals and to ensure trainees receive the tools needed to achieve those goals</w:t>
      </w:r>
      <w:r w:rsidR="00AF7D29">
        <w:t xml:space="preserve">. </w:t>
      </w:r>
      <w:r w:rsidRPr="00795812" w:rsidR="00AF7D29">
        <w:rPr>
          <w:highlight w:val="yellow"/>
        </w:rPr>
        <w:t xml:space="preserve">The past three years have shown that the </w:t>
      </w:r>
      <w:r w:rsidRPr="00795812" w:rsidR="00AF7D29">
        <w:rPr>
          <w:highlight w:val="yellow"/>
        </w:rPr>
        <w:t>eIDP</w:t>
      </w:r>
      <w:r w:rsidRPr="00795812" w:rsidR="00AF7D29">
        <w:rPr>
          <w:highlight w:val="yellow"/>
        </w:rPr>
        <w:t xml:space="preserve"> is an effective tool in </w:t>
      </w:r>
      <w:r w:rsidRPr="00795812" w:rsidR="001E586A">
        <w:rPr>
          <w:highlight w:val="yellow"/>
        </w:rPr>
        <w:t>career planning for fellows and we would like to continue using it to put them in the best place to succeed</w:t>
      </w:r>
      <w:r w:rsidR="001E586A">
        <w:t>.</w:t>
      </w:r>
    </w:p>
    <w:p w:rsidR="0040025C" w:rsidRPr="0040025C" w:rsidP="0040025C" w14:paraId="66968628" w14:textId="77777777">
      <w:r w:rsidRPr="0040025C">
        <w:t xml:space="preserve">The </w:t>
      </w:r>
      <w:r w:rsidRPr="0040025C">
        <w:t>eIDP</w:t>
      </w:r>
      <w:r w:rsidRPr="0040025C">
        <w:t xml:space="preserve"> utilizes many of the following information fields:</w:t>
      </w:r>
    </w:p>
    <w:p w:rsidR="0040025C" w:rsidRPr="0040025C" w:rsidP="0040025C" w14:paraId="37A59DD3" w14:textId="77777777">
      <w:pPr>
        <w:numPr>
          <w:ilvl w:val="2"/>
          <w:numId w:val="12"/>
        </w:numPr>
      </w:pPr>
      <w:r w:rsidRPr="0040025C">
        <w:t>General information (name, year of training, position title, terminal degree, lab/branch name, research mentor and lab/branch chief names</w:t>
      </w:r>
      <w:r w:rsidRPr="0040025C">
        <w:t>);</w:t>
      </w:r>
    </w:p>
    <w:p w:rsidR="0040025C" w:rsidRPr="0040025C" w:rsidP="0040025C" w14:paraId="67A473B4" w14:textId="77777777">
      <w:pPr>
        <w:numPr>
          <w:ilvl w:val="2"/>
          <w:numId w:val="12"/>
        </w:numPr>
      </w:pPr>
      <w:r w:rsidRPr="0040025C">
        <w:t>Contact information (e-mail, phone, and location for current lab/branch);</w:t>
      </w:r>
    </w:p>
    <w:p w:rsidR="0040025C" w:rsidRPr="0040025C" w:rsidP="0040025C" w14:paraId="2AF7A83E" w14:textId="77777777">
      <w:pPr>
        <w:numPr>
          <w:ilvl w:val="2"/>
          <w:numId w:val="12"/>
        </w:numPr>
      </w:pPr>
      <w:r w:rsidRPr="0040025C">
        <w:t>Research training activities (project description, training needed to accomplish research goals, deliverables);</w:t>
      </w:r>
    </w:p>
    <w:p w:rsidR="0040025C" w:rsidRPr="0040025C" w:rsidP="0040025C" w14:paraId="79FE22EB" w14:textId="77777777">
      <w:pPr>
        <w:numPr>
          <w:ilvl w:val="2"/>
          <w:numId w:val="12"/>
        </w:numPr>
      </w:pPr>
      <w:r w:rsidRPr="0040025C">
        <w:t>Career goals and training activities (future career path, skills needed to achieve goals);</w:t>
      </w:r>
    </w:p>
    <w:p w:rsidR="0040025C" w:rsidRPr="0040025C" w:rsidP="0040025C" w14:paraId="258E8DC1" w14:textId="77777777">
      <w:pPr>
        <w:numPr>
          <w:ilvl w:val="2"/>
          <w:numId w:val="12"/>
        </w:numPr>
      </w:pPr>
      <w:r w:rsidRPr="0040025C">
        <w:t>Expectations for training (trainee and mentor expectations)</w:t>
      </w:r>
    </w:p>
    <w:p w:rsidR="0040025C" w:rsidRPr="0040025C" w:rsidP="0040025C" w14:paraId="68E0ECAB" w14:textId="45FEADE7">
      <w:r w:rsidRPr="0040025C">
        <w:t>Additionally, the system also has a</w:t>
      </w:r>
      <w:r>
        <w:t xml:space="preserve"> </w:t>
      </w:r>
      <w:r w:rsidR="00251209">
        <w:t>two-</w:t>
      </w:r>
      <w:r>
        <w:t>part</w:t>
      </w:r>
      <w:r w:rsidRPr="0040025C">
        <w:t xml:space="preserve"> exit survey for fellows leaving our training program (</w:t>
      </w:r>
      <w:r w:rsidRPr="0040025C">
        <w:rPr>
          <w:b/>
          <w:bCs/>
        </w:rPr>
        <w:t>Attachment 2</w:t>
      </w:r>
      <w:r w:rsidR="00A33617">
        <w:rPr>
          <w:b/>
          <w:bCs/>
        </w:rPr>
        <w:t xml:space="preserve">: </w:t>
      </w:r>
      <w:r w:rsidRPr="00A33617" w:rsidR="00A33617">
        <w:rPr>
          <w:b/>
          <w:bCs/>
        </w:rPr>
        <w:t>Exit Survey Part 1 Screenshots</w:t>
      </w:r>
      <w:r>
        <w:rPr>
          <w:b/>
          <w:bCs/>
        </w:rPr>
        <w:t xml:space="preserve"> </w:t>
      </w:r>
      <w:r w:rsidRPr="00A33617">
        <w:t>and</w:t>
      </w:r>
      <w:r w:rsidR="00A33617">
        <w:rPr>
          <w:b/>
          <w:bCs/>
        </w:rPr>
        <w:t xml:space="preserve"> Attachment</w:t>
      </w:r>
      <w:r>
        <w:rPr>
          <w:b/>
          <w:bCs/>
        </w:rPr>
        <w:t xml:space="preserve"> 3</w:t>
      </w:r>
      <w:r w:rsidR="00A33617">
        <w:rPr>
          <w:b/>
          <w:bCs/>
        </w:rPr>
        <w:t>: Exit Survey Part 2 Screenshots</w:t>
      </w:r>
      <w:r w:rsidRPr="0040025C">
        <w:rPr>
          <w:b/>
          <w:bCs/>
        </w:rPr>
        <w:t>)</w:t>
      </w:r>
      <w:r w:rsidRPr="0040025C">
        <w:t xml:space="preserve">. This is designed to facilitate outcomes reporting and to potentially identify gaps and deficiencies in the NEI </w:t>
      </w:r>
      <w:r w:rsidRPr="0040025C">
        <w:t>training program</w:t>
      </w:r>
      <w:r w:rsidR="001E586A">
        <w:t xml:space="preserve">, which we have used the past three years. For example, comments from exit surveys </w:t>
      </w:r>
      <w:r w:rsidR="001E586A">
        <w:t>has</w:t>
      </w:r>
      <w:r w:rsidR="001E586A">
        <w:t xml:space="preserve"> led us to consider implementing more leadership training for fellows.</w:t>
      </w:r>
    </w:p>
    <w:p w:rsidR="0040025C" w:rsidRPr="0040025C" w:rsidP="0040025C" w14:paraId="17E447DF" w14:textId="77777777">
      <w:r w:rsidRPr="0040025C">
        <w:t>The exit survey utilizes many of the following information fields:</w:t>
      </w:r>
    </w:p>
    <w:p w:rsidR="0040025C" w:rsidRPr="0040025C" w:rsidP="0040025C" w14:paraId="2BA5F122" w14:textId="77777777">
      <w:pPr>
        <w:numPr>
          <w:ilvl w:val="0"/>
          <w:numId w:val="13"/>
        </w:numPr>
      </w:pPr>
      <w:r w:rsidRPr="0040025C">
        <w:t>General information (name, year of training, position title, lab/branch name, research mentor</w:t>
      </w:r>
    </w:p>
    <w:p w:rsidR="0040025C" w:rsidRPr="0040025C" w:rsidP="0040025C" w14:paraId="182064E5" w14:textId="77777777">
      <w:pPr>
        <w:numPr>
          <w:ilvl w:val="0"/>
          <w:numId w:val="13"/>
        </w:numPr>
      </w:pPr>
      <w:r w:rsidRPr="0040025C">
        <w:t>Contact information (e-mail)</w:t>
      </w:r>
    </w:p>
    <w:p w:rsidR="0040025C" w:rsidRPr="0040025C" w:rsidP="0040025C" w14:paraId="2DCB59DE" w14:textId="77777777">
      <w:pPr>
        <w:numPr>
          <w:ilvl w:val="0"/>
          <w:numId w:val="13"/>
        </w:numPr>
      </w:pPr>
      <w:r w:rsidRPr="0040025C">
        <w:t>New position information (degree type pursued if applicable, position title, type of organization, future duties)</w:t>
      </w:r>
    </w:p>
    <w:p w:rsidR="0040025C" w:rsidRPr="0040025C" w:rsidP="0040025C" w14:paraId="6D4367B9" w14:textId="77777777">
      <w:pPr>
        <w:numPr>
          <w:ilvl w:val="0"/>
          <w:numId w:val="13"/>
        </w:numPr>
      </w:pPr>
      <w:r w:rsidRPr="0040025C">
        <w:t>Assessment of the training experience (relationship with mentor, training, the research environment)</w:t>
      </w:r>
    </w:p>
    <w:p w:rsidR="0040025C" w:rsidRPr="0040025C" w:rsidP="0040025C" w14:paraId="66219242" w14:textId="3B79E912">
      <w:r w:rsidRPr="0040025C">
        <w:t xml:space="preserve">The </w:t>
      </w:r>
      <w:r w:rsidRPr="0040025C">
        <w:t>eIDP</w:t>
      </w:r>
      <w:r w:rsidRPr="0040025C">
        <w:t xml:space="preserve"> will be administered electronically to trainees (</w:t>
      </w:r>
      <w:r w:rsidRPr="0040025C">
        <w:rPr>
          <w:b/>
        </w:rPr>
        <w:t>Attachment 1</w:t>
      </w:r>
      <w:r w:rsidRPr="0040025C">
        <w:t>). Upon completion of their training at the NEI, trainees will be asked to electronically complete an exit survey (</w:t>
      </w:r>
      <w:r w:rsidRPr="0040025C">
        <w:rPr>
          <w:b/>
        </w:rPr>
        <w:t>Attachment</w:t>
      </w:r>
      <w:r>
        <w:rPr>
          <w:b/>
        </w:rPr>
        <w:t>s</w:t>
      </w:r>
      <w:r w:rsidRPr="0040025C">
        <w:rPr>
          <w:b/>
        </w:rPr>
        <w:t xml:space="preserve"> 2</w:t>
      </w:r>
      <w:r>
        <w:rPr>
          <w:b/>
        </w:rPr>
        <w:t xml:space="preserve"> and 3</w:t>
      </w:r>
      <w:r w:rsidRPr="0040025C">
        <w:t xml:space="preserve">). </w:t>
      </w:r>
    </w:p>
    <w:p w:rsidR="0040025C" w:rsidRPr="0040025C" w:rsidP="0040025C" w14:paraId="30F4D514" w14:textId="6FEF6E6E">
      <w:r w:rsidRPr="0040025C">
        <w:t xml:space="preserve">Electronic email will be used to request completion of the </w:t>
      </w:r>
      <w:r w:rsidRPr="0040025C">
        <w:t>eIDP</w:t>
      </w:r>
      <w:r w:rsidRPr="0040025C">
        <w:t xml:space="preserve"> (</w:t>
      </w:r>
      <w:r w:rsidRPr="0040025C">
        <w:rPr>
          <w:b/>
        </w:rPr>
        <w:t xml:space="preserve">Attachment </w:t>
      </w:r>
      <w:r>
        <w:rPr>
          <w:b/>
        </w:rPr>
        <w:t>4</w:t>
      </w:r>
      <w:r w:rsidR="00707096">
        <w:rPr>
          <w:b/>
        </w:rPr>
        <w:t xml:space="preserve">: </w:t>
      </w:r>
      <w:r w:rsidRPr="00707096" w:rsidR="00707096">
        <w:rPr>
          <w:b/>
          <w:bCs/>
        </w:rPr>
        <w:t>Email Notification</w:t>
      </w:r>
      <w:r w:rsidRPr="0040025C">
        <w:t xml:space="preserve">). </w:t>
      </w:r>
    </w:p>
    <w:p w:rsidR="00D34BE5" w:rsidRPr="00E35DD1" w:rsidP="00A00CF8" w14:paraId="33F5C85D" w14:textId="7E025CFA">
      <w:r>
        <w:t xml:space="preserve">NOTE: the NEI </w:t>
      </w:r>
      <w:r>
        <w:t>eIDP</w:t>
      </w:r>
      <w:r>
        <w:t xml:space="preserve"> system draws information from various NIH systems to pre-populate certain fields. Names that do appear in the screenshots within the attachments are from dummy accounts that have been created within those systems to prevent any breach of Personally Identifiable Information (PII) or unnecessary redactions. </w:t>
      </w:r>
    </w:p>
    <w:p w:rsidR="00A00CF8" w:rsidRPr="00E35DD1" w:rsidP="00A00CF8" w14:paraId="771476A4" w14:textId="77777777">
      <w:pPr>
        <w:rPr>
          <w:b/>
          <w:color w:val="000000" w:themeColor="text1"/>
        </w:rPr>
      </w:pPr>
      <w:r w:rsidRPr="00E35DD1">
        <w:rPr>
          <w:b/>
          <w:color w:val="000000" w:themeColor="text1"/>
        </w:rPr>
        <w:t>A.3     Use of Information Technology and Burden Reduction</w:t>
      </w:r>
    </w:p>
    <w:p w:rsidR="00251209" w:rsidRPr="00251209" w:rsidP="00251209" w14:paraId="2016CF57" w14:textId="77777777">
      <w:pPr>
        <w:rPr>
          <w:color w:val="000000" w:themeColor="text1"/>
        </w:rPr>
      </w:pPr>
      <w:r w:rsidRPr="00251209">
        <w:rPr>
          <w:color w:val="000000" w:themeColor="text1"/>
        </w:rPr>
        <w:t xml:space="preserve">A completed Individual Development Plan has always been required annually by the trainee, but until now it has been paper-based. Using an electronic IDP is advantageous because it will save time and lessen the burden to the users compared to managing paper copies. The exit survey is also a requirement of trainees but is also currently </w:t>
      </w:r>
    </w:p>
    <w:p w:rsidR="00251209" w:rsidRPr="00251209" w:rsidP="00251209" w14:paraId="434F37F8" w14:textId="11ABA6F4">
      <w:pPr>
        <w:rPr>
          <w:color w:val="000000" w:themeColor="text1"/>
        </w:rPr>
      </w:pPr>
      <w:r w:rsidRPr="00251209">
        <w:rPr>
          <w:color w:val="000000" w:themeColor="text1"/>
        </w:rPr>
        <w:t xml:space="preserve">The </w:t>
      </w:r>
      <w:r w:rsidRPr="00251209">
        <w:rPr>
          <w:color w:val="000000" w:themeColor="text1"/>
        </w:rPr>
        <w:t>eIDP</w:t>
      </w:r>
      <w:r w:rsidRPr="00251209">
        <w:rPr>
          <w:color w:val="000000" w:themeColor="text1"/>
        </w:rPr>
        <w:t xml:space="preserve"> is web-based. The survey will be administered using an email invitation (</w:t>
      </w:r>
      <w:r w:rsidRPr="00251209">
        <w:rPr>
          <w:b/>
          <w:color w:val="000000" w:themeColor="text1"/>
        </w:rPr>
        <w:t xml:space="preserve">Attachment </w:t>
      </w:r>
      <w:r>
        <w:rPr>
          <w:b/>
          <w:color w:val="000000" w:themeColor="text1"/>
        </w:rPr>
        <w:t>4</w:t>
      </w:r>
      <w:r w:rsidRPr="00251209">
        <w:rPr>
          <w:color w:val="000000" w:themeColor="text1"/>
        </w:rPr>
        <w:t xml:space="preserve">) and the trainee will complete the </w:t>
      </w:r>
      <w:r w:rsidRPr="00251209">
        <w:rPr>
          <w:color w:val="000000" w:themeColor="text1"/>
        </w:rPr>
        <w:t>eIDP</w:t>
      </w:r>
      <w:r w:rsidRPr="00251209">
        <w:rPr>
          <w:color w:val="000000" w:themeColor="text1"/>
        </w:rPr>
        <w:t xml:space="preserve"> by computer. </w:t>
      </w:r>
      <w:bookmarkStart w:id="6" w:name="_Hlk58596844"/>
      <w:r w:rsidRPr="00251209">
        <w:rPr>
          <w:color w:val="000000" w:themeColor="text1"/>
        </w:rPr>
        <w:t>The NEI Privacy Act Coordinator was consulted, and it was determined that a Privacy Impact Assessment (PIA) is needed. A PIA has been completed and filed with our ISSO team for uploading to NSAT (</w:t>
      </w:r>
      <w:r w:rsidRPr="00251209">
        <w:rPr>
          <w:b/>
          <w:bCs/>
          <w:color w:val="000000" w:themeColor="text1"/>
        </w:rPr>
        <w:t xml:space="preserve">Attachment </w:t>
      </w:r>
      <w:r>
        <w:rPr>
          <w:b/>
          <w:bCs/>
          <w:color w:val="000000" w:themeColor="text1"/>
        </w:rPr>
        <w:t>5</w:t>
      </w:r>
      <w:r w:rsidR="00707096">
        <w:rPr>
          <w:b/>
          <w:bCs/>
          <w:color w:val="000000" w:themeColor="text1"/>
        </w:rPr>
        <w:t xml:space="preserve">: </w:t>
      </w:r>
      <w:r w:rsidRPr="00707096" w:rsidR="00707096">
        <w:rPr>
          <w:b/>
          <w:bCs/>
          <w:color w:val="000000" w:themeColor="text1"/>
        </w:rPr>
        <w:t>Privacy Impact Assessment (PIA)</w:t>
      </w:r>
      <w:r w:rsidRPr="00251209">
        <w:rPr>
          <w:b/>
          <w:bCs/>
          <w:color w:val="000000" w:themeColor="text1"/>
        </w:rPr>
        <w:t>)</w:t>
      </w:r>
      <w:r w:rsidRPr="00251209">
        <w:rPr>
          <w:color w:val="000000" w:themeColor="text1"/>
        </w:rPr>
        <w:t>.</w:t>
      </w:r>
      <w:bookmarkEnd w:id="6"/>
    </w:p>
    <w:p w:rsidR="000F3043" w:rsidRPr="00E35DD1" w:rsidP="00A00CF8" w14:paraId="2F929A40" w14:textId="1BE7A0F6">
      <w:pPr>
        <w:rPr>
          <w:color w:val="000000" w:themeColor="text1"/>
        </w:rPr>
      </w:pPr>
    </w:p>
    <w:p w:rsidR="00685B30" w:rsidRPr="00C4161B" w:rsidP="00685B30" w14:paraId="2634512F" w14:textId="77777777">
      <w:pPr>
        <w:pStyle w:val="Heading2"/>
        <w:spacing w:line="480" w:lineRule="auto"/>
        <w:ind w:left="720" w:hanging="720"/>
        <w:rPr>
          <w:rFonts w:asciiTheme="minorHAnsi" w:hAnsiTheme="minorHAnsi"/>
          <w:b/>
          <w:color w:val="auto"/>
          <w:sz w:val="22"/>
          <w:szCs w:val="22"/>
        </w:rPr>
      </w:pPr>
      <w:bookmarkStart w:id="7" w:name="_Toc443881745"/>
      <w:bookmarkStart w:id="8" w:name="_Toc451592234"/>
      <w:bookmarkStart w:id="9" w:name="_Toc5610275"/>
      <w:bookmarkStart w:id="10" w:name="_Toc99178781"/>
      <w:r w:rsidRPr="00C4161B">
        <w:rPr>
          <w:rFonts w:asciiTheme="minorHAnsi" w:hAnsiTheme="minorHAnsi"/>
          <w:b/>
          <w:color w:val="auto"/>
          <w:sz w:val="22"/>
          <w:szCs w:val="22"/>
        </w:rPr>
        <w:t>A.4</w:t>
      </w:r>
      <w:r w:rsidRPr="00C4161B">
        <w:rPr>
          <w:rFonts w:asciiTheme="minorHAnsi" w:hAnsiTheme="minorHAnsi"/>
          <w:b/>
          <w:color w:val="auto"/>
          <w:sz w:val="22"/>
          <w:szCs w:val="22"/>
        </w:rPr>
        <w:tab/>
        <w:t>Efforts to Identify Duplication and Use of Similar Information</w:t>
      </w:r>
      <w:bookmarkEnd w:id="7"/>
      <w:bookmarkEnd w:id="8"/>
      <w:bookmarkEnd w:id="9"/>
      <w:bookmarkEnd w:id="10"/>
    </w:p>
    <w:p w:rsidR="00091C31" w:rsidRPr="00091C31" w:rsidP="00091C31" w14:paraId="29EE1156" w14:textId="1135FA3E">
      <w:r w:rsidRPr="0040025C">
        <w:t xml:space="preserve">This system, which was originally developed by the National Cancer Institute’s (NCI) Center for Cancer Training (CCT) and was provided to the NEI via software agreement. NCI has already received OMB clearance (OMB NO: 0925-0762, exp. Date </w:t>
      </w:r>
      <w:r w:rsidR="006E5B79">
        <w:t>6</w:t>
      </w:r>
      <w:r w:rsidRPr="0040025C">
        <w:t>/3</w:t>
      </w:r>
      <w:r w:rsidR="006E5B79">
        <w:t>0</w:t>
      </w:r>
      <w:r w:rsidRPr="0040025C">
        <w:t>/202</w:t>
      </w:r>
      <w:r w:rsidR="006E5B79">
        <w:t>5</w:t>
      </w:r>
      <w:r w:rsidRPr="0040025C">
        <w:t xml:space="preserve">) for their </w:t>
      </w:r>
      <w:r w:rsidRPr="0040025C">
        <w:t>eIDP</w:t>
      </w:r>
      <w:r w:rsidRPr="0040025C">
        <w:t xml:space="preserve"> and other than branding changes, is identical to the NCI system. </w:t>
      </w:r>
      <w:r w:rsidRPr="00091C31">
        <w:t xml:space="preserve">This information will not be collected anywhere else and is unique to the trainees’ </w:t>
      </w:r>
      <w:r w:rsidRPr="00091C31">
        <w:t>eIDP</w:t>
      </w:r>
      <w:r w:rsidRPr="00091C31">
        <w:t>.</w:t>
      </w:r>
    </w:p>
    <w:p w:rsidR="00685B30" w:rsidRPr="00C4161B" w:rsidP="00685B30" w14:paraId="2E534297" w14:textId="77777777">
      <w:pPr>
        <w:pStyle w:val="Heading2"/>
        <w:spacing w:line="480" w:lineRule="auto"/>
        <w:ind w:left="720" w:hanging="720"/>
        <w:rPr>
          <w:rFonts w:asciiTheme="minorHAnsi" w:hAnsiTheme="minorHAnsi"/>
          <w:b/>
          <w:color w:val="auto"/>
          <w:sz w:val="22"/>
          <w:szCs w:val="22"/>
        </w:rPr>
      </w:pPr>
      <w:bookmarkStart w:id="11" w:name="_Toc443881746"/>
      <w:bookmarkStart w:id="12" w:name="_Toc451592235"/>
      <w:bookmarkStart w:id="13" w:name="_Toc5610276"/>
      <w:bookmarkStart w:id="14" w:name="_Toc99178782"/>
      <w:r w:rsidRPr="00C4161B">
        <w:rPr>
          <w:rFonts w:asciiTheme="minorHAnsi" w:hAnsiTheme="minorHAnsi"/>
          <w:b/>
          <w:color w:val="auto"/>
          <w:sz w:val="22"/>
          <w:szCs w:val="22"/>
        </w:rPr>
        <w:t>A.5</w:t>
      </w:r>
      <w:r w:rsidRPr="00C4161B">
        <w:rPr>
          <w:rFonts w:asciiTheme="minorHAnsi" w:hAnsiTheme="minorHAnsi"/>
          <w:b/>
          <w:color w:val="auto"/>
          <w:sz w:val="22"/>
          <w:szCs w:val="22"/>
        </w:rPr>
        <w:tab/>
        <w:t>Impact on Small Businesses or Other Small Entities</w:t>
      </w:r>
      <w:bookmarkEnd w:id="11"/>
      <w:bookmarkEnd w:id="12"/>
      <w:bookmarkEnd w:id="13"/>
      <w:bookmarkEnd w:id="14"/>
    </w:p>
    <w:p w:rsidR="00091C31" w:rsidRPr="00091C31" w:rsidP="00091C31" w14:paraId="66E45C62" w14:textId="77777777">
      <w:pPr>
        <w:pStyle w:val="P1-StandPara"/>
        <w:ind w:firstLine="0"/>
        <w:rPr>
          <w:rFonts w:ascii="Calibri" w:hAnsi="Calibri" w:cs="Calibri"/>
        </w:rPr>
      </w:pPr>
      <w:r w:rsidRPr="00091C31">
        <w:rPr>
          <w:rFonts w:ascii="Calibri" w:hAnsi="Calibri" w:cs="Calibri"/>
        </w:rPr>
        <w:t>There is no impact on small businesses or other small entities.</w:t>
      </w:r>
    </w:p>
    <w:p w:rsidR="004716CF" w:rsidRPr="00C76797" w:rsidP="004716CF" w14:paraId="4B2E645C" w14:textId="4D7A4636">
      <w:pPr>
        <w:pStyle w:val="P1-StandPara"/>
        <w:spacing w:line="240" w:lineRule="auto"/>
        <w:ind w:firstLine="0"/>
        <w:rPr>
          <w:rFonts w:ascii="Calibri" w:hAnsi="Calibri" w:cs="Calibri"/>
        </w:rPr>
      </w:pPr>
    </w:p>
    <w:p w:rsidR="00685B30" w:rsidRPr="00C4161B" w:rsidP="00685B30" w14:paraId="4DCCFE87" w14:textId="77777777">
      <w:pPr>
        <w:pStyle w:val="Heading2"/>
        <w:spacing w:line="480" w:lineRule="auto"/>
        <w:ind w:left="720" w:hanging="720"/>
        <w:rPr>
          <w:rFonts w:asciiTheme="minorHAnsi" w:hAnsiTheme="minorHAnsi"/>
          <w:b/>
          <w:color w:val="auto"/>
          <w:sz w:val="22"/>
          <w:szCs w:val="22"/>
        </w:rPr>
      </w:pPr>
      <w:bookmarkStart w:id="15" w:name="_Toc443881747"/>
      <w:bookmarkStart w:id="16" w:name="_Toc451592236"/>
      <w:bookmarkStart w:id="17" w:name="_Toc5610277"/>
      <w:bookmarkStart w:id="18" w:name="_Toc99178783"/>
      <w:r w:rsidRPr="00C4161B">
        <w:rPr>
          <w:rFonts w:asciiTheme="minorHAnsi" w:hAnsiTheme="minorHAnsi"/>
          <w:b/>
          <w:color w:val="auto"/>
          <w:sz w:val="22"/>
          <w:szCs w:val="22"/>
        </w:rPr>
        <w:t>A.6</w:t>
      </w:r>
      <w:r w:rsidRPr="00C4161B">
        <w:rPr>
          <w:rFonts w:asciiTheme="minorHAnsi" w:hAnsiTheme="minorHAnsi"/>
          <w:b/>
          <w:color w:val="auto"/>
          <w:sz w:val="22"/>
          <w:szCs w:val="22"/>
        </w:rPr>
        <w:tab/>
        <w:t>Consequences of Collecting the Information Less Frequently</w:t>
      </w:r>
      <w:bookmarkEnd w:id="15"/>
      <w:bookmarkEnd w:id="16"/>
      <w:bookmarkEnd w:id="17"/>
      <w:bookmarkEnd w:id="18"/>
    </w:p>
    <w:p w:rsidR="00685B30" w:rsidRPr="00E35DD1" w:rsidP="00685B30" w14:paraId="4C4D6A77" w14:textId="6E5596D8">
      <w:r w:rsidRPr="00091C31">
        <w:t xml:space="preserve">Information will be collected and updated once annually until the trainee leaves the NEI. Annual collection of the </w:t>
      </w:r>
      <w:r w:rsidRPr="00091C31">
        <w:t>eIDP</w:t>
      </w:r>
      <w:r w:rsidRPr="00091C31">
        <w:t xml:space="preserve"> is needed to better train and track the trainee population in order to support NEI’s goal of training future vision researchers.</w:t>
      </w:r>
    </w:p>
    <w:p w:rsidR="00685B30" w:rsidRPr="00C4161B" w:rsidP="00685B30" w14:paraId="50FA46DF" w14:textId="77777777">
      <w:pPr>
        <w:pStyle w:val="Heading2"/>
        <w:spacing w:line="480" w:lineRule="auto"/>
        <w:rPr>
          <w:rFonts w:asciiTheme="minorHAnsi" w:hAnsiTheme="minorHAnsi"/>
          <w:b/>
          <w:color w:val="auto"/>
          <w:sz w:val="22"/>
          <w:szCs w:val="22"/>
        </w:rPr>
      </w:pPr>
      <w:bookmarkStart w:id="19" w:name="_Toc443881748"/>
      <w:bookmarkStart w:id="20" w:name="_Toc451592237"/>
      <w:bookmarkStart w:id="21" w:name="_Toc5610278"/>
      <w:bookmarkStart w:id="22" w:name="_Toc99178784"/>
      <w:r w:rsidRPr="00C4161B">
        <w:rPr>
          <w:rFonts w:asciiTheme="minorHAnsi" w:hAnsiTheme="minorHAnsi"/>
          <w:b/>
          <w:color w:val="auto"/>
          <w:sz w:val="22"/>
          <w:szCs w:val="22"/>
        </w:rPr>
        <w:t>A.7</w:t>
      </w:r>
      <w:r w:rsidRPr="00C4161B">
        <w:rPr>
          <w:rFonts w:asciiTheme="minorHAnsi" w:hAnsiTheme="minorHAnsi"/>
          <w:b/>
          <w:color w:val="auto"/>
          <w:sz w:val="22"/>
          <w:szCs w:val="22"/>
        </w:rPr>
        <w:tab/>
      </w:r>
      <w:r w:rsidRPr="00C4161B">
        <w:rPr>
          <w:rFonts w:asciiTheme="minorHAnsi" w:hAnsiTheme="minorHAnsi"/>
          <w:b/>
          <w:color w:val="auto"/>
          <w:sz w:val="22"/>
          <w:szCs w:val="22"/>
        </w:rPr>
        <w:t xml:space="preserve">Special Circumstances Relating to the Guidelines of 5 </w:t>
      </w:r>
      <w:smartTag w:uri="urn:schemas-microsoft-com:office:smarttags" w:element="stockticker">
        <w:r w:rsidRPr="00C4161B">
          <w:rPr>
            <w:rFonts w:asciiTheme="minorHAnsi" w:hAnsiTheme="minorHAnsi"/>
            <w:b/>
            <w:color w:val="auto"/>
            <w:sz w:val="22"/>
            <w:szCs w:val="22"/>
          </w:rPr>
          <w:t>CFR</w:t>
        </w:r>
      </w:smartTag>
      <w:r w:rsidRPr="00C4161B">
        <w:rPr>
          <w:rFonts w:asciiTheme="minorHAnsi" w:hAnsiTheme="minorHAnsi"/>
          <w:b/>
          <w:color w:val="auto"/>
          <w:sz w:val="22"/>
          <w:szCs w:val="22"/>
        </w:rPr>
        <w:t xml:space="preserve"> 1320.5</w:t>
      </w:r>
      <w:bookmarkEnd w:id="19"/>
      <w:bookmarkEnd w:id="20"/>
      <w:bookmarkEnd w:id="21"/>
      <w:bookmarkEnd w:id="22"/>
    </w:p>
    <w:p w:rsidR="00685B30" w:rsidRPr="00E35DD1" w:rsidP="00091C31" w14:paraId="42918316" w14:textId="384A356A">
      <w:pPr>
        <w:pStyle w:val="a"/>
        <w:tabs>
          <w:tab w:val="left" w:pos="720"/>
        </w:tabs>
        <w:ind w:left="0"/>
        <w:rPr>
          <w:rFonts w:asciiTheme="minorHAnsi" w:hAnsiTheme="minorHAnsi"/>
          <w:sz w:val="22"/>
          <w:szCs w:val="22"/>
        </w:rPr>
      </w:pPr>
      <w:r w:rsidRPr="00091C31">
        <w:rPr>
          <w:rFonts w:asciiTheme="minorHAnsi" w:eastAsiaTheme="minorEastAsia" w:hAnsiTheme="minorHAnsi" w:cstheme="minorBidi"/>
          <w:snapToGrid/>
          <w:sz w:val="22"/>
          <w:szCs w:val="22"/>
        </w:rPr>
        <w:t>This survey will be implemented in a manner that fully complies with 5 C.F.R. 1320.5.</w:t>
      </w:r>
    </w:p>
    <w:p w:rsidR="00685B30" w:rsidRPr="00E35DD1" w:rsidP="00E35DD1" w14:paraId="635EB124" w14:textId="77777777">
      <w:pPr>
        <w:pStyle w:val="P1-StandPara"/>
        <w:spacing w:line="240" w:lineRule="auto"/>
        <w:ind w:firstLine="0"/>
        <w:rPr>
          <w:rFonts w:asciiTheme="minorHAnsi" w:hAnsiTheme="minorHAnsi"/>
          <w:szCs w:val="22"/>
        </w:rPr>
      </w:pPr>
    </w:p>
    <w:p w:rsidR="0036208F" w:rsidRPr="00C4161B" w:rsidP="00E35DD1" w14:paraId="42BE9D3A" w14:textId="77777777">
      <w:pPr>
        <w:pStyle w:val="Heading2"/>
        <w:ind w:left="720" w:hanging="720"/>
        <w:rPr>
          <w:rFonts w:asciiTheme="minorHAnsi" w:hAnsiTheme="minorHAnsi"/>
          <w:b/>
          <w:color w:val="auto"/>
          <w:sz w:val="22"/>
          <w:szCs w:val="22"/>
        </w:rPr>
      </w:pPr>
      <w:bookmarkStart w:id="23" w:name="_Toc443881749"/>
      <w:bookmarkStart w:id="24" w:name="_Toc451592238"/>
      <w:bookmarkStart w:id="25" w:name="_Toc5610279"/>
      <w:bookmarkStart w:id="26" w:name="_Toc99178785"/>
      <w:r w:rsidRPr="00C4161B">
        <w:rPr>
          <w:rFonts w:asciiTheme="minorHAnsi" w:hAnsiTheme="minorHAnsi"/>
          <w:b/>
          <w:color w:val="auto"/>
          <w:sz w:val="22"/>
          <w:szCs w:val="22"/>
        </w:rPr>
        <w:t>A.8</w:t>
      </w:r>
      <w:r w:rsidRPr="00C4161B">
        <w:rPr>
          <w:rFonts w:asciiTheme="minorHAnsi" w:hAnsiTheme="minorHAnsi"/>
          <w:b/>
          <w:color w:val="auto"/>
          <w:sz w:val="22"/>
          <w:szCs w:val="22"/>
        </w:rPr>
        <w:t>.1</w:t>
      </w:r>
      <w:r w:rsidRPr="00C4161B">
        <w:rPr>
          <w:rFonts w:asciiTheme="minorHAnsi" w:hAnsiTheme="minorHAnsi"/>
          <w:b/>
          <w:color w:val="auto"/>
          <w:sz w:val="22"/>
          <w:szCs w:val="22"/>
        </w:rPr>
        <w:tab/>
        <w:t xml:space="preserve">Comments in Response to the Federal Register Notice </w:t>
      </w:r>
    </w:p>
    <w:p w:rsidR="0036208F" w:rsidRPr="0036208F" w:rsidP="00707096" w14:paraId="25A28A2C" w14:textId="77777777">
      <w:pPr>
        <w:pStyle w:val="Heading2"/>
        <w:rPr>
          <w:rFonts w:asciiTheme="minorHAnsi" w:hAnsiTheme="minorHAnsi"/>
          <w:szCs w:val="22"/>
        </w:rPr>
      </w:pPr>
    </w:p>
    <w:bookmarkEnd w:id="23"/>
    <w:bookmarkEnd w:id="24"/>
    <w:bookmarkEnd w:id="25"/>
    <w:bookmarkEnd w:id="26"/>
    <w:p w:rsidR="00685B30" w:rsidRPr="0036208F" w:rsidP="00685B30" w14:paraId="679B7420" w14:textId="2552DC65">
      <w:r w:rsidRPr="00091C31">
        <w:t xml:space="preserve">This proposed information collection was previously published in the </w:t>
      </w:r>
      <w:r w:rsidRPr="00091C31">
        <w:rPr>
          <w:u w:val="single"/>
        </w:rPr>
        <w:t>Federal Register</w:t>
      </w:r>
      <w:r w:rsidRPr="00091C31">
        <w:t xml:space="preserve"> on </w:t>
      </w:r>
      <w:r w:rsidRPr="006E5B79" w:rsidR="006E5B79">
        <w:t xml:space="preserve">August 1, 2024, page 62749-62750 (89 FR </w:t>
      </w:r>
      <w:r w:rsidRPr="006E5B79" w:rsidR="006E5B79">
        <w:t>62749)</w:t>
      </w:r>
      <w:r w:rsidRPr="00091C31">
        <w:t>and</w:t>
      </w:r>
      <w:r w:rsidRPr="00091C31">
        <w:t xml:space="preserve"> allowed 60 days for public comment. No public comments were received.</w:t>
      </w:r>
    </w:p>
    <w:p w:rsidR="0036208F" w:rsidRPr="00C4161B" w:rsidP="0036208F" w14:paraId="51C2EE07" w14:textId="77777777">
      <w:pPr>
        <w:pStyle w:val="Heading2"/>
        <w:ind w:left="720" w:hanging="720"/>
        <w:rPr>
          <w:rFonts w:asciiTheme="minorHAnsi" w:hAnsiTheme="minorHAnsi"/>
          <w:b/>
          <w:color w:val="auto"/>
          <w:sz w:val="22"/>
          <w:szCs w:val="22"/>
        </w:rPr>
      </w:pPr>
      <w:r w:rsidRPr="00C4161B">
        <w:rPr>
          <w:rFonts w:asciiTheme="minorHAnsi" w:hAnsiTheme="minorHAnsi"/>
          <w:b/>
          <w:color w:val="auto"/>
          <w:sz w:val="22"/>
          <w:szCs w:val="22"/>
        </w:rPr>
        <w:t>A.8.2</w:t>
      </w:r>
      <w:r w:rsidRPr="00C4161B">
        <w:rPr>
          <w:rFonts w:asciiTheme="minorHAnsi" w:hAnsiTheme="minorHAnsi"/>
          <w:b/>
          <w:color w:val="auto"/>
          <w:sz w:val="22"/>
          <w:szCs w:val="22"/>
        </w:rPr>
        <w:tab/>
        <w:t>Efforts to Consult Outside Agency</w:t>
      </w:r>
    </w:p>
    <w:p w:rsidR="0036208F" w:rsidP="00685B30" w14:paraId="3E326CCB" w14:textId="77777777"/>
    <w:p w:rsidR="00717158" w:rsidRPr="00442B5B" w:rsidP="00442B5B" w14:paraId="2F8470F4" w14:textId="1E303D91">
      <w:r>
        <w:t>No efforts have been made to consult with an outside agency.</w:t>
      </w:r>
    </w:p>
    <w:p w:rsidR="00685B30" w:rsidRPr="00E35DD1" w:rsidP="00685B30" w14:paraId="06EE05E1" w14:textId="77777777">
      <w:pPr>
        <w:pStyle w:val="P1-StandPara"/>
        <w:ind w:firstLine="0"/>
        <w:rPr>
          <w:rFonts w:asciiTheme="minorHAnsi" w:hAnsiTheme="minorHAnsi"/>
          <w:b/>
          <w:szCs w:val="22"/>
        </w:rPr>
      </w:pPr>
      <w:r w:rsidRPr="00E35DD1">
        <w:rPr>
          <w:rFonts w:asciiTheme="minorHAnsi" w:hAnsiTheme="minorHAnsi"/>
          <w:b/>
          <w:szCs w:val="22"/>
        </w:rPr>
        <w:t>A.9</w:t>
      </w:r>
      <w:r w:rsidRPr="00E35DD1">
        <w:rPr>
          <w:rFonts w:asciiTheme="minorHAnsi" w:hAnsiTheme="minorHAnsi"/>
          <w:b/>
          <w:szCs w:val="22"/>
        </w:rPr>
        <w:tab/>
        <w:t>Explanation of Any Payment of Gift to Respondents</w:t>
      </w:r>
    </w:p>
    <w:p w:rsidR="00685B30" w:rsidRPr="00E35DD1" w:rsidP="00685B30" w14:paraId="746435EB" w14:textId="1179AA28">
      <w:r w:rsidRPr="00E00E69">
        <w:t xml:space="preserve">No payments nor gifts will be distributed to the individuals completing the </w:t>
      </w:r>
      <w:r w:rsidRPr="00E00E69">
        <w:t>eIDP</w:t>
      </w:r>
      <w:r w:rsidRPr="00E00E69">
        <w:t>.</w:t>
      </w:r>
    </w:p>
    <w:p w:rsidR="00685B30" w:rsidRPr="00E35DD1" w:rsidP="00685B30" w14:paraId="43756684" w14:textId="77777777">
      <w:pPr>
        <w:pStyle w:val="P1-StandPara"/>
        <w:ind w:firstLine="0"/>
        <w:rPr>
          <w:rFonts w:asciiTheme="minorHAnsi" w:hAnsiTheme="minorHAnsi"/>
          <w:b/>
          <w:szCs w:val="22"/>
        </w:rPr>
      </w:pPr>
      <w:r w:rsidRPr="00E35DD1">
        <w:rPr>
          <w:rFonts w:asciiTheme="minorHAnsi" w:hAnsiTheme="minorHAnsi"/>
          <w:b/>
          <w:szCs w:val="22"/>
        </w:rPr>
        <w:t>A.10</w:t>
      </w:r>
      <w:r w:rsidRPr="00E35DD1">
        <w:rPr>
          <w:rFonts w:asciiTheme="minorHAnsi" w:hAnsiTheme="minorHAnsi"/>
          <w:b/>
          <w:szCs w:val="22"/>
        </w:rPr>
        <w:tab/>
        <w:t>Assurance of Confidentiality Provided to Respondents</w:t>
      </w:r>
    </w:p>
    <w:p w:rsidR="00A33617" w:rsidP="0036208F" w14:paraId="4917A2C4" w14:textId="77777777">
      <w:pPr>
        <w:pStyle w:val="P1-StandPara"/>
        <w:spacing w:line="240" w:lineRule="auto"/>
        <w:ind w:firstLine="0"/>
        <w:rPr>
          <w:rFonts w:asciiTheme="minorHAnsi" w:hAnsiTheme="minorHAnsi"/>
          <w:szCs w:val="22"/>
        </w:rPr>
      </w:pPr>
      <w:r w:rsidRPr="00A33617">
        <w:rPr>
          <w:rFonts w:asciiTheme="minorHAnsi" w:hAnsiTheme="minorHAnsi"/>
          <w:szCs w:val="22"/>
        </w:rPr>
        <w:t xml:space="preserve">All information will be kept private to the extent provided by law. Only intramural trainees will have the ability to initiate their </w:t>
      </w:r>
      <w:r w:rsidRPr="00A33617">
        <w:rPr>
          <w:rFonts w:asciiTheme="minorHAnsi" w:hAnsiTheme="minorHAnsi"/>
          <w:szCs w:val="22"/>
        </w:rPr>
        <w:t>eIDPs</w:t>
      </w:r>
      <w:r w:rsidRPr="00A33617">
        <w:rPr>
          <w:rFonts w:asciiTheme="minorHAnsi" w:hAnsiTheme="minorHAnsi"/>
          <w:szCs w:val="22"/>
        </w:rPr>
        <w:t xml:space="preserve"> using their NIH login credentials.</w:t>
      </w:r>
    </w:p>
    <w:p w:rsidR="0036208F" w:rsidP="0036208F" w14:paraId="7489C162" w14:textId="73734E1D">
      <w:pPr>
        <w:pStyle w:val="P1-StandPara"/>
        <w:spacing w:line="240" w:lineRule="auto"/>
        <w:ind w:firstLine="0"/>
        <w:rPr>
          <w:rFonts w:asciiTheme="minorHAnsi" w:hAnsiTheme="minorHAnsi"/>
          <w:szCs w:val="22"/>
        </w:rPr>
      </w:pPr>
    </w:p>
    <w:p w:rsidR="00A33617" w:rsidP="0036208F" w14:paraId="29889184" w14:textId="6F0E6425">
      <w:pPr>
        <w:pStyle w:val="P1-StandPara"/>
        <w:spacing w:line="240" w:lineRule="auto"/>
        <w:ind w:firstLine="0"/>
        <w:rPr>
          <w:rFonts w:asciiTheme="minorHAnsi" w:hAnsiTheme="minorHAnsi"/>
          <w:szCs w:val="22"/>
        </w:rPr>
      </w:pPr>
      <w:r w:rsidRPr="00A33617">
        <w:rPr>
          <w:rFonts w:asciiTheme="minorHAnsi" w:hAnsiTheme="minorHAnsi"/>
          <w:szCs w:val="22"/>
        </w:rPr>
        <w:t>Personally Identifiable Information (PII) collected includes: name, contact information, and education. Federal regulations for the protection of human subjects do not apply to this activity. The information collected is covered by the NIH Privacy Act Systems of Records Notice (SORN) is #09–25–0014, “Clinical Research; Student Records, HHS/PHS/NIH/OD/OIR/OE.”</w:t>
      </w:r>
    </w:p>
    <w:p w:rsidR="00E35DD1" w:rsidRPr="00E35DD1" w:rsidP="00E35DD1" w14:paraId="63CCC42F" w14:textId="77777777">
      <w:pPr>
        <w:pStyle w:val="P1-StandPara"/>
        <w:spacing w:line="240" w:lineRule="auto"/>
        <w:ind w:firstLine="0"/>
        <w:rPr>
          <w:rFonts w:asciiTheme="minorHAnsi" w:hAnsiTheme="minorHAnsi"/>
          <w:szCs w:val="22"/>
        </w:rPr>
      </w:pPr>
    </w:p>
    <w:p w:rsidR="00685B30" w:rsidRPr="00E35DD1" w:rsidP="00685B30" w14:paraId="418F3B61" w14:textId="77777777">
      <w:pPr>
        <w:pStyle w:val="P1-StandPara"/>
        <w:ind w:firstLine="0"/>
        <w:rPr>
          <w:rFonts w:asciiTheme="minorHAnsi" w:hAnsiTheme="minorHAnsi"/>
          <w:b/>
          <w:szCs w:val="22"/>
        </w:rPr>
      </w:pPr>
      <w:r w:rsidRPr="00E35DD1">
        <w:rPr>
          <w:rFonts w:asciiTheme="minorHAnsi" w:hAnsiTheme="minorHAnsi"/>
          <w:b/>
          <w:szCs w:val="22"/>
        </w:rPr>
        <w:t>A.11</w:t>
      </w:r>
      <w:r w:rsidRPr="00E35DD1">
        <w:rPr>
          <w:rFonts w:asciiTheme="minorHAnsi" w:hAnsiTheme="minorHAnsi"/>
          <w:b/>
          <w:szCs w:val="22"/>
        </w:rPr>
        <w:tab/>
        <w:t>Justification for Sensitive Questions</w:t>
      </w:r>
    </w:p>
    <w:p w:rsidR="00685B30" w:rsidRPr="00E35DD1" w:rsidP="00685B30" w14:paraId="2EE5DF31" w14:textId="5D3FE2D3">
      <w:pPr>
        <w:pStyle w:val="P1-StandPara"/>
        <w:spacing w:line="240" w:lineRule="auto"/>
        <w:ind w:firstLine="0"/>
        <w:rPr>
          <w:rFonts w:asciiTheme="minorHAnsi" w:hAnsiTheme="minorHAnsi"/>
          <w:szCs w:val="22"/>
        </w:rPr>
      </w:pPr>
      <w:r w:rsidRPr="00707096">
        <w:rPr>
          <w:rFonts w:asciiTheme="minorHAnsi" w:hAnsiTheme="minorHAnsi"/>
          <w:szCs w:val="22"/>
        </w:rPr>
        <w:t xml:space="preserve">Gender is pre-populated from data available from the NIH Enterprise Directory. The trainee may complete optional fields for </w:t>
      </w:r>
      <w:r>
        <w:rPr>
          <w:rFonts w:asciiTheme="minorHAnsi" w:hAnsiTheme="minorHAnsi"/>
          <w:szCs w:val="22"/>
        </w:rPr>
        <w:t>race</w:t>
      </w:r>
      <w:r w:rsidRPr="00707096">
        <w:rPr>
          <w:rFonts w:asciiTheme="minorHAnsi" w:hAnsiTheme="minorHAnsi"/>
          <w:szCs w:val="22"/>
        </w:rPr>
        <w:t>/ethnicity</w:t>
      </w:r>
      <w:r w:rsidRPr="00122021" w:rsidR="00122021">
        <w:rPr>
          <w:rFonts w:asciiTheme="minorHAnsi" w:hAnsiTheme="minorHAnsi"/>
          <w:szCs w:val="22"/>
          <w:highlight w:val="yellow"/>
        </w:rPr>
        <w:t xml:space="preserve">, </w:t>
      </w:r>
      <w:r w:rsidRPr="00122021" w:rsidR="00122021">
        <w:rPr>
          <w:rFonts w:asciiTheme="minorHAnsi" w:hAnsiTheme="minorHAnsi"/>
          <w:szCs w:val="22"/>
          <w:highlight w:val="yellow"/>
        </w:rPr>
        <w:t xml:space="preserve">which </w:t>
      </w:r>
      <w:r w:rsidR="00EA11F7">
        <w:rPr>
          <w:rFonts w:asciiTheme="minorHAnsi" w:hAnsiTheme="minorHAnsi"/>
          <w:szCs w:val="22"/>
          <w:highlight w:val="yellow"/>
        </w:rPr>
        <w:t xml:space="preserve">is in the process of modification to </w:t>
      </w:r>
      <w:r w:rsidRPr="00122021" w:rsidR="00122021">
        <w:rPr>
          <w:rFonts w:asciiTheme="minorHAnsi" w:hAnsiTheme="minorHAnsi"/>
          <w:szCs w:val="22"/>
          <w:highlight w:val="yellow"/>
        </w:rPr>
        <w:t>match the new Directive 15 standards</w:t>
      </w:r>
      <w:r w:rsidRPr="00122021">
        <w:rPr>
          <w:rFonts w:asciiTheme="minorHAnsi" w:hAnsiTheme="minorHAnsi"/>
          <w:szCs w:val="22"/>
          <w:highlight w:val="yellow"/>
        </w:rPr>
        <w:t>.</w:t>
      </w:r>
      <w:r w:rsidRPr="00707096">
        <w:rPr>
          <w:rFonts w:asciiTheme="minorHAnsi" w:hAnsiTheme="minorHAnsi"/>
          <w:szCs w:val="22"/>
        </w:rPr>
        <w:t xml:space="preserve"> </w:t>
      </w:r>
      <w:r w:rsidRPr="00707096">
        <w:rPr>
          <w:rFonts w:asciiTheme="minorHAnsi" w:hAnsiTheme="minorHAnsi"/>
          <w:szCs w:val="22"/>
        </w:rPr>
        <w:t>Data collected will be used for internal tracking to ensure we attract a diverse trainee population.</w:t>
      </w:r>
      <w:r w:rsidRPr="00E35DD1">
        <w:rPr>
          <w:rFonts w:asciiTheme="minorHAnsi" w:hAnsiTheme="minorHAnsi"/>
          <w:szCs w:val="22"/>
        </w:rPr>
        <w:t xml:space="preserve"> </w:t>
      </w:r>
    </w:p>
    <w:p w:rsidR="00685B30" w:rsidRPr="00E35DD1" w:rsidP="00685B30" w14:paraId="576DA571" w14:textId="77777777">
      <w:pPr>
        <w:pStyle w:val="P1-StandPara"/>
        <w:spacing w:line="240" w:lineRule="auto"/>
        <w:ind w:firstLine="0"/>
        <w:rPr>
          <w:rFonts w:asciiTheme="minorHAnsi" w:hAnsiTheme="minorHAnsi"/>
          <w:szCs w:val="22"/>
        </w:rPr>
      </w:pPr>
    </w:p>
    <w:p w:rsidR="00685B30" w:rsidRPr="00E35DD1" w:rsidP="00685B30" w14:paraId="2470C97A" w14:textId="77777777">
      <w:pPr>
        <w:rPr>
          <w:b/>
        </w:rPr>
      </w:pPr>
      <w:r w:rsidRPr="00E35DD1">
        <w:rPr>
          <w:b/>
        </w:rPr>
        <w:t>A.12</w:t>
      </w:r>
      <w:r w:rsidR="00BF491C">
        <w:rPr>
          <w:b/>
        </w:rPr>
        <w:t>.1</w:t>
      </w:r>
      <w:r w:rsidRPr="00E35DD1">
        <w:rPr>
          <w:b/>
        </w:rPr>
        <w:tab/>
        <w:t>Estimates of Hour Burden Including Annualized Hourly Costs</w:t>
      </w:r>
    </w:p>
    <w:p w:rsidR="00707096" w:rsidRPr="00707096" w:rsidP="00707096" w14:paraId="25AE6B9F" w14:textId="1AAFEF50">
      <w:r w:rsidRPr="00707096">
        <w:t xml:space="preserve">A list of trainees who are required to complete the </w:t>
      </w:r>
      <w:r w:rsidRPr="00707096">
        <w:t>eIDP</w:t>
      </w:r>
      <w:r w:rsidRPr="00707096">
        <w:t xml:space="preserve"> is identified by NEI’s</w:t>
      </w:r>
      <w:r>
        <w:t xml:space="preserve"> Intramural Administrative Management Branch (IAMB</w:t>
      </w:r>
      <w:r w:rsidRPr="00707096">
        <w:t xml:space="preserve">) using information available through NIH Enterprise Directory and the Fellowship Payment System. It is estimated there will be a total of 150 trainee respondents who will complete the initial </w:t>
      </w:r>
      <w:r w:rsidRPr="00707096">
        <w:t>eIDP</w:t>
      </w:r>
      <w:r w:rsidRPr="00707096">
        <w:t xml:space="preserve"> and exit survey</w:t>
      </w:r>
      <w:r w:rsidR="00D23A63">
        <w:t>s</w:t>
      </w:r>
      <w:r w:rsidRPr="00707096">
        <w:t xml:space="preserve">. The initial </w:t>
      </w:r>
      <w:r w:rsidRPr="00707096">
        <w:t>eIDP</w:t>
      </w:r>
      <w:r w:rsidRPr="00707096">
        <w:t xml:space="preserve"> and exit survey will take approximately </w:t>
      </w:r>
      <w:r w:rsidR="00FF7092">
        <w:t>5</w:t>
      </w:r>
      <w:r w:rsidRPr="00707096">
        <w:t xml:space="preserve"> to 60 </w:t>
      </w:r>
      <w:r w:rsidRPr="00707096">
        <w:t xml:space="preserve">minutes to complete, depending on the form. The estimated hour burden included for this information collection is </w:t>
      </w:r>
      <w:r w:rsidR="00FC45C7">
        <w:t>213</w:t>
      </w:r>
      <w:r w:rsidRPr="00707096">
        <w:t xml:space="preserve"> hours (Table 12-1).</w:t>
      </w:r>
    </w:p>
    <w:p w:rsidR="00C24877" w:rsidP="00C24877" w14:paraId="69E5DE25" w14:textId="0A302659">
      <w:pPr>
        <w:jc w:val="center"/>
      </w:pPr>
      <w:r>
        <w:t>Table 12-1 Estimated Annualized Burden Hours</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1885"/>
        <w:gridCol w:w="1535"/>
        <w:gridCol w:w="1440"/>
        <w:gridCol w:w="1620"/>
        <w:gridCol w:w="1710"/>
        <w:gridCol w:w="1980"/>
      </w:tblGrid>
      <w:tr w14:paraId="31B33492" w14:textId="77777777" w:rsidTr="00A60362">
        <w:tblPrEx>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cantSplit/>
          <w:trHeight w:val="403"/>
          <w:jc w:val="center"/>
        </w:trPr>
        <w:tc>
          <w:tcPr>
            <w:tcW w:w="1885" w:type="dxa"/>
          </w:tcPr>
          <w:p w:rsidR="00A60362" w:rsidRPr="00A60362" w:rsidP="00A60362" w14:paraId="2BE2A3EC" w14:textId="77777777">
            <w:pPr>
              <w:tabs>
                <w:tab w:val="left" w:pos="2141"/>
              </w:tabs>
              <w:spacing w:after="0"/>
            </w:pPr>
          </w:p>
        </w:tc>
        <w:tc>
          <w:tcPr>
            <w:tcW w:w="1535" w:type="dxa"/>
          </w:tcPr>
          <w:p w:rsidR="00A60362" w:rsidRPr="00A60362" w:rsidP="00A60362" w14:paraId="30B76210" w14:textId="77777777">
            <w:pPr>
              <w:tabs>
                <w:tab w:val="left" w:pos="2141"/>
              </w:tabs>
              <w:spacing w:after="0"/>
            </w:pPr>
            <w:r w:rsidRPr="00A60362">
              <w:t>Type of Respondent</w:t>
            </w:r>
          </w:p>
        </w:tc>
        <w:tc>
          <w:tcPr>
            <w:tcW w:w="1440" w:type="dxa"/>
          </w:tcPr>
          <w:p w:rsidR="00A60362" w:rsidRPr="00A60362" w:rsidP="00A60362" w14:paraId="0639C4AD" w14:textId="77777777">
            <w:pPr>
              <w:tabs>
                <w:tab w:val="left" w:pos="2141"/>
              </w:tabs>
              <w:spacing w:after="0"/>
            </w:pPr>
            <w:r w:rsidRPr="00A60362">
              <w:t>Number of Respondents</w:t>
            </w:r>
          </w:p>
        </w:tc>
        <w:tc>
          <w:tcPr>
            <w:tcW w:w="1620" w:type="dxa"/>
          </w:tcPr>
          <w:p w:rsidR="00A60362" w:rsidRPr="00A60362" w:rsidP="00A60362" w14:paraId="713AD18C" w14:textId="77777777">
            <w:pPr>
              <w:tabs>
                <w:tab w:val="left" w:pos="2141"/>
              </w:tabs>
              <w:spacing w:after="0"/>
            </w:pPr>
            <w:r w:rsidRPr="00A60362">
              <w:t>Number of Responses per Respondent</w:t>
            </w:r>
          </w:p>
        </w:tc>
        <w:tc>
          <w:tcPr>
            <w:tcW w:w="1710" w:type="dxa"/>
          </w:tcPr>
          <w:p w:rsidR="00A60362" w:rsidRPr="00A60362" w:rsidP="00A60362" w14:paraId="7885EA9B" w14:textId="77777777">
            <w:pPr>
              <w:tabs>
                <w:tab w:val="left" w:pos="2141"/>
              </w:tabs>
              <w:spacing w:after="0"/>
            </w:pPr>
            <w:r w:rsidRPr="00A60362">
              <w:t xml:space="preserve">Average Time Per Response </w:t>
            </w:r>
          </w:p>
          <w:p w:rsidR="00A60362" w:rsidRPr="00A60362" w:rsidP="00A60362" w14:paraId="44863B2A" w14:textId="77777777">
            <w:pPr>
              <w:tabs>
                <w:tab w:val="left" w:pos="2141"/>
              </w:tabs>
              <w:spacing w:after="0"/>
            </w:pPr>
            <w:r w:rsidRPr="00A60362">
              <w:t xml:space="preserve">(in hours) </w:t>
            </w:r>
          </w:p>
        </w:tc>
        <w:tc>
          <w:tcPr>
            <w:tcW w:w="1980" w:type="dxa"/>
          </w:tcPr>
          <w:p w:rsidR="00A60362" w:rsidRPr="00A60362" w:rsidP="00A60362" w14:paraId="6C9881A9" w14:textId="77777777">
            <w:pPr>
              <w:tabs>
                <w:tab w:val="left" w:pos="2141"/>
              </w:tabs>
              <w:spacing w:after="0"/>
            </w:pPr>
            <w:r w:rsidRPr="00A60362">
              <w:t xml:space="preserve">Total Annual Burden Hour </w:t>
            </w:r>
          </w:p>
        </w:tc>
      </w:tr>
      <w:tr w14:paraId="11612DE2" w14:textId="77777777" w:rsidTr="00A60362">
        <w:tblPrEx>
          <w:tblW w:w="10170" w:type="dxa"/>
          <w:jc w:val="center"/>
          <w:tblLayout w:type="fixed"/>
          <w:tblCellMar>
            <w:left w:w="100" w:type="dxa"/>
            <w:right w:w="100" w:type="dxa"/>
          </w:tblCellMar>
          <w:tblLook w:val="0000"/>
        </w:tblPrEx>
        <w:trPr>
          <w:cantSplit/>
          <w:trHeight w:val="403"/>
          <w:jc w:val="center"/>
        </w:trPr>
        <w:tc>
          <w:tcPr>
            <w:tcW w:w="1885" w:type="dxa"/>
          </w:tcPr>
          <w:p w:rsidR="00A60362" w:rsidRPr="00A60362" w:rsidP="00A60362" w14:paraId="42F48866" w14:textId="77777777">
            <w:pPr>
              <w:tabs>
                <w:tab w:val="left" w:pos="2141"/>
              </w:tabs>
              <w:spacing w:after="0"/>
            </w:pPr>
            <w:r w:rsidRPr="00A60362">
              <w:t xml:space="preserve">   </w:t>
            </w:r>
            <w:r w:rsidRPr="00A60362">
              <w:t>eIDP</w:t>
            </w:r>
          </w:p>
        </w:tc>
        <w:tc>
          <w:tcPr>
            <w:tcW w:w="1535" w:type="dxa"/>
          </w:tcPr>
          <w:p w:rsidR="00A60362" w:rsidRPr="00A60362" w:rsidP="00A60362" w14:paraId="3A219635" w14:textId="77777777">
            <w:pPr>
              <w:tabs>
                <w:tab w:val="left" w:pos="2141"/>
              </w:tabs>
              <w:spacing w:after="0"/>
            </w:pPr>
            <w:r w:rsidRPr="00A60362">
              <w:t>Individuals</w:t>
            </w:r>
          </w:p>
        </w:tc>
        <w:tc>
          <w:tcPr>
            <w:tcW w:w="1440" w:type="dxa"/>
          </w:tcPr>
          <w:p w:rsidR="00A60362" w:rsidRPr="00A60362" w:rsidP="00A60362" w14:paraId="358C5156" w14:textId="77777777">
            <w:pPr>
              <w:tabs>
                <w:tab w:val="left" w:pos="2141"/>
              </w:tabs>
              <w:spacing w:after="0"/>
            </w:pPr>
            <w:r w:rsidRPr="00A60362">
              <w:t>150</w:t>
            </w:r>
          </w:p>
        </w:tc>
        <w:tc>
          <w:tcPr>
            <w:tcW w:w="1620" w:type="dxa"/>
          </w:tcPr>
          <w:p w:rsidR="00A60362" w:rsidRPr="00A60362" w:rsidP="00A60362" w14:paraId="6319212A" w14:textId="77777777">
            <w:pPr>
              <w:tabs>
                <w:tab w:val="left" w:pos="2141"/>
              </w:tabs>
              <w:spacing w:after="0"/>
            </w:pPr>
            <w:r w:rsidRPr="00A60362">
              <w:t>1</w:t>
            </w:r>
          </w:p>
        </w:tc>
        <w:tc>
          <w:tcPr>
            <w:tcW w:w="1710" w:type="dxa"/>
          </w:tcPr>
          <w:p w:rsidR="00A60362" w:rsidRPr="00A60362" w:rsidP="00A60362" w14:paraId="561A28B1" w14:textId="52534610">
            <w:pPr>
              <w:tabs>
                <w:tab w:val="left" w:pos="2141"/>
              </w:tabs>
              <w:spacing w:after="0"/>
            </w:pPr>
            <w:r>
              <w:t>1</w:t>
            </w:r>
          </w:p>
        </w:tc>
        <w:tc>
          <w:tcPr>
            <w:tcW w:w="1980" w:type="dxa"/>
          </w:tcPr>
          <w:p w:rsidR="00A60362" w:rsidRPr="00A60362" w:rsidP="00A60362" w14:paraId="4497DF60" w14:textId="65F8D9E0">
            <w:pPr>
              <w:tabs>
                <w:tab w:val="left" w:pos="2141"/>
              </w:tabs>
              <w:spacing w:after="0"/>
            </w:pPr>
            <w:r>
              <w:t>150</w:t>
            </w:r>
          </w:p>
        </w:tc>
      </w:tr>
      <w:tr w14:paraId="2B811CB8" w14:textId="77777777" w:rsidTr="00A60362">
        <w:tblPrEx>
          <w:tblW w:w="10170" w:type="dxa"/>
          <w:jc w:val="center"/>
          <w:tblLayout w:type="fixed"/>
          <w:tblCellMar>
            <w:left w:w="100" w:type="dxa"/>
            <w:right w:w="100" w:type="dxa"/>
          </w:tblCellMar>
          <w:tblLook w:val="0000"/>
        </w:tblPrEx>
        <w:trPr>
          <w:cantSplit/>
          <w:trHeight w:val="403"/>
          <w:jc w:val="center"/>
        </w:trPr>
        <w:tc>
          <w:tcPr>
            <w:tcW w:w="1885" w:type="dxa"/>
          </w:tcPr>
          <w:p w:rsidR="00A60362" w:rsidRPr="00A60362" w:rsidP="00A60362" w14:paraId="5829FFEE" w14:textId="77777777">
            <w:pPr>
              <w:tabs>
                <w:tab w:val="left" w:pos="2141"/>
              </w:tabs>
              <w:spacing w:after="0"/>
            </w:pPr>
            <w:r w:rsidRPr="00A60362">
              <w:t>Exit Survey Part 1</w:t>
            </w:r>
          </w:p>
        </w:tc>
        <w:tc>
          <w:tcPr>
            <w:tcW w:w="1535" w:type="dxa"/>
          </w:tcPr>
          <w:p w:rsidR="00A60362" w:rsidRPr="00A60362" w:rsidP="00A60362" w14:paraId="5E4C3C94" w14:textId="77777777">
            <w:pPr>
              <w:tabs>
                <w:tab w:val="left" w:pos="2141"/>
              </w:tabs>
              <w:spacing w:after="0"/>
            </w:pPr>
            <w:r w:rsidRPr="00A60362">
              <w:t>Individuals</w:t>
            </w:r>
          </w:p>
        </w:tc>
        <w:tc>
          <w:tcPr>
            <w:tcW w:w="1440" w:type="dxa"/>
          </w:tcPr>
          <w:p w:rsidR="00A60362" w:rsidRPr="00A60362" w:rsidP="00A60362" w14:paraId="2DBCE1EB" w14:textId="77777777">
            <w:pPr>
              <w:tabs>
                <w:tab w:val="left" w:pos="2141"/>
              </w:tabs>
              <w:spacing w:after="0"/>
            </w:pPr>
            <w:r w:rsidRPr="00A60362">
              <w:rPr>
                <w:b/>
                <w:bCs/>
              </w:rPr>
              <w:t>1</w:t>
            </w:r>
            <w:r w:rsidRPr="00A60362">
              <w:t>50</w:t>
            </w:r>
          </w:p>
        </w:tc>
        <w:tc>
          <w:tcPr>
            <w:tcW w:w="1620" w:type="dxa"/>
          </w:tcPr>
          <w:p w:rsidR="00A60362" w:rsidRPr="00A60362" w:rsidP="00A60362" w14:paraId="4233BA48" w14:textId="77777777">
            <w:pPr>
              <w:tabs>
                <w:tab w:val="left" w:pos="2141"/>
              </w:tabs>
              <w:spacing w:after="0"/>
            </w:pPr>
            <w:r w:rsidRPr="00A60362">
              <w:t>1</w:t>
            </w:r>
          </w:p>
        </w:tc>
        <w:tc>
          <w:tcPr>
            <w:tcW w:w="1710" w:type="dxa"/>
          </w:tcPr>
          <w:p w:rsidR="00A60362" w:rsidRPr="00A60362" w:rsidP="00A60362" w14:paraId="557E21B0" w14:textId="5800CFBC">
            <w:pPr>
              <w:tabs>
                <w:tab w:val="left" w:pos="2141"/>
              </w:tabs>
              <w:spacing w:after="0"/>
            </w:pPr>
            <w:r>
              <w:t>5</w:t>
            </w:r>
            <w:r w:rsidRPr="00A60362">
              <w:t>/60</w:t>
            </w:r>
          </w:p>
        </w:tc>
        <w:tc>
          <w:tcPr>
            <w:tcW w:w="1980" w:type="dxa"/>
          </w:tcPr>
          <w:p w:rsidR="00A60362" w:rsidRPr="00A60362" w:rsidP="00A60362" w14:paraId="62DF4C5B" w14:textId="1BED19F9">
            <w:pPr>
              <w:tabs>
                <w:tab w:val="left" w:pos="2141"/>
              </w:tabs>
              <w:spacing w:after="0"/>
            </w:pPr>
            <w:r>
              <w:t>13</w:t>
            </w:r>
          </w:p>
        </w:tc>
      </w:tr>
      <w:tr w14:paraId="010EE181" w14:textId="77777777" w:rsidTr="00A60362">
        <w:tblPrEx>
          <w:tblW w:w="10170" w:type="dxa"/>
          <w:jc w:val="center"/>
          <w:tblLayout w:type="fixed"/>
          <w:tblCellMar>
            <w:left w:w="100" w:type="dxa"/>
            <w:right w:w="100" w:type="dxa"/>
          </w:tblCellMar>
          <w:tblLook w:val="0000"/>
        </w:tblPrEx>
        <w:trPr>
          <w:cantSplit/>
          <w:trHeight w:val="403"/>
          <w:jc w:val="center"/>
        </w:trPr>
        <w:tc>
          <w:tcPr>
            <w:tcW w:w="1885" w:type="dxa"/>
          </w:tcPr>
          <w:p w:rsidR="00A60362" w:rsidRPr="00A60362" w:rsidP="00A60362" w14:paraId="13379AA2" w14:textId="77777777">
            <w:pPr>
              <w:tabs>
                <w:tab w:val="left" w:pos="2141"/>
              </w:tabs>
              <w:spacing w:after="0"/>
            </w:pPr>
            <w:r w:rsidRPr="00A60362">
              <w:t>Exit Survey Part 2</w:t>
            </w:r>
          </w:p>
        </w:tc>
        <w:tc>
          <w:tcPr>
            <w:tcW w:w="1535" w:type="dxa"/>
          </w:tcPr>
          <w:p w:rsidR="00A60362" w:rsidRPr="00A60362" w:rsidP="00A60362" w14:paraId="5733FFE2" w14:textId="77777777">
            <w:pPr>
              <w:tabs>
                <w:tab w:val="left" w:pos="2141"/>
              </w:tabs>
              <w:spacing w:after="0"/>
            </w:pPr>
            <w:r w:rsidRPr="00A60362">
              <w:t>Individuals</w:t>
            </w:r>
          </w:p>
        </w:tc>
        <w:tc>
          <w:tcPr>
            <w:tcW w:w="1440" w:type="dxa"/>
          </w:tcPr>
          <w:p w:rsidR="00A60362" w:rsidRPr="00A60362" w:rsidP="00A60362" w14:paraId="00EC6270" w14:textId="77777777">
            <w:pPr>
              <w:tabs>
                <w:tab w:val="left" w:pos="2141"/>
              </w:tabs>
              <w:spacing w:after="0"/>
            </w:pPr>
            <w:r w:rsidRPr="00A60362">
              <w:t>150</w:t>
            </w:r>
          </w:p>
        </w:tc>
        <w:tc>
          <w:tcPr>
            <w:tcW w:w="1620" w:type="dxa"/>
          </w:tcPr>
          <w:p w:rsidR="00A60362" w:rsidRPr="00A60362" w:rsidP="00A60362" w14:paraId="0789144B" w14:textId="77777777">
            <w:pPr>
              <w:tabs>
                <w:tab w:val="left" w:pos="2141"/>
              </w:tabs>
              <w:spacing w:after="0"/>
            </w:pPr>
            <w:r w:rsidRPr="00A60362">
              <w:t>1</w:t>
            </w:r>
          </w:p>
        </w:tc>
        <w:tc>
          <w:tcPr>
            <w:tcW w:w="1710" w:type="dxa"/>
          </w:tcPr>
          <w:p w:rsidR="00A60362" w:rsidRPr="00A60362" w:rsidP="00A60362" w14:paraId="30DC3E2A" w14:textId="339796C6">
            <w:pPr>
              <w:tabs>
                <w:tab w:val="left" w:pos="2141"/>
              </w:tabs>
              <w:spacing w:after="0"/>
            </w:pPr>
            <w:r>
              <w:t>2</w:t>
            </w:r>
            <w:r w:rsidRPr="00A60362">
              <w:t>0/60</w:t>
            </w:r>
          </w:p>
        </w:tc>
        <w:tc>
          <w:tcPr>
            <w:tcW w:w="1980" w:type="dxa"/>
          </w:tcPr>
          <w:p w:rsidR="00A60362" w:rsidRPr="00A60362" w:rsidP="00A60362" w14:paraId="0C49AA17" w14:textId="58846A55">
            <w:pPr>
              <w:tabs>
                <w:tab w:val="left" w:pos="2141"/>
              </w:tabs>
              <w:spacing w:after="0"/>
            </w:pPr>
            <w:r>
              <w:t>50</w:t>
            </w:r>
          </w:p>
        </w:tc>
      </w:tr>
      <w:tr w14:paraId="03F87C05" w14:textId="77777777" w:rsidTr="00E71E24">
        <w:tblPrEx>
          <w:tblW w:w="10170" w:type="dxa"/>
          <w:jc w:val="center"/>
          <w:tblLayout w:type="fixed"/>
          <w:tblCellMar>
            <w:left w:w="100" w:type="dxa"/>
            <w:right w:w="100" w:type="dxa"/>
          </w:tblCellMar>
          <w:tblLook w:val="0000"/>
        </w:tblPrEx>
        <w:trPr>
          <w:cantSplit/>
          <w:trHeight w:val="403"/>
          <w:jc w:val="center"/>
        </w:trPr>
        <w:tc>
          <w:tcPr>
            <w:tcW w:w="1885" w:type="dxa"/>
          </w:tcPr>
          <w:p w:rsidR="00A60362" w:rsidRPr="00A60362" w:rsidP="00A60362" w14:paraId="32EDC2FB" w14:textId="77777777">
            <w:pPr>
              <w:tabs>
                <w:tab w:val="left" w:pos="2141"/>
              </w:tabs>
              <w:spacing w:after="0"/>
            </w:pPr>
          </w:p>
        </w:tc>
        <w:tc>
          <w:tcPr>
            <w:tcW w:w="1535" w:type="dxa"/>
          </w:tcPr>
          <w:p w:rsidR="00A60362" w:rsidRPr="00A60362" w:rsidP="00A60362" w14:paraId="665DE05A" w14:textId="77777777">
            <w:pPr>
              <w:tabs>
                <w:tab w:val="left" w:pos="2141"/>
              </w:tabs>
              <w:spacing w:after="0"/>
            </w:pPr>
            <w:r w:rsidRPr="00A60362">
              <w:t>TOTAL</w:t>
            </w:r>
          </w:p>
        </w:tc>
        <w:tc>
          <w:tcPr>
            <w:tcW w:w="1440" w:type="dxa"/>
            <w:shd w:val="clear" w:color="auto" w:fill="A6A6A6" w:themeFill="background1" w:themeFillShade="A6"/>
          </w:tcPr>
          <w:p w:rsidR="00A60362" w:rsidRPr="00E71E24" w:rsidP="00A60362" w14:paraId="3A74BD21" w14:textId="4CE35279">
            <w:pPr>
              <w:tabs>
                <w:tab w:val="left" w:pos="2141"/>
              </w:tabs>
              <w:spacing w:after="0"/>
            </w:pPr>
          </w:p>
        </w:tc>
        <w:tc>
          <w:tcPr>
            <w:tcW w:w="1620" w:type="dxa"/>
            <w:shd w:val="clear" w:color="auto" w:fill="auto"/>
          </w:tcPr>
          <w:p w:rsidR="00A60362" w:rsidRPr="00E71E24" w:rsidP="00A60362" w14:paraId="2B886C10" w14:textId="747D9F6F">
            <w:pPr>
              <w:tabs>
                <w:tab w:val="left" w:pos="2141"/>
              </w:tabs>
              <w:spacing w:after="0"/>
            </w:pPr>
            <w:r w:rsidRPr="00E71E24">
              <w:t>450</w:t>
            </w:r>
          </w:p>
        </w:tc>
        <w:tc>
          <w:tcPr>
            <w:tcW w:w="1710" w:type="dxa"/>
            <w:shd w:val="clear" w:color="auto" w:fill="BFBFBF" w:themeFill="background1" w:themeFillShade="BF"/>
          </w:tcPr>
          <w:p w:rsidR="00A60362" w:rsidRPr="00E71E24" w:rsidP="00A60362" w14:paraId="2BA669D2" w14:textId="77777777">
            <w:pPr>
              <w:tabs>
                <w:tab w:val="left" w:pos="2141"/>
              </w:tabs>
              <w:spacing w:after="0"/>
            </w:pPr>
          </w:p>
        </w:tc>
        <w:tc>
          <w:tcPr>
            <w:tcW w:w="1980" w:type="dxa"/>
          </w:tcPr>
          <w:p w:rsidR="00A60362" w:rsidRPr="00A60362" w:rsidP="00A60362" w14:paraId="2A36661F" w14:textId="6C0B95FA">
            <w:pPr>
              <w:tabs>
                <w:tab w:val="left" w:pos="2141"/>
              </w:tabs>
              <w:spacing w:after="0"/>
            </w:pPr>
            <w:r>
              <w:t>2</w:t>
            </w:r>
            <w:r w:rsidR="00FC45C7">
              <w:t>13</w:t>
            </w:r>
          </w:p>
        </w:tc>
      </w:tr>
    </w:tbl>
    <w:p w:rsidR="00442B5B" w:rsidRPr="00C24877" w:rsidP="005C4013" w14:paraId="444AFD27" w14:textId="18A66434">
      <w:pPr>
        <w:tabs>
          <w:tab w:val="left" w:pos="2141"/>
        </w:tabs>
        <w:spacing w:after="0"/>
      </w:pPr>
      <w:r>
        <w:tab/>
      </w:r>
    </w:p>
    <w:p w:rsidR="005C4013" w:rsidP="0086248B" w14:paraId="5851B577" w14:textId="77777777">
      <w:pPr>
        <w:spacing w:after="0" w:line="240" w:lineRule="auto"/>
        <w:rPr>
          <w:rFonts w:eastAsia="Times New Roman" w:cs="Times New Roman"/>
          <w:b/>
          <w:smallCaps/>
          <w:color w:val="000000" w:themeColor="text1"/>
        </w:rPr>
      </w:pPr>
    </w:p>
    <w:p w:rsidR="005C4013" w:rsidP="0086248B" w14:paraId="7152178A" w14:textId="77777777">
      <w:pPr>
        <w:spacing w:after="0" w:line="240" w:lineRule="auto"/>
        <w:rPr>
          <w:rFonts w:eastAsia="Times New Roman" w:cs="Times New Roman"/>
          <w:b/>
          <w:smallCaps/>
          <w:color w:val="000000" w:themeColor="text1"/>
        </w:rPr>
      </w:pPr>
    </w:p>
    <w:p w:rsidR="005C4013" w:rsidP="0086248B" w14:paraId="4D789855" w14:textId="77777777">
      <w:pPr>
        <w:spacing w:after="0" w:line="240" w:lineRule="auto"/>
        <w:rPr>
          <w:rFonts w:eastAsia="Times New Roman" w:cs="Times New Roman"/>
          <w:b/>
          <w:smallCaps/>
          <w:color w:val="000000" w:themeColor="text1"/>
        </w:rPr>
      </w:pPr>
    </w:p>
    <w:p w:rsidR="00EE245F" w:rsidRPr="00EE245F" w:rsidP="0086248B" w14:paraId="4CC3EA16" w14:textId="5F6AACB4">
      <w:pPr>
        <w:spacing w:after="0" w:line="240" w:lineRule="auto"/>
        <w:rPr>
          <w:rFonts w:eastAsia="Times New Roman" w:cs="Times New Roman"/>
          <w:b/>
          <w:smallCaps/>
          <w:color w:val="000000" w:themeColor="text1"/>
        </w:rPr>
      </w:pPr>
      <w:r w:rsidRPr="00717158">
        <w:rPr>
          <w:rFonts w:eastAsia="Times New Roman" w:cs="Times New Roman"/>
          <w:b/>
          <w:smallCaps/>
          <w:color w:val="000000" w:themeColor="text1"/>
        </w:rPr>
        <w:t>A.12-2</w:t>
      </w:r>
      <w:r>
        <w:rPr>
          <w:rFonts w:eastAsia="Times New Roman" w:cs="Times New Roman"/>
          <w:b/>
          <w:smallCaps/>
          <w:color w:val="000000" w:themeColor="text1"/>
        </w:rPr>
        <w:t xml:space="preserve">   </w:t>
      </w:r>
      <w:r w:rsidRPr="00717158" w:rsidR="00BF491C">
        <w:rPr>
          <w:rFonts w:eastAsia="Times New Roman" w:cs="Times New Roman"/>
          <w:b/>
          <w:smallCaps/>
          <w:color w:val="000000" w:themeColor="text1"/>
        </w:rPr>
        <w:t>Annual Cost to respondent</w:t>
      </w:r>
    </w:p>
    <w:p w:rsidR="00EE245F" w:rsidP="0086248B" w14:paraId="12F83F36" w14:textId="77777777">
      <w:pPr>
        <w:spacing w:after="0" w:line="240" w:lineRule="auto"/>
        <w:rPr>
          <w:rFonts w:eastAsia="Times New Roman" w:cs="Times New Roman"/>
          <w:smallCaps/>
          <w:color w:val="000000" w:themeColor="text1"/>
        </w:rPr>
      </w:pPr>
    </w:p>
    <w:p w:rsidR="002C5D4F" w:rsidP="00BF491C" w14:paraId="36D02200" w14:textId="664B0E8E">
      <w:r w:rsidRPr="001064BB">
        <w:t>The annualized cost to respondents is estimated to be $</w:t>
      </w:r>
      <w:r w:rsidR="00FC0271">
        <w:t>11,350.77</w:t>
      </w:r>
      <w:r w:rsidRPr="001064BB">
        <w:t xml:space="preserve"> (Table</w:t>
      </w:r>
      <w:r>
        <w:t xml:space="preserve"> </w:t>
      </w:r>
      <w:r w:rsidRPr="001064BB">
        <w:t xml:space="preserve">12.2). The source of the Hourly Wage Rate is a Medical Scientist (19-1042) from the Bureau of Labor and Statistics </w:t>
      </w:r>
      <w:hyperlink r:id="rId6" w:history="1">
        <w:r w:rsidRPr="00D04014" w:rsidR="007E0332">
          <w:rPr>
            <w:rStyle w:val="Hyperlink"/>
          </w:rPr>
          <w:t>https://www.bls.gov/oes/current/oes_nat.htm</w:t>
        </w:r>
      </w:hyperlink>
      <w:r w:rsidR="007E0332">
        <w:t xml:space="preserve"> </w:t>
      </w:r>
      <w:r w:rsidRPr="001064BB" w:rsidR="0091570A">
        <w:t>.</w:t>
      </w:r>
      <w:r w:rsidR="0091570A">
        <w:t xml:space="preserve"> </w:t>
      </w:r>
      <w:r w:rsidR="00CF36BD">
        <w:t xml:space="preserve"> </w:t>
      </w:r>
      <w:r w:rsidR="00CF36BD">
        <w:tab/>
      </w:r>
    </w:p>
    <w:p w:rsidR="007E0332" w:rsidP="00BF491C" w14:paraId="38609645" w14:textId="77777777"/>
    <w:p w:rsidR="00CF36BD" w:rsidP="002C5D4F" w14:paraId="69B52A05" w14:textId="77777777">
      <w:pPr>
        <w:ind w:left="1440" w:firstLine="720"/>
      </w:pPr>
      <w:r>
        <w:t>Table 12-2 Annualized Cost to Respondents</w:t>
      </w:r>
    </w:p>
    <w:tbl>
      <w:tblPr>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2"/>
        <w:gridCol w:w="1889"/>
        <w:gridCol w:w="1440"/>
        <w:gridCol w:w="2072"/>
      </w:tblGrid>
      <w:tr w14:paraId="063EA4A9" w14:textId="77777777" w:rsidTr="00AA5788">
        <w:tblPrEx>
          <w:tblW w:w="0" w:type="auto"/>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4"/>
        </w:trPr>
        <w:tc>
          <w:tcPr>
            <w:tcW w:w="1712" w:type="dxa"/>
          </w:tcPr>
          <w:p w:rsidR="00A36147" w:rsidRPr="00A36147" w:rsidP="00A36147" w14:paraId="54983481" w14:textId="2FABDF45">
            <w:pPr>
              <w:spacing w:after="0" w:line="240" w:lineRule="auto"/>
              <w:rPr>
                <w:rFonts w:eastAsia="Times New Roman" w:cs="Times New Roman"/>
                <w:b/>
              </w:rPr>
            </w:pPr>
            <w:r>
              <w:rPr>
                <w:rFonts w:eastAsia="Times New Roman" w:cs="Times New Roman"/>
                <w:b/>
              </w:rPr>
              <w:t>Type of Respondent</w:t>
            </w:r>
          </w:p>
        </w:tc>
        <w:tc>
          <w:tcPr>
            <w:tcW w:w="1889" w:type="dxa"/>
          </w:tcPr>
          <w:p w:rsidR="00A36147" w:rsidRPr="00A36147" w:rsidP="00A36147" w14:paraId="6E2322E2" w14:textId="77777777">
            <w:pPr>
              <w:spacing w:after="0" w:line="240" w:lineRule="auto"/>
              <w:rPr>
                <w:rFonts w:eastAsia="Times New Roman" w:cs="Times New Roman"/>
                <w:b/>
              </w:rPr>
            </w:pPr>
            <w:r w:rsidRPr="00A36147">
              <w:rPr>
                <w:rFonts w:eastAsia="Times New Roman" w:cs="Times New Roman"/>
                <w:b/>
              </w:rPr>
              <w:t>Total Annual Burden Hours</w:t>
            </w:r>
          </w:p>
        </w:tc>
        <w:tc>
          <w:tcPr>
            <w:tcW w:w="1440" w:type="dxa"/>
          </w:tcPr>
          <w:p w:rsidR="00A36147" w:rsidRPr="00A36147" w:rsidP="00A36147" w14:paraId="54FE3921" w14:textId="77777777">
            <w:pPr>
              <w:spacing w:after="0" w:line="240" w:lineRule="auto"/>
              <w:rPr>
                <w:rFonts w:eastAsia="Times New Roman" w:cs="Times New Roman"/>
                <w:b/>
              </w:rPr>
            </w:pPr>
            <w:r w:rsidRPr="00A36147">
              <w:rPr>
                <w:rFonts w:eastAsia="Times New Roman" w:cs="Times New Roman"/>
                <w:b/>
              </w:rPr>
              <w:t>Hourly Wage Rate</w:t>
            </w:r>
          </w:p>
        </w:tc>
        <w:tc>
          <w:tcPr>
            <w:tcW w:w="2072" w:type="dxa"/>
          </w:tcPr>
          <w:p w:rsidR="00A36147" w:rsidRPr="00A36147" w:rsidP="00A36147" w14:paraId="37E278BC" w14:textId="77777777">
            <w:pPr>
              <w:spacing w:after="0" w:line="240" w:lineRule="auto"/>
              <w:rPr>
                <w:rFonts w:eastAsia="Times New Roman" w:cs="Times New Roman"/>
                <w:b/>
              </w:rPr>
            </w:pPr>
            <w:r w:rsidRPr="00A36147">
              <w:rPr>
                <w:rFonts w:eastAsia="Times New Roman" w:cs="Times New Roman"/>
                <w:b/>
              </w:rPr>
              <w:t>Respondent Cost</w:t>
            </w:r>
          </w:p>
        </w:tc>
      </w:tr>
      <w:tr w14:paraId="08AEF6D9" w14:textId="77777777" w:rsidTr="00AA5788">
        <w:tblPrEx>
          <w:tblW w:w="0" w:type="auto"/>
          <w:tblInd w:w="313" w:type="dxa"/>
          <w:tblLayout w:type="fixed"/>
          <w:tblCellMar>
            <w:left w:w="0" w:type="dxa"/>
            <w:right w:w="0" w:type="dxa"/>
          </w:tblCellMar>
          <w:tblLook w:val="01E0"/>
        </w:tblPrEx>
        <w:trPr>
          <w:trHeight w:val="275"/>
        </w:trPr>
        <w:tc>
          <w:tcPr>
            <w:tcW w:w="1712" w:type="dxa"/>
          </w:tcPr>
          <w:p w:rsidR="00A36147" w:rsidRPr="00A36147" w:rsidP="00A36147" w14:paraId="1CC989D8" w14:textId="08D8C03C">
            <w:pPr>
              <w:spacing w:after="0" w:line="240" w:lineRule="auto"/>
              <w:rPr>
                <w:rFonts w:eastAsia="Times New Roman" w:cs="Times New Roman"/>
              </w:rPr>
            </w:pPr>
            <w:r>
              <w:rPr>
                <w:rFonts w:eastAsia="Times New Roman" w:cs="Times New Roman"/>
              </w:rPr>
              <w:t>Medical Scientist</w:t>
            </w:r>
          </w:p>
        </w:tc>
        <w:tc>
          <w:tcPr>
            <w:tcW w:w="1889" w:type="dxa"/>
          </w:tcPr>
          <w:p w:rsidR="00A36147" w:rsidRPr="00A36147" w:rsidP="00A36147" w14:paraId="7AB9EBEC" w14:textId="0755EB67">
            <w:pPr>
              <w:spacing w:after="0" w:line="240" w:lineRule="auto"/>
              <w:rPr>
                <w:rFonts w:eastAsia="Times New Roman" w:cs="Times New Roman"/>
              </w:rPr>
            </w:pPr>
            <w:r>
              <w:rPr>
                <w:rFonts w:eastAsia="Times New Roman" w:cs="Times New Roman"/>
              </w:rPr>
              <w:t>2</w:t>
            </w:r>
            <w:r w:rsidR="00FC45C7">
              <w:rPr>
                <w:rFonts w:eastAsia="Times New Roman" w:cs="Times New Roman"/>
              </w:rPr>
              <w:t>13</w:t>
            </w:r>
          </w:p>
        </w:tc>
        <w:tc>
          <w:tcPr>
            <w:tcW w:w="1440" w:type="dxa"/>
          </w:tcPr>
          <w:p w:rsidR="00A36147" w:rsidRPr="00A36147" w:rsidP="00A36147" w14:paraId="499CAF60" w14:textId="7F319DC2">
            <w:pPr>
              <w:spacing w:after="0" w:line="240" w:lineRule="auto"/>
              <w:rPr>
                <w:rFonts w:eastAsia="Times New Roman" w:cs="Times New Roman"/>
              </w:rPr>
            </w:pPr>
            <w:r w:rsidRPr="00A36147">
              <w:rPr>
                <w:rFonts w:eastAsia="Times New Roman" w:cs="Times New Roman"/>
              </w:rPr>
              <w:t>$</w:t>
            </w:r>
            <w:r w:rsidR="00FC0271">
              <w:rPr>
                <w:rFonts w:eastAsia="Times New Roman" w:cs="Times New Roman"/>
              </w:rPr>
              <w:t>53.29</w:t>
            </w:r>
          </w:p>
        </w:tc>
        <w:tc>
          <w:tcPr>
            <w:tcW w:w="2072" w:type="dxa"/>
          </w:tcPr>
          <w:p w:rsidR="00A36147" w:rsidRPr="00A36147" w:rsidP="00A36147" w14:paraId="1B00CC6B" w14:textId="4C9073CF">
            <w:pPr>
              <w:spacing w:after="0" w:line="240" w:lineRule="auto"/>
              <w:rPr>
                <w:rFonts w:eastAsia="Times New Roman" w:cs="Times New Roman"/>
              </w:rPr>
            </w:pPr>
            <w:r w:rsidRPr="00A36147">
              <w:rPr>
                <w:rFonts w:eastAsia="Times New Roman" w:cs="Times New Roman"/>
              </w:rPr>
              <w:t>$</w:t>
            </w:r>
            <w:r w:rsidR="00FC0271">
              <w:rPr>
                <w:rFonts w:eastAsia="Times New Roman" w:cs="Times New Roman"/>
              </w:rPr>
              <w:t>11</w:t>
            </w:r>
            <w:r w:rsidR="00FC45C7">
              <w:rPr>
                <w:rFonts w:eastAsia="Times New Roman" w:cs="Times New Roman"/>
              </w:rPr>
              <w:t>,</w:t>
            </w:r>
            <w:r w:rsidR="00FC0271">
              <w:rPr>
                <w:rFonts w:eastAsia="Times New Roman" w:cs="Times New Roman"/>
              </w:rPr>
              <w:t>350</w:t>
            </w:r>
            <w:r w:rsidRPr="00A36147">
              <w:rPr>
                <w:rFonts w:eastAsia="Times New Roman" w:cs="Times New Roman"/>
              </w:rPr>
              <w:t>.</w:t>
            </w:r>
            <w:r w:rsidR="00FC0271">
              <w:rPr>
                <w:rFonts w:eastAsia="Times New Roman" w:cs="Times New Roman"/>
              </w:rPr>
              <w:t>7</w:t>
            </w:r>
            <w:r w:rsidR="00FC45C7">
              <w:rPr>
                <w:rFonts w:eastAsia="Times New Roman" w:cs="Times New Roman"/>
              </w:rPr>
              <w:t>7</w:t>
            </w:r>
          </w:p>
        </w:tc>
      </w:tr>
    </w:tbl>
    <w:p w:rsidR="002C5D4F" w:rsidRPr="00A36147" w:rsidP="00FF72FC" w14:paraId="3C3DAF3E" w14:textId="75751DC3">
      <w:pPr>
        <w:spacing w:after="0" w:line="240" w:lineRule="auto"/>
        <w:rPr>
          <w:rFonts w:eastAsia="Times New Roman" w:cs="Times New Roman"/>
        </w:rPr>
      </w:pPr>
      <w:r>
        <w:rPr>
          <w:rFonts w:eastAsia="Times New Roman" w:cs="Times New Roman"/>
        </w:rPr>
        <w:t xml:space="preserve">       </w:t>
      </w:r>
      <w:hyperlink r:id="rId6" w:history="1">
        <w:r w:rsidRPr="00D04014">
          <w:rPr>
            <w:rStyle w:val="Hyperlink"/>
          </w:rPr>
          <w:t>https://www.bls.gov/oes/current/oes_nat.htm</w:t>
        </w:r>
      </w:hyperlink>
    </w:p>
    <w:p w:rsidR="00B93C77" w:rsidRPr="00B31022" w:rsidP="00FF72FC" w14:paraId="2578B318" w14:textId="77777777">
      <w:pPr>
        <w:spacing w:after="0" w:line="240" w:lineRule="auto"/>
        <w:rPr>
          <w:rFonts w:ascii="Times New Roman" w:eastAsia="Times New Roman" w:hAnsi="Times New Roman" w:cs="Times New Roman"/>
          <w:sz w:val="16"/>
          <w:szCs w:val="16"/>
        </w:rPr>
      </w:pPr>
    </w:p>
    <w:p w:rsidR="00B93C77" w:rsidRPr="00CF36BD" w:rsidP="00FF72FC" w14:paraId="227B63D5" w14:textId="77777777">
      <w:pPr>
        <w:spacing w:after="0" w:line="240" w:lineRule="auto"/>
        <w:rPr>
          <w:rFonts w:eastAsia="Times New Roman" w:cs="Times New Roman"/>
        </w:rPr>
      </w:pPr>
    </w:p>
    <w:p w:rsidR="00FF72FC" w:rsidRPr="00E35DD1" w:rsidP="00FF72FC" w14:paraId="72B19A1F" w14:textId="77777777">
      <w:pPr>
        <w:rPr>
          <w:b/>
        </w:rPr>
      </w:pPr>
      <w:r w:rsidRPr="00E35DD1">
        <w:rPr>
          <w:b/>
        </w:rPr>
        <w:t>A.13</w:t>
      </w:r>
      <w:r w:rsidRPr="00E35DD1">
        <w:rPr>
          <w:b/>
        </w:rPr>
        <w:tab/>
        <w:t>Estimate of Other Total Annual Cost Burden to Respondents or Record Keepers</w:t>
      </w:r>
    </w:p>
    <w:p w:rsidR="001064BB" w:rsidRPr="001064BB" w:rsidP="001064BB" w14:paraId="31251D6C" w14:textId="77777777">
      <w:r w:rsidRPr="001064BB">
        <w:t>There are no capital costs, operating costs, or maintenance costs to report.</w:t>
      </w:r>
    </w:p>
    <w:p w:rsidR="00FF72FC" w:rsidRPr="005C4013" w:rsidP="00FF72FC" w14:paraId="5439FC4E" w14:textId="77777777">
      <w:pPr>
        <w:pStyle w:val="Heading2"/>
        <w:tabs>
          <w:tab w:val="left" w:pos="720"/>
        </w:tabs>
        <w:spacing w:line="480" w:lineRule="auto"/>
        <w:rPr>
          <w:rFonts w:asciiTheme="minorHAnsi" w:hAnsiTheme="minorHAnsi"/>
          <w:b/>
          <w:color w:val="auto"/>
          <w:sz w:val="22"/>
          <w:szCs w:val="22"/>
        </w:rPr>
      </w:pPr>
      <w:r w:rsidRPr="005C4013">
        <w:rPr>
          <w:rFonts w:asciiTheme="minorHAnsi" w:hAnsiTheme="minorHAnsi"/>
          <w:b/>
          <w:color w:val="auto"/>
          <w:sz w:val="22"/>
          <w:szCs w:val="22"/>
        </w:rPr>
        <w:t>A.14</w:t>
      </w:r>
      <w:r w:rsidRPr="005C4013">
        <w:rPr>
          <w:rFonts w:asciiTheme="minorHAnsi" w:hAnsiTheme="minorHAnsi"/>
          <w:b/>
          <w:color w:val="auto"/>
          <w:sz w:val="22"/>
          <w:szCs w:val="22"/>
        </w:rPr>
        <w:tab/>
        <w:t xml:space="preserve">Annualized Cost to the Federal Government  </w:t>
      </w:r>
    </w:p>
    <w:p w:rsidR="0037291F" w:rsidRPr="0037291F" w:rsidP="0037291F" w14:paraId="0DBBBAA0" w14:textId="77777777">
      <w:pPr>
        <w:widowControl w:val="0"/>
        <w:adjustRightInd w:val="0"/>
        <w:snapToGrid w:val="0"/>
        <w:spacing w:after="0" w:line="240" w:lineRule="auto"/>
        <w:jc w:val="center"/>
        <w:rPr>
          <w:rFonts w:ascii="Times New Roman" w:eastAsia="Times New Roman" w:hAnsi="Times New Roman" w:cs="Times New Roman"/>
          <w:color w:val="0000FF"/>
          <w:sz w:val="24"/>
          <w:szCs w:val="24"/>
        </w:rPr>
      </w:pPr>
    </w:p>
    <w:tbl>
      <w:tblPr>
        <w:tblW w:w="96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080"/>
        <w:gridCol w:w="1260"/>
        <w:gridCol w:w="1529"/>
        <w:gridCol w:w="929"/>
        <w:gridCol w:w="1364"/>
        <w:gridCol w:w="1488"/>
      </w:tblGrid>
      <w:tr w14:paraId="09BCC443" w14:textId="77777777" w:rsidTr="00731952">
        <w:tblPrEx>
          <w:tblW w:w="96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2"/>
        </w:trPr>
        <w:tc>
          <w:tcPr>
            <w:tcW w:w="3080" w:type="dxa"/>
          </w:tcPr>
          <w:p w:rsidR="00731952" w:rsidRPr="00731952" w:rsidP="00731952" w14:paraId="6C22DE0D" w14:textId="77777777">
            <w:pPr>
              <w:rPr>
                <w:b/>
              </w:rPr>
            </w:pPr>
            <w:bookmarkStart w:id="27" w:name="_Hlk63695569"/>
            <w:r w:rsidRPr="00731952">
              <w:rPr>
                <w:b/>
              </w:rPr>
              <w:t>Staff</w:t>
            </w:r>
          </w:p>
        </w:tc>
        <w:tc>
          <w:tcPr>
            <w:tcW w:w="1260" w:type="dxa"/>
          </w:tcPr>
          <w:p w:rsidR="00731952" w:rsidRPr="00731952" w:rsidP="00731952" w14:paraId="10AD76E9" w14:textId="77777777">
            <w:pPr>
              <w:rPr>
                <w:b/>
              </w:rPr>
            </w:pPr>
            <w:r w:rsidRPr="00731952">
              <w:rPr>
                <w:b/>
              </w:rPr>
              <w:t>Grade/Step</w:t>
            </w:r>
          </w:p>
        </w:tc>
        <w:tc>
          <w:tcPr>
            <w:tcW w:w="1529" w:type="dxa"/>
          </w:tcPr>
          <w:p w:rsidR="00731952" w:rsidRPr="00731952" w:rsidP="00731952" w14:paraId="69B7888E" w14:textId="77777777">
            <w:pPr>
              <w:rPr>
                <w:b/>
              </w:rPr>
            </w:pPr>
            <w:r w:rsidRPr="00731952">
              <w:rPr>
                <w:b/>
              </w:rPr>
              <w:t>Salary</w:t>
            </w:r>
          </w:p>
        </w:tc>
        <w:tc>
          <w:tcPr>
            <w:tcW w:w="929" w:type="dxa"/>
          </w:tcPr>
          <w:p w:rsidR="00731952" w:rsidRPr="00731952" w:rsidP="00731952" w14:paraId="40FEAD77" w14:textId="77777777">
            <w:pPr>
              <w:rPr>
                <w:b/>
              </w:rPr>
            </w:pPr>
            <w:r w:rsidRPr="00731952">
              <w:rPr>
                <w:b/>
              </w:rPr>
              <w:t>% of Effort</w:t>
            </w:r>
          </w:p>
        </w:tc>
        <w:tc>
          <w:tcPr>
            <w:tcW w:w="1364" w:type="dxa"/>
          </w:tcPr>
          <w:p w:rsidR="00731952" w:rsidRPr="00731952" w:rsidP="00731952" w14:paraId="05518E11" w14:textId="77777777">
            <w:pPr>
              <w:rPr>
                <w:b/>
              </w:rPr>
            </w:pPr>
            <w:r w:rsidRPr="00731952">
              <w:rPr>
                <w:b/>
              </w:rPr>
              <w:t>Fringe (if applicable)</w:t>
            </w:r>
          </w:p>
        </w:tc>
        <w:tc>
          <w:tcPr>
            <w:tcW w:w="1488" w:type="dxa"/>
          </w:tcPr>
          <w:p w:rsidR="00731952" w:rsidRPr="00731952" w:rsidP="00731952" w14:paraId="24C3E1DE" w14:textId="77777777">
            <w:pPr>
              <w:rPr>
                <w:b/>
              </w:rPr>
            </w:pPr>
            <w:r w:rsidRPr="00731952">
              <w:rPr>
                <w:b/>
              </w:rPr>
              <w:t>Total Cost to Gov’t</w:t>
            </w:r>
          </w:p>
        </w:tc>
      </w:tr>
      <w:tr w14:paraId="4CAE5B7F" w14:textId="77777777" w:rsidTr="00731952">
        <w:tblPrEx>
          <w:tblW w:w="9650" w:type="dxa"/>
          <w:tblInd w:w="-10" w:type="dxa"/>
          <w:tblLayout w:type="fixed"/>
          <w:tblCellMar>
            <w:left w:w="0" w:type="dxa"/>
            <w:right w:w="0" w:type="dxa"/>
          </w:tblCellMar>
          <w:tblLook w:val="01E0"/>
        </w:tblPrEx>
        <w:trPr>
          <w:trHeight w:val="301"/>
        </w:trPr>
        <w:tc>
          <w:tcPr>
            <w:tcW w:w="3080" w:type="dxa"/>
          </w:tcPr>
          <w:p w:rsidR="00731952" w:rsidRPr="00731952" w:rsidP="00731952" w14:paraId="29C2042D" w14:textId="77777777">
            <w:pPr>
              <w:rPr>
                <w:b/>
              </w:rPr>
            </w:pPr>
            <w:r w:rsidRPr="00731952">
              <w:rPr>
                <w:b/>
              </w:rPr>
              <w:t>Federal Oversight</w:t>
            </w:r>
          </w:p>
        </w:tc>
        <w:tc>
          <w:tcPr>
            <w:tcW w:w="1260" w:type="dxa"/>
          </w:tcPr>
          <w:p w:rsidR="00731952" w:rsidRPr="00731952" w:rsidP="00731952" w14:paraId="1326F0EA" w14:textId="77777777"/>
        </w:tc>
        <w:tc>
          <w:tcPr>
            <w:tcW w:w="1529" w:type="dxa"/>
          </w:tcPr>
          <w:p w:rsidR="00731952" w:rsidRPr="00731952" w:rsidP="00731952" w14:paraId="57F50E2F" w14:textId="77777777"/>
        </w:tc>
        <w:tc>
          <w:tcPr>
            <w:tcW w:w="929" w:type="dxa"/>
          </w:tcPr>
          <w:p w:rsidR="00731952" w:rsidRPr="00731952" w:rsidP="00731952" w14:paraId="6F2DFE5B" w14:textId="77777777"/>
        </w:tc>
        <w:tc>
          <w:tcPr>
            <w:tcW w:w="1364" w:type="dxa"/>
            <w:shd w:val="clear" w:color="auto" w:fill="BEBEBE"/>
          </w:tcPr>
          <w:p w:rsidR="00731952" w:rsidRPr="00731952" w:rsidP="00731952" w14:paraId="5283EEBB" w14:textId="77777777"/>
        </w:tc>
        <w:tc>
          <w:tcPr>
            <w:tcW w:w="1488" w:type="dxa"/>
          </w:tcPr>
          <w:p w:rsidR="00731952" w:rsidRPr="00731952" w:rsidP="00731952" w14:paraId="2A6A5793" w14:textId="77777777"/>
        </w:tc>
      </w:tr>
      <w:tr w14:paraId="67D55118" w14:textId="77777777" w:rsidTr="00731952">
        <w:tblPrEx>
          <w:tblW w:w="9650" w:type="dxa"/>
          <w:tblInd w:w="-10" w:type="dxa"/>
          <w:tblLayout w:type="fixed"/>
          <w:tblCellMar>
            <w:left w:w="0" w:type="dxa"/>
            <w:right w:w="0" w:type="dxa"/>
          </w:tblCellMar>
          <w:tblLook w:val="01E0"/>
        </w:tblPrEx>
        <w:trPr>
          <w:trHeight w:val="299"/>
        </w:trPr>
        <w:tc>
          <w:tcPr>
            <w:tcW w:w="3080" w:type="dxa"/>
          </w:tcPr>
          <w:p w:rsidR="00731952" w:rsidRPr="00731952" w:rsidP="00731952" w14:paraId="57F900B6" w14:textId="77777777">
            <w:r w:rsidRPr="00731952">
              <w:t>Training Director</w:t>
            </w:r>
          </w:p>
        </w:tc>
        <w:tc>
          <w:tcPr>
            <w:tcW w:w="1260" w:type="dxa"/>
          </w:tcPr>
          <w:p w:rsidR="00731952" w:rsidRPr="00731952" w:rsidP="00731952" w14:paraId="069D1D56" w14:textId="708E9A07">
            <w:r w:rsidRPr="00731952">
              <w:t>13/</w:t>
            </w:r>
            <w:r w:rsidR="00A52EC4">
              <w:t>7</w:t>
            </w:r>
          </w:p>
        </w:tc>
        <w:tc>
          <w:tcPr>
            <w:tcW w:w="1529" w:type="dxa"/>
          </w:tcPr>
          <w:p w:rsidR="00731952" w:rsidRPr="00731952" w:rsidP="00731952" w14:paraId="547B3034" w14:textId="652EA2AB">
            <w:r w:rsidRPr="00731952">
              <w:t>$1</w:t>
            </w:r>
            <w:r w:rsidR="00A52EC4">
              <w:t>41</w:t>
            </w:r>
            <w:r w:rsidRPr="00731952">
              <w:t>,</w:t>
            </w:r>
            <w:r w:rsidR="00A52EC4">
              <w:t>557</w:t>
            </w:r>
          </w:p>
        </w:tc>
        <w:tc>
          <w:tcPr>
            <w:tcW w:w="929" w:type="dxa"/>
          </w:tcPr>
          <w:p w:rsidR="00731952" w:rsidRPr="00731952" w:rsidP="00731952" w14:paraId="14F50B11" w14:textId="77777777">
            <w:r w:rsidRPr="00731952">
              <w:t>5%</w:t>
            </w:r>
          </w:p>
        </w:tc>
        <w:tc>
          <w:tcPr>
            <w:tcW w:w="1364" w:type="dxa"/>
            <w:shd w:val="clear" w:color="auto" w:fill="BEBEBE"/>
          </w:tcPr>
          <w:p w:rsidR="00731952" w:rsidRPr="00731952" w:rsidP="00731952" w14:paraId="17B64C4B" w14:textId="77777777"/>
        </w:tc>
        <w:tc>
          <w:tcPr>
            <w:tcW w:w="1488" w:type="dxa"/>
          </w:tcPr>
          <w:p w:rsidR="00731952" w:rsidRPr="00731952" w:rsidP="00731952" w14:paraId="479986CD" w14:textId="691F1C4F">
            <w:r w:rsidRPr="00731952">
              <w:t>$</w:t>
            </w:r>
            <w:r w:rsidR="00A52EC4">
              <w:t>7</w:t>
            </w:r>
            <w:r w:rsidRPr="00731952">
              <w:t>,</w:t>
            </w:r>
            <w:r w:rsidR="00A52EC4">
              <w:t>077</w:t>
            </w:r>
            <w:r w:rsidRPr="00731952">
              <w:t>.</w:t>
            </w:r>
            <w:r w:rsidR="00A52EC4">
              <w:t>85</w:t>
            </w:r>
          </w:p>
        </w:tc>
      </w:tr>
      <w:tr w14:paraId="599F4A1C" w14:textId="77777777" w:rsidTr="00731952">
        <w:tblPrEx>
          <w:tblW w:w="9650" w:type="dxa"/>
          <w:tblInd w:w="-10" w:type="dxa"/>
          <w:tblLayout w:type="fixed"/>
          <w:tblCellMar>
            <w:left w:w="0" w:type="dxa"/>
            <w:right w:w="0" w:type="dxa"/>
          </w:tblCellMar>
          <w:tblLook w:val="01E0"/>
        </w:tblPrEx>
        <w:trPr>
          <w:trHeight w:val="299"/>
        </w:trPr>
        <w:tc>
          <w:tcPr>
            <w:tcW w:w="3080" w:type="dxa"/>
          </w:tcPr>
          <w:p w:rsidR="0008419A" w:rsidP="0008419A" w14:paraId="5AEC55FA" w14:textId="77777777">
            <w:pPr>
              <w:spacing w:after="0"/>
            </w:pPr>
            <w:r w:rsidRPr="00731952">
              <w:t>Research Mentor (PI)</w:t>
            </w:r>
          </w:p>
          <w:p w:rsidR="0008419A" w:rsidRPr="00731952" w:rsidP="00175534" w14:paraId="7D94F1C3" w14:textId="03E4B612">
            <w:pPr>
              <w:spacing w:after="0"/>
            </w:pPr>
          </w:p>
        </w:tc>
        <w:tc>
          <w:tcPr>
            <w:tcW w:w="1260" w:type="dxa"/>
          </w:tcPr>
          <w:p w:rsidR="00731952" w:rsidRPr="00731952" w:rsidP="00731952" w14:paraId="560BC332" w14:textId="77777777">
            <w:r w:rsidRPr="00731952">
              <w:t>15/6</w:t>
            </w:r>
          </w:p>
        </w:tc>
        <w:tc>
          <w:tcPr>
            <w:tcW w:w="1529" w:type="dxa"/>
          </w:tcPr>
          <w:p w:rsidR="00731952" w:rsidRPr="00731952" w:rsidP="00731952" w14:paraId="1C4C2AA9" w14:textId="531B7BF5">
            <w:r w:rsidRPr="00731952">
              <w:t>$</w:t>
            </w:r>
            <w:r w:rsidR="0008419A">
              <w:t>2</w:t>
            </w:r>
            <w:r w:rsidR="009E0E37">
              <w:t>43,420</w:t>
            </w:r>
            <w:r w:rsidR="0008419A">
              <w:t>*</w:t>
            </w:r>
          </w:p>
        </w:tc>
        <w:tc>
          <w:tcPr>
            <w:tcW w:w="929" w:type="dxa"/>
          </w:tcPr>
          <w:p w:rsidR="00731952" w:rsidRPr="00731952" w:rsidP="00731952" w14:paraId="310D528A" w14:textId="77777777">
            <w:r w:rsidRPr="00731952">
              <w:t>0.5%</w:t>
            </w:r>
          </w:p>
        </w:tc>
        <w:tc>
          <w:tcPr>
            <w:tcW w:w="1364" w:type="dxa"/>
            <w:shd w:val="clear" w:color="auto" w:fill="BEBEBE"/>
          </w:tcPr>
          <w:p w:rsidR="00731952" w:rsidRPr="00731952" w:rsidP="00731952" w14:paraId="67243400" w14:textId="77777777"/>
        </w:tc>
        <w:tc>
          <w:tcPr>
            <w:tcW w:w="1488" w:type="dxa"/>
          </w:tcPr>
          <w:p w:rsidR="00731952" w:rsidRPr="00731952" w:rsidP="00731952" w14:paraId="72EBC2DB" w14:textId="32E2038F">
            <w:r w:rsidRPr="00731952">
              <w:t>$</w:t>
            </w:r>
            <w:r w:rsidR="0008419A">
              <w:t>1</w:t>
            </w:r>
            <w:r w:rsidR="009E0E37">
              <w:t>217.10</w:t>
            </w:r>
          </w:p>
        </w:tc>
      </w:tr>
      <w:tr w14:paraId="5F16DCED" w14:textId="77777777" w:rsidTr="00731952">
        <w:tblPrEx>
          <w:tblW w:w="9650" w:type="dxa"/>
          <w:tblInd w:w="-10" w:type="dxa"/>
          <w:tblLayout w:type="fixed"/>
          <w:tblCellMar>
            <w:left w:w="0" w:type="dxa"/>
            <w:right w:w="0" w:type="dxa"/>
          </w:tblCellMar>
          <w:tblLook w:val="01E0"/>
        </w:tblPrEx>
        <w:trPr>
          <w:trHeight w:val="301"/>
        </w:trPr>
        <w:tc>
          <w:tcPr>
            <w:tcW w:w="3080" w:type="dxa"/>
          </w:tcPr>
          <w:p w:rsidR="0008419A" w:rsidRPr="00731952" w:rsidP="0008419A" w14:paraId="12D7EF8D" w14:textId="176A38DD">
            <w:pPr>
              <w:spacing w:after="0"/>
            </w:pPr>
            <w:r>
              <w:t>2</w:t>
            </w:r>
            <w:r w:rsidR="009E0E37">
              <w:t>1</w:t>
            </w:r>
            <w:r>
              <w:t xml:space="preserve"> PIs total</w:t>
            </w:r>
          </w:p>
        </w:tc>
        <w:tc>
          <w:tcPr>
            <w:tcW w:w="1260" w:type="dxa"/>
          </w:tcPr>
          <w:p w:rsidR="0008419A" w:rsidRPr="00731952" w:rsidP="00731952" w14:paraId="010DBD48" w14:textId="77777777"/>
        </w:tc>
        <w:tc>
          <w:tcPr>
            <w:tcW w:w="1529" w:type="dxa"/>
          </w:tcPr>
          <w:p w:rsidR="0008419A" w:rsidRPr="00731952" w:rsidP="00731952" w14:paraId="07232A75" w14:textId="77777777"/>
        </w:tc>
        <w:tc>
          <w:tcPr>
            <w:tcW w:w="929" w:type="dxa"/>
          </w:tcPr>
          <w:p w:rsidR="0008419A" w:rsidRPr="00731952" w:rsidP="00731952" w14:paraId="6B207FED" w14:textId="77777777"/>
        </w:tc>
        <w:tc>
          <w:tcPr>
            <w:tcW w:w="1364" w:type="dxa"/>
            <w:shd w:val="clear" w:color="auto" w:fill="BEBEBE"/>
          </w:tcPr>
          <w:p w:rsidR="0008419A" w:rsidRPr="00731952" w:rsidP="00731952" w14:paraId="58D89FFE" w14:textId="77777777"/>
        </w:tc>
        <w:tc>
          <w:tcPr>
            <w:tcW w:w="1488" w:type="dxa"/>
          </w:tcPr>
          <w:p w:rsidR="0008419A" w:rsidRPr="00731952" w:rsidP="00731952" w14:paraId="097EC34B" w14:textId="2A7AC37B">
            <w:r>
              <w:t>$2</w:t>
            </w:r>
            <w:r w:rsidR="009E0E37">
              <w:t>5,559.10</w:t>
            </w:r>
          </w:p>
        </w:tc>
      </w:tr>
      <w:tr w14:paraId="00A1551F" w14:textId="77777777" w:rsidTr="00731952">
        <w:tblPrEx>
          <w:tblW w:w="9650" w:type="dxa"/>
          <w:tblInd w:w="-10" w:type="dxa"/>
          <w:tblLayout w:type="fixed"/>
          <w:tblCellMar>
            <w:left w:w="0" w:type="dxa"/>
            <w:right w:w="0" w:type="dxa"/>
          </w:tblCellMar>
          <w:tblLook w:val="01E0"/>
        </w:tblPrEx>
        <w:trPr>
          <w:trHeight w:val="301"/>
        </w:trPr>
        <w:tc>
          <w:tcPr>
            <w:tcW w:w="3080" w:type="dxa"/>
          </w:tcPr>
          <w:p w:rsidR="0008419A" w:rsidP="0008419A" w14:paraId="5C43BEF4" w14:textId="77777777">
            <w:pPr>
              <w:spacing w:after="0"/>
            </w:pPr>
            <w:r w:rsidRPr="00731952">
              <w:t>Lab/Branch/Office Chief</w:t>
            </w:r>
          </w:p>
          <w:p w:rsidR="0008419A" w:rsidRPr="00731952" w:rsidP="00175534" w14:paraId="4EEB0C6E" w14:textId="30AE710D">
            <w:pPr>
              <w:spacing w:after="0"/>
            </w:pPr>
          </w:p>
        </w:tc>
        <w:tc>
          <w:tcPr>
            <w:tcW w:w="1260" w:type="dxa"/>
          </w:tcPr>
          <w:p w:rsidR="00731952" w:rsidRPr="00731952" w:rsidP="00731952" w14:paraId="2A48C642" w14:textId="77777777">
            <w:r w:rsidRPr="00731952">
              <w:t>15/7</w:t>
            </w:r>
          </w:p>
        </w:tc>
        <w:tc>
          <w:tcPr>
            <w:tcW w:w="1529" w:type="dxa"/>
          </w:tcPr>
          <w:p w:rsidR="00731952" w:rsidRPr="00731952" w:rsidP="00731952" w14:paraId="44EA93D7" w14:textId="608EDE70">
            <w:r w:rsidRPr="00731952">
              <w:t>$</w:t>
            </w:r>
            <w:r w:rsidR="0008419A">
              <w:t>2</w:t>
            </w:r>
            <w:r w:rsidR="009E0E37">
              <w:t>79,362</w:t>
            </w:r>
            <w:r w:rsidR="0008419A">
              <w:t>*</w:t>
            </w:r>
            <w:r w:rsidR="00DB2B5A">
              <w:t>*</w:t>
            </w:r>
          </w:p>
        </w:tc>
        <w:tc>
          <w:tcPr>
            <w:tcW w:w="929" w:type="dxa"/>
          </w:tcPr>
          <w:p w:rsidR="00731952" w:rsidRPr="00731952" w:rsidP="00731952" w14:paraId="76366BFB" w14:textId="77777777">
            <w:r w:rsidRPr="00731952">
              <w:t>0.5%</w:t>
            </w:r>
          </w:p>
        </w:tc>
        <w:tc>
          <w:tcPr>
            <w:tcW w:w="1364" w:type="dxa"/>
            <w:shd w:val="clear" w:color="auto" w:fill="BEBEBE"/>
          </w:tcPr>
          <w:p w:rsidR="00731952" w:rsidRPr="00731952" w:rsidP="00731952" w14:paraId="20D963F6" w14:textId="77777777"/>
        </w:tc>
        <w:tc>
          <w:tcPr>
            <w:tcW w:w="1488" w:type="dxa"/>
          </w:tcPr>
          <w:p w:rsidR="00731952" w:rsidRPr="00731952" w:rsidP="00731952" w14:paraId="4EDC9DDF" w14:textId="5F9A2177">
            <w:r w:rsidRPr="00731952">
              <w:t>$</w:t>
            </w:r>
            <w:r w:rsidR="0008419A">
              <w:t>1</w:t>
            </w:r>
            <w:r w:rsidR="009E0E37">
              <w:t>396</w:t>
            </w:r>
            <w:r w:rsidR="0008419A">
              <w:t>.</w:t>
            </w:r>
            <w:r w:rsidR="009E0E37">
              <w:t>81</w:t>
            </w:r>
          </w:p>
        </w:tc>
      </w:tr>
      <w:tr w14:paraId="3A4C78C1" w14:textId="77777777" w:rsidTr="00731952">
        <w:tblPrEx>
          <w:tblW w:w="9650" w:type="dxa"/>
          <w:tblInd w:w="-10" w:type="dxa"/>
          <w:tblLayout w:type="fixed"/>
          <w:tblCellMar>
            <w:left w:w="0" w:type="dxa"/>
            <w:right w:w="0" w:type="dxa"/>
          </w:tblCellMar>
          <w:tblLook w:val="01E0"/>
        </w:tblPrEx>
        <w:trPr>
          <w:trHeight w:val="301"/>
        </w:trPr>
        <w:tc>
          <w:tcPr>
            <w:tcW w:w="3080" w:type="dxa"/>
          </w:tcPr>
          <w:p w:rsidR="0008419A" w:rsidRPr="00731952" w:rsidP="0008419A" w14:paraId="13D8AB94" w14:textId="4AACD13A">
            <w:pPr>
              <w:spacing w:after="0"/>
            </w:pPr>
            <w:r>
              <w:t>6 Chiefs total</w:t>
            </w:r>
          </w:p>
        </w:tc>
        <w:tc>
          <w:tcPr>
            <w:tcW w:w="1260" w:type="dxa"/>
          </w:tcPr>
          <w:p w:rsidR="0008419A" w:rsidRPr="00731952" w:rsidP="00731952" w14:paraId="7A3B1B83" w14:textId="77777777"/>
        </w:tc>
        <w:tc>
          <w:tcPr>
            <w:tcW w:w="1529" w:type="dxa"/>
          </w:tcPr>
          <w:p w:rsidR="0008419A" w:rsidRPr="00731952" w:rsidP="00731952" w14:paraId="489B6D1F" w14:textId="77777777"/>
        </w:tc>
        <w:tc>
          <w:tcPr>
            <w:tcW w:w="929" w:type="dxa"/>
          </w:tcPr>
          <w:p w:rsidR="0008419A" w:rsidRPr="00731952" w:rsidP="00731952" w14:paraId="0DB613E8" w14:textId="77777777"/>
        </w:tc>
        <w:tc>
          <w:tcPr>
            <w:tcW w:w="1364" w:type="dxa"/>
            <w:shd w:val="clear" w:color="auto" w:fill="BEBEBE"/>
          </w:tcPr>
          <w:p w:rsidR="0008419A" w:rsidRPr="00731952" w:rsidP="00731952" w14:paraId="1D26765D" w14:textId="77777777"/>
        </w:tc>
        <w:tc>
          <w:tcPr>
            <w:tcW w:w="1488" w:type="dxa"/>
          </w:tcPr>
          <w:p w:rsidR="0008419A" w:rsidRPr="00731952" w:rsidP="00731952" w14:paraId="67978169" w14:textId="2DADC61C">
            <w:r>
              <w:t>$</w:t>
            </w:r>
            <w:r w:rsidR="009E0E37">
              <w:t>8,380.86</w:t>
            </w:r>
          </w:p>
        </w:tc>
      </w:tr>
      <w:tr w14:paraId="6DFC4F6F" w14:textId="77777777" w:rsidTr="00731952">
        <w:tblPrEx>
          <w:tblW w:w="9650" w:type="dxa"/>
          <w:tblInd w:w="-10" w:type="dxa"/>
          <w:tblLayout w:type="fixed"/>
          <w:tblCellMar>
            <w:left w:w="0" w:type="dxa"/>
            <w:right w:w="0" w:type="dxa"/>
          </w:tblCellMar>
          <w:tblLook w:val="01E0"/>
        </w:tblPrEx>
        <w:trPr>
          <w:trHeight w:val="299"/>
        </w:trPr>
        <w:tc>
          <w:tcPr>
            <w:tcW w:w="3080" w:type="dxa"/>
          </w:tcPr>
          <w:p w:rsidR="00731952" w:rsidRPr="00731952" w:rsidP="00731952" w14:paraId="484B4953" w14:textId="77777777"/>
        </w:tc>
        <w:tc>
          <w:tcPr>
            <w:tcW w:w="1260" w:type="dxa"/>
          </w:tcPr>
          <w:p w:rsidR="00731952" w:rsidRPr="00731952" w:rsidP="00731952" w14:paraId="0B48BE70" w14:textId="77777777"/>
        </w:tc>
        <w:tc>
          <w:tcPr>
            <w:tcW w:w="1529" w:type="dxa"/>
          </w:tcPr>
          <w:p w:rsidR="00731952" w:rsidRPr="00731952" w:rsidP="00731952" w14:paraId="00BE7FFF" w14:textId="77777777"/>
        </w:tc>
        <w:tc>
          <w:tcPr>
            <w:tcW w:w="929" w:type="dxa"/>
          </w:tcPr>
          <w:p w:rsidR="00731952" w:rsidRPr="00731952" w:rsidP="00731952" w14:paraId="2740FAAF" w14:textId="77777777"/>
        </w:tc>
        <w:tc>
          <w:tcPr>
            <w:tcW w:w="1364" w:type="dxa"/>
            <w:shd w:val="clear" w:color="auto" w:fill="BEBEBE"/>
          </w:tcPr>
          <w:p w:rsidR="00731952" w:rsidRPr="00731952" w:rsidP="00731952" w14:paraId="02DDC307" w14:textId="77777777"/>
        </w:tc>
        <w:tc>
          <w:tcPr>
            <w:tcW w:w="1488" w:type="dxa"/>
          </w:tcPr>
          <w:p w:rsidR="00731952" w:rsidRPr="00731952" w:rsidP="00731952" w14:paraId="108F8C0C" w14:textId="77777777"/>
        </w:tc>
      </w:tr>
      <w:tr w14:paraId="6F06A676" w14:textId="77777777" w:rsidTr="00731952">
        <w:tblPrEx>
          <w:tblW w:w="9650" w:type="dxa"/>
          <w:tblInd w:w="-10" w:type="dxa"/>
          <w:tblLayout w:type="fixed"/>
          <w:tblCellMar>
            <w:left w:w="0" w:type="dxa"/>
            <w:right w:w="0" w:type="dxa"/>
          </w:tblCellMar>
          <w:tblLook w:val="01E0"/>
        </w:tblPrEx>
        <w:trPr>
          <w:trHeight w:val="301"/>
        </w:trPr>
        <w:tc>
          <w:tcPr>
            <w:tcW w:w="3080" w:type="dxa"/>
          </w:tcPr>
          <w:p w:rsidR="00731952" w:rsidRPr="00731952" w:rsidP="00731952" w14:paraId="03804ED3" w14:textId="77777777">
            <w:pPr>
              <w:rPr>
                <w:b/>
              </w:rPr>
            </w:pPr>
            <w:r w:rsidRPr="00731952">
              <w:rPr>
                <w:b/>
              </w:rPr>
              <w:t>Contractor Cost</w:t>
            </w:r>
          </w:p>
        </w:tc>
        <w:tc>
          <w:tcPr>
            <w:tcW w:w="1260" w:type="dxa"/>
            <w:shd w:val="clear" w:color="auto" w:fill="BEBEBE"/>
          </w:tcPr>
          <w:p w:rsidR="00731952" w:rsidRPr="00731952" w:rsidP="00731952" w14:paraId="6C5CA953" w14:textId="77777777"/>
        </w:tc>
        <w:tc>
          <w:tcPr>
            <w:tcW w:w="1529" w:type="dxa"/>
          </w:tcPr>
          <w:p w:rsidR="00731952" w:rsidRPr="00731952" w:rsidP="00731952" w14:paraId="39D8C997" w14:textId="77777777"/>
        </w:tc>
        <w:tc>
          <w:tcPr>
            <w:tcW w:w="929" w:type="dxa"/>
          </w:tcPr>
          <w:p w:rsidR="00731952" w:rsidRPr="00731952" w:rsidP="00731952" w14:paraId="4CBA8A2F" w14:textId="77777777"/>
        </w:tc>
        <w:tc>
          <w:tcPr>
            <w:tcW w:w="1364" w:type="dxa"/>
          </w:tcPr>
          <w:p w:rsidR="00731952" w:rsidRPr="00731952" w:rsidP="00731952" w14:paraId="2B540F3B" w14:textId="77777777"/>
        </w:tc>
        <w:tc>
          <w:tcPr>
            <w:tcW w:w="1488" w:type="dxa"/>
          </w:tcPr>
          <w:p w:rsidR="00731952" w:rsidRPr="00731952" w:rsidP="00731952" w14:paraId="52D92253" w14:textId="77777777"/>
        </w:tc>
      </w:tr>
      <w:tr w14:paraId="2E6FB82F" w14:textId="77777777" w:rsidTr="00731952">
        <w:tblPrEx>
          <w:tblW w:w="9650" w:type="dxa"/>
          <w:tblInd w:w="-10" w:type="dxa"/>
          <w:tblLayout w:type="fixed"/>
          <w:tblCellMar>
            <w:left w:w="0" w:type="dxa"/>
            <w:right w:w="0" w:type="dxa"/>
          </w:tblCellMar>
          <w:tblLook w:val="01E0"/>
        </w:tblPrEx>
        <w:trPr>
          <w:trHeight w:val="551"/>
        </w:trPr>
        <w:tc>
          <w:tcPr>
            <w:tcW w:w="3080" w:type="dxa"/>
          </w:tcPr>
          <w:p w:rsidR="00731952" w:rsidRPr="00731952" w:rsidP="00731952" w14:paraId="6D2CF4AD" w14:textId="77777777">
            <w:r w:rsidRPr="00731952">
              <w:t>Computer/Website Developer</w:t>
            </w:r>
          </w:p>
        </w:tc>
        <w:tc>
          <w:tcPr>
            <w:tcW w:w="1260" w:type="dxa"/>
          </w:tcPr>
          <w:p w:rsidR="00731952" w:rsidRPr="00731952" w:rsidP="00731952" w14:paraId="70B37BC5" w14:textId="77777777"/>
        </w:tc>
        <w:tc>
          <w:tcPr>
            <w:tcW w:w="1529" w:type="dxa"/>
          </w:tcPr>
          <w:p w:rsidR="00731952" w:rsidRPr="00731952" w:rsidP="00731952" w14:paraId="30A01633" w14:textId="77777777"/>
        </w:tc>
        <w:tc>
          <w:tcPr>
            <w:tcW w:w="929" w:type="dxa"/>
          </w:tcPr>
          <w:p w:rsidR="00731952" w:rsidRPr="00731952" w:rsidP="00731952" w14:paraId="08807015" w14:textId="77777777"/>
        </w:tc>
        <w:tc>
          <w:tcPr>
            <w:tcW w:w="1364" w:type="dxa"/>
          </w:tcPr>
          <w:p w:rsidR="00731952" w:rsidRPr="00731952" w:rsidP="00731952" w14:paraId="42588908" w14:textId="77777777"/>
        </w:tc>
        <w:tc>
          <w:tcPr>
            <w:tcW w:w="1488" w:type="dxa"/>
          </w:tcPr>
          <w:p w:rsidR="00731952" w:rsidRPr="00731952" w:rsidP="00731952" w14:paraId="598DC29C" w14:textId="374E39C4">
            <w:r w:rsidRPr="00731952">
              <w:t>$1</w:t>
            </w:r>
            <w:r w:rsidR="001E586A">
              <w:t>5</w:t>
            </w:r>
            <w:r w:rsidRPr="00731952">
              <w:t>,000.00*</w:t>
            </w:r>
            <w:r w:rsidR="00DB2B5A">
              <w:t>*</w:t>
            </w:r>
            <w:r w:rsidR="008338A9">
              <w:t>*</w:t>
            </w:r>
          </w:p>
        </w:tc>
      </w:tr>
      <w:tr w14:paraId="3C4E8262" w14:textId="77777777" w:rsidTr="00731952">
        <w:tblPrEx>
          <w:tblW w:w="9650" w:type="dxa"/>
          <w:tblInd w:w="-10" w:type="dxa"/>
          <w:tblLayout w:type="fixed"/>
          <w:tblCellMar>
            <w:left w:w="0" w:type="dxa"/>
            <w:right w:w="0" w:type="dxa"/>
          </w:tblCellMar>
          <w:tblLook w:val="01E0"/>
        </w:tblPrEx>
        <w:trPr>
          <w:trHeight w:val="296"/>
        </w:trPr>
        <w:tc>
          <w:tcPr>
            <w:tcW w:w="3080" w:type="dxa"/>
          </w:tcPr>
          <w:p w:rsidR="00731952" w:rsidRPr="00731952" w:rsidP="00731952" w14:paraId="0EF9B0EE" w14:textId="77777777">
            <w:pPr>
              <w:rPr>
                <w:b/>
              </w:rPr>
            </w:pPr>
            <w:r w:rsidRPr="00731952">
              <w:rPr>
                <w:b/>
              </w:rPr>
              <w:t>Travel</w:t>
            </w:r>
          </w:p>
        </w:tc>
        <w:tc>
          <w:tcPr>
            <w:tcW w:w="1260" w:type="dxa"/>
            <w:shd w:val="clear" w:color="auto" w:fill="BEBEBE"/>
          </w:tcPr>
          <w:p w:rsidR="00731952" w:rsidRPr="00731952" w:rsidP="00731952" w14:paraId="1C054360" w14:textId="77777777"/>
        </w:tc>
        <w:tc>
          <w:tcPr>
            <w:tcW w:w="1529" w:type="dxa"/>
            <w:shd w:val="clear" w:color="auto" w:fill="BEBEBE"/>
          </w:tcPr>
          <w:p w:rsidR="00731952" w:rsidRPr="00731952" w:rsidP="00731952" w14:paraId="10F67419" w14:textId="77777777"/>
        </w:tc>
        <w:tc>
          <w:tcPr>
            <w:tcW w:w="929" w:type="dxa"/>
            <w:shd w:val="clear" w:color="auto" w:fill="BEBEBE"/>
          </w:tcPr>
          <w:p w:rsidR="00731952" w:rsidRPr="00731952" w:rsidP="00731952" w14:paraId="59D09BBA" w14:textId="77777777"/>
        </w:tc>
        <w:tc>
          <w:tcPr>
            <w:tcW w:w="1364" w:type="dxa"/>
            <w:shd w:val="clear" w:color="auto" w:fill="BEBEBE"/>
          </w:tcPr>
          <w:p w:rsidR="00731952" w:rsidRPr="00731952" w:rsidP="00731952" w14:paraId="32F314B3" w14:textId="77777777"/>
        </w:tc>
        <w:tc>
          <w:tcPr>
            <w:tcW w:w="1488" w:type="dxa"/>
          </w:tcPr>
          <w:p w:rsidR="00731952" w:rsidRPr="00731952" w:rsidP="00731952" w14:paraId="326DE09C" w14:textId="77777777">
            <w:r w:rsidRPr="00731952">
              <w:t>$0</w:t>
            </w:r>
          </w:p>
        </w:tc>
      </w:tr>
      <w:tr w14:paraId="60D9D44C" w14:textId="77777777" w:rsidTr="00731952">
        <w:tblPrEx>
          <w:tblW w:w="9650" w:type="dxa"/>
          <w:tblInd w:w="-10" w:type="dxa"/>
          <w:tblLayout w:type="fixed"/>
          <w:tblCellMar>
            <w:left w:w="0" w:type="dxa"/>
            <w:right w:w="0" w:type="dxa"/>
          </w:tblCellMar>
          <w:tblLook w:val="01E0"/>
        </w:tblPrEx>
        <w:trPr>
          <w:trHeight w:val="301"/>
        </w:trPr>
        <w:tc>
          <w:tcPr>
            <w:tcW w:w="3080" w:type="dxa"/>
          </w:tcPr>
          <w:p w:rsidR="00731952" w:rsidRPr="00731952" w:rsidP="00731952" w14:paraId="2AECCEE8" w14:textId="6E86CD32">
            <w:pPr>
              <w:rPr>
                <w:b/>
              </w:rPr>
            </w:pPr>
            <w:r w:rsidRPr="00731952">
              <w:rPr>
                <w:b/>
              </w:rPr>
              <w:t>Other Cost**</w:t>
            </w:r>
            <w:r w:rsidR="008338A9">
              <w:rPr>
                <w:b/>
              </w:rPr>
              <w:t>*</w:t>
            </w:r>
            <w:r w:rsidR="00DB2B5A">
              <w:rPr>
                <w:b/>
              </w:rPr>
              <w:t>*</w:t>
            </w:r>
          </w:p>
        </w:tc>
        <w:tc>
          <w:tcPr>
            <w:tcW w:w="1260" w:type="dxa"/>
            <w:shd w:val="clear" w:color="auto" w:fill="BEBEBE"/>
          </w:tcPr>
          <w:p w:rsidR="00731952" w:rsidRPr="00731952" w:rsidP="00731952" w14:paraId="59CA63EF" w14:textId="77777777"/>
        </w:tc>
        <w:tc>
          <w:tcPr>
            <w:tcW w:w="1529" w:type="dxa"/>
            <w:shd w:val="clear" w:color="auto" w:fill="BEBEBE"/>
          </w:tcPr>
          <w:p w:rsidR="00731952" w:rsidRPr="00731952" w:rsidP="00731952" w14:paraId="4468B6DE" w14:textId="77777777"/>
        </w:tc>
        <w:tc>
          <w:tcPr>
            <w:tcW w:w="929" w:type="dxa"/>
            <w:shd w:val="clear" w:color="auto" w:fill="BEBEBE"/>
          </w:tcPr>
          <w:p w:rsidR="00731952" w:rsidRPr="00731952" w:rsidP="00731952" w14:paraId="003C43D6" w14:textId="77777777"/>
        </w:tc>
        <w:tc>
          <w:tcPr>
            <w:tcW w:w="1364" w:type="dxa"/>
            <w:shd w:val="clear" w:color="auto" w:fill="BEBEBE"/>
          </w:tcPr>
          <w:p w:rsidR="00731952" w:rsidRPr="00731952" w:rsidP="00731952" w14:paraId="23030C69" w14:textId="77777777"/>
        </w:tc>
        <w:tc>
          <w:tcPr>
            <w:tcW w:w="1488" w:type="dxa"/>
          </w:tcPr>
          <w:p w:rsidR="00731952" w:rsidRPr="00731952" w:rsidP="00731952" w14:paraId="46FFDD4E" w14:textId="571B91F2">
            <w:r w:rsidRPr="00731952">
              <w:t>$</w:t>
            </w:r>
            <w:r w:rsidR="001E586A">
              <w:t>0</w:t>
            </w:r>
          </w:p>
        </w:tc>
      </w:tr>
      <w:tr w14:paraId="356764D1" w14:textId="77777777" w:rsidTr="00731952">
        <w:tblPrEx>
          <w:tblW w:w="9650" w:type="dxa"/>
          <w:tblInd w:w="-10" w:type="dxa"/>
          <w:tblLayout w:type="fixed"/>
          <w:tblCellMar>
            <w:left w:w="0" w:type="dxa"/>
            <w:right w:w="0" w:type="dxa"/>
          </w:tblCellMar>
          <w:tblLook w:val="01E0"/>
        </w:tblPrEx>
        <w:trPr>
          <w:trHeight w:val="299"/>
        </w:trPr>
        <w:tc>
          <w:tcPr>
            <w:tcW w:w="3080" w:type="dxa"/>
          </w:tcPr>
          <w:p w:rsidR="00731952" w:rsidRPr="00731952" w:rsidP="00731952" w14:paraId="1FB25515" w14:textId="77777777"/>
        </w:tc>
        <w:tc>
          <w:tcPr>
            <w:tcW w:w="1260" w:type="dxa"/>
            <w:shd w:val="clear" w:color="auto" w:fill="BEBEBE"/>
          </w:tcPr>
          <w:p w:rsidR="00731952" w:rsidRPr="00731952" w:rsidP="00731952" w14:paraId="1776C892" w14:textId="77777777"/>
        </w:tc>
        <w:tc>
          <w:tcPr>
            <w:tcW w:w="1529" w:type="dxa"/>
            <w:shd w:val="clear" w:color="auto" w:fill="BEBEBE"/>
          </w:tcPr>
          <w:p w:rsidR="00731952" w:rsidRPr="00731952" w:rsidP="00731952" w14:paraId="42F93685" w14:textId="77777777"/>
        </w:tc>
        <w:tc>
          <w:tcPr>
            <w:tcW w:w="929" w:type="dxa"/>
            <w:shd w:val="clear" w:color="auto" w:fill="BEBEBE"/>
          </w:tcPr>
          <w:p w:rsidR="00731952" w:rsidRPr="00731952" w:rsidP="00731952" w14:paraId="6DAD6FF8" w14:textId="77777777"/>
        </w:tc>
        <w:tc>
          <w:tcPr>
            <w:tcW w:w="1364" w:type="dxa"/>
            <w:shd w:val="clear" w:color="auto" w:fill="BEBEBE"/>
          </w:tcPr>
          <w:p w:rsidR="00731952" w:rsidRPr="00731952" w:rsidP="00731952" w14:paraId="31AD6D43" w14:textId="77777777"/>
        </w:tc>
        <w:tc>
          <w:tcPr>
            <w:tcW w:w="1488" w:type="dxa"/>
          </w:tcPr>
          <w:p w:rsidR="00731952" w:rsidRPr="00731952" w:rsidP="00731952" w14:paraId="65457A08" w14:textId="77777777"/>
        </w:tc>
      </w:tr>
      <w:tr w14:paraId="581D9AD8" w14:textId="77777777" w:rsidTr="00731952">
        <w:tblPrEx>
          <w:tblW w:w="9650" w:type="dxa"/>
          <w:tblInd w:w="-10" w:type="dxa"/>
          <w:tblLayout w:type="fixed"/>
          <w:tblCellMar>
            <w:left w:w="0" w:type="dxa"/>
            <w:right w:w="0" w:type="dxa"/>
          </w:tblCellMar>
          <w:tblLook w:val="01E0"/>
        </w:tblPrEx>
        <w:trPr>
          <w:trHeight w:val="301"/>
        </w:trPr>
        <w:tc>
          <w:tcPr>
            <w:tcW w:w="3080" w:type="dxa"/>
          </w:tcPr>
          <w:p w:rsidR="00731952" w:rsidRPr="00731952" w:rsidP="00731952" w14:paraId="5A936C95" w14:textId="77777777">
            <w:r w:rsidRPr="00731952">
              <w:t>Total</w:t>
            </w:r>
          </w:p>
        </w:tc>
        <w:tc>
          <w:tcPr>
            <w:tcW w:w="1260" w:type="dxa"/>
          </w:tcPr>
          <w:p w:rsidR="00731952" w:rsidRPr="00731952" w:rsidP="00731952" w14:paraId="64B974FB" w14:textId="77777777"/>
        </w:tc>
        <w:tc>
          <w:tcPr>
            <w:tcW w:w="1529" w:type="dxa"/>
          </w:tcPr>
          <w:p w:rsidR="00731952" w:rsidRPr="00731952" w:rsidP="00731952" w14:paraId="39C9ADC1" w14:textId="77777777"/>
        </w:tc>
        <w:tc>
          <w:tcPr>
            <w:tcW w:w="929" w:type="dxa"/>
          </w:tcPr>
          <w:p w:rsidR="00731952" w:rsidRPr="00731952" w:rsidP="00731952" w14:paraId="091BA686" w14:textId="77777777"/>
        </w:tc>
        <w:tc>
          <w:tcPr>
            <w:tcW w:w="1364" w:type="dxa"/>
          </w:tcPr>
          <w:p w:rsidR="00731952" w:rsidRPr="00731952" w:rsidP="00731952" w14:paraId="04D01B41" w14:textId="77777777"/>
        </w:tc>
        <w:tc>
          <w:tcPr>
            <w:tcW w:w="1488" w:type="dxa"/>
          </w:tcPr>
          <w:p w:rsidR="00731952" w:rsidRPr="00731952" w:rsidP="00731952" w14:paraId="3EB24569" w14:textId="78F4B26F">
            <w:r w:rsidRPr="00731952">
              <w:t>$</w:t>
            </w:r>
            <w:r w:rsidRPr="00FC0271" w:rsidR="008338A9">
              <w:rPr>
                <w:b/>
                <w:bCs/>
              </w:rPr>
              <w:t>5</w:t>
            </w:r>
            <w:r w:rsidRPr="00FC0271" w:rsidR="009E0E37">
              <w:rPr>
                <w:b/>
                <w:bCs/>
              </w:rPr>
              <w:t>6</w:t>
            </w:r>
            <w:r w:rsidRPr="00FC0271" w:rsidR="008338A9">
              <w:rPr>
                <w:b/>
                <w:bCs/>
              </w:rPr>
              <w:t>,</w:t>
            </w:r>
            <w:r w:rsidRPr="00FC0271" w:rsidR="009E0E37">
              <w:rPr>
                <w:b/>
                <w:bCs/>
              </w:rPr>
              <w:t>017</w:t>
            </w:r>
            <w:r w:rsidRPr="00FC0271" w:rsidR="008338A9">
              <w:rPr>
                <w:b/>
                <w:bCs/>
              </w:rPr>
              <w:t>.</w:t>
            </w:r>
            <w:r w:rsidRPr="00FC0271" w:rsidR="009E0E37">
              <w:rPr>
                <w:b/>
                <w:bCs/>
              </w:rPr>
              <w:t>81</w:t>
            </w:r>
          </w:p>
        </w:tc>
      </w:tr>
    </w:tbl>
    <w:bookmarkEnd w:id="27"/>
    <w:p w:rsidR="00795812" w:rsidP="00DB2B5A" w14:paraId="10C16A7D" w14:textId="313A3CB9">
      <w:r>
        <w:fldChar w:fldCharType="begin"/>
      </w:r>
      <w:r>
        <w:instrText>HYPERLINK "https://www.opm.gov/policy-data-oversight/pay-leave/salaries-wages/salary-tables/24Tables/html/DCB.aspx"</w:instrText>
      </w:r>
      <w:r>
        <w:fldChar w:fldCharType="separate"/>
      </w:r>
      <w:r w:rsidRPr="00795812">
        <w:rPr>
          <w:rStyle w:val="Hyperlink"/>
        </w:rPr>
        <w:t>www.opm.gov/policy-data-oversight/pay-leave/salaries-wages/salary-tables/24Tables/html/DCB.aspx</w:t>
      </w:r>
      <w:r>
        <w:fldChar w:fldCharType="end"/>
      </w:r>
    </w:p>
    <w:p w:rsidR="008338A9" w:rsidP="00DB2B5A" w14:paraId="5F89967C" w14:textId="022CEE5F">
      <w:r>
        <w:t>* Average salary for the 2</w:t>
      </w:r>
      <w:r w:rsidR="009E0E37">
        <w:t>1</w:t>
      </w:r>
      <w:r>
        <w:t xml:space="preserve"> NEI principal investigators</w:t>
      </w:r>
    </w:p>
    <w:p w:rsidR="00DB2B5A" w:rsidP="00DB2B5A" w14:paraId="7F5EB44D" w14:textId="55D8149D">
      <w:r>
        <w:t>** Average salary for the 6 NEI Lab/Branch Chiefs</w:t>
      </w:r>
    </w:p>
    <w:p w:rsidR="00731952" w:rsidRPr="00731952" w:rsidP="00731952" w14:paraId="6E9FD1B1" w14:textId="53236518">
      <w:r w:rsidRPr="00731952">
        <w:t>*</w:t>
      </w:r>
      <w:r w:rsidR="00646FD3">
        <w:t>*</w:t>
      </w:r>
      <w:r w:rsidR="008338A9">
        <w:t>*</w:t>
      </w:r>
      <w:r w:rsidRPr="00731952">
        <w:t xml:space="preserve"> This is an estimated cost because this is one part of a larger contract that includes other tasks the contractor completes.</w:t>
      </w:r>
    </w:p>
    <w:p w:rsidR="0037291F" w:rsidP="00FF72FC" w14:paraId="134E7E5A" w14:textId="77777777"/>
    <w:p w:rsidR="00FF72FC" w:rsidRPr="00E35DD1" w:rsidP="00FF72FC" w14:paraId="4551EBE8" w14:textId="77777777">
      <w:pPr>
        <w:rPr>
          <w:b/>
        </w:rPr>
      </w:pPr>
      <w:r w:rsidRPr="00E35DD1">
        <w:rPr>
          <w:b/>
        </w:rPr>
        <w:t>A.15</w:t>
      </w:r>
      <w:r w:rsidRPr="00E35DD1">
        <w:rPr>
          <w:b/>
        </w:rPr>
        <w:tab/>
        <w:t>Explanation for Program Changes or Adjustments</w:t>
      </w:r>
    </w:p>
    <w:p w:rsidR="00FF72FC" w:rsidRPr="00E35DD1" w:rsidP="00FF72FC" w14:paraId="72D3F95F" w14:textId="22384D37">
      <w:r w:rsidRPr="00795812">
        <w:rPr>
          <w:highlight w:val="yellow"/>
        </w:rPr>
        <w:t>This is a</w:t>
      </w:r>
      <w:r w:rsidRPr="00795812" w:rsidR="001E586A">
        <w:rPr>
          <w:highlight w:val="yellow"/>
        </w:rPr>
        <w:t xml:space="preserve"> request for an extension of the already </w:t>
      </w:r>
      <w:r w:rsidRPr="00795812" w:rsidR="00FC0271">
        <w:rPr>
          <w:highlight w:val="yellow"/>
        </w:rPr>
        <w:t xml:space="preserve">existing </w:t>
      </w:r>
      <w:r w:rsidRPr="00795812" w:rsidR="00FC0271">
        <w:rPr>
          <w:highlight w:val="yellow"/>
        </w:rPr>
        <w:t>eIDP</w:t>
      </w:r>
      <w:r w:rsidRPr="00795812" w:rsidR="00FC0271">
        <w:rPr>
          <w:highlight w:val="yellow"/>
        </w:rPr>
        <w:t xml:space="preserve"> system. No changes or adjustments are being made at the present time.</w:t>
      </w:r>
    </w:p>
    <w:p w:rsidR="00FF72FC" w:rsidRPr="005C4013" w:rsidP="00FF72FC" w14:paraId="4912A666" w14:textId="77777777">
      <w:pPr>
        <w:pStyle w:val="Heading2"/>
        <w:tabs>
          <w:tab w:val="left" w:pos="720"/>
        </w:tabs>
        <w:spacing w:line="480" w:lineRule="auto"/>
        <w:rPr>
          <w:rFonts w:asciiTheme="minorHAnsi" w:hAnsiTheme="minorHAnsi"/>
          <w:b/>
          <w:color w:val="auto"/>
          <w:sz w:val="22"/>
          <w:szCs w:val="22"/>
        </w:rPr>
      </w:pPr>
      <w:bookmarkStart w:id="28" w:name="_Toc443881759"/>
      <w:bookmarkStart w:id="29" w:name="_Toc451592246"/>
      <w:bookmarkStart w:id="30" w:name="_Toc5610287"/>
      <w:bookmarkStart w:id="31" w:name="_Toc99178793"/>
      <w:r w:rsidRPr="005C4013">
        <w:rPr>
          <w:rFonts w:asciiTheme="minorHAnsi" w:hAnsiTheme="minorHAnsi"/>
          <w:b/>
          <w:color w:val="auto"/>
          <w:sz w:val="22"/>
          <w:szCs w:val="22"/>
        </w:rPr>
        <w:t>A.16</w:t>
      </w:r>
      <w:r w:rsidRPr="005C4013">
        <w:rPr>
          <w:rFonts w:asciiTheme="minorHAnsi" w:hAnsiTheme="minorHAnsi"/>
          <w:b/>
          <w:color w:val="auto"/>
          <w:sz w:val="22"/>
          <w:szCs w:val="22"/>
        </w:rPr>
        <w:tab/>
        <w:t>Plans for Tabulation and Publication and Project Time Schedule</w:t>
      </w:r>
      <w:bookmarkEnd w:id="28"/>
      <w:bookmarkEnd w:id="29"/>
      <w:bookmarkEnd w:id="30"/>
      <w:bookmarkEnd w:id="31"/>
    </w:p>
    <w:p w:rsidR="00731952" w:rsidRPr="00731952" w:rsidP="00731952" w14:paraId="5F71D828" w14:textId="38190ADB">
      <w:r w:rsidRPr="00731952">
        <w:t xml:space="preserve">Results will be tabulated after the completion of the </w:t>
      </w:r>
      <w:r w:rsidRPr="00731952">
        <w:t>eIDP</w:t>
      </w:r>
      <w:r w:rsidRPr="00731952">
        <w:t xml:space="preserve">. The results from this </w:t>
      </w:r>
      <w:r w:rsidR="00FC0271">
        <w:t>system</w:t>
      </w:r>
      <w:r w:rsidRPr="00731952">
        <w:t>and</w:t>
      </w:r>
      <w:r w:rsidRPr="00731952">
        <w:t xml:space="preserve"> any publications or presentations are not generalizable and will not be used to make broad, expansive conclusions.</w:t>
      </w:r>
    </w:p>
    <w:p w:rsidR="00731952" w:rsidRPr="00731952" w:rsidP="00731952" w14:paraId="61E3DDEC" w14:textId="77777777">
      <w:r w:rsidRPr="00731952">
        <w:t>The study time schedule is outlined in Table A.16-1.</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47"/>
        <w:gridCol w:w="4585"/>
      </w:tblGrid>
      <w:tr w14:paraId="2CD72C69" w14:textId="77777777" w:rsidTr="00AA5788">
        <w:tblPrEx>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9"/>
        </w:trPr>
        <w:tc>
          <w:tcPr>
            <w:tcW w:w="4047" w:type="dxa"/>
          </w:tcPr>
          <w:p w:rsidR="00731952" w:rsidRPr="00731952" w:rsidP="00731952" w14:paraId="3BE53DF7" w14:textId="77777777">
            <w:pPr>
              <w:jc w:val="center"/>
              <w:rPr>
                <w:b/>
                <w:bCs/>
              </w:rPr>
            </w:pPr>
            <w:r w:rsidRPr="00731952">
              <w:rPr>
                <w:b/>
                <w:bCs/>
              </w:rPr>
              <w:t>Activity</w:t>
            </w:r>
          </w:p>
        </w:tc>
        <w:tc>
          <w:tcPr>
            <w:tcW w:w="4585" w:type="dxa"/>
          </w:tcPr>
          <w:p w:rsidR="00731952" w:rsidRPr="00731952" w:rsidP="00731952" w14:paraId="64871255" w14:textId="77777777">
            <w:pPr>
              <w:jc w:val="center"/>
              <w:rPr>
                <w:b/>
                <w:bCs/>
              </w:rPr>
            </w:pPr>
            <w:r w:rsidRPr="00731952">
              <w:rPr>
                <w:b/>
                <w:bCs/>
              </w:rPr>
              <w:t>Months after OMB Approval</w:t>
            </w:r>
          </w:p>
        </w:tc>
      </w:tr>
      <w:tr w14:paraId="62197ED3" w14:textId="77777777" w:rsidTr="00AA5788">
        <w:tblPrEx>
          <w:tblW w:w="0" w:type="auto"/>
          <w:tblInd w:w="950" w:type="dxa"/>
          <w:tblLayout w:type="fixed"/>
          <w:tblCellMar>
            <w:left w:w="0" w:type="dxa"/>
            <w:right w:w="0" w:type="dxa"/>
          </w:tblCellMar>
          <w:tblLook w:val="01E0"/>
        </w:tblPrEx>
        <w:trPr>
          <w:trHeight w:val="299"/>
        </w:trPr>
        <w:tc>
          <w:tcPr>
            <w:tcW w:w="4047" w:type="dxa"/>
          </w:tcPr>
          <w:p w:rsidR="00731952" w:rsidRPr="00731952" w:rsidP="00731952" w14:paraId="55CF7057" w14:textId="77777777">
            <w:r w:rsidRPr="00731952">
              <w:t xml:space="preserve">Initiate </w:t>
            </w:r>
            <w:r w:rsidRPr="00731952">
              <w:t>eIDP</w:t>
            </w:r>
          </w:p>
        </w:tc>
        <w:tc>
          <w:tcPr>
            <w:tcW w:w="4585" w:type="dxa"/>
          </w:tcPr>
          <w:p w:rsidR="00731952" w:rsidRPr="00731952" w:rsidP="00731952" w14:paraId="12159C4A" w14:textId="77777777">
            <w:r w:rsidRPr="00731952">
              <w:t>Month 0-2</w:t>
            </w:r>
          </w:p>
        </w:tc>
      </w:tr>
      <w:tr w14:paraId="77A7D24E" w14:textId="77777777" w:rsidTr="00AA5788">
        <w:tblPrEx>
          <w:tblW w:w="0" w:type="auto"/>
          <w:tblInd w:w="950" w:type="dxa"/>
          <w:tblLayout w:type="fixed"/>
          <w:tblCellMar>
            <w:left w:w="0" w:type="dxa"/>
            <w:right w:w="0" w:type="dxa"/>
          </w:tblCellMar>
          <w:tblLook w:val="01E0"/>
        </w:tblPrEx>
        <w:trPr>
          <w:trHeight w:val="299"/>
        </w:trPr>
        <w:tc>
          <w:tcPr>
            <w:tcW w:w="4047" w:type="dxa"/>
          </w:tcPr>
          <w:p w:rsidR="00731952" w:rsidRPr="00731952" w:rsidP="00731952" w14:paraId="07234A7C" w14:textId="77777777">
            <w:r w:rsidRPr="00731952">
              <w:t xml:space="preserve">Complete </w:t>
            </w:r>
            <w:r w:rsidRPr="00731952">
              <w:t>eIDP</w:t>
            </w:r>
          </w:p>
        </w:tc>
        <w:tc>
          <w:tcPr>
            <w:tcW w:w="4585" w:type="dxa"/>
          </w:tcPr>
          <w:p w:rsidR="00731952" w:rsidRPr="00731952" w:rsidP="00731952" w14:paraId="6FED24C0" w14:textId="77777777">
            <w:r w:rsidRPr="00731952">
              <w:t>Month 3</w:t>
            </w:r>
          </w:p>
        </w:tc>
      </w:tr>
      <w:tr w14:paraId="00B87286" w14:textId="77777777" w:rsidTr="00AA5788">
        <w:tblPrEx>
          <w:tblW w:w="0" w:type="auto"/>
          <w:tblInd w:w="950" w:type="dxa"/>
          <w:tblLayout w:type="fixed"/>
          <w:tblCellMar>
            <w:left w:w="0" w:type="dxa"/>
            <w:right w:w="0" w:type="dxa"/>
          </w:tblCellMar>
          <w:tblLook w:val="01E0"/>
        </w:tblPrEx>
        <w:trPr>
          <w:trHeight w:val="299"/>
        </w:trPr>
        <w:tc>
          <w:tcPr>
            <w:tcW w:w="4047" w:type="dxa"/>
          </w:tcPr>
          <w:p w:rsidR="00731952" w:rsidRPr="00731952" w:rsidP="00731952" w14:paraId="7C3C0493" w14:textId="77777777">
            <w:r w:rsidRPr="00731952">
              <w:t xml:space="preserve">Analyze responses and revise </w:t>
            </w:r>
            <w:r w:rsidRPr="00731952">
              <w:t>eIDP</w:t>
            </w:r>
            <w:r w:rsidRPr="00731952">
              <w:t xml:space="preserve"> (if necessary)</w:t>
            </w:r>
          </w:p>
        </w:tc>
        <w:tc>
          <w:tcPr>
            <w:tcW w:w="4585" w:type="dxa"/>
          </w:tcPr>
          <w:p w:rsidR="00731952" w:rsidRPr="00731952" w:rsidP="00731952" w14:paraId="2588808D" w14:textId="77777777">
            <w:r w:rsidRPr="00731952">
              <w:t>Months 4-6</w:t>
            </w:r>
          </w:p>
        </w:tc>
      </w:tr>
      <w:tr w14:paraId="30207743" w14:textId="77777777" w:rsidTr="00AA5788">
        <w:tblPrEx>
          <w:tblW w:w="0" w:type="auto"/>
          <w:tblInd w:w="950" w:type="dxa"/>
          <w:tblLayout w:type="fixed"/>
          <w:tblCellMar>
            <w:left w:w="0" w:type="dxa"/>
            <w:right w:w="0" w:type="dxa"/>
          </w:tblCellMar>
          <w:tblLook w:val="01E0"/>
        </w:tblPrEx>
        <w:trPr>
          <w:trHeight w:val="302"/>
        </w:trPr>
        <w:tc>
          <w:tcPr>
            <w:tcW w:w="4047" w:type="dxa"/>
          </w:tcPr>
          <w:p w:rsidR="00731952" w:rsidRPr="00731952" w:rsidP="00731952" w14:paraId="3F0E353A" w14:textId="77777777">
            <w:r w:rsidRPr="00731952">
              <w:t>Run reports</w:t>
            </w:r>
          </w:p>
        </w:tc>
        <w:tc>
          <w:tcPr>
            <w:tcW w:w="4585" w:type="dxa"/>
          </w:tcPr>
          <w:p w:rsidR="00731952" w:rsidRPr="00731952" w:rsidP="00731952" w14:paraId="1F1CD4E7" w14:textId="77777777">
            <w:r w:rsidRPr="00731952">
              <w:t>Months 6-8</w:t>
            </w:r>
          </w:p>
        </w:tc>
      </w:tr>
      <w:tr w14:paraId="7A826A38" w14:textId="77777777" w:rsidTr="00AA5788">
        <w:tblPrEx>
          <w:tblW w:w="0" w:type="auto"/>
          <w:tblInd w:w="950" w:type="dxa"/>
          <w:tblLayout w:type="fixed"/>
          <w:tblCellMar>
            <w:left w:w="0" w:type="dxa"/>
            <w:right w:w="0" w:type="dxa"/>
          </w:tblCellMar>
          <w:tblLook w:val="01E0"/>
        </w:tblPrEx>
        <w:trPr>
          <w:trHeight w:val="299"/>
        </w:trPr>
        <w:tc>
          <w:tcPr>
            <w:tcW w:w="4047" w:type="dxa"/>
          </w:tcPr>
          <w:p w:rsidR="00731952" w:rsidRPr="00731952" w:rsidP="00731952" w14:paraId="688C1AE8" w14:textId="77777777">
            <w:r w:rsidRPr="00731952">
              <w:t xml:space="preserve">Begin </w:t>
            </w:r>
            <w:r w:rsidRPr="00731952">
              <w:t>eIDP</w:t>
            </w:r>
            <w:r w:rsidRPr="00731952">
              <w:t xml:space="preserve"> renewal</w:t>
            </w:r>
          </w:p>
        </w:tc>
        <w:tc>
          <w:tcPr>
            <w:tcW w:w="4585" w:type="dxa"/>
          </w:tcPr>
          <w:p w:rsidR="00731952" w:rsidRPr="00731952" w:rsidP="00731952" w14:paraId="61F120C1" w14:textId="77777777">
            <w:r w:rsidRPr="00731952">
              <w:t>Months 9-12</w:t>
            </w:r>
          </w:p>
        </w:tc>
      </w:tr>
    </w:tbl>
    <w:p w:rsidR="00FF72FC" w:rsidRPr="00E35DD1" w:rsidP="00FF72FC" w14:paraId="6FE438DD" w14:textId="77777777"/>
    <w:p w:rsidR="00FF72FC" w:rsidRPr="005C4013" w:rsidP="00FF72FC" w14:paraId="216672D1" w14:textId="77777777">
      <w:pPr>
        <w:rPr>
          <w:b/>
        </w:rPr>
      </w:pPr>
      <w:r w:rsidRPr="005C4013">
        <w:rPr>
          <w:b/>
        </w:rPr>
        <w:t>A.17</w:t>
      </w:r>
      <w:r w:rsidRPr="005C4013">
        <w:rPr>
          <w:b/>
        </w:rPr>
        <w:tab/>
        <w:t>Reason(s) Display of OMB Expiration Date is Inappropriate</w:t>
      </w:r>
    </w:p>
    <w:p w:rsidR="004716CF" w:rsidRPr="00E35DD1" w:rsidP="00FF72FC" w14:paraId="724F9191" w14:textId="416EFA3A">
      <w:r w:rsidRPr="00731952">
        <w:t>We are not requesting an exemption to the display of the OMB Expiration Date.</w:t>
      </w:r>
    </w:p>
    <w:p w:rsidR="0057480E" w:rsidRPr="005C4013" w:rsidP="00FF72FC" w14:paraId="7190591D" w14:textId="77777777">
      <w:pPr>
        <w:rPr>
          <w:b/>
        </w:rPr>
      </w:pPr>
      <w:r w:rsidRPr="005C4013">
        <w:rPr>
          <w:b/>
        </w:rPr>
        <w:t>A.18</w:t>
      </w:r>
      <w:r w:rsidRPr="005C4013">
        <w:rPr>
          <w:b/>
        </w:rPr>
        <w:tab/>
        <w:t>Exceptions to Certification for Paperwork Reduction Act Submissions</w:t>
      </w:r>
    </w:p>
    <w:p w:rsidR="00FF72FC" w:rsidRPr="00E35DD1" w:rsidP="00731952" w14:paraId="49B7AE09" w14:textId="711B8166">
      <w:r w:rsidRPr="00731952">
        <w:t>This survey will comply with the requirements in 5 C.F.R. 1320.9.</w:t>
      </w:r>
    </w:p>
    <w:sectPr w:rsidSect="00FE6EA5">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34100" w:rsidP="004A70E1" w14:paraId="6B4734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34100"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34100"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F34100" w:rsidP="004A70E1" w14:paraId="64873CE1"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6C12" w14:paraId="460F69D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6C12" w14:paraId="747DD5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6C12" w14:paraId="5EB16FAA" w14:textId="42F50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6C12" w14:paraId="510CB41C" w14:textId="4F81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4AE2359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3F24BDB"/>
    <w:multiLevelType w:val="multilevel"/>
    <w:tmpl w:val="42840D10"/>
    <w:lvl w:ilvl="0">
      <w:start w:val="1"/>
      <w:numFmt w:val="upperLetter"/>
      <w:lvlText w:val="%1"/>
      <w:lvlJc w:val="left"/>
      <w:pPr>
        <w:ind w:left="1660" w:hanging="720"/>
      </w:pPr>
      <w:rPr>
        <w:rFonts w:hint="default"/>
        <w:lang w:val="en-US" w:eastAsia="en-US" w:bidi="ar-SA"/>
      </w:rPr>
    </w:lvl>
    <w:lvl w:ilvl="1">
      <w:start w:val="1"/>
      <w:numFmt w:val="decimal"/>
      <w:lvlText w:val="%1.%2"/>
      <w:lvlJc w:val="left"/>
      <w:pPr>
        <w:ind w:left="1660" w:hanging="720"/>
      </w:pPr>
      <w:rPr>
        <w:rFonts w:ascii="Times New Roman" w:eastAsia="Times New Roman" w:hAnsi="Times New Roman" w:cs="Times New Roman" w:hint="default"/>
        <w:b/>
        <w:bCs/>
        <w:w w:val="99"/>
        <w:sz w:val="24"/>
        <w:szCs w:val="24"/>
        <w:lang w:val="en-US" w:eastAsia="en-US" w:bidi="ar-SA"/>
      </w:rPr>
    </w:lvl>
    <w:lvl w:ilvl="2">
      <w:start w:val="0"/>
      <w:numFmt w:val="bullet"/>
      <w:lvlText w:val=""/>
      <w:lvlJc w:val="left"/>
      <w:pPr>
        <w:ind w:left="1660" w:hanging="360"/>
      </w:pPr>
      <w:rPr>
        <w:rFonts w:ascii="Symbol" w:eastAsia="Symbol" w:hAnsi="Symbol" w:cs="Symbol" w:hint="default"/>
        <w:w w:val="100"/>
        <w:sz w:val="24"/>
        <w:szCs w:val="24"/>
        <w:lang w:val="en-US" w:eastAsia="en-US" w:bidi="ar-SA"/>
      </w:rPr>
    </w:lvl>
    <w:lvl w:ilvl="3">
      <w:start w:val="0"/>
      <w:numFmt w:val="bullet"/>
      <w:lvlText w:val="•"/>
      <w:lvlJc w:val="left"/>
      <w:pPr>
        <w:ind w:left="4348" w:hanging="360"/>
      </w:pPr>
      <w:rPr>
        <w:rFonts w:hint="default"/>
        <w:lang w:val="en-US" w:eastAsia="en-US" w:bidi="ar-SA"/>
      </w:rPr>
    </w:lvl>
    <w:lvl w:ilvl="4">
      <w:start w:val="0"/>
      <w:numFmt w:val="bullet"/>
      <w:lvlText w:val="•"/>
      <w:lvlJc w:val="left"/>
      <w:pPr>
        <w:ind w:left="5244" w:hanging="360"/>
      </w:pPr>
      <w:rPr>
        <w:rFonts w:hint="default"/>
        <w:lang w:val="en-US" w:eastAsia="en-US" w:bidi="ar-SA"/>
      </w:rPr>
    </w:lvl>
    <w:lvl w:ilvl="5">
      <w:start w:val="0"/>
      <w:numFmt w:val="bullet"/>
      <w:lvlText w:val="•"/>
      <w:lvlJc w:val="left"/>
      <w:pPr>
        <w:ind w:left="6140" w:hanging="360"/>
      </w:pPr>
      <w:rPr>
        <w:rFonts w:hint="default"/>
        <w:lang w:val="en-US" w:eastAsia="en-US" w:bidi="ar-SA"/>
      </w:rPr>
    </w:lvl>
    <w:lvl w:ilvl="6">
      <w:start w:val="0"/>
      <w:numFmt w:val="bullet"/>
      <w:lvlText w:val="•"/>
      <w:lvlJc w:val="left"/>
      <w:pPr>
        <w:ind w:left="7036" w:hanging="360"/>
      </w:pPr>
      <w:rPr>
        <w:rFonts w:hint="default"/>
        <w:lang w:val="en-US" w:eastAsia="en-US" w:bidi="ar-SA"/>
      </w:rPr>
    </w:lvl>
    <w:lvl w:ilvl="7">
      <w:start w:val="0"/>
      <w:numFmt w:val="bullet"/>
      <w:lvlText w:val="•"/>
      <w:lvlJc w:val="left"/>
      <w:pPr>
        <w:ind w:left="7932" w:hanging="360"/>
      </w:pPr>
      <w:rPr>
        <w:rFonts w:hint="default"/>
        <w:lang w:val="en-US" w:eastAsia="en-US" w:bidi="ar-SA"/>
      </w:rPr>
    </w:lvl>
    <w:lvl w:ilvl="8">
      <w:start w:val="0"/>
      <w:numFmt w:val="bullet"/>
      <w:lvlText w:val="•"/>
      <w:lvlJc w:val="left"/>
      <w:pPr>
        <w:ind w:left="8828" w:hanging="360"/>
      </w:pPr>
      <w:rPr>
        <w:rFonts w:hint="default"/>
        <w:lang w:val="en-US" w:eastAsia="en-US" w:bidi="ar-SA"/>
      </w:rPr>
    </w:lvl>
  </w:abstractNum>
  <w:abstractNum w:abstractNumId="12">
    <w:nsid w:val="748D2654"/>
    <w:multiLevelType w:val="hybridMultilevel"/>
    <w:tmpl w:val="5232C0FE"/>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num w:numId="1" w16cid:durableId="56361099">
    <w:abstractNumId w:val="10"/>
  </w:num>
  <w:num w:numId="2" w16cid:durableId="332998547">
    <w:abstractNumId w:val="2"/>
  </w:num>
  <w:num w:numId="3" w16cid:durableId="545795339">
    <w:abstractNumId w:val="8"/>
  </w:num>
  <w:num w:numId="4" w16cid:durableId="1962690887">
    <w:abstractNumId w:val="0"/>
  </w:num>
  <w:num w:numId="5" w16cid:durableId="1887445301">
    <w:abstractNumId w:val="4"/>
  </w:num>
  <w:num w:numId="6" w16cid:durableId="1586647582">
    <w:abstractNumId w:val="3"/>
  </w:num>
  <w:num w:numId="7" w16cid:durableId="98528793">
    <w:abstractNumId w:val="5"/>
  </w:num>
  <w:num w:numId="8" w16cid:durableId="363025516">
    <w:abstractNumId w:val="7"/>
  </w:num>
  <w:num w:numId="9" w16cid:durableId="2130976261">
    <w:abstractNumId w:val="6"/>
  </w:num>
  <w:num w:numId="10" w16cid:durableId="1216505174">
    <w:abstractNumId w:val="9"/>
  </w:num>
  <w:num w:numId="11" w16cid:durableId="801734145">
    <w:abstractNumId w:val="1"/>
  </w:num>
  <w:num w:numId="12" w16cid:durableId="811411540">
    <w:abstractNumId w:val="11"/>
  </w:num>
  <w:num w:numId="13" w16cid:durableId="76612149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erez-Gonzalez, Cesar (NIH/NEI) [E]">
    <w15:presenceInfo w15:providerId="AD" w15:userId="S::cesarp@nih.gov::f6f4e962-b4e9-44b5-a8a5-dfaf8a7c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0A82"/>
    <w:rsid w:val="00003C28"/>
    <w:rsid w:val="00014D5B"/>
    <w:rsid w:val="00024899"/>
    <w:rsid w:val="00074782"/>
    <w:rsid w:val="00083371"/>
    <w:rsid w:val="0008419A"/>
    <w:rsid w:val="00091C31"/>
    <w:rsid w:val="00095C92"/>
    <w:rsid w:val="000F3043"/>
    <w:rsid w:val="001064BB"/>
    <w:rsid w:val="00111DD0"/>
    <w:rsid w:val="00114539"/>
    <w:rsid w:val="00122021"/>
    <w:rsid w:val="00132CD8"/>
    <w:rsid w:val="00152FAD"/>
    <w:rsid w:val="001603AA"/>
    <w:rsid w:val="00170EC9"/>
    <w:rsid w:val="00175534"/>
    <w:rsid w:val="00190C83"/>
    <w:rsid w:val="00195414"/>
    <w:rsid w:val="001B25C0"/>
    <w:rsid w:val="001B4E20"/>
    <w:rsid w:val="001B6B0F"/>
    <w:rsid w:val="001E586A"/>
    <w:rsid w:val="002101EE"/>
    <w:rsid w:val="0024230D"/>
    <w:rsid w:val="00251209"/>
    <w:rsid w:val="00255E92"/>
    <w:rsid w:val="00255F7C"/>
    <w:rsid w:val="002670CD"/>
    <w:rsid w:val="0027466E"/>
    <w:rsid w:val="002770FA"/>
    <w:rsid w:val="00291B8C"/>
    <w:rsid w:val="00296BEC"/>
    <w:rsid w:val="002A2A66"/>
    <w:rsid w:val="002C5D4F"/>
    <w:rsid w:val="002C70DE"/>
    <w:rsid w:val="002D41AC"/>
    <w:rsid w:val="002F4317"/>
    <w:rsid w:val="00312856"/>
    <w:rsid w:val="00330A8B"/>
    <w:rsid w:val="00357AE8"/>
    <w:rsid w:val="0036208F"/>
    <w:rsid w:val="0037291F"/>
    <w:rsid w:val="00374441"/>
    <w:rsid w:val="0040025C"/>
    <w:rsid w:val="00442AB0"/>
    <w:rsid w:val="00442B5B"/>
    <w:rsid w:val="004550AC"/>
    <w:rsid w:val="004716CF"/>
    <w:rsid w:val="00497B81"/>
    <w:rsid w:val="004A70E1"/>
    <w:rsid w:val="004B16BD"/>
    <w:rsid w:val="004C4B9F"/>
    <w:rsid w:val="004D1E8B"/>
    <w:rsid w:val="005150E7"/>
    <w:rsid w:val="00536C12"/>
    <w:rsid w:val="0057480E"/>
    <w:rsid w:val="005901D7"/>
    <w:rsid w:val="005C37B3"/>
    <w:rsid w:val="005C4013"/>
    <w:rsid w:val="005F4A54"/>
    <w:rsid w:val="00611B50"/>
    <w:rsid w:val="00634749"/>
    <w:rsid w:val="00641209"/>
    <w:rsid w:val="00644341"/>
    <w:rsid w:val="00646FD3"/>
    <w:rsid w:val="00653425"/>
    <w:rsid w:val="00681F63"/>
    <w:rsid w:val="00685B30"/>
    <w:rsid w:val="006A45F9"/>
    <w:rsid w:val="006B624F"/>
    <w:rsid w:val="006E5B79"/>
    <w:rsid w:val="006F23ED"/>
    <w:rsid w:val="006F51F5"/>
    <w:rsid w:val="00703A8B"/>
    <w:rsid w:val="007063F8"/>
    <w:rsid w:val="00707096"/>
    <w:rsid w:val="007139A7"/>
    <w:rsid w:val="007149C3"/>
    <w:rsid w:val="00714BFA"/>
    <w:rsid w:val="00717158"/>
    <w:rsid w:val="00731952"/>
    <w:rsid w:val="00743C78"/>
    <w:rsid w:val="00756DDA"/>
    <w:rsid w:val="00767C53"/>
    <w:rsid w:val="00795812"/>
    <w:rsid w:val="007A0CA3"/>
    <w:rsid w:val="007B6E6A"/>
    <w:rsid w:val="007D11BF"/>
    <w:rsid w:val="007D402F"/>
    <w:rsid w:val="007E0332"/>
    <w:rsid w:val="007E51FA"/>
    <w:rsid w:val="008338A9"/>
    <w:rsid w:val="008359FA"/>
    <w:rsid w:val="00845DEE"/>
    <w:rsid w:val="0086248B"/>
    <w:rsid w:val="008812FA"/>
    <w:rsid w:val="00882BB5"/>
    <w:rsid w:val="008942E9"/>
    <w:rsid w:val="00894FF4"/>
    <w:rsid w:val="0091570A"/>
    <w:rsid w:val="0091652B"/>
    <w:rsid w:val="00941822"/>
    <w:rsid w:val="0097238E"/>
    <w:rsid w:val="009747F4"/>
    <w:rsid w:val="00976490"/>
    <w:rsid w:val="009867AD"/>
    <w:rsid w:val="009A3E27"/>
    <w:rsid w:val="009B7B6A"/>
    <w:rsid w:val="009C3E9D"/>
    <w:rsid w:val="009D4541"/>
    <w:rsid w:val="009E0E37"/>
    <w:rsid w:val="009E69CB"/>
    <w:rsid w:val="00A00CF8"/>
    <w:rsid w:val="00A05931"/>
    <w:rsid w:val="00A20C21"/>
    <w:rsid w:val="00A33617"/>
    <w:rsid w:val="00A36147"/>
    <w:rsid w:val="00A52EC4"/>
    <w:rsid w:val="00A60362"/>
    <w:rsid w:val="00A6350F"/>
    <w:rsid w:val="00AB736C"/>
    <w:rsid w:val="00AD7358"/>
    <w:rsid w:val="00AF7D29"/>
    <w:rsid w:val="00B00EB3"/>
    <w:rsid w:val="00B03736"/>
    <w:rsid w:val="00B13DFA"/>
    <w:rsid w:val="00B2767E"/>
    <w:rsid w:val="00B31022"/>
    <w:rsid w:val="00B70C76"/>
    <w:rsid w:val="00B81429"/>
    <w:rsid w:val="00B93C77"/>
    <w:rsid w:val="00B96691"/>
    <w:rsid w:val="00BD7939"/>
    <w:rsid w:val="00BE5EFA"/>
    <w:rsid w:val="00BE76A7"/>
    <w:rsid w:val="00BF491C"/>
    <w:rsid w:val="00C02C97"/>
    <w:rsid w:val="00C24877"/>
    <w:rsid w:val="00C40F61"/>
    <w:rsid w:val="00C4161B"/>
    <w:rsid w:val="00C5761D"/>
    <w:rsid w:val="00C674A0"/>
    <w:rsid w:val="00C6768E"/>
    <w:rsid w:val="00C76797"/>
    <w:rsid w:val="00C76FE2"/>
    <w:rsid w:val="00C9556F"/>
    <w:rsid w:val="00CF1751"/>
    <w:rsid w:val="00CF36BD"/>
    <w:rsid w:val="00D04014"/>
    <w:rsid w:val="00D23A63"/>
    <w:rsid w:val="00D34BE5"/>
    <w:rsid w:val="00D7280E"/>
    <w:rsid w:val="00DA07DC"/>
    <w:rsid w:val="00DA6855"/>
    <w:rsid w:val="00DB1217"/>
    <w:rsid w:val="00DB2B5A"/>
    <w:rsid w:val="00DE5570"/>
    <w:rsid w:val="00E00E69"/>
    <w:rsid w:val="00E03967"/>
    <w:rsid w:val="00E35DD1"/>
    <w:rsid w:val="00E56374"/>
    <w:rsid w:val="00E67B10"/>
    <w:rsid w:val="00E71E24"/>
    <w:rsid w:val="00E72390"/>
    <w:rsid w:val="00EA11F7"/>
    <w:rsid w:val="00EA37D2"/>
    <w:rsid w:val="00EB7E3E"/>
    <w:rsid w:val="00EC1405"/>
    <w:rsid w:val="00ED3A73"/>
    <w:rsid w:val="00ED5885"/>
    <w:rsid w:val="00EE245F"/>
    <w:rsid w:val="00EE5A75"/>
    <w:rsid w:val="00F25814"/>
    <w:rsid w:val="00F33485"/>
    <w:rsid w:val="00F34100"/>
    <w:rsid w:val="00F61BEC"/>
    <w:rsid w:val="00F77C71"/>
    <w:rsid w:val="00FB346E"/>
    <w:rsid w:val="00FC0271"/>
    <w:rsid w:val="00FC45C7"/>
    <w:rsid w:val="00FE6EA5"/>
    <w:rsid w:val="00FF30CE"/>
    <w:rsid w:val="00FF7092"/>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Revision">
    <w:name w:val="Revision"/>
    <w:hidden/>
    <w:uiPriority w:val="99"/>
    <w:semiHidden/>
    <w:rsid w:val="00175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B8D71C-2731-4F66-9801-24115A84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dcterms:created xsi:type="dcterms:W3CDTF">2024-10-29T14:26:00Z</dcterms:created>
  <dcterms:modified xsi:type="dcterms:W3CDTF">2024-10-29T14:26:00Z</dcterms:modified>
</cp:coreProperties>
</file>