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60CC" w:rsidP="00A16022" w14:paraId="7B36BAF2" w14:textId="77777777">
      <w:pPr>
        <w:spacing w:line="240" w:lineRule="auto"/>
        <w:ind w:left="2880" w:firstLine="720"/>
        <w:rPr>
          <w:b/>
          <w:bCs/>
          <w:sz w:val="28"/>
          <w:szCs w:val="28"/>
        </w:rPr>
      </w:pPr>
      <w:r w:rsidRPr="00A16022">
        <w:rPr>
          <w:b/>
          <w:bCs/>
          <w:sz w:val="28"/>
          <w:szCs w:val="28"/>
        </w:rPr>
        <w:t>Supporting Statement A for</w:t>
      </w:r>
    </w:p>
    <w:p w:rsidR="00A16022" w:rsidRPr="00A16022" w:rsidP="00A16022" w14:paraId="5CD1EFF6" w14:textId="77777777">
      <w:pPr>
        <w:spacing w:line="240" w:lineRule="auto"/>
        <w:ind w:left="2880" w:firstLine="720"/>
        <w:rPr>
          <w:rFonts w:eastAsia="Times New Roman" w:cs="Times New Roman"/>
          <w:b/>
          <w:bCs/>
          <w:sz w:val="28"/>
          <w:szCs w:val="28"/>
        </w:rPr>
      </w:pPr>
    </w:p>
    <w:p w:rsidR="00A16022" w:rsidP="0040411E" w14:paraId="56300227" w14:textId="5A774AB3">
      <w:pPr>
        <w:pStyle w:val="P1-StandPara"/>
        <w:tabs>
          <w:tab w:val="left" w:pos="720"/>
          <w:tab w:val="right" w:leader="dot" w:pos="9504"/>
        </w:tabs>
        <w:spacing w:before="120" w:after="120" w:line="240" w:lineRule="auto"/>
        <w:ind w:firstLine="0"/>
        <w:jc w:val="center"/>
        <w:rPr>
          <w:rFonts w:asciiTheme="minorHAnsi" w:hAnsiTheme="minorHAnsi"/>
          <w:b/>
          <w:bCs/>
          <w:sz w:val="28"/>
          <w:szCs w:val="28"/>
        </w:rPr>
      </w:pPr>
      <w:r w:rsidRPr="00A16022">
        <w:rPr>
          <w:rFonts w:asciiTheme="minorHAnsi" w:hAnsiTheme="minorHAnsi"/>
          <w:b/>
          <w:bCs/>
          <w:sz w:val="28"/>
          <w:szCs w:val="28"/>
        </w:rPr>
        <w:t xml:space="preserve">Data Use Certification for </w:t>
      </w:r>
      <w:bookmarkStart w:id="0" w:name="_Hlk187658214"/>
      <w:r w:rsidRPr="0040411E">
        <w:rPr>
          <w:rFonts w:asciiTheme="minorHAnsi" w:hAnsiTheme="minorHAnsi"/>
          <w:b/>
          <w:bCs/>
          <w:sz w:val="28"/>
          <w:szCs w:val="28"/>
          <w:highlight w:val="yellow"/>
        </w:rPr>
        <w:t xml:space="preserve">the </w:t>
      </w:r>
      <w:r w:rsidRPr="0040411E" w:rsidR="0040411E">
        <w:rPr>
          <w:rFonts w:asciiTheme="minorHAnsi" w:hAnsiTheme="minorHAnsi"/>
          <w:b/>
          <w:bCs/>
          <w:sz w:val="28"/>
          <w:szCs w:val="28"/>
          <w:highlight w:val="yellow"/>
        </w:rPr>
        <w:t>NIH Brain Development Cohorts</w:t>
      </w:r>
      <w:r w:rsidR="00E159A3">
        <w:rPr>
          <w:rFonts w:asciiTheme="minorHAnsi" w:hAnsiTheme="minorHAnsi"/>
          <w:b/>
          <w:bCs/>
          <w:sz w:val="28"/>
          <w:szCs w:val="28"/>
        </w:rPr>
        <w:t xml:space="preserve"> </w:t>
      </w:r>
      <w:r w:rsidRPr="00E159A3" w:rsidR="00E159A3">
        <w:rPr>
          <w:rFonts w:asciiTheme="minorHAnsi" w:hAnsiTheme="minorHAnsi"/>
          <w:b/>
          <w:bCs/>
          <w:sz w:val="28"/>
          <w:szCs w:val="28"/>
          <w:highlight w:val="yellow"/>
        </w:rPr>
        <w:t>(NBDC)</w:t>
      </w:r>
      <w:bookmarkEnd w:id="0"/>
      <w:r w:rsidR="00E159A3">
        <w:rPr>
          <w:rFonts w:asciiTheme="minorHAnsi" w:hAnsiTheme="minorHAnsi"/>
          <w:b/>
          <w:bCs/>
          <w:sz w:val="28"/>
          <w:szCs w:val="28"/>
        </w:rPr>
        <w:t>,</w:t>
      </w:r>
      <w:r w:rsidRPr="00A16022">
        <w:rPr>
          <w:rFonts w:asciiTheme="minorHAnsi" w:hAnsiTheme="minorHAnsi"/>
          <w:b/>
          <w:bCs/>
          <w:sz w:val="28"/>
          <w:szCs w:val="28"/>
        </w:rPr>
        <w:t xml:space="preserve"> (NIDA)</w:t>
      </w:r>
    </w:p>
    <w:p w:rsidR="00A16022" w:rsidP="00A16022" w14:paraId="365CDD0A" w14:textId="77777777">
      <w:pPr>
        <w:pStyle w:val="P1-StandPara"/>
        <w:tabs>
          <w:tab w:val="left" w:pos="720"/>
          <w:tab w:val="right" w:leader="dot" w:pos="9504"/>
        </w:tabs>
        <w:spacing w:before="120" w:after="120" w:line="240" w:lineRule="auto"/>
        <w:ind w:firstLine="0"/>
        <w:jc w:val="center"/>
        <w:rPr>
          <w:rFonts w:asciiTheme="minorHAnsi" w:hAnsiTheme="minorHAnsi"/>
          <w:b/>
          <w:bCs/>
          <w:sz w:val="28"/>
          <w:szCs w:val="28"/>
        </w:rPr>
      </w:pPr>
    </w:p>
    <w:p w:rsidR="00A16022" w:rsidRPr="00900387" w:rsidP="00A16022" w14:paraId="7D1E9812" w14:textId="2BDC2A84">
      <w:pPr>
        <w:jc w:val="center"/>
        <w:rPr>
          <w:b/>
          <w:bCs/>
          <w:sz w:val="28"/>
          <w:szCs w:val="28"/>
        </w:rPr>
      </w:pPr>
      <w:r w:rsidRPr="00900387">
        <w:rPr>
          <w:b/>
          <w:bCs/>
          <w:sz w:val="28"/>
          <w:szCs w:val="28"/>
        </w:rPr>
        <w:t xml:space="preserve">OMB Control Number </w:t>
      </w:r>
      <w:r w:rsidRPr="00775E92">
        <w:rPr>
          <w:b/>
          <w:sz w:val="28"/>
          <w:szCs w:val="28"/>
        </w:rPr>
        <w:t>0925-078</w:t>
      </w:r>
      <w:r>
        <w:rPr>
          <w:b/>
          <w:sz w:val="28"/>
          <w:szCs w:val="28"/>
        </w:rPr>
        <w:t>0</w:t>
      </w:r>
      <w:r w:rsidRPr="00900387">
        <w:rPr>
          <w:b/>
          <w:bCs/>
          <w:sz w:val="28"/>
          <w:szCs w:val="28"/>
        </w:rPr>
        <w:t xml:space="preserve">; Exp </w:t>
      </w:r>
      <w:r>
        <w:rPr>
          <w:b/>
          <w:sz w:val="28"/>
          <w:szCs w:val="28"/>
        </w:rPr>
        <w:t>10</w:t>
      </w:r>
      <w:r w:rsidRPr="00775E92">
        <w:rPr>
          <w:b/>
          <w:sz w:val="28"/>
          <w:szCs w:val="28"/>
        </w:rPr>
        <w:t>/31/202</w:t>
      </w:r>
      <w:r>
        <w:rPr>
          <w:b/>
          <w:sz w:val="28"/>
          <w:szCs w:val="28"/>
        </w:rPr>
        <w:t>6</w:t>
      </w:r>
    </w:p>
    <w:p w:rsidR="00A16022" w:rsidRPr="00A16022" w:rsidP="00A16022" w14:paraId="319DCDA1" w14:textId="77777777">
      <w:pPr>
        <w:pStyle w:val="P1-StandPara"/>
        <w:tabs>
          <w:tab w:val="left" w:pos="720"/>
          <w:tab w:val="right" w:leader="dot" w:pos="9504"/>
        </w:tabs>
        <w:spacing w:before="120" w:after="120" w:line="240" w:lineRule="auto"/>
        <w:ind w:firstLine="0"/>
        <w:jc w:val="center"/>
        <w:rPr>
          <w:rFonts w:asciiTheme="minorHAnsi" w:hAnsiTheme="minorHAnsi"/>
          <w:b/>
          <w:bCs/>
          <w:sz w:val="24"/>
          <w:szCs w:val="24"/>
        </w:rPr>
      </w:pPr>
    </w:p>
    <w:p w:rsidR="00A16022" w:rsidRPr="00A16022" w:rsidP="00A16022" w14:paraId="0ACF7E25" w14:textId="77777777">
      <w:pPr>
        <w:spacing w:line="360" w:lineRule="auto"/>
        <w:jc w:val="center"/>
        <w:rPr>
          <w:rFonts w:eastAsia="Times New Roman"/>
          <w:sz w:val="24"/>
          <w:szCs w:val="24"/>
          <w:highlight w:val="yellow"/>
        </w:rPr>
      </w:pPr>
      <w:r w:rsidRPr="00A16022">
        <w:rPr>
          <w:sz w:val="24"/>
          <w:szCs w:val="24"/>
          <w:highlight w:val="yellow"/>
        </w:rPr>
        <w:t>This is a revision to the original submission, and all changes are highlighted in yellow.</w:t>
      </w:r>
    </w:p>
    <w:p w:rsidR="007B60CC" w:rsidP="0003342C" w14:paraId="5B77FBE1" w14:textId="0743FC3A">
      <w:pPr>
        <w:pStyle w:val="P1-StandPara"/>
        <w:tabs>
          <w:tab w:val="left" w:pos="720"/>
          <w:tab w:val="right" w:leader="dot" w:pos="9504"/>
        </w:tabs>
        <w:spacing w:before="120" w:after="120"/>
        <w:ind w:firstLine="0"/>
        <w:rPr>
          <w:rFonts w:asciiTheme="minorHAnsi" w:hAnsiTheme="minorHAnsi"/>
          <w:szCs w:val="22"/>
        </w:rPr>
      </w:pPr>
      <w:r w:rsidRPr="261B2D4F">
        <w:rPr>
          <w:rFonts w:asciiTheme="minorHAnsi" w:hAnsiTheme="minorHAnsi"/>
        </w:rPr>
        <w:t xml:space="preserve">  </w:t>
      </w:r>
    </w:p>
    <w:p w:rsidR="007B60CC" w:rsidRPr="00E35DD1" w:rsidP="08AFD7C9" w14:paraId="2506D1D0" w14:textId="69011FB8">
      <w:pPr>
        <w:pStyle w:val="P1-StandPara"/>
        <w:tabs>
          <w:tab w:val="left" w:pos="720"/>
          <w:tab w:val="right" w:leader="dot" w:pos="9504"/>
        </w:tabs>
        <w:spacing w:before="120" w:after="120"/>
        <w:rPr>
          <w:rFonts w:asciiTheme="minorHAnsi" w:hAnsiTheme="minorHAnsi"/>
        </w:rPr>
      </w:pPr>
      <w:r w:rsidRPr="08AFD7C9">
        <w:rPr>
          <w:rFonts w:asciiTheme="minorHAnsi" w:hAnsiTheme="minorHAnsi"/>
        </w:rPr>
        <w:t xml:space="preserve">Date: </w:t>
      </w:r>
      <w:r w:rsidRPr="08AFD7C9" w:rsidR="503B315A">
        <w:rPr>
          <w:rFonts w:asciiTheme="minorHAnsi" w:hAnsiTheme="minorHAnsi"/>
        </w:rPr>
        <w:t>06/26/23</w:t>
      </w:r>
    </w:p>
    <w:p w:rsidR="007B60CC" w:rsidRPr="008942E9" w:rsidP="007B60CC" w14:paraId="58909DDA" w14:textId="5A55F2AC">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Check off which applies:</w:t>
      </w:r>
    </w:p>
    <w:p w:rsidR="007B60CC" w:rsidP="007B60CC" w14:paraId="3F049DFF" w14:textId="3619A3E1">
      <w:pPr>
        <w:pStyle w:val="ListParagraph"/>
        <w:numPr>
          <w:ilvl w:val="0"/>
          <w:numId w:val="1"/>
        </w:numPr>
        <w:spacing w:after="0" w:line="240" w:lineRule="auto"/>
      </w:pPr>
      <w:r>
        <w:t xml:space="preserve">New </w:t>
      </w:r>
    </w:p>
    <w:p w:rsidR="007B60CC" w:rsidP="007B60CC" w14:paraId="2F2E0565" w14:textId="10B0B3C0">
      <w:pPr>
        <w:numPr>
          <w:ilvl w:val="0"/>
          <w:numId w:val="1"/>
        </w:numPr>
        <w:spacing w:after="0" w:line="240" w:lineRule="auto"/>
      </w:pPr>
      <w:r>
        <w:rPr>
          <w:noProof/>
        </w:rPr>
        <w:drawing>
          <wp:anchor distT="0" distB="0" distL="114300" distR="114300" simplePos="0" relativeHeight="251658240" behindDoc="0" locked="0" layoutInCell="1" allowOverlap="1">
            <wp:simplePos x="0" y="0"/>
            <wp:positionH relativeFrom="column">
              <wp:posOffset>216535</wp:posOffset>
            </wp:positionH>
            <wp:positionV relativeFrom="paragraph">
              <wp:posOffset>29845</wp:posOffset>
            </wp:positionV>
            <wp:extent cx="200025" cy="200025"/>
            <wp:effectExtent l="0" t="0" r="9525" b="9525"/>
            <wp:wrapNone/>
            <wp:docPr id="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00025" cy="200025"/>
                    </a:xfrm>
                    <a:prstGeom prst="rect">
                      <a:avLst/>
                    </a:prstGeom>
                  </pic:spPr>
                </pic:pic>
              </a:graphicData>
            </a:graphic>
            <wp14:sizeRelH relativeFrom="margin">
              <wp14:pctWidth>0</wp14:pctWidth>
            </wp14:sizeRelH>
            <wp14:sizeRelV relativeFrom="margin">
              <wp14:pctHeight>0</wp14:pctHeight>
            </wp14:sizeRelV>
          </wp:anchor>
        </w:drawing>
      </w:r>
      <w:r>
        <w:t>Revision</w:t>
      </w:r>
      <w:r>
        <w:tab/>
      </w:r>
      <w:r>
        <w:tab/>
      </w:r>
      <w:r>
        <w:tab/>
      </w:r>
    </w:p>
    <w:p w:rsidR="007B60CC" w:rsidP="007B60CC" w14:paraId="1391D1A8" w14:textId="77777777">
      <w:pPr>
        <w:numPr>
          <w:ilvl w:val="0"/>
          <w:numId w:val="1"/>
        </w:numPr>
        <w:spacing w:after="0" w:line="240" w:lineRule="auto"/>
      </w:pPr>
      <w:r>
        <w:t>Reinstatement with Change</w:t>
      </w:r>
    </w:p>
    <w:p w:rsidR="007B60CC" w:rsidP="007B60CC" w14:paraId="5C24C4F7" w14:textId="77777777">
      <w:pPr>
        <w:numPr>
          <w:ilvl w:val="0"/>
          <w:numId w:val="1"/>
        </w:numPr>
        <w:spacing w:after="0" w:line="240" w:lineRule="auto"/>
      </w:pPr>
      <w:r>
        <w:t>Reinstatement without Change</w:t>
      </w:r>
    </w:p>
    <w:p w:rsidR="007B60CC" w:rsidP="007B60CC" w14:paraId="09A514A5" w14:textId="77777777">
      <w:pPr>
        <w:numPr>
          <w:ilvl w:val="0"/>
          <w:numId w:val="1"/>
        </w:numPr>
        <w:spacing w:after="0" w:line="240" w:lineRule="auto"/>
      </w:pPr>
      <w:r>
        <w:t>Extension</w:t>
      </w:r>
    </w:p>
    <w:p w:rsidR="007B60CC" w:rsidP="007B60CC" w14:paraId="1D15BA69" w14:textId="77777777">
      <w:pPr>
        <w:numPr>
          <w:ilvl w:val="0"/>
          <w:numId w:val="1"/>
        </w:numPr>
        <w:spacing w:after="0" w:line="240" w:lineRule="auto"/>
      </w:pPr>
      <w:r>
        <w:t>Emergency</w:t>
      </w:r>
    </w:p>
    <w:p w:rsidR="007B60CC" w:rsidP="007B60CC" w14:paraId="659D1806" w14:textId="77777777">
      <w:pPr>
        <w:numPr>
          <w:ilvl w:val="0"/>
          <w:numId w:val="1"/>
        </w:numPr>
        <w:spacing w:after="0" w:line="240" w:lineRule="auto"/>
      </w:pPr>
      <w:r>
        <w:t>Existing</w:t>
      </w:r>
    </w:p>
    <w:p w:rsidR="007B60CC" w:rsidP="007B60CC" w14:paraId="345F6194" w14:textId="77777777"/>
    <w:p w:rsidR="007B60CC" w:rsidP="007B60CC" w14:paraId="13509582" w14:textId="77777777"/>
    <w:p w:rsidR="007B60CC" w:rsidP="007B60CC" w14:paraId="0B361BF1" w14:textId="4A2F4AAC">
      <w:r>
        <w:t>Federal Government Employee Information:</w:t>
      </w:r>
    </w:p>
    <w:p w:rsidR="007B60CC" w:rsidP="007B60CC" w14:paraId="35DAA439" w14:textId="5B4E24FC">
      <w:r>
        <w:t xml:space="preserve">Name: </w:t>
      </w:r>
      <w:r w:rsidR="00D73D3A">
        <w:t>Elizabeth Hoffman</w:t>
      </w:r>
    </w:p>
    <w:p w:rsidR="007B60CC" w:rsidP="007B60CC" w14:paraId="1FDAF6FA" w14:textId="4E347EFB">
      <w:r>
        <w:t>Address: National Institute on Drug Abuse, National Institutes of Health</w:t>
      </w:r>
    </w:p>
    <w:p w:rsidR="001D04A8" w:rsidP="007B60CC" w14:paraId="4EF83D52" w14:textId="529B48B2">
      <w:r>
        <w:t>3WFN Room 09C75 MSC 6021</w:t>
      </w:r>
    </w:p>
    <w:p w:rsidR="0088256E" w:rsidP="007B60CC" w14:paraId="2A40C163" w14:textId="608C4350">
      <w:r>
        <w:t>16071 Industrial Dr. – Dock 11</w:t>
      </w:r>
    </w:p>
    <w:p w:rsidR="0088256E" w:rsidP="007B60CC" w14:paraId="7FFF4C9E" w14:textId="2F371D2B">
      <w:r>
        <w:t>Gaithersburg, MD 20877</w:t>
      </w:r>
    </w:p>
    <w:p w:rsidR="007B60CC" w:rsidP="007B60CC" w14:paraId="2E418740" w14:textId="77FE6E04">
      <w:r>
        <w:t>Telephone: 301-</w:t>
      </w:r>
      <w:r w:rsidR="00D73D3A">
        <w:t>594-2265</w:t>
      </w:r>
    </w:p>
    <w:p w:rsidR="005B5645" w:rsidP="007B60CC" w14:paraId="5A99A426" w14:textId="324F2EF3">
      <w:r>
        <w:t xml:space="preserve">Email: </w:t>
      </w:r>
      <w:hyperlink r:id="rId9" w:history="1">
        <w:r w:rsidRPr="003E3B91" w:rsidR="00D73D3A">
          <w:rPr>
            <w:rStyle w:val="Hyperlink"/>
          </w:rPr>
          <w:t>Elizabeth.hoffman@nih.gov</w:t>
        </w:r>
      </w:hyperlink>
    </w:p>
    <w:p w:rsidR="00D73D3A" w:rsidP="007B60CC" w14:paraId="38B1E9E4" w14:textId="77777777"/>
    <w:p w:rsidR="00E159A3" w14:paraId="47E90DE7" w14:textId="77777777">
      <w:pPr>
        <w:rPr>
          <w:rFonts w:ascii="Calibri" w:eastAsia="Times New Roman" w:hAnsi="Calibri" w:cs="Times New Roman"/>
          <w:b/>
          <w:sz w:val="24"/>
          <w:szCs w:val="24"/>
          <w:u w:val="single"/>
        </w:rPr>
      </w:pPr>
      <w:r>
        <w:rPr>
          <w:rFonts w:ascii="Calibri" w:eastAsia="Times New Roman" w:hAnsi="Calibri" w:cs="Times New Roman"/>
          <w:b/>
          <w:sz w:val="24"/>
          <w:szCs w:val="24"/>
          <w:u w:val="single"/>
        </w:rPr>
        <w:br w:type="page"/>
      </w:r>
    </w:p>
    <w:p w:rsidR="007B60CC" w:rsidRPr="00A16022" w:rsidP="007B60CC" w14:paraId="4211F0DB" w14:textId="553AB2C5">
      <w:pPr>
        <w:tabs>
          <w:tab w:val="left" w:pos="720"/>
          <w:tab w:val="right" w:leader="dot" w:pos="9504"/>
        </w:tabs>
        <w:spacing w:before="120" w:after="120" w:line="480" w:lineRule="auto"/>
        <w:ind w:firstLine="720"/>
        <w:rPr>
          <w:rFonts w:ascii="Calibri" w:eastAsia="Times New Roman" w:hAnsi="Calibri" w:cs="Times New Roman"/>
          <w:b/>
          <w:sz w:val="24"/>
          <w:szCs w:val="24"/>
          <w:u w:val="single"/>
        </w:rPr>
      </w:pPr>
      <w:r w:rsidRPr="00A16022">
        <w:rPr>
          <w:rFonts w:ascii="Calibri" w:eastAsia="Times New Roman" w:hAnsi="Calibri" w:cs="Times New Roman"/>
          <w:b/>
          <w:sz w:val="24"/>
          <w:szCs w:val="24"/>
          <w:u w:val="single"/>
        </w:rPr>
        <w:t>Table of contents</w:t>
      </w:r>
    </w:p>
    <w:p w:rsidR="007B60CC" w:rsidRPr="007B60CC" w:rsidP="007B60CC" w14:paraId="4551EB6F" w14:textId="77777777">
      <w:pPr>
        <w:tabs>
          <w:tab w:val="left" w:pos="720"/>
        </w:tabs>
        <w:spacing w:after="0" w:line="480" w:lineRule="auto"/>
        <w:rPr>
          <w:rFonts w:ascii="Calibri" w:eastAsia="Times New Roman" w:hAnsi="Calibri" w:cs="Times New Roman"/>
        </w:rPr>
      </w:pPr>
      <w:r w:rsidRPr="007B60CC">
        <w:rPr>
          <w:rFonts w:ascii="Calibri" w:eastAsia="Times New Roman" w:hAnsi="Calibri" w:cs="Times New Roman"/>
        </w:rPr>
        <w:fldChar w:fldCharType="begin"/>
      </w:r>
      <w:r w:rsidRPr="007B60CC">
        <w:rPr>
          <w:rFonts w:ascii="Calibri" w:eastAsia="Times New Roman" w:hAnsi="Calibri" w:cs="Times New Roman"/>
        </w:rPr>
        <w:instrText xml:space="preserve"> TOC \o "1-2" \u </w:instrText>
      </w:r>
      <w:r w:rsidRPr="007B60CC">
        <w:rPr>
          <w:rFonts w:ascii="Calibri" w:eastAsia="Times New Roman" w:hAnsi="Calibri" w:cs="Times New Roman"/>
        </w:rPr>
        <w:fldChar w:fldCharType="separate"/>
      </w:r>
      <w:r w:rsidRPr="007B60CC">
        <w:rPr>
          <w:rFonts w:ascii="Calibri" w:eastAsia="Times New Roman" w:hAnsi="Calibri" w:cs="Times New Roman"/>
        </w:rPr>
        <w:t>A.</w:t>
      </w:r>
      <w:r w:rsidRPr="007B60CC">
        <w:rPr>
          <w:rFonts w:ascii="Calibri" w:eastAsia="Times New Roman" w:hAnsi="Calibri" w:cs="Times New Roman"/>
        </w:rPr>
        <w:tab/>
        <w:t>ABSTRACT</w:t>
      </w:r>
      <w:r w:rsidRPr="007B60CC">
        <w:rPr>
          <w:rFonts w:ascii="Calibri" w:eastAsia="Times New Roman" w:hAnsi="Calibri" w:cs="Times New Roman"/>
        </w:rPr>
        <w:tab/>
      </w:r>
    </w:p>
    <w:p w:rsidR="007B60CC" w:rsidRPr="007B60CC" w:rsidP="007B60CC" w14:paraId="72C1CE0C" w14:textId="77777777">
      <w:pPr>
        <w:spacing w:after="0" w:line="480" w:lineRule="auto"/>
        <w:rPr>
          <w:rFonts w:ascii="Calibri" w:eastAsia="Times New Roman" w:hAnsi="Calibri" w:cs="Times New Roman"/>
        </w:rPr>
      </w:pPr>
      <w:r w:rsidRPr="007B60CC">
        <w:rPr>
          <w:rFonts w:ascii="Calibri" w:eastAsia="Times New Roman" w:hAnsi="Calibri" w:cs="Times New Roman"/>
        </w:rPr>
        <w:t>A.1</w:t>
      </w:r>
      <w:r w:rsidRPr="007B60CC">
        <w:rPr>
          <w:rFonts w:ascii="Calibri" w:eastAsia="Times New Roman" w:hAnsi="Calibri" w:cs="Times New Roman"/>
        </w:rPr>
        <w:tab/>
        <w:t>Circumstances Making the Collection of Information Necessary</w:t>
      </w:r>
      <w:r w:rsidRPr="007B60CC">
        <w:rPr>
          <w:rFonts w:ascii="Calibri" w:eastAsia="Times New Roman" w:hAnsi="Calibri" w:cs="Times New Roman"/>
        </w:rPr>
        <w:tab/>
      </w:r>
    </w:p>
    <w:p w:rsidR="007B60CC" w:rsidRPr="007B60CC" w:rsidP="007B60CC" w14:paraId="100AA291" w14:textId="77777777">
      <w:pPr>
        <w:spacing w:after="0" w:line="480" w:lineRule="auto"/>
        <w:rPr>
          <w:rFonts w:ascii="Calibri" w:eastAsia="Times New Roman" w:hAnsi="Calibri" w:cs="Times New Roman"/>
        </w:rPr>
      </w:pPr>
      <w:r w:rsidRPr="007B60CC">
        <w:rPr>
          <w:rFonts w:ascii="Calibri" w:eastAsia="Times New Roman" w:hAnsi="Calibri" w:cs="Times New Roman"/>
        </w:rPr>
        <w:t>A.2.</w:t>
      </w:r>
      <w:r w:rsidRPr="007B60CC">
        <w:rPr>
          <w:rFonts w:ascii="Calibri" w:eastAsia="Times New Roman" w:hAnsi="Calibri" w:cs="Times New Roman"/>
        </w:rPr>
        <w:tab/>
        <w:t>Purpose and Use of the Information COLLECTION</w:t>
      </w:r>
      <w:r w:rsidRPr="007B60CC">
        <w:rPr>
          <w:rFonts w:ascii="Calibri" w:eastAsia="Times New Roman" w:hAnsi="Calibri" w:cs="Times New Roman"/>
        </w:rPr>
        <w:tab/>
      </w:r>
    </w:p>
    <w:p w:rsidR="007B60CC" w:rsidRPr="007B60CC" w:rsidP="007B60CC" w14:paraId="030B4010" w14:textId="77777777">
      <w:pPr>
        <w:spacing w:after="0" w:line="480" w:lineRule="auto"/>
        <w:rPr>
          <w:rFonts w:ascii="Calibri" w:eastAsia="Times New Roman" w:hAnsi="Calibri" w:cs="Times New Roman"/>
        </w:rPr>
      </w:pPr>
      <w:r w:rsidRPr="007B60CC">
        <w:rPr>
          <w:rFonts w:ascii="Calibri" w:eastAsia="Times New Roman" w:hAnsi="Calibri" w:cs="Times New Roman"/>
        </w:rPr>
        <w:t>A.3</w:t>
      </w:r>
      <w:r w:rsidRPr="007B60CC">
        <w:rPr>
          <w:rFonts w:ascii="Calibri" w:eastAsia="Times New Roman" w:hAnsi="Calibri" w:cs="Times New Roman"/>
        </w:rPr>
        <w:tab/>
        <w:t>Use of Information Technology and Burden Reduction</w:t>
      </w:r>
      <w:r w:rsidRPr="007B60CC">
        <w:rPr>
          <w:rFonts w:ascii="Calibri" w:eastAsia="Times New Roman" w:hAnsi="Calibri" w:cs="Times New Roman"/>
        </w:rPr>
        <w:tab/>
      </w:r>
    </w:p>
    <w:p w:rsidR="007B60CC" w:rsidRPr="007B60CC" w:rsidP="007B60CC" w14:paraId="61A55FCE" w14:textId="77777777">
      <w:pPr>
        <w:spacing w:after="0" w:line="480" w:lineRule="auto"/>
        <w:rPr>
          <w:rFonts w:ascii="Calibri" w:eastAsia="Times New Roman" w:hAnsi="Calibri" w:cs="Times New Roman"/>
        </w:rPr>
      </w:pPr>
      <w:r w:rsidRPr="007B60CC">
        <w:rPr>
          <w:rFonts w:ascii="Calibri" w:eastAsia="Times New Roman" w:hAnsi="Calibri" w:cs="Times New Roman"/>
        </w:rPr>
        <w:t>A.4</w:t>
      </w:r>
      <w:r w:rsidRPr="007B60CC">
        <w:rPr>
          <w:rFonts w:ascii="Calibri" w:eastAsia="Times New Roman" w:hAnsi="Calibri" w:cs="Times New Roman"/>
        </w:rPr>
        <w:tab/>
        <w:t>Efforts to Identify Duplication and Use of Similar Information</w:t>
      </w:r>
      <w:r w:rsidRPr="007B60CC">
        <w:rPr>
          <w:rFonts w:ascii="Calibri" w:eastAsia="Times New Roman" w:hAnsi="Calibri" w:cs="Times New Roman"/>
        </w:rPr>
        <w:tab/>
      </w:r>
    </w:p>
    <w:p w:rsidR="007B60CC" w:rsidRPr="007B60CC" w:rsidP="007B60CC" w14:paraId="2059524F" w14:textId="77777777">
      <w:pPr>
        <w:spacing w:after="0" w:line="480" w:lineRule="auto"/>
        <w:rPr>
          <w:rFonts w:ascii="Calibri" w:eastAsia="Times New Roman" w:hAnsi="Calibri" w:cs="Times New Roman"/>
        </w:rPr>
      </w:pPr>
      <w:r w:rsidRPr="007B60CC">
        <w:rPr>
          <w:rFonts w:ascii="Calibri" w:eastAsia="Times New Roman" w:hAnsi="Calibri" w:cs="Times New Roman"/>
        </w:rPr>
        <w:t>A.5</w:t>
      </w:r>
      <w:r w:rsidRPr="007B60CC">
        <w:rPr>
          <w:rFonts w:ascii="Calibri" w:eastAsia="Times New Roman" w:hAnsi="Calibri" w:cs="Times New Roman"/>
        </w:rPr>
        <w:tab/>
        <w:t>Impact on Small Businesses or Other Small Entities</w:t>
      </w:r>
      <w:r w:rsidRPr="007B60CC">
        <w:rPr>
          <w:rFonts w:ascii="Calibri" w:eastAsia="Times New Roman" w:hAnsi="Calibri" w:cs="Times New Roman"/>
        </w:rPr>
        <w:tab/>
      </w:r>
    </w:p>
    <w:p w:rsidR="007B60CC" w:rsidRPr="007B60CC" w:rsidP="007B60CC" w14:paraId="1DB75D78" w14:textId="77777777">
      <w:pPr>
        <w:spacing w:after="0" w:line="480" w:lineRule="auto"/>
        <w:rPr>
          <w:rFonts w:ascii="Calibri" w:eastAsia="Times New Roman" w:hAnsi="Calibri" w:cs="Times New Roman"/>
        </w:rPr>
      </w:pPr>
      <w:r w:rsidRPr="007B60CC">
        <w:rPr>
          <w:rFonts w:ascii="Calibri" w:eastAsia="Times New Roman" w:hAnsi="Calibri" w:cs="Times New Roman"/>
        </w:rPr>
        <w:t>A.6</w:t>
      </w:r>
      <w:r w:rsidRPr="007B60CC">
        <w:rPr>
          <w:rFonts w:ascii="Calibri" w:eastAsia="Times New Roman" w:hAnsi="Calibri" w:cs="Times New Roman"/>
        </w:rPr>
        <w:tab/>
        <w:t>Consequences of Collecting the Information Less Frequently</w:t>
      </w:r>
      <w:r w:rsidRPr="007B60CC">
        <w:rPr>
          <w:rFonts w:ascii="Calibri" w:eastAsia="Times New Roman" w:hAnsi="Calibri" w:cs="Times New Roman"/>
        </w:rPr>
        <w:tab/>
      </w:r>
    </w:p>
    <w:p w:rsidR="007B60CC" w:rsidRPr="007B60CC" w:rsidP="007B60CC" w14:paraId="1E8983FC" w14:textId="77777777">
      <w:pPr>
        <w:spacing w:after="0" w:line="480" w:lineRule="auto"/>
        <w:rPr>
          <w:rFonts w:ascii="Calibri" w:eastAsia="Times New Roman" w:hAnsi="Calibri" w:cs="Times New Roman"/>
        </w:rPr>
      </w:pPr>
      <w:r w:rsidRPr="007B60CC">
        <w:rPr>
          <w:rFonts w:ascii="Calibri" w:eastAsia="Times New Roman" w:hAnsi="Calibri" w:cs="Times New Roman"/>
        </w:rPr>
        <w:t>A.7</w:t>
      </w:r>
      <w:r w:rsidRPr="007B60CC">
        <w:rPr>
          <w:rFonts w:ascii="Calibri" w:eastAsia="Times New Roman" w:hAnsi="Calibri" w:cs="Times New Roman"/>
        </w:rPr>
        <w:tab/>
        <w:t>Special Circumstances Relating to the Guidelines of 5 CFR 1320.5</w:t>
      </w:r>
      <w:r w:rsidRPr="007B60CC">
        <w:rPr>
          <w:rFonts w:ascii="Calibri" w:eastAsia="Times New Roman" w:hAnsi="Calibri" w:cs="Times New Roman"/>
        </w:rPr>
        <w:tab/>
      </w:r>
    </w:p>
    <w:p w:rsidR="007B60CC" w:rsidRPr="007B60CC" w:rsidP="007B60CC" w14:paraId="1C9927A7" w14:textId="77777777">
      <w:pPr>
        <w:spacing w:after="0" w:line="480" w:lineRule="auto"/>
        <w:rPr>
          <w:rFonts w:ascii="Calibri" w:eastAsia="Times New Roman" w:hAnsi="Calibri" w:cs="Times New Roman"/>
        </w:rPr>
      </w:pPr>
      <w:r w:rsidRPr="007B60CC">
        <w:rPr>
          <w:rFonts w:ascii="Calibri" w:eastAsia="Times New Roman" w:hAnsi="Calibri" w:cs="Times New Roman"/>
        </w:rPr>
        <w:t>A.8</w:t>
      </w:r>
      <w:r w:rsidRPr="007B60CC">
        <w:rPr>
          <w:rFonts w:ascii="Calibri" w:eastAsia="Times New Roman" w:hAnsi="Calibri" w:cs="Times New Roman"/>
        </w:rPr>
        <w:tab/>
        <w:t>Comments in Response to the Federal Register Notice and Efforts to Consult Outside Agency</w:t>
      </w:r>
      <w:r w:rsidRPr="007B60CC">
        <w:rPr>
          <w:rFonts w:ascii="Calibri" w:eastAsia="Times New Roman" w:hAnsi="Calibri" w:cs="Times New Roman"/>
        </w:rPr>
        <w:tab/>
      </w:r>
    </w:p>
    <w:p w:rsidR="007B60CC" w:rsidRPr="007B60CC" w:rsidP="007B60CC" w14:paraId="3A92E19F" w14:textId="77777777">
      <w:pPr>
        <w:spacing w:after="0" w:line="480" w:lineRule="auto"/>
        <w:rPr>
          <w:rFonts w:ascii="Calibri" w:eastAsia="Times New Roman" w:hAnsi="Calibri" w:cs="Times New Roman"/>
        </w:rPr>
      </w:pPr>
      <w:r w:rsidRPr="007B60CC">
        <w:rPr>
          <w:rFonts w:ascii="Calibri" w:eastAsia="Times New Roman" w:hAnsi="Calibri" w:cs="Times New Roman"/>
        </w:rPr>
        <w:t>A.9</w:t>
      </w:r>
      <w:r w:rsidRPr="007B60CC">
        <w:rPr>
          <w:rFonts w:ascii="Calibri" w:eastAsia="Times New Roman" w:hAnsi="Calibri" w:cs="Times New Roman"/>
        </w:rPr>
        <w:tab/>
        <w:t>Explanation of Any Payment of Gift to Respondents</w:t>
      </w:r>
      <w:r w:rsidRPr="007B60CC">
        <w:rPr>
          <w:rFonts w:ascii="Calibri" w:eastAsia="Times New Roman" w:hAnsi="Calibri" w:cs="Times New Roman"/>
        </w:rPr>
        <w:tab/>
      </w:r>
    </w:p>
    <w:p w:rsidR="007B60CC" w:rsidRPr="007B60CC" w:rsidP="007B60CC" w14:paraId="2FE67431" w14:textId="77777777">
      <w:pPr>
        <w:spacing w:after="0" w:line="480" w:lineRule="auto"/>
        <w:rPr>
          <w:rFonts w:ascii="Calibri" w:eastAsia="Times New Roman" w:hAnsi="Calibri" w:cs="Times New Roman"/>
        </w:rPr>
      </w:pPr>
      <w:r w:rsidRPr="007B60CC">
        <w:rPr>
          <w:rFonts w:ascii="Calibri" w:eastAsia="Times New Roman" w:hAnsi="Calibri" w:cs="Times New Roman"/>
        </w:rPr>
        <w:t>A.10</w:t>
      </w:r>
      <w:r w:rsidRPr="007B60CC">
        <w:rPr>
          <w:rFonts w:ascii="Calibri" w:eastAsia="Times New Roman" w:hAnsi="Calibri" w:cs="Times New Roman"/>
        </w:rPr>
        <w:tab/>
        <w:t>Assurance of Confidentiality Provided to Respondents</w:t>
      </w:r>
      <w:r w:rsidRPr="007B60CC">
        <w:rPr>
          <w:rFonts w:ascii="Calibri" w:eastAsia="Times New Roman" w:hAnsi="Calibri" w:cs="Times New Roman"/>
        </w:rPr>
        <w:tab/>
      </w:r>
    </w:p>
    <w:p w:rsidR="007B60CC" w:rsidRPr="007B60CC" w:rsidP="007B60CC" w14:paraId="37045710" w14:textId="77777777">
      <w:pPr>
        <w:spacing w:after="0" w:line="480" w:lineRule="auto"/>
        <w:rPr>
          <w:rFonts w:ascii="Calibri" w:eastAsia="Times New Roman" w:hAnsi="Calibri" w:cs="Times New Roman"/>
        </w:rPr>
      </w:pPr>
      <w:r w:rsidRPr="007B60CC">
        <w:rPr>
          <w:rFonts w:ascii="Calibri" w:eastAsia="Times New Roman" w:hAnsi="Calibri" w:cs="Times New Roman"/>
        </w:rPr>
        <w:t>A.11</w:t>
      </w:r>
      <w:r w:rsidRPr="007B60CC">
        <w:rPr>
          <w:rFonts w:ascii="Calibri" w:eastAsia="Times New Roman" w:hAnsi="Calibri" w:cs="Times New Roman"/>
        </w:rPr>
        <w:tab/>
        <w:t>Justification for Sensitive Questions</w:t>
      </w:r>
      <w:r w:rsidRPr="007B60CC">
        <w:rPr>
          <w:rFonts w:ascii="Calibri" w:eastAsia="Times New Roman" w:hAnsi="Calibri" w:cs="Times New Roman"/>
        </w:rPr>
        <w:tab/>
      </w:r>
    </w:p>
    <w:p w:rsidR="007B60CC" w:rsidRPr="007B60CC" w:rsidP="007B60CC" w14:paraId="3C8CE3CB" w14:textId="77777777">
      <w:pPr>
        <w:spacing w:after="0" w:line="480" w:lineRule="auto"/>
        <w:rPr>
          <w:rFonts w:ascii="Calibri" w:eastAsia="Times New Roman" w:hAnsi="Calibri" w:cs="Times New Roman"/>
        </w:rPr>
      </w:pPr>
      <w:r w:rsidRPr="007B60CC">
        <w:rPr>
          <w:rFonts w:ascii="Calibri" w:eastAsia="Times New Roman" w:hAnsi="Calibri" w:cs="Times New Roman"/>
        </w:rPr>
        <w:t>A.12</w:t>
      </w:r>
      <w:r w:rsidRPr="007B60CC">
        <w:rPr>
          <w:rFonts w:ascii="Calibri" w:eastAsia="Times New Roman" w:hAnsi="Calibri" w:cs="Times New Roman"/>
        </w:rPr>
        <w:tab/>
        <w:t>Estimates of Hour Burden Including Annualized Hourly Costs</w:t>
      </w:r>
      <w:r w:rsidRPr="007B60CC">
        <w:rPr>
          <w:rFonts w:ascii="Calibri" w:eastAsia="Times New Roman" w:hAnsi="Calibri" w:cs="Times New Roman"/>
        </w:rPr>
        <w:tab/>
      </w:r>
    </w:p>
    <w:p w:rsidR="007B60CC" w:rsidRPr="007B60CC" w:rsidP="007B60CC" w14:paraId="040BBA91" w14:textId="4D484FC9">
      <w:pPr>
        <w:spacing w:after="0" w:line="480" w:lineRule="auto"/>
        <w:rPr>
          <w:rFonts w:ascii="Calibri" w:eastAsia="Times New Roman" w:hAnsi="Calibri" w:cs="Times New Roman"/>
        </w:rPr>
      </w:pPr>
      <w:r w:rsidRPr="007B60CC">
        <w:rPr>
          <w:rFonts w:ascii="Calibri" w:eastAsia="Times New Roman" w:hAnsi="Calibri" w:cs="Times New Roman"/>
        </w:rPr>
        <w:t>A.13</w:t>
      </w:r>
      <w:r w:rsidRPr="007B60CC">
        <w:rPr>
          <w:rFonts w:ascii="Calibri" w:eastAsia="Times New Roman" w:hAnsi="Calibri" w:cs="Times New Roman"/>
        </w:rPr>
        <w:tab/>
        <w:t>Estimate of Other Total Annual Cost Burden to Respondents</w:t>
      </w:r>
      <w:r w:rsidR="002E50BF">
        <w:rPr>
          <w:rFonts w:ascii="Calibri" w:eastAsia="Times New Roman" w:hAnsi="Calibri" w:cs="Times New Roman"/>
        </w:rPr>
        <w:t xml:space="preserve"> or Record Keepers</w:t>
      </w:r>
      <w:r w:rsidRPr="007B60CC">
        <w:rPr>
          <w:rFonts w:ascii="Calibri" w:eastAsia="Times New Roman" w:hAnsi="Calibri" w:cs="Times New Roman"/>
        </w:rPr>
        <w:tab/>
      </w:r>
    </w:p>
    <w:p w:rsidR="007B60CC" w:rsidRPr="007B60CC" w:rsidP="007B60CC" w14:paraId="5100FBA8" w14:textId="77777777">
      <w:pPr>
        <w:spacing w:after="0" w:line="480" w:lineRule="auto"/>
        <w:rPr>
          <w:rFonts w:ascii="Calibri" w:eastAsia="Times New Roman" w:hAnsi="Calibri" w:cs="Times New Roman"/>
        </w:rPr>
      </w:pPr>
      <w:r w:rsidRPr="007B60CC">
        <w:rPr>
          <w:rFonts w:ascii="Calibri" w:eastAsia="Times New Roman" w:hAnsi="Calibri" w:cs="Times New Roman"/>
        </w:rPr>
        <w:t>A.14</w:t>
      </w:r>
      <w:r w:rsidRPr="007B60CC">
        <w:rPr>
          <w:rFonts w:ascii="Calibri" w:eastAsia="Times New Roman" w:hAnsi="Calibri" w:cs="Times New Roman"/>
        </w:rPr>
        <w:tab/>
        <w:t>Annualized Cost to the Federal Government</w:t>
      </w:r>
      <w:r w:rsidRPr="007B60CC">
        <w:rPr>
          <w:rFonts w:ascii="Calibri" w:eastAsia="Times New Roman" w:hAnsi="Calibri" w:cs="Times New Roman"/>
        </w:rPr>
        <w:tab/>
      </w:r>
    </w:p>
    <w:p w:rsidR="007B60CC" w:rsidRPr="007B60CC" w:rsidP="007B60CC" w14:paraId="2DC3319A" w14:textId="77777777">
      <w:pPr>
        <w:spacing w:after="0" w:line="480" w:lineRule="auto"/>
        <w:rPr>
          <w:rFonts w:ascii="Calibri" w:eastAsia="Times New Roman" w:hAnsi="Calibri" w:cs="Times New Roman"/>
        </w:rPr>
      </w:pPr>
      <w:r w:rsidRPr="007B60CC">
        <w:rPr>
          <w:rFonts w:ascii="Calibri" w:eastAsia="Times New Roman" w:hAnsi="Calibri" w:cs="Times New Roman"/>
        </w:rPr>
        <w:t>A.15</w:t>
      </w:r>
      <w:r w:rsidRPr="007B60CC">
        <w:rPr>
          <w:rFonts w:ascii="Calibri" w:eastAsia="Times New Roman" w:hAnsi="Calibri" w:cs="Times New Roman"/>
        </w:rPr>
        <w:tab/>
        <w:t>Explanation for Program Changes or Adjustments</w:t>
      </w:r>
      <w:r w:rsidRPr="007B60CC">
        <w:rPr>
          <w:rFonts w:ascii="Calibri" w:eastAsia="Times New Roman" w:hAnsi="Calibri" w:cs="Times New Roman"/>
        </w:rPr>
        <w:tab/>
      </w:r>
    </w:p>
    <w:p w:rsidR="007B60CC" w:rsidRPr="007B60CC" w:rsidP="007B60CC" w14:paraId="3452A50E" w14:textId="77777777">
      <w:pPr>
        <w:spacing w:after="0" w:line="480" w:lineRule="auto"/>
        <w:rPr>
          <w:rFonts w:ascii="Calibri" w:eastAsia="Times New Roman" w:hAnsi="Calibri" w:cs="Times New Roman"/>
        </w:rPr>
      </w:pPr>
      <w:r w:rsidRPr="007B60CC">
        <w:rPr>
          <w:rFonts w:ascii="Calibri" w:eastAsia="Times New Roman" w:hAnsi="Calibri" w:cs="Times New Roman"/>
        </w:rPr>
        <w:t>A.16</w:t>
      </w:r>
      <w:r w:rsidRPr="007B60CC">
        <w:rPr>
          <w:rFonts w:ascii="Calibri" w:eastAsia="Times New Roman" w:hAnsi="Calibri" w:cs="Times New Roman"/>
        </w:rPr>
        <w:tab/>
        <w:t>Plans for Tabulation and Publication and Project Time Schedule</w:t>
      </w:r>
      <w:r w:rsidRPr="007B60CC">
        <w:rPr>
          <w:rFonts w:ascii="Calibri" w:eastAsia="Times New Roman" w:hAnsi="Calibri" w:cs="Times New Roman"/>
        </w:rPr>
        <w:tab/>
      </w:r>
    </w:p>
    <w:p w:rsidR="007B60CC" w:rsidRPr="007B60CC" w:rsidP="007B60CC" w14:paraId="6192E832" w14:textId="77777777">
      <w:pPr>
        <w:spacing w:after="0" w:line="480" w:lineRule="auto"/>
        <w:rPr>
          <w:rFonts w:ascii="Calibri" w:eastAsia="Times New Roman" w:hAnsi="Calibri" w:cs="Times New Roman"/>
        </w:rPr>
      </w:pPr>
      <w:r w:rsidRPr="007B60CC">
        <w:rPr>
          <w:rFonts w:ascii="Calibri" w:eastAsia="Times New Roman" w:hAnsi="Calibri" w:cs="Times New Roman"/>
        </w:rPr>
        <w:t>A.17</w:t>
      </w:r>
      <w:r w:rsidRPr="007B60CC">
        <w:rPr>
          <w:rFonts w:ascii="Calibri" w:eastAsia="Times New Roman" w:hAnsi="Calibri" w:cs="Times New Roman"/>
        </w:rPr>
        <w:tab/>
        <w:t>Reason(s) Display of OMB Expiration Date is Inappropriate</w:t>
      </w:r>
      <w:r w:rsidRPr="007B60CC">
        <w:rPr>
          <w:rFonts w:ascii="Calibri" w:eastAsia="Times New Roman" w:hAnsi="Calibri" w:cs="Times New Roman"/>
        </w:rPr>
        <w:tab/>
      </w:r>
    </w:p>
    <w:p w:rsidR="00073429" w:rsidP="007B60CC" w14:paraId="41FD0209" w14:textId="77777777">
      <w:pPr>
        <w:spacing w:after="0" w:line="480" w:lineRule="auto"/>
        <w:rPr>
          <w:rFonts w:ascii="Calibri" w:eastAsia="Times New Roman" w:hAnsi="Calibri" w:cs="Times New Roman"/>
        </w:rPr>
      </w:pPr>
      <w:r w:rsidRPr="007B60CC">
        <w:rPr>
          <w:rFonts w:ascii="Calibri" w:eastAsia="Times New Roman" w:hAnsi="Calibri" w:cs="Times New Roman"/>
        </w:rPr>
        <w:t>A.18</w:t>
      </w:r>
      <w:r w:rsidRPr="007B60CC">
        <w:rPr>
          <w:rFonts w:ascii="Calibri" w:eastAsia="Times New Roman" w:hAnsi="Calibri" w:cs="Times New Roman"/>
        </w:rPr>
        <w:tab/>
        <w:t>Exceptions to Certification for Paperwork Reduction Act Submissions</w:t>
      </w:r>
    </w:p>
    <w:p w:rsidR="00073429" w14:paraId="23ACB42E" w14:textId="77777777">
      <w:pPr>
        <w:rPr>
          <w:rFonts w:ascii="Calibri" w:eastAsia="Times New Roman" w:hAnsi="Calibri" w:cs="Times New Roman"/>
        </w:rPr>
      </w:pPr>
      <w:r>
        <w:rPr>
          <w:rFonts w:ascii="Calibri" w:eastAsia="Times New Roman" w:hAnsi="Calibri" w:cs="Times New Roman"/>
        </w:rPr>
        <w:br w:type="page"/>
      </w:r>
    </w:p>
    <w:p w:rsidR="00715274" w:rsidP="00715274" w14:paraId="3DF73023" w14:textId="20E50A9E">
      <w:pPr>
        <w:spacing w:after="0" w:line="480" w:lineRule="auto"/>
        <w:rPr>
          <w:b/>
          <w:bCs/>
        </w:rPr>
      </w:pPr>
      <w:r w:rsidRPr="007B60CC">
        <w:rPr>
          <w:rFonts w:eastAsia="Times New Roman"/>
        </w:rPr>
        <w:fldChar w:fldCharType="end"/>
      </w:r>
      <w:r>
        <w:rPr>
          <w:b/>
          <w:bCs/>
        </w:rPr>
        <w:t>Attachments</w:t>
      </w:r>
    </w:p>
    <w:p w:rsidR="002C4B04" w:rsidP="00715274" w14:paraId="0DD519CE" w14:textId="72A524A4">
      <w:pPr>
        <w:spacing w:after="0" w:line="480" w:lineRule="auto"/>
        <w:rPr>
          <w:b/>
          <w:bCs/>
        </w:rPr>
      </w:pPr>
      <w:bookmarkStart w:id="1" w:name="_Hlk144479923"/>
      <w:r>
        <w:rPr>
          <w:b/>
          <w:bCs/>
        </w:rPr>
        <w:t>Attachment 1</w:t>
      </w:r>
      <w:r w:rsidR="00556EF0">
        <w:rPr>
          <w:b/>
          <w:bCs/>
        </w:rPr>
        <w:t xml:space="preserve"> </w:t>
      </w:r>
      <w:r w:rsidR="00E05E09">
        <w:rPr>
          <w:b/>
          <w:bCs/>
        </w:rPr>
        <w:t>–</w:t>
      </w:r>
      <w:r w:rsidR="00556EF0">
        <w:rPr>
          <w:b/>
          <w:bCs/>
        </w:rPr>
        <w:t xml:space="preserve"> </w:t>
      </w:r>
      <w:r w:rsidR="00E05E09">
        <w:rPr>
          <w:rStyle w:val="normaltextrun"/>
          <w:rFonts w:ascii="Calibri" w:hAnsi="Calibri" w:cs="Calibri"/>
          <w:b/>
          <w:bCs/>
          <w:color w:val="000000"/>
          <w:shd w:val="clear" w:color="auto" w:fill="FFFFFF"/>
        </w:rPr>
        <w:t>General Data Use Statement and Progress Report</w:t>
      </w:r>
    </w:p>
    <w:p w:rsidR="00556EF0" w:rsidP="00BA3248" w14:paraId="183BF54D" w14:textId="066441AB">
      <w:pPr>
        <w:spacing w:after="0" w:line="240" w:lineRule="auto"/>
      </w:pPr>
      <w:r>
        <w:rPr>
          <w:b/>
          <w:bCs/>
        </w:rPr>
        <w:t xml:space="preserve">Attachment 2 </w:t>
      </w:r>
      <w:r w:rsidR="00E05E09">
        <w:rPr>
          <w:b/>
          <w:bCs/>
        </w:rPr>
        <w:t>–</w:t>
      </w:r>
      <w:r>
        <w:rPr>
          <w:b/>
          <w:bCs/>
        </w:rPr>
        <w:t xml:space="preserve"> </w:t>
      </w:r>
      <w:r w:rsidR="00E05E09">
        <w:rPr>
          <w:b/>
          <w:bCs/>
        </w:rPr>
        <w:t>American Indian Alaska Native Data Use Statement and Progress Report</w:t>
      </w:r>
    </w:p>
    <w:p w:rsidR="00BA3248" w:rsidP="007F239C" w14:paraId="4A453E94" w14:textId="77777777">
      <w:pPr>
        <w:spacing w:after="0" w:line="240" w:lineRule="auto"/>
        <w:rPr>
          <w:b/>
          <w:bCs/>
        </w:rPr>
      </w:pPr>
    </w:p>
    <w:p w:rsidR="00B60DFC" w:rsidRPr="00715274" w:rsidP="00715274" w14:paraId="3A2CAE3B" w14:textId="5A1D5743">
      <w:pPr>
        <w:spacing w:after="0" w:line="480" w:lineRule="auto"/>
        <w:rPr>
          <w:b/>
          <w:bCs/>
        </w:rPr>
      </w:pPr>
      <w:r>
        <w:rPr>
          <w:b/>
          <w:bCs/>
        </w:rPr>
        <w:t xml:space="preserve">Attachment 3 – </w:t>
      </w:r>
      <w:bookmarkEnd w:id="1"/>
      <w:r>
        <w:rPr>
          <w:b/>
          <w:bCs/>
        </w:rPr>
        <w:t>Privacy Act Memo - signed</w:t>
      </w:r>
    </w:p>
    <w:p w:rsidR="00715274" w:rsidP="007753DA" w14:paraId="14AA0E31" w14:textId="5AEF3D4C">
      <w:pPr>
        <w:pStyle w:val="ListParagraph"/>
        <w:ind w:left="405"/>
        <w:rPr>
          <w:b/>
          <w:bCs/>
        </w:rPr>
      </w:pPr>
    </w:p>
    <w:p w:rsidR="00715274" w:rsidRPr="007753DA" w:rsidP="007753DA" w14:paraId="270F8219" w14:textId="77777777">
      <w:pPr>
        <w:pStyle w:val="ListParagraph"/>
        <w:ind w:left="405"/>
        <w:rPr>
          <w:b/>
          <w:bCs/>
        </w:rPr>
      </w:pPr>
    </w:p>
    <w:p w:rsidR="007B60CC" w:rsidRPr="00715274" w:rsidP="007B60CC" w14:paraId="112495BF" w14:textId="58960388">
      <w:pPr>
        <w:pStyle w:val="ListParagraph"/>
        <w:numPr>
          <w:ilvl w:val="0"/>
          <w:numId w:val="2"/>
        </w:numPr>
        <w:rPr>
          <w:b/>
          <w:bCs/>
        </w:rPr>
      </w:pPr>
      <w:r w:rsidRPr="007B60CC">
        <w:rPr>
          <w:rFonts w:eastAsia="Times New Roman"/>
          <w:b/>
          <w:bCs/>
        </w:rPr>
        <w:t>Justification</w:t>
      </w:r>
    </w:p>
    <w:p w:rsidR="00715274" w:rsidRPr="00E05E09" w:rsidP="00E05E09" w14:paraId="0E125313" w14:textId="77777777">
      <w:pPr>
        <w:rPr>
          <w:b/>
          <w:bCs/>
        </w:rPr>
      </w:pPr>
    </w:p>
    <w:p w:rsidR="007B60CC" w:rsidP="007B60CC" w14:paraId="42483329" w14:textId="2663B50B">
      <w:r>
        <w:t xml:space="preserve">Abstract: </w:t>
      </w:r>
    </w:p>
    <w:p w:rsidR="002D3B53" w:rsidRPr="003708B8" w:rsidP="16CE23A1" w14:paraId="719592A6" w14:textId="1F0C483F">
      <w:pPr>
        <w:pStyle w:val="paragraph"/>
        <w:spacing w:before="0" w:beforeAutospacing="0" w:after="0" w:afterAutospacing="0"/>
        <w:textAlignment w:val="baseline"/>
        <w:rPr>
          <w:rStyle w:val="normaltextrun"/>
          <w:rFonts w:ascii="Calibri" w:hAnsi="Calibri" w:cs="Calibri"/>
          <w:sz w:val="22"/>
          <w:szCs w:val="22"/>
        </w:rPr>
      </w:pPr>
      <w:r w:rsidRPr="003708B8">
        <w:rPr>
          <w:rFonts w:ascii="Calibri" w:hAnsi="Calibri" w:cs="Calibri"/>
          <w:sz w:val="22"/>
          <w:szCs w:val="22"/>
          <w:highlight w:val="yellow"/>
        </w:rPr>
        <w:t>This document reflects a revision to a package (0925-0780) which was originally submitted for approval in September 2023.</w:t>
      </w:r>
      <w:r w:rsidRPr="003708B8">
        <w:rPr>
          <w:rFonts w:ascii="Calibri" w:hAnsi="Calibri" w:cs="Calibri"/>
          <w:sz w:val="22"/>
          <w:szCs w:val="22"/>
        </w:rPr>
        <w:t xml:space="preserve"> </w:t>
      </w:r>
      <w:r w:rsidRPr="003708B8" w:rsidR="0BB48811">
        <w:rPr>
          <w:rStyle w:val="normaltextrun"/>
          <w:rFonts w:ascii="Calibri" w:hAnsi="Calibri" w:cs="Calibri"/>
          <w:sz w:val="22"/>
          <w:szCs w:val="22"/>
        </w:rPr>
        <w:t xml:space="preserve">These </w:t>
      </w:r>
      <w:r w:rsidRPr="003708B8">
        <w:rPr>
          <w:rStyle w:val="normaltextrun"/>
          <w:rFonts w:ascii="Calibri" w:hAnsi="Calibri" w:cs="Calibri"/>
          <w:sz w:val="22"/>
          <w:szCs w:val="22"/>
        </w:rPr>
        <w:t>Data Use Certification (DUC) Agreement</w:t>
      </w:r>
      <w:r w:rsidRPr="003708B8" w:rsidR="344B6223">
        <w:rPr>
          <w:rStyle w:val="normaltextrun"/>
          <w:rFonts w:ascii="Calibri" w:hAnsi="Calibri" w:cs="Calibri"/>
          <w:sz w:val="22"/>
          <w:szCs w:val="22"/>
        </w:rPr>
        <w:t>s</w:t>
      </w:r>
      <w:r w:rsidRPr="003708B8">
        <w:rPr>
          <w:rStyle w:val="normaltextrun"/>
          <w:rFonts w:ascii="Calibri" w:hAnsi="Calibri" w:cs="Calibri"/>
          <w:sz w:val="22"/>
          <w:szCs w:val="22"/>
        </w:rPr>
        <w:t xml:space="preserve"> outline the terms of use for requesting access to data from the Adolescent Brain Cognitive </w:t>
      </w:r>
      <w:r w:rsidRPr="003708B8">
        <w:rPr>
          <w:rStyle w:val="spellingerror"/>
          <w:rFonts w:ascii="Calibri" w:hAnsi="Calibri" w:cs="Calibri"/>
          <w:sz w:val="22"/>
          <w:szCs w:val="22"/>
        </w:rPr>
        <w:t>Development</w:t>
      </w:r>
      <w:r w:rsidRPr="003708B8">
        <w:rPr>
          <w:rStyle w:val="spellingerror"/>
          <w:rFonts w:ascii="Calibri" w:hAnsi="Calibri" w:cs="Calibri"/>
          <w:color w:val="2B579A"/>
          <w:sz w:val="22"/>
          <w:szCs w:val="22"/>
          <w:vertAlign w:val="superscript"/>
        </w:rPr>
        <w:t>SM</w:t>
      </w:r>
      <w:r w:rsidRPr="003708B8">
        <w:rPr>
          <w:rStyle w:val="normaltextrun"/>
          <w:rFonts w:ascii="Calibri" w:hAnsi="Calibri" w:cs="Calibri"/>
          <w:sz w:val="22"/>
          <w:szCs w:val="22"/>
        </w:rPr>
        <w:t xml:space="preserve"> (ABCD) Study</w:t>
      </w:r>
      <w:r w:rsidRPr="003708B8" w:rsidR="00FD3AFB">
        <w:rPr>
          <w:rStyle w:val="normaltextrun"/>
          <w:rFonts w:ascii="Calibri" w:hAnsi="Calibri" w:cs="Calibri"/>
          <w:sz w:val="22"/>
          <w:szCs w:val="22"/>
        </w:rPr>
        <w:t xml:space="preserve"> </w:t>
      </w:r>
      <w:r w:rsidRPr="003708B8" w:rsidR="00FD3AFB">
        <w:rPr>
          <w:rStyle w:val="normaltextrun"/>
          <w:rFonts w:ascii="Calibri" w:hAnsi="Calibri" w:cs="Calibri"/>
          <w:sz w:val="22"/>
          <w:szCs w:val="22"/>
          <w:highlight w:val="yellow"/>
        </w:rPr>
        <w:t>and the Health</w:t>
      </w:r>
      <w:r w:rsidR="00BF19DE">
        <w:rPr>
          <w:rStyle w:val="normaltextrun"/>
          <w:rFonts w:ascii="Calibri" w:hAnsi="Calibri" w:cs="Calibri"/>
          <w:sz w:val="22"/>
          <w:szCs w:val="22"/>
          <w:highlight w:val="yellow"/>
        </w:rPr>
        <w:t>y</w:t>
      </w:r>
      <w:r w:rsidRPr="003708B8" w:rsidR="00FD3AFB">
        <w:rPr>
          <w:rStyle w:val="normaltextrun"/>
          <w:rFonts w:ascii="Calibri" w:hAnsi="Calibri" w:cs="Calibri"/>
          <w:sz w:val="22"/>
          <w:szCs w:val="22"/>
          <w:highlight w:val="yellow"/>
        </w:rPr>
        <w:t xml:space="preserve"> Brain and Child Development (HBCD) Study</w:t>
      </w:r>
      <w:r w:rsidR="00214D64">
        <w:rPr>
          <w:rStyle w:val="normaltextrun"/>
          <w:rFonts w:ascii="Calibri" w:hAnsi="Calibri" w:cs="Calibri"/>
          <w:sz w:val="22"/>
          <w:szCs w:val="22"/>
          <w:highlight w:val="yellow"/>
        </w:rPr>
        <w:t xml:space="preserve">, collectively known as </w:t>
      </w:r>
      <w:r w:rsidRPr="00214D64" w:rsidR="00214D64">
        <w:rPr>
          <w:rFonts w:ascii="Calibri" w:hAnsi="Calibri" w:cs="Calibri"/>
          <w:sz w:val="22"/>
          <w:szCs w:val="22"/>
          <w:highlight w:val="yellow"/>
        </w:rPr>
        <w:t>the</w:t>
      </w:r>
      <w:r w:rsidRPr="00214D64" w:rsidR="00214D64">
        <w:rPr>
          <w:rFonts w:ascii="Calibri" w:hAnsi="Calibri" w:cs="Calibri"/>
          <w:b/>
          <w:bCs/>
          <w:sz w:val="22"/>
          <w:szCs w:val="22"/>
          <w:highlight w:val="yellow"/>
        </w:rPr>
        <w:t xml:space="preserve"> NIH Brain Development Cohorts (NBDC)</w:t>
      </w:r>
      <w:r w:rsidRPr="003708B8">
        <w:rPr>
          <w:rStyle w:val="normaltextrun"/>
          <w:rFonts w:ascii="Calibri" w:hAnsi="Calibri" w:cs="Calibri"/>
          <w:sz w:val="22"/>
          <w:szCs w:val="22"/>
          <w:highlight w:val="yellow"/>
        </w:rPr>
        <w:t>.</w:t>
      </w:r>
      <w:r w:rsidRPr="003708B8">
        <w:rPr>
          <w:rStyle w:val="normaltextrun"/>
          <w:rFonts w:ascii="Calibri" w:hAnsi="Calibri" w:cs="Calibri"/>
          <w:sz w:val="22"/>
          <w:szCs w:val="22"/>
        </w:rPr>
        <w:t xml:space="preserve"> </w:t>
      </w:r>
      <w:r w:rsidRPr="003708B8" w:rsidR="002005C6">
        <w:rPr>
          <w:rStyle w:val="normaltextrun"/>
          <w:rFonts w:ascii="Calibri" w:hAnsi="Calibri" w:cs="Calibri"/>
          <w:sz w:val="22"/>
          <w:szCs w:val="22"/>
        </w:rPr>
        <w:t xml:space="preserve"> D</w:t>
      </w:r>
      <w:r w:rsidRPr="003708B8" w:rsidR="009415F4">
        <w:rPr>
          <w:rStyle w:val="normaltextrun"/>
          <w:rFonts w:ascii="Calibri" w:hAnsi="Calibri" w:cs="Calibri"/>
          <w:sz w:val="22"/>
          <w:szCs w:val="22"/>
        </w:rPr>
        <w:t>ata</w:t>
      </w:r>
      <w:r w:rsidRPr="003708B8" w:rsidR="002005C6">
        <w:rPr>
          <w:rStyle w:val="normaltextrun"/>
          <w:rFonts w:ascii="Calibri" w:hAnsi="Calibri" w:cs="Calibri"/>
          <w:sz w:val="22"/>
          <w:szCs w:val="22"/>
        </w:rPr>
        <w:t xml:space="preserve"> from </w:t>
      </w:r>
      <w:r w:rsidRPr="003708B8" w:rsidR="00FD3AFB">
        <w:rPr>
          <w:rStyle w:val="normaltextrun"/>
          <w:rFonts w:ascii="Calibri" w:hAnsi="Calibri" w:cs="Calibri"/>
          <w:sz w:val="22"/>
          <w:szCs w:val="22"/>
          <w:highlight w:val="yellow"/>
        </w:rPr>
        <w:t>both studies</w:t>
      </w:r>
      <w:r w:rsidRPr="003708B8" w:rsidR="009415F4">
        <w:rPr>
          <w:rStyle w:val="normaltextrun"/>
          <w:rFonts w:ascii="Calibri" w:hAnsi="Calibri" w:cs="Calibri"/>
          <w:sz w:val="22"/>
          <w:szCs w:val="22"/>
        </w:rPr>
        <w:t xml:space="preserve"> will be maintained at an outside entity contracted by the National Institute on Drug Abuse</w:t>
      </w:r>
      <w:r w:rsidRPr="003708B8" w:rsidR="002005C6">
        <w:rPr>
          <w:rStyle w:val="normaltextrun"/>
          <w:rFonts w:ascii="Calibri" w:hAnsi="Calibri" w:cs="Calibri"/>
          <w:sz w:val="22"/>
          <w:szCs w:val="22"/>
        </w:rPr>
        <w:t xml:space="preserve">. </w:t>
      </w:r>
      <w:r w:rsidRPr="003708B8" w:rsidR="00413C37">
        <w:rPr>
          <w:rStyle w:val="normaltextrun"/>
          <w:rFonts w:ascii="Calibri" w:hAnsi="Calibri" w:cs="Calibri"/>
          <w:sz w:val="22"/>
          <w:szCs w:val="22"/>
        </w:rPr>
        <w:t xml:space="preserve">This submission is seeking approval for collecting </w:t>
      </w:r>
      <w:r w:rsidRPr="003708B8" w:rsidR="00A17DA3">
        <w:rPr>
          <w:rStyle w:val="normaltextrun"/>
          <w:rFonts w:ascii="Calibri" w:hAnsi="Calibri" w:cs="Calibri"/>
          <w:sz w:val="22"/>
          <w:szCs w:val="22"/>
        </w:rPr>
        <w:t xml:space="preserve">limited information from researchers who wish to access these data for further research studies. </w:t>
      </w:r>
      <w:r w:rsidRPr="003708B8" w:rsidR="00B45D4C">
        <w:rPr>
          <w:rStyle w:val="normaltextrun"/>
          <w:rFonts w:ascii="Calibri" w:hAnsi="Calibri" w:cs="Calibri"/>
          <w:sz w:val="22"/>
          <w:szCs w:val="22"/>
        </w:rPr>
        <w:t xml:space="preserve">While the data are intended to be leveraged by other researchers, </w:t>
      </w:r>
      <w:r w:rsidRPr="003708B8" w:rsidR="000D4C6B">
        <w:rPr>
          <w:rStyle w:val="normaltextrun"/>
          <w:rFonts w:ascii="Calibri" w:hAnsi="Calibri" w:cs="Calibri"/>
          <w:sz w:val="22"/>
          <w:szCs w:val="22"/>
        </w:rPr>
        <w:t xml:space="preserve">it is essential that the integrity </w:t>
      </w:r>
      <w:r w:rsidRPr="003708B8" w:rsidR="000524C0">
        <w:rPr>
          <w:rStyle w:val="normaltextrun"/>
          <w:rFonts w:ascii="Calibri" w:hAnsi="Calibri" w:cs="Calibri"/>
          <w:sz w:val="22"/>
          <w:szCs w:val="22"/>
        </w:rPr>
        <w:t>of the data is maintained by requiring that researchers and their institutions sign the DUC</w:t>
      </w:r>
      <w:r w:rsidRPr="003708B8" w:rsidR="00F974D6">
        <w:rPr>
          <w:rStyle w:val="normaltextrun"/>
          <w:rFonts w:ascii="Calibri" w:hAnsi="Calibri" w:cs="Calibri"/>
          <w:sz w:val="22"/>
          <w:szCs w:val="22"/>
        </w:rPr>
        <w:t xml:space="preserve"> agreement</w:t>
      </w:r>
      <w:r w:rsidRPr="003708B8" w:rsidR="00AC15A4">
        <w:rPr>
          <w:rStyle w:val="normaltextrun"/>
          <w:rFonts w:ascii="Calibri" w:hAnsi="Calibri" w:cs="Calibri"/>
          <w:sz w:val="22"/>
          <w:szCs w:val="22"/>
        </w:rPr>
        <w:t>s</w:t>
      </w:r>
      <w:r w:rsidRPr="003708B8" w:rsidR="00F974D6">
        <w:rPr>
          <w:rStyle w:val="normaltextrun"/>
          <w:rFonts w:ascii="Calibri" w:hAnsi="Calibri" w:cs="Calibri"/>
          <w:sz w:val="22"/>
          <w:szCs w:val="22"/>
        </w:rPr>
        <w:t>.</w:t>
      </w:r>
      <w:r w:rsidRPr="003708B8" w:rsidR="000524C0">
        <w:rPr>
          <w:rStyle w:val="normaltextrun"/>
          <w:rFonts w:ascii="Calibri" w:hAnsi="Calibri" w:cs="Calibri"/>
          <w:sz w:val="22"/>
          <w:szCs w:val="22"/>
        </w:rPr>
        <w:t xml:space="preserve"> </w:t>
      </w:r>
      <w:r w:rsidRPr="005B4F32" w:rsidR="005B4F32">
        <w:rPr>
          <w:rStyle w:val="normaltextrun"/>
          <w:rFonts w:ascii="Calibri" w:hAnsi="Calibri" w:cs="Calibri"/>
          <w:sz w:val="22"/>
          <w:szCs w:val="22"/>
          <w:highlight w:val="yellow"/>
        </w:rPr>
        <w:t xml:space="preserve">Since the </w:t>
      </w:r>
      <w:r w:rsidR="005B4F32">
        <w:rPr>
          <w:rStyle w:val="normaltextrun"/>
          <w:rFonts w:ascii="Calibri" w:hAnsi="Calibri" w:cs="Calibri"/>
          <w:sz w:val="22"/>
          <w:szCs w:val="22"/>
          <w:highlight w:val="yellow"/>
        </w:rPr>
        <w:t xml:space="preserve">time of the </w:t>
      </w:r>
      <w:r w:rsidRPr="005B4F32" w:rsidR="005B4F32">
        <w:rPr>
          <w:rStyle w:val="normaltextrun"/>
          <w:rFonts w:ascii="Calibri" w:hAnsi="Calibri" w:cs="Calibri"/>
          <w:sz w:val="22"/>
          <w:szCs w:val="22"/>
          <w:highlight w:val="yellow"/>
        </w:rPr>
        <w:t xml:space="preserve">original package </w:t>
      </w:r>
      <w:r w:rsidR="005B4F32">
        <w:rPr>
          <w:rStyle w:val="normaltextrun"/>
          <w:rFonts w:ascii="Calibri" w:hAnsi="Calibri" w:cs="Calibri"/>
          <w:sz w:val="22"/>
          <w:szCs w:val="22"/>
          <w:highlight w:val="yellow"/>
        </w:rPr>
        <w:t>submission</w:t>
      </w:r>
      <w:r w:rsidRPr="005B4F32" w:rsidR="005B4F32">
        <w:rPr>
          <w:rStyle w:val="normaltextrun"/>
          <w:rFonts w:ascii="Calibri" w:hAnsi="Calibri" w:cs="Calibri"/>
          <w:sz w:val="22"/>
          <w:szCs w:val="22"/>
          <w:highlight w:val="yellow"/>
        </w:rPr>
        <w:t xml:space="preserve">, we have </w:t>
      </w:r>
      <w:r w:rsidR="005B4F32">
        <w:rPr>
          <w:rStyle w:val="normaltextrun"/>
          <w:rFonts w:ascii="Calibri" w:hAnsi="Calibri" w:cs="Calibri"/>
          <w:sz w:val="22"/>
          <w:szCs w:val="22"/>
          <w:highlight w:val="yellow"/>
        </w:rPr>
        <w:t>simplified</w:t>
      </w:r>
      <w:r w:rsidRPr="005B4F32" w:rsidR="005B4F32">
        <w:rPr>
          <w:rStyle w:val="normaltextrun"/>
          <w:rFonts w:ascii="Calibri" w:hAnsi="Calibri" w:cs="Calibri"/>
          <w:sz w:val="22"/>
          <w:szCs w:val="22"/>
          <w:highlight w:val="yellow"/>
        </w:rPr>
        <w:t xml:space="preserve"> the process by including only the data use and progress report statements </w:t>
      </w:r>
      <w:r w:rsidR="005B4F32">
        <w:rPr>
          <w:rStyle w:val="normaltextrun"/>
          <w:rFonts w:ascii="Calibri" w:hAnsi="Calibri" w:cs="Calibri"/>
          <w:sz w:val="22"/>
          <w:szCs w:val="22"/>
          <w:highlight w:val="yellow"/>
        </w:rPr>
        <w:t>in the package f</w:t>
      </w:r>
      <w:r w:rsidRPr="005B4F32" w:rsidR="005B4F32">
        <w:rPr>
          <w:rStyle w:val="normaltextrun"/>
          <w:rFonts w:ascii="Calibri" w:hAnsi="Calibri" w:cs="Calibri"/>
          <w:sz w:val="22"/>
          <w:szCs w:val="22"/>
          <w:highlight w:val="yellow"/>
        </w:rPr>
        <w:t xml:space="preserve">or review, rather than the full data use </w:t>
      </w:r>
      <w:r w:rsidR="005B4F32">
        <w:rPr>
          <w:rStyle w:val="normaltextrun"/>
          <w:rFonts w:ascii="Calibri" w:hAnsi="Calibri" w:cs="Calibri"/>
          <w:sz w:val="22"/>
          <w:szCs w:val="22"/>
          <w:highlight w:val="yellow"/>
        </w:rPr>
        <w:t>certification</w:t>
      </w:r>
      <w:r w:rsidRPr="005B4F32" w:rsidR="005B4F32">
        <w:rPr>
          <w:rStyle w:val="normaltextrun"/>
          <w:rFonts w:ascii="Calibri" w:hAnsi="Calibri" w:cs="Calibri"/>
          <w:sz w:val="22"/>
          <w:szCs w:val="22"/>
          <w:highlight w:val="yellow"/>
        </w:rPr>
        <w:t xml:space="preserve"> form</w:t>
      </w:r>
      <w:r w:rsidR="005B4F32">
        <w:rPr>
          <w:rStyle w:val="normaltextrun"/>
          <w:rFonts w:ascii="Calibri" w:hAnsi="Calibri" w:cs="Calibri"/>
          <w:sz w:val="22"/>
          <w:szCs w:val="22"/>
          <w:highlight w:val="yellow"/>
        </w:rPr>
        <w:t>s</w:t>
      </w:r>
      <w:r w:rsidRPr="005B4F32" w:rsidR="005B4F32">
        <w:rPr>
          <w:rStyle w:val="normaltextrun"/>
          <w:rFonts w:ascii="Calibri" w:hAnsi="Calibri" w:cs="Calibri"/>
          <w:sz w:val="22"/>
          <w:szCs w:val="22"/>
          <w:highlight w:val="yellow"/>
        </w:rPr>
        <w:t xml:space="preserve">, as the respondent burden is limited to completing </w:t>
      </w:r>
      <w:r w:rsidR="005B4F32">
        <w:rPr>
          <w:rStyle w:val="normaltextrun"/>
          <w:rFonts w:ascii="Calibri" w:hAnsi="Calibri" w:cs="Calibri"/>
          <w:sz w:val="22"/>
          <w:szCs w:val="22"/>
          <w:highlight w:val="yellow"/>
        </w:rPr>
        <w:t>the</w:t>
      </w:r>
      <w:r w:rsidRPr="005B4F32" w:rsidR="005B4F32">
        <w:rPr>
          <w:rStyle w:val="normaltextrun"/>
          <w:rFonts w:ascii="Calibri" w:hAnsi="Calibri" w:cs="Calibri"/>
          <w:sz w:val="22"/>
          <w:szCs w:val="22"/>
          <w:highlight w:val="yellow"/>
        </w:rPr>
        <w:t xml:space="preserve"> statements. </w:t>
      </w:r>
    </w:p>
    <w:p w:rsidR="002D3B53" w:rsidRPr="003708B8" w:rsidP="002D3B53" w14:paraId="667BA31F" w14:textId="77777777">
      <w:pPr>
        <w:pStyle w:val="paragraph"/>
        <w:spacing w:before="0" w:beforeAutospacing="0" w:after="0" w:afterAutospacing="0"/>
        <w:textAlignment w:val="baseline"/>
        <w:rPr>
          <w:rFonts w:ascii="Calibri" w:hAnsi="Calibri" w:cs="Calibri"/>
          <w:sz w:val="22"/>
          <w:szCs w:val="22"/>
        </w:rPr>
      </w:pPr>
    </w:p>
    <w:p w:rsidR="002D3B53" w:rsidP="08AFD7C9" w14:paraId="1227DC0D" w14:textId="77A95AA4">
      <w:pPr>
        <w:pStyle w:val="paragraph"/>
        <w:spacing w:before="0" w:beforeAutospacing="0" w:after="0" w:afterAutospacing="0"/>
        <w:textAlignment w:val="baseline"/>
        <w:rPr>
          <w:rFonts w:ascii="Segoe UI" w:hAnsi="Segoe UI" w:cs="Segoe UI"/>
          <w:sz w:val="18"/>
          <w:szCs w:val="18"/>
        </w:rPr>
      </w:pPr>
      <w:r w:rsidRPr="003708B8">
        <w:rPr>
          <w:rStyle w:val="normaltextrun"/>
          <w:rFonts w:ascii="Calibri" w:hAnsi="Calibri" w:cs="Calibri"/>
          <w:sz w:val="22"/>
          <w:szCs w:val="22"/>
        </w:rPr>
        <w:t>The ABCD Study is a</w:t>
      </w:r>
      <w:r w:rsidRPr="003708B8" w:rsidR="00BD2EE3">
        <w:rPr>
          <w:rStyle w:val="normaltextrun"/>
          <w:rFonts w:ascii="Calibri" w:hAnsi="Calibri" w:cs="Calibri"/>
          <w:sz w:val="22"/>
          <w:szCs w:val="22"/>
        </w:rPr>
        <w:t>n NIH-funded</w:t>
      </w:r>
      <w:r w:rsidRPr="003708B8">
        <w:rPr>
          <w:rStyle w:val="normaltextrun"/>
          <w:rFonts w:ascii="Calibri" w:hAnsi="Calibri" w:cs="Calibri"/>
          <w:sz w:val="22"/>
          <w:szCs w:val="22"/>
        </w:rPr>
        <w:t xml:space="preserve"> longitudinal study of nearly 12,000 youth beginning at ages 9-10 and continuing for 10 years into</w:t>
      </w:r>
      <w:r w:rsidRPr="08AFD7C9">
        <w:rPr>
          <w:rStyle w:val="normaltextrun"/>
          <w:rFonts w:ascii="Calibri" w:hAnsi="Calibri" w:cs="Calibri"/>
          <w:sz w:val="22"/>
          <w:szCs w:val="22"/>
        </w:rPr>
        <w:t xml:space="preserve"> early adulthood to assess factors associated with individual brain development trajectories and functional outcomes. </w:t>
      </w:r>
      <w:r w:rsidRPr="003708B8" w:rsidR="003708B8">
        <w:rPr>
          <w:rStyle w:val="normaltextrun"/>
          <w:rFonts w:ascii="Calibri" w:hAnsi="Calibri" w:cs="Calibri"/>
          <w:sz w:val="22"/>
          <w:szCs w:val="22"/>
          <w:highlight w:val="yellow"/>
        </w:rPr>
        <w:t>The</w:t>
      </w:r>
      <w:r w:rsidRPr="003708B8" w:rsidR="003708B8">
        <w:rPr>
          <w:rStyle w:val="normaltextrun"/>
          <w:rFonts w:ascii="Calibri" w:hAnsi="Calibri" w:cs="Calibri"/>
          <w:color w:val="000000"/>
          <w:sz w:val="22"/>
          <w:szCs w:val="22"/>
          <w:highlight w:val="yellow"/>
          <w:shd w:val="clear" w:color="auto" w:fill="FFFFFF"/>
        </w:rPr>
        <w:t xml:space="preserve"> HBCD Study is a longitudinal study of early brain and child development that will follow participating families from pregnancy through early childhood.</w:t>
      </w:r>
      <w:r w:rsidR="003708B8">
        <w:rPr>
          <w:rStyle w:val="normaltextrun"/>
          <w:rFonts w:ascii="Calibri" w:hAnsi="Calibri" w:cs="Calibri"/>
          <w:color w:val="000000"/>
          <w:sz w:val="22"/>
          <w:szCs w:val="22"/>
          <w:shd w:val="clear" w:color="auto" w:fill="FFFFFF"/>
        </w:rPr>
        <w:t xml:space="preserve"> </w:t>
      </w:r>
      <w:r w:rsidR="00FD3AFB">
        <w:rPr>
          <w:rStyle w:val="normaltextrun"/>
          <w:rFonts w:ascii="Calibri" w:hAnsi="Calibri" w:cs="Calibri"/>
          <w:sz w:val="22"/>
          <w:szCs w:val="22"/>
        </w:rPr>
        <w:t xml:space="preserve"> </w:t>
      </w:r>
      <w:r w:rsidRPr="003708B8" w:rsidR="003708B8">
        <w:rPr>
          <w:rStyle w:val="normaltextrun"/>
          <w:rFonts w:ascii="Calibri" w:hAnsi="Calibri" w:cs="Calibri"/>
          <w:sz w:val="22"/>
          <w:szCs w:val="22"/>
          <w:highlight w:val="yellow"/>
        </w:rPr>
        <w:t>Both studies</w:t>
      </w:r>
      <w:r w:rsidRPr="003708B8">
        <w:rPr>
          <w:rStyle w:val="normaltextrun"/>
          <w:rFonts w:ascii="Calibri" w:hAnsi="Calibri" w:cs="Calibri"/>
          <w:sz w:val="22"/>
          <w:szCs w:val="22"/>
          <w:highlight w:val="yellow"/>
        </w:rPr>
        <w:t xml:space="preserve"> ha</w:t>
      </w:r>
      <w:r w:rsidRPr="003708B8" w:rsidR="003708B8">
        <w:rPr>
          <w:rStyle w:val="normaltextrun"/>
          <w:rFonts w:ascii="Calibri" w:hAnsi="Calibri" w:cs="Calibri"/>
          <w:sz w:val="22"/>
          <w:szCs w:val="22"/>
          <w:highlight w:val="yellow"/>
        </w:rPr>
        <w:t>ve</w:t>
      </w:r>
      <w:r w:rsidRPr="08AFD7C9">
        <w:rPr>
          <w:rStyle w:val="normaltextrun"/>
          <w:rFonts w:ascii="Calibri" w:hAnsi="Calibri" w:cs="Calibri"/>
          <w:sz w:val="22"/>
          <w:szCs w:val="22"/>
        </w:rPr>
        <w:t xml:space="preserve"> adopted an open science model, making data available to researchers around the world, including fast-track raw neuroimaging data that are released on an ongoing basis, as well as curated data released annually. The data will be available to authorized users via </w:t>
      </w:r>
      <w:r w:rsidRPr="08AFD7C9" w:rsidR="00EE6C43">
        <w:rPr>
          <w:rStyle w:val="normaltextrun"/>
          <w:rFonts w:ascii="Calibri" w:hAnsi="Calibri" w:cs="Calibri"/>
          <w:sz w:val="22"/>
          <w:szCs w:val="22"/>
        </w:rPr>
        <w:t>the contractor</w:t>
      </w:r>
      <w:r w:rsidRPr="08AFD7C9">
        <w:rPr>
          <w:rStyle w:val="normaltextrun"/>
          <w:rFonts w:ascii="Calibri" w:hAnsi="Calibri" w:cs="Calibri"/>
          <w:sz w:val="22"/>
          <w:szCs w:val="22"/>
        </w:rPr>
        <w:t>.</w:t>
      </w:r>
      <w:r w:rsidRPr="08AFD7C9">
        <w:rPr>
          <w:rStyle w:val="eop"/>
          <w:rFonts w:ascii="Calibri" w:hAnsi="Calibri" w:cs="Calibri"/>
          <w:sz w:val="22"/>
          <w:szCs w:val="22"/>
        </w:rPr>
        <w:t> </w:t>
      </w:r>
    </w:p>
    <w:p w:rsidR="002D3B53" w:rsidP="002D3B53" w14:paraId="640A4565" w14:textId="77777777">
      <w:pPr>
        <w:pStyle w:val="paragraph"/>
        <w:spacing w:before="0" w:beforeAutospacing="0" w:after="0" w:afterAutospacing="0"/>
        <w:textAlignment w:val="baseline"/>
        <w:rPr>
          <w:rStyle w:val="normaltextrun"/>
          <w:rFonts w:ascii="Calibri" w:hAnsi="Calibri" w:cs="Calibri"/>
          <w:sz w:val="22"/>
          <w:szCs w:val="22"/>
        </w:rPr>
      </w:pPr>
    </w:p>
    <w:p w:rsidR="002D3B53" w:rsidP="002D3B53" w14:paraId="1E318803" w14:textId="6A3A92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NIH seeks to encourage the use of these resources to achieve rapid scientific progress. To take full advantage of such resources and maximize their research value, it is important that data are made </w:t>
      </w:r>
      <w:r w:rsidRPr="00FE4293">
        <w:rPr>
          <w:rStyle w:val="normaltextrun"/>
          <w:rFonts w:ascii="Calibri" w:hAnsi="Calibri" w:cs="Calibri"/>
          <w:sz w:val="22"/>
          <w:szCs w:val="22"/>
          <w:u w:val="single"/>
        </w:rPr>
        <w:t>broadly available</w:t>
      </w:r>
      <w:r w:rsidRPr="00FE4293">
        <w:rPr>
          <w:rStyle w:val="normaltextrun"/>
          <w:rFonts w:ascii="Calibri" w:hAnsi="Calibri" w:cs="Calibri"/>
          <w:sz w:val="22"/>
          <w:szCs w:val="22"/>
        </w:rPr>
        <w:t>,</w:t>
      </w:r>
      <w:r>
        <w:rPr>
          <w:rStyle w:val="normaltextrun"/>
          <w:rFonts w:ascii="Calibri" w:hAnsi="Calibri" w:cs="Calibri"/>
          <w:sz w:val="22"/>
          <w:szCs w:val="22"/>
        </w:rPr>
        <w:t xml:space="preserve"> on appropriate terms and conditions, to the largest possible number of qualified investigators in a timely manner.</w:t>
      </w:r>
      <w:r>
        <w:rPr>
          <w:rStyle w:val="eop"/>
          <w:rFonts w:ascii="Calibri" w:hAnsi="Calibri" w:cs="Calibri"/>
          <w:sz w:val="22"/>
          <w:szCs w:val="22"/>
        </w:rPr>
        <w:t> </w:t>
      </w:r>
    </w:p>
    <w:p w:rsidR="002D3B53" w:rsidP="002D3B53" w14:paraId="38F3FDB9" w14:textId="77777777">
      <w:pPr>
        <w:pStyle w:val="paragraph"/>
        <w:spacing w:before="0" w:beforeAutospacing="0" w:after="0" w:afterAutospacing="0"/>
        <w:textAlignment w:val="baseline"/>
        <w:rPr>
          <w:rStyle w:val="normaltextrun"/>
          <w:rFonts w:ascii="Calibri" w:hAnsi="Calibri" w:cs="Calibri"/>
          <w:sz w:val="22"/>
          <w:szCs w:val="22"/>
        </w:rPr>
      </w:pPr>
    </w:p>
    <w:p w:rsidR="002D3B53" w:rsidP="16CE23A1" w14:paraId="6D3B91C9" w14:textId="0DA73E60">
      <w:pPr>
        <w:pStyle w:val="paragraph"/>
        <w:spacing w:before="0" w:beforeAutospacing="0" w:after="0" w:afterAutospacing="0"/>
        <w:textAlignment w:val="baseline"/>
        <w:rPr>
          <w:rFonts w:ascii="Segoe UI" w:hAnsi="Segoe UI" w:cs="Segoe UI"/>
          <w:sz w:val="18"/>
          <w:szCs w:val="18"/>
        </w:rPr>
      </w:pPr>
      <w:r w:rsidRPr="16CE23A1">
        <w:rPr>
          <w:rStyle w:val="normaltextrun"/>
          <w:rFonts w:ascii="Calibri" w:hAnsi="Calibri" w:cs="Calibri"/>
          <w:sz w:val="22"/>
          <w:szCs w:val="22"/>
        </w:rPr>
        <w:t xml:space="preserve">Researchers accessing human subjects’ data and their research institution are responsible for maintaining the privacy of those subjects and the confidentiality of their data.  By signing and submitting </w:t>
      </w:r>
      <w:r w:rsidRPr="16CE23A1" w:rsidR="79D888BE">
        <w:rPr>
          <w:rStyle w:val="normaltextrun"/>
          <w:rFonts w:ascii="Calibri" w:hAnsi="Calibri" w:cs="Calibri"/>
          <w:sz w:val="22"/>
          <w:szCs w:val="22"/>
        </w:rPr>
        <w:t xml:space="preserve">these </w:t>
      </w:r>
      <w:r w:rsidRPr="005B4F32" w:rsidR="005B4F32">
        <w:rPr>
          <w:rStyle w:val="normaltextrun"/>
          <w:rFonts w:ascii="Calibri" w:hAnsi="Calibri" w:cs="Calibri"/>
          <w:sz w:val="22"/>
          <w:szCs w:val="22"/>
          <w:highlight w:val="yellow"/>
        </w:rPr>
        <w:t>data use and progress report statements</w:t>
      </w:r>
      <w:r w:rsidRPr="16CE23A1">
        <w:rPr>
          <w:rStyle w:val="normaltextrun"/>
          <w:rFonts w:ascii="Calibri" w:hAnsi="Calibri" w:cs="Calibri"/>
          <w:sz w:val="22"/>
          <w:szCs w:val="22"/>
        </w:rPr>
        <w:t xml:space="preserve">, </w:t>
      </w:r>
      <w:r w:rsidRPr="16CE23A1" w:rsidR="00BD2EE3">
        <w:rPr>
          <w:rStyle w:val="normaltextrun"/>
          <w:rFonts w:ascii="Calibri" w:hAnsi="Calibri" w:cs="Calibri"/>
          <w:sz w:val="22"/>
          <w:szCs w:val="22"/>
        </w:rPr>
        <w:t>recipients</w:t>
      </w:r>
      <w:r w:rsidRPr="16CE23A1" w:rsidR="00E32E3C">
        <w:rPr>
          <w:rStyle w:val="normaltextrun"/>
          <w:rFonts w:ascii="Calibri" w:hAnsi="Calibri" w:cs="Calibri"/>
          <w:sz w:val="22"/>
          <w:szCs w:val="22"/>
        </w:rPr>
        <w:t xml:space="preserve"> and their institutions</w:t>
      </w:r>
      <w:r w:rsidRPr="16CE23A1">
        <w:rPr>
          <w:rStyle w:val="normaltextrun"/>
          <w:rFonts w:ascii="Calibri" w:hAnsi="Calibri" w:cs="Calibri"/>
          <w:sz w:val="22"/>
          <w:szCs w:val="22"/>
        </w:rPr>
        <w:t xml:space="preserve"> </w:t>
      </w:r>
      <w:r w:rsidRPr="005B4F32" w:rsidR="005B4F32">
        <w:rPr>
          <w:rStyle w:val="normaltextrun"/>
          <w:rFonts w:ascii="Calibri" w:hAnsi="Calibri" w:cs="Calibri"/>
          <w:sz w:val="22"/>
          <w:szCs w:val="22"/>
          <w:highlight w:val="yellow"/>
        </w:rPr>
        <w:t>agree to</w:t>
      </w:r>
      <w:r w:rsidR="005B4F32">
        <w:rPr>
          <w:rStyle w:val="normaltextrun"/>
          <w:rFonts w:ascii="Calibri" w:hAnsi="Calibri" w:cs="Calibri"/>
          <w:sz w:val="22"/>
          <w:szCs w:val="22"/>
        </w:rPr>
        <w:t xml:space="preserve"> </w:t>
      </w:r>
      <w:r w:rsidRPr="16CE23A1">
        <w:rPr>
          <w:rStyle w:val="normaltextrun"/>
          <w:rFonts w:ascii="Calibri" w:hAnsi="Calibri" w:cs="Calibri"/>
          <w:sz w:val="22"/>
          <w:szCs w:val="22"/>
        </w:rPr>
        <w:t xml:space="preserve">responsibly </w:t>
      </w:r>
      <w:r w:rsidR="005B4F32">
        <w:rPr>
          <w:rStyle w:val="normaltextrun"/>
          <w:rFonts w:ascii="Calibri" w:hAnsi="Calibri" w:cs="Calibri"/>
          <w:sz w:val="22"/>
          <w:szCs w:val="22"/>
        </w:rPr>
        <w:t>use</w:t>
      </w:r>
      <w:r w:rsidRPr="16CE23A1">
        <w:rPr>
          <w:rStyle w:val="normaltextrun"/>
          <w:rFonts w:ascii="Calibri" w:hAnsi="Calibri" w:cs="Calibri"/>
          <w:sz w:val="22"/>
          <w:szCs w:val="22"/>
        </w:rPr>
        <w:t xml:space="preserve"> human subjects’ data.  </w:t>
      </w:r>
      <w:r w:rsidRPr="005B4F32" w:rsidR="005B4F32">
        <w:rPr>
          <w:rStyle w:val="normaltextrun"/>
          <w:rFonts w:ascii="Calibri" w:hAnsi="Calibri" w:cs="Calibri"/>
          <w:sz w:val="22"/>
          <w:szCs w:val="22"/>
          <w:highlight w:val="yellow"/>
        </w:rPr>
        <w:t>P</w:t>
      </w:r>
      <w:bookmarkStart w:id="2" w:name="_Hlk198561308"/>
      <w:r w:rsidRPr="005B4F32" w:rsidR="005B4F32">
        <w:rPr>
          <w:rStyle w:val="normaltextrun"/>
          <w:rFonts w:ascii="Calibri" w:hAnsi="Calibri" w:cs="Calibri"/>
          <w:sz w:val="22"/>
          <w:szCs w:val="22"/>
          <w:highlight w:val="yellow"/>
        </w:rPr>
        <w:t>lease note that the signing process is integrated into an existing secure user authentication system, requiring no additional effort from recipients beyond what is already in place.</w:t>
      </w:r>
    </w:p>
    <w:bookmarkEnd w:id="2"/>
    <w:p w:rsidR="002D3B53" w:rsidP="007B60CC" w14:paraId="6551ABFE" w14:textId="4D4BEAB3"/>
    <w:p w:rsidR="00FD3AFB" w:rsidP="00A16022" w14:paraId="1C9E9C6B" w14:textId="77777777">
      <w:pPr>
        <w:rPr>
          <w:highlight w:val="yellow"/>
        </w:rPr>
      </w:pPr>
      <w:r>
        <w:rPr>
          <w:highlight w:val="yellow"/>
        </w:rPr>
        <w:t>The revision to this information collection</w:t>
      </w:r>
      <w:r>
        <w:rPr>
          <w:highlight w:val="yellow"/>
        </w:rPr>
        <w:t xml:space="preserve"> includes the following:</w:t>
      </w:r>
    </w:p>
    <w:p w:rsidR="00FD3AFB" w:rsidP="00FD3AFB" w14:paraId="41942BB3" w14:textId="5DE6C609">
      <w:pPr>
        <w:pStyle w:val="ListParagraph"/>
        <w:numPr>
          <w:ilvl w:val="0"/>
          <w:numId w:val="6"/>
        </w:numPr>
        <w:rPr>
          <w:highlight w:val="yellow"/>
        </w:rPr>
      </w:pPr>
      <w:r>
        <w:rPr>
          <w:highlight w:val="yellow"/>
        </w:rPr>
        <w:t>Clarification of inclusion of the Health</w:t>
      </w:r>
      <w:r w:rsidR="00BF19DE">
        <w:rPr>
          <w:highlight w:val="yellow"/>
        </w:rPr>
        <w:t>y</w:t>
      </w:r>
      <w:r>
        <w:rPr>
          <w:highlight w:val="yellow"/>
        </w:rPr>
        <w:t xml:space="preserve"> Brain and Child Development Study (in addition to the ABCD Study)</w:t>
      </w:r>
      <w:r w:rsidR="001C463C">
        <w:rPr>
          <w:highlight w:val="yellow"/>
        </w:rPr>
        <w:t>. Note that this clarification necessitates changing the title so that it no longer references only the ABCD Study.</w:t>
      </w:r>
    </w:p>
    <w:p w:rsidR="00A16022" w:rsidRPr="00FD3AFB" w:rsidP="00FD3AFB" w14:paraId="6472181A" w14:textId="269CDF96">
      <w:pPr>
        <w:pStyle w:val="ListParagraph"/>
        <w:numPr>
          <w:ilvl w:val="0"/>
          <w:numId w:val="6"/>
        </w:numPr>
        <w:rPr>
          <w:highlight w:val="yellow"/>
        </w:rPr>
      </w:pPr>
      <w:r>
        <w:rPr>
          <w:highlight w:val="yellow"/>
        </w:rPr>
        <w:t xml:space="preserve">Submission request </w:t>
      </w:r>
      <w:r w:rsidRPr="00FD3AFB" w:rsidR="0028663F">
        <w:rPr>
          <w:highlight w:val="yellow"/>
        </w:rPr>
        <w:t xml:space="preserve">of a </w:t>
      </w:r>
      <w:r w:rsidRPr="00FD3AFB" w:rsidR="00FD3AFB">
        <w:rPr>
          <w:highlight w:val="yellow"/>
        </w:rPr>
        <w:t xml:space="preserve">research </w:t>
      </w:r>
      <w:r w:rsidRPr="00FD3AFB" w:rsidR="0028663F">
        <w:rPr>
          <w:highlight w:val="yellow"/>
        </w:rPr>
        <w:t>progress report</w:t>
      </w:r>
      <w:r w:rsidRPr="00FD3AFB" w:rsidR="00FD3AFB">
        <w:rPr>
          <w:highlight w:val="yellow"/>
        </w:rPr>
        <w:t xml:space="preserve"> at the time of</w:t>
      </w:r>
      <w:r>
        <w:rPr>
          <w:highlight w:val="yellow"/>
        </w:rPr>
        <w:t xml:space="preserve"> DUC</w:t>
      </w:r>
      <w:r w:rsidRPr="00FD3AFB" w:rsidR="00FD3AFB">
        <w:rPr>
          <w:highlight w:val="yellow"/>
        </w:rPr>
        <w:t xml:space="preserve"> renewal</w:t>
      </w:r>
      <w:r w:rsidRPr="00FD3AFB" w:rsidR="0028663F">
        <w:rPr>
          <w:highlight w:val="yellow"/>
        </w:rPr>
        <w:t xml:space="preserve"> </w:t>
      </w:r>
    </w:p>
    <w:p w:rsidR="0028663F" w:rsidP="00A16022" w14:paraId="07B0CFB9" w14:textId="1BDD6A59">
      <w:pPr>
        <w:rPr>
          <w:highlight w:val="yellow"/>
        </w:rPr>
      </w:pPr>
      <w:r>
        <w:rPr>
          <w:highlight w:val="yellow"/>
        </w:rPr>
        <w:t>Revisions will not increase the burden estimate for any instrument</w:t>
      </w:r>
      <w:r w:rsidR="003708B8">
        <w:rPr>
          <w:highlight w:val="yellow"/>
        </w:rPr>
        <w:t xml:space="preserve">. This is because completion of a research progress report will </w:t>
      </w:r>
      <w:r w:rsidRPr="003708B8" w:rsidR="003708B8">
        <w:rPr>
          <w:i/>
          <w:iCs/>
          <w:highlight w:val="yellow"/>
        </w:rPr>
        <w:t>not</w:t>
      </w:r>
      <w:r w:rsidR="003708B8">
        <w:rPr>
          <w:highlight w:val="yellow"/>
        </w:rPr>
        <w:t xml:space="preserve"> be in addition to the data use statement. If a recipient chooses to renew their DUC </w:t>
      </w:r>
      <w:r w:rsidR="00D952E2">
        <w:rPr>
          <w:highlight w:val="yellow"/>
        </w:rPr>
        <w:t>after one year, they must submit a research progress report that briefly summarizes the current state of their research project, but they are not required to submit another data use statement.</w:t>
      </w:r>
    </w:p>
    <w:p w:rsidR="00A16022" w:rsidP="007B60CC" w14:paraId="0102D355" w14:textId="77777777"/>
    <w:p w:rsidR="00E32E3C" w:rsidRPr="00E710EC" w:rsidP="00E32E3C" w14:paraId="62942395" w14:textId="77777777">
      <w:pPr>
        <w:rPr>
          <w:b/>
          <w:bCs/>
        </w:rPr>
      </w:pPr>
      <w:r w:rsidRPr="00E32E3C">
        <w:rPr>
          <w:b/>
          <w:bCs/>
        </w:rPr>
        <w:t>A.1</w:t>
      </w:r>
      <w:r w:rsidRPr="00E32E3C">
        <w:rPr>
          <w:b/>
          <w:bCs/>
        </w:rPr>
        <w:tab/>
      </w:r>
      <w:r w:rsidRPr="00E710EC">
        <w:rPr>
          <w:b/>
          <w:bCs/>
        </w:rPr>
        <w:t>Circumstances Making the Collection of Information Necessary</w:t>
      </w:r>
    </w:p>
    <w:p w:rsidR="00E710EC" w:rsidRPr="00E710EC" w:rsidP="00E710EC" w14:paraId="7046FB84" w14:textId="068154D8">
      <w:r>
        <w:t xml:space="preserve">The potential for public benefit to be achieved through sharing research data from the </w:t>
      </w:r>
      <w:r w:rsidRPr="00214D64" w:rsidR="00214D64">
        <w:rPr>
          <w:highlight w:val="yellow"/>
        </w:rPr>
        <w:t>NBDC</w:t>
      </w:r>
      <w:r w:rsidRPr="00214D64">
        <w:rPr>
          <w:highlight w:val="yellow"/>
        </w:rPr>
        <w:t xml:space="preserve"> Stud</w:t>
      </w:r>
      <w:r w:rsidRPr="00214D64" w:rsidR="00214D64">
        <w:rPr>
          <w:highlight w:val="yellow"/>
        </w:rPr>
        <w:t xml:space="preserve">ies </w:t>
      </w:r>
      <w:r w:rsidR="0097634D">
        <w:t>is</w:t>
      </w:r>
      <w:r>
        <w:t xml:space="preserve"> significant. The extensive information collected by </w:t>
      </w:r>
      <w:r w:rsidRPr="00214D64" w:rsidR="002F49AF">
        <w:rPr>
          <w:highlight w:val="yellow"/>
        </w:rPr>
        <w:t>the</w:t>
      </w:r>
      <w:r w:rsidRPr="00214D64" w:rsidR="00214D64">
        <w:rPr>
          <w:highlight w:val="yellow"/>
        </w:rPr>
        <w:t>se</w:t>
      </w:r>
      <w:r w:rsidRPr="00214D64" w:rsidR="002F49AF">
        <w:rPr>
          <w:highlight w:val="yellow"/>
        </w:rPr>
        <w:t xml:space="preserve"> </w:t>
      </w:r>
      <w:r w:rsidRPr="00214D64" w:rsidR="00214D64">
        <w:rPr>
          <w:highlight w:val="yellow"/>
        </w:rPr>
        <w:t>s</w:t>
      </w:r>
      <w:r w:rsidRPr="00214D64" w:rsidR="002F49AF">
        <w:rPr>
          <w:highlight w:val="yellow"/>
        </w:rPr>
        <w:t>tud</w:t>
      </w:r>
      <w:r w:rsidRPr="00214D64" w:rsidR="00214D64">
        <w:rPr>
          <w:highlight w:val="yellow"/>
        </w:rPr>
        <w:t>ies</w:t>
      </w:r>
      <w:r w:rsidR="002F49AF">
        <w:t xml:space="preserve"> and</w:t>
      </w:r>
      <w:r>
        <w:t xml:space="preserve"> subsequently made </w:t>
      </w:r>
      <w:r w:rsidR="00365E41">
        <w:t xml:space="preserve">available </w:t>
      </w:r>
      <w:r>
        <w:t>provides a rare and valuable scientific resource</w:t>
      </w:r>
      <w:r w:rsidR="007322A8">
        <w:t xml:space="preserve"> to the scientific community</w:t>
      </w:r>
      <w:r>
        <w:t>.</w:t>
      </w:r>
      <w:r w:rsidR="00365E41">
        <w:t xml:space="preserve"> Even though the information has been de-identified, protections are still required </w:t>
      </w:r>
      <w:r w:rsidR="004D5AE8">
        <w:t xml:space="preserve">to minimize risk of </w:t>
      </w:r>
      <w:r w:rsidR="006F0123">
        <w:t>identifiability.</w:t>
      </w:r>
      <w:r>
        <w:t xml:space="preserve"> Authority for the collection of the information requested from </w:t>
      </w:r>
      <w:r w:rsidR="00D92D36">
        <w:t>recipients</w:t>
      </w:r>
      <w:r>
        <w:t xml:space="preserve"> comes from the authorities regarding the establishment of the National Institutes of Health, its general authority to conduct and fund research and to provide training assistance, and its general authority to maintain records in connection with these and its other functions (42 U.S.C. 203, 241, 289l-1 and 44 U.S.C. 3101), and Section 301 and 493 of the Public Health Service Act.</w:t>
      </w:r>
    </w:p>
    <w:p w:rsidR="00E32E3C" w:rsidP="00E32E3C" w14:paraId="1E90415A" w14:textId="1E5DA155">
      <w:pPr>
        <w:rPr>
          <w:b/>
          <w:bCs/>
        </w:rPr>
      </w:pPr>
      <w:r w:rsidRPr="00E32E3C">
        <w:rPr>
          <w:b/>
          <w:bCs/>
        </w:rPr>
        <w:t>A.2    Purpose and Use of the Information Collection</w:t>
      </w:r>
    </w:p>
    <w:p w:rsidR="00E32E3C" w:rsidP="00E32E3C" w14:paraId="0902FE71" w14:textId="26C36F3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w:t>
      </w:r>
      <w:r w:rsidR="00073429">
        <w:rPr>
          <w:rStyle w:val="normaltextrun"/>
          <w:rFonts w:ascii="Calibri" w:hAnsi="Calibri" w:cs="Calibri"/>
          <w:color w:val="000000"/>
          <w:shd w:val="clear" w:color="auto" w:fill="FFFFFF"/>
        </w:rPr>
        <w:t>is</w:t>
      </w:r>
      <w:r w:rsidR="00E57AFA">
        <w:rPr>
          <w:rStyle w:val="normaltextrun"/>
          <w:rFonts w:ascii="Calibri" w:hAnsi="Calibri" w:cs="Calibri"/>
          <w:color w:val="000000"/>
          <w:shd w:val="clear" w:color="auto" w:fill="FFFFFF"/>
        </w:rPr>
        <w:t xml:space="preserve"> collaborative </w:t>
      </w:r>
      <w:r w:rsidR="00E710EC">
        <w:rPr>
          <w:rStyle w:val="normaltextrun"/>
          <w:rFonts w:ascii="Calibri" w:hAnsi="Calibri" w:cs="Calibri"/>
          <w:color w:val="000000"/>
          <w:shd w:val="clear" w:color="auto" w:fill="FFFFFF"/>
        </w:rPr>
        <w:t xml:space="preserve">data management and sharing </w:t>
      </w:r>
      <w:r w:rsidR="00E57AFA">
        <w:rPr>
          <w:rStyle w:val="normaltextrun"/>
          <w:rFonts w:ascii="Calibri" w:hAnsi="Calibri" w:cs="Calibri"/>
          <w:color w:val="000000"/>
          <w:shd w:val="clear" w:color="auto" w:fill="FFFFFF"/>
        </w:rPr>
        <w:t xml:space="preserve">resource contains harmonized human subjects research data and metadata from </w:t>
      </w:r>
      <w:r w:rsidR="1CA9281F">
        <w:rPr>
          <w:rStyle w:val="normaltextrun"/>
          <w:rFonts w:ascii="Calibri" w:hAnsi="Calibri" w:cs="Calibri"/>
          <w:color w:val="000000"/>
          <w:shd w:val="clear" w:color="auto" w:fill="FFFFFF"/>
        </w:rPr>
        <w:t>the ABCD Study</w:t>
      </w:r>
      <w:r w:rsidR="00D952E2">
        <w:rPr>
          <w:rStyle w:val="normaltextrun"/>
          <w:rFonts w:ascii="Calibri" w:hAnsi="Calibri" w:cs="Calibri"/>
          <w:color w:val="000000"/>
          <w:shd w:val="clear" w:color="auto" w:fill="FFFFFF"/>
        </w:rPr>
        <w:t xml:space="preserve"> </w:t>
      </w:r>
      <w:r w:rsidRPr="00D952E2" w:rsidR="00D952E2">
        <w:rPr>
          <w:rStyle w:val="normaltextrun"/>
          <w:rFonts w:ascii="Calibri" w:hAnsi="Calibri" w:cs="Calibri"/>
          <w:color w:val="000000"/>
          <w:highlight w:val="yellow"/>
          <w:shd w:val="clear" w:color="auto" w:fill="FFFFFF"/>
        </w:rPr>
        <w:t>and the HBCD Study</w:t>
      </w:r>
      <w:r w:rsidR="00E57AFA">
        <w:rPr>
          <w:rStyle w:val="normaltextrun"/>
          <w:rFonts w:ascii="Calibri" w:hAnsi="Calibri" w:cs="Calibri"/>
          <w:color w:val="000000"/>
          <w:shd w:val="clear" w:color="auto" w:fill="FFFFFF"/>
        </w:rPr>
        <w:t>, providing a rare and valuable scientific resource</w:t>
      </w:r>
      <w:r w:rsidR="00E710EC">
        <w:rPr>
          <w:rStyle w:val="normaltextrun"/>
          <w:rFonts w:ascii="Calibri" w:hAnsi="Calibri" w:cs="Calibri"/>
          <w:color w:val="000000"/>
          <w:shd w:val="clear" w:color="auto" w:fill="FFFFFF"/>
        </w:rPr>
        <w:t xml:space="preserve"> to the scientific community</w:t>
      </w:r>
      <w:r w:rsidR="00E57AFA">
        <w:rPr>
          <w:rStyle w:val="normaltextrun"/>
          <w:rFonts w:ascii="Calibri" w:hAnsi="Calibri" w:cs="Calibri"/>
          <w:color w:val="000000"/>
          <w:shd w:val="clear" w:color="auto" w:fill="FFFFFF"/>
        </w:rPr>
        <w:t xml:space="preserve">. Data submitted have been stripped of all individual identifiers, but the unique and intrinsically personal nature of genomics data, brain imaging, and other derivative data that are included in this repository, </w:t>
      </w:r>
      <w:r w:rsidR="000B5DE2">
        <w:rPr>
          <w:rStyle w:val="normaltextrun"/>
          <w:rFonts w:ascii="Calibri" w:hAnsi="Calibri" w:cs="Calibri"/>
          <w:color w:val="000000"/>
          <w:shd w:val="clear" w:color="auto" w:fill="FFFFFF"/>
        </w:rPr>
        <w:t>have</w:t>
      </w:r>
      <w:r w:rsidR="00E57AFA">
        <w:rPr>
          <w:rStyle w:val="normaltextrun"/>
          <w:rFonts w:ascii="Calibri" w:hAnsi="Calibri" w:cs="Calibri"/>
          <w:color w:val="000000"/>
          <w:shd w:val="clear" w:color="auto" w:fill="FFFFFF"/>
        </w:rPr>
        <w:t xml:space="preserve"> altered the framework through which </w:t>
      </w:r>
      <w:r w:rsidR="00B61C20">
        <w:rPr>
          <w:rStyle w:val="normaltextrun"/>
          <w:rFonts w:ascii="Calibri" w:hAnsi="Calibri" w:cs="Calibri"/>
          <w:color w:val="000000"/>
          <w:shd w:val="clear" w:color="auto" w:fill="FFFFFF"/>
        </w:rPr>
        <w:t>risk for identifiability</w:t>
      </w:r>
      <w:r w:rsidR="00E57AFA">
        <w:rPr>
          <w:rStyle w:val="normaltextrun"/>
          <w:rFonts w:ascii="Calibri" w:hAnsi="Calibri" w:cs="Calibri"/>
          <w:color w:val="000000"/>
          <w:shd w:val="clear" w:color="auto" w:fill="FFFFFF"/>
        </w:rPr>
        <w:t xml:space="preserve"> can be defined. To protect and assure the confidentiality and privacy of all participants, all </w:t>
      </w:r>
      <w:r w:rsidR="00BD2EE3">
        <w:rPr>
          <w:rStyle w:val="normaltextrun"/>
          <w:rFonts w:ascii="Calibri" w:hAnsi="Calibri" w:cs="Calibri"/>
          <w:color w:val="000000"/>
          <w:shd w:val="clear" w:color="auto" w:fill="FFFFFF"/>
        </w:rPr>
        <w:t>recipients</w:t>
      </w:r>
      <w:r w:rsidR="00E57AFA">
        <w:rPr>
          <w:rStyle w:val="normaltextrun"/>
          <w:rFonts w:ascii="Calibri" w:hAnsi="Calibri" w:cs="Calibri"/>
          <w:color w:val="000000"/>
          <w:shd w:val="clear" w:color="auto" w:fill="FFFFFF"/>
        </w:rPr>
        <w:t xml:space="preserve"> who are granted access to data</w:t>
      </w:r>
      <w:r w:rsidR="00BD2EE3">
        <w:rPr>
          <w:rStyle w:val="normaltextrun"/>
          <w:rFonts w:ascii="Calibri" w:hAnsi="Calibri" w:cs="Calibri"/>
          <w:color w:val="000000"/>
          <w:shd w:val="clear" w:color="auto" w:fill="FFFFFF"/>
        </w:rPr>
        <w:t xml:space="preserve"> from the ABCD Study</w:t>
      </w:r>
      <w:r w:rsidR="00D952E2">
        <w:rPr>
          <w:rStyle w:val="normaltextrun"/>
          <w:rFonts w:ascii="Calibri" w:hAnsi="Calibri" w:cs="Calibri"/>
          <w:color w:val="000000"/>
          <w:shd w:val="clear" w:color="auto" w:fill="FFFFFF"/>
        </w:rPr>
        <w:t xml:space="preserve"> </w:t>
      </w:r>
      <w:r w:rsidRPr="00214D64" w:rsidR="00D952E2">
        <w:rPr>
          <w:rStyle w:val="normaltextrun"/>
          <w:rFonts w:ascii="Calibri" w:hAnsi="Calibri" w:cs="Calibri"/>
          <w:color w:val="000000"/>
          <w:highlight w:val="yellow"/>
          <w:shd w:val="clear" w:color="auto" w:fill="FFFFFF"/>
        </w:rPr>
        <w:t>or HBCD</w:t>
      </w:r>
      <w:r w:rsidR="00D952E2">
        <w:rPr>
          <w:rStyle w:val="normaltextrun"/>
          <w:rFonts w:ascii="Calibri" w:hAnsi="Calibri" w:cs="Calibri"/>
          <w:color w:val="000000"/>
          <w:shd w:val="clear" w:color="auto" w:fill="FFFFFF"/>
        </w:rPr>
        <w:t xml:space="preserve"> Study</w:t>
      </w:r>
      <w:r w:rsidR="00E57AFA">
        <w:rPr>
          <w:rStyle w:val="normaltextrun"/>
          <w:rFonts w:ascii="Calibri" w:hAnsi="Calibri" w:cs="Calibri"/>
          <w:color w:val="000000"/>
          <w:shd w:val="clear" w:color="auto" w:fill="FFFFFF"/>
        </w:rPr>
        <w:t xml:space="preserve"> are expected to </w:t>
      </w:r>
      <w:r w:rsidRPr="0097634D" w:rsidR="0097634D">
        <w:rPr>
          <w:rStyle w:val="normaltextrun"/>
          <w:rFonts w:ascii="Calibri" w:hAnsi="Calibri" w:cs="Calibri"/>
          <w:color w:val="000000"/>
          <w:highlight w:val="yellow"/>
          <w:shd w:val="clear" w:color="auto" w:fill="FFFFFF"/>
        </w:rPr>
        <w:t>complete data use and progress report statements</w:t>
      </w:r>
      <w:r w:rsidR="00E57AFA">
        <w:rPr>
          <w:rStyle w:val="normaltextrun"/>
          <w:rFonts w:ascii="Calibri" w:hAnsi="Calibri" w:cs="Calibri"/>
          <w:color w:val="000000"/>
          <w:shd w:val="clear" w:color="auto" w:fill="FFFFFF"/>
        </w:rPr>
        <w:t xml:space="preserve"> outlined in </w:t>
      </w:r>
      <w:r w:rsidR="41C34DE7">
        <w:rPr>
          <w:rStyle w:val="normaltextrun"/>
          <w:rFonts w:ascii="Calibri" w:hAnsi="Calibri" w:cs="Calibri"/>
          <w:color w:val="000000"/>
          <w:shd w:val="clear" w:color="auto" w:fill="FFFFFF"/>
        </w:rPr>
        <w:t xml:space="preserve">the </w:t>
      </w:r>
      <w:r w:rsidR="00707B6F">
        <w:rPr>
          <w:rStyle w:val="normaltextrun"/>
          <w:rFonts w:ascii="Calibri" w:hAnsi="Calibri" w:cs="Calibri"/>
          <w:color w:val="000000"/>
          <w:shd w:val="clear" w:color="auto" w:fill="FFFFFF"/>
        </w:rPr>
        <w:t xml:space="preserve">general </w:t>
      </w:r>
      <w:r w:rsidRPr="00A91CD6" w:rsidR="00A91CD6">
        <w:rPr>
          <w:rStyle w:val="normaltextrun"/>
          <w:rFonts w:ascii="Calibri" w:hAnsi="Calibri" w:cs="Calibri"/>
          <w:i/>
          <w:iCs/>
          <w:color w:val="000000"/>
          <w:shd w:val="clear" w:color="auto" w:fill="FFFFFF"/>
        </w:rPr>
        <w:t>Data Use Certification for NIH Brain Development Cohorts</w:t>
      </w:r>
      <w:r w:rsidR="0097634D">
        <w:rPr>
          <w:rStyle w:val="normaltextrun"/>
          <w:rFonts w:ascii="Calibri" w:hAnsi="Calibri" w:cs="Calibri"/>
          <w:i/>
          <w:iCs/>
          <w:color w:val="000000"/>
          <w:shd w:val="clear" w:color="auto" w:fill="FFFFFF"/>
        </w:rPr>
        <w:t>.</w:t>
      </w:r>
      <w:r w:rsidR="00E57AFA">
        <w:rPr>
          <w:rStyle w:val="normaltextrun"/>
          <w:rFonts w:ascii="Calibri" w:hAnsi="Calibri" w:cs="Calibri"/>
          <w:color w:val="000000"/>
          <w:shd w:val="clear" w:color="auto" w:fill="FFFFFF"/>
        </w:rPr>
        <w:t xml:space="preserve"> </w:t>
      </w:r>
      <w:r w:rsidR="00BD2EE3">
        <w:rPr>
          <w:rStyle w:val="normaltextrun"/>
          <w:rFonts w:ascii="Calibri" w:hAnsi="Calibri" w:cs="Calibri"/>
          <w:color w:val="000000"/>
          <w:shd w:val="clear" w:color="auto" w:fill="FFFFFF"/>
        </w:rPr>
        <w:t xml:space="preserve"> </w:t>
      </w:r>
      <w:r w:rsidR="00951A14">
        <w:rPr>
          <w:rStyle w:val="normaltextrun"/>
          <w:rFonts w:ascii="Calibri" w:hAnsi="Calibri" w:cs="Calibri"/>
          <w:color w:val="000000"/>
          <w:shd w:val="clear" w:color="auto" w:fill="FFFFFF"/>
        </w:rPr>
        <w:t xml:space="preserve">Due to the </w:t>
      </w:r>
      <w:r w:rsidR="00BA3248">
        <w:rPr>
          <w:rStyle w:val="normaltextrun"/>
          <w:rFonts w:ascii="Calibri" w:hAnsi="Calibri" w:cs="Calibri"/>
          <w:color w:val="000000"/>
          <w:shd w:val="clear" w:color="auto" w:fill="FFFFFF"/>
        </w:rPr>
        <w:t>special</w:t>
      </w:r>
      <w:r w:rsidR="00951A14">
        <w:rPr>
          <w:rStyle w:val="normaltextrun"/>
          <w:rFonts w:ascii="Calibri" w:hAnsi="Calibri" w:cs="Calibri"/>
          <w:color w:val="000000"/>
          <w:shd w:val="clear" w:color="auto" w:fill="FFFFFF"/>
        </w:rPr>
        <w:t xml:space="preserve"> nature of the data </w:t>
      </w:r>
      <w:r w:rsidR="00BA3248">
        <w:rPr>
          <w:rStyle w:val="normaltextrun"/>
          <w:rFonts w:ascii="Calibri" w:hAnsi="Calibri" w:cs="Calibri"/>
          <w:color w:val="000000"/>
          <w:shd w:val="clear" w:color="auto" w:fill="FFFFFF"/>
        </w:rPr>
        <w:t>obtained from participants who identify as American Indian</w:t>
      </w:r>
      <w:r w:rsidR="0097634D">
        <w:rPr>
          <w:rStyle w:val="normaltextrun"/>
          <w:rFonts w:ascii="Calibri" w:hAnsi="Calibri" w:cs="Calibri"/>
          <w:color w:val="000000"/>
          <w:shd w:val="clear" w:color="auto" w:fill="FFFFFF"/>
        </w:rPr>
        <w:t>s</w:t>
      </w:r>
      <w:r w:rsidR="00BA3248">
        <w:rPr>
          <w:rStyle w:val="normaltextrun"/>
          <w:rFonts w:ascii="Calibri" w:hAnsi="Calibri" w:cs="Calibri"/>
          <w:color w:val="000000"/>
          <w:shd w:val="clear" w:color="auto" w:fill="FFFFFF"/>
        </w:rPr>
        <w:t xml:space="preserve">/Alaska Natives (AI/AN), </w:t>
      </w:r>
      <w:r w:rsidR="00BA3248">
        <w:t xml:space="preserve">recipients who intend to conduct analyses of AI/AN data specifically must submit </w:t>
      </w:r>
      <w:r w:rsidR="0097634D">
        <w:t xml:space="preserve">an </w:t>
      </w:r>
      <w:r w:rsidR="00BA3248">
        <w:t>additional</w:t>
      </w:r>
      <w:r w:rsidRPr="0097634D" w:rsidR="0097634D">
        <w:t xml:space="preserve"> </w:t>
      </w:r>
      <w:r w:rsidRPr="0097634D" w:rsidR="0097634D">
        <w:rPr>
          <w:highlight w:val="yellow"/>
        </w:rPr>
        <w:t>data use statement</w:t>
      </w:r>
      <w:r w:rsidR="0097634D">
        <w:t>.</w:t>
      </w:r>
      <w:r w:rsidR="0097634D">
        <w:rPr>
          <w:rStyle w:val="normaltextrun"/>
          <w:rFonts w:ascii="Calibri" w:hAnsi="Calibri" w:cs="Calibri"/>
          <w:color w:val="000000"/>
          <w:shd w:val="clear" w:color="auto" w:fill="FFFFFF"/>
        </w:rPr>
        <w:t xml:space="preserve"> </w:t>
      </w:r>
      <w:r w:rsidR="00BD2EE3">
        <w:rPr>
          <w:rStyle w:val="normaltextrun"/>
          <w:rFonts w:ascii="Calibri" w:hAnsi="Calibri" w:cs="Calibri"/>
          <w:color w:val="000000"/>
          <w:shd w:val="clear" w:color="auto" w:fill="FFFFFF"/>
        </w:rPr>
        <w:t>The recipient’s DUC</w:t>
      </w:r>
      <w:r w:rsidR="13597915">
        <w:rPr>
          <w:rStyle w:val="normaltextrun"/>
          <w:rFonts w:ascii="Calibri" w:hAnsi="Calibri" w:cs="Calibri"/>
          <w:color w:val="000000"/>
          <w:shd w:val="clear" w:color="auto" w:fill="FFFFFF"/>
        </w:rPr>
        <w:t>s</w:t>
      </w:r>
      <w:r w:rsidR="00BD2EE3">
        <w:rPr>
          <w:rStyle w:val="normaltextrun"/>
          <w:rFonts w:ascii="Calibri" w:hAnsi="Calibri" w:cs="Calibri"/>
          <w:color w:val="000000"/>
          <w:shd w:val="clear" w:color="auto" w:fill="FFFFFF"/>
        </w:rPr>
        <w:t xml:space="preserve"> expire after 1 year and must be renewed</w:t>
      </w:r>
      <w:r w:rsidR="0097634D">
        <w:rPr>
          <w:rStyle w:val="normaltextrun"/>
          <w:rFonts w:ascii="Calibri" w:hAnsi="Calibri" w:cs="Calibri"/>
          <w:color w:val="000000"/>
          <w:shd w:val="clear" w:color="auto" w:fill="FFFFFF"/>
        </w:rPr>
        <w:t xml:space="preserve">, </w:t>
      </w:r>
      <w:r w:rsidRPr="0097634D" w:rsidR="0097634D">
        <w:rPr>
          <w:rStyle w:val="normaltextrun"/>
          <w:rFonts w:ascii="Calibri" w:hAnsi="Calibri" w:cs="Calibri"/>
          <w:color w:val="000000"/>
          <w:highlight w:val="yellow"/>
          <w:shd w:val="clear" w:color="auto" w:fill="FFFFFF"/>
        </w:rPr>
        <w:t>with an accompanying progress report statement,</w:t>
      </w:r>
      <w:r w:rsidR="00BD2EE3">
        <w:rPr>
          <w:rStyle w:val="normaltextrun"/>
          <w:rFonts w:ascii="Calibri" w:hAnsi="Calibri" w:cs="Calibri"/>
          <w:color w:val="000000"/>
          <w:shd w:val="clear" w:color="auto" w:fill="FFFFFF"/>
        </w:rPr>
        <w:t xml:space="preserve"> if continued data access is requested. </w:t>
      </w:r>
    </w:p>
    <w:p w:rsidR="00036454" w:rsidP="00D92D36" w14:paraId="2FB2A56E" w14:textId="118AA126">
      <w:pPr>
        <w:spacing w:before="120" w:after="120" w:line="240" w:lineRule="auto"/>
      </w:pPr>
      <w:r>
        <w:t>Data from the ABCD Study</w:t>
      </w:r>
      <w:r w:rsidR="00D92D36">
        <w:t xml:space="preserve"> </w:t>
      </w:r>
      <w:r w:rsidRPr="004032EE" w:rsidR="004032EE">
        <w:rPr>
          <w:highlight w:val="yellow"/>
        </w:rPr>
        <w:t>was previously</w:t>
      </w:r>
      <w:r w:rsidR="00D92D36">
        <w:t xml:space="preserve"> maintained in the </w:t>
      </w:r>
      <w:r>
        <w:t>National Institute of Mental Health (NIMH)</w:t>
      </w:r>
      <w:r w:rsidR="00D92D36">
        <w:t xml:space="preserve"> Data Archive at the National Institutes of </w:t>
      </w:r>
      <w:r>
        <w:t xml:space="preserve">Health. </w:t>
      </w:r>
      <w:r w:rsidRPr="00D92D36" w:rsidR="00D92D36">
        <w:t>In November 2017, the NIMH received OMB approval of updates to the NIMH Data Repository DUC Form under OMB# 0925-0667</w:t>
      </w:r>
      <w:r w:rsidR="00D57DC1">
        <w:t>, Exp. 1/31/2024</w:t>
      </w:r>
      <w:r w:rsidRPr="00D92D36" w:rsidR="00D92D36">
        <w:t xml:space="preserve">.  In </w:t>
      </w:r>
      <w:r w:rsidR="003821F3">
        <w:t>October</w:t>
      </w:r>
      <w:r w:rsidRPr="00D92D36" w:rsidR="00D92D36">
        <w:t xml:space="preserve"> </w:t>
      </w:r>
      <w:r w:rsidR="003821F3">
        <w:t>2021</w:t>
      </w:r>
      <w:r w:rsidRPr="00D92D36" w:rsidR="00D92D36">
        <w:t xml:space="preserve">, NIMH received OMB approval of non-substantive changes to the DUC </w:t>
      </w:r>
      <w:r w:rsidR="009A52E3">
        <w:t>form.</w:t>
      </w:r>
      <w:r>
        <w:t xml:space="preserve"> </w:t>
      </w:r>
    </w:p>
    <w:p w:rsidR="00B75B6C" w:rsidP="00B75B6C" w14:paraId="715A658D" w14:textId="0F61DB17">
      <w:pPr>
        <w:spacing w:before="120" w:after="120" w:line="240" w:lineRule="auto"/>
      </w:pPr>
      <w:r>
        <w:t xml:space="preserve">Although the NIMH Data Archive will continue to host other data repositories, data collected as part of the ABCD Study </w:t>
      </w:r>
      <w:r w:rsidRPr="004032EE" w:rsidR="004032EE">
        <w:rPr>
          <w:highlight w:val="yellow"/>
        </w:rPr>
        <w:t>is being</w:t>
      </w:r>
      <w:r>
        <w:t xml:space="preserve"> moved to </w:t>
      </w:r>
      <w:r w:rsidR="00EE7C52">
        <w:t xml:space="preserve">a </w:t>
      </w:r>
      <w:r w:rsidR="007246B5">
        <w:t>contractor</w:t>
      </w:r>
      <w:r>
        <w:t xml:space="preserve"> and will no longer be held at </w:t>
      </w:r>
      <w:r w:rsidR="00CA1186">
        <w:t>the NIMH Data Archive</w:t>
      </w:r>
      <w:r>
        <w:t>.</w:t>
      </w:r>
      <w:r w:rsidR="00D15C8C">
        <w:t xml:space="preserve"> This is because </w:t>
      </w:r>
      <w:r w:rsidR="006B00E4">
        <w:t xml:space="preserve">the contractor </w:t>
      </w:r>
      <w:r w:rsidR="00594CC0">
        <w:t xml:space="preserve">is uniquely qualified </w:t>
      </w:r>
      <w:r w:rsidR="004C3F38">
        <w:t>to provide the necessary data ingestion, integrated data analytics, customized user experience, and flexibility to ensure ABCD data continuity in the future.</w:t>
      </w:r>
      <w:r>
        <w:t xml:space="preserve"> The content of the collection instrument in the attached is similar to </w:t>
      </w:r>
      <w:r w:rsidRPr="0097634D" w:rsidR="00153C22">
        <w:rPr>
          <w:highlight w:val="yellow"/>
        </w:rPr>
        <w:t xml:space="preserve">the </w:t>
      </w:r>
      <w:r w:rsidRPr="0097634D" w:rsidR="0097634D">
        <w:rPr>
          <w:highlight w:val="yellow"/>
        </w:rPr>
        <w:t>content</w:t>
      </w:r>
      <w:r w:rsidRPr="0097634D">
        <w:rPr>
          <w:highlight w:val="yellow"/>
        </w:rPr>
        <w:t xml:space="preserve"> r</w:t>
      </w:r>
      <w:r>
        <w:t>eferenced in OMB #0925-0667</w:t>
      </w:r>
      <w:r w:rsidR="00D57DC1">
        <w:t>, Exp. 1/31/2024</w:t>
      </w:r>
      <w:r>
        <w:t>.</w:t>
      </w:r>
      <w:r w:rsidR="00153C22">
        <w:t xml:space="preserve"> </w:t>
      </w:r>
      <w:r w:rsidR="00BB74CD">
        <w:t>Data access governance</w:t>
      </w:r>
      <w:r w:rsidR="00153C22">
        <w:t xml:space="preserve"> will continue to be managed by NIH.</w:t>
      </w:r>
    </w:p>
    <w:p w:rsidR="0028663F" w:rsidRPr="0097634D" w:rsidP="0097634D" w14:paraId="51CE2AA0" w14:textId="381EC039">
      <w:pPr>
        <w:rPr>
          <w:rStyle w:val="normaltextrun"/>
          <w:highlight w:val="yellow"/>
        </w:rPr>
      </w:pPr>
      <w:r w:rsidRPr="0099343D">
        <w:rPr>
          <w:highlight w:val="yellow"/>
        </w:rPr>
        <w:t xml:space="preserve">Following OMB approval in </w:t>
      </w:r>
      <w:r>
        <w:rPr>
          <w:highlight w:val="yellow"/>
        </w:rPr>
        <w:t>September</w:t>
      </w:r>
      <w:r w:rsidRPr="0099343D">
        <w:rPr>
          <w:highlight w:val="yellow"/>
        </w:rPr>
        <w:t xml:space="preserve"> 202</w:t>
      </w:r>
      <w:r>
        <w:rPr>
          <w:highlight w:val="yellow"/>
        </w:rPr>
        <w:t>3</w:t>
      </w:r>
      <w:r w:rsidRPr="0099343D">
        <w:rPr>
          <w:highlight w:val="yellow"/>
        </w:rPr>
        <w:t xml:space="preserve">, NIDA </w:t>
      </w:r>
      <w:r>
        <w:rPr>
          <w:highlight w:val="yellow"/>
        </w:rPr>
        <w:t xml:space="preserve">discovered the need for </w:t>
      </w:r>
      <w:r w:rsidR="001C463C">
        <w:rPr>
          <w:highlight w:val="yellow"/>
        </w:rPr>
        <w:t xml:space="preserve">updating the title to clarify inclusion of the HBCD </w:t>
      </w:r>
      <w:r w:rsidR="005C4A03">
        <w:rPr>
          <w:highlight w:val="yellow"/>
        </w:rPr>
        <w:t>Study and</w:t>
      </w:r>
      <w:r>
        <w:rPr>
          <w:highlight w:val="yellow"/>
        </w:rPr>
        <w:t xml:space="preserve"> including the request for a progress report.  In addition, it was found that certain information was not required, and that was removed</w:t>
      </w:r>
      <w:r w:rsidR="0061428E">
        <w:rPr>
          <w:highlight w:val="yellow"/>
        </w:rPr>
        <w:t>, including the data use certification (DUC) terms and conditions.</w:t>
      </w:r>
      <w:r>
        <w:rPr>
          <w:highlight w:val="yellow"/>
        </w:rPr>
        <w:t xml:space="preserve"> </w:t>
      </w:r>
    </w:p>
    <w:p w:rsidR="00BD2EE3" w:rsidP="00E32E3C" w14:paraId="37A2CE7B" w14:textId="4F21AB12">
      <w:pPr>
        <w:rPr>
          <w:b/>
          <w:bCs/>
        </w:rPr>
      </w:pPr>
      <w:r w:rsidRPr="00BD2EE3">
        <w:rPr>
          <w:b/>
          <w:bCs/>
        </w:rPr>
        <w:t>A.3</w:t>
      </w:r>
      <w:r w:rsidRPr="00BD2EE3">
        <w:rPr>
          <w:b/>
          <w:bCs/>
        </w:rPr>
        <w:tab/>
        <w:t>Use of Information Technology and Burden Reduction</w:t>
      </w:r>
    </w:p>
    <w:p w:rsidR="00153C22" w:rsidRPr="00153C22" w:rsidP="00153C22" w14:paraId="2F74B088" w14:textId="5293E6F8">
      <w:r>
        <w:t>To gain access to data, an individual must obtain data access privileges. To obtain these privileges, an individual must complete, sign</w:t>
      </w:r>
      <w:r w:rsidR="00B75B6C">
        <w:t>,</w:t>
      </w:r>
      <w:r>
        <w:t xml:space="preserve"> and submit the DUC</w:t>
      </w:r>
      <w:r w:rsidR="7F5F8A5C">
        <w:t>s</w:t>
      </w:r>
      <w:r w:rsidR="005C0C39">
        <w:t xml:space="preserve">, </w:t>
      </w:r>
      <w:r w:rsidRPr="005C0C39" w:rsidR="005C0C39">
        <w:rPr>
          <w:highlight w:val="yellow"/>
        </w:rPr>
        <w:t>including the data use and progress report statements</w:t>
      </w:r>
      <w:r w:rsidR="005C0C39">
        <w:t>,</w:t>
      </w:r>
      <w:r>
        <w:t xml:space="preserve"> to </w:t>
      </w:r>
      <w:r w:rsidR="006B00E4">
        <w:t>the contractor</w:t>
      </w:r>
      <w:r w:rsidR="00327348">
        <w:t xml:space="preserve"> who will then route to NIH</w:t>
      </w:r>
      <w:r>
        <w:t xml:space="preserve"> Staff</w:t>
      </w:r>
      <w:r w:rsidR="00327348">
        <w:t xml:space="preserve"> for review</w:t>
      </w:r>
      <w:r>
        <w:t>. Information may be typed or hand</w:t>
      </w:r>
      <w:r w:rsidR="00327348">
        <w:t>-</w:t>
      </w:r>
      <w:r>
        <w:t>written into the form</w:t>
      </w:r>
      <w:r w:rsidR="4727A96F">
        <w:t>s</w:t>
      </w:r>
      <w:r>
        <w:t xml:space="preserve"> and the form</w:t>
      </w:r>
      <w:r w:rsidR="6985A23E">
        <w:t>s</w:t>
      </w:r>
      <w:r>
        <w:t xml:space="preserve"> can be uploaded via a web portal, emailed, or sent by US Mail or Private Courier. </w:t>
      </w:r>
      <w:r w:rsidRPr="00D952E2" w:rsidR="001241FD">
        <w:rPr>
          <w:highlight w:val="yellow"/>
        </w:rPr>
        <w:t xml:space="preserve">After </w:t>
      </w:r>
      <w:r w:rsidR="00D952E2">
        <w:rPr>
          <w:highlight w:val="yellow"/>
        </w:rPr>
        <w:t xml:space="preserve">the recipient signs the form, it </w:t>
      </w:r>
      <w:r w:rsidRPr="00D952E2" w:rsidR="00D952E2">
        <w:rPr>
          <w:highlight w:val="yellow"/>
        </w:rPr>
        <w:t>will be routed to an</w:t>
      </w:r>
      <w:r w:rsidRPr="00D952E2">
        <w:rPr>
          <w:highlight w:val="yellow"/>
        </w:rPr>
        <w:t xml:space="preserve"> Institutional Signing Official</w:t>
      </w:r>
      <w:r w:rsidR="00D952E2">
        <w:rPr>
          <w:highlight w:val="yellow"/>
        </w:rPr>
        <w:t xml:space="preserve"> for their signature</w:t>
      </w:r>
      <w:r w:rsidRPr="00D952E2">
        <w:rPr>
          <w:highlight w:val="yellow"/>
        </w:rPr>
        <w:t xml:space="preserve"> after which the request will be sent to </w:t>
      </w:r>
      <w:r w:rsidRPr="00D952E2" w:rsidR="00A213E7">
        <w:rPr>
          <w:highlight w:val="yellow"/>
        </w:rPr>
        <w:t xml:space="preserve">the contractor </w:t>
      </w:r>
      <w:r w:rsidRPr="00D952E2" w:rsidR="00C421AD">
        <w:rPr>
          <w:highlight w:val="yellow"/>
        </w:rPr>
        <w:t xml:space="preserve">and routed to </w:t>
      </w:r>
      <w:r w:rsidRPr="00D952E2" w:rsidR="00A213E7">
        <w:rPr>
          <w:highlight w:val="yellow"/>
        </w:rPr>
        <w:t xml:space="preserve">the </w:t>
      </w:r>
      <w:r w:rsidRPr="00D952E2" w:rsidR="00C421AD">
        <w:rPr>
          <w:highlight w:val="yellow"/>
        </w:rPr>
        <w:t>NIH</w:t>
      </w:r>
      <w:r w:rsidRPr="00D952E2" w:rsidR="00E158E9">
        <w:rPr>
          <w:highlight w:val="yellow"/>
        </w:rPr>
        <w:t xml:space="preserve"> Data Access Committee for review</w:t>
      </w:r>
      <w:r w:rsidRPr="00D952E2">
        <w:rPr>
          <w:highlight w:val="yellow"/>
        </w:rPr>
        <w:t>.</w:t>
      </w:r>
      <w:r>
        <w:t xml:space="preserve"> Electronic review and adjudication of requests for access will also be implemented for the Data Access Committee portion of the workflow.</w:t>
      </w:r>
    </w:p>
    <w:p w:rsidR="00153C22" w:rsidRPr="00153C22" w:rsidP="00153C22" w14:paraId="2AA5148B" w14:textId="3EBCF2A8">
      <w:r>
        <w:t xml:space="preserve">The data use </w:t>
      </w:r>
      <w:r w:rsidR="0061428E">
        <w:t xml:space="preserve">and progress report </w:t>
      </w:r>
      <w:r>
        <w:t>statement</w:t>
      </w:r>
      <w:r w:rsidR="0061428E">
        <w:t>s</w:t>
      </w:r>
      <w:r>
        <w:t xml:space="preserve"> request the</w:t>
      </w:r>
      <w:r>
        <w:t xml:space="preserve"> following information:</w:t>
      </w:r>
    </w:p>
    <w:p w:rsidR="00153C22" w:rsidRPr="00153C22" w:rsidP="00153C22" w14:paraId="1A11E8BF" w14:textId="64104E84">
      <w:pPr>
        <w:numPr>
          <w:ilvl w:val="0"/>
          <w:numId w:val="4"/>
        </w:numPr>
      </w:pPr>
      <w:r>
        <w:t>Description</w:t>
      </w:r>
      <w:r w:rsidRPr="00153C22">
        <w:t xml:space="preserve"> of the data requested. </w:t>
      </w:r>
    </w:p>
    <w:p w:rsidR="00153C22" w:rsidRPr="00153C22" w:rsidP="00153C22" w14:paraId="3C1AAF78" w14:textId="7BCEA9D3">
      <w:pPr>
        <w:numPr>
          <w:ilvl w:val="0"/>
          <w:numId w:val="4"/>
        </w:numPr>
      </w:pPr>
      <w:r>
        <w:t xml:space="preserve">Contact information for the investigator seeking access (the Data Recipient), as well as for </w:t>
      </w:r>
      <w:r w:rsidR="4F79D560">
        <w:t xml:space="preserve">all </w:t>
      </w:r>
      <w:r>
        <w:t>personnel in the Recipient’s laboratory who will also require access as part of the Research Project.</w:t>
      </w:r>
    </w:p>
    <w:p w:rsidR="00153C22" w:rsidRPr="00153C22" w:rsidP="00153C22" w14:paraId="66CA5E64" w14:textId="50A4D7AD">
      <w:pPr>
        <w:numPr>
          <w:ilvl w:val="0"/>
          <w:numId w:val="4"/>
        </w:numPr>
      </w:pPr>
      <w:r w:rsidRPr="00153C22">
        <w:t xml:space="preserve">The title and </w:t>
      </w:r>
      <w:r w:rsidRPr="00153C22" w:rsidR="00CC51E3">
        <w:t>a summary</w:t>
      </w:r>
      <w:r w:rsidRPr="00153C22">
        <w:t>/abstract of the Research Project for which repository data are sought. A single paragraph is sufficient.</w:t>
      </w:r>
      <w:r w:rsidR="005D08E2">
        <w:t xml:space="preserve"> </w:t>
      </w:r>
    </w:p>
    <w:p w:rsidR="00153C22" w:rsidRPr="00153C22" w:rsidP="00153C22" w14:paraId="7C940D53" w14:textId="19A5B87E">
      <w:pPr>
        <w:numPr>
          <w:ilvl w:val="0"/>
          <w:numId w:val="4"/>
        </w:numPr>
      </w:pPr>
      <w:r>
        <w:t>Co-signatures from the Recipient Investigator and the Investigator’s Institutional Official certifying that they will abide by the DUC</w:t>
      </w:r>
      <w:r w:rsidR="3065409E">
        <w:t>s</w:t>
      </w:r>
      <w:r w:rsidR="79E2218D">
        <w:t xml:space="preserve"> </w:t>
      </w:r>
      <w:r>
        <w:t>and the NIH principles, policies</w:t>
      </w:r>
      <w:r w:rsidR="005D08E2">
        <w:t>,</w:t>
      </w:r>
      <w:r>
        <w:t xml:space="preserve"> and procedures for the use of the </w:t>
      </w:r>
      <w:r w:rsidR="005D08E2">
        <w:t>data</w:t>
      </w:r>
      <w:r>
        <w:t xml:space="preserve">. </w:t>
      </w:r>
    </w:p>
    <w:p w:rsidR="00153C22" w:rsidP="00153C22" w14:paraId="56D011AD" w14:textId="0EA25A7B">
      <w:pPr>
        <w:numPr>
          <w:ilvl w:val="0"/>
          <w:numId w:val="4"/>
        </w:numPr>
      </w:pPr>
      <w:r w:rsidRPr="00153C22">
        <w:t>The institution’s Federal Wide Assurance (FWA) number.</w:t>
      </w:r>
    </w:p>
    <w:p w:rsidR="005C0C39" w:rsidP="005C0C39" w14:paraId="1A79C913"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highlight w:val="yellow"/>
        </w:rPr>
        <w:t>Please</w:t>
      </w:r>
      <w:r w:rsidRPr="005B4F32">
        <w:rPr>
          <w:rStyle w:val="normaltextrun"/>
          <w:rFonts w:ascii="Calibri" w:hAnsi="Calibri" w:cs="Calibri"/>
          <w:sz w:val="22"/>
          <w:szCs w:val="22"/>
          <w:highlight w:val="yellow"/>
        </w:rPr>
        <w:t xml:space="preserve"> note that the signing process is integrated into an existing secure user authentication system, requiring no additional effort from recipients beyond what is already in place.</w:t>
      </w:r>
      <w:r>
        <w:rPr>
          <w:rStyle w:val="normaltextrun"/>
          <w:rFonts w:ascii="Calibri" w:hAnsi="Calibri" w:cs="Calibri"/>
          <w:sz w:val="22"/>
          <w:szCs w:val="22"/>
        </w:rPr>
        <w:t xml:space="preserve"> </w:t>
      </w:r>
    </w:p>
    <w:p w:rsidR="005C0C39" w:rsidP="005C0C39" w14:paraId="681FCCD3" w14:textId="77777777">
      <w:pPr>
        <w:pStyle w:val="paragraph"/>
        <w:spacing w:before="0" w:beforeAutospacing="0" w:after="0" w:afterAutospacing="0"/>
        <w:textAlignment w:val="baseline"/>
        <w:rPr>
          <w:rStyle w:val="normaltextrun"/>
          <w:rFonts w:ascii="Calibri" w:hAnsi="Calibri" w:cs="Calibri"/>
          <w:sz w:val="22"/>
          <w:szCs w:val="22"/>
        </w:rPr>
      </w:pPr>
    </w:p>
    <w:p w:rsidR="00153C22" w:rsidRPr="005C0C39" w:rsidP="005C0C39" w14:paraId="05BE2B3D" w14:textId="4D238E88">
      <w:pPr>
        <w:pStyle w:val="paragraph"/>
        <w:spacing w:before="0" w:beforeAutospacing="0" w:after="0" w:afterAutospacing="0"/>
        <w:textAlignment w:val="baseline"/>
        <w:rPr>
          <w:rFonts w:ascii="Segoe UI" w:hAnsi="Segoe UI" w:cs="Segoe UI"/>
          <w:sz w:val="18"/>
          <w:szCs w:val="18"/>
        </w:rPr>
      </w:pPr>
      <w:r>
        <w:t xml:space="preserve">Once completed, the </w:t>
      </w:r>
      <w:r w:rsidR="00F41F78">
        <w:t xml:space="preserve">data use </w:t>
      </w:r>
      <w:r w:rsidR="0061428E">
        <w:t xml:space="preserve">and progress report </w:t>
      </w:r>
      <w:r w:rsidR="00F41F78">
        <w:t xml:space="preserve">statements </w:t>
      </w:r>
      <w:r w:rsidR="12586F27">
        <w:t xml:space="preserve">are </w:t>
      </w:r>
      <w:r>
        <w:t xml:space="preserve">then sent for adjudication to </w:t>
      </w:r>
      <w:r w:rsidR="00953652">
        <w:t xml:space="preserve">the contractor </w:t>
      </w:r>
      <w:r w:rsidR="008A314F">
        <w:t xml:space="preserve">who will route to </w:t>
      </w:r>
      <w:r>
        <w:t xml:space="preserve">the </w:t>
      </w:r>
      <w:r w:rsidR="008A314F">
        <w:t>NIH</w:t>
      </w:r>
      <w:r>
        <w:t xml:space="preserve"> Data Access Committee (DAC). The DAC</w:t>
      </w:r>
      <w:r w:rsidR="003F4940">
        <w:t xml:space="preserve"> members review submissions </w:t>
      </w:r>
      <w:r w:rsidR="00E66D4E">
        <w:t xml:space="preserve">to ensure that the data being requested </w:t>
      </w:r>
      <w:r w:rsidR="008156B3">
        <w:t>are</w:t>
      </w:r>
      <w:r w:rsidR="00E66D4E">
        <w:t xml:space="preserve"> </w:t>
      </w:r>
      <w:r w:rsidR="008156B3">
        <w:t xml:space="preserve">available and that </w:t>
      </w:r>
      <w:r w:rsidR="00D82685">
        <w:t xml:space="preserve">the agreements have been signed. The DAC </w:t>
      </w:r>
      <w:r>
        <w:t xml:space="preserve">is responsible for approving submission and access privileges to </w:t>
      </w:r>
      <w:r w:rsidR="00953652">
        <w:t>the contractor</w:t>
      </w:r>
      <w:r>
        <w:t xml:space="preserve">. </w:t>
      </w:r>
    </w:p>
    <w:p w:rsidR="00317932" w:rsidRPr="00C4161B" w:rsidP="261B2D4F" w14:paraId="5C7068F3" w14:textId="207A8E1E">
      <w:pPr>
        <w:pStyle w:val="Heading2"/>
        <w:spacing w:line="480" w:lineRule="auto"/>
        <w:rPr>
          <w:rFonts w:asciiTheme="minorHAnsi" w:hAnsiTheme="minorHAnsi"/>
          <w:b/>
          <w:bCs/>
          <w:color w:val="auto"/>
          <w:sz w:val="22"/>
          <w:szCs w:val="22"/>
        </w:rPr>
      </w:pPr>
      <w:bookmarkStart w:id="3" w:name="_Toc443881745"/>
      <w:bookmarkStart w:id="4" w:name="_Toc451592234"/>
      <w:bookmarkStart w:id="5" w:name="_Toc5610275"/>
      <w:bookmarkStart w:id="6" w:name="_Toc99178781"/>
      <w:r w:rsidRPr="261B2D4F">
        <w:rPr>
          <w:rFonts w:asciiTheme="minorHAnsi" w:hAnsiTheme="minorHAnsi"/>
          <w:b/>
          <w:bCs/>
          <w:color w:val="auto"/>
          <w:sz w:val="22"/>
          <w:szCs w:val="22"/>
        </w:rPr>
        <w:t>A.4</w:t>
      </w:r>
      <w:r>
        <w:tab/>
      </w:r>
      <w:r w:rsidRPr="261B2D4F">
        <w:rPr>
          <w:rFonts w:asciiTheme="minorHAnsi" w:hAnsiTheme="minorHAnsi"/>
          <w:b/>
          <w:bCs/>
          <w:color w:val="auto"/>
          <w:sz w:val="22"/>
          <w:szCs w:val="22"/>
        </w:rPr>
        <w:t>Efforts to Identify Duplication and Use of Similar Information</w:t>
      </w:r>
      <w:bookmarkEnd w:id="3"/>
      <w:bookmarkEnd w:id="4"/>
      <w:bookmarkEnd w:id="5"/>
      <w:bookmarkEnd w:id="6"/>
    </w:p>
    <w:p w:rsidR="00317932" w:rsidP="00E32E3C" w14:paraId="48937806" w14:textId="7C221935">
      <w:r>
        <w:t xml:space="preserve">Data access requestors </w:t>
      </w:r>
      <w:r w:rsidR="0061428E">
        <w:t>completing the data use or progress report statements</w:t>
      </w:r>
      <w:r>
        <w:t xml:space="preserve"> have the option of either completing a fillable pdf form by typing information, </w:t>
      </w:r>
      <w:r w:rsidR="00D952E2">
        <w:t xml:space="preserve">by </w:t>
      </w:r>
      <w:r>
        <w:t>completing the form by handwriting the information</w:t>
      </w:r>
      <w:r w:rsidR="00171F01">
        <w:t>,</w:t>
      </w:r>
      <w:r>
        <w:t xml:space="preserve"> </w:t>
      </w:r>
      <w:r w:rsidR="00300B5E">
        <w:t xml:space="preserve">or </w:t>
      </w:r>
      <w:r>
        <w:t xml:space="preserve">by utilizing </w:t>
      </w:r>
      <w:r w:rsidR="0061428E">
        <w:t>an online</w:t>
      </w:r>
      <w:r>
        <w:t xml:space="preserve"> process. A digital signature is accepted for users and institutional business officials using either the fillable pdf form or the online workflow. For data access renewals, users can simply update information relevant to the new aspects of the project without updating basic information such as contact information</w:t>
      </w:r>
      <w:r w:rsidR="54514693">
        <w:t>,</w:t>
      </w:r>
      <w:r>
        <w:t xml:space="preserve"> thereby reducing the burden on the user. Due to the sensitive nature of the data contained </w:t>
      </w:r>
      <w:r w:rsidR="002B13BA">
        <w:t>in the repository</w:t>
      </w:r>
      <w:r>
        <w:t xml:space="preserve">, and in accordance with existing NIH policies, such as genome-wide association studies (GWAS; see </w:t>
      </w:r>
      <w:hyperlink r:id="rId10">
        <w:r w:rsidRPr="261B2D4F">
          <w:rPr>
            <w:rStyle w:val="Hyperlink"/>
          </w:rPr>
          <w:t>http://grants.nih.gov/grants/gwas/index.htm</w:t>
        </w:r>
      </w:hyperlink>
      <w:r>
        <w:t>), data access approvals are granted for one year and may be renewed thereupon</w:t>
      </w:r>
      <w:r w:rsidR="002B13BA">
        <w:t>.</w:t>
      </w:r>
    </w:p>
    <w:p w:rsidR="00202904" w:rsidRPr="00202904" w:rsidP="00202904" w14:paraId="6B4164DD" w14:textId="77777777">
      <w:pPr>
        <w:rPr>
          <w:b/>
        </w:rPr>
      </w:pPr>
      <w:bookmarkStart w:id="7" w:name="_Toc443881746"/>
      <w:bookmarkStart w:id="8" w:name="_Toc451592235"/>
      <w:bookmarkStart w:id="9" w:name="_Toc5610276"/>
      <w:bookmarkStart w:id="10" w:name="_Toc99178782"/>
      <w:r w:rsidRPr="00202904">
        <w:rPr>
          <w:b/>
        </w:rPr>
        <w:t>A.5</w:t>
      </w:r>
      <w:r w:rsidRPr="00202904">
        <w:rPr>
          <w:b/>
        </w:rPr>
        <w:tab/>
        <w:t>Impact on Small Businesses or Other Small Entities</w:t>
      </w:r>
      <w:bookmarkEnd w:id="7"/>
      <w:bookmarkEnd w:id="8"/>
      <w:bookmarkEnd w:id="9"/>
      <w:bookmarkEnd w:id="10"/>
    </w:p>
    <w:p w:rsidR="00202904" w:rsidRPr="00202904" w:rsidP="00202904" w14:paraId="46C77123" w14:textId="77777777">
      <w:r w:rsidRPr="00202904">
        <w:t>No small businesses will be involved in this project.</w:t>
      </w:r>
    </w:p>
    <w:p w:rsidR="004D38A1" w:rsidRPr="004D38A1" w:rsidP="004D38A1" w14:paraId="2574A6BA" w14:textId="77777777">
      <w:pPr>
        <w:rPr>
          <w:b/>
        </w:rPr>
      </w:pPr>
      <w:bookmarkStart w:id="11" w:name="_Toc443881747"/>
      <w:bookmarkStart w:id="12" w:name="_Toc451592236"/>
      <w:bookmarkStart w:id="13" w:name="_Toc5610277"/>
      <w:bookmarkStart w:id="14" w:name="_Toc99178783"/>
      <w:r w:rsidRPr="004D38A1">
        <w:rPr>
          <w:b/>
        </w:rPr>
        <w:t>A.6</w:t>
      </w:r>
      <w:r w:rsidRPr="004D38A1">
        <w:rPr>
          <w:b/>
        </w:rPr>
        <w:tab/>
        <w:t>Consequences of Collecting the Information Less Frequently</w:t>
      </w:r>
      <w:bookmarkEnd w:id="11"/>
      <w:bookmarkEnd w:id="12"/>
      <w:bookmarkEnd w:id="13"/>
      <w:bookmarkEnd w:id="14"/>
    </w:p>
    <w:p w:rsidR="004D38A1" w:rsidP="004D38A1" w14:paraId="072CF25C" w14:textId="24B58754">
      <w:r>
        <w:t xml:space="preserve">The information requested in the </w:t>
      </w:r>
      <w:r w:rsidR="0061428E">
        <w:t xml:space="preserve">data use and progress report statements </w:t>
      </w:r>
      <w:r>
        <w:t xml:space="preserve">does not ask investigators to generate any new information, because the type of information being requested is fundamental to conducting any research study. The data are collected as needed with the primary purpose of ensuring that the users are aware of and follow the terms and conditions related to data access. The </w:t>
      </w:r>
      <w:r w:rsidR="0061428E">
        <w:t xml:space="preserve">statements </w:t>
      </w:r>
      <w:r w:rsidR="60C34BD7">
        <w:t xml:space="preserve">are </w:t>
      </w:r>
      <w:r>
        <w:t xml:space="preserve">required to be completed once </w:t>
      </w:r>
      <w:r w:rsidR="00962BF3">
        <w:t>per</w:t>
      </w:r>
      <w:r>
        <w:t xml:space="preserve"> year</w:t>
      </w:r>
      <w:r w:rsidR="007578F5">
        <w:t xml:space="preserve"> (if </w:t>
      </w:r>
      <w:r w:rsidR="00177ECB">
        <w:t>being renewed)</w:t>
      </w:r>
      <w:r>
        <w:t xml:space="preserve"> per lead researcher/investigator request. Protecting the privacy of the research participants and the confidentiality of their data is critically important. Essential aspects of that protection are careful screening of who may obtain access to </w:t>
      </w:r>
      <w:r w:rsidR="5E62602B">
        <w:t>the data platform</w:t>
      </w:r>
      <w:r>
        <w:t xml:space="preserve">, and ongoing monitoring of the use of the </w:t>
      </w:r>
      <w:r w:rsidR="00F4433D">
        <w:t>platform</w:t>
      </w:r>
      <w:r>
        <w:t>.</w:t>
      </w:r>
    </w:p>
    <w:p w:rsidR="00811FCB" w:rsidRPr="00811FCB" w:rsidP="00811FCB" w14:paraId="016787C0" w14:textId="77777777">
      <w:pPr>
        <w:rPr>
          <w:b/>
        </w:rPr>
      </w:pPr>
      <w:bookmarkStart w:id="15" w:name="_Toc443881748"/>
      <w:bookmarkStart w:id="16" w:name="_Toc451592237"/>
      <w:bookmarkStart w:id="17" w:name="_Toc5610278"/>
      <w:bookmarkStart w:id="18" w:name="_Toc99178784"/>
      <w:r w:rsidRPr="00811FCB">
        <w:rPr>
          <w:b/>
        </w:rPr>
        <w:t>A.7</w:t>
      </w:r>
      <w:r w:rsidRPr="00811FCB">
        <w:rPr>
          <w:b/>
        </w:rPr>
        <w:tab/>
        <w:t xml:space="preserve">Special Circumstances Relating to the Guidelines of 5 </w:t>
      </w:r>
      <w:smartTag w:uri="urn:schemas-microsoft-com:office:smarttags" w:element="stockticker">
        <w:r w:rsidRPr="00811FCB">
          <w:rPr>
            <w:b/>
          </w:rPr>
          <w:t>CFR</w:t>
        </w:r>
      </w:smartTag>
      <w:r w:rsidRPr="00811FCB">
        <w:rPr>
          <w:b/>
        </w:rPr>
        <w:t xml:space="preserve"> 1320.5</w:t>
      </w:r>
      <w:bookmarkEnd w:id="15"/>
      <w:bookmarkEnd w:id="16"/>
      <w:bookmarkEnd w:id="17"/>
      <w:bookmarkEnd w:id="18"/>
    </w:p>
    <w:p w:rsidR="00811FCB" w:rsidRPr="00811FCB" w:rsidP="00811FCB" w14:paraId="7BCF7D67" w14:textId="0FECC090">
      <w:r>
        <w:t>Guidelines of 5 CFR 13</w:t>
      </w:r>
      <w:r w:rsidR="72AC5404">
        <w:t>04/24/</w:t>
      </w:r>
      <w:r>
        <w:t>20.5 are not applicable to this project.</w:t>
      </w:r>
    </w:p>
    <w:p w:rsidR="00B51B74" w:rsidRPr="00B51B74" w:rsidP="00B51B74" w14:paraId="6C723A22" w14:textId="77777777">
      <w:pPr>
        <w:rPr>
          <w:b/>
        </w:rPr>
      </w:pPr>
      <w:bookmarkStart w:id="19" w:name="_Toc443881749"/>
      <w:bookmarkStart w:id="20" w:name="_Toc451592238"/>
      <w:bookmarkStart w:id="21" w:name="_Toc5610279"/>
      <w:bookmarkStart w:id="22" w:name="_Toc99178785"/>
      <w:r w:rsidRPr="00B51B74">
        <w:rPr>
          <w:b/>
        </w:rPr>
        <w:t>A.8.1</w:t>
      </w:r>
      <w:r w:rsidRPr="00B51B74">
        <w:rPr>
          <w:b/>
        </w:rPr>
        <w:tab/>
        <w:t xml:space="preserve">Comments in Response to the Federal Register Notice </w:t>
      </w:r>
    </w:p>
    <w:bookmarkEnd w:id="19"/>
    <w:bookmarkEnd w:id="20"/>
    <w:bookmarkEnd w:id="21"/>
    <w:bookmarkEnd w:id="22"/>
    <w:p w:rsidR="00F4475C" w:rsidRPr="007F239C" w:rsidP="00F4475C" w14:paraId="3582ED90" w14:textId="00BA1E8A">
      <w:pPr>
        <w:spacing w:after="200" w:line="276" w:lineRule="auto"/>
      </w:pPr>
      <w:r w:rsidRPr="007F239C">
        <w:t xml:space="preserve">In accordance with 5 CFR 1320.8(d), a 60-day notice for public comment was published on </w:t>
      </w:r>
      <w:r w:rsidR="00033801">
        <w:t>November 12</w:t>
      </w:r>
      <w:r w:rsidRPr="007F239C">
        <w:t>, 202</w:t>
      </w:r>
      <w:r w:rsidR="00033801">
        <w:t>4</w:t>
      </w:r>
      <w:r w:rsidRPr="007F239C">
        <w:t>, page</w:t>
      </w:r>
      <w:r w:rsidR="00033801">
        <w:t>s</w:t>
      </w:r>
      <w:r w:rsidRPr="007F239C">
        <w:t xml:space="preserve"> </w:t>
      </w:r>
      <w:r w:rsidR="00033801">
        <w:t>89019-89020</w:t>
      </w:r>
      <w:r w:rsidRPr="007F239C">
        <w:t xml:space="preserve"> (8</w:t>
      </w:r>
      <w:r w:rsidR="00033801">
        <w:t>9</w:t>
      </w:r>
      <w:r w:rsidRPr="007F239C">
        <w:t xml:space="preserve"> FR </w:t>
      </w:r>
      <w:r w:rsidR="00033801">
        <w:t>89019</w:t>
      </w:r>
      <w:r w:rsidRPr="007F239C">
        <w:t xml:space="preserve">) in the Federal Register. There were no public comments received.  </w:t>
      </w:r>
    </w:p>
    <w:p w:rsidR="009A4AAD" w:rsidRPr="009A4AAD" w:rsidP="009A4AAD" w14:paraId="00BD4996" w14:textId="77777777">
      <w:pPr>
        <w:rPr>
          <w:b/>
        </w:rPr>
      </w:pPr>
      <w:r w:rsidRPr="009A4AAD">
        <w:rPr>
          <w:b/>
        </w:rPr>
        <w:t>A.8.2</w:t>
      </w:r>
      <w:r w:rsidRPr="009A4AAD">
        <w:rPr>
          <w:b/>
        </w:rPr>
        <w:tab/>
        <w:t>Efforts to Consult Outside Agency</w:t>
      </w:r>
    </w:p>
    <w:p w:rsidR="009A4AAD" w:rsidP="009A4AAD" w14:paraId="78BC9FC8" w14:textId="0505DFC3">
      <w:r>
        <w:t xml:space="preserve">Investigators and institutional business officials are consulted on a regular basis during the performance of other activities related to data access. While proactive conversations are not elicited, investigators and institutional business officials have provided feedback on the type of information requested on the </w:t>
      </w:r>
      <w:r w:rsidRPr="005C0C39" w:rsidR="005C0C39">
        <w:rPr>
          <w:highlight w:val="yellow"/>
        </w:rPr>
        <w:t>data use and progress report statements</w:t>
      </w:r>
      <w:r>
        <w:t xml:space="preserve">. </w:t>
      </w:r>
      <w:r w:rsidRPr="005C0C39" w:rsidR="005C0C39">
        <w:rPr>
          <w:highlight w:val="yellow"/>
        </w:rPr>
        <w:t xml:space="preserve">The statements </w:t>
      </w:r>
      <w:r w:rsidRPr="005C0C39">
        <w:rPr>
          <w:highlight w:val="yellow"/>
        </w:rPr>
        <w:t xml:space="preserve">submitted for approval incorporate the comments from such representatives </w:t>
      </w:r>
      <w:r w:rsidRPr="005C0C39">
        <w:rPr>
          <w:highlight w:val="yellow"/>
        </w:rPr>
        <w:t>in an effort to</w:t>
      </w:r>
      <w:r w:rsidRPr="005C0C39">
        <w:rPr>
          <w:highlight w:val="yellow"/>
        </w:rPr>
        <w:t xml:space="preserve"> reduce burden and allow for the completion of the </w:t>
      </w:r>
      <w:r w:rsidR="005C0C39">
        <w:rPr>
          <w:highlight w:val="yellow"/>
        </w:rPr>
        <w:t>statements</w:t>
      </w:r>
      <w:r w:rsidRPr="005C0C39">
        <w:rPr>
          <w:highlight w:val="yellow"/>
        </w:rPr>
        <w:t xml:space="preserve"> in a timelier manner.</w:t>
      </w:r>
      <w:r>
        <w:t xml:space="preserve"> </w:t>
      </w:r>
    </w:p>
    <w:p w:rsidR="001F6DFB" w:rsidRPr="001F6DFB" w:rsidP="001F6DFB" w14:paraId="199690AC" w14:textId="77777777">
      <w:pPr>
        <w:rPr>
          <w:b/>
        </w:rPr>
      </w:pPr>
      <w:r w:rsidRPr="001F6DFB">
        <w:rPr>
          <w:b/>
        </w:rPr>
        <w:t>A.9</w:t>
      </w:r>
      <w:r w:rsidRPr="001F6DFB">
        <w:rPr>
          <w:b/>
        </w:rPr>
        <w:tab/>
        <w:t>Explanation of Any Payment of Gift to Respondents</w:t>
      </w:r>
    </w:p>
    <w:p w:rsidR="001F6DFB" w:rsidRPr="001F6DFB" w:rsidP="001F6DFB" w14:paraId="4038E649" w14:textId="77777777">
      <w:r w:rsidRPr="001F6DFB">
        <w:t>No payment or gift will be provided to respondents.</w:t>
      </w:r>
    </w:p>
    <w:p w:rsidR="00872062" w:rsidRPr="00872062" w:rsidP="00872062" w14:paraId="4AAB984E" w14:textId="77777777">
      <w:pPr>
        <w:rPr>
          <w:b/>
        </w:rPr>
      </w:pPr>
      <w:r w:rsidRPr="00872062">
        <w:rPr>
          <w:b/>
        </w:rPr>
        <w:t>A.10</w:t>
      </w:r>
      <w:r w:rsidRPr="00872062">
        <w:rPr>
          <w:b/>
        </w:rPr>
        <w:tab/>
        <w:t>Assurance of Confidentiality Provided to Respondents</w:t>
      </w:r>
    </w:p>
    <w:p w:rsidR="00872062" w:rsidRPr="00872062" w:rsidP="00872062" w14:paraId="33FECF10" w14:textId="59F28C42">
      <w:r w:rsidRPr="00872062">
        <w:t>The Federal Privacy Act ensures that no sensitive or personally identifiable information, located in federal systems of records (e.g., Recipient NIH records), is being shared</w:t>
      </w:r>
      <w:r w:rsidR="00996869">
        <w:t>, to the extent permitted by law</w:t>
      </w:r>
      <w:r w:rsidRPr="00872062">
        <w:t xml:space="preserve">. A system of records is any group of records under the control of a federal agency from which information is retrieved by the name of the individual or by some identifying number, symbol, or other identifying </w:t>
      </w:r>
      <w:r w:rsidR="00512CC4">
        <w:t>information</w:t>
      </w:r>
      <w:r w:rsidRPr="00872062">
        <w:t xml:space="preserve"> assigned to the individual. The NIH and any sites that are provided access to the datasets will have access to the data collected from the Recipient for the purposes described above. In addition, the Act allows the release of some information in the Recipient’s records without his/her permission; for example, if it is required by members of Congress or other authorized individuals. The information requested is voluntary, but necessary for obtaining access to data.</w:t>
      </w:r>
    </w:p>
    <w:p w:rsidR="00872062" w:rsidRPr="00872062" w:rsidP="00872062" w14:paraId="515A73C6" w14:textId="4202FAAF">
      <w:r w:rsidRPr="00872062">
        <w:t>Each Data Access Request provides a Privacy Act Notification pursuant to Public Law 93-579, Privacy Act of 1974, 5 U.S.C. Section 552a. These records will be maintained in accordance with the Privacy Act System of Record Notice 09-25-0200 (</w:t>
      </w:r>
      <w:hyperlink r:id="rId11" w:history="1">
        <w:r w:rsidRPr="00872062">
          <w:rPr>
            <w:rStyle w:val="Hyperlink"/>
          </w:rPr>
          <w:t>https://oma.od.nih.gov/forms/Privacy%20Documents/PAfiles/0200.htm</w:t>
        </w:r>
      </w:hyperlink>
      <w:r w:rsidRPr="00872062">
        <w:t>) covering “Clinical, Basic and Population-based Research Studies of the National Institutes of Health (NIH), HHS/NIH/OD.”</w:t>
      </w:r>
    </w:p>
    <w:p w:rsidR="00872062" w:rsidRPr="00872062" w:rsidP="00872062" w14:paraId="16186067" w14:textId="478F4306">
      <w:r>
        <w:t xml:space="preserve">The information requested from the investigator seeking access to </w:t>
      </w:r>
      <w:r w:rsidR="00A82711">
        <w:t>ABCD</w:t>
      </w:r>
      <w:r w:rsidR="005154B4">
        <w:t xml:space="preserve"> </w:t>
      </w:r>
      <w:r w:rsidRPr="005154B4" w:rsidR="005154B4">
        <w:rPr>
          <w:highlight w:val="yellow"/>
        </w:rPr>
        <w:t>or HBCD</w:t>
      </w:r>
      <w:r>
        <w:t xml:space="preserve"> data, as part of the DUC</w:t>
      </w:r>
      <w:r w:rsidR="03FA9F52">
        <w:t>s</w:t>
      </w:r>
      <w:r>
        <w:t>, may be made public in part or in whole for tracking and reporting purposes. The DUC Form</w:t>
      </w:r>
      <w:r w:rsidR="15CCB8C3">
        <w:t>s</w:t>
      </w:r>
      <w:r>
        <w:t xml:space="preserve"> provide a Privacy Act Notification pursuant to Public Law 93-579, Privacy Act of 1974, 5 U.S.C. Section 552a. These records will be maintained in accordance with the Privacy Act System of Record Notice 09-25-0156, September 26, 2002, 67 FR 60742-60794 (</w:t>
      </w:r>
      <w:hyperlink r:id="rId12">
        <w:r w:rsidRPr="08AFD7C9">
          <w:rPr>
            <w:rStyle w:val="Hyperlink"/>
          </w:rPr>
          <w:t>https://oma.od.nih.gov/forms/Privacy%20Documents/PAfiles/0156.htm</w:t>
        </w:r>
      </w:hyperlink>
      <w:r>
        <w:t>) covering “Records of Participants in Programs and Respondents in Surveys Used to Evaluate Programs of the Public Health Service, HHS/PHS/NIH/OD.”</w:t>
      </w:r>
    </w:p>
    <w:p w:rsidR="00872062" w:rsidRPr="00872062" w:rsidP="00872062" w14:paraId="4037115B" w14:textId="5A296466">
      <w:r>
        <w:t xml:space="preserve">Although the repository data will be coded (or de-identified) and </w:t>
      </w:r>
      <w:r w:rsidR="7265135A">
        <w:t>the data platform</w:t>
      </w:r>
      <w:r>
        <w:t xml:space="preserve"> will not hold direct identifiers to individuals within </w:t>
      </w:r>
      <w:r w:rsidR="00B43880">
        <w:t>the platform</w:t>
      </w:r>
      <w:r>
        <w:t xml:space="preserve">, </w:t>
      </w:r>
      <w:r w:rsidR="0051614E">
        <w:t xml:space="preserve">the contractor </w:t>
      </w:r>
      <w:r w:rsidR="001D3718">
        <w:t xml:space="preserve">and NIH </w:t>
      </w:r>
      <w:r>
        <w:t xml:space="preserve">recognize the personal and potentially sensitive nature of the data. Investigators and institutions seeking access to data or images from the repository are expected to meet data security measures and to submit </w:t>
      </w:r>
      <w:r w:rsidRPr="001309E2" w:rsidR="001309E2">
        <w:rPr>
          <w:highlight w:val="yellow"/>
        </w:rPr>
        <w:t>data use and progress report statements</w:t>
      </w:r>
      <w:r>
        <w:t xml:space="preserve"> co-signed by the investigator and the designated Institutional Official, as applicable.</w:t>
      </w:r>
    </w:p>
    <w:p w:rsidR="00FB5B0F" w:rsidRPr="00FB5B0F" w:rsidP="00FB5B0F" w14:paraId="082CF7AE" w14:textId="77777777">
      <w:pPr>
        <w:rPr>
          <w:b/>
        </w:rPr>
      </w:pPr>
      <w:r w:rsidRPr="00FB5B0F">
        <w:rPr>
          <w:b/>
        </w:rPr>
        <w:t>A.11</w:t>
      </w:r>
      <w:r w:rsidRPr="00FB5B0F">
        <w:rPr>
          <w:b/>
        </w:rPr>
        <w:tab/>
        <w:t>Justification for Sensitive Questions</w:t>
      </w:r>
    </w:p>
    <w:p w:rsidR="00FB5B0F" w:rsidP="00FB5B0F" w14:paraId="40268B34" w14:textId="2F87FB0C">
      <w:r>
        <w:t xml:space="preserve">NIH </w:t>
      </w:r>
      <w:r w:rsidRPr="00FB5B0F">
        <w:t>does not ask any questions of a sensitive nature, such as sexual behavior and attitudes, religious beliefs, and other matters that are commonly considered private; and therefore, a justification for this type of information</w:t>
      </w:r>
      <w:r w:rsidR="002C6DC0">
        <w:t xml:space="preserve"> is not applicable</w:t>
      </w:r>
      <w:r w:rsidR="003A0B2F">
        <w:t>.</w:t>
      </w:r>
      <w:r w:rsidRPr="00FB5B0F">
        <w:t xml:space="preserve"> </w:t>
      </w:r>
    </w:p>
    <w:p w:rsidR="002F3F91" w:rsidRPr="002F3F91" w:rsidP="002F3F91" w14:paraId="402F5AD5" w14:textId="77777777">
      <w:pPr>
        <w:rPr>
          <w:b/>
        </w:rPr>
      </w:pPr>
      <w:r w:rsidRPr="002F3F91">
        <w:rPr>
          <w:b/>
        </w:rPr>
        <w:t>A.12.1</w:t>
      </w:r>
      <w:r w:rsidRPr="002F3F91">
        <w:rPr>
          <w:b/>
        </w:rPr>
        <w:tab/>
        <w:t>Estimates of Hour Burden Including Annualized Hourly Costs</w:t>
      </w:r>
    </w:p>
    <w:p w:rsidR="002F3F91" w:rsidRPr="002F3F91" w:rsidP="00B33FA4" w14:paraId="73BC7425" w14:textId="1FF3CF98">
      <w:pPr>
        <w:jc w:val="center"/>
      </w:pPr>
      <w:r>
        <w:t>Table 12-1 Estimated Annualized Burden Hours</w:t>
      </w:r>
    </w:p>
    <w:tbl>
      <w:tblPr>
        <w:tblW w:w="0" w:type="auto"/>
        <w:tblLayout w:type="fixed"/>
        <w:tblLook w:val="06A0"/>
      </w:tblPr>
      <w:tblGrid>
        <w:gridCol w:w="1710"/>
        <w:gridCol w:w="1440"/>
        <w:gridCol w:w="1620"/>
        <w:gridCol w:w="1710"/>
        <w:gridCol w:w="1980"/>
      </w:tblGrid>
      <w:tr w14:paraId="52CEF25A" w14:textId="77777777" w:rsidTr="08AFD7C9">
        <w:tblPrEx>
          <w:tblW w:w="0" w:type="auto"/>
          <w:tblLayout w:type="fixed"/>
          <w:tblLook w:val="06A0"/>
        </w:tblPrEx>
        <w:trPr>
          <w:trHeight w:val="405"/>
        </w:trPr>
        <w:tc>
          <w:tcPr>
            <w:tcW w:w="171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14:paraId="65E9FC6A" w14:textId="6F8D814D">
            <w:r w:rsidRPr="08AFD7C9">
              <w:rPr>
                <w:rFonts w:ascii="Times New Roman" w:eastAsia="Times New Roman" w:hAnsi="Times New Roman" w:cs="Times New Roman"/>
                <w:sz w:val="24"/>
                <w:szCs w:val="24"/>
              </w:rPr>
              <w:t>Type of Respondent</w:t>
            </w:r>
          </w:p>
        </w:tc>
        <w:tc>
          <w:tcPr>
            <w:tcW w:w="144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14:paraId="6FFCDE78" w14:textId="59F332DD">
            <w:r w:rsidRPr="08AFD7C9">
              <w:rPr>
                <w:rFonts w:ascii="Times New Roman" w:eastAsia="Times New Roman" w:hAnsi="Times New Roman" w:cs="Times New Roman"/>
                <w:sz w:val="24"/>
                <w:szCs w:val="24"/>
              </w:rPr>
              <w:t>Number of Respondents</w:t>
            </w:r>
          </w:p>
        </w:tc>
        <w:tc>
          <w:tcPr>
            <w:tcW w:w="162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14:paraId="41AF6EAB" w14:textId="0991AFA4">
            <w:r w:rsidRPr="08AFD7C9">
              <w:rPr>
                <w:rFonts w:ascii="Times New Roman" w:eastAsia="Times New Roman" w:hAnsi="Times New Roman" w:cs="Times New Roman"/>
                <w:sz w:val="24"/>
                <w:szCs w:val="24"/>
              </w:rPr>
              <w:t>Number of Responses per Respondent</w:t>
            </w:r>
          </w:p>
        </w:tc>
        <w:tc>
          <w:tcPr>
            <w:tcW w:w="171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14:paraId="002916ED" w14:textId="7582710C">
            <w:r w:rsidRPr="08AFD7C9">
              <w:rPr>
                <w:rFonts w:ascii="Times New Roman" w:eastAsia="Times New Roman" w:hAnsi="Times New Roman" w:cs="Times New Roman"/>
                <w:sz w:val="24"/>
                <w:szCs w:val="24"/>
              </w:rPr>
              <w:t xml:space="preserve">Average Time Per Response </w:t>
            </w:r>
          </w:p>
          <w:p w:rsidR="16CE23A1" w14:paraId="2473835F" w14:textId="28E1C566">
            <w:r w:rsidRPr="08AFD7C9">
              <w:rPr>
                <w:rFonts w:ascii="Times New Roman" w:eastAsia="Times New Roman" w:hAnsi="Times New Roman" w:cs="Times New Roman"/>
                <w:sz w:val="24"/>
                <w:szCs w:val="24"/>
              </w:rPr>
              <w:t xml:space="preserve">(in hours) </w:t>
            </w:r>
          </w:p>
        </w:tc>
        <w:tc>
          <w:tcPr>
            <w:tcW w:w="198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14:paraId="79748E2E" w14:textId="40ADEE0E">
            <w:r w:rsidRPr="08AFD7C9">
              <w:rPr>
                <w:rFonts w:ascii="Times New Roman" w:eastAsia="Times New Roman" w:hAnsi="Times New Roman" w:cs="Times New Roman"/>
                <w:sz w:val="24"/>
                <w:szCs w:val="24"/>
              </w:rPr>
              <w:t xml:space="preserve">Total Annual Burden Hour </w:t>
            </w:r>
          </w:p>
        </w:tc>
      </w:tr>
      <w:tr w14:paraId="52C29032" w14:textId="77777777" w:rsidTr="08AFD7C9">
        <w:tblPrEx>
          <w:tblW w:w="0" w:type="auto"/>
          <w:tblLayout w:type="fixed"/>
          <w:tblLook w:val="06A0"/>
        </w:tblPrEx>
        <w:trPr>
          <w:trHeight w:val="405"/>
        </w:trPr>
        <w:tc>
          <w:tcPr>
            <w:tcW w:w="171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14:paraId="5CDE7093" w14:textId="48D3C16A">
            <w:r w:rsidRPr="08AFD7C9">
              <w:rPr>
                <w:rFonts w:ascii="Times New Roman" w:eastAsia="Times New Roman" w:hAnsi="Times New Roman" w:cs="Times New Roman"/>
                <w:sz w:val="24"/>
                <w:szCs w:val="24"/>
              </w:rPr>
              <w:t>Individuals (standard DUC form)</w:t>
            </w:r>
          </w:p>
        </w:tc>
        <w:tc>
          <w:tcPr>
            <w:tcW w:w="144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rsidP="08AFD7C9" w14:paraId="56167EC9" w14:textId="3A17A436">
            <w:pPr>
              <w:jc w:val="center"/>
              <w:rPr>
                <w:rFonts w:ascii="Times New Roman" w:eastAsia="Times New Roman" w:hAnsi="Times New Roman" w:cs="Times New Roman"/>
                <w:sz w:val="24"/>
                <w:szCs w:val="24"/>
              </w:rPr>
            </w:pPr>
            <w:r w:rsidRPr="08AFD7C9">
              <w:rPr>
                <w:rFonts w:ascii="Times New Roman" w:eastAsia="Times New Roman" w:hAnsi="Times New Roman" w:cs="Times New Roman"/>
                <w:sz w:val="24"/>
                <w:szCs w:val="24"/>
              </w:rPr>
              <w:t>1800</w:t>
            </w:r>
          </w:p>
        </w:tc>
        <w:tc>
          <w:tcPr>
            <w:tcW w:w="162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rsidP="08AFD7C9" w14:paraId="33B4CD25" w14:textId="45D19E6B">
            <w:pPr>
              <w:jc w:val="center"/>
              <w:rPr>
                <w:rFonts w:ascii="Times New Roman" w:eastAsia="Times New Roman" w:hAnsi="Times New Roman" w:cs="Times New Roman"/>
                <w:sz w:val="24"/>
                <w:szCs w:val="24"/>
              </w:rPr>
            </w:pPr>
            <w:r w:rsidRPr="08AFD7C9">
              <w:rPr>
                <w:rFonts w:ascii="Times New Roman" w:eastAsia="Times New Roman" w:hAnsi="Times New Roman" w:cs="Times New Roman"/>
                <w:sz w:val="24"/>
                <w:szCs w:val="24"/>
              </w:rPr>
              <w:t>1</w:t>
            </w:r>
          </w:p>
        </w:tc>
        <w:tc>
          <w:tcPr>
            <w:tcW w:w="171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rsidP="08AFD7C9" w14:paraId="38671581" w14:textId="1EFA09DD">
            <w:pPr>
              <w:jc w:val="center"/>
              <w:rPr>
                <w:rFonts w:ascii="Times New Roman" w:eastAsia="Times New Roman" w:hAnsi="Times New Roman" w:cs="Times New Roman"/>
                <w:sz w:val="24"/>
                <w:szCs w:val="24"/>
              </w:rPr>
            </w:pPr>
            <w:r w:rsidRPr="08AFD7C9">
              <w:rPr>
                <w:rFonts w:ascii="Times New Roman" w:eastAsia="Times New Roman" w:hAnsi="Times New Roman" w:cs="Times New Roman"/>
                <w:sz w:val="24"/>
                <w:szCs w:val="24"/>
              </w:rPr>
              <w:t>1</w:t>
            </w:r>
          </w:p>
        </w:tc>
        <w:tc>
          <w:tcPr>
            <w:tcW w:w="198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rsidP="08AFD7C9" w14:paraId="0F7C932B" w14:textId="0D6ED5EB">
            <w:pPr>
              <w:jc w:val="center"/>
              <w:rPr>
                <w:rFonts w:ascii="Times New Roman" w:eastAsia="Times New Roman" w:hAnsi="Times New Roman" w:cs="Times New Roman"/>
                <w:sz w:val="24"/>
                <w:szCs w:val="24"/>
              </w:rPr>
            </w:pPr>
            <w:r w:rsidRPr="08AFD7C9">
              <w:rPr>
                <w:rFonts w:ascii="Times New Roman" w:eastAsia="Times New Roman" w:hAnsi="Times New Roman" w:cs="Times New Roman"/>
                <w:sz w:val="24"/>
                <w:szCs w:val="24"/>
              </w:rPr>
              <w:t>1800</w:t>
            </w:r>
          </w:p>
        </w:tc>
      </w:tr>
      <w:tr w14:paraId="453AA98A" w14:textId="77777777" w:rsidTr="08AFD7C9">
        <w:tblPrEx>
          <w:tblW w:w="0" w:type="auto"/>
          <w:tblLayout w:type="fixed"/>
          <w:tblLook w:val="06A0"/>
        </w:tblPrEx>
        <w:trPr>
          <w:trHeight w:val="405"/>
        </w:trPr>
        <w:tc>
          <w:tcPr>
            <w:tcW w:w="171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14:paraId="586556F4" w14:textId="25F1D10F">
            <w:r w:rsidRPr="08AFD7C9">
              <w:rPr>
                <w:rFonts w:ascii="Times New Roman" w:eastAsia="Times New Roman" w:hAnsi="Times New Roman" w:cs="Times New Roman"/>
                <w:sz w:val="24"/>
                <w:szCs w:val="24"/>
              </w:rPr>
              <w:t xml:space="preserve">Individuals (additional AI/AN DUC form when </w:t>
            </w:r>
            <w:r w:rsidR="007F239C">
              <w:rPr>
                <w:rFonts w:ascii="Times New Roman" w:eastAsia="Times New Roman" w:hAnsi="Times New Roman" w:cs="Times New Roman"/>
                <w:sz w:val="24"/>
                <w:szCs w:val="24"/>
              </w:rPr>
              <w:t>needed</w:t>
            </w:r>
            <w:r w:rsidRPr="08AFD7C9">
              <w:rPr>
                <w:rFonts w:ascii="Times New Roman" w:eastAsia="Times New Roman" w:hAnsi="Times New Roman" w:cs="Times New Roman"/>
                <w:sz w:val="24"/>
                <w:szCs w:val="24"/>
              </w:rPr>
              <w:t>)</w:t>
            </w:r>
          </w:p>
        </w:tc>
        <w:tc>
          <w:tcPr>
            <w:tcW w:w="144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rsidP="08AFD7C9" w14:paraId="6346487D" w14:textId="7C27BEBE">
            <w:pPr>
              <w:jc w:val="center"/>
              <w:rPr>
                <w:rFonts w:ascii="Times New Roman" w:eastAsia="Times New Roman" w:hAnsi="Times New Roman" w:cs="Times New Roman"/>
                <w:sz w:val="24"/>
                <w:szCs w:val="24"/>
              </w:rPr>
            </w:pPr>
            <w:r w:rsidRPr="08AFD7C9">
              <w:rPr>
                <w:rFonts w:ascii="Times New Roman" w:eastAsia="Times New Roman" w:hAnsi="Times New Roman" w:cs="Times New Roman"/>
                <w:sz w:val="24"/>
                <w:szCs w:val="24"/>
              </w:rPr>
              <w:t>200</w:t>
            </w:r>
          </w:p>
        </w:tc>
        <w:tc>
          <w:tcPr>
            <w:tcW w:w="162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rsidP="08AFD7C9" w14:paraId="2E0FD8A7" w14:textId="4E5DEF35">
            <w:pPr>
              <w:jc w:val="center"/>
              <w:rPr>
                <w:rFonts w:ascii="Times New Roman" w:eastAsia="Times New Roman" w:hAnsi="Times New Roman" w:cs="Times New Roman"/>
                <w:sz w:val="24"/>
                <w:szCs w:val="24"/>
              </w:rPr>
            </w:pPr>
            <w:r w:rsidRPr="08AFD7C9">
              <w:rPr>
                <w:rFonts w:ascii="Times New Roman" w:eastAsia="Times New Roman" w:hAnsi="Times New Roman" w:cs="Times New Roman"/>
                <w:sz w:val="24"/>
                <w:szCs w:val="24"/>
              </w:rPr>
              <w:t>1</w:t>
            </w:r>
          </w:p>
        </w:tc>
        <w:tc>
          <w:tcPr>
            <w:tcW w:w="171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rsidP="08AFD7C9" w14:paraId="7F9F6D60" w14:textId="60350D24">
            <w:pPr>
              <w:jc w:val="center"/>
              <w:rPr>
                <w:rFonts w:ascii="Times New Roman" w:eastAsia="Times New Roman" w:hAnsi="Times New Roman" w:cs="Times New Roman"/>
                <w:sz w:val="24"/>
                <w:szCs w:val="24"/>
              </w:rPr>
            </w:pPr>
            <w:r w:rsidRPr="08AFD7C9">
              <w:rPr>
                <w:rFonts w:ascii="Times New Roman" w:eastAsia="Times New Roman" w:hAnsi="Times New Roman" w:cs="Times New Roman"/>
                <w:sz w:val="24"/>
                <w:szCs w:val="24"/>
              </w:rPr>
              <w:t>1</w:t>
            </w:r>
          </w:p>
        </w:tc>
        <w:tc>
          <w:tcPr>
            <w:tcW w:w="198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rsidP="08AFD7C9" w14:paraId="775EF398" w14:textId="66235B97">
            <w:pPr>
              <w:jc w:val="center"/>
              <w:rPr>
                <w:rFonts w:ascii="Times New Roman" w:eastAsia="Times New Roman" w:hAnsi="Times New Roman" w:cs="Times New Roman"/>
                <w:sz w:val="24"/>
                <w:szCs w:val="24"/>
              </w:rPr>
            </w:pPr>
            <w:r w:rsidRPr="08AFD7C9">
              <w:rPr>
                <w:rFonts w:ascii="Times New Roman" w:eastAsia="Times New Roman" w:hAnsi="Times New Roman" w:cs="Times New Roman"/>
                <w:sz w:val="24"/>
                <w:szCs w:val="24"/>
              </w:rPr>
              <w:t>200</w:t>
            </w:r>
          </w:p>
        </w:tc>
      </w:tr>
      <w:tr w14:paraId="624F8BEB" w14:textId="77777777" w:rsidTr="08AFD7C9">
        <w:tblPrEx>
          <w:tblW w:w="0" w:type="auto"/>
          <w:tblLayout w:type="fixed"/>
          <w:tblLook w:val="06A0"/>
        </w:tblPrEx>
        <w:trPr>
          <w:trHeight w:val="405"/>
        </w:trPr>
        <w:tc>
          <w:tcPr>
            <w:tcW w:w="171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14:paraId="54F6D59D" w14:textId="1F4EDD5A">
            <w:r w:rsidRPr="08AFD7C9">
              <w:rPr>
                <w:rFonts w:ascii="Times New Roman" w:eastAsia="Times New Roman" w:hAnsi="Times New Roman" w:cs="Times New Roman"/>
                <w:sz w:val="24"/>
                <w:szCs w:val="24"/>
              </w:rPr>
              <w:t xml:space="preserve"> </w:t>
            </w:r>
          </w:p>
        </w:tc>
        <w:tc>
          <w:tcPr>
            <w:tcW w:w="144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rsidP="08AFD7C9" w14:paraId="7250B9B3" w14:textId="164D0EAC">
            <w:pPr>
              <w:jc w:val="center"/>
              <w:rPr>
                <w:rFonts w:ascii="Times New Roman" w:eastAsia="Times New Roman" w:hAnsi="Times New Roman" w:cs="Times New Roman"/>
                <w:sz w:val="24"/>
                <w:szCs w:val="24"/>
              </w:rPr>
            </w:pPr>
          </w:p>
        </w:tc>
        <w:tc>
          <w:tcPr>
            <w:tcW w:w="162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rsidP="08AFD7C9" w14:paraId="608DF471" w14:textId="375E8505">
            <w:pPr>
              <w:jc w:val="center"/>
              <w:rPr>
                <w:rFonts w:ascii="Times New Roman" w:eastAsia="Times New Roman" w:hAnsi="Times New Roman" w:cs="Times New Roman"/>
                <w:sz w:val="24"/>
                <w:szCs w:val="24"/>
              </w:rPr>
            </w:pPr>
            <w:r w:rsidRPr="08AFD7C9">
              <w:rPr>
                <w:rFonts w:ascii="Times New Roman" w:eastAsia="Times New Roman" w:hAnsi="Times New Roman" w:cs="Times New Roman"/>
                <w:sz w:val="24"/>
                <w:szCs w:val="24"/>
              </w:rPr>
              <w:t>2,000</w:t>
            </w:r>
            <w:r w:rsidRPr="08AFD7C9">
              <w:rPr>
                <w:rFonts w:ascii="Times New Roman" w:eastAsia="Times New Roman" w:hAnsi="Times New Roman" w:cs="Times New Roman"/>
                <w:sz w:val="24"/>
                <w:szCs w:val="24"/>
              </w:rPr>
              <w:t xml:space="preserve"> </w:t>
            </w:r>
          </w:p>
        </w:tc>
        <w:tc>
          <w:tcPr>
            <w:tcW w:w="171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rsidP="08AFD7C9" w14:paraId="1CB5CF61" w14:textId="2538A5EB">
            <w:pPr>
              <w:jc w:val="center"/>
              <w:rPr>
                <w:rFonts w:ascii="Times New Roman" w:eastAsia="Times New Roman" w:hAnsi="Times New Roman" w:cs="Times New Roman"/>
                <w:sz w:val="24"/>
                <w:szCs w:val="24"/>
              </w:rPr>
            </w:pPr>
          </w:p>
        </w:tc>
        <w:tc>
          <w:tcPr>
            <w:tcW w:w="1980" w:type="dxa"/>
            <w:tcBorders>
              <w:top w:val="single" w:sz="8" w:space="0" w:color="auto"/>
              <w:left w:val="single" w:sz="8" w:space="0" w:color="auto"/>
              <w:bottom w:val="single" w:sz="8" w:space="0" w:color="auto"/>
              <w:right w:val="single" w:sz="8" w:space="0" w:color="auto"/>
            </w:tcBorders>
            <w:tcMar>
              <w:left w:w="100" w:type="dxa"/>
              <w:right w:w="100" w:type="dxa"/>
            </w:tcMar>
          </w:tcPr>
          <w:p w:rsidR="16CE23A1" w:rsidP="08AFD7C9" w14:paraId="7A3F5C65" w14:textId="19DDD4AD">
            <w:pPr>
              <w:jc w:val="center"/>
              <w:rPr>
                <w:rFonts w:ascii="Times New Roman" w:eastAsia="Times New Roman" w:hAnsi="Times New Roman" w:cs="Times New Roman"/>
                <w:sz w:val="24"/>
                <w:szCs w:val="24"/>
              </w:rPr>
            </w:pPr>
            <w:r w:rsidRPr="08AFD7C9">
              <w:rPr>
                <w:rFonts w:ascii="Times New Roman" w:eastAsia="Times New Roman" w:hAnsi="Times New Roman" w:cs="Times New Roman"/>
                <w:sz w:val="24"/>
                <w:szCs w:val="24"/>
              </w:rPr>
              <w:t>2,000</w:t>
            </w:r>
          </w:p>
        </w:tc>
      </w:tr>
    </w:tbl>
    <w:p w:rsidR="00AE76F4" w:rsidRPr="00AE76F4" w:rsidP="16CE23A1" w14:paraId="6F37A2D8" w14:textId="75156613">
      <w:pPr>
        <w:rPr>
          <w:b/>
          <w:bCs/>
        </w:rPr>
      </w:pPr>
    </w:p>
    <w:p w:rsidR="00AE76F4" w:rsidRPr="00AE76F4" w:rsidP="16CE23A1" w14:paraId="056CE826" w14:textId="683F066B">
      <w:pPr>
        <w:rPr>
          <w:b/>
          <w:bCs/>
        </w:rPr>
      </w:pPr>
      <w:r w:rsidRPr="16CE23A1">
        <w:rPr>
          <w:b/>
          <w:bCs/>
        </w:rPr>
        <w:t>A.12.2</w:t>
      </w:r>
      <w:r>
        <w:tab/>
      </w:r>
      <w:r w:rsidRPr="16CE23A1">
        <w:rPr>
          <w:b/>
          <w:bCs/>
        </w:rPr>
        <w:t>Annual Cost to Respondents</w:t>
      </w:r>
    </w:p>
    <w:p w:rsidR="001F6DFB" w:rsidRPr="009A4AAD" w:rsidP="007D1E08" w14:paraId="4DBE5382" w14:textId="1CEF332F">
      <w:pPr>
        <w:spacing w:before="120" w:after="120" w:line="240" w:lineRule="auto"/>
        <w:jc w:val="center"/>
      </w:pPr>
      <w:r>
        <w:t>Table 12-2 Annualized Cost to Respondents</w:t>
      </w:r>
    </w:p>
    <w:tbl>
      <w:tblPr>
        <w:tblpPr w:leftFromText="180" w:rightFromText="180" w:vertAnchor="text" w:horzAnchor="margin" w:tblpXSpec="center" w:tblpY="27"/>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0"/>
        <w:gridCol w:w="2031"/>
        <w:gridCol w:w="2306"/>
        <w:gridCol w:w="2121"/>
      </w:tblGrid>
      <w:tr w14:paraId="270E18B4" w14:textId="77777777" w:rsidTr="08AFD7C9">
        <w:tblPrEx>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08"/>
        </w:trPr>
        <w:tc>
          <w:tcPr>
            <w:tcW w:w="2140" w:type="dxa"/>
            <w:tcBorders>
              <w:top w:val="single" w:sz="4" w:space="0" w:color="auto"/>
              <w:left w:val="single" w:sz="4" w:space="0" w:color="auto"/>
              <w:bottom w:val="single" w:sz="4" w:space="0" w:color="auto"/>
              <w:right w:val="single" w:sz="4" w:space="0" w:color="auto"/>
            </w:tcBorders>
            <w:hideMark/>
          </w:tcPr>
          <w:p w:rsidR="00C476D5" w:rsidRPr="00C476D5" w:rsidP="00C476D5" w14:paraId="3AFFC53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rPr>
            </w:pPr>
            <w:r w:rsidRPr="00C476D5">
              <w:rPr>
                <w:rFonts w:ascii="Times New Roman" w:eastAsia="Times New Roman" w:hAnsi="Times New Roman" w:cs="Times New Roman"/>
                <w:b/>
                <w:bCs/>
              </w:rPr>
              <w:t>Type of Respondents</w:t>
            </w:r>
          </w:p>
        </w:tc>
        <w:tc>
          <w:tcPr>
            <w:tcW w:w="2031" w:type="dxa"/>
            <w:tcBorders>
              <w:top w:val="single" w:sz="4" w:space="0" w:color="auto"/>
              <w:left w:val="single" w:sz="4" w:space="0" w:color="auto"/>
              <w:bottom w:val="single" w:sz="4" w:space="0" w:color="auto"/>
              <w:right w:val="single" w:sz="4" w:space="0" w:color="auto"/>
            </w:tcBorders>
            <w:hideMark/>
          </w:tcPr>
          <w:p w:rsidR="00C476D5" w:rsidRPr="00C476D5" w:rsidP="00C476D5" w14:paraId="013EC0C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rPr>
            </w:pPr>
            <w:r w:rsidRPr="00C476D5">
              <w:rPr>
                <w:rFonts w:ascii="Times New Roman" w:eastAsia="Times New Roman" w:hAnsi="Times New Roman" w:cs="Times New Roman"/>
                <w:b/>
                <w:bCs/>
              </w:rPr>
              <w:t>Total Annual Burden Hours</w:t>
            </w:r>
          </w:p>
        </w:tc>
        <w:tc>
          <w:tcPr>
            <w:tcW w:w="2306" w:type="dxa"/>
            <w:tcBorders>
              <w:top w:val="single" w:sz="4" w:space="0" w:color="auto"/>
              <w:left w:val="single" w:sz="4" w:space="0" w:color="auto"/>
              <w:bottom w:val="single" w:sz="4" w:space="0" w:color="auto"/>
              <w:right w:val="single" w:sz="4" w:space="0" w:color="auto"/>
            </w:tcBorders>
            <w:hideMark/>
          </w:tcPr>
          <w:p w:rsidR="00C476D5" w:rsidRPr="00C476D5" w:rsidP="00C476D5" w14:paraId="5F756EC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rPr>
            </w:pPr>
            <w:r w:rsidRPr="00C476D5">
              <w:rPr>
                <w:rFonts w:ascii="Times New Roman" w:eastAsia="Times New Roman" w:hAnsi="Times New Roman" w:cs="Times New Roman"/>
                <w:b/>
                <w:bCs/>
              </w:rPr>
              <w:t>Hourly Respondent Wage Rate*</w:t>
            </w:r>
          </w:p>
        </w:tc>
        <w:tc>
          <w:tcPr>
            <w:tcW w:w="2121" w:type="dxa"/>
            <w:tcBorders>
              <w:top w:val="single" w:sz="4" w:space="0" w:color="auto"/>
              <w:left w:val="single" w:sz="4" w:space="0" w:color="auto"/>
              <w:bottom w:val="single" w:sz="4" w:space="0" w:color="auto"/>
              <w:right w:val="single" w:sz="4" w:space="0" w:color="auto"/>
            </w:tcBorders>
            <w:hideMark/>
          </w:tcPr>
          <w:p w:rsidR="00C476D5" w:rsidRPr="00C476D5" w:rsidP="00C476D5" w14:paraId="37287B4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rPr>
            </w:pPr>
            <w:r w:rsidRPr="00C476D5">
              <w:rPr>
                <w:rFonts w:ascii="Times New Roman" w:eastAsia="Times New Roman" w:hAnsi="Times New Roman" w:cs="Times New Roman"/>
                <w:b/>
                <w:bCs/>
              </w:rPr>
              <w:t>Respondent Cost</w:t>
            </w:r>
          </w:p>
        </w:tc>
      </w:tr>
      <w:tr w14:paraId="68A6E3A5" w14:textId="77777777" w:rsidTr="007F239C">
        <w:tblPrEx>
          <w:tblW w:w="8598" w:type="dxa"/>
          <w:tblLayout w:type="fixed"/>
          <w:tblLook w:val="01E0"/>
        </w:tblPrEx>
        <w:trPr>
          <w:trHeight w:val="658"/>
        </w:trPr>
        <w:tc>
          <w:tcPr>
            <w:tcW w:w="2140" w:type="dxa"/>
            <w:tcBorders>
              <w:top w:val="single" w:sz="4" w:space="0" w:color="auto"/>
              <w:left w:val="single" w:sz="4" w:space="0" w:color="auto"/>
              <w:bottom w:val="single" w:sz="4" w:space="0" w:color="auto"/>
              <w:right w:val="single" w:sz="4" w:space="0" w:color="auto"/>
            </w:tcBorders>
            <w:vAlign w:val="center"/>
          </w:tcPr>
          <w:p w:rsidR="00C476D5" w:rsidRPr="00C476D5" w:rsidP="007F239C" w14:paraId="65135AFA" w14:textId="199AE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Individuals</w:t>
            </w:r>
          </w:p>
        </w:tc>
        <w:tc>
          <w:tcPr>
            <w:tcW w:w="2031" w:type="dxa"/>
            <w:tcBorders>
              <w:top w:val="single" w:sz="4" w:space="0" w:color="auto"/>
              <w:left w:val="single" w:sz="4" w:space="0" w:color="auto"/>
              <w:bottom w:val="single" w:sz="4" w:space="0" w:color="auto"/>
              <w:right w:val="single" w:sz="4" w:space="0" w:color="auto"/>
            </w:tcBorders>
            <w:vAlign w:val="center"/>
            <w:hideMark/>
          </w:tcPr>
          <w:p w:rsidR="00C476D5" w:rsidRPr="00C476D5" w:rsidP="16CE23A1" w14:paraId="32962727" w14:textId="15C7C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rPr>
            </w:pPr>
            <w:r w:rsidRPr="08AFD7C9">
              <w:rPr>
                <w:rFonts w:ascii="Times New Roman" w:eastAsia="Times New Roman" w:hAnsi="Times New Roman" w:cs="Times New Roman"/>
              </w:rPr>
              <w:t>2,000</w:t>
            </w:r>
          </w:p>
        </w:tc>
        <w:tc>
          <w:tcPr>
            <w:tcW w:w="2306" w:type="dxa"/>
            <w:tcBorders>
              <w:top w:val="single" w:sz="4" w:space="0" w:color="auto"/>
              <w:left w:val="single" w:sz="4" w:space="0" w:color="auto"/>
              <w:bottom w:val="single" w:sz="4" w:space="0" w:color="auto"/>
              <w:right w:val="single" w:sz="4" w:space="0" w:color="auto"/>
            </w:tcBorders>
            <w:vAlign w:val="center"/>
            <w:hideMark/>
          </w:tcPr>
          <w:p w:rsidR="00C476D5" w:rsidRPr="00C476D5" w:rsidP="00C476D5" w14:paraId="4568C016" w14:textId="36A1FC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rPr>
            </w:pPr>
            <w:r w:rsidRPr="0028663F">
              <w:rPr>
                <w:rFonts w:ascii="Times New Roman" w:eastAsia="Times New Roman" w:hAnsi="Times New Roman" w:cs="Times New Roman"/>
                <w:highlight w:val="yellow"/>
              </w:rPr>
              <w:t>$</w:t>
            </w:r>
            <w:r w:rsidRPr="0028663F" w:rsidR="0028663F">
              <w:rPr>
                <w:rFonts w:ascii="Times New Roman" w:eastAsia="Times New Roman" w:hAnsi="Times New Roman" w:cs="Times New Roman"/>
                <w:highlight w:val="yellow"/>
              </w:rPr>
              <w:t>54.03</w:t>
            </w:r>
          </w:p>
        </w:tc>
        <w:tc>
          <w:tcPr>
            <w:tcW w:w="2121" w:type="dxa"/>
            <w:tcBorders>
              <w:top w:val="single" w:sz="4" w:space="0" w:color="auto"/>
              <w:left w:val="single" w:sz="4" w:space="0" w:color="auto"/>
              <w:bottom w:val="single" w:sz="4" w:space="0" w:color="auto"/>
              <w:right w:val="single" w:sz="4" w:space="0" w:color="auto"/>
            </w:tcBorders>
            <w:vAlign w:val="center"/>
            <w:hideMark/>
          </w:tcPr>
          <w:p w:rsidR="00C476D5" w:rsidRPr="0028663F" w:rsidP="16CE23A1" w14:paraId="5E9DD951" w14:textId="79E91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highlight w:val="yellow"/>
              </w:rPr>
            </w:pPr>
            <w:r w:rsidRPr="0028663F">
              <w:rPr>
                <w:rFonts w:ascii="Times New Roman" w:eastAsia="Times New Roman" w:hAnsi="Times New Roman" w:cs="Times New Roman"/>
                <w:highlight w:val="yellow"/>
              </w:rPr>
              <w:t>$</w:t>
            </w:r>
            <w:r w:rsidRPr="0028663F" w:rsidR="004178E1">
              <w:rPr>
                <w:rFonts w:ascii="Times New Roman" w:eastAsia="Times New Roman" w:hAnsi="Times New Roman" w:cs="Times New Roman"/>
                <w:highlight w:val="yellow"/>
              </w:rPr>
              <w:t>10</w:t>
            </w:r>
            <w:r w:rsidRPr="0028663F" w:rsidR="0028663F">
              <w:rPr>
                <w:rFonts w:ascii="Times New Roman" w:eastAsia="Times New Roman" w:hAnsi="Times New Roman" w:cs="Times New Roman"/>
                <w:highlight w:val="yellow"/>
              </w:rPr>
              <w:t>8</w:t>
            </w:r>
            <w:r w:rsidRPr="0028663F" w:rsidR="004178E1">
              <w:rPr>
                <w:rFonts w:ascii="Times New Roman" w:eastAsia="Times New Roman" w:hAnsi="Times New Roman" w:cs="Times New Roman"/>
                <w:highlight w:val="yellow"/>
              </w:rPr>
              <w:t>,</w:t>
            </w:r>
            <w:r w:rsidRPr="0028663F" w:rsidR="0028663F">
              <w:rPr>
                <w:rFonts w:ascii="Times New Roman" w:eastAsia="Times New Roman" w:hAnsi="Times New Roman" w:cs="Times New Roman"/>
                <w:highlight w:val="yellow"/>
              </w:rPr>
              <w:t>060</w:t>
            </w:r>
          </w:p>
        </w:tc>
      </w:tr>
      <w:tr w14:paraId="0D1B3041" w14:textId="77777777" w:rsidTr="08AFD7C9">
        <w:tblPrEx>
          <w:tblW w:w="8598" w:type="dxa"/>
          <w:tblLayout w:type="fixed"/>
          <w:tblLook w:val="01E0"/>
        </w:tblPrEx>
        <w:trPr>
          <w:trHeight w:val="77"/>
        </w:trPr>
        <w:tc>
          <w:tcPr>
            <w:tcW w:w="2140" w:type="dxa"/>
            <w:tcBorders>
              <w:top w:val="single" w:sz="4" w:space="0" w:color="auto"/>
              <w:left w:val="single" w:sz="4" w:space="0" w:color="auto"/>
              <w:bottom w:val="single" w:sz="4" w:space="0" w:color="auto"/>
              <w:right w:val="single" w:sz="4" w:space="0" w:color="auto"/>
            </w:tcBorders>
          </w:tcPr>
          <w:p w:rsidR="00C476D5" w:rsidRPr="00C476D5" w:rsidP="00C476D5" w14:paraId="65782E5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rPr>
            </w:pPr>
            <w:r w:rsidRPr="00C476D5">
              <w:rPr>
                <w:rFonts w:ascii="Times New Roman" w:eastAsia="Times New Roman" w:hAnsi="Times New Roman" w:cs="Times New Roman"/>
                <w:b/>
              </w:rPr>
              <w:t>TOTAL</w:t>
            </w:r>
          </w:p>
        </w:tc>
        <w:tc>
          <w:tcPr>
            <w:tcW w:w="2031" w:type="dxa"/>
            <w:tcBorders>
              <w:top w:val="single" w:sz="4" w:space="0" w:color="auto"/>
              <w:left w:val="single" w:sz="4" w:space="0" w:color="auto"/>
              <w:bottom w:val="single" w:sz="4" w:space="0" w:color="auto"/>
              <w:right w:val="single" w:sz="4" w:space="0" w:color="auto"/>
            </w:tcBorders>
            <w:vAlign w:val="center"/>
          </w:tcPr>
          <w:p w:rsidR="00C476D5" w:rsidRPr="00C476D5" w:rsidP="16CE23A1" w14:paraId="4E97CEE6" w14:textId="54467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rPr>
            </w:pPr>
            <w:r w:rsidRPr="08AFD7C9">
              <w:rPr>
                <w:rFonts w:ascii="Times New Roman" w:eastAsia="Times New Roman" w:hAnsi="Times New Roman" w:cs="Times New Roman"/>
              </w:rPr>
              <w:t>2,000</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C476D5" w:rsidRPr="00C476D5" w:rsidP="00C476D5" w14:paraId="30E925F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color w:val="FF0000"/>
              </w:rPr>
            </w:pPr>
          </w:p>
        </w:tc>
        <w:tc>
          <w:tcPr>
            <w:tcW w:w="2121" w:type="dxa"/>
            <w:tcBorders>
              <w:top w:val="single" w:sz="4" w:space="0" w:color="auto"/>
              <w:left w:val="single" w:sz="4" w:space="0" w:color="auto"/>
              <w:bottom w:val="single" w:sz="4" w:space="0" w:color="auto"/>
              <w:right w:val="single" w:sz="4" w:space="0" w:color="auto"/>
            </w:tcBorders>
            <w:vAlign w:val="center"/>
          </w:tcPr>
          <w:p w:rsidR="00C476D5" w:rsidRPr="0028663F" w:rsidP="16CE23A1" w14:paraId="7B6281D1" w14:textId="4A6D9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highlight w:val="yellow"/>
              </w:rPr>
            </w:pPr>
            <w:r w:rsidRPr="0028663F">
              <w:rPr>
                <w:rFonts w:ascii="Times New Roman" w:eastAsia="Times New Roman" w:hAnsi="Times New Roman" w:cs="Times New Roman"/>
                <w:highlight w:val="yellow"/>
              </w:rPr>
              <w:t>$</w:t>
            </w:r>
            <w:r w:rsidRPr="0028663F" w:rsidR="004178E1">
              <w:rPr>
                <w:rFonts w:ascii="Times New Roman" w:eastAsia="Times New Roman" w:hAnsi="Times New Roman" w:cs="Times New Roman"/>
                <w:highlight w:val="yellow"/>
              </w:rPr>
              <w:t>1</w:t>
            </w:r>
            <w:r w:rsidRPr="0028663F" w:rsidR="0028663F">
              <w:rPr>
                <w:rFonts w:ascii="Times New Roman" w:eastAsia="Times New Roman" w:hAnsi="Times New Roman" w:cs="Times New Roman"/>
                <w:highlight w:val="yellow"/>
              </w:rPr>
              <w:t>08,060</w:t>
            </w:r>
          </w:p>
        </w:tc>
      </w:tr>
    </w:tbl>
    <w:p w:rsidR="00E27235" w:rsidP="004D38A1" w14:paraId="330240A9" w14:textId="77777777">
      <w:pPr>
        <w:rPr>
          <w:rFonts w:ascii="Times New Roman" w:eastAsia="Times New Roman" w:hAnsi="Times New Roman" w:cs="Times New Roman"/>
          <w:sz w:val="16"/>
          <w:szCs w:val="16"/>
        </w:rPr>
      </w:pPr>
    </w:p>
    <w:p w:rsidR="00EE0B98" w:rsidRPr="007D1E08" w:rsidP="00EE0B98" w14:paraId="1B7E0C7B" w14:textId="560FF3EE">
      <w:r w:rsidRPr="00E27235">
        <w:rPr>
          <w:rFonts w:ascii="Times New Roman" w:eastAsia="Times New Roman" w:hAnsi="Times New Roman" w:cs="Times New Roman"/>
          <w:sz w:val="16"/>
          <w:szCs w:val="16"/>
        </w:rPr>
        <w:t>*</w:t>
      </w:r>
      <w:r w:rsidRPr="00E27235">
        <w:rPr>
          <w:rFonts w:ascii="Calibri" w:eastAsia="Times New Roman" w:hAnsi="Calibri" w:cs="Times New Roman"/>
        </w:rPr>
        <w:t xml:space="preserve"> </w:t>
      </w:r>
      <w:r w:rsidRPr="00E27235">
        <w:rPr>
          <w:rFonts w:ascii="Times New Roman" w:eastAsia="Times New Roman" w:hAnsi="Times New Roman" w:cs="Times New Roman"/>
          <w:i/>
          <w:iCs/>
          <w:sz w:val="16"/>
          <w:szCs w:val="16"/>
        </w:rPr>
        <w:t xml:space="preserve">Bureau of Labor Statistics: May </w:t>
      </w:r>
      <w:r w:rsidRPr="0028663F" w:rsidR="002C1DE5">
        <w:rPr>
          <w:rFonts w:ascii="Times New Roman" w:eastAsia="Times New Roman" w:hAnsi="Times New Roman" w:cs="Times New Roman"/>
          <w:i/>
          <w:iCs/>
          <w:sz w:val="16"/>
          <w:szCs w:val="16"/>
          <w:highlight w:val="yellow"/>
        </w:rPr>
        <w:t>202</w:t>
      </w:r>
      <w:r w:rsidRPr="0028663F" w:rsidR="0028663F">
        <w:rPr>
          <w:rFonts w:ascii="Times New Roman" w:eastAsia="Times New Roman" w:hAnsi="Times New Roman" w:cs="Times New Roman"/>
          <w:i/>
          <w:iCs/>
          <w:sz w:val="16"/>
          <w:szCs w:val="16"/>
          <w:highlight w:val="yellow"/>
        </w:rPr>
        <w:t>3</w:t>
      </w:r>
      <w:r w:rsidRPr="00E27235">
        <w:rPr>
          <w:rFonts w:ascii="Times New Roman" w:eastAsia="Times New Roman" w:hAnsi="Times New Roman" w:cs="Times New Roman"/>
          <w:i/>
          <w:iCs/>
          <w:sz w:val="16"/>
          <w:szCs w:val="16"/>
        </w:rPr>
        <w:t xml:space="preserve"> National Occupational Employment and Wage Estimates </w:t>
      </w:r>
      <w:hyperlink r:id="rId13" w:history="1">
        <w:r w:rsidRPr="00E27235">
          <w:rPr>
            <w:rFonts w:ascii="Times New Roman" w:eastAsia="Times New Roman" w:hAnsi="Times New Roman" w:cs="Times New Roman"/>
            <w:i/>
            <w:iCs/>
            <w:color w:val="0000FF"/>
            <w:sz w:val="16"/>
            <w:szCs w:val="16"/>
            <w:u w:val="single"/>
          </w:rPr>
          <w:t>https://www.bls.gov/oes/current/oes191042.htm</w:t>
        </w:r>
      </w:hyperlink>
      <w:r w:rsidR="009B35D9">
        <w:rPr>
          <w:rFonts w:ascii="Times New Roman" w:eastAsia="Times New Roman" w:hAnsi="Times New Roman" w:cs="Times New Roman"/>
          <w:i/>
          <w:iCs/>
          <w:color w:val="0000FF"/>
          <w:sz w:val="16"/>
          <w:szCs w:val="16"/>
          <w:u w:val="single"/>
        </w:rPr>
        <w:t xml:space="preserve"> </w:t>
      </w:r>
      <w:r w:rsidRPr="007F239C" w:rsidR="009B35D9">
        <w:rPr>
          <w:rFonts w:ascii="Times New Roman" w:eastAsia="Times New Roman" w:hAnsi="Times New Roman" w:cs="Times New Roman"/>
          <w:i/>
          <w:iCs/>
          <w:sz w:val="16"/>
          <w:szCs w:val="16"/>
        </w:rPr>
        <w:t xml:space="preserve">- Mean hourly wage for </w:t>
      </w:r>
      <w:r w:rsidRPr="009B35D9" w:rsidR="009B35D9">
        <w:rPr>
          <w:rFonts w:ascii="Times New Roman" w:eastAsia="Times New Roman" w:hAnsi="Times New Roman" w:cs="Times New Roman"/>
          <w:i/>
          <w:iCs/>
          <w:sz w:val="16"/>
          <w:szCs w:val="16"/>
        </w:rPr>
        <w:t>medical</w:t>
      </w:r>
      <w:r w:rsidRPr="007F239C" w:rsidR="009B35D9">
        <w:rPr>
          <w:rFonts w:ascii="Times New Roman" w:eastAsia="Times New Roman" w:hAnsi="Times New Roman" w:cs="Times New Roman"/>
          <w:i/>
          <w:iCs/>
          <w:sz w:val="16"/>
          <w:szCs w:val="16"/>
        </w:rPr>
        <w:t xml:space="preserve"> scientists</w:t>
      </w:r>
      <w:r w:rsidR="009B35D9">
        <w:rPr>
          <w:rFonts w:ascii="Times New Roman" w:eastAsia="Times New Roman" w:hAnsi="Times New Roman" w:cs="Times New Roman"/>
          <w:i/>
          <w:iCs/>
          <w:color w:val="0000FF"/>
          <w:sz w:val="16"/>
          <w:szCs w:val="16"/>
          <w:u w:val="single"/>
        </w:rPr>
        <w:t xml:space="preserve"> </w:t>
      </w:r>
    </w:p>
    <w:p w:rsidR="00EE0B98" w:rsidRPr="00EE0B98" w:rsidP="00EE0B98" w14:paraId="0B998C63" w14:textId="61913A7F">
      <w:pPr>
        <w:rPr>
          <w:b/>
        </w:rPr>
      </w:pPr>
      <w:r w:rsidRPr="00EE0B98">
        <w:rPr>
          <w:b/>
        </w:rPr>
        <w:t>A.13</w:t>
      </w:r>
      <w:r w:rsidRPr="00EE0B98">
        <w:rPr>
          <w:b/>
        </w:rPr>
        <w:tab/>
        <w:t>Estimate of Other Total Annual Cost Burden to Respondents or Record Keepers</w:t>
      </w:r>
    </w:p>
    <w:p w:rsidR="00EE0B98" w:rsidRPr="00EE0B98" w:rsidP="00EE0B98" w14:paraId="75821BAE" w14:textId="4BC6C1CA">
      <w:r w:rsidRPr="00EE0B98">
        <w:t>There are no additional costs other than the respondents’ burden given in A12.</w:t>
      </w:r>
    </w:p>
    <w:p w:rsidR="00EE0B98" w:rsidRPr="00EE0B98" w:rsidP="00EE0B98" w14:paraId="1B6CC605" w14:textId="77777777">
      <w:pPr>
        <w:rPr>
          <w:b/>
        </w:rPr>
      </w:pPr>
      <w:r w:rsidRPr="00EE0B98">
        <w:rPr>
          <w:b/>
        </w:rPr>
        <w:t>A.14</w:t>
      </w:r>
      <w:r w:rsidRPr="00EE0B98">
        <w:rPr>
          <w:b/>
        </w:rPr>
        <w:tab/>
        <w:t xml:space="preserve">Annualized Cost to the Federal Government  </w:t>
      </w:r>
    </w:p>
    <w:p w:rsidR="0062160B" w:rsidRPr="00EE0B98" w:rsidP="00EE0B98" w14:paraId="5F86F641" w14:textId="5EA3938B">
      <w:r w:rsidRPr="00EE0B98">
        <w:t xml:space="preserve">The total annualized cost to the Federal Government is </w:t>
      </w:r>
      <w:r w:rsidRPr="00FA6204">
        <w:rPr>
          <w:highlight w:val="yellow"/>
          <w:u w:val="single"/>
        </w:rPr>
        <w:t>$</w:t>
      </w:r>
      <w:r w:rsidRPr="004032EE" w:rsidR="004032EE">
        <w:rPr>
          <w:highlight w:val="yellow"/>
          <w:u w:val="single"/>
        </w:rPr>
        <w:t>10,056.18</w:t>
      </w:r>
      <w:r w:rsidRPr="00EE0B98">
        <w:t xml:space="preserve">.  No additional operational expenses such as equipment, overhead, printing, </w:t>
      </w:r>
      <w:r w:rsidR="00F36582">
        <w:t>or</w:t>
      </w:r>
      <w:r w:rsidRPr="00EE0B98">
        <w:t xml:space="preserve"> support staff will be needed. </w:t>
      </w:r>
    </w:p>
    <w:tbl>
      <w:tblPr>
        <w:tblW w:w="8717" w:type="dxa"/>
        <w:jc w:val="center"/>
        <w:tblCellMar>
          <w:left w:w="0" w:type="dxa"/>
          <w:right w:w="0" w:type="dxa"/>
        </w:tblCellMar>
        <w:tblLook w:val="04A0"/>
      </w:tblPr>
      <w:tblGrid>
        <w:gridCol w:w="2502"/>
        <w:gridCol w:w="1318"/>
        <w:gridCol w:w="1153"/>
        <w:gridCol w:w="1248"/>
        <w:gridCol w:w="1248"/>
        <w:gridCol w:w="1248"/>
      </w:tblGrid>
      <w:tr w14:paraId="6CB2968D" w14:textId="77777777" w:rsidTr="00BB47EC">
        <w:tblPrEx>
          <w:tblW w:w="8717" w:type="dxa"/>
          <w:jc w:val="center"/>
          <w:tblCellMar>
            <w:left w:w="0" w:type="dxa"/>
            <w:right w:w="0" w:type="dxa"/>
          </w:tblCellMar>
          <w:tblLook w:val="04A0"/>
        </w:tblPrEx>
        <w:trPr>
          <w:trHeight w:val="762"/>
          <w:jc w:val="center"/>
        </w:trPr>
        <w:tc>
          <w:tcPr>
            <w:tcW w:w="2502"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14501C" w:rsidRPr="00C54FFE" w:rsidP="00BB47EC" w14:paraId="0080E037" w14:textId="77777777">
            <w:pPr>
              <w:spacing w:after="0" w:line="240" w:lineRule="auto"/>
              <w:jc w:val="center"/>
              <w:rPr>
                <w:rFonts w:ascii="Times New Roman" w:eastAsia="Calibri" w:hAnsi="Times New Roman" w:cs="Times New Roman"/>
                <w:b/>
                <w:bCs/>
                <w:color w:val="000000"/>
                <w:sz w:val="20"/>
                <w:szCs w:val="20"/>
              </w:rPr>
            </w:pPr>
            <w:r w:rsidRPr="00C54FFE">
              <w:rPr>
                <w:rFonts w:ascii="Times New Roman" w:eastAsia="Times New Roman" w:hAnsi="Times New Roman" w:cs="Times New Roman"/>
                <w:b/>
                <w:bCs/>
                <w:color w:val="000000"/>
                <w:sz w:val="20"/>
                <w:szCs w:val="20"/>
              </w:rPr>
              <w:t>Cost Descriptions</w:t>
            </w:r>
          </w:p>
        </w:tc>
        <w:tc>
          <w:tcPr>
            <w:tcW w:w="1318" w:type="dxa"/>
            <w:tcBorders>
              <w:top w:val="single" w:sz="8" w:space="0" w:color="auto"/>
              <w:left w:val="nil"/>
              <w:bottom w:val="single" w:sz="8" w:space="0" w:color="auto"/>
              <w:right w:val="single" w:sz="8" w:space="0" w:color="auto"/>
            </w:tcBorders>
            <w:shd w:val="clear" w:color="auto" w:fill="auto"/>
            <w:vAlign w:val="bottom"/>
          </w:tcPr>
          <w:p w:rsidR="0014501C" w:rsidRPr="00C54FFE" w:rsidP="00BB47EC" w14:paraId="6B264F0E" w14:textId="77777777">
            <w:pPr>
              <w:spacing w:after="0" w:line="240" w:lineRule="auto"/>
              <w:jc w:val="center"/>
              <w:rPr>
                <w:rFonts w:ascii="Times New Roman" w:eastAsia="Calibri" w:hAnsi="Times New Roman" w:cs="Times New Roman"/>
                <w:b/>
                <w:bCs/>
                <w:color w:val="1F497D"/>
                <w:sz w:val="20"/>
                <w:szCs w:val="20"/>
              </w:rPr>
            </w:pPr>
          </w:p>
          <w:p w:rsidR="0014501C" w:rsidRPr="00C54FFE" w:rsidP="00BB47EC" w14:paraId="37B3CB51" w14:textId="77777777">
            <w:pPr>
              <w:spacing w:after="0" w:line="240" w:lineRule="auto"/>
              <w:jc w:val="center"/>
              <w:rPr>
                <w:rFonts w:ascii="Times New Roman" w:eastAsia="Calibri" w:hAnsi="Times New Roman" w:cs="Times New Roman"/>
                <w:b/>
                <w:bCs/>
                <w:color w:val="000000"/>
                <w:sz w:val="20"/>
                <w:szCs w:val="20"/>
              </w:rPr>
            </w:pPr>
            <w:r w:rsidRPr="00C54FFE">
              <w:rPr>
                <w:rFonts w:ascii="Times New Roman" w:eastAsia="Times New Roman" w:hAnsi="Times New Roman" w:cs="Times New Roman"/>
                <w:b/>
                <w:bCs/>
                <w:color w:val="000000"/>
                <w:sz w:val="20"/>
                <w:szCs w:val="20"/>
              </w:rPr>
              <w:t>Grade/Step</w:t>
            </w:r>
          </w:p>
        </w:tc>
        <w:tc>
          <w:tcPr>
            <w:tcW w:w="11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4501C" w:rsidRPr="00C54FFE" w:rsidP="00BB47EC" w14:paraId="078BB1C7" w14:textId="77777777">
            <w:pPr>
              <w:spacing w:after="0" w:line="240" w:lineRule="auto"/>
              <w:jc w:val="center"/>
              <w:rPr>
                <w:rFonts w:ascii="Times New Roman" w:eastAsia="Calibri" w:hAnsi="Times New Roman" w:cs="Times New Roman"/>
                <w:b/>
                <w:bCs/>
                <w:sz w:val="20"/>
                <w:szCs w:val="20"/>
              </w:rPr>
            </w:pPr>
            <w:r w:rsidRPr="00C54FFE">
              <w:rPr>
                <w:rFonts w:ascii="Times New Roman" w:eastAsia="Times New Roman" w:hAnsi="Times New Roman" w:cs="Times New Roman"/>
                <w:b/>
                <w:bCs/>
                <w:sz w:val="20"/>
                <w:szCs w:val="20"/>
              </w:rPr>
              <w:t>Salary*</w:t>
            </w:r>
          </w:p>
        </w:tc>
        <w:tc>
          <w:tcPr>
            <w:tcW w:w="12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4501C" w:rsidRPr="00C54FFE" w:rsidP="00BB47EC" w14:paraId="152FE07C" w14:textId="78C0A7C9">
            <w:pPr>
              <w:spacing w:after="0" w:line="240" w:lineRule="auto"/>
              <w:jc w:val="center"/>
              <w:rPr>
                <w:rFonts w:ascii="Times New Roman" w:eastAsia="Calibri" w:hAnsi="Times New Roman" w:cs="Times New Roman"/>
                <w:b/>
                <w:bCs/>
                <w:sz w:val="20"/>
                <w:szCs w:val="20"/>
              </w:rPr>
            </w:pPr>
            <w:r w:rsidRPr="00C54FFE">
              <w:rPr>
                <w:rFonts w:ascii="Times New Roman" w:eastAsia="Times New Roman" w:hAnsi="Times New Roman" w:cs="Times New Roman"/>
                <w:b/>
                <w:bCs/>
                <w:sz w:val="20"/>
                <w:szCs w:val="20"/>
              </w:rPr>
              <w:t>% Effort</w:t>
            </w:r>
          </w:p>
        </w:tc>
        <w:tc>
          <w:tcPr>
            <w:tcW w:w="1248" w:type="dxa"/>
            <w:tcBorders>
              <w:top w:val="single" w:sz="8" w:space="0" w:color="auto"/>
              <w:left w:val="nil"/>
              <w:bottom w:val="single" w:sz="8" w:space="0" w:color="auto"/>
              <w:right w:val="single" w:sz="8" w:space="0" w:color="auto"/>
            </w:tcBorders>
            <w:shd w:val="clear" w:color="auto" w:fill="auto"/>
          </w:tcPr>
          <w:p w:rsidR="0014501C" w:rsidRPr="00C54FFE" w:rsidP="00BB47EC" w14:paraId="68C3A992" w14:textId="77777777">
            <w:pPr>
              <w:spacing w:after="0" w:line="240" w:lineRule="auto"/>
              <w:jc w:val="center"/>
              <w:rPr>
                <w:rFonts w:ascii="Times New Roman" w:eastAsia="Times New Roman" w:hAnsi="Times New Roman" w:cs="Times New Roman"/>
                <w:b/>
                <w:bCs/>
                <w:sz w:val="20"/>
                <w:szCs w:val="20"/>
              </w:rPr>
            </w:pPr>
            <w:r w:rsidRPr="00C54FFE">
              <w:rPr>
                <w:rFonts w:ascii="Times New Roman" w:eastAsia="Times New Roman" w:hAnsi="Times New Roman" w:cs="Times New Roman"/>
                <w:b/>
                <w:bCs/>
                <w:sz w:val="20"/>
                <w:szCs w:val="20"/>
              </w:rPr>
              <w:t>Fringe (if applicable)</w:t>
            </w:r>
          </w:p>
        </w:tc>
        <w:tc>
          <w:tcPr>
            <w:tcW w:w="1248" w:type="dxa"/>
            <w:tcBorders>
              <w:top w:val="single" w:sz="8" w:space="0" w:color="auto"/>
              <w:left w:val="nil"/>
              <w:bottom w:val="single" w:sz="8" w:space="0" w:color="auto"/>
              <w:right w:val="single" w:sz="8" w:space="0" w:color="auto"/>
            </w:tcBorders>
            <w:shd w:val="clear" w:color="auto" w:fill="auto"/>
          </w:tcPr>
          <w:p w:rsidR="0014501C" w:rsidRPr="00C54FFE" w:rsidP="00BB47EC" w14:paraId="354D2C8B" w14:textId="77777777">
            <w:pPr>
              <w:spacing w:after="0" w:line="240" w:lineRule="auto"/>
              <w:jc w:val="center"/>
              <w:rPr>
                <w:rFonts w:ascii="Times New Roman" w:eastAsia="Times New Roman" w:hAnsi="Times New Roman" w:cs="Times New Roman"/>
                <w:b/>
                <w:bCs/>
                <w:sz w:val="20"/>
                <w:szCs w:val="20"/>
              </w:rPr>
            </w:pPr>
            <w:r w:rsidRPr="00C54FFE">
              <w:rPr>
                <w:rFonts w:ascii="Times New Roman" w:eastAsia="Times New Roman" w:hAnsi="Times New Roman" w:cs="Times New Roman"/>
                <w:b/>
                <w:bCs/>
                <w:sz w:val="20"/>
                <w:szCs w:val="20"/>
              </w:rPr>
              <w:t>Total Cost to Gov’t</w:t>
            </w:r>
          </w:p>
        </w:tc>
      </w:tr>
      <w:tr w14:paraId="00CAE294" w14:textId="77777777" w:rsidTr="00BB47EC">
        <w:tblPrEx>
          <w:tblW w:w="8717" w:type="dxa"/>
          <w:jc w:val="center"/>
          <w:tblCellMar>
            <w:left w:w="0" w:type="dxa"/>
            <w:right w:w="0" w:type="dxa"/>
          </w:tblCellMar>
          <w:tblLook w:val="04A0"/>
        </w:tblPrEx>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14501C" w:rsidRPr="00C54FFE" w:rsidP="00BB47EC" w14:paraId="1A46990F" w14:textId="77777777">
            <w:pPr>
              <w:spacing w:after="0" w:line="240" w:lineRule="auto"/>
              <w:jc w:val="center"/>
              <w:rPr>
                <w:rFonts w:ascii="Times New Roman" w:eastAsia="Calibri" w:hAnsi="Times New Roman" w:cs="Times New Roman"/>
                <w:b/>
                <w:color w:val="000000"/>
                <w:sz w:val="20"/>
                <w:szCs w:val="20"/>
                <w:highlight w:val="yellow"/>
              </w:rPr>
            </w:pPr>
            <w:r w:rsidRPr="00C54FFE">
              <w:rPr>
                <w:rFonts w:ascii="Times New Roman" w:eastAsia="Calibri" w:hAnsi="Times New Roman" w:cs="Times New Roman"/>
                <w:b/>
                <w:color w:val="000000"/>
                <w:sz w:val="20"/>
                <w:szCs w:val="20"/>
              </w:rPr>
              <w:t>Federal Oversight</w:t>
            </w:r>
          </w:p>
        </w:tc>
        <w:tc>
          <w:tcPr>
            <w:tcW w:w="1318" w:type="dxa"/>
            <w:tcBorders>
              <w:top w:val="nil"/>
              <w:left w:val="nil"/>
              <w:bottom w:val="single" w:sz="8" w:space="0" w:color="auto"/>
              <w:right w:val="single" w:sz="8" w:space="0" w:color="auto"/>
            </w:tcBorders>
          </w:tcPr>
          <w:p w:rsidR="0014501C" w:rsidRPr="00C54FFE" w:rsidP="00BB47EC" w14:paraId="216A956A" w14:textId="77777777">
            <w:pPr>
              <w:spacing w:after="0" w:line="240" w:lineRule="auto"/>
              <w:jc w:val="center"/>
              <w:rPr>
                <w:rFonts w:ascii="Times New Roman" w:eastAsia="Calibri" w:hAnsi="Times New Roman" w:cs="Times New Roman"/>
                <w:color w:val="000000"/>
                <w:sz w:val="20"/>
                <w:szCs w:val="20"/>
                <w:highlight w:val="yellow"/>
              </w:rPr>
            </w:pP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4501C" w:rsidRPr="00C54FFE" w:rsidP="00BB47EC" w14:paraId="10F2C97E" w14:textId="77777777">
            <w:pPr>
              <w:spacing w:after="0" w:line="240" w:lineRule="auto"/>
              <w:jc w:val="center"/>
              <w:rPr>
                <w:rFonts w:ascii="Times New Roman" w:eastAsia="Times New Roman" w:hAnsi="Times New Roman" w:cs="Times New Roman"/>
                <w:sz w:val="20"/>
                <w:szCs w:val="20"/>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4501C" w:rsidRPr="00C54FFE" w:rsidP="00BB47EC" w14:paraId="4D28B346" w14:textId="77777777">
            <w:pPr>
              <w:spacing w:after="0" w:line="240" w:lineRule="auto"/>
              <w:jc w:val="center"/>
              <w:rPr>
                <w:rFonts w:ascii="Times New Roman" w:eastAsia="Times New Roman" w:hAnsi="Times New Roman" w:cs="Times New Roman"/>
                <w:sz w:val="20"/>
                <w:szCs w:val="20"/>
              </w:rPr>
            </w:pPr>
          </w:p>
        </w:tc>
        <w:tc>
          <w:tcPr>
            <w:tcW w:w="1248" w:type="dxa"/>
            <w:tcBorders>
              <w:top w:val="nil"/>
              <w:left w:val="nil"/>
              <w:bottom w:val="single" w:sz="8" w:space="0" w:color="auto"/>
              <w:right w:val="single" w:sz="8" w:space="0" w:color="auto"/>
            </w:tcBorders>
            <w:shd w:val="clear" w:color="auto" w:fill="BFBFBF" w:themeFill="background1" w:themeFillShade="BF"/>
          </w:tcPr>
          <w:p w:rsidR="0014501C" w:rsidRPr="00C54FFE" w:rsidP="00BB47EC" w14:paraId="2D726FBA" w14:textId="77777777">
            <w:pPr>
              <w:spacing w:after="0" w:line="240" w:lineRule="auto"/>
              <w:jc w:val="center"/>
              <w:rPr>
                <w:rFonts w:ascii="Times New Roman" w:eastAsia="Times New Roman" w:hAnsi="Times New Roman" w:cs="Times New Roman"/>
                <w:sz w:val="20"/>
                <w:szCs w:val="20"/>
              </w:rPr>
            </w:pPr>
          </w:p>
        </w:tc>
        <w:tc>
          <w:tcPr>
            <w:tcW w:w="1248" w:type="dxa"/>
            <w:tcBorders>
              <w:top w:val="nil"/>
              <w:left w:val="nil"/>
              <w:bottom w:val="single" w:sz="8" w:space="0" w:color="auto"/>
              <w:right w:val="single" w:sz="8" w:space="0" w:color="auto"/>
            </w:tcBorders>
          </w:tcPr>
          <w:p w:rsidR="0014501C" w:rsidRPr="00C54FFE" w:rsidP="00BB47EC" w14:paraId="1A35109C" w14:textId="77777777">
            <w:pPr>
              <w:spacing w:after="0" w:line="240" w:lineRule="auto"/>
              <w:jc w:val="center"/>
              <w:rPr>
                <w:rFonts w:ascii="Times New Roman" w:eastAsia="Times New Roman" w:hAnsi="Times New Roman" w:cs="Times New Roman"/>
                <w:sz w:val="20"/>
                <w:szCs w:val="20"/>
              </w:rPr>
            </w:pPr>
          </w:p>
        </w:tc>
      </w:tr>
      <w:tr w14:paraId="088AC383" w14:textId="77777777" w:rsidTr="007F239C">
        <w:tblPrEx>
          <w:tblW w:w="8717" w:type="dxa"/>
          <w:jc w:val="center"/>
          <w:tblCellMar>
            <w:left w:w="0" w:type="dxa"/>
            <w:right w:w="0" w:type="dxa"/>
          </w:tblCellMar>
          <w:tblLook w:val="04A0"/>
        </w:tblPrEx>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14501C" w:rsidRPr="00C54FFE" w:rsidP="00BB47EC" w14:paraId="2A01652A" w14:textId="32ABC61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Associate Director</w:t>
            </w:r>
          </w:p>
        </w:tc>
        <w:tc>
          <w:tcPr>
            <w:tcW w:w="1318" w:type="dxa"/>
            <w:tcBorders>
              <w:top w:val="nil"/>
              <w:left w:val="nil"/>
              <w:bottom w:val="single" w:sz="8" w:space="0" w:color="auto"/>
              <w:right w:val="single" w:sz="8" w:space="0" w:color="auto"/>
            </w:tcBorders>
          </w:tcPr>
          <w:p w:rsidR="0014501C" w:rsidRPr="00C54FFE" w:rsidP="00BB47EC" w14:paraId="1292D2BA" w14:textId="02DBEDBA">
            <w:pPr>
              <w:spacing w:after="0" w:line="240" w:lineRule="auto"/>
              <w:jc w:val="center"/>
              <w:rPr>
                <w:rFonts w:ascii="Times New Roman" w:eastAsia="Calibri" w:hAnsi="Times New Roman" w:cs="Times New Roman"/>
                <w:sz w:val="20"/>
                <w:szCs w:val="20"/>
              </w:rPr>
            </w:pPr>
            <w:r w:rsidRPr="00C54FFE">
              <w:rPr>
                <w:rFonts w:ascii="Times New Roman" w:eastAsia="Calibri" w:hAnsi="Times New Roman" w:cs="Times New Roman"/>
                <w:sz w:val="20"/>
                <w:szCs w:val="20"/>
              </w:rPr>
              <w:t>GS-1</w:t>
            </w:r>
            <w:r w:rsidR="000A4BF1">
              <w:rPr>
                <w:rFonts w:ascii="Times New Roman" w:eastAsia="Calibri" w:hAnsi="Times New Roman" w:cs="Times New Roman"/>
                <w:sz w:val="20"/>
                <w:szCs w:val="20"/>
              </w:rPr>
              <w:t>5</w:t>
            </w:r>
            <w:r w:rsidRPr="00C54FFE">
              <w:rPr>
                <w:rFonts w:ascii="Times New Roman" w:eastAsia="Calibri" w:hAnsi="Times New Roman" w:cs="Times New Roman"/>
                <w:sz w:val="20"/>
                <w:szCs w:val="20"/>
              </w:rPr>
              <w:t xml:space="preserve">, Step </w:t>
            </w:r>
            <w:r w:rsidR="00F41F78">
              <w:rPr>
                <w:rFonts w:ascii="Times New Roman" w:eastAsia="Calibri" w:hAnsi="Times New Roman" w:cs="Times New Roman"/>
                <w:sz w:val="20"/>
                <w:szCs w:val="20"/>
              </w:rPr>
              <w:t>3</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tcPr>
          <w:p w:rsidR="0014501C" w:rsidRPr="00C54FFE" w:rsidP="00BB47EC" w14:paraId="25AAF493" w14:textId="6E413A29">
            <w:pPr>
              <w:spacing w:after="0" w:line="240" w:lineRule="auto"/>
              <w:jc w:val="center"/>
              <w:rPr>
                <w:rFonts w:ascii="Times New Roman" w:eastAsia="Calibri" w:hAnsi="Times New Roman" w:cs="Times New Roman"/>
                <w:sz w:val="20"/>
                <w:szCs w:val="20"/>
              </w:rPr>
            </w:pPr>
            <w:r w:rsidRPr="00E6678D">
              <w:rPr>
                <w:rFonts w:ascii="Times New Roman" w:eastAsia="Calibri" w:hAnsi="Times New Roman" w:cs="Times New Roman"/>
                <w:sz w:val="20"/>
                <w:szCs w:val="20"/>
                <w:highlight w:val="yellow"/>
              </w:rPr>
              <w:t>$</w:t>
            </w:r>
            <w:r w:rsidRPr="004032EE" w:rsidR="00C05E6F">
              <w:rPr>
                <w:rFonts w:ascii="Times New Roman" w:eastAsia="Calibri" w:hAnsi="Times New Roman" w:cs="Times New Roman"/>
                <w:sz w:val="20"/>
                <w:szCs w:val="20"/>
                <w:highlight w:val="yellow"/>
              </w:rPr>
              <w:t>1</w:t>
            </w:r>
            <w:r w:rsidR="00F41F78">
              <w:rPr>
                <w:rFonts w:ascii="Times New Roman" w:eastAsia="Calibri" w:hAnsi="Times New Roman" w:cs="Times New Roman"/>
                <w:sz w:val="20"/>
                <w:szCs w:val="20"/>
                <w:highlight w:val="yellow"/>
              </w:rPr>
              <w:t>74</w:t>
            </w:r>
            <w:r w:rsidRPr="004032EE" w:rsidR="004032EE">
              <w:rPr>
                <w:rFonts w:ascii="Times New Roman" w:eastAsia="Calibri" w:hAnsi="Times New Roman" w:cs="Times New Roman"/>
                <w:sz w:val="20"/>
                <w:szCs w:val="20"/>
                <w:highlight w:val="yellow"/>
              </w:rPr>
              <w:t>,603</w:t>
            </w:r>
          </w:p>
        </w:tc>
        <w:tc>
          <w:tcPr>
            <w:tcW w:w="1248" w:type="dxa"/>
            <w:tcBorders>
              <w:top w:val="nil"/>
              <w:left w:val="nil"/>
              <w:bottom w:val="single" w:sz="8" w:space="0" w:color="auto"/>
              <w:right w:val="single" w:sz="8" w:space="0" w:color="auto"/>
            </w:tcBorders>
            <w:noWrap/>
            <w:tcMar>
              <w:top w:w="0" w:type="dxa"/>
              <w:left w:w="108" w:type="dxa"/>
              <w:bottom w:w="0" w:type="dxa"/>
              <w:right w:w="108" w:type="dxa"/>
            </w:tcMar>
          </w:tcPr>
          <w:p w:rsidR="0014501C" w:rsidRPr="00C54FFE" w:rsidP="00BB47EC" w14:paraId="2A757E6D" w14:textId="2BD0265D">
            <w:pPr>
              <w:spacing w:after="0" w:line="240" w:lineRule="auto"/>
              <w:jc w:val="center"/>
              <w:rPr>
                <w:rFonts w:ascii="Times New Roman" w:eastAsia="Calibri" w:hAnsi="Times New Roman" w:cs="Times New Roman"/>
                <w:sz w:val="20"/>
                <w:szCs w:val="20"/>
              </w:rPr>
            </w:pPr>
            <w:r w:rsidRPr="00C54FFE">
              <w:rPr>
                <w:rFonts w:ascii="Times New Roman" w:eastAsia="Calibri" w:hAnsi="Times New Roman" w:cs="Times New Roman"/>
                <w:sz w:val="20"/>
                <w:szCs w:val="20"/>
              </w:rPr>
              <w:t xml:space="preserve">6% </w:t>
            </w:r>
          </w:p>
        </w:tc>
        <w:tc>
          <w:tcPr>
            <w:tcW w:w="1248" w:type="dxa"/>
            <w:tcBorders>
              <w:top w:val="nil"/>
              <w:left w:val="nil"/>
              <w:bottom w:val="single" w:sz="8" w:space="0" w:color="auto"/>
              <w:right w:val="single" w:sz="8" w:space="0" w:color="auto"/>
            </w:tcBorders>
            <w:shd w:val="clear" w:color="auto" w:fill="BFBFBF" w:themeFill="background1" w:themeFillShade="BF"/>
          </w:tcPr>
          <w:p w:rsidR="0014501C" w:rsidRPr="00C54FFE" w:rsidP="00BB47EC" w14:paraId="787FD8F6" w14:textId="77777777">
            <w:pPr>
              <w:spacing w:after="0" w:line="240" w:lineRule="auto"/>
              <w:jc w:val="center"/>
              <w:rPr>
                <w:rFonts w:ascii="Times New Roman" w:eastAsia="Times New Roman" w:hAnsi="Times New Roman" w:cs="Times New Roman"/>
                <w:sz w:val="20"/>
                <w:szCs w:val="20"/>
              </w:rPr>
            </w:pPr>
          </w:p>
        </w:tc>
        <w:tc>
          <w:tcPr>
            <w:tcW w:w="1248" w:type="dxa"/>
            <w:tcBorders>
              <w:top w:val="nil"/>
              <w:left w:val="nil"/>
              <w:bottom w:val="single" w:sz="8" w:space="0" w:color="auto"/>
              <w:right w:val="single" w:sz="8" w:space="0" w:color="auto"/>
            </w:tcBorders>
          </w:tcPr>
          <w:p w:rsidR="0014501C" w:rsidRPr="00C54FFE" w:rsidP="00BB47EC" w14:paraId="5BB34C80" w14:textId="57612B68">
            <w:pPr>
              <w:spacing w:after="0" w:line="240" w:lineRule="auto"/>
              <w:jc w:val="center"/>
              <w:rPr>
                <w:rFonts w:ascii="Times New Roman" w:eastAsia="Times New Roman" w:hAnsi="Times New Roman" w:cs="Times New Roman"/>
                <w:sz w:val="20"/>
                <w:szCs w:val="20"/>
              </w:rPr>
            </w:pPr>
            <w:r w:rsidRPr="004032EE">
              <w:rPr>
                <w:rFonts w:ascii="Times New Roman" w:eastAsia="Times New Roman" w:hAnsi="Times New Roman" w:cs="Times New Roman"/>
                <w:sz w:val="20"/>
                <w:szCs w:val="20"/>
                <w:highlight w:val="yellow"/>
              </w:rPr>
              <w:t>$</w:t>
            </w:r>
            <w:r w:rsidRPr="004032EE" w:rsidR="004032EE">
              <w:rPr>
                <w:rFonts w:ascii="Times New Roman" w:eastAsia="Times New Roman" w:hAnsi="Times New Roman" w:cs="Times New Roman"/>
                <w:sz w:val="20"/>
                <w:szCs w:val="20"/>
                <w:highlight w:val="yellow"/>
              </w:rPr>
              <w:t>10,</w:t>
            </w:r>
            <w:r w:rsidR="00F41F78">
              <w:rPr>
                <w:rFonts w:ascii="Times New Roman" w:eastAsia="Times New Roman" w:hAnsi="Times New Roman" w:cs="Times New Roman"/>
                <w:sz w:val="20"/>
                <w:szCs w:val="20"/>
              </w:rPr>
              <w:t>476.18.</w:t>
            </w:r>
          </w:p>
        </w:tc>
      </w:tr>
      <w:tr w14:paraId="1BC1C509" w14:textId="77777777" w:rsidTr="00BB47EC">
        <w:tblPrEx>
          <w:tblW w:w="8717" w:type="dxa"/>
          <w:jc w:val="center"/>
          <w:tblCellMar>
            <w:left w:w="0" w:type="dxa"/>
            <w:right w:w="0" w:type="dxa"/>
          </w:tblCellMar>
          <w:tblLook w:val="04A0"/>
        </w:tblPrEx>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14501C" w:rsidRPr="00C54FFE" w:rsidP="00BB47EC" w14:paraId="617CB951" w14:textId="77777777">
            <w:pPr>
              <w:spacing w:after="0" w:line="240" w:lineRule="auto"/>
              <w:jc w:val="center"/>
              <w:rPr>
                <w:rFonts w:ascii="Times New Roman" w:eastAsia="Calibri" w:hAnsi="Times New Roman" w:cs="Times New Roman"/>
                <w:sz w:val="20"/>
                <w:szCs w:val="20"/>
              </w:rPr>
            </w:pPr>
            <w:r w:rsidRPr="00C54FFE">
              <w:rPr>
                <w:rFonts w:ascii="Times New Roman" w:eastAsia="Calibri" w:hAnsi="Times New Roman" w:cs="Times New Roman"/>
                <w:sz w:val="20"/>
                <w:szCs w:val="20"/>
              </w:rPr>
              <w:t>Travel</w:t>
            </w:r>
          </w:p>
        </w:tc>
        <w:tc>
          <w:tcPr>
            <w:tcW w:w="1318" w:type="dxa"/>
            <w:tcBorders>
              <w:top w:val="nil"/>
              <w:left w:val="nil"/>
              <w:bottom w:val="single" w:sz="8" w:space="0" w:color="auto"/>
              <w:right w:val="single" w:sz="8" w:space="0" w:color="auto"/>
            </w:tcBorders>
            <w:shd w:val="clear" w:color="auto" w:fill="BFBFBF" w:themeFill="background1" w:themeFillShade="BF"/>
          </w:tcPr>
          <w:p w:rsidR="0014501C" w:rsidRPr="00C54FFE" w:rsidP="00BB47EC" w14:paraId="08DE37D0" w14:textId="77777777">
            <w:pPr>
              <w:spacing w:after="0" w:line="240" w:lineRule="auto"/>
              <w:jc w:val="center"/>
              <w:rPr>
                <w:rFonts w:ascii="Times New Roman" w:eastAsia="Calibri" w:hAnsi="Times New Roman" w:cs="Times New Roman"/>
                <w:sz w:val="20"/>
                <w:szCs w:val="20"/>
              </w:rPr>
            </w:pPr>
          </w:p>
        </w:tc>
        <w:tc>
          <w:tcPr>
            <w:tcW w:w="115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14501C" w:rsidRPr="00C54FFE" w:rsidP="00BB47EC" w14:paraId="500FE2CE" w14:textId="77777777">
            <w:pPr>
              <w:spacing w:after="0" w:line="240" w:lineRule="auto"/>
              <w:jc w:val="center"/>
              <w:rPr>
                <w:rFonts w:ascii="Times New Roman" w:eastAsia="Calibri" w:hAnsi="Times New Roman" w:cs="Times New Roman"/>
                <w:sz w:val="20"/>
                <w:szCs w:val="20"/>
              </w:rPr>
            </w:pPr>
          </w:p>
        </w:tc>
        <w:tc>
          <w:tcPr>
            <w:tcW w:w="124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14501C" w:rsidRPr="00C54FFE" w:rsidP="00BB47EC" w14:paraId="0C7CD42D" w14:textId="77777777">
            <w:pPr>
              <w:spacing w:after="0" w:line="240" w:lineRule="auto"/>
              <w:jc w:val="center"/>
              <w:rPr>
                <w:rFonts w:ascii="Times New Roman" w:eastAsia="Calibri" w:hAnsi="Times New Roman" w:cs="Times New Roman"/>
                <w:sz w:val="20"/>
                <w:szCs w:val="20"/>
              </w:rPr>
            </w:pPr>
          </w:p>
        </w:tc>
        <w:tc>
          <w:tcPr>
            <w:tcW w:w="1248" w:type="dxa"/>
            <w:tcBorders>
              <w:top w:val="nil"/>
              <w:left w:val="nil"/>
              <w:bottom w:val="single" w:sz="8" w:space="0" w:color="auto"/>
              <w:right w:val="single" w:sz="8" w:space="0" w:color="auto"/>
            </w:tcBorders>
            <w:shd w:val="clear" w:color="auto" w:fill="BFBFBF" w:themeFill="background1" w:themeFillShade="BF"/>
          </w:tcPr>
          <w:p w:rsidR="0014501C" w:rsidRPr="00C54FFE" w:rsidP="00BB47EC" w14:paraId="2BE485EF" w14:textId="77777777">
            <w:pPr>
              <w:spacing w:after="0" w:line="240" w:lineRule="auto"/>
              <w:jc w:val="center"/>
              <w:rPr>
                <w:rFonts w:ascii="Times New Roman" w:eastAsia="Times New Roman" w:hAnsi="Times New Roman" w:cs="Times New Roman"/>
                <w:sz w:val="20"/>
                <w:szCs w:val="20"/>
              </w:rPr>
            </w:pPr>
          </w:p>
        </w:tc>
        <w:tc>
          <w:tcPr>
            <w:tcW w:w="1248" w:type="dxa"/>
            <w:tcBorders>
              <w:top w:val="nil"/>
              <w:left w:val="nil"/>
              <w:bottom w:val="single" w:sz="8" w:space="0" w:color="auto"/>
              <w:right w:val="single" w:sz="8" w:space="0" w:color="auto"/>
            </w:tcBorders>
          </w:tcPr>
          <w:p w:rsidR="0014501C" w:rsidRPr="00C54FFE" w:rsidP="00BB47EC" w14:paraId="78F2F584" w14:textId="77777777">
            <w:pPr>
              <w:spacing w:after="0" w:line="240" w:lineRule="auto"/>
              <w:jc w:val="center"/>
              <w:rPr>
                <w:rFonts w:ascii="Times New Roman" w:eastAsia="Times New Roman" w:hAnsi="Times New Roman" w:cs="Times New Roman"/>
                <w:sz w:val="20"/>
                <w:szCs w:val="20"/>
              </w:rPr>
            </w:pPr>
            <w:r w:rsidRPr="00C54FFE">
              <w:rPr>
                <w:rFonts w:ascii="Times New Roman" w:eastAsia="Times New Roman" w:hAnsi="Times New Roman" w:cs="Times New Roman"/>
                <w:sz w:val="20"/>
                <w:szCs w:val="20"/>
              </w:rPr>
              <w:t>$0</w:t>
            </w:r>
          </w:p>
        </w:tc>
      </w:tr>
      <w:tr w14:paraId="1C03C8E9" w14:textId="77777777" w:rsidTr="00BB47EC">
        <w:tblPrEx>
          <w:tblW w:w="8717" w:type="dxa"/>
          <w:jc w:val="center"/>
          <w:tblCellMar>
            <w:left w:w="0" w:type="dxa"/>
            <w:right w:w="0" w:type="dxa"/>
          </w:tblCellMar>
          <w:tblLook w:val="04A0"/>
        </w:tblPrEx>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4501C" w:rsidRPr="00C54FFE" w:rsidP="00BB47EC" w14:paraId="4BEB4463" w14:textId="77777777">
            <w:pPr>
              <w:spacing w:after="0" w:line="240" w:lineRule="auto"/>
              <w:jc w:val="center"/>
              <w:rPr>
                <w:rFonts w:ascii="Times New Roman" w:eastAsia="Times New Roman" w:hAnsi="Times New Roman" w:cs="Times New Roman"/>
                <w:b/>
                <w:sz w:val="20"/>
                <w:szCs w:val="20"/>
              </w:rPr>
            </w:pPr>
            <w:r w:rsidRPr="00C54FFE">
              <w:rPr>
                <w:rFonts w:ascii="Times New Roman" w:eastAsia="Times New Roman" w:hAnsi="Times New Roman" w:cs="Times New Roman"/>
                <w:b/>
                <w:sz w:val="20"/>
                <w:szCs w:val="20"/>
              </w:rPr>
              <w:t>T</w:t>
            </w:r>
            <w:r>
              <w:rPr>
                <w:rFonts w:ascii="Times New Roman" w:eastAsia="Times New Roman" w:hAnsi="Times New Roman" w:cs="Times New Roman"/>
                <w:b/>
                <w:sz w:val="20"/>
                <w:szCs w:val="20"/>
              </w:rPr>
              <w:t>OTAL</w:t>
            </w:r>
          </w:p>
        </w:tc>
        <w:tc>
          <w:tcPr>
            <w:tcW w:w="1318" w:type="dxa"/>
            <w:tcBorders>
              <w:top w:val="nil"/>
              <w:left w:val="nil"/>
              <w:bottom w:val="single" w:sz="8" w:space="0" w:color="auto"/>
              <w:right w:val="single" w:sz="8" w:space="0" w:color="auto"/>
            </w:tcBorders>
          </w:tcPr>
          <w:p w:rsidR="0014501C" w:rsidRPr="00C54FFE" w:rsidP="00BB47EC" w14:paraId="1BAB593E" w14:textId="77777777">
            <w:pPr>
              <w:spacing w:after="0" w:line="240" w:lineRule="auto"/>
              <w:jc w:val="center"/>
              <w:rPr>
                <w:rFonts w:ascii="Times New Roman" w:eastAsia="Calibri" w:hAnsi="Times New Roman" w:cs="Times New Roman"/>
                <w:sz w:val="20"/>
                <w:szCs w:val="20"/>
              </w:rPr>
            </w:pP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4501C" w:rsidRPr="00C54FFE" w:rsidP="00BB47EC" w14:paraId="178B59BF" w14:textId="77777777">
            <w:pPr>
              <w:spacing w:after="0" w:line="240" w:lineRule="auto"/>
              <w:jc w:val="center"/>
              <w:rPr>
                <w:rFonts w:ascii="Times New Roman" w:eastAsia="Times New Roman" w:hAnsi="Times New Roman" w:cs="Times New Roman"/>
                <w:sz w:val="20"/>
                <w:szCs w:val="20"/>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4501C" w:rsidRPr="00C54FFE" w:rsidP="00BB47EC" w14:paraId="57FEAD08" w14:textId="77777777">
            <w:pPr>
              <w:spacing w:after="0" w:line="240" w:lineRule="auto"/>
              <w:jc w:val="center"/>
              <w:rPr>
                <w:rFonts w:ascii="Times New Roman" w:eastAsia="Times New Roman" w:hAnsi="Times New Roman" w:cs="Times New Roman"/>
                <w:sz w:val="20"/>
                <w:szCs w:val="20"/>
              </w:rPr>
            </w:pPr>
          </w:p>
        </w:tc>
        <w:tc>
          <w:tcPr>
            <w:tcW w:w="1248" w:type="dxa"/>
            <w:tcBorders>
              <w:top w:val="nil"/>
              <w:left w:val="nil"/>
              <w:bottom w:val="single" w:sz="8" w:space="0" w:color="auto"/>
              <w:right w:val="single" w:sz="8" w:space="0" w:color="auto"/>
            </w:tcBorders>
          </w:tcPr>
          <w:p w:rsidR="0014501C" w:rsidRPr="00C54FFE" w:rsidP="00BB47EC" w14:paraId="6040F208" w14:textId="77777777">
            <w:pPr>
              <w:spacing w:after="0" w:line="240" w:lineRule="auto"/>
              <w:jc w:val="center"/>
              <w:rPr>
                <w:rFonts w:ascii="Times New Roman" w:eastAsia="Times New Roman" w:hAnsi="Times New Roman" w:cs="Times New Roman"/>
                <w:sz w:val="20"/>
                <w:szCs w:val="20"/>
              </w:rPr>
            </w:pPr>
          </w:p>
        </w:tc>
        <w:tc>
          <w:tcPr>
            <w:tcW w:w="1248" w:type="dxa"/>
            <w:tcBorders>
              <w:top w:val="nil"/>
              <w:left w:val="nil"/>
              <w:bottom w:val="single" w:sz="8" w:space="0" w:color="auto"/>
              <w:right w:val="single" w:sz="8" w:space="0" w:color="auto"/>
            </w:tcBorders>
          </w:tcPr>
          <w:p w:rsidR="0014501C" w:rsidRPr="004032EE" w:rsidP="00BB47EC" w14:paraId="36920CDA" w14:textId="0ECED822">
            <w:pPr>
              <w:spacing w:after="0" w:line="240" w:lineRule="auto"/>
              <w:jc w:val="center"/>
              <w:rPr>
                <w:rFonts w:ascii="Times New Roman" w:eastAsia="Times New Roman" w:hAnsi="Times New Roman" w:cs="Times New Roman"/>
                <w:b/>
                <w:bCs/>
                <w:sz w:val="20"/>
                <w:szCs w:val="20"/>
              </w:rPr>
            </w:pPr>
            <w:r w:rsidRPr="004032EE">
              <w:rPr>
                <w:rFonts w:ascii="Times New Roman" w:eastAsia="Times New Roman" w:hAnsi="Times New Roman" w:cs="Times New Roman"/>
                <w:b/>
                <w:bCs/>
                <w:sz w:val="20"/>
                <w:szCs w:val="20"/>
                <w:highlight w:val="yellow"/>
              </w:rPr>
              <w:t>$</w:t>
            </w:r>
            <w:r w:rsidRPr="004032EE" w:rsidR="004032EE">
              <w:rPr>
                <w:rFonts w:ascii="Times New Roman" w:eastAsia="Times New Roman" w:hAnsi="Times New Roman" w:cs="Times New Roman"/>
                <w:b/>
                <w:bCs/>
                <w:sz w:val="20"/>
                <w:szCs w:val="20"/>
                <w:highlight w:val="yellow"/>
              </w:rPr>
              <w:t>10,056.18</w:t>
            </w:r>
          </w:p>
        </w:tc>
      </w:tr>
    </w:tbl>
    <w:p w:rsidR="00B33262" w:rsidRPr="0028663F" w:rsidP="00E6678D" w14:paraId="6932BE61" w14:textId="640F0A21">
      <w:pPr>
        <w:spacing w:before="120" w:after="120" w:line="240" w:lineRule="auto"/>
        <w:rPr>
          <w:rStyle w:val="Hyperlink"/>
          <w:rFonts w:cstheme="minorHAnsi"/>
          <w:i/>
          <w:iCs/>
          <w:sz w:val="18"/>
          <w:szCs w:val="18"/>
        </w:rPr>
      </w:pPr>
      <w:r>
        <w:rPr>
          <w:rFonts w:cstheme="minorHAnsi"/>
          <w:i/>
          <w:iCs/>
          <w:sz w:val="18"/>
          <w:szCs w:val="18"/>
        </w:rPr>
        <w:t xml:space="preserve">* </w:t>
      </w:r>
      <w:r w:rsidRPr="00E6678D">
        <w:rPr>
          <w:rFonts w:cstheme="minorHAnsi"/>
          <w:i/>
          <w:iCs/>
          <w:sz w:val="18"/>
          <w:szCs w:val="18"/>
          <w:highlight w:val="yellow"/>
        </w:rPr>
        <w:t xml:space="preserve">Salary/Wage Source: Office of Personnel Management </w:t>
      </w:r>
      <w:r w:rsidRPr="00E6678D" w:rsidR="00E520FF">
        <w:rPr>
          <w:rFonts w:cstheme="minorHAnsi"/>
          <w:i/>
          <w:iCs/>
          <w:sz w:val="18"/>
          <w:szCs w:val="18"/>
          <w:highlight w:val="yellow"/>
        </w:rPr>
        <w:t>202</w:t>
      </w:r>
      <w:r w:rsidR="004032EE">
        <w:rPr>
          <w:rFonts w:cstheme="minorHAnsi"/>
          <w:i/>
          <w:iCs/>
          <w:sz w:val="18"/>
          <w:szCs w:val="18"/>
          <w:highlight w:val="yellow"/>
        </w:rPr>
        <w:t>5</w:t>
      </w:r>
      <w:r w:rsidRPr="00E6678D">
        <w:rPr>
          <w:rFonts w:cstheme="minorHAnsi"/>
          <w:i/>
          <w:iCs/>
          <w:sz w:val="18"/>
          <w:szCs w:val="18"/>
          <w:highlight w:val="yellow"/>
        </w:rPr>
        <w:t xml:space="preserve"> Salary Table for the Locality Pay Area of Washington-Baltimore-Arlington, DC-MD-VA-WV-PA </w:t>
      </w:r>
      <w:hyperlink r:id="rId14" w:history="1">
        <w:r w:rsidRPr="00B032A8" w:rsidR="004032EE">
          <w:rPr>
            <w:rStyle w:val="Hyperlink"/>
            <w:sz w:val="18"/>
            <w:szCs w:val="18"/>
            <w:highlight w:val="yellow"/>
          </w:rPr>
          <w:t>https://www.opm.gov/policy-data-oversight/pay-leave/salaries-wages/salary-tables/pdf/2025/DCB.pdf</w:t>
        </w:r>
      </w:hyperlink>
      <w:r w:rsidR="00C05E6F">
        <w:t xml:space="preserve"> </w:t>
      </w:r>
    </w:p>
    <w:p w:rsidR="009D3467" w:rsidP="009D3467" w14:paraId="3F15D319" w14:textId="77777777">
      <w:pPr>
        <w:rPr>
          <w:b/>
        </w:rPr>
      </w:pPr>
      <w:r w:rsidRPr="009D3467">
        <w:rPr>
          <w:b/>
        </w:rPr>
        <w:t>A.15</w:t>
      </w:r>
      <w:r w:rsidRPr="009D3467">
        <w:rPr>
          <w:b/>
        </w:rPr>
        <w:tab/>
        <w:t>Explanation for Program Changes or Adjustments</w:t>
      </w:r>
    </w:p>
    <w:p w:rsidR="00E6678D" w:rsidRPr="00E6678D" w:rsidP="009D3467" w14:paraId="222DA377" w14:textId="35B2A415">
      <w:pPr>
        <w:rPr>
          <w:b/>
          <w:highlight w:val="yellow"/>
        </w:rPr>
      </w:pPr>
      <w:r>
        <w:rPr>
          <w:bCs/>
          <w:highlight w:val="yellow"/>
        </w:rPr>
        <w:t xml:space="preserve">The title of the instruments was changed to reflect inclusion of the HBCD Study. It now refers to the NIH Brain Development Cohorts, which subsumes both the ABCD Study and the HBCD Study. </w:t>
      </w:r>
      <w:r w:rsidRPr="00E6678D">
        <w:rPr>
          <w:bCs/>
          <w:highlight w:val="yellow"/>
        </w:rPr>
        <w:t>To improve clarity</w:t>
      </w:r>
      <w:r w:rsidR="001309E2">
        <w:rPr>
          <w:bCs/>
          <w:highlight w:val="yellow"/>
        </w:rPr>
        <w:t xml:space="preserve"> of Recipient burden, only the data use and progress report statements have been included in the package. The</w:t>
      </w:r>
      <w:r w:rsidRPr="00E6678D">
        <w:rPr>
          <w:bCs/>
          <w:highlight w:val="yellow"/>
        </w:rPr>
        <w:t xml:space="preserve"> following changes were made:</w:t>
      </w:r>
    </w:p>
    <w:p w:rsidR="004D3401" w:rsidRPr="004D3401" w:rsidP="004D3401" w14:paraId="77143EF8" w14:textId="77777777">
      <w:pPr>
        <w:pStyle w:val="ListParagraph"/>
        <w:numPr>
          <w:ilvl w:val="0"/>
          <w:numId w:val="5"/>
        </w:numPr>
        <w:rPr>
          <w:highlight w:val="yellow"/>
        </w:rPr>
      </w:pPr>
      <w:bookmarkStart w:id="23" w:name="_Hlk180512137"/>
      <w:bookmarkStart w:id="24" w:name="_Toc443881759"/>
      <w:bookmarkStart w:id="25" w:name="_Toc451592246"/>
      <w:bookmarkStart w:id="26" w:name="_Toc5610287"/>
      <w:bookmarkStart w:id="27" w:name="_Toc99178793"/>
      <w:r w:rsidRPr="004D3401">
        <w:rPr>
          <w:highlight w:val="yellow"/>
        </w:rPr>
        <w:t>Introduction</w:t>
      </w:r>
    </w:p>
    <w:p w:rsidR="004D3401" w:rsidRPr="004D3401" w:rsidP="004D3401" w14:paraId="5EC0A32F" w14:textId="77777777">
      <w:pPr>
        <w:pStyle w:val="ListParagraph"/>
        <w:numPr>
          <w:ilvl w:val="1"/>
          <w:numId w:val="5"/>
        </w:numPr>
        <w:rPr>
          <w:highlight w:val="yellow"/>
        </w:rPr>
      </w:pPr>
      <w:r w:rsidRPr="004D3401">
        <w:rPr>
          <w:highlight w:val="yellow"/>
        </w:rPr>
        <w:t>First paragraph – Added information about Health Brain and Child Development Study</w:t>
      </w:r>
    </w:p>
    <w:p w:rsidR="004D3401" w:rsidRPr="001309E2" w:rsidP="001309E2" w14:paraId="21A6A95A" w14:textId="54175D13">
      <w:pPr>
        <w:pStyle w:val="ListParagraph"/>
        <w:numPr>
          <w:ilvl w:val="0"/>
          <w:numId w:val="5"/>
        </w:numPr>
        <w:rPr>
          <w:highlight w:val="yellow"/>
        </w:rPr>
      </w:pPr>
      <w:r w:rsidRPr="004D3401">
        <w:rPr>
          <w:highlight w:val="yellow"/>
        </w:rPr>
        <w:t>Data Use Terms &amp; Conditions</w:t>
      </w:r>
      <w:r w:rsidR="00F41F78">
        <w:rPr>
          <w:highlight w:val="yellow"/>
        </w:rPr>
        <w:t xml:space="preserve"> - removed</w:t>
      </w:r>
    </w:p>
    <w:p w:rsidR="004D3401" w:rsidRPr="004D3401" w:rsidP="004D3401" w14:paraId="11BBA176" w14:textId="591BC9F1">
      <w:pPr>
        <w:pStyle w:val="ListParagraph"/>
        <w:numPr>
          <w:ilvl w:val="0"/>
          <w:numId w:val="5"/>
        </w:numPr>
        <w:rPr>
          <w:highlight w:val="yellow"/>
        </w:rPr>
      </w:pPr>
      <w:r w:rsidRPr="004D3401">
        <w:rPr>
          <w:highlight w:val="yellow"/>
        </w:rPr>
        <w:t>Recipient Information and Certifications</w:t>
      </w:r>
    </w:p>
    <w:p w:rsidR="004D3401" w:rsidRPr="001309E2" w:rsidP="001309E2" w14:paraId="2E07C423" w14:textId="3F47F6C3">
      <w:pPr>
        <w:pStyle w:val="ListParagraph"/>
        <w:numPr>
          <w:ilvl w:val="1"/>
          <w:numId w:val="5"/>
        </w:numPr>
        <w:rPr>
          <w:highlight w:val="yellow"/>
        </w:rPr>
      </w:pPr>
      <w:r w:rsidRPr="001309E2">
        <w:rPr>
          <w:highlight w:val="yellow"/>
        </w:rPr>
        <w:t>Modified instructions for Research Data Use Statement</w:t>
      </w:r>
    </w:p>
    <w:p w:rsidR="004D3401" w:rsidRPr="004D3401" w:rsidP="004D3401" w14:paraId="7AFC3B64" w14:textId="77777777">
      <w:pPr>
        <w:pStyle w:val="ListParagraph"/>
        <w:numPr>
          <w:ilvl w:val="1"/>
          <w:numId w:val="5"/>
        </w:numPr>
        <w:rPr>
          <w:highlight w:val="yellow"/>
        </w:rPr>
      </w:pPr>
      <w:r w:rsidRPr="004D3401">
        <w:rPr>
          <w:highlight w:val="yellow"/>
        </w:rPr>
        <w:t>Progress Report – added language for recipients to include progress report statement</w:t>
      </w:r>
      <w:bookmarkEnd w:id="23"/>
    </w:p>
    <w:p w:rsidR="00E6678D" w:rsidP="009D3467" w14:paraId="0B1AEFAF" w14:textId="77777777">
      <w:pPr>
        <w:rPr>
          <w:b/>
        </w:rPr>
      </w:pPr>
    </w:p>
    <w:p w:rsidR="009D3467" w:rsidRPr="009D3467" w:rsidP="009D3467" w14:paraId="2997FCCA" w14:textId="707672B1">
      <w:pPr>
        <w:rPr>
          <w:b/>
        </w:rPr>
      </w:pPr>
      <w:r w:rsidRPr="009D3467">
        <w:rPr>
          <w:b/>
        </w:rPr>
        <w:t>A.16</w:t>
      </w:r>
      <w:r w:rsidRPr="009D3467">
        <w:rPr>
          <w:b/>
        </w:rPr>
        <w:tab/>
        <w:t>Plans for Tabulation and Publication and Project Time Schedule</w:t>
      </w:r>
      <w:bookmarkEnd w:id="24"/>
      <w:bookmarkEnd w:id="25"/>
      <w:bookmarkEnd w:id="26"/>
      <w:bookmarkEnd w:id="27"/>
    </w:p>
    <w:p w:rsidR="009D3467" w:rsidRPr="009D3467" w:rsidP="009D3467" w14:paraId="3F4AB771" w14:textId="57834A4A">
      <w:r>
        <w:t>Information collected on the DUC</w:t>
      </w:r>
      <w:r w:rsidR="139AEF29">
        <w:t>s</w:t>
      </w:r>
      <w:r>
        <w:t xml:space="preserve"> may be used for internal monitoring purposes.  </w:t>
      </w:r>
    </w:p>
    <w:p w:rsidR="009D3467" w:rsidRPr="009D3467" w:rsidP="009D3467" w14:paraId="306C4F5B" w14:textId="77777777">
      <w:pPr>
        <w:rPr>
          <w:b/>
        </w:rPr>
      </w:pPr>
      <w:r w:rsidRPr="009D3467">
        <w:rPr>
          <w:b/>
        </w:rPr>
        <w:t>A.17</w:t>
      </w:r>
      <w:r w:rsidRPr="009D3467">
        <w:rPr>
          <w:b/>
        </w:rPr>
        <w:tab/>
        <w:t>Reason(s) Display of OMB Expiration Date is Inappropriate</w:t>
      </w:r>
    </w:p>
    <w:p w:rsidR="009D3467" w:rsidRPr="009D3467" w:rsidP="009D3467" w14:paraId="4C267829" w14:textId="5C6B0169">
      <w:r>
        <w:t>OMB number and expiration date will be displayed.</w:t>
      </w:r>
    </w:p>
    <w:p w:rsidR="009D3467" w:rsidRPr="009D3467" w:rsidP="009D3467" w14:paraId="7ADC9E13" w14:textId="77777777">
      <w:pPr>
        <w:rPr>
          <w:b/>
        </w:rPr>
      </w:pPr>
      <w:r w:rsidRPr="009D3467">
        <w:rPr>
          <w:b/>
        </w:rPr>
        <w:t>A.18</w:t>
      </w:r>
      <w:r w:rsidRPr="009D3467">
        <w:rPr>
          <w:b/>
        </w:rPr>
        <w:tab/>
        <w:t>Exceptions to Certification for Paperwork Reduction Act Submissions</w:t>
      </w:r>
    </w:p>
    <w:p w:rsidR="00A81660" w:rsidRPr="004D38A1" w:rsidP="009D3467" w14:paraId="1CC0B93A" w14:textId="5BC8069F">
      <w:r>
        <w:t>There are no exceptions to the Certification for Paperwork Reduction Act Submissions</w:t>
      </w:r>
      <w:r w:rsidRPr="009D3467" w:rsidR="009D3467">
        <w:t>.</w:t>
      </w:r>
    </w:p>
    <w:p w:rsidR="00202904" w:rsidRPr="00317932" w:rsidP="00E32E3C" w14:paraId="37D5CDE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CE7CB9"/>
    <w:multiLevelType w:val="hybridMultilevel"/>
    <w:tmpl w:val="2272F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E8914F4"/>
    <w:multiLevelType w:val="hybridMultilevel"/>
    <w:tmpl w:val="0832BC82"/>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34D5603"/>
    <w:multiLevelType w:val="hybridMultilevel"/>
    <w:tmpl w:val="4F724B80"/>
    <w:lvl w:ilvl="0">
      <w:start w:val="1"/>
      <w:numFmt w:val="upperLetter"/>
      <w:lvlText w:val="%1."/>
      <w:lvlJc w:val="left"/>
      <w:pPr>
        <w:ind w:left="405" w:hanging="360"/>
      </w:pPr>
      <w:rPr>
        <w:rFonts w:ascii="Calibri" w:eastAsia="Times New Roman" w:hAnsi="Calibri" w:cs="Times New Roman" w:hint="default"/>
        <w:b/>
        <w:bCs/>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3">
    <w:nsid w:val="33D06EAB"/>
    <w:multiLevelType w:val="hybridMultilevel"/>
    <w:tmpl w:val="EB10803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681075"/>
    <w:multiLevelType w:val="hybridMultilevel"/>
    <w:tmpl w:val="F4AC09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5001A9E"/>
    <w:multiLevelType w:val="hybridMultilevel"/>
    <w:tmpl w:val="B0BCBA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4253355">
    <w:abstractNumId w:val="1"/>
  </w:num>
  <w:num w:numId="2" w16cid:durableId="2054962927">
    <w:abstractNumId w:val="2"/>
  </w:num>
  <w:num w:numId="3" w16cid:durableId="857502593">
    <w:abstractNumId w:val="4"/>
  </w:num>
  <w:num w:numId="4" w16cid:durableId="1931575169">
    <w:abstractNumId w:val="0"/>
  </w:num>
  <w:num w:numId="5" w16cid:durableId="701902352">
    <w:abstractNumId w:val="3"/>
  </w:num>
  <w:num w:numId="6" w16cid:durableId="1142229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CC"/>
    <w:rsid w:val="00016061"/>
    <w:rsid w:val="0003342C"/>
    <w:rsid w:val="00033801"/>
    <w:rsid w:val="000347A8"/>
    <w:rsid w:val="00036454"/>
    <w:rsid w:val="000524C0"/>
    <w:rsid w:val="000660D6"/>
    <w:rsid w:val="00073429"/>
    <w:rsid w:val="00087322"/>
    <w:rsid w:val="000A4BF1"/>
    <w:rsid w:val="000B5DE2"/>
    <w:rsid w:val="000D2B6D"/>
    <w:rsid w:val="000D4C6B"/>
    <w:rsid w:val="001070A2"/>
    <w:rsid w:val="00111052"/>
    <w:rsid w:val="001241FD"/>
    <w:rsid w:val="00125A40"/>
    <w:rsid w:val="001300F1"/>
    <w:rsid w:val="001309E2"/>
    <w:rsid w:val="0014501C"/>
    <w:rsid w:val="00153C22"/>
    <w:rsid w:val="00166299"/>
    <w:rsid w:val="00170041"/>
    <w:rsid w:val="00171D99"/>
    <w:rsid w:val="00171F01"/>
    <w:rsid w:val="00177ECB"/>
    <w:rsid w:val="00190BC3"/>
    <w:rsid w:val="001C463C"/>
    <w:rsid w:val="001D04A8"/>
    <w:rsid w:val="001D3718"/>
    <w:rsid w:val="001F6DFB"/>
    <w:rsid w:val="002005C6"/>
    <w:rsid w:val="00202904"/>
    <w:rsid w:val="00213E21"/>
    <w:rsid w:val="00214D64"/>
    <w:rsid w:val="00236C96"/>
    <w:rsid w:val="00243A03"/>
    <w:rsid w:val="00250056"/>
    <w:rsid w:val="00252841"/>
    <w:rsid w:val="00256E0A"/>
    <w:rsid w:val="00286425"/>
    <w:rsid w:val="0028663F"/>
    <w:rsid w:val="00296308"/>
    <w:rsid w:val="002A1E5C"/>
    <w:rsid w:val="002A4B42"/>
    <w:rsid w:val="002B13BA"/>
    <w:rsid w:val="002C1DE5"/>
    <w:rsid w:val="002C4B04"/>
    <w:rsid w:val="002C6DC0"/>
    <w:rsid w:val="002D3B53"/>
    <w:rsid w:val="002E50BF"/>
    <w:rsid w:val="002F3F91"/>
    <w:rsid w:val="002F49AF"/>
    <w:rsid w:val="00300B5E"/>
    <w:rsid w:val="00317932"/>
    <w:rsid w:val="003218E6"/>
    <w:rsid w:val="00324254"/>
    <w:rsid w:val="00327348"/>
    <w:rsid w:val="00365E24"/>
    <w:rsid w:val="00365E41"/>
    <w:rsid w:val="003708B8"/>
    <w:rsid w:val="003821F3"/>
    <w:rsid w:val="003A0B2F"/>
    <w:rsid w:val="003E2672"/>
    <w:rsid w:val="003E3B91"/>
    <w:rsid w:val="003F4940"/>
    <w:rsid w:val="004032EE"/>
    <w:rsid w:val="0040411E"/>
    <w:rsid w:val="00413C37"/>
    <w:rsid w:val="004166A0"/>
    <w:rsid w:val="004178E1"/>
    <w:rsid w:val="00427EBA"/>
    <w:rsid w:val="00481778"/>
    <w:rsid w:val="00485002"/>
    <w:rsid w:val="00494BF6"/>
    <w:rsid w:val="004A39D4"/>
    <w:rsid w:val="004C3F38"/>
    <w:rsid w:val="004C4F9E"/>
    <w:rsid w:val="004C74C0"/>
    <w:rsid w:val="004D3401"/>
    <w:rsid w:val="004D38A1"/>
    <w:rsid w:val="004D5AE8"/>
    <w:rsid w:val="00512CC4"/>
    <w:rsid w:val="00513459"/>
    <w:rsid w:val="005154B4"/>
    <w:rsid w:val="0051614E"/>
    <w:rsid w:val="00526B11"/>
    <w:rsid w:val="00545825"/>
    <w:rsid w:val="0055433A"/>
    <w:rsid w:val="00556EF0"/>
    <w:rsid w:val="00594CC0"/>
    <w:rsid w:val="005B4F32"/>
    <w:rsid w:val="005B5645"/>
    <w:rsid w:val="005C0C39"/>
    <w:rsid w:val="005C4A03"/>
    <w:rsid w:val="005D08E2"/>
    <w:rsid w:val="005F7EEF"/>
    <w:rsid w:val="0061428E"/>
    <w:rsid w:val="0062160B"/>
    <w:rsid w:val="006266A9"/>
    <w:rsid w:val="00633282"/>
    <w:rsid w:val="006535C8"/>
    <w:rsid w:val="0066478B"/>
    <w:rsid w:val="00692955"/>
    <w:rsid w:val="006B00E4"/>
    <w:rsid w:val="006D0BA3"/>
    <w:rsid w:val="006D5B35"/>
    <w:rsid w:val="006D61FC"/>
    <w:rsid w:val="006E00A6"/>
    <w:rsid w:val="006F0123"/>
    <w:rsid w:val="00703454"/>
    <w:rsid w:val="00707B6F"/>
    <w:rsid w:val="00712A3E"/>
    <w:rsid w:val="00715274"/>
    <w:rsid w:val="00723578"/>
    <w:rsid w:val="007246B5"/>
    <w:rsid w:val="007322A8"/>
    <w:rsid w:val="007578F5"/>
    <w:rsid w:val="007753DA"/>
    <w:rsid w:val="00775E92"/>
    <w:rsid w:val="007A4F63"/>
    <w:rsid w:val="007B432D"/>
    <w:rsid w:val="007B60CC"/>
    <w:rsid w:val="007D1E08"/>
    <w:rsid w:val="007E58E9"/>
    <w:rsid w:val="007F239C"/>
    <w:rsid w:val="007F57AB"/>
    <w:rsid w:val="007F70F5"/>
    <w:rsid w:val="00800F87"/>
    <w:rsid w:val="00811FCB"/>
    <w:rsid w:val="008156B3"/>
    <w:rsid w:val="00836AD1"/>
    <w:rsid w:val="008429FA"/>
    <w:rsid w:val="00844AB8"/>
    <w:rsid w:val="00854A77"/>
    <w:rsid w:val="00854FB2"/>
    <w:rsid w:val="0085798E"/>
    <w:rsid w:val="00872062"/>
    <w:rsid w:val="0088256E"/>
    <w:rsid w:val="008942E9"/>
    <w:rsid w:val="00897FB0"/>
    <w:rsid w:val="008A314F"/>
    <w:rsid w:val="008C1A87"/>
    <w:rsid w:val="008D2ADF"/>
    <w:rsid w:val="008D4FF8"/>
    <w:rsid w:val="00900387"/>
    <w:rsid w:val="00937AA2"/>
    <w:rsid w:val="009415F4"/>
    <w:rsid w:val="00951A14"/>
    <w:rsid w:val="00953652"/>
    <w:rsid w:val="0096138C"/>
    <w:rsid w:val="00962BF3"/>
    <w:rsid w:val="0097634D"/>
    <w:rsid w:val="00980EEA"/>
    <w:rsid w:val="0099343D"/>
    <w:rsid w:val="00996869"/>
    <w:rsid w:val="009A47F1"/>
    <w:rsid w:val="009A4AAD"/>
    <w:rsid w:val="009A52E3"/>
    <w:rsid w:val="009B35D9"/>
    <w:rsid w:val="009D3467"/>
    <w:rsid w:val="00A16022"/>
    <w:rsid w:val="00A17DA3"/>
    <w:rsid w:val="00A213E7"/>
    <w:rsid w:val="00A35AF4"/>
    <w:rsid w:val="00A4398F"/>
    <w:rsid w:val="00A81660"/>
    <w:rsid w:val="00A82711"/>
    <w:rsid w:val="00A91CD6"/>
    <w:rsid w:val="00AC15A4"/>
    <w:rsid w:val="00AE2C1C"/>
    <w:rsid w:val="00AE52B4"/>
    <w:rsid w:val="00AE76F4"/>
    <w:rsid w:val="00B032A8"/>
    <w:rsid w:val="00B12AC7"/>
    <w:rsid w:val="00B14AAC"/>
    <w:rsid w:val="00B32601"/>
    <w:rsid w:val="00B33262"/>
    <w:rsid w:val="00B33FA4"/>
    <w:rsid w:val="00B36AE6"/>
    <w:rsid w:val="00B43880"/>
    <w:rsid w:val="00B45D4C"/>
    <w:rsid w:val="00B51B74"/>
    <w:rsid w:val="00B56464"/>
    <w:rsid w:val="00B60DFC"/>
    <w:rsid w:val="00B6197B"/>
    <w:rsid w:val="00B61C20"/>
    <w:rsid w:val="00B75B6C"/>
    <w:rsid w:val="00BA3248"/>
    <w:rsid w:val="00BB47EC"/>
    <w:rsid w:val="00BB74CD"/>
    <w:rsid w:val="00BC19B5"/>
    <w:rsid w:val="00BD2EE3"/>
    <w:rsid w:val="00BE0611"/>
    <w:rsid w:val="00BF19DE"/>
    <w:rsid w:val="00C01375"/>
    <w:rsid w:val="00C034C8"/>
    <w:rsid w:val="00C03C6F"/>
    <w:rsid w:val="00C05E6F"/>
    <w:rsid w:val="00C10B12"/>
    <w:rsid w:val="00C3556D"/>
    <w:rsid w:val="00C4161B"/>
    <w:rsid w:val="00C421AD"/>
    <w:rsid w:val="00C45845"/>
    <w:rsid w:val="00C476D5"/>
    <w:rsid w:val="00C54FFE"/>
    <w:rsid w:val="00C57095"/>
    <w:rsid w:val="00CA1186"/>
    <w:rsid w:val="00CC51E3"/>
    <w:rsid w:val="00CD7570"/>
    <w:rsid w:val="00CE66AC"/>
    <w:rsid w:val="00CE7074"/>
    <w:rsid w:val="00CF41CB"/>
    <w:rsid w:val="00D12650"/>
    <w:rsid w:val="00D15C8C"/>
    <w:rsid w:val="00D374A5"/>
    <w:rsid w:val="00D57DC1"/>
    <w:rsid w:val="00D630E2"/>
    <w:rsid w:val="00D73D3A"/>
    <w:rsid w:val="00D82685"/>
    <w:rsid w:val="00D92D36"/>
    <w:rsid w:val="00D952E2"/>
    <w:rsid w:val="00DE6D73"/>
    <w:rsid w:val="00DE79DE"/>
    <w:rsid w:val="00DF40B7"/>
    <w:rsid w:val="00E05E09"/>
    <w:rsid w:val="00E146D6"/>
    <w:rsid w:val="00E158E9"/>
    <w:rsid w:val="00E159A3"/>
    <w:rsid w:val="00E171F1"/>
    <w:rsid w:val="00E27235"/>
    <w:rsid w:val="00E32E3C"/>
    <w:rsid w:val="00E35DD1"/>
    <w:rsid w:val="00E520FF"/>
    <w:rsid w:val="00E53F3F"/>
    <w:rsid w:val="00E57AFA"/>
    <w:rsid w:val="00E6678D"/>
    <w:rsid w:val="00E66D4E"/>
    <w:rsid w:val="00E710EC"/>
    <w:rsid w:val="00E81872"/>
    <w:rsid w:val="00E826D9"/>
    <w:rsid w:val="00ED2105"/>
    <w:rsid w:val="00EE0B98"/>
    <w:rsid w:val="00EE6C43"/>
    <w:rsid w:val="00EE7C52"/>
    <w:rsid w:val="00F075AF"/>
    <w:rsid w:val="00F10C31"/>
    <w:rsid w:val="00F27F91"/>
    <w:rsid w:val="00F302A2"/>
    <w:rsid w:val="00F36582"/>
    <w:rsid w:val="00F41F78"/>
    <w:rsid w:val="00F4433D"/>
    <w:rsid w:val="00F4475C"/>
    <w:rsid w:val="00F974D6"/>
    <w:rsid w:val="00FA2C75"/>
    <w:rsid w:val="00FA52DD"/>
    <w:rsid w:val="00FA6204"/>
    <w:rsid w:val="00FB5B0F"/>
    <w:rsid w:val="00FD379E"/>
    <w:rsid w:val="00FD3AFB"/>
    <w:rsid w:val="00FD4BF4"/>
    <w:rsid w:val="00FE4293"/>
    <w:rsid w:val="01676A34"/>
    <w:rsid w:val="0308D4D7"/>
    <w:rsid w:val="03FA9F52"/>
    <w:rsid w:val="05219580"/>
    <w:rsid w:val="05B032BD"/>
    <w:rsid w:val="08AFD7C9"/>
    <w:rsid w:val="0BB48811"/>
    <w:rsid w:val="10F6810A"/>
    <w:rsid w:val="1226F7F8"/>
    <w:rsid w:val="12586F27"/>
    <w:rsid w:val="1354E4E0"/>
    <w:rsid w:val="13597915"/>
    <w:rsid w:val="139AEF29"/>
    <w:rsid w:val="14BA7DBB"/>
    <w:rsid w:val="15569FAB"/>
    <w:rsid w:val="15CCB8C3"/>
    <w:rsid w:val="16CE23A1"/>
    <w:rsid w:val="1905235A"/>
    <w:rsid w:val="19EE9F92"/>
    <w:rsid w:val="1ACF82D0"/>
    <w:rsid w:val="1C9AED24"/>
    <w:rsid w:val="1CA9281F"/>
    <w:rsid w:val="1E0C0682"/>
    <w:rsid w:val="1E6E0A43"/>
    <w:rsid w:val="1E726061"/>
    <w:rsid w:val="20CDDB30"/>
    <w:rsid w:val="20F8162B"/>
    <w:rsid w:val="261B2D4F"/>
    <w:rsid w:val="27AFA89D"/>
    <w:rsid w:val="27F9FC61"/>
    <w:rsid w:val="28F08A33"/>
    <w:rsid w:val="294B78FE"/>
    <w:rsid w:val="2BD8A35D"/>
    <w:rsid w:val="2D335633"/>
    <w:rsid w:val="2D7B1A09"/>
    <w:rsid w:val="2DD16F2F"/>
    <w:rsid w:val="2F6D3F90"/>
    <w:rsid w:val="3065409E"/>
    <w:rsid w:val="31090FF1"/>
    <w:rsid w:val="3144C08B"/>
    <w:rsid w:val="344B6223"/>
    <w:rsid w:val="36FB478D"/>
    <w:rsid w:val="39581EF0"/>
    <w:rsid w:val="3982B882"/>
    <w:rsid w:val="3F5F1E0F"/>
    <w:rsid w:val="41C34DE7"/>
    <w:rsid w:val="43E319A4"/>
    <w:rsid w:val="4575D1FF"/>
    <w:rsid w:val="4727A96F"/>
    <w:rsid w:val="477FFE52"/>
    <w:rsid w:val="49F79CCF"/>
    <w:rsid w:val="4B349A04"/>
    <w:rsid w:val="4B5FDA4E"/>
    <w:rsid w:val="4DF20A97"/>
    <w:rsid w:val="4E896C6C"/>
    <w:rsid w:val="4F79D560"/>
    <w:rsid w:val="5003F1E5"/>
    <w:rsid w:val="503B315A"/>
    <w:rsid w:val="52C89AAE"/>
    <w:rsid w:val="5310EC8B"/>
    <w:rsid w:val="54514693"/>
    <w:rsid w:val="556F2D6C"/>
    <w:rsid w:val="558D22A7"/>
    <w:rsid w:val="566F3A89"/>
    <w:rsid w:val="56F3700C"/>
    <w:rsid w:val="5727B381"/>
    <w:rsid w:val="5A440BF7"/>
    <w:rsid w:val="5C6898B4"/>
    <w:rsid w:val="5E62602B"/>
    <w:rsid w:val="60C34BD7"/>
    <w:rsid w:val="60D5BF03"/>
    <w:rsid w:val="62739335"/>
    <w:rsid w:val="63082826"/>
    <w:rsid w:val="639DE20D"/>
    <w:rsid w:val="63F4448B"/>
    <w:rsid w:val="661B2DCC"/>
    <w:rsid w:val="6985A23E"/>
    <w:rsid w:val="6CDB71F3"/>
    <w:rsid w:val="6DFA6497"/>
    <w:rsid w:val="6FA8E7B5"/>
    <w:rsid w:val="6FD61FFF"/>
    <w:rsid w:val="6FD7ACD3"/>
    <w:rsid w:val="71032404"/>
    <w:rsid w:val="71371E10"/>
    <w:rsid w:val="71881334"/>
    <w:rsid w:val="7265135A"/>
    <w:rsid w:val="72AC5404"/>
    <w:rsid w:val="73645195"/>
    <w:rsid w:val="74B5ABBC"/>
    <w:rsid w:val="761FA373"/>
    <w:rsid w:val="78EC7A73"/>
    <w:rsid w:val="7915F26E"/>
    <w:rsid w:val="79D888BE"/>
    <w:rsid w:val="79E2218D"/>
    <w:rsid w:val="7BA87A09"/>
    <w:rsid w:val="7BC4E42D"/>
    <w:rsid w:val="7CBB1DA0"/>
    <w:rsid w:val="7E2D9E32"/>
    <w:rsid w:val="7F5F8A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8A4AFF"/>
  <w15:chartTrackingRefBased/>
  <w15:docId w15:val="{271C21CE-936A-4548-9B33-00B3752F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0CC"/>
    <w:rPr>
      <w:rFonts w:eastAsiaTheme="minorEastAsia"/>
    </w:rPr>
  </w:style>
  <w:style w:type="paragraph" w:styleId="Heading2">
    <w:name w:val="heading 2"/>
    <w:aliases w:val="H2-Sec. Head"/>
    <w:basedOn w:val="Normal"/>
    <w:next w:val="Normal"/>
    <w:link w:val="Heading2Char"/>
    <w:uiPriority w:val="9"/>
    <w:unhideWhenUsed/>
    <w:qFormat/>
    <w:rsid w:val="0031793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7B60CC"/>
    <w:pPr>
      <w:spacing w:after="0" w:line="480" w:lineRule="auto"/>
      <w:ind w:firstLine="720"/>
    </w:pPr>
    <w:rPr>
      <w:rFonts w:ascii="Times New Roman" w:eastAsia="Times New Roman" w:hAnsi="Times New Roman" w:cs="Times New Roman"/>
      <w:szCs w:val="20"/>
    </w:rPr>
  </w:style>
  <w:style w:type="paragraph" w:styleId="ListParagraph">
    <w:name w:val="List Paragraph"/>
    <w:basedOn w:val="Normal"/>
    <w:uiPriority w:val="34"/>
    <w:qFormat/>
    <w:rsid w:val="007B60CC"/>
    <w:pPr>
      <w:ind w:left="720"/>
      <w:contextualSpacing/>
    </w:pPr>
  </w:style>
  <w:style w:type="character" w:styleId="Hyperlink">
    <w:name w:val="Hyperlink"/>
    <w:basedOn w:val="DefaultParagraphFont"/>
    <w:uiPriority w:val="99"/>
    <w:unhideWhenUsed/>
    <w:rsid w:val="007B60CC"/>
    <w:rPr>
      <w:color w:val="0563C1" w:themeColor="hyperlink"/>
      <w:u w:val="single"/>
    </w:rPr>
  </w:style>
  <w:style w:type="character" w:styleId="UnresolvedMention">
    <w:name w:val="Unresolved Mention"/>
    <w:basedOn w:val="DefaultParagraphFont"/>
    <w:uiPriority w:val="99"/>
    <w:semiHidden/>
    <w:unhideWhenUsed/>
    <w:rsid w:val="007B60CC"/>
    <w:rPr>
      <w:color w:val="605E5C"/>
      <w:shd w:val="clear" w:color="auto" w:fill="E1DFDD"/>
    </w:rPr>
  </w:style>
  <w:style w:type="paragraph" w:customStyle="1" w:styleId="paragraph">
    <w:name w:val="paragraph"/>
    <w:basedOn w:val="Normal"/>
    <w:rsid w:val="002D3B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3B53"/>
  </w:style>
  <w:style w:type="character" w:customStyle="1" w:styleId="spellingerror">
    <w:name w:val="spellingerror"/>
    <w:basedOn w:val="DefaultParagraphFont"/>
    <w:rsid w:val="002D3B53"/>
  </w:style>
  <w:style w:type="character" w:customStyle="1" w:styleId="eop">
    <w:name w:val="eop"/>
    <w:basedOn w:val="DefaultParagraphFont"/>
    <w:rsid w:val="002D3B53"/>
  </w:style>
  <w:style w:type="character" w:styleId="CommentReference">
    <w:name w:val="annotation reference"/>
    <w:basedOn w:val="DefaultParagraphFont"/>
    <w:uiPriority w:val="99"/>
    <w:semiHidden/>
    <w:unhideWhenUsed/>
    <w:rsid w:val="00317932"/>
    <w:rPr>
      <w:sz w:val="16"/>
      <w:szCs w:val="16"/>
    </w:rPr>
  </w:style>
  <w:style w:type="paragraph" w:styleId="CommentText">
    <w:name w:val="annotation text"/>
    <w:basedOn w:val="Normal"/>
    <w:link w:val="CommentTextChar"/>
    <w:uiPriority w:val="99"/>
    <w:semiHidden/>
    <w:unhideWhenUsed/>
    <w:rsid w:val="00317932"/>
    <w:pPr>
      <w:spacing w:line="240" w:lineRule="auto"/>
    </w:pPr>
    <w:rPr>
      <w:sz w:val="20"/>
      <w:szCs w:val="20"/>
    </w:rPr>
  </w:style>
  <w:style w:type="character" w:customStyle="1" w:styleId="CommentTextChar">
    <w:name w:val="Comment Text Char"/>
    <w:basedOn w:val="DefaultParagraphFont"/>
    <w:link w:val="CommentText"/>
    <w:uiPriority w:val="99"/>
    <w:semiHidden/>
    <w:rsid w:val="0031793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17932"/>
    <w:rPr>
      <w:b/>
      <w:bCs/>
    </w:rPr>
  </w:style>
  <w:style w:type="character" w:customStyle="1" w:styleId="CommentSubjectChar">
    <w:name w:val="Comment Subject Char"/>
    <w:basedOn w:val="CommentTextChar"/>
    <w:link w:val="CommentSubject"/>
    <w:uiPriority w:val="99"/>
    <w:semiHidden/>
    <w:rsid w:val="00317932"/>
    <w:rPr>
      <w:rFonts w:eastAsiaTheme="minorEastAsia"/>
      <w:b/>
      <w:bCs/>
      <w:sz w:val="20"/>
      <w:szCs w:val="20"/>
    </w:rPr>
  </w:style>
  <w:style w:type="character" w:customStyle="1" w:styleId="Heading2Char">
    <w:name w:val="Heading 2 Char"/>
    <w:aliases w:val="H2-Sec. Head Char"/>
    <w:basedOn w:val="DefaultParagraphFont"/>
    <w:link w:val="Heading2"/>
    <w:uiPriority w:val="9"/>
    <w:rsid w:val="00317932"/>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33262"/>
    <w:rPr>
      <w:color w:val="954F72" w:themeColor="followedHyperlink"/>
      <w:u w:val="single"/>
    </w:rPr>
  </w:style>
  <w:style w:type="paragraph" w:styleId="Revision">
    <w:name w:val="Revision"/>
    <w:hidden/>
    <w:uiPriority w:val="99"/>
    <w:semiHidden/>
    <w:rsid w:val="0096138C"/>
    <w:pPr>
      <w:spacing w:after="0" w:line="240" w:lineRule="auto"/>
    </w:pPr>
    <w:rPr>
      <w:rFonts w:eastAsiaTheme="minorEastAsi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grants.nih.gov/grants/gwas/index.htm" TargetMode="External" /><Relationship Id="rId11" Type="http://schemas.openxmlformats.org/officeDocument/2006/relationships/hyperlink" Target="https://oma.od.nih.gov/forms/Privacy%20Documents/PAfiles/0200.htm" TargetMode="External" /><Relationship Id="rId12" Type="http://schemas.openxmlformats.org/officeDocument/2006/relationships/hyperlink" Target="https://oma.od.nih.gov/forms/Privacy%20Documents/PAfiles/0156.htm" TargetMode="External" /><Relationship Id="rId13" Type="http://schemas.openxmlformats.org/officeDocument/2006/relationships/hyperlink" Target="https://www.bls.gov/oes/current/oes191042.htm" TargetMode="External" /><Relationship Id="rId14" Type="http://schemas.openxmlformats.org/officeDocument/2006/relationships/hyperlink" Target="https://www.opm.gov/policy-data-oversight/pay-leave/salaries-wages/salary-tables/pdf/2025/DCB.pdf"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svg" /><Relationship Id="rId9" Type="http://schemas.openxmlformats.org/officeDocument/2006/relationships/hyperlink" Target="mailto:Elizabeth.hoffman@nih.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6f0e9-fe00-406f-ac91-4fe5157d77a6" xsi:nil="true"/>
    <lcf76f155ced4ddcb4097134ff3c332f xmlns="6b8669b0-6574-4d07-86da-697da7026110">
      <Terms xmlns="http://schemas.microsoft.com/office/infopath/2007/PartnerControls"/>
    </lcf76f155ced4ddcb4097134ff3c332f>
    <Reaction xmlns="6b8669b0-6574-4d07-86da-697da70261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59E1B0E4BB8498EB525461DDF4905" ma:contentTypeVersion="14" ma:contentTypeDescription="Create a new document." ma:contentTypeScope="" ma:versionID="eceb8993aa58f2f52dbeb155f8e0b642">
  <xsd:schema xmlns:xsd="http://www.w3.org/2001/XMLSchema" xmlns:xs="http://www.w3.org/2001/XMLSchema" xmlns:p="http://schemas.microsoft.com/office/2006/metadata/properties" xmlns:ns2="6b8669b0-6574-4d07-86da-697da7026110" xmlns:ns3="8e46f0e9-fe00-406f-ac91-4fe5157d77a6" targetNamespace="http://schemas.microsoft.com/office/2006/metadata/properties" ma:root="true" ma:fieldsID="207d93a9869ac3c7a995866539fcf4a5" ns2:_="" ns3:_="">
    <xsd:import namespace="6b8669b0-6574-4d07-86da-697da7026110"/>
    <xsd:import namespace="8e46f0e9-fe00-406f-ac91-4fe5157d77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Re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669b0-6574-4d07-86da-697da7026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Reaction" ma:index="21" nillable="true" ma:displayName="Reaction" ma:description="Interest in neuroscience?" ma:format="Dropdown" ma:internalName="Re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6f0e9-fe00-406f-ac91-4fe5157d77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7e49d55-8883-4a37-ab35-b3262c4aa37c}" ma:internalName="TaxCatchAll" ma:showField="CatchAllData" ma:web="8e46f0e9-fe00-406f-ac91-4fe5157d7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6C055-B6F8-4C4B-9225-F9EBE22BA5C4}">
  <ds:schemaRefs>
    <ds:schemaRef ds:uri="http://schemas.microsoft.com/office/2006/metadata/properties"/>
    <ds:schemaRef ds:uri="http://schemas.microsoft.com/office/infopath/2007/PartnerControls"/>
    <ds:schemaRef ds:uri="8e46f0e9-fe00-406f-ac91-4fe5157d77a6"/>
    <ds:schemaRef ds:uri="6b8669b0-6574-4d07-86da-697da7026110"/>
  </ds:schemaRefs>
</ds:datastoreItem>
</file>

<file path=customXml/itemProps2.xml><?xml version="1.0" encoding="utf-8"?>
<ds:datastoreItem xmlns:ds="http://schemas.openxmlformats.org/officeDocument/2006/customXml" ds:itemID="{55677F94-0B15-46FD-97C6-C9DC46EC4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669b0-6574-4d07-86da-697da7026110"/>
    <ds:schemaRef ds:uri="8e46f0e9-fe00-406f-ac91-4fe5157d7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DE850-AFF2-4EF3-8430-3899121D46EF}">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8</TotalTime>
  <Pages>9</Pages>
  <Words>3027</Words>
  <Characters>17259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Elizabeth (NIH/NIDA) [E]</dc:creator>
  <cp:lastModifiedBy>Currie, Mikia (NIH/OD) [E]</cp:lastModifiedBy>
  <cp:revision>2</cp:revision>
  <dcterms:created xsi:type="dcterms:W3CDTF">2025-05-29T16:54:00Z</dcterms:created>
  <dcterms:modified xsi:type="dcterms:W3CDTF">2025-05-29T16:54:00Z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0x01010009559E1B0E4BB8498EB525461DDF4905</vt:lpwstr>
  </property>
  <property fmtid="{D5CDD505-2E9C-101B-9397-08002B2CF9AE}" pid="3" name="MediaServiceImageTags">
    <vt:lpwstr/>
  </property>
</Properties>
</file>