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486F" w:rsidRPr="00EA50E8" w:rsidP="003B486F" w14:paraId="09F11DE3" w14:textId="77777777">
      <w:pPr>
        <w:spacing w:before="800"/>
        <w:jc w:val="center"/>
        <w:rPr>
          <w:b/>
          <w:color w:val="000000" w:themeColor="text1"/>
          <w:sz w:val="22"/>
          <w:szCs w:val="22"/>
        </w:rPr>
      </w:pPr>
      <w:r w:rsidRPr="00EA50E8">
        <w:rPr>
          <w:b/>
          <w:sz w:val="22"/>
          <w:szCs w:val="22"/>
        </w:rPr>
        <w:t>U</w:t>
      </w:r>
      <w:r w:rsidRPr="00EA50E8">
        <w:rPr>
          <w:b/>
          <w:color w:val="000000" w:themeColor="text1"/>
          <w:sz w:val="22"/>
          <w:szCs w:val="22"/>
        </w:rPr>
        <w:t>.S. DEPARTMENT OF HEALTH AND HUMAN SERVICES</w:t>
      </w:r>
    </w:p>
    <w:p w:rsidR="003B486F" w:rsidRPr="00EA50E8" w:rsidP="003B486F" w14:paraId="02143375" w14:textId="77777777">
      <w:pPr>
        <w:jc w:val="center"/>
        <w:rPr>
          <w:b/>
          <w:color w:val="000000" w:themeColor="text1"/>
          <w:sz w:val="22"/>
          <w:szCs w:val="22"/>
        </w:rPr>
      </w:pPr>
      <w:r w:rsidRPr="00EA50E8">
        <w:rPr>
          <w:b/>
          <w:color w:val="000000" w:themeColor="text1"/>
          <w:sz w:val="22"/>
          <w:szCs w:val="22"/>
        </w:rPr>
        <w:t>CENTERS FOR MEDICARE &amp; MEDICAID SERVICES</w:t>
      </w:r>
    </w:p>
    <w:p w:rsidR="003B486F" w:rsidRPr="00EA50E8" w:rsidP="003B486F" w14:paraId="5C06C680" w14:textId="77777777">
      <w:pPr>
        <w:spacing w:before="800"/>
        <w:jc w:val="center"/>
        <w:rPr>
          <w:b/>
          <w:color w:val="000000" w:themeColor="text1"/>
          <w:sz w:val="22"/>
          <w:szCs w:val="22"/>
        </w:rPr>
      </w:pPr>
      <w:r w:rsidRPr="00EA50E8">
        <w:rPr>
          <w:b/>
          <w:color w:val="000000" w:themeColor="text1"/>
          <w:sz w:val="22"/>
          <w:szCs w:val="22"/>
        </w:rPr>
        <w:t>OFFICE OF MANAGEMENT AND BUDGET</w:t>
      </w:r>
    </w:p>
    <w:p w:rsidR="003B486F" w:rsidRPr="00EA50E8" w:rsidP="003B486F" w14:paraId="0AFA02C8" w14:textId="77777777">
      <w:pPr>
        <w:jc w:val="center"/>
        <w:rPr>
          <w:b/>
          <w:color w:val="000000" w:themeColor="text1"/>
          <w:sz w:val="22"/>
          <w:szCs w:val="22"/>
        </w:rPr>
      </w:pPr>
      <w:r w:rsidRPr="00EA50E8">
        <w:rPr>
          <w:b/>
          <w:color w:val="000000" w:themeColor="text1"/>
          <w:sz w:val="22"/>
          <w:szCs w:val="22"/>
        </w:rPr>
        <w:t>PAPERWORK REDUCTION ACT</w:t>
      </w:r>
    </w:p>
    <w:p w:rsidR="003B486F" w:rsidRPr="00EA50E8" w:rsidP="003B486F" w14:paraId="34497AD0" w14:textId="77777777">
      <w:pPr>
        <w:jc w:val="center"/>
        <w:rPr>
          <w:b/>
          <w:color w:val="000000" w:themeColor="text1"/>
          <w:sz w:val="22"/>
          <w:szCs w:val="22"/>
        </w:rPr>
      </w:pPr>
      <w:r w:rsidRPr="00EA50E8">
        <w:rPr>
          <w:b/>
          <w:color w:val="000000" w:themeColor="text1"/>
          <w:sz w:val="22"/>
          <w:szCs w:val="22"/>
        </w:rPr>
        <w:t xml:space="preserve">CLEARANCE PACKAGE </w:t>
      </w:r>
    </w:p>
    <w:p w:rsidR="003B486F" w:rsidRPr="00EA50E8" w:rsidP="003B486F" w14:paraId="01F95455" w14:textId="77777777">
      <w:pPr>
        <w:pStyle w:val="Title"/>
        <w:spacing w:before="1200" w:after="0"/>
        <w:rPr>
          <w:rFonts w:ascii="Times New Roman" w:hAnsi="Times New Roman" w:cs="Times New Roman"/>
          <w:i/>
          <w:color w:val="000000" w:themeColor="text1"/>
          <w:sz w:val="22"/>
          <w:szCs w:val="22"/>
          <w:u w:val="single"/>
        </w:rPr>
      </w:pPr>
      <w:bookmarkStart w:id="0" w:name="_Toc94773725"/>
      <w:bookmarkStart w:id="1" w:name="_Toc195704892"/>
      <w:r w:rsidRPr="00EA50E8">
        <w:rPr>
          <w:rFonts w:ascii="Times New Roman" w:hAnsi="Times New Roman" w:cs="Times New Roman"/>
          <w:i/>
          <w:color w:val="000000" w:themeColor="text1"/>
          <w:sz w:val="22"/>
          <w:szCs w:val="22"/>
          <w:u w:val="single"/>
        </w:rPr>
        <w:t>SUPPORTING STATEMENT-PART A</w:t>
      </w:r>
      <w:bookmarkEnd w:id="0"/>
      <w:bookmarkEnd w:id="1"/>
    </w:p>
    <w:p w:rsidR="003B486F" w:rsidRPr="00EA50E8" w:rsidP="003B486F" w14:paraId="55250164" w14:textId="0CD46698">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before="240"/>
        <w:jc w:val="center"/>
        <w:rPr>
          <w:color w:val="000000" w:themeColor="text1"/>
          <w:sz w:val="22"/>
          <w:szCs w:val="22"/>
        </w:rPr>
      </w:pPr>
      <w:r w:rsidRPr="00EA50E8">
        <w:rPr>
          <w:color w:val="000000" w:themeColor="text1"/>
          <w:sz w:val="22"/>
          <w:szCs w:val="22"/>
        </w:rPr>
        <w:t>REVISIONS TO THE IRF-PAI (V4.</w:t>
      </w:r>
      <w:r w:rsidRPr="00EA50E8" w:rsidR="00461254">
        <w:rPr>
          <w:color w:val="000000" w:themeColor="text1"/>
          <w:sz w:val="22"/>
          <w:szCs w:val="22"/>
        </w:rPr>
        <w:t>3</w:t>
      </w:r>
      <w:r w:rsidRPr="00EA50E8">
        <w:rPr>
          <w:color w:val="000000" w:themeColor="text1"/>
          <w:sz w:val="22"/>
          <w:szCs w:val="22"/>
        </w:rPr>
        <w:t xml:space="preserve">) </w:t>
      </w:r>
    </w:p>
    <w:p w:rsidR="003B486F" w:rsidRPr="00EA50E8" w:rsidP="003B486F" w14:paraId="07B3423C"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EA50E8">
        <w:rPr>
          <w:color w:val="000000" w:themeColor="text1"/>
          <w:sz w:val="22"/>
          <w:szCs w:val="22"/>
        </w:rPr>
        <w:t xml:space="preserve">FOR THE COLLECTION OF DATA </w:t>
      </w:r>
    </w:p>
    <w:p w:rsidR="003B486F" w:rsidRPr="00EA50E8" w:rsidP="003B486F" w14:paraId="0300A74E"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EA50E8">
        <w:rPr>
          <w:color w:val="000000" w:themeColor="text1"/>
          <w:sz w:val="22"/>
          <w:szCs w:val="22"/>
        </w:rPr>
        <w:t xml:space="preserve">PERTAINING TO </w:t>
      </w:r>
    </w:p>
    <w:p w:rsidR="003B486F" w:rsidRPr="00EA50E8" w:rsidP="003B486F" w14:paraId="4B1F14F5"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EA50E8">
        <w:rPr>
          <w:color w:val="000000" w:themeColor="text1"/>
          <w:sz w:val="22"/>
          <w:szCs w:val="22"/>
        </w:rPr>
        <w:t>INPATIENT REHABILITATION FACILITY (IRF) PROSPECTIVE PAYMENT SYSTEM (PPS) &amp; QUALITY REPORTING PROGRAM (QRP)</w:t>
      </w:r>
    </w:p>
    <w:p w:rsidR="00D45B27" w:rsidRPr="00EA50E8" w:rsidP="003B486F" w14:paraId="382CF2EE"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p>
    <w:p w:rsidR="00D45B27" w:rsidRPr="00EA50E8" w:rsidP="003B486F" w14:paraId="17663ACC" w14:textId="312A8748">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EA50E8">
        <w:rPr>
          <w:color w:val="000000" w:themeColor="text1"/>
          <w:sz w:val="22"/>
          <w:szCs w:val="22"/>
        </w:rPr>
        <w:t>OMB Control Number 0938-0842</w:t>
      </w:r>
    </w:p>
    <w:p w:rsidR="00D45B27" w:rsidRPr="00EA50E8" w:rsidP="003B486F" w14:paraId="2C8BE6D1" w14:textId="163D8A58">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EA50E8">
        <w:rPr>
          <w:color w:val="000000" w:themeColor="text1"/>
          <w:sz w:val="22"/>
          <w:szCs w:val="22"/>
        </w:rPr>
        <w:t>CMS-10036</w:t>
      </w:r>
    </w:p>
    <w:p w:rsidR="003B486F" w:rsidRPr="00EA50E8" w:rsidP="003B486F" w14:paraId="0273C8A3" w14:textId="77777777">
      <w:pPr>
        <w:jc w:val="center"/>
        <w:rPr>
          <w:b/>
          <w:i/>
          <w:color w:val="000000" w:themeColor="text1"/>
          <w:sz w:val="22"/>
          <w:szCs w:val="22"/>
          <w:u w:val="single"/>
        </w:rPr>
      </w:pPr>
      <w:bookmarkStart w:id="2" w:name="_Toc102544731"/>
      <w:bookmarkStart w:id="3" w:name="_Toc102544816"/>
      <w:bookmarkStart w:id="4" w:name="_Toc102549691"/>
      <w:r w:rsidRPr="00EA50E8">
        <w:rPr>
          <w:b/>
          <w:i/>
          <w:color w:val="000000" w:themeColor="text1"/>
          <w:sz w:val="22"/>
          <w:szCs w:val="22"/>
          <w:u w:val="single"/>
        </w:rPr>
        <w:br w:type="page"/>
      </w:r>
    </w:p>
    <w:p w:rsidR="003B486F" w:rsidRPr="00EA50E8" w:rsidP="003B486F" w14:paraId="2EE4C03A" w14:textId="77777777">
      <w:pPr>
        <w:jc w:val="center"/>
        <w:rPr>
          <w:i/>
          <w:color w:val="000000" w:themeColor="text1"/>
          <w:sz w:val="22"/>
          <w:szCs w:val="22"/>
          <w:u w:val="single"/>
        </w:rPr>
      </w:pPr>
      <w:r w:rsidRPr="00EA50E8">
        <w:rPr>
          <w:b/>
          <w:i/>
          <w:color w:val="000000" w:themeColor="text1"/>
          <w:sz w:val="22"/>
          <w:szCs w:val="22"/>
          <w:u w:val="single"/>
        </w:rPr>
        <w:t>SUPPORTING STATEMENT-PART A</w:t>
      </w:r>
    </w:p>
    <w:p w:rsidR="003B486F" w:rsidRPr="00EA50E8" w:rsidP="003B486F" w14:paraId="18AF2E97"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EA50E8">
        <w:rPr>
          <w:color w:val="000000" w:themeColor="text1"/>
          <w:sz w:val="22"/>
          <w:szCs w:val="22"/>
        </w:rPr>
        <w:t>IRF-PAI</w:t>
      </w:r>
    </w:p>
    <w:p w:rsidR="003B486F" w:rsidRPr="00EA50E8" w:rsidP="003B486F" w14:paraId="139B2635"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EA50E8">
        <w:rPr>
          <w:color w:val="000000" w:themeColor="text1"/>
          <w:sz w:val="22"/>
          <w:szCs w:val="22"/>
        </w:rPr>
        <w:t xml:space="preserve">FOR THE COLLECTION OF DATA PERTAINING TO </w:t>
      </w:r>
    </w:p>
    <w:p w:rsidR="003B486F" w:rsidRPr="00EA50E8" w:rsidP="003B486F" w14:paraId="42158071"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EA50E8">
        <w:rPr>
          <w:color w:val="000000" w:themeColor="text1"/>
          <w:sz w:val="22"/>
          <w:szCs w:val="22"/>
        </w:rPr>
        <w:t xml:space="preserve">THE IRF PPS and QRP </w:t>
      </w:r>
    </w:p>
    <w:p w:rsidR="003B486F" w:rsidRPr="00EA50E8" w:rsidP="3D5317AF" w14:paraId="4DED49F0" w14:textId="108609C2">
      <w:pPr>
        <w:pStyle w:val="TOC0"/>
        <w:rPr>
          <w:i/>
          <w:iCs/>
          <w:color w:val="000000" w:themeColor="text1"/>
          <w:sz w:val="22"/>
          <w:szCs w:val="22"/>
          <w:u w:val="single"/>
        </w:rPr>
      </w:pPr>
      <w:r w:rsidRPr="00EA50E8">
        <w:rPr>
          <w:i/>
          <w:iCs/>
          <w:color w:val="000000" w:themeColor="text1"/>
          <w:sz w:val="22"/>
          <w:szCs w:val="22"/>
          <w:u w:val="single"/>
        </w:rPr>
        <w:t>TABLE OF CONTENTS</w:t>
      </w:r>
    </w:p>
    <w:sdt>
      <w:sdtPr>
        <w:rPr>
          <w:rFonts w:ascii="Times New Roman" w:eastAsia="Times New Roman" w:hAnsi="Times New Roman" w:cs="Times New Roman"/>
          <w:color w:val="auto"/>
          <w:sz w:val="24"/>
          <w:szCs w:val="24"/>
        </w:rPr>
        <w:id w:val="1631435785"/>
        <w:docPartObj>
          <w:docPartGallery w:val="Table of Contents"/>
          <w:docPartUnique/>
        </w:docPartObj>
      </w:sdtPr>
      <w:sdtEndPr>
        <w:rPr>
          <w:b/>
          <w:bCs/>
          <w:noProof/>
        </w:rPr>
      </w:sdtEndPr>
      <w:sdtContent>
        <w:p w:rsidR="003B486F" w:rsidRPr="00EA50E8" w:rsidP="003B486F" w14:paraId="233A62B1" w14:textId="77777777">
          <w:pPr>
            <w:pStyle w:val="TOCHeading"/>
            <w:rPr>
              <w:rFonts w:ascii="Times New Roman" w:hAnsi="Times New Roman" w:cs="Times New Roman"/>
              <w:sz w:val="2"/>
            </w:rPr>
          </w:pPr>
        </w:p>
        <w:p w:rsidR="00EA50E8" w14:paraId="00B131D2" w14:textId="26511459">
          <w:pPr>
            <w:pStyle w:val="TOC1"/>
            <w:rPr>
              <w:rFonts w:asciiTheme="minorHAnsi" w:eastAsiaTheme="minorEastAsia" w:hAnsiTheme="minorHAnsi" w:cstheme="minorBidi"/>
              <w:i w:val="0"/>
              <w:color w:val="auto"/>
              <w:kern w:val="2"/>
              <w:u w:val="none"/>
              <w:lang w:eastAsia="ja-JP"/>
              <w14:ligatures w14:val="standardContextual"/>
            </w:rPr>
          </w:pPr>
          <w:r w:rsidRPr="00EA50E8">
            <w:rPr>
              <w:i w:val="0"/>
            </w:rPr>
            <w:fldChar w:fldCharType="begin"/>
          </w:r>
          <w:r w:rsidRPr="00EA50E8">
            <w:rPr>
              <w:i w:val="0"/>
            </w:rPr>
            <w:instrText xml:space="preserve"> TOC \o "1-3" \h \z \u </w:instrText>
          </w:r>
          <w:r w:rsidRPr="00EA50E8">
            <w:rPr>
              <w:i w:val="0"/>
            </w:rPr>
            <w:fldChar w:fldCharType="separate"/>
          </w:r>
          <w:hyperlink w:anchor="_Toc195704892" w:history="1">
            <w:r w:rsidRPr="00287090">
              <w:rPr>
                <w:rStyle w:val="Hyperlink"/>
              </w:rPr>
              <w:t>SUPPORTING STATEMENT-PART A</w:t>
            </w:r>
            <w:r>
              <w:rPr>
                <w:webHidden/>
              </w:rPr>
              <w:tab/>
            </w:r>
            <w:r>
              <w:rPr>
                <w:webHidden/>
              </w:rPr>
              <w:fldChar w:fldCharType="begin"/>
            </w:r>
            <w:r>
              <w:rPr>
                <w:webHidden/>
              </w:rPr>
              <w:instrText xml:space="preserve"> PAGEREF _Toc195704892 \h </w:instrText>
            </w:r>
            <w:r>
              <w:rPr>
                <w:webHidden/>
              </w:rPr>
              <w:fldChar w:fldCharType="separate"/>
            </w:r>
            <w:r>
              <w:rPr>
                <w:webHidden/>
              </w:rPr>
              <w:t>1</w:t>
            </w:r>
            <w:r>
              <w:rPr>
                <w:webHidden/>
              </w:rPr>
              <w:fldChar w:fldCharType="end"/>
            </w:r>
          </w:hyperlink>
        </w:p>
        <w:p w:rsidR="00EA50E8" w14:paraId="28D0F70B" w14:textId="18D77F8C">
          <w:pPr>
            <w:pStyle w:val="TOC1"/>
            <w:rPr>
              <w:rFonts w:asciiTheme="minorHAnsi" w:eastAsiaTheme="minorEastAsia" w:hAnsiTheme="minorHAnsi" w:cstheme="minorBidi"/>
              <w:i w:val="0"/>
              <w:color w:val="auto"/>
              <w:kern w:val="2"/>
              <w:u w:val="none"/>
              <w:lang w:eastAsia="ja-JP"/>
              <w14:ligatures w14:val="standardContextual"/>
            </w:rPr>
          </w:pPr>
          <w:hyperlink w:anchor="_Toc195704893" w:history="1">
            <w:r w:rsidRPr="00287090">
              <w:rPr>
                <w:rStyle w:val="Hyperlink"/>
              </w:rPr>
              <w:t>A.</w:t>
            </w:r>
            <w:r>
              <w:rPr>
                <w:rFonts w:asciiTheme="minorHAnsi" w:eastAsiaTheme="minorEastAsia" w:hAnsiTheme="minorHAnsi" w:cstheme="minorBidi"/>
                <w:i w:val="0"/>
                <w:color w:val="auto"/>
                <w:kern w:val="2"/>
                <w:u w:val="none"/>
                <w:lang w:eastAsia="ja-JP"/>
                <w14:ligatures w14:val="standardContextual"/>
              </w:rPr>
              <w:tab/>
            </w:r>
            <w:r w:rsidRPr="00287090">
              <w:rPr>
                <w:rStyle w:val="Hyperlink"/>
              </w:rPr>
              <w:t>Background</w:t>
            </w:r>
            <w:r>
              <w:rPr>
                <w:webHidden/>
              </w:rPr>
              <w:tab/>
            </w:r>
            <w:r>
              <w:rPr>
                <w:webHidden/>
              </w:rPr>
              <w:fldChar w:fldCharType="begin"/>
            </w:r>
            <w:r>
              <w:rPr>
                <w:webHidden/>
              </w:rPr>
              <w:instrText xml:space="preserve"> PAGEREF _Toc195704893 \h </w:instrText>
            </w:r>
            <w:r>
              <w:rPr>
                <w:webHidden/>
              </w:rPr>
              <w:fldChar w:fldCharType="separate"/>
            </w:r>
            <w:r>
              <w:rPr>
                <w:webHidden/>
              </w:rPr>
              <w:t>3</w:t>
            </w:r>
            <w:r>
              <w:rPr>
                <w:webHidden/>
              </w:rPr>
              <w:fldChar w:fldCharType="end"/>
            </w:r>
          </w:hyperlink>
        </w:p>
        <w:p w:rsidR="00EA50E8" w14:paraId="73A22BD9" w14:textId="1E52730E">
          <w:pPr>
            <w:pStyle w:val="TOC1"/>
            <w:rPr>
              <w:rFonts w:asciiTheme="minorHAnsi" w:eastAsiaTheme="minorEastAsia" w:hAnsiTheme="minorHAnsi" w:cstheme="minorBidi"/>
              <w:i w:val="0"/>
              <w:color w:val="auto"/>
              <w:kern w:val="2"/>
              <w:u w:val="none"/>
              <w:lang w:eastAsia="ja-JP"/>
              <w14:ligatures w14:val="standardContextual"/>
            </w:rPr>
          </w:pPr>
          <w:hyperlink w:anchor="_Toc195704894" w:history="1">
            <w:r w:rsidRPr="00287090">
              <w:rPr>
                <w:rStyle w:val="Hyperlink"/>
              </w:rPr>
              <w:t>B.</w:t>
            </w:r>
            <w:r>
              <w:rPr>
                <w:rFonts w:asciiTheme="minorHAnsi" w:eastAsiaTheme="minorEastAsia" w:hAnsiTheme="minorHAnsi" w:cstheme="minorBidi"/>
                <w:i w:val="0"/>
                <w:color w:val="auto"/>
                <w:kern w:val="2"/>
                <w:u w:val="none"/>
                <w:lang w:eastAsia="ja-JP"/>
                <w14:ligatures w14:val="standardContextual"/>
              </w:rPr>
              <w:tab/>
            </w:r>
            <w:r w:rsidRPr="00287090">
              <w:rPr>
                <w:rStyle w:val="Hyperlink"/>
              </w:rPr>
              <w:t>Justification</w:t>
            </w:r>
            <w:r>
              <w:rPr>
                <w:webHidden/>
              </w:rPr>
              <w:tab/>
            </w:r>
            <w:r>
              <w:rPr>
                <w:webHidden/>
              </w:rPr>
              <w:fldChar w:fldCharType="begin"/>
            </w:r>
            <w:r>
              <w:rPr>
                <w:webHidden/>
              </w:rPr>
              <w:instrText xml:space="preserve"> PAGEREF _Toc195704894 \h </w:instrText>
            </w:r>
            <w:r>
              <w:rPr>
                <w:webHidden/>
              </w:rPr>
              <w:fldChar w:fldCharType="separate"/>
            </w:r>
            <w:r>
              <w:rPr>
                <w:webHidden/>
              </w:rPr>
              <w:t>3</w:t>
            </w:r>
            <w:r>
              <w:rPr>
                <w:webHidden/>
              </w:rPr>
              <w:fldChar w:fldCharType="end"/>
            </w:r>
          </w:hyperlink>
        </w:p>
        <w:p w:rsidR="00EA50E8" w14:paraId="2F791AC8" w14:textId="3F4A9E2C">
          <w:pPr>
            <w:pStyle w:val="TOC2"/>
            <w:tabs>
              <w:tab w:val="left" w:pos="1080"/>
            </w:tabs>
            <w:rPr>
              <w:rFonts w:asciiTheme="minorHAnsi" w:eastAsiaTheme="minorEastAsia" w:hAnsiTheme="minorHAnsi" w:cstheme="minorBidi"/>
              <w:color w:val="auto"/>
              <w:kern w:val="2"/>
              <w:u w:val="none"/>
              <w:lang w:eastAsia="ja-JP"/>
              <w14:ligatures w14:val="standardContextual"/>
            </w:rPr>
          </w:pPr>
          <w:hyperlink w:anchor="_Toc195704895" w:history="1">
            <w:r w:rsidRPr="00287090">
              <w:rPr>
                <w:rStyle w:val="Hyperlink"/>
              </w:rPr>
              <w:t>1.</w:t>
            </w:r>
            <w:r>
              <w:rPr>
                <w:rFonts w:asciiTheme="minorHAnsi" w:eastAsiaTheme="minorEastAsia" w:hAnsiTheme="minorHAnsi" w:cstheme="minorBidi"/>
                <w:color w:val="auto"/>
                <w:kern w:val="2"/>
                <w:u w:val="none"/>
                <w:lang w:eastAsia="ja-JP"/>
                <w14:ligatures w14:val="standardContextual"/>
              </w:rPr>
              <w:tab/>
            </w:r>
            <w:r w:rsidRPr="00287090">
              <w:rPr>
                <w:rStyle w:val="Hyperlink"/>
              </w:rPr>
              <w:t>Need and Legal Basis</w:t>
            </w:r>
            <w:r>
              <w:rPr>
                <w:webHidden/>
              </w:rPr>
              <w:tab/>
            </w:r>
            <w:r>
              <w:rPr>
                <w:webHidden/>
              </w:rPr>
              <w:fldChar w:fldCharType="begin"/>
            </w:r>
            <w:r>
              <w:rPr>
                <w:webHidden/>
              </w:rPr>
              <w:instrText xml:space="preserve"> PAGEREF _Toc195704895 \h </w:instrText>
            </w:r>
            <w:r>
              <w:rPr>
                <w:webHidden/>
              </w:rPr>
              <w:fldChar w:fldCharType="separate"/>
            </w:r>
            <w:r>
              <w:rPr>
                <w:webHidden/>
              </w:rPr>
              <w:t>3</w:t>
            </w:r>
            <w:r>
              <w:rPr>
                <w:webHidden/>
              </w:rPr>
              <w:fldChar w:fldCharType="end"/>
            </w:r>
          </w:hyperlink>
        </w:p>
        <w:p w:rsidR="00EA50E8" w14:paraId="54053EF3" w14:textId="0F7225AA">
          <w:pPr>
            <w:pStyle w:val="TOC2"/>
            <w:tabs>
              <w:tab w:val="left" w:pos="1080"/>
            </w:tabs>
            <w:rPr>
              <w:rFonts w:asciiTheme="minorHAnsi" w:eastAsiaTheme="minorEastAsia" w:hAnsiTheme="minorHAnsi" w:cstheme="minorBidi"/>
              <w:color w:val="auto"/>
              <w:kern w:val="2"/>
              <w:u w:val="none"/>
              <w:lang w:eastAsia="ja-JP"/>
              <w14:ligatures w14:val="standardContextual"/>
            </w:rPr>
          </w:pPr>
          <w:hyperlink w:anchor="_Toc195704896" w:history="1">
            <w:r w:rsidRPr="00287090">
              <w:rPr>
                <w:rStyle w:val="Hyperlink"/>
              </w:rPr>
              <w:t>2.</w:t>
            </w:r>
            <w:r>
              <w:rPr>
                <w:rFonts w:asciiTheme="minorHAnsi" w:eastAsiaTheme="minorEastAsia" w:hAnsiTheme="minorHAnsi" w:cstheme="minorBidi"/>
                <w:color w:val="auto"/>
                <w:kern w:val="2"/>
                <w:u w:val="none"/>
                <w:lang w:eastAsia="ja-JP"/>
                <w14:ligatures w14:val="standardContextual"/>
              </w:rPr>
              <w:tab/>
            </w:r>
            <w:r w:rsidRPr="00287090">
              <w:rPr>
                <w:rStyle w:val="Hyperlink"/>
              </w:rPr>
              <w:t>Information Users</w:t>
            </w:r>
            <w:r>
              <w:rPr>
                <w:webHidden/>
              </w:rPr>
              <w:tab/>
            </w:r>
            <w:r>
              <w:rPr>
                <w:webHidden/>
              </w:rPr>
              <w:fldChar w:fldCharType="begin"/>
            </w:r>
            <w:r>
              <w:rPr>
                <w:webHidden/>
              </w:rPr>
              <w:instrText xml:space="preserve"> PAGEREF _Toc195704896 \h </w:instrText>
            </w:r>
            <w:r>
              <w:rPr>
                <w:webHidden/>
              </w:rPr>
              <w:fldChar w:fldCharType="separate"/>
            </w:r>
            <w:r>
              <w:rPr>
                <w:webHidden/>
              </w:rPr>
              <w:t>4</w:t>
            </w:r>
            <w:r>
              <w:rPr>
                <w:webHidden/>
              </w:rPr>
              <w:fldChar w:fldCharType="end"/>
            </w:r>
          </w:hyperlink>
        </w:p>
        <w:p w:rsidR="00EA50E8" w14:paraId="684CD760" w14:textId="095DC477">
          <w:pPr>
            <w:pStyle w:val="TOC2"/>
            <w:tabs>
              <w:tab w:val="left" w:pos="1080"/>
            </w:tabs>
            <w:rPr>
              <w:rFonts w:asciiTheme="minorHAnsi" w:eastAsiaTheme="minorEastAsia" w:hAnsiTheme="minorHAnsi" w:cstheme="minorBidi"/>
              <w:color w:val="auto"/>
              <w:kern w:val="2"/>
              <w:u w:val="none"/>
              <w:lang w:eastAsia="ja-JP"/>
              <w14:ligatures w14:val="standardContextual"/>
            </w:rPr>
          </w:pPr>
          <w:hyperlink w:anchor="_Toc195704897" w:history="1">
            <w:r w:rsidRPr="00287090">
              <w:rPr>
                <w:rStyle w:val="Hyperlink"/>
              </w:rPr>
              <w:t>3.</w:t>
            </w:r>
            <w:r>
              <w:rPr>
                <w:rFonts w:asciiTheme="minorHAnsi" w:eastAsiaTheme="minorEastAsia" w:hAnsiTheme="minorHAnsi" w:cstheme="minorBidi"/>
                <w:color w:val="auto"/>
                <w:kern w:val="2"/>
                <w:u w:val="none"/>
                <w:lang w:eastAsia="ja-JP"/>
                <w14:ligatures w14:val="standardContextual"/>
              </w:rPr>
              <w:tab/>
            </w:r>
            <w:r w:rsidRPr="00287090">
              <w:rPr>
                <w:rStyle w:val="Hyperlink"/>
              </w:rPr>
              <w:t>Use of Information Technology</w:t>
            </w:r>
            <w:r>
              <w:rPr>
                <w:webHidden/>
              </w:rPr>
              <w:tab/>
            </w:r>
            <w:r>
              <w:rPr>
                <w:webHidden/>
              </w:rPr>
              <w:fldChar w:fldCharType="begin"/>
            </w:r>
            <w:r>
              <w:rPr>
                <w:webHidden/>
              </w:rPr>
              <w:instrText xml:space="preserve"> PAGEREF _Toc195704897 \h </w:instrText>
            </w:r>
            <w:r>
              <w:rPr>
                <w:webHidden/>
              </w:rPr>
              <w:fldChar w:fldCharType="separate"/>
            </w:r>
            <w:r>
              <w:rPr>
                <w:webHidden/>
              </w:rPr>
              <w:t>5</w:t>
            </w:r>
            <w:r>
              <w:rPr>
                <w:webHidden/>
              </w:rPr>
              <w:fldChar w:fldCharType="end"/>
            </w:r>
          </w:hyperlink>
        </w:p>
        <w:p w:rsidR="00EA50E8" w14:paraId="66EF7BAD" w14:textId="58C4135D">
          <w:pPr>
            <w:pStyle w:val="TOC2"/>
            <w:tabs>
              <w:tab w:val="left" w:pos="1080"/>
            </w:tabs>
            <w:rPr>
              <w:rFonts w:asciiTheme="minorHAnsi" w:eastAsiaTheme="minorEastAsia" w:hAnsiTheme="minorHAnsi" w:cstheme="minorBidi"/>
              <w:color w:val="auto"/>
              <w:kern w:val="2"/>
              <w:u w:val="none"/>
              <w:lang w:eastAsia="ja-JP"/>
              <w14:ligatures w14:val="standardContextual"/>
            </w:rPr>
          </w:pPr>
          <w:hyperlink w:anchor="_Toc195704898" w:history="1">
            <w:r w:rsidRPr="00287090">
              <w:rPr>
                <w:rStyle w:val="Hyperlink"/>
              </w:rPr>
              <w:t>4.</w:t>
            </w:r>
            <w:r>
              <w:rPr>
                <w:rFonts w:asciiTheme="minorHAnsi" w:eastAsiaTheme="minorEastAsia" w:hAnsiTheme="minorHAnsi" w:cstheme="minorBidi"/>
                <w:color w:val="auto"/>
                <w:kern w:val="2"/>
                <w:u w:val="none"/>
                <w:lang w:eastAsia="ja-JP"/>
                <w14:ligatures w14:val="standardContextual"/>
              </w:rPr>
              <w:tab/>
            </w:r>
            <w:r w:rsidRPr="00287090">
              <w:rPr>
                <w:rStyle w:val="Hyperlink"/>
              </w:rPr>
              <w:t>Duplication of Efforts</w:t>
            </w:r>
            <w:r>
              <w:rPr>
                <w:webHidden/>
              </w:rPr>
              <w:tab/>
            </w:r>
            <w:r>
              <w:rPr>
                <w:webHidden/>
              </w:rPr>
              <w:fldChar w:fldCharType="begin"/>
            </w:r>
            <w:r>
              <w:rPr>
                <w:webHidden/>
              </w:rPr>
              <w:instrText xml:space="preserve"> PAGEREF _Toc195704898 \h </w:instrText>
            </w:r>
            <w:r>
              <w:rPr>
                <w:webHidden/>
              </w:rPr>
              <w:fldChar w:fldCharType="separate"/>
            </w:r>
            <w:r>
              <w:rPr>
                <w:webHidden/>
              </w:rPr>
              <w:t>5</w:t>
            </w:r>
            <w:r>
              <w:rPr>
                <w:webHidden/>
              </w:rPr>
              <w:fldChar w:fldCharType="end"/>
            </w:r>
          </w:hyperlink>
        </w:p>
        <w:p w:rsidR="00EA50E8" w14:paraId="0C689B14" w14:textId="120E95DA">
          <w:pPr>
            <w:pStyle w:val="TOC2"/>
            <w:tabs>
              <w:tab w:val="left" w:pos="1080"/>
            </w:tabs>
            <w:rPr>
              <w:rFonts w:asciiTheme="minorHAnsi" w:eastAsiaTheme="minorEastAsia" w:hAnsiTheme="minorHAnsi" w:cstheme="minorBidi"/>
              <w:color w:val="auto"/>
              <w:kern w:val="2"/>
              <w:u w:val="none"/>
              <w:lang w:eastAsia="ja-JP"/>
              <w14:ligatures w14:val="standardContextual"/>
            </w:rPr>
          </w:pPr>
          <w:hyperlink w:anchor="_Toc195704899" w:history="1">
            <w:r w:rsidRPr="00287090">
              <w:rPr>
                <w:rStyle w:val="Hyperlink"/>
              </w:rPr>
              <w:t>5.</w:t>
            </w:r>
            <w:r>
              <w:rPr>
                <w:rFonts w:asciiTheme="minorHAnsi" w:eastAsiaTheme="minorEastAsia" w:hAnsiTheme="minorHAnsi" w:cstheme="minorBidi"/>
                <w:color w:val="auto"/>
                <w:kern w:val="2"/>
                <w:u w:val="none"/>
                <w:lang w:eastAsia="ja-JP"/>
                <w14:ligatures w14:val="standardContextual"/>
              </w:rPr>
              <w:tab/>
            </w:r>
            <w:r w:rsidRPr="00287090">
              <w:rPr>
                <w:rStyle w:val="Hyperlink"/>
              </w:rPr>
              <w:t>Small Businesses</w:t>
            </w:r>
            <w:r>
              <w:rPr>
                <w:webHidden/>
              </w:rPr>
              <w:tab/>
            </w:r>
            <w:r>
              <w:rPr>
                <w:webHidden/>
              </w:rPr>
              <w:fldChar w:fldCharType="begin"/>
            </w:r>
            <w:r>
              <w:rPr>
                <w:webHidden/>
              </w:rPr>
              <w:instrText xml:space="preserve"> PAGEREF _Toc195704899 \h </w:instrText>
            </w:r>
            <w:r>
              <w:rPr>
                <w:webHidden/>
              </w:rPr>
              <w:fldChar w:fldCharType="separate"/>
            </w:r>
            <w:r>
              <w:rPr>
                <w:webHidden/>
              </w:rPr>
              <w:t>6</w:t>
            </w:r>
            <w:r>
              <w:rPr>
                <w:webHidden/>
              </w:rPr>
              <w:fldChar w:fldCharType="end"/>
            </w:r>
          </w:hyperlink>
        </w:p>
        <w:p w:rsidR="00EA50E8" w14:paraId="24121214" w14:textId="211BBA0B">
          <w:pPr>
            <w:pStyle w:val="TOC2"/>
            <w:tabs>
              <w:tab w:val="left" w:pos="1080"/>
            </w:tabs>
            <w:rPr>
              <w:rFonts w:asciiTheme="minorHAnsi" w:eastAsiaTheme="minorEastAsia" w:hAnsiTheme="minorHAnsi" w:cstheme="minorBidi"/>
              <w:color w:val="auto"/>
              <w:kern w:val="2"/>
              <w:u w:val="none"/>
              <w:lang w:eastAsia="ja-JP"/>
              <w14:ligatures w14:val="standardContextual"/>
            </w:rPr>
          </w:pPr>
          <w:hyperlink w:anchor="_Toc195704900" w:history="1">
            <w:r w:rsidRPr="00287090">
              <w:rPr>
                <w:rStyle w:val="Hyperlink"/>
              </w:rPr>
              <w:t>6.</w:t>
            </w:r>
            <w:r>
              <w:rPr>
                <w:rFonts w:asciiTheme="minorHAnsi" w:eastAsiaTheme="minorEastAsia" w:hAnsiTheme="minorHAnsi" w:cstheme="minorBidi"/>
                <w:color w:val="auto"/>
                <w:kern w:val="2"/>
                <w:u w:val="none"/>
                <w:lang w:eastAsia="ja-JP"/>
                <w14:ligatures w14:val="standardContextual"/>
              </w:rPr>
              <w:tab/>
            </w:r>
            <w:r w:rsidRPr="00287090">
              <w:rPr>
                <w:rStyle w:val="Hyperlink"/>
              </w:rPr>
              <w:t>Less Frequent Collection</w:t>
            </w:r>
            <w:r>
              <w:rPr>
                <w:webHidden/>
              </w:rPr>
              <w:tab/>
            </w:r>
            <w:r>
              <w:rPr>
                <w:webHidden/>
              </w:rPr>
              <w:fldChar w:fldCharType="begin"/>
            </w:r>
            <w:r>
              <w:rPr>
                <w:webHidden/>
              </w:rPr>
              <w:instrText xml:space="preserve"> PAGEREF _Toc195704900 \h </w:instrText>
            </w:r>
            <w:r>
              <w:rPr>
                <w:webHidden/>
              </w:rPr>
              <w:fldChar w:fldCharType="separate"/>
            </w:r>
            <w:r>
              <w:rPr>
                <w:webHidden/>
              </w:rPr>
              <w:t>6</w:t>
            </w:r>
            <w:r>
              <w:rPr>
                <w:webHidden/>
              </w:rPr>
              <w:fldChar w:fldCharType="end"/>
            </w:r>
          </w:hyperlink>
        </w:p>
        <w:p w:rsidR="00EA50E8" w14:paraId="644C4B80" w14:textId="19B4D665">
          <w:pPr>
            <w:pStyle w:val="TOC2"/>
            <w:tabs>
              <w:tab w:val="left" w:pos="1080"/>
            </w:tabs>
            <w:rPr>
              <w:rFonts w:asciiTheme="minorHAnsi" w:eastAsiaTheme="minorEastAsia" w:hAnsiTheme="minorHAnsi" w:cstheme="minorBidi"/>
              <w:color w:val="auto"/>
              <w:kern w:val="2"/>
              <w:u w:val="none"/>
              <w:lang w:eastAsia="ja-JP"/>
              <w14:ligatures w14:val="standardContextual"/>
            </w:rPr>
          </w:pPr>
          <w:hyperlink w:anchor="_Toc195704901" w:history="1">
            <w:r w:rsidRPr="00287090">
              <w:rPr>
                <w:rStyle w:val="Hyperlink"/>
              </w:rPr>
              <w:t>7.</w:t>
            </w:r>
            <w:r>
              <w:rPr>
                <w:rFonts w:asciiTheme="minorHAnsi" w:eastAsiaTheme="minorEastAsia" w:hAnsiTheme="minorHAnsi" w:cstheme="minorBidi"/>
                <w:color w:val="auto"/>
                <w:kern w:val="2"/>
                <w:u w:val="none"/>
                <w:lang w:eastAsia="ja-JP"/>
                <w14:ligatures w14:val="standardContextual"/>
              </w:rPr>
              <w:tab/>
            </w:r>
            <w:r w:rsidRPr="00287090">
              <w:rPr>
                <w:rStyle w:val="Hyperlink"/>
              </w:rPr>
              <w:t>Special Circumstances</w:t>
            </w:r>
            <w:r>
              <w:rPr>
                <w:webHidden/>
              </w:rPr>
              <w:tab/>
            </w:r>
            <w:r>
              <w:rPr>
                <w:webHidden/>
              </w:rPr>
              <w:fldChar w:fldCharType="begin"/>
            </w:r>
            <w:r>
              <w:rPr>
                <w:webHidden/>
              </w:rPr>
              <w:instrText xml:space="preserve"> PAGEREF _Toc195704901 \h </w:instrText>
            </w:r>
            <w:r>
              <w:rPr>
                <w:webHidden/>
              </w:rPr>
              <w:fldChar w:fldCharType="separate"/>
            </w:r>
            <w:r>
              <w:rPr>
                <w:webHidden/>
              </w:rPr>
              <w:t>6</w:t>
            </w:r>
            <w:r>
              <w:rPr>
                <w:webHidden/>
              </w:rPr>
              <w:fldChar w:fldCharType="end"/>
            </w:r>
          </w:hyperlink>
        </w:p>
        <w:p w:rsidR="00EA50E8" w14:paraId="5DF95D37" w14:textId="0799891B">
          <w:pPr>
            <w:pStyle w:val="TOC2"/>
            <w:tabs>
              <w:tab w:val="left" w:pos="1080"/>
            </w:tabs>
            <w:rPr>
              <w:rFonts w:asciiTheme="minorHAnsi" w:eastAsiaTheme="minorEastAsia" w:hAnsiTheme="minorHAnsi" w:cstheme="minorBidi"/>
              <w:color w:val="auto"/>
              <w:kern w:val="2"/>
              <w:u w:val="none"/>
              <w:lang w:eastAsia="ja-JP"/>
              <w14:ligatures w14:val="standardContextual"/>
            </w:rPr>
          </w:pPr>
          <w:hyperlink w:anchor="_Toc195704902" w:history="1">
            <w:r w:rsidRPr="00287090">
              <w:rPr>
                <w:rStyle w:val="Hyperlink"/>
              </w:rPr>
              <w:t>8.</w:t>
            </w:r>
            <w:r>
              <w:rPr>
                <w:rFonts w:asciiTheme="minorHAnsi" w:eastAsiaTheme="minorEastAsia" w:hAnsiTheme="minorHAnsi" w:cstheme="minorBidi"/>
                <w:color w:val="auto"/>
                <w:kern w:val="2"/>
                <w:u w:val="none"/>
                <w:lang w:eastAsia="ja-JP"/>
                <w14:ligatures w14:val="standardContextual"/>
              </w:rPr>
              <w:tab/>
            </w:r>
            <w:r w:rsidRPr="00287090">
              <w:rPr>
                <w:rStyle w:val="Hyperlink"/>
              </w:rPr>
              <w:t>Federal Register/Outside Consultation</w:t>
            </w:r>
            <w:r>
              <w:rPr>
                <w:webHidden/>
              </w:rPr>
              <w:tab/>
            </w:r>
            <w:r>
              <w:rPr>
                <w:webHidden/>
              </w:rPr>
              <w:fldChar w:fldCharType="begin"/>
            </w:r>
            <w:r>
              <w:rPr>
                <w:webHidden/>
              </w:rPr>
              <w:instrText xml:space="preserve"> PAGEREF _Toc195704902 \h </w:instrText>
            </w:r>
            <w:r>
              <w:rPr>
                <w:webHidden/>
              </w:rPr>
              <w:fldChar w:fldCharType="separate"/>
            </w:r>
            <w:r>
              <w:rPr>
                <w:webHidden/>
              </w:rPr>
              <w:t>7</w:t>
            </w:r>
            <w:r>
              <w:rPr>
                <w:webHidden/>
              </w:rPr>
              <w:fldChar w:fldCharType="end"/>
            </w:r>
          </w:hyperlink>
        </w:p>
        <w:p w:rsidR="00EA50E8" w14:paraId="427A0084" w14:textId="621C3333">
          <w:pPr>
            <w:pStyle w:val="TOC3"/>
            <w:tabs>
              <w:tab w:val="left" w:pos="1512"/>
            </w:tabs>
            <w:rPr>
              <w:rFonts w:asciiTheme="minorHAnsi" w:eastAsiaTheme="minorEastAsia" w:hAnsiTheme="minorHAnsi" w:cstheme="minorBidi"/>
              <w:color w:val="auto"/>
              <w:kern w:val="2"/>
              <w:u w:val="none"/>
              <w:lang w:eastAsia="ja-JP"/>
              <w14:ligatures w14:val="standardContextual"/>
            </w:rPr>
          </w:pPr>
          <w:hyperlink w:anchor="_Toc195704903" w:history="1">
            <w:r w:rsidRPr="00287090">
              <w:rPr>
                <w:rStyle w:val="Hyperlink"/>
              </w:rPr>
              <w:t>a)</w:t>
            </w:r>
            <w:r>
              <w:rPr>
                <w:rFonts w:asciiTheme="minorHAnsi" w:eastAsiaTheme="minorEastAsia" w:hAnsiTheme="minorHAnsi" w:cstheme="minorBidi"/>
                <w:color w:val="auto"/>
                <w:kern w:val="2"/>
                <w:u w:val="none"/>
                <w:lang w:eastAsia="ja-JP"/>
                <w14:ligatures w14:val="standardContextual"/>
              </w:rPr>
              <w:tab/>
            </w:r>
            <w:r w:rsidRPr="00287090">
              <w:rPr>
                <w:rStyle w:val="Hyperlink"/>
              </w:rPr>
              <w:t>Consideration of Burden of Information Collection Requests</w:t>
            </w:r>
            <w:r>
              <w:rPr>
                <w:webHidden/>
              </w:rPr>
              <w:tab/>
            </w:r>
            <w:r>
              <w:rPr>
                <w:webHidden/>
              </w:rPr>
              <w:fldChar w:fldCharType="begin"/>
            </w:r>
            <w:r>
              <w:rPr>
                <w:webHidden/>
              </w:rPr>
              <w:instrText xml:space="preserve"> PAGEREF _Toc195704903 \h </w:instrText>
            </w:r>
            <w:r>
              <w:rPr>
                <w:webHidden/>
              </w:rPr>
              <w:fldChar w:fldCharType="separate"/>
            </w:r>
            <w:r>
              <w:rPr>
                <w:webHidden/>
              </w:rPr>
              <w:t>7</w:t>
            </w:r>
            <w:r>
              <w:rPr>
                <w:webHidden/>
              </w:rPr>
              <w:fldChar w:fldCharType="end"/>
            </w:r>
          </w:hyperlink>
        </w:p>
        <w:p w:rsidR="00EA50E8" w14:paraId="5D729341" w14:textId="43CC5A87">
          <w:pPr>
            <w:pStyle w:val="TOC2"/>
            <w:tabs>
              <w:tab w:val="left" w:pos="1080"/>
            </w:tabs>
            <w:rPr>
              <w:rFonts w:asciiTheme="minorHAnsi" w:eastAsiaTheme="minorEastAsia" w:hAnsiTheme="minorHAnsi" w:cstheme="minorBidi"/>
              <w:color w:val="auto"/>
              <w:kern w:val="2"/>
              <w:u w:val="none"/>
              <w:lang w:eastAsia="ja-JP"/>
              <w14:ligatures w14:val="standardContextual"/>
            </w:rPr>
          </w:pPr>
          <w:hyperlink w:anchor="_Toc195704904" w:history="1">
            <w:r w:rsidRPr="00287090">
              <w:rPr>
                <w:rStyle w:val="Hyperlink"/>
              </w:rPr>
              <w:t>9.</w:t>
            </w:r>
            <w:r>
              <w:rPr>
                <w:rFonts w:asciiTheme="minorHAnsi" w:eastAsiaTheme="minorEastAsia" w:hAnsiTheme="minorHAnsi" w:cstheme="minorBidi"/>
                <w:color w:val="auto"/>
                <w:kern w:val="2"/>
                <w:u w:val="none"/>
                <w:lang w:eastAsia="ja-JP"/>
                <w14:ligatures w14:val="standardContextual"/>
              </w:rPr>
              <w:tab/>
            </w:r>
            <w:r w:rsidRPr="00287090">
              <w:rPr>
                <w:rStyle w:val="Hyperlink"/>
              </w:rPr>
              <w:t>Payment/Gifts to Respondents</w:t>
            </w:r>
            <w:r>
              <w:rPr>
                <w:webHidden/>
              </w:rPr>
              <w:tab/>
            </w:r>
            <w:r>
              <w:rPr>
                <w:webHidden/>
              </w:rPr>
              <w:fldChar w:fldCharType="begin"/>
            </w:r>
            <w:r>
              <w:rPr>
                <w:webHidden/>
              </w:rPr>
              <w:instrText xml:space="preserve"> PAGEREF _Toc195704904 \h </w:instrText>
            </w:r>
            <w:r>
              <w:rPr>
                <w:webHidden/>
              </w:rPr>
              <w:fldChar w:fldCharType="separate"/>
            </w:r>
            <w:r>
              <w:rPr>
                <w:webHidden/>
              </w:rPr>
              <w:t>8</w:t>
            </w:r>
            <w:r>
              <w:rPr>
                <w:webHidden/>
              </w:rPr>
              <w:fldChar w:fldCharType="end"/>
            </w:r>
          </w:hyperlink>
        </w:p>
        <w:p w:rsidR="00EA50E8" w14:paraId="0F881383" w14:textId="13F59D7D">
          <w:pPr>
            <w:pStyle w:val="TOC2"/>
            <w:tabs>
              <w:tab w:val="left" w:pos="1512"/>
            </w:tabs>
            <w:rPr>
              <w:rFonts w:asciiTheme="minorHAnsi" w:eastAsiaTheme="minorEastAsia" w:hAnsiTheme="minorHAnsi" w:cstheme="minorBidi"/>
              <w:color w:val="auto"/>
              <w:kern w:val="2"/>
              <w:u w:val="none"/>
              <w:lang w:eastAsia="ja-JP"/>
              <w14:ligatures w14:val="standardContextual"/>
            </w:rPr>
          </w:pPr>
          <w:hyperlink w:anchor="_Toc195704905" w:history="1">
            <w:r w:rsidRPr="00287090">
              <w:rPr>
                <w:rStyle w:val="Hyperlink"/>
              </w:rPr>
              <w:t>10.</w:t>
            </w:r>
            <w:r>
              <w:rPr>
                <w:rFonts w:asciiTheme="minorHAnsi" w:eastAsiaTheme="minorEastAsia" w:hAnsiTheme="minorHAnsi" w:cstheme="minorBidi"/>
                <w:color w:val="auto"/>
                <w:kern w:val="2"/>
                <w:u w:val="none"/>
                <w:lang w:eastAsia="ja-JP"/>
                <w14:ligatures w14:val="standardContextual"/>
              </w:rPr>
              <w:tab/>
            </w:r>
            <w:r w:rsidRPr="00287090">
              <w:rPr>
                <w:rStyle w:val="Hyperlink"/>
              </w:rPr>
              <w:t>Confidentiality</w:t>
            </w:r>
            <w:r>
              <w:rPr>
                <w:webHidden/>
              </w:rPr>
              <w:tab/>
            </w:r>
            <w:r>
              <w:rPr>
                <w:webHidden/>
              </w:rPr>
              <w:fldChar w:fldCharType="begin"/>
            </w:r>
            <w:r>
              <w:rPr>
                <w:webHidden/>
              </w:rPr>
              <w:instrText xml:space="preserve"> PAGEREF _Toc195704905 \h </w:instrText>
            </w:r>
            <w:r>
              <w:rPr>
                <w:webHidden/>
              </w:rPr>
              <w:fldChar w:fldCharType="separate"/>
            </w:r>
            <w:r>
              <w:rPr>
                <w:webHidden/>
              </w:rPr>
              <w:t>8</w:t>
            </w:r>
            <w:r>
              <w:rPr>
                <w:webHidden/>
              </w:rPr>
              <w:fldChar w:fldCharType="end"/>
            </w:r>
          </w:hyperlink>
        </w:p>
        <w:p w:rsidR="00EA50E8" w14:paraId="72613578" w14:textId="5D4C03EB">
          <w:pPr>
            <w:pStyle w:val="TOC2"/>
            <w:tabs>
              <w:tab w:val="left" w:pos="1512"/>
            </w:tabs>
            <w:rPr>
              <w:rFonts w:asciiTheme="minorHAnsi" w:eastAsiaTheme="minorEastAsia" w:hAnsiTheme="minorHAnsi" w:cstheme="minorBidi"/>
              <w:color w:val="auto"/>
              <w:kern w:val="2"/>
              <w:u w:val="none"/>
              <w:lang w:eastAsia="ja-JP"/>
              <w14:ligatures w14:val="standardContextual"/>
            </w:rPr>
          </w:pPr>
          <w:hyperlink w:anchor="_Toc195704906" w:history="1">
            <w:r w:rsidRPr="00287090">
              <w:rPr>
                <w:rStyle w:val="Hyperlink"/>
              </w:rPr>
              <w:t>11.</w:t>
            </w:r>
            <w:r>
              <w:rPr>
                <w:rFonts w:asciiTheme="minorHAnsi" w:eastAsiaTheme="minorEastAsia" w:hAnsiTheme="minorHAnsi" w:cstheme="minorBidi"/>
                <w:color w:val="auto"/>
                <w:kern w:val="2"/>
                <w:u w:val="none"/>
                <w:lang w:eastAsia="ja-JP"/>
                <w14:ligatures w14:val="standardContextual"/>
              </w:rPr>
              <w:tab/>
            </w:r>
            <w:r w:rsidRPr="00287090">
              <w:rPr>
                <w:rStyle w:val="Hyperlink"/>
              </w:rPr>
              <w:t>Sensitive Questions</w:t>
            </w:r>
            <w:r>
              <w:rPr>
                <w:webHidden/>
              </w:rPr>
              <w:tab/>
            </w:r>
            <w:r>
              <w:rPr>
                <w:webHidden/>
              </w:rPr>
              <w:fldChar w:fldCharType="begin"/>
            </w:r>
            <w:r>
              <w:rPr>
                <w:webHidden/>
              </w:rPr>
              <w:instrText xml:space="preserve"> PAGEREF _Toc195704906 \h </w:instrText>
            </w:r>
            <w:r>
              <w:rPr>
                <w:webHidden/>
              </w:rPr>
              <w:fldChar w:fldCharType="separate"/>
            </w:r>
            <w:r>
              <w:rPr>
                <w:webHidden/>
              </w:rPr>
              <w:t>8</w:t>
            </w:r>
            <w:r>
              <w:rPr>
                <w:webHidden/>
              </w:rPr>
              <w:fldChar w:fldCharType="end"/>
            </w:r>
          </w:hyperlink>
        </w:p>
        <w:p w:rsidR="00EA50E8" w14:paraId="164D353B" w14:textId="65489A4C">
          <w:pPr>
            <w:pStyle w:val="TOC2"/>
            <w:tabs>
              <w:tab w:val="left" w:pos="1512"/>
            </w:tabs>
            <w:rPr>
              <w:rFonts w:asciiTheme="minorHAnsi" w:eastAsiaTheme="minorEastAsia" w:hAnsiTheme="minorHAnsi" w:cstheme="minorBidi"/>
              <w:color w:val="auto"/>
              <w:kern w:val="2"/>
              <w:u w:val="none"/>
              <w:lang w:eastAsia="ja-JP"/>
              <w14:ligatures w14:val="standardContextual"/>
            </w:rPr>
          </w:pPr>
          <w:hyperlink w:anchor="_Toc195704907" w:history="1">
            <w:r w:rsidRPr="00287090">
              <w:rPr>
                <w:rStyle w:val="Hyperlink"/>
              </w:rPr>
              <w:t>12.</w:t>
            </w:r>
            <w:r>
              <w:rPr>
                <w:rFonts w:asciiTheme="minorHAnsi" w:eastAsiaTheme="minorEastAsia" w:hAnsiTheme="minorHAnsi" w:cstheme="minorBidi"/>
                <w:color w:val="auto"/>
                <w:kern w:val="2"/>
                <w:u w:val="none"/>
                <w:lang w:eastAsia="ja-JP"/>
                <w14:ligatures w14:val="standardContextual"/>
              </w:rPr>
              <w:tab/>
            </w:r>
            <w:r w:rsidRPr="00287090">
              <w:rPr>
                <w:rStyle w:val="Hyperlink"/>
              </w:rPr>
              <w:t>Burden Estimates (Hours &amp; Wages)</w:t>
            </w:r>
            <w:r>
              <w:rPr>
                <w:webHidden/>
              </w:rPr>
              <w:tab/>
            </w:r>
            <w:r>
              <w:rPr>
                <w:webHidden/>
              </w:rPr>
              <w:fldChar w:fldCharType="begin"/>
            </w:r>
            <w:r>
              <w:rPr>
                <w:webHidden/>
              </w:rPr>
              <w:instrText xml:space="preserve"> PAGEREF _Toc195704907 \h </w:instrText>
            </w:r>
            <w:r>
              <w:rPr>
                <w:webHidden/>
              </w:rPr>
              <w:fldChar w:fldCharType="separate"/>
            </w:r>
            <w:r>
              <w:rPr>
                <w:webHidden/>
              </w:rPr>
              <w:t>8</w:t>
            </w:r>
            <w:r>
              <w:rPr>
                <w:webHidden/>
              </w:rPr>
              <w:fldChar w:fldCharType="end"/>
            </w:r>
          </w:hyperlink>
        </w:p>
        <w:p w:rsidR="00EA50E8" w14:paraId="2AFFDCFF" w14:textId="1DEB1935">
          <w:pPr>
            <w:pStyle w:val="TOC3"/>
            <w:tabs>
              <w:tab w:val="left" w:pos="1512"/>
            </w:tabs>
            <w:rPr>
              <w:rFonts w:asciiTheme="minorHAnsi" w:eastAsiaTheme="minorEastAsia" w:hAnsiTheme="minorHAnsi" w:cstheme="minorBidi"/>
              <w:color w:val="auto"/>
              <w:kern w:val="2"/>
              <w:u w:val="none"/>
              <w:lang w:eastAsia="ja-JP"/>
              <w14:ligatures w14:val="standardContextual"/>
            </w:rPr>
          </w:pPr>
          <w:hyperlink w:anchor="_Toc195704908" w:history="1">
            <w:r w:rsidRPr="00287090">
              <w:rPr>
                <w:rStyle w:val="Hyperlink"/>
              </w:rPr>
              <w:t>a)</w:t>
            </w:r>
            <w:r>
              <w:rPr>
                <w:rFonts w:asciiTheme="minorHAnsi" w:eastAsiaTheme="minorEastAsia" w:hAnsiTheme="minorHAnsi" w:cstheme="minorBidi"/>
                <w:color w:val="auto"/>
                <w:kern w:val="2"/>
                <w:u w:val="none"/>
                <w:lang w:eastAsia="ja-JP"/>
                <w14:ligatures w14:val="standardContextual"/>
              </w:rPr>
              <w:tab/>
            </w:r>
            <w:r w:rsidRPr="00287090">
              <w:rPr>
                <w:rStyle w:val="Hyperlink"/>
              </w:rPr>
              <w:t>Assessing Burden of Information Collection</w:t>
            </w:r>
            <w:r>
              <w:rPr>
                <w:webHidden/>
              </w:rPr>
              <w:tab/>
            </w:r>
            <w:r>
              <w:rPr>
                <w:webHidden/>
              </w:rPr>
              <w:fldChar w:fldCharType="begin"/>
            </w:r>
            <w:r>
              <w:rPr>
                <w:webHidden/>
              </w:rPr>
              <w:instrText xml:space="preserve"> PAGEREF _Toc195704908 \h </w:instrText>
            </w:r>
            <w:r>
              <w:rPr>
                <w:webHidden/>
              </w:rPr>
              <w:fldChar w:fldCharType="separate"/>
            </w:r>
            <w:r>
              <w:rPr>
                <w:webHidden/>
              </w:rPr>
              <w:t>8</w:t>
            </w:r>
            <w:r>
              <w:rPr>
                <w:webHidden/>
              </w:rPr>
              <w:fldChar w:fldCharType="end"/>
            </w:r>
          </w:hyperlink>
        </w:p>
        <w:p w:rsidR="00EA50E8" w14:paraId="34CDDDD5" w14:textId="64A07ECF">
          <w:pPr>
            <w:pStyle w:val="TOC2"/>
            <w:tabs>
              <w:tab w:val="left" w:pos="1512"/>
            </w:tabs>
            <w:rPr>
              <w:rFonts w:asciiTheme="minorHAnsi" w:eastAsiaTheme="minorEastAsia" w:hAnsiTheme="minorHAnsi" w:cstheme="minorBidi"/>
              <w:color w:val="auto"/>
              <w:kern w:val="2"/>
              <w:u w:val="none"/>
              <w:lang w:eastAsia="ja-JP"/>
              <w14:ligatures w14:val="standardContextual"/>
            </w:rPr>
          </w:pPr>
          <w:hyperlink w:anchor="_Toc195704909" w:history="1">
            <w:r w:rsidRPr="00287090">
              <w:rPr>
                <w:rStyle w:val="Hyperlink"/>
              </w:rPr>
              <w:t>13.</w:t>
            </w:r>
            <w:r>
              <w:rPr>
                <w:rFonts w:asciiTheme="minorHAnsi" w:eastAsiaTheme="minorEastAsia" w:hAnsiTheme="minorHAnsi" w:cstheme="minorBidi"/>
                <w:color w:val="auto"/>
                <w:kern w:val="2"/>
                <w:u w:val="none"/>
                <w:lang w:eastAsia="ja-JP"/>
                <w14:ligatures w14:val="standardContextual"/>
              </w:rPr>
              <w:tab/>
            </w:r>
            <w:r w:rsidRPr="00287090">
              <w:rPr>
                <w:rStyle w:val="Hyperlink"/>
              </w:rPr>
              <w:t>Capital Costs</w:t>
            </w:r>
            <w:r>
              <w:rPr>
                <w:webHidden/>
              </w:rPr>
              <w:tab/>
            </w:r>
            <w:r>
              <w:rPr>
                <w:webHidden/>
              </w:rPr>
              <w:fldChar w:fldCharType="begin"/>
            </w:r>
            <w:r>
              <w:rPr>
                <w:webHidden/>
              </w:rPr>
              <w:instrText xml:space="preserve"> PAGEREF _Toc195704909 \h </w:instrText>
            </w:r>
            <w:r>
              <w:rPr>
                <w:webHidden/>
              </w:rPr>
              <w:fldChar w:fldCharType="separate"/>
            </w:r>
            <w:r>
              <w:rPr>
                <w:webHidden/>
              </w:rPr>
              <w:t>10</w:t>
            </w:r>
            <w:r>
              <w:rPr>
                <w:webHidden/>
              </w:rPr>
              <w:fldChar w:fldCharType="end"/>
            </w:r>
          </w:hyperlink>
        </w:p>
        <w:p w:rsidR="00EA50E8" w14:paraId="58C3FAE3" w14:textId="48FBB262">
          <w:pPr>
            <w:pStyle w:val="TOC2"/>
            <w:tabs>
              <w:tab w:val="left" w:pos="1512"/>
            </w:tabs>
            <w:rPr>
              <w:rFonts w:asciiTheme="minorHAnsi" w:eastAsiaTheme="minorEastAsia" w:hAnsiTheme="minorHAnsi" w:cstheme="minorBidi"/>
              <w:color w:val="auto"/>
              <w:kern w:val="2"/>
              <w:u w:val="none"/>
              <w:lang w:eastAsia="ja-JP"/>
              <w14:ligatures w14:val="standardContextual"/>
            </w:rPr>
          </w:pPr>
          <w:hyperlink w:anchor="_Toc195704910" w:history="1">
            <w:r w:rsidRPr="00287090">
              <w:rPr>
                <w:rStyle w:val="Hyperlink"/>
              </w:rPr>
              <w:t>14.</w:t>
            </w:r>
            <w:r>
              <w:rPr>
                <w:rFonts w:asciiTheme="minorHAnsi" w:eastAsiaTheme="minorEastAsia" w:hAnsiTheme="minorHAnsi" w:cstheme="minorBidi"/>
                <w:color w:val="auto"/>
                <w:kern w:val="2"/>
                <w:u w:val="none"/>
                <w:lang w:eastAsia="ja-JP"/>
                <w14:ligatures w14:val="standardContextual"/>
              </w:rPr>
              <w:tab/>
            </w:r>
            <w:r w:rsidRPr="00287090">
              <w:rPr>
                <w:rStyle w:val="Hyperlink"/>
              </w:rPr>
              <w:t>Cost to Federal Government</w:t>
            </w:r>
            <w:r>
              <w:rPr>
                <w:webHidden/>
              </w:rPr>
              <w:tab/>
            </w:r>
            <w:r>
              <w:rPr>
                <w:webHidden/>
              </w:rPr>
              <w:fldChar w:fldCharType="begin"/>
            </w:r>
            <w:r>
              <w:rPr>
                <w:webHidden/>
              </w:rPr>
              <w:instrText xml:space="preserve"> PAGEREF _Toc195704910 \h </w:instrText>
            </w:r>
            <w:r>
              <w:rPr>
                <w:webHidden/>
              </w:rPr>
              <w:fldChar w:fldCharType="separate"/>
            </w:r>
            <w:r>
              <w:rPr>
                <w:webHidden/>
              </w:rPr>
              <w:t>10</w:t>
            </w:r>
            <w:r>
              <w:rPr>
                <w:webHidden/>
              </w:rPr>
              <w:fldChar w:fldCharType="end"/>
            </w:r>
          </w:hyperlink>
        </w:p>
        <w:p w:rsidR="00EA50E8" w14:paraId="717CAD61" w14:textId="4465F2BD">
          <w:pPr>
            <w:pStyle w:val="TOC2"/>
            <w:tabs>
              <w:tab w:val="left" w:pos="1512"/>
            </w:tabs>
            <w:rPr>
              <w:rFonts w:asciiTheme="minorHAnsi" w:eastAsiaTheme="minorEastAsia" w:hAnsiTheme="minorHAnsi" w:cstheme="minorBidi"/>
              <w:color w:val="auto"/>
              <w:kern w:val="2"/>
              <w:u w:val="none"/>
              <w:lang w:eastAsia="ja-JP"/>
              <w14:ligatures w14:val="standardContextual"/>
            </w:rPr>
          </w:pPr>
          <w:hyperlink w:anchor="_Toc195704911" w:history="1">
            <w:r w:rsidRPr="00287090">
              <w:rPr>
                <w:rStyle w:val="Hyperlink"/>
              </w:rPr>
              <w:t>15.</w:t>
            </w:r>
            <w:r>
              <w:rPr>
                <w:rFonts w:asciiTheme="minorHAnsi" w:eastAsiaTheme="minorEastAsia" w:hAnsiTheme="minorHAnsi" w:cstheme="minorBidi"/>
                <w:color w:val="auto"/>
                <w:kern w:val="2"/>
                <w:u w:val="none"/>
                <w:lang w:eastAsia="ja-JP"/>
                <w14:ligatures w14:val="standardContextual"/>
              </w:rPr>
              <w:tab/>
            </w:r>
            <w:r w:rsidRPr="00287090">
              <w:rPr>
                <w:rStyle w:val="Hyperlink"/>
              </w:rPr>
              <w:t>Changes to Burden</w:t>
            </w:r>
            <w:r>
              <w:rPr>
                <w:webHidden/>
              </w:rPr>
              <w:tab/>
            </w:r>
            <w:r>
              <w:rPr>
                <w:webHidden/>
              </w:rPr>
              <w:fldChar w:fldCharType="begin"/>
            </w:r>
            <w:r>
              <w:rPr>
                <w:webHidden/>
              </w:rPr>
              <w:instrText xml:space="preserve"> PAGEREF _Toc195704911 \h </w:instrText>
            </w:r>
            <w:r>
              <w:rPr>
                <w:webHidden/>
              </w:rPr>
              <w:fldChar w:fldCharType="separate"/>
            </w:r>
            <w:r>
              <w:rPr>
                <w:webHidden/>
              </w:rPr>
              <w:t>11</w:t>
            </w:r>
            <w:r>
              <w:rPr>
                <w:webHidden/>
              </w:rPr>
              <w:fldChar w:fldCharType="end"/>
            </w:r>
          </w:hyperlink>
        </w:p>
        <w:p w:rsidR="00EA50E8" w14:paraId="5714570D" w14:textId="0DF86CE2">
          <w:pPr>
            <w:pStyle w:val="TOC2"/>
            <w:tabs>
              <w:tab w:val="left" w:pos="1512"/>
            </w:tabs>
            <w:rPr>
              <w:rFonts w:asciiTheme="minorHAnsi" w:eastAsiaTheme="minorEastAsia" w:hAnsiTheme="minorHAnsi" w:cstheme="minorBidi"/>
              <w:color w:val="auto"/>
              <w:kern w:val="2"/>
              <w:u w:val="none"/>
              <w:lang w:eastAsia="ja-JP"/>
              <w14:ligatures w14:val="standardContextual"/>
            </w:rPr>
          </w:pPr>
          <w:hyperlink w:anchor="_Toc195704912" w:history="1">
            <w:r w:rsidRPr="00287090">
              <w:rPr>
                <w:rStyle w:val="Hyperlink"/>
              </w:rPr>
              <w:t>16.</w:t>
            </w:r>
            <w:r>
              <w:rPr>
                <w:rFonts w:asciiTheme="minorHAnsi" w:eastAsiaTheme="minorEastAsia" w:hAnsiTheme="minorHAnsi" w:cstheme="minorBidi"/>
                <w:color w:val="auto"/>
                <w:kern w:val="2"/>
                <w:u w:val="none"/>
                <w:lang w:eastAsia="ja-JP"/>
                <w14:ligatures w14:val="standardContextual"/>
              </w:rPr>
              <w:tab/>
            </w:r>
            <w:r w:rsidRPr="00287090">
              <w:rPr>
                <w:rStyle w:val="Hyperlink"/>
              </w:rPr>
              <w:t>Publication/Tabulation Dates</w:t>
            </w:r>
            <w:r>
              <w:rPr>
                <w:webHidden/>
              </w:rPr>
              <w:tab/>
            </w:r>
            <w:r>
              <w:rPr>
                <w:webHidden/>
              </w:rPr>
              <w:fldChar w:fldCharType="begin"/>
            </w:r>
            <w:r>
              <w:rPr>
                <w:webHidden/>
              </w:rPr>
              <w:instrText xml:space="preserve"> PAGEREF _Toc195704912 \h </w:instrText>
            </w:r>
            <w:r>
              <w:rPr>
                <w:webHidden/>
              </w:rPr>
              <w:fldChar w:fldCharType="separate"/>
            </w:r>
            <w:r>
              <w:rPr>
                <w:webHidden/>
              </w:rPr>
              <w:t>11</w:t>
            </w:r>
            <w:r>
              <w:rPr>
                <w:webHidden/>
              </w:rPr>
              <w:fldChar w:fldCharType="end"/>
            </w:r>
          </w:hyperlink>
        </w:p>
        <w:p w:rsidR="00EA50E8" w14:paraId="425C6E75" w14:textId="6115E085">
          <w:pPr>
            <w:pStyle w:val="TOC2"/>
            <w:tabs>
              <w:tab w:val="left" w:pos="1512"/>
            </w:tabs>
            <w:rPr>
              <w:rFonts w:asciiTheme="minorHAnsi" w:eastAsiaTheme="minorEastAsia" w:hAnsiTheme="minorHAnsi" w:cstheme="minorBidi"/>
              <w:color w:val="auto"/>
              <w:kern w:val="2"/>
              <w:u w:val="none"/>
              <w:lang w:eastAsia="ja-JP"/>
              <w14:ligatures w14:val="standardContextual"/>
            </w:rPr>
          </w:pPr>
          <w:hyperlink w:anchor="_Toc195704913" w:history="1">
            <w:r w:rsidRPr="00287090">
              <w:rPr>
                <w:rStyle w:val="Hyperlink"/>
              </w:rPr>
              <w:t>17.</w:t>
            </w:r>
            <w:r>
              <w:rPr>
                <w:rFonts w:asciiTheme="minorHAnsi" w:eastAsiaTheme="minorEastAsia" w:hAnsiTheme="minorHAnsi" w:cstheme="minorBidi"/>
                <w:color w:val="auto"/>
                <w:kern w:val="2"/>
                <w:u w:val="none"/>
                <w:lang w:eastAsia="ja-JP"/>
                <w14:ligatures w14:val="standardContextual"/>
              </w:rPr>
              <w:tab/>
            </w:r>
            <w:r w:rsidRPr="00287090">
              <w:rPr>
                <w:rStyle w:val="Hyperlink"/>
              </w:rPr>
              <w:t>Expiration Date</w:t>
            </w:r>
            <w:r>
              <w:rPr>
                <w:webHidden/>
              </w:rPr>
              <w:tab/>
            </w:r>
            <w:r>
              <w:rPr>
                <w:webHidden/>
              </w:rPr>
              <w:fldChar w:fldCharType="begin"/>
            </w:r>
            <w:r>
              <w:rPr>
                <w:webHidden/>
              </w:rPr>
              <w:instrText xml:space="preserve"> PAGEREF _Toc195704913 \h </w:instrText>
            </w:r>
            <w:r>
              <w:rPr>
                <w:webHidden/>
              </w:rPr>
              <w:fldChar w:fldCharType="separate"/>
            </w:r>
            <w:r>
              <w:rPr>
                <w:webHidden/>
              </w:rPr>
              <w:t>11</w:t>
            </w:r>
            <w:r>
              <w:rPr>
                <w:webHidden/>
              </w:rPr>
              <w:fldChar w:fldCharType="end"/>
            </w:r>
          </w:hyperlink>
        </w:p>
        <w:p w:rsidR="00EA50E8" w14:paraId="6F064515" w14:textId="2F491784">
          <w:pPr>
            <w:pStyle w:val="TOC2"/>
            <w:tabs>
              <w:tab w:val="left" w:pos="1512"/>
            </w:tabs>
            <w:rPr>
              <w:rFonts w:asciiTheme="minorHAnsi" w:eastAsiaTheme="minorEastAsia" w:hAnsiTheme="minorHAnsi" w:cstheme="minorBidi"/>
              <w:color w:val="auto"/>
              <w:kern w:val="2"/>
              <w:u w:val="none"/>
              <w:lang w:eastAsia="ja-JP"/>
              <w14:ligatures w14:val="standardContextual"/>
            </w:rPr>
          </w:pPr>
          <w:hyperlink w:anchor="_Toc195704914" w:history="1">
            <w:r w:rsidRPr="00287090">
              <w:rPr>
                <w:rStyle w:val="Hyperlink"/>
              </w:rPr>
              <w:t>18.</w:t>
            </w:r>
            <w:r>
              <w:rPr>
                <w:rFonts w:asciiTheme="minorHAnsi" w:eastAsiaTheme="minorEastAsia" w:hAnsiTheme="minorHAnsi" w:cstheme="minorBidi"/>
                <w:color w:val="auto"/>
                <w:kern w:val="2"/>
                <w:u w:val="none"/>
                <w:lang w:eastAsia="ja-JP"/>
                <w14:ligatures w14:val="standardContextual"/>
              </w:rPr>
              <w:tab/>
            </w:r>
            <w:r w:rsidRPr="00287090">
              <w:rPr>
                <w:rStyle w:val="Hyperlink"/>
              </w:rPr>
              <w:t>Certification Statement</w:t>
            </w:r>
            <w:r>
              <w:rPr>
                <w:webHidden/>
              </w:rPr>
              <w:tab/>
            </w:r>
            <w:r>
              <w:rPr>
                <w:webHidden/>
              </w:rPr>
              <w:fldChar w:fldCharType="begin"/>
            </w:r>
            <w:r>
              <w:rPr>
                <w:webHidden/>
              </w:rPr>
              <w:instrText xml:space="preserve"> PAGEREF _Toc195704914 \h </w:instrText>
            </w:r>
            <w:r>
              <w:rPr>
                <w:webHidden/>
              </w:rPr>
              <w:fldChar w:fldCharType="separate"/>
            </w:r>
            <w:r>
              <w:rPr>
                <w:webHidden/>
              </w:rPr>
              <w:t>11</w:t>
            </w:r>
            <w:r>
              <w:rPr>
                <w:webHidden/>
              </w:rPr>
              <w:fldChar w:fldCharType="end"/>
            </w:r>
          </w:hyperlink>
        </w:p>
        <w:p w:rsidR="00EA50E8" w14:paraId="5E953AE0" w14:textId="042E1250">
          <w:pPr>
            <w:pStyle w:val="TOC1"/>
            <w:rPr>
              <w:rFonts w:asciiTheme="minorHAnsi" w:eastAsiaTheme="minorEastAsia" w:hAnsiTheme="minorHAnsi" w:cstheme="minorBidi"/>
              <w:i w:val="0"/>
              <w:color w:val="auto"/>
              <w:kern w:val="2"/>
              <w:u w:val="none"/>
              <w:lang w:eastAsia="ja-JP"/>
              <w14:ligatures w14:val="standardContextual"/>
            </w:rPr>
          </w:pPr>
          <w:hyperlink w:anchor="_Toc195704915" w:history="1">
            <w:r w:rsidRPr="00287090">
              <w:rPr>
                <w:rStyle w:val="Hyperlink"/>
              </w:rPr>
              <w:t>APPENDIX A: FINAL IRF-PAI Version 4.4</w:t>
            </w:r>
            <w:r>
              <w:rPr>
                <w:webHidden/>
              </w:rPr>
              <w:tab/>
            </w:r>
            <w:r>
              <w:rPr>
                <w:webHidden/>
              </w:rPr>
              <w:fldChar w:fldCharType="begin"/>
            </w:r>
            <w:r>
              <w:rPr>
                <w:webHidden/>
              </w:rPr>
              <w:instrText xml:space="preserve"> PAGEREF _Toc195704915 \h </w:instrText>
            </w:r>
            <w:r>
              <w:rPr>
                <w:webHidden/>
              </w:rPr>
              <w:fldChar w:fldCharType="separate"/>
            </w:r>
            <w:r>
              <w:rPr>
                <w:webHidden/>
              </w:rPr>
              <w:t>11</w:t>
            </w:r>
            <w:r>
              <w:rPr>
                <w:webHidden/>
              </w:rPr>
              <w:fldChar w:fldCharType="end"/>
            </w:r>
          </w:hyperlink>
        </w:p>
        <w:p w:rsidR="003B486F" w:rsidRPr="00EA50E8" w:rsidP="003B486F" w14:paraId="5B8C1DB4" w14:textId="1E009425">
          <w:pPr>
            <w:rPr>
              <w:b/>
              <w:bCs/>
              <w:noProof/>
            </w:rPr>
          </w:pPr>
          <w:r w:rsidRPr="00EA50E8">
            <w:rPr>
              <w:i/>
              <w:noProof/>
              <w:color w:val="3333FF"/>
              <w:u w:val="single"/>
            </w:rPr>
            <w:fldChar w:fldCharType="end"/>
          </w:r>
        </w:p>
      </w:sdtContent>
    </w:sdt>
    <w:p w:rsidR="0011499C" w:rsidRPr="00EA50E8" w:rsidP="00A5741E" w14:paraId="1965B416" w14:textId="77777777">
      <w:pPr>
        <w:spacing w:after="240"/>
        <w:rPr>
          <w:b/>
          <w:color w:val="000000" w:themeColor="text1"/>
          <w:sz w:val="22"/>
          <w:u w:val="single"/>
        </w:rPr>
      </w:pPr>
    </w:p>
    <w:p w:rsidR="00302207" w:rsidRPr="00EA50E8" w14:paraId="4F102B2A" w14:textId="77777777">
      <w:pPr>
        <w:spacing w:after="160" w:line="259" w:lineRule="auto"/>
        <w:rPr>
          <w:b/>
          <w:color w:val="000000" w:themeColor="text1"/>
          <w:sz w:val="22"/>
          <w:szCs w:val="22"/>
          <w:u w:val="single"/>
        </w:rPr>
      </w:pPr>
      <w:r w:rsidRPr="00EA50E8">
        <w:rPr>
          <w:b/>
          <w:color w:val="000000" w:themeColor="text1"/>
          <w:sz w:val="22"/>
          <w:szCs w:val="22"/>
          <w:u w:val="single"/>
        </w:rPr>
        <w:br w:type="page"/>
      </w:r>
    </w:p>
    <w:p w:rsidR="003B486F" w:rsidRPr="00EA50E8" w:rsidP="00AE7EA6" w14:paraId="295C5843" w14:textId="5818EB85">
      <w:pPr>
        <w:keepNext/>
        <w:spacing w:after="240"/>
        <w:jc w:val="center"/>
        <w:rPr>
          <w:b/>
          <w:bCs/>
          <w:noProof/>
        </w:rPr>
      </w:pPr>
      <w:r w:rsidRPr="00EA50E8">
        <w:rPr>
          <w:b/>
          <w:color w:val="000000" w:themeColor="text1"/>
          <w:sz w:val="22"/>
          <w:szCs w:val="22"/>
          <w:u w:val="single"/>
        </w:rPr>
        <w:t xml:space="preserve">Supporting Statement </w:t>
      </w:r>
      <w:r w:rsidRPr="00EA50E8">
        <w:rPr>
          <w:b/>
          <w:bCs/>
          <w:color w:val="000000" w:themeColor="text1"/>
          <w:sz w:val="22"/>
          <w:szCs w:val="22"/>
          <w:u w:val="single"/>
        </w:rPr>
        <w:t>PART A</w:t>
      </w:r>
    </w:p>
    <w:p w:rsidR="003B486F" w:rsidRPr="00EA50E8" w:rsidP="00AE7EA6" w14:paraId="56B2BBF5" w14:textId="77777777">
      <w:pPr>
        <w:keepNext/>
        <w:jc w:val="center"/>
        <w:rPr>
          <w:b/>
          <w:color w:val="000000" w:themeColor="text1"/>
          <w:sz w:val="22"/>
          <w:szCs w:val="22"/>
        </w:rPr>
      </w:pPr>
      <w:bookmarkStart w:id="5" w:name="_Toc102549692"/>
      <w:bookmarkStart w:id="6" w:name="_Toc298168180"/>
      <w:bookmarkEnd w:id="2"/>
      <w:bookmarkEnd w:id="3"/>
      <w:bookmarkEnd w:id="4"/>
      <w:r w:rsidRPr="00EA50E8">
        <w:rPr>
          <w:b/>
          <w:color w:val="000000" w:themeColor="text1"/>
          <w:sz w:val="22"/>
          <w:szCs w:val="22"/>
        </w:rPr>
        <w:t>IRF-PAI for the collection of data pertaining to the Inpatient Rehabilitation Facility Prospective Payment System and Quality Reporting Program</w:t>
      </w:r>
    </w:p>
    <w:p w:rsidR="003B486F" w:rsidRPr="00EA50E8" w:rsidP="00AE7EA6" w14:paraId="21E199FF" w14:textId="4822FF58">
      <w:pPr>
        <w:pStyle w:val="Heading1"/>
        <w:keepNext/>
      </w:pPr>
      <w:bookmarkStart w:id="7" w:name="_Toc89079473"/>
      <w:bookmarkStart w:id="8" w:name="_Toc94773726"/>
      <w:bookmarkStart w:id="9" w:name="_Toc195704893"/>
      <w:r w:rsidRPr="00EA50E8">
        <w:t>Background</w:t>
      </w:r>
      <w:bookmarkEnd w:id="5"/>
      <w:bookmarkEnd w:id="6"/>
      <w:bookmarkEnd w:id="7"/>
      <w:bookmarkEnd w:id="8"/>
      <w:bookmarkEnd w:id="9"/>
      <w:r w:rsidRPr="00EA50E8">
        <w:t xml:space="preserve"> </w:t>
      </w:r>
    </w:p>
    <w:p w:rsidR="003B486F" w:rsidRPr="00EA50E8" w:rsidP="003B486F" w14:paraId="66DD8601" w14:textId="6A24B67D">
      <w:pPr>
        <w:pStyle w:val="ListContinue"/>
        <w:spacing w:after="240"/>
        <w:ind w:left="360"/>
      </w:pPr>
      <w:r w:rsidRPr="00EA50E8">
        <w:t>The Centers for Medicare &amp; Medicaid Services (CMS) is requesting approval of revisions to the Inpatient Rehabilitation Facility-Patient Assessment Instrument (IRF-PAI) Version 4.</w:t>
      </w:r>
      <w:r w:rsidRPr="00EA50E8" w:rsidR="00426100">
        <w:t xml:space="preserve">4 </w:t>
      </w:r>
      <w:r w:rsidRPr="00EA50E8">
        <w:t>that w</w:t>
      </w:r>
      <w:r w:rsidRPr="00EA50E8" w:rsidR="008D4201">
        <w:t>ill</w:t>
      </w:r>
      <w:r w:rsidRPr="00EA50E8">
        <w:t xml:space="preserve"> be effective on October 1, 202</w:t>
      </w:r>
      <w:r w:rsidRPr="00EA50E8" w:rsidR="00461254">
        <w:t>6</w:t>
      </w:r>
      <w:r w:rsidRPr="00EA50E8">
        <w:t xml:space="preserve">. </w:t>
      </w:r>
    </w:p>
    <w:p w:rsidR="00620FAF" w:rsidRPr="00EA50E8" w:rsidP="003B486F" w14:paraId="219AF874" w14:textId="0E20E4D3">
      <w:pPr>
        <w:pStyle w:val="ListContinue"/>
        <w:spacing w:after="240"/>
        <w:ind w:left="360"/>
        <w:rPr>
          <w:color w:val="000000"/>
          <w:shd w:val="clear" w:color="auto" w:fill="FFFFFF"/>
        </w:rPr>
      </w:pPr>
      <w:bookmarkStart w:id="10" w:name="_Hlk130474019"/>
      <w:r w:rsidRPr="00EA50E8">
        <w:rPr>
          <w:color w:val="000000"/>
          <w:shd w:val="clear" w:color="auto" w:fill="FFFFFF"/>
        </w:rPr>
        <w:t xml:space="preserve">On </w:t>
      </w:r>
      <w:r w:rsidRPr="00EA50E8" w:rsidR="00BA0522">
        <w:rPr>
          <w:color w:val="000000"/>
          <w:shd w:val="clear" w:color="auto" w:fill="FFFFFF"/>
        </w:rPr>
        <w:t xml:space="preserve">April </w:t>
      </w:r>
      <w:r w:rsidRPr="00EA50E8" w:rsidR="00106E8F">
        <w:rPr>
          <w:color w:val="000000"/>
          <w:shd w:val="clear" w:color="auto" w:fill="FFFFFF"/>
        </w:rPr>
        <w:t>11</w:t>
      </w:r>
      <w:r w:rsidRPr="00EA50E8" w:rsidR="00BA0522">
        <w:rPr>
          <w:color w:val="000000"/>
          <w:shd w:val="clear" w:color="auto" w:fill="FFFFFF"/>
        </w:rPr>
        <w:t xml:space="preserve"> 2025</w:t>
      </w:r>
      <w:r w:rsidRPr="00EA50E8">
        <w:rPr>
          <w:color w:val="000000"/>
          <w:shd w:val="clear" w:color="auto" w:fill="FFFFFF"/>
        </w:rPr>
        <w:t xml:space="preserve"> the Centers for Medicare &amp; Medicaid Services (CMS) </w:t>
      </w:r>
      <w:r w:rsidRPr="00EA50E8" w:rsidR="003E4B4A">
        <w:rPr>
          <w:color w:val="000000"/>
          <w:shd w:val="clear" w:color="auto" w:fill="FFFFFF"/>
        </w:rPr>
        <w:t>published</w:t>
      </w:r>
      <w:r w:rsidRPr="00EA50E8" w:rsidR="008D4201">
        <w:rPr>
          <w:color w:val="000000"/>
          <w:shd w:val="clear" w:color="auto" w:fill="FFFFFF"/>
        </w:rPr>
        <w:t xml:space="preserve"> the IRF Prospective Payment System (PPS) for Federal FY 202</w:t>
      </w:r>
      <w:r w:rsidRPr="00EA50E8" w:rsidR="007A2F98">
        <w:rPr>
          <w:color w:val="000000"/>
          <w:shd w:val="clear" w:color="auto" w:fill="FFFFFF"/>
        </w:rPr>
        <w:t>6</w:t>
      </w:r>
      <w:r w:rsidRPr="00EA50E8" w:rsidR="008D4201">
        <w:rPr>
          <w:color w:val="000000"/>
          <w:shd w:val="clear" w:color="auto" w:fill="FFFFFF"/>
        </w:rPr>
        <w:t xml:space="preserve"> and Updates to the IRF Quality Reporting Program </w:t>
      </w:r>
      <w:r w:rsidRPr="00EA50E8" w:rsidR="00CB38E1">
        <w:rPr>
          <w:color w:val="000000"/>
          <w:shd w:val="clear" w:color="auto" w:fill="FFFFFF"/>
        </w:rPr>
        <w:t>proposed</w:t>
      </w:r>
      <w:r w:rsidRPr="00EA50E8" w:rsidR="007A2F98">
        <w:rPr>
          <w:color w:val="000000"/>
          <w:shd w:val="clear" w:color="auto" w:fill="FFFFFF"/>
        </w:rPr>
        <w:t xml:space="preserve"> </w:t>
      </w:r>
      <w:r w:rsidRPr="00EA50E8" w:rsidR="008D4201">
        <w:rPr>
          <w:color w:val="000000"/>
          <w:shd w:val="clear" w:color="auto" w:fill="FFFFFF"/>
        </w:rPr>
        <w:t>rule</w:t>
      </w:r>
      <w:r w:rsidRPr="00EA50E8" w:rsidR="00106E8F">
        <w:rPr>
          <w:color w:val="000000"/>
          <w:shd w:val="clear" w:color="auto" w:fill="FFFFFF"/>
        </w:rPr>
        <w:t xml:space="preserve">. The </w:t>
      </w:r>
      <w:r w:rsidR="001A72E6">
        <w:rPr>
          <w:color w:val="000000" w:themeColor="text1"/>
        </w:rPr>
        <w:t>CMS-1</w:t>
      </w:r>
      <w:r w:rsidR="00A30398">
        <w:rPr>
          <w:color w:val="000000" w:themeColor="text1"/>
        </w:rPr>
        <w:t xml:space="preserve">829-P </w:t>
      </w:r>
      <w:r w:rsidRPr="00EA50E8" w:rsidR="00106E8F">
        <w:rPr>
          <w:color w:val="000000"/>
          <w:shd w:val="clear" w:color="auto" w:fill="FFFFFF"/>
        </w:rPr>
        <w:t>rule</w:t>
      </w:r>
      <w:r w:rsidRPr="00EA50E8" w:rsidR="00693E43">
        <w:rPr>
          <w:color w:val="000000"/>
          <w:shd w:val="clear" w:color="auto" w:fill="FFFFFF"/>
        </w:rPr>
        <w:t xml:space="preserve">, </w:t>
      </w:r>
      <w:r w:rsidRPr="00EA50E8" w:rsidR="00106E8F">
        <w:rPr>
          <w:color w:val="000000"/>
          <w:shd w:val="clear" w:color="auto" w:fill="FFFFFF"/>
        </w:rPr>
        <w:t xml:space="preserve">currently </w:t>
      </w:r>
      <w:r w:rsidRPr="00EA50E8" w:rsidR="00693E43">
        <w:rPr>
          <w:color w:val="000000"/>
          <w:shd w:val="clear" w:color="auto" w:fill="FFFFFF"/>
        </w:rPr>
        <w:t xml:space="preserve">available on the Federal Register Public Inspection desk, and is scheduled to publish in the Federal Register on April 30, 2025, </w:t>
      </w:r>
      <w:r w:rsidRPr="00EA50E8" w:rsidR="00461254">
        <w:rPr>
          <w:color w:val="000000"/>
          <w:shd w:val="clear" w:color="auto" w:fill="FFFFFF"/>
        </w:rPr>
        <w:t>proposes</w:t>
      </w:r>
      <w:r w:rsidRPr="00EA50E8" w:rsidR="008D4201">
        <w:rPr>
          <w:color w:val="000000"/>
          <w:shd w:val="clear" w:color="auto" w:fill="FFFFFF"/>
        </w:rPr>
        <w:t xml:space="preserve"> </w:t>
      </w:r>
      <w:r w:rsidRPr="00EA50E8">
        <w:rPr>
          <w:color w:val="000000"/>
          <w:shd w:val="clear" w:color="auto" w:fill="FFFFFF"/>
        </w:rPr>
        <w:t>modifications to the collection of quality reporting data in the Inpatient Rehabilitation Facility Quality Reporting Program (IRF QRP).</w:t>
      </w:r>
      <w:bookmarkEnd w:id="10"/>
      <w:r w:rsidRPr="00EA50E8">
        <w:rPr>
          <w:color w:val="000000"/>
          <w:shd w:val="clear" w:color="auto" w:fill="FFFFFF"/>
        </w:rPr>
        <w:t xml:space="preserve"> </w:t>
      </w:r>
      <w:r w:rsidRPr="00EA50E8" w:rsidR="0043098A">
        <w:rPr>
          <w:color w:val="000000"/>
          <w:shd w:val="clear" w:color="auto" w:fill="FFFFFF"/>
        </w:rPr>
        <w:t xml:space="preserve"> Specifically, CMS </w:t>
      </w:r>
      <w:r w:rsidRPr="00EA50E8" w:rsidR="00461254">
        <w:rPr>
          <w:color w:val="000000"/>
          <w:shd w:val="clear" w:color="auto" w:fill="FFFFFF"/>
        </w:rPr>
        <w:t xml:space="preserve">is </w:t>
      </w:r>
      <w:r w:rsidRPr="00EA50E8" w:rsidR="00927A6A">
        <w:rPr>
          <w:color w:val="000000"/>
          <w:shd w:val="clear" w:color="auto" w:fill="FFFFFF"/>
        </w:rPr>
        <w:t xml:space="preserve">proposing </w:t>
      </w:r>
      <w:r w:rsidRPr="00EA50E8" w:rsidR="00DB37A7">
        <w:rPr>
          <w:color w:val="000000"/>
          <w:shd w:val="clear" w:color="auto" w:fill="FFFFFF"/>
        </w:rPr>
        <w:t xml:space="preserve">the </w:t>
      </w:r>
      <w:r w:rsidRPr="00EA50E8" w:rsidR="008A682F">
        <w:rPr>
          <w:color w:val="000000"/>
          <w:shd w:val="clear" w:color="auto" w:fill="FFFFFF"/>
        </w:rPr>
        <w:t xml:space="preserve">removal </w:t>
      </w:r>
      <w:r w:rsidRPr="00EA50E8" w:rsidR="00DB37A7">
        <w:rPr>
          <w:color w:val="000000"/>
          <w:shd w:val="clear" w:color="auto" w:fill="FFFFFF"/>
        </w:rPr>
        <w:t>of</w:t>
      </w:r>
      <w:r w:rsidRPr="00EA50E8" w:rsidR="00461254">
        <w:rPr>
          <w:color w:val="000000"/>
          <w:shd w:val="clear" w:color="auto" w:fill="FFFFFF"/>
        </w:rPr>
        <w:t xml:space="preserve"> four items as standardized patient assessment data elements</w:t>
      </w:r>
      <w:r w:rsidRPr="00EA50E8" w:rsidR="00D0300D">
        <w:rPr>
          <w:color w:val="000000"/>
          <w:shd w:val="clear" w:color="auto" w:fill="FFFFFF"/>
        </w:rPr>
        <w:t xml:space="preserve">. While these items are being removed from the IRF-PAI before being implemented </w:t>
      </w:r>
      <w:r w:rsidRPr="00EA50E8" w:rsidR="005A33E8">
        <w:rPr>
          <w:color w:val="000000"/>
          <w:shd w:val="clear" w:color="auto" w:fill="FFFFFF"/>
        </w:rPr>
        <w:t xml:space="preserve">on the October 1, </w:t>
      </w:r>
      <w:r w:rsidRPr="00EA50E8" w:rsidR="005A33E8">
        <w:rPr>
          <w:color w:val="000000"/>
          <w:shd w:val="clear" w:color="auto" w:fill="FFFFFF"/>
        </w:rPr>
        <w:t>2026</w:t>
      </w:r>
      <w:r w:rsidRPr="00EA50E8" w:rsidR="005A33E8">
        <w:rPr>
          <w:color w:val="000000"/>
          <w:shd w:val="clear" w:color="auto" w:fill="FFFFFF"/>
        </w:rPr>
        <w:t xml:space="preserve"> version</w:t>
      </w:r>
      <w:r w:rsidRPr="00EA50E8" w:rsidR="008942E5">
        <w:rPr>
          <w:color w:val="000000"/>
          <w:shd w:val="clear" w:color="auto" w:fill="FFFFFF"/>
        </w:rPr>
        <w:t xml:space="preserve"> of the IRF-PAI</w:t>
      </w:r>
      <w:r w:rsidRPr="00EA50E8" w:rsidR="005A33E8">
        <w:rPr>
          <w:color w:val="000000"/>
          <w:shd w:val="clear" w:color="auto" w:fill="FFFFFF"/>
        </w:rPr>
        <w:t>, we have previously accounted for the burden associated with these items</w:t>
      </w:r>
      <w:r w:rsidRPr="00EA50E8" w:rsidR="005C3D23">
        <w:rPr>
          <w:color w:val="000000"/>
          <w:shd w:val="clear" w:color="auto" w:fill="FFFFFF"/>
        </w:rPr>
        <w:t xml:space="preserve"> </w:t>
      </w:r>
      <w:r w:rsidRPr="00EA50E8" w:rsidR="0050529C">
        <w:rPr>
          <w:color w:val="000000"/>
          <w:shd w:val="clear" w:color="auto" w:fill="FFFFFF"/>
        </w:rPr>
        <w:t xml:space="preserve">under OMB Control Number 0938-0842. </w:t>
      </w:r>
      <w:r w:rsidRPr="00EA50E8" w:rsidR="004D3751">
        <w:rPr>
          <w:color w:val="000000"/>
          <w:shd w:val="clear" w:color="auto" w:fill="FFFFFF"/>
        </w:rPr>
        <w:t>We are also proposing to remove</w:t>
      </w:r>
      <w:r w:rsidRPr="00EA50E8" w:rsidR="00A546C8">
        <w:rPr>
          <w:color w:val="000000"/>
          <w:shd w:val="clear" w:color="auto" w:fill="FFFFFF"/>
        </w:rPr>
        <w:t xml:space="preserve"> the Patient/Resident COVID-1</w:t>
      </w:r>
      <w:r w:rsidRPr="00EA50E8" w:rsidR="00FA4FC1">
        <w:rPr>
          <w:color w:val="000000"/>
          <w:shd w:val="clear" w:color="auto" w:fill="FFFFFF"/>
        </w:rPr>
        <w:t>9</w:t>
      </w:r>
      <w:r w:rsidRPr="00EA50E8" w:rsidR="00A546C8">
        <w:rPr>
          <w:color w:val="000000"/>
          <w:shd w:val="clear" w:color="auto" w:fill="FFFFFF"/>
        </w:rPr>
        <w:t xml:space="preserve"> Vaccine data item (O0350) from the IRF-PAI effective October 1, 2026. </w:t>
      </w:r>
      <w:r w:rsidRPr="00EA50E8" w:rsidR="00C0705A">
        <w:rPr>
          <w:color w:val="000000"/>
          <w:shd w:val="clear" w:color="auto" w:fill="FFFFFF"/>
        </w:rPr>
        <w:t xml:space="preserve">If finalized as proposed, IRFs will no longer be required to collect and submit data on this item beginning with patients admitted on October 1, 2025. </w:t>
      </w:r>
    </w:p>
    <w:p w:rsidR="003B486F" w:rsidRPr="00EA50E8" w:rsidP="003B486F" w14:paraId="5B6AC14F" w14:textId="47887234">
      <w:pPr>
        <w:pStyle w:val="ListContinue"/>
        <w:spacing w:after="240"/>
        <w:ind w:left="360"/>
        <w:rPr>
          <w:u w:val="single"/>
        </w:rPr>
      </w:pPr>
      <w:r w:rsidRPr="00EA50E8">
        <w:rPr>
          <w:color w:val="000000"/>
          <w:shd w:val="clear" w:color="auto" w:fill="FFFFFF"/>
        </w:rPr>
        <w:t xml:space="preserve">In addition, we are </w:t>
      </w:r>
      <w:r w:rsidRPr="00EA50E8" w:rsidR="0081537A">
        <w:rPr>
          <w:color w:val="000000" w:themeColor="text1"/>
        </w:rPr>
        <w:t>modifying two item</w:t>
      </w:r>
      <w:r w:rsidRPr="00EA50E8" w:rsidR="004E6C67">
        <w:rPr>
          <w:color w:val="000000" w:themeColor="text1"/>
        </w:rPr>
        <w:t xml:space="preserve">s. </w:t>
      </w:r>
      <w:r w:rsidRPr="00EA50E8" w:rsidR="004E6C67">
        <w:rPr>
          <w:color w:val="000000"/>
          <w:shd w:val="clear" w:color="auto" w:fill="FFFFFF"/>
        </w:rPr>
        <w:t>I</w:t>
      </w:r>
      <w:r w:rsidRPr="00EA50E8" w:rsidR="004E6C67">
        <w:t xml:space="preserve">tem A1250 Transportation will be modified to item A1255 Transportation. </w:t>
      </w:r>
      <w:r w:rsidRPr="00EA50E8" w:rsidR="0081537A">
        <w:t xml:space="preserve">Item 8, Gender will be modified to A0810 Sex </w:t>
      </w:r>
      <w:r w:rsidRPr="00EA50E8" w:rsidR="0081537A">
        <w:rPr>
          <w:color w:val="000000"/>
          <w:shd w:val="clear" w:color="auto" w:fill="FFFFFF"/>
        </w:rPr>
        <w:t xml:space="preserve">to be consistent with EO 14168 </w:t>
      </w:r>
      <w:r w:rsidRPr="00EA50E8" w:rsidR="0081537A">
        <w:rPr>
          <w:i/>
          <w:iCs/>
          <w:color w:val="000000"/>
          <w:shd w:val="clear" w:color="auto" w:fill="FFFFFF"/>
        </w:rPr>
        <w:t xml:space="preserve">Defending Women </w:t>
      </w:r>
      <w:r w:rsidRPr="00EA50E8" w:rsidR="00EA50E8">
        <w:rPr>
          <w:i/>
          <w:iCs/>
          <w:color w:val="000000"/>
          <w:shd w:val="clear" w:color="auto" w:fill="FFFFFF"/>
        </w:rPr>
        <w:t>from</w:t>
      </w:r>
      <w:r w:rsidRPr="00EA50E8" w:rsidR="0081537A">
        <w:rPr>
          <w:i/>
          <w:iCs/>
          <w:color w:val="000000"/>
          <w:shd w:val="clear" w:color="auto" w:fill="FFFFFF"/>
        </w:rPr>
        <w:t xml:space="preserve"> Gender Ideology Extremism and Restoring Biological Truth to the Federal Government</w:t>
      </w:r>
      <w:r w:rsidRPr="00EA50E8" w:rsidR="004E6C67">
        <w:rPr>
          <w:color w:val="000000"/>
          <w:shd w:val="clear" w:color="auto" w:fill="FFFFFF"/>
        </w:rPr>
        <w:t xml:space="preserve">. </w:t>
      </w:r>
    </w:p>
    <w:p w:rsidR="003B486F" w:rsidRPr="00EA50E8" w:rsidP="003B486F" w14:paraId="2986D196" w14:textId="74944170">
      <w:pPr>
        <w:pStyle w:val="ListContinue"/>
        <w:spacing w:after="240"/>
        <w:ind w:left="360"/>
      </w:pPr>
      <w:r w:rsidRPr="00EA50E8">
        <w:t>CMS is asking for approval of the IRF-PAI Version 4.</w:t>
      </w:r>
      <w:r w:rsidRPr="00EA50E8" w:rsidR="00426100">
        <w:t>4</w:t>
      </w:r>
      <w:r w:rsidRPr="00EA50E8">
        <w:t xml:space="preserve">, which </w:t>
      </w:r>
      <w:r w:rsidRPr="00EA50E8" w:rsidR="00981FA8">
        <w:t>w</w:t>
      </w:r>
      <w:r w:rsidRPr="00EA50E8" w:rsidR="007975DF">
        <w:t>ill</w:t>
      </w:r>
      <w:r w:rsidRPr="00EA50E8">
        <w:t xml:space="preserve"> have an October 1, </w:t>
      </w:r>
      <w:r w:rsidRPr="00EA50E8">
        <w:t>202</w:t>
      </w:r>
      <w:r w:rsidRPr="00EA50E8" w:rsidR="00461254">
        <w:t>6</w:t>
      </w:r>
      <w:r w:rsidRPr="00EA50E8">
        <w:t xml:space="preserve"> implementation date</w:t>
      </w:r>
      <w:r w:rsidRPr="00EA50E8" w:rsidR="00962C85">
        <w:t xml:space="preserve">. </w:t>
      </w:r>
      <w:r w:rsidRPr="00EA50E8" w:rsidR="001F00F9">
        <w:t xml:space="preserve"> </w:t>
      </w:r>
      <w:r w:rsidRPr="00EA50E8" w:rsidR="000D586C">
        <w:t>The IRF</w:t>
      </w:r>
      <w:r w:rsidRPr="00EA50E8" w:rsidR="000D586C">
        <w:t>-PAI Version 4.</w:t>
      </w:r>
      <w:r w:rsidR="001A72E6">
        <w:t>2</w:t>
      </w:r>
      <w:r w:rsidRPr="00EA50E8" w:rsidR="000D586C">
        <w:t xml:space="preserve"> will have a runoff period through September 30, </w:t>
      </w:r>
      <w:r w:rsidRPr="00EA50E8" w:rsidR="000D586C">
        <w:t>2026</w:t>
      </w:r>
      <w:r w:rsidRPr="00EA50E8" w:rsidR="000D586C">
        <w:t xml:space="preserve"> and sunset when </w:t>
      </w:r>
      <w:r w:rsidRPr="00EA50E8" w:rsidR="001F00F9">
        <w:rPr>
          <w:color w:val="000000" w:themeColor="text1"/>
        </w:rPr>
        <w:t xml:space="preserve">the IRF-PAI </w:t>
      </w:r>
      <w:r w:rsidRPr="00EA50E8" w:rsidR="000D586C">
        <w:rPr>
          <w:color w:val="000000" w:themeColor="text1"/>
        </w:rPr>
        <w:t xml:space="preserve">Version </w:t>
      </w:r>
      <w:r w:rsidRPr="00EA50E8" w:rsidR="00AB52B6">
        <w:t>4.</w:t>
      </w:r>
      <w:r w:rsidRPr="00EA50E8" w:rsidR="00426100">
        <w:t>4</w:t>
      </w:r>
      <w:r w:rsidRPr="00EA50E8" w:rsidR="007F7AE8">
        <w:t xml:space="preserve"> </w:t>
      </w:r>
      <w:r w:rsidRPr="00EA50E8" w:rsidR="000D586C">
        <w:rPr>
          <w:color w:val="000000" w:themeColor="text1"/>
        </w:rPr>
        <w:t>takes effect on October 1, 2026.</w:t>
      </w:r>
      <w:r w:rsidRPr="00EA50E8" w:rsidR="00C97F7C">
        <w:rPr>
          <w:color w:val="000000" w:themeColor="text1"/>
        </w:rPr>
        <w:t xml:space="preserve"> The IRF-PAI Version 4.3, previously </w:t>
      </w:r>
      <w:r w:rsidRPr="00EA50E8" w:rsidR="00DE5D6A">
        <w:rPr>
          <w:color w:val="000000" w:themeColor="text1"/>
        </w:rPr>
        <w:t>approved on 12/27/24</w:t>
      </w:r>
      <w:r w:rsidRPr="00EA50E8" w:rsidR="005C02A7">
        <w:rPr>
          <w:color w:val="000000" w:themeColor="text1"/>
        </w:rPr>
        <w:t xml:space="preserve">, will not be implemented and will be superseded by IRF-PAI Version 4.4. </w:t>
      </w:r>
    </w:p>
    <w:p w:rsidR="003B486F" w:rsidRPr="00EA50E8" w:rsidP="003B486F" w14:paraId="342331D2" w14:textId="5AF29FF1">
      <w:pPr>
        <w:pStyle w:val="Heading1"/>
      </w:pPr>
      <w:bookmarkStart w:id="11" w:name="_Toc89079474"/>
      <w:bookmarkStart w:id="12" w:name="_Toc94773727"/>
      <w:bookmarkStart w:id="13" w:name="_Toc195704894"/>
      <w:r w:rsidRPr="00EA50E8">
        <w:t>Justification</w:t>
      </w:r>
      <w:bookmarkEnd w:id="11"/>
      <w:bookmarkEnd w:id="12"/>
      <w:bookmarkEnd w:id="13"/>
      <w:r w:rsidRPr="00EA50E8">
        <w:t xml:space="preserve"> </w:t>
      </w:r>
    </w:p>
    <w:p w:rsidR="003B486F" w:rsidRPr="00EA50E8" w:rsidP="003B486F" w14:paraId="453B2652" w14:textId="1A177A61">
      <w:pPr>
        <w:pStyle w:val="Heading2"/>
      </w:pPr>
      <w:bookmarkStart w:id="14" w:name="_Toc89079475"/>
      <w:bookmarkStart w:id="15" w:name="_Toc94773728"/>
      <w:bookmarkStart w:id="16" w:name="_Toc195704895"/>
      <w:r w:rsidRPr="00EA50E8">
        <w:t>Need and Legal Basis</w:t>
      </w:r>
      <w:bookmarkEnd w:id="14"/>
      <w:bookmarkEnd w:id="15"/>
      <w:bookmarkEnd w:id="16"/>
      <w:r w:rsidRPr="00EA50E8">
        <w:t xml:space="preserve"> </w:t>
      </w:r>
    </w:p>
    <w:p w:rsidR="003B486F" w:rsidRPr="00EA50E8" w:rsidP="003B486F" w14:paraId="0939FA40" w14:textId="77777777">
      <w:pPr>
        <w:pStyle w:val="ListContinue"/>
        <w:spacing w:after="240"/>
        <w:ind w:left="360"/>
        <w:rPr>
          <w:color w:val="000000" w:themeColor="text1"/>
        </w:rPr>
      </w:pPr>
      <w:r w:rsidRPr="00EA50E8">
        <w:rPr>
          <w:color w:val="000000" w:themeColor="text1"/>
        </w:rPr>
        <w:t xml:space="preserve">This instrument with its supporting manual is needed to permit the Secretary of Health and Human Services, and CMS, to implement Section 1886(j) of the Social Security Act, 42 U.S.C. 1395ww(j), as enacted by §4421 of the Balanced Budget Act of 1997 (BBA), Pub. L. No. 105-33. The statute requires the Secretary to develop a prospective payment system for inpatient rehabilitation facility services for the Medicare program. This payment system is to cover both operating and capital costs for inpatient rehabilitation facility services. It applies to inpatient rehabilitation hospitals as well as rehabilitation units of acute care hospitals, both of which are exempt from the current PPS for inpatient hospital services. CMS implemented the inpatient rehabilitation facility prospective payment system for cost reporting periods beginning on or after January 1, 2002. </w:t>
      </w:r>
    </w:p>
    <w:p w:rsidR="003B486F" w:rsidRPr="00EA50E8" w:rsidP="003B486F" w14:paraId="1042104A" w14:textId="77777777">
      <w:pPr>
        <w:pStyle w:val="ListContinue"/>
        <w:spacing w:after="240"/>
        <w:ind w:left="360"/>
        <w:rPr>
          <w:color w:val="000000" w:themeColor="text1"/>
        </w:rPr>
      </w:pPr>
      <w:r w:rsidRPr="00EA50E8">
        <w:rPr>
          <w:color w:val="000000" w:themeColor="text1"/>
        </w:rPr>
        <w:t xml:space="preserve">The statute requires that the prospective payment system for each Medicare rehabilitation facility be based on patient case mix groups and directs the Secretary to “establish classes of patients of rehabilitation facilities based on such factors as the Secretary deems appropriate, which may include impairment, age, related prior hospitalization, comorbidities, and functional capability of the patient, </w:t>
      </w:r>
      <w:r w:rsidRPr="00EA50E8">
        <w:rPr>
          <w:color w:val="000000" w:themeColor="text1"/>
        </w:rPr>
        <w:t>as well as a method of classifying specific patients in rehabilitation facilities within these groups.” In addition, for each case mix group the Secretary shall assign an appropriate weighting which reflects the relative facility resources used with respect to patients classified within that group compared to patients classified within other groups. The statute gives the Secretary authority to require inpatient rehabilitation facilities to submit data as the Secretary deems necessary to establish and administer the prospective payment system. Thus, a comprehensive, reliable system for collecting standardized patient assessment data is necessary for: 1) the objective assignment of Medicare beneficiaries to appropriate Case Mix Groups (CMGs); 2) the development of a system to monitor the effects of an inpatient rehabilitation facility prospective payment system on patient care and outcomes; 3) the determination of whether future adjustments to the CMGs are warranted; and 4) the development of an integrated system for post-acute care in the future.</w:t>
      </w:r>
    </w:p>
    <w:p w:rsidR="003B486F" w:rsidRPr="00EA50E8" w:rsidP="003B486F" w14:paraId="5177B2B6" w14:textId="77777777">
      <w:pPr>
        <w:pStyle w:val="ListContinue"/>
        <w:spacing w:after="240"/>
        <w:ind w:left="360"/>
        <w:rPr>
          <w:color w:val="000000" w:themeColor="text1"/>
        </w:rPr>
      </w:pPr>
      <w:r w:rsidRPr="00EA50E8">
        <w:rPr>
          <w:color w:val="000000" w:themeColor="text1"/>
        </w:rPr>
        <w:t>Since October 1, 2012, the IRF-PAI has also been used to collect quality measure data, using data items in the Quality Indicator section, as required by Section 1886(j)(7) of the Social Security Act added by section 3004 of the Patient Protection and Affordable Care Act</w:t>
      </w:r>
      <w:r>
        <w:rPr>
          <w:rStyle w:val="FootnoteReference"/>
          <w:color w:val="000000" w:themeColor="text1"/>
        </w:rPr>
        <w:footnoteReference w:id="3"/>
      </w:r>
      <w:r w:rsidRPr="00EA50E8">
        <w:rPr>
          <w:color w:val="000000" w:themeColor="text1"/>
        </w:rPr>
        <w:t>. The statute requires the Secretary to establish a quality reporting program for inpatient rehabilitation facilities (IRFs), which was established in the FY 2012 IRF PPS final rule (76 FR 47873 through 47883)</w:t>
      </w:r>
      <w:r>
        <w:rPr>
          <w:rStyle w:val="FootnoteReference"/>
          <w:color w:val="000000" w:themeColor="text1"/>
        </w:rPr>
        <w:footnoteReference w:id="4"/>
      </w:r>
      <w:r w:rsidRPr="00EA50E8">
        <w:rPr>
          <w:color w:val="000000" w:themeColor="text1"/>
        </w:rPr>
        <w:t xml:space="preserve">. Further, section 1886(j)(7)(A)(i) of the Act requires the Secretary to reduce the increase factor with respect to a fiscal year by 2 percentage points for any IRFs that do not submit data to the Secretary in accordance with requirements established by the Secretary for that fiscal year, beginning in fiscal year 2014. </w:t>
      </w:r>
    </w:p>
    <w:p w:rsidR="003B486F" w:rsidRPr="00EA50E8" w:rsidP="003B486F" w14:paraId="780FC30F" w14:textId="2C891588">
      <w:pPr>
        <w:pStyle w:val="ListContinue"/>
        <w:spacing w:after="240"/>
        <w:ind w:left="360"/>
        <w:rPr>
          <w:color w:val="000000" w:themeColor="text1"/>
        </w:rPr>
      </w:pPr>
      <w:r w:rsidRPr="00EA50E8">
        <w:rPr>
          <w:color w:val="000000" w:themeColor="text1"/>
        </w:rPr>
        <w:t xml:space="preserve">Section 2(a) of the Improving Medicare Post-Acute Care Transformation Act of 2014 (IMPACT Act) (Pub. L. 113-185, enacted on Oct. 6, 2014), requires that the Secretary specify not later than the applicable specified application date, as defined in section 1899B(a)(2)(E), quality measures on which IRF providers are required to submit standardized patient assessment data described in section 1899B(b)(1) and other necessary data specified by the Secretary. Section 1899B(c)(2)(A) requires, to the extent possible, the submission of the such quality measure data through the use of a </w:t>
      </w:r>
      <w:r w:rsidRPr="00EA50E8" w:rsidR="00262799">
        <w:rPr>
          <w:color w:val="000000" w:themeColor="text1"/>
        </w:rPr>
        <w:t>post-acute care (</w:t>
      </w:r>
      <w:r w:rsidRPr="00EA50E8">
        <w:rPr>
          <w:color w:val="000000" w:themeColor="text1"/>
        </w:rPr>
        <w:t>PAC</w:t>
      </w:r>
      <w:r w:rsidRPr="00EA50E8" w:rsidR="00262799">
        <w:rPr>
          <w:color w:val="000000" w:themeColor="text1"/>
        </w:rPr>
        <w:t>)</w:t>
      </w:r>
      <w:r w:rsidRPr="00EA50E8">
        <w:rPr>
          <w:color w:val="000000" w:themeColor="text1"/>
        </w:rPr>
        <w:t xml:space="preserve"> assessment instrument and the modification of such instrument as necessary to enable such use; for IRFs, this requirement refers to the Inpatient Rehabilitation Facility – Patient Assessment Instrument (IRF-PAI).</w:t>
      </w:r>
    </w:p>
    <w:p w:rsidR="003B486F" w:rsidRPr="00EA50E8" w:rsidP="003B486F" w14:paraId="45CB8279" w14:textId="1A756DEF">
      <w:pPr>
        <w:pStyle w:val="Heading2"/>
      </w:pPr>
      <w:bookmarkStart w:id="17" w:name="_Toc89079479"/>
      <w:bookmarkStart w:id="18" w:name="_Toc94773732"/>
      <w:bookmarkStart w:id="19" w:name="_Toc195704896"/>
      <w:r w:rsidRPr="00EA50E8">
        <w:t>Information Users</w:t>
      </w:r>
      <w:bookmarkEnd w:id="17"/>
      <w:bookmarkEnd w:id="18"/>
      <w:bookmarkEnd w:id="19"/>
    </w:p>
    <w:p w:rsidR="003B486F" w:rsidRPr="00EA50E8" w:rsidP="003B486F" w14:paraId="2B59308D" w14:textId="1AD656D2">
      <w:pPr>
        <w:pStyle w:val="ListContinue"/>
        <w:ind w:left="360"/>
        <w:rPr>
          <w:color w:val="000000" w:themeColor="text1"/>
        </w:rPr>
      </w:pPr>
      <w:r w:rsidRPr="00EA50E8">
        <w:rPr>
          <w:color w:val="000000" w:themeColor="text1"/>
        </w:rPr>
        <w:t xml:space="preserve">The IRF-PAI is required by the CMS as part of the Inpatient Rehabilitation Facility Prospective Payment System (IRF PPS). CMS uses the data to determine the payment for each Medicare Part A fee-for-service patient admitted to an inpatient rehabilitation unit or hospital. </w:t>
      </w:r>
    </w:p>
    <w:p w:rsidR="003B486F" w:rsidRPr="00EA50E8" w:rsidP="003B486F" w14:paraId="17A86DD6" w14:textId="49411372">
      <w:pPr>
        <w:pStyle w:val="ListContinue"/>
        <w:ind w:left="360"/>
        <w:rPr>
          <w:color w:val="000000" w:themeColor="text1"/>
        </w:rPr>
      </w:pPr>
      <w:r w:rsidRPr="00EA50E8">
        <w:rPr>
          <w:color w:val="000000" w:themeColor="text1"/>
        </w:rPr>
        <w:t xml:space="preserve">The IRF-PAI is also used to gather data for the IRF Quality Reporting Program (IRF QRP). Section 3004(b) of the Affordable Care Act requires the Secretary to establish the IRF QRP. Beginning with the FY 2014 IRF QRP, the Secretary is required to reduce any annual update to the standard federal rate for discharges occurring during such fiscal year by 2 percentage points for any IRF that does not comply with the requirements established by the Secretary. The Improving Medicare Post-Acute Care Transformation Act of 2014 (IMPACT Act) enacted new data reporting requirements for IRFs. All of the data that must be reported in accordance with section 1899B(a)(1)(A) must be standardized and interoperable so as to allow for the exchange of the information among PAC providers and other providers and the use of such data in order to enable access to longitudinal information and to facilitate coordinated care. </w:t>
      </w:r>
      <w:r w:rsidRPr="00EA50E8" w:rsidR="00262799">
        <w:t xml:space="preserve">The FY 2023 IRF PPS final rule (87 FR 47038) finalized the collection of IRF-PAI assessment data on each patient receiving care in an IRF, regardless of payer. IRFs will be </w:t>
      </w:r>
      <w:r w:rsidRPr="00EA50E8" w:rsidR="00262799">
        <w:t>required to report these data with respect to admission and discharge of all patients, regardless of payer, discharged beginning October 1, 2024.</w:t>
      </w:r>
    </w:p>
    <w:p w:rsidR="003B486F" w:rsidRPr="00EA50E8" w:rsidP="003B486F" w14:paraId="338A71B3" w14:textId="01F63F27">
      <w:pPr>
        <w:pStyle w:val="ListContinue"/>
        <w:ind w:left="360"/>
        <w:rPr>
          <w:color w:val="000000" w:themeColor="text1"/>
        </w:rPr>
      </w:pPr>
      <w:r w:rsidRPr="00EA50E8">
        <w:rPr>
          <w:color w:val="000000" w:themeColor="text1"/>
        </w:rPr>
        <w:t xml:space="preserve">In addition, the public/consumer is a data user, as CMS is required to make IRF QRP data available to the public after ensuring that an IRF has the opportunity to review its data prior to public display. Measure data is currently displayed on the </w:t>
      </w:r>
      <w:r w:rsidRPr="00EA50E8" w:rsidR="00426100">
        <w:rPr>
          <w:color w:val="000000" w:themeColor="text1"/>
        </w:rPr>
        <w:t>Inpatient Rehabilitation Facility provider type on the Care Compare tool on Medicare.gov</w:t>
      </w:r>
      <w:r w:rsidRPr="00EA50E8">
        <w:rPr>
          <w:color w:val="000000" w:themeColor="text1"/>
        </w:rPr>
        <w:t xml:space="preserve">, at </w:t>
      </w:r>
      <w:hyperlink r:id="rId9" w:tooltip="Care Compare tool" w:history="1">
        <w:r w:rsidRPr="00EA50E8">
          <w:rPr>
            <w:rStyle w:val="Hyperlink"/>
            <w:color w:val="000000" w:themeColor="text1"/>
          </w:rPr>
          <w:t>https://www.medicare.gov/inpatientrehabilitationfacilitycompare/</w:t>
        </w:r>
      </w:hyperlink>
      <w:r w:rsidRPr="00EA50E8">
        <w:rPr>
          <w:color w:val="000000" w:themeColor="text1"/>
        </w:rPr>
        <w:t>.</w:t>
      </w:r>
    </w:p>
    <w:p w:rsidR="003B486F" w:rsidRPr="00EA50E8" w:rsidP="003B486F" w14:paraId="6138BA64" w14:textId="3901A0D1">
      <w:pPr>
        <w:pStyle w:val="Heading2"/>
      </w:pPr>
      <w:bookmarkStart w:id="20" w:name="_Toc89079480"/>
      <w:bookmarkStart w:id="21" w:name="_Toc94773733"/>
      <w:bookmarkStart w:id="22" w:name="_Toc195704897"/>
      <w:r w:rsidRPr="00EA50E8">
        <w:t>Use of Information Technology</w:t>
      </w:r>
      <w:bookmarkEnd w:id="20"/>
      <w:bookmarkEnd w:id="21"/>
      <w:bookmarkEnd w:id="22"/>
    </w:p>
    <w:p w:rsidR="00651D61" w:rsidRPr="00EA50E8" w:rsidP="00651D61" w14:paraId="0E8CF83D" w14:textId="7986D865">
      <w:pPr>
        <w:pStyle w:val="ListContinue"/>
        <w:ind w:left="360"/>
        <w:rPr>
          <w:color w:val="000000" w:themeColor="text1"/>
        </w:rPr>
      </w:pPr>
      <w:r w:rsidRPr="00EA50E8">
        <w:rPr>
          <w:color w:val="000000" w:themeColor="text1"/>
        </w:rPr>
        <w:t xml:space="preserve">CMS </w:t>
      </w:r>
      <w:r w:rsidRPr="00EA50E8" w:rsidR="00E86006">
        <w:rPr>
          <w:color w:val="000000" w:themeColor="text1"/>
        </w:rPr>
        <w:t>use</w:t>
      </w:r>
      <w:r w:rsidRPr="00EA50E8">
        <w:rPr>
          <w:color w:val="000000" w:themeColor="text1"/>
        </w:rPr>
        <w:t>s</w:t>
      </w:r>
      <w:r w:rsidRPr="00EA50E8" w:rsidR="00E86006">
        <w:rPr>
          <w:color w:val="000000" w:themeColor="text1"/>
        </w:rPr>
        <w:t xml:space="preserve"> information technology to </w:t>
      </w:r>
      <w:r w:rsidRPr="00EA50E8">
        <w:rPr>
          <w:color w:val="000000" w:themeColor="text1"/>
        </w:rPr>
        <w:t xml:space="preserve">decrease </w:t>
      </w:r>
      <w:r w:rsidRPr="00EA50E8" w:rsidR="00E86006">
        <w:rPr>
          <w:color w:val="000000" w:themeColor="text1"/>
        </w:rPr>
        <w:t xml:space="preserve">the burden associated with </w:t>
      </w:r>
      <w:r w:rsidRPr="00EA50E8">
        <w:rPr>
          <w:color w:val="000000" w:themeColor="text1"/>
        </w:rPr>
        <w:t>data</w:t>
      </w:r>
      <w:r w:rsidRPr="00EA50E8" w:rsidR="00E86006">
        <w:rPr>
          <w:color w:val="000000" w:themeColor="text1"/>
        </w:rPr>
        <w:t xml:space="preserve"> collection of the IRF-PAI</w:t>
      </w:r>
      <w:r w:rsidRPr="00EA50E8" w:rsidR="00962C85">
        <w:rPr>
          <w:color w:val="000000" w:themeColor="text1"/>
        </w:rPr>
        <w:t>.</w:t>
      </w:r>
      <w:r w:rsidRPr="00EA50E8" w:rsidR="00E014D0">
        <w:rPr>
          <w:color w:val="000000" w:themeColor="text1"/>
        </w:rPr>
        <w:t xml:space="preserve"> </w:t>
      </w:r>
      <w:r w:rsidRPr="00EA50E8">
        <w:rPr>
          <w:color w:val="000000" w:themeColor="text1"/>
        </w:rPr>
        <w:t xml:space="preserve">This is accomplished </w:t>
      </w:r>
      <w:r w:rsidRPr="00EA50E8">
        <w:rPr>
          <w:color w:val="000000" w:themeColor="text1"/>
        </w:rPr>
        <w:t>through strategies that (</w:t>
      </w:r>
      <w:r w:rsidRPr="00EA50E8" w:rsidR="00E86006">
        <w:rPr>
          <w:color w:val="000000" w:themeColor="text1"/>
        </w:rPr>
        <w:t>1</w:t>
      </w:r>
      <w:r w:rsidRPr="00EA50E8">
        <w:rPr>
          <w:color w:val="000000" w:themeColor="text1"/>
        </w:rPr>
        <w:t xml:space="preserve">) streamline information and submission processes, </w:t>
      </w:r>
      <w:r w:rsidRPr="00EA50E8" w:rsidR="00E86006">
        <w:rPr>
          <w:color w:val="000000" w:themeColor="text1"/>
        </w:rPr>
        <w:t xml:space="preserve">(2) minimize costly documentation requirements, </w:t>
      </w:r>
      <w:r w:rsidRPr="00EA50E8">
        <w:rPr>
          <w:color w:val="000000" w:themeColor="text1"/>
        </w:rPr>
        <w:t xml:space="preserve">and (3) </w:t>
      </w:r>
      <w:r w:rsidRPr="00EA50E8" w:rsidR="00E86006">
        <w:rPr>
          <w:color w:val="000000" w:themeColor="text1"/>
        </w:rPr>
        <w:t>utilize information technology for improving communication</w:t>
      </w:r>
      <w:r w:rsidRPr="00EA50E8">
        <w:rPr>
          <w:color w:val="000000" w:themeColor="text1"/>
        </w:rPr>
        <w:t>.</w:t>
      </w:r>
    </w:p>
    <w:p w:rsidR="00E86006" w:rsidRPr="00EA50E8" w:rsidP="003B486F" w14:paraId="49CAEDE7" w14:textId="7F1E7E4C">
      <w:pPr>
        <w:pStyle w:val="ListContinue"/>
        <w:ind w:left="360"/>
        <w:rPr>
          <w:color w:val="000000" w:themeColor="text1"/>
        </w:rPr>
      </w:pPr>
      <w:r w:rsidRPr="00EA50E8">
        <w:rPr>
          <w:color w:val="000000" w:themeColor="text1"/>
        </w:rPr>
        <w:t>First,</w:t>
      </w:r>
      <w:r w:rsidRPr="00EA50E8" w:rsidR="00E014D0">
        <w:rPr>
          <w:color w:val="000000" w:themeColor="text1"/>
        </w:rPr>
        <w:t xml:space="preserve"> </w:t>
      </w:r>
      <w:r w:rsidRPr="00EA50E8" w:rsidR="0043098A">
        <w:rPr>
          <w:color w:val="000000" w:themeColor="text1"/>
        </w:rPr>
        <w:t>CMS creates</w:t>
      </w:r>
      <w:r w:rsidRPr="00EA50E8">
        <w:rPr>
          <w:color w:val="000000" w:themeColor="text1"/>
        </w:rPr>
        <w:t xml:space="preserve"> </w:t>
      </w:r>
      <w:r w:rsidRPr="00EA50E8" w:rsidR="0043098A">
        <w:rPr>
          <w:color w:val="000000" w:themeColor="text1"/>
        </w:rPr>
        <w:t>data</w:t>
      </w:r>
      <w:r w:rsidRPr="00EA50E8">
        <w:rPr>
          <w:color w:val="000000" w:themeColor="text1"/>
        </w:rPr>
        <w:t xml:space="preserve"> collection </w:t>
      </w:r>
      <w:r w:rsidRPr="00EA50E8" w:rsidR="0043098A">
        <w:rPr>
          <w:color w:val="000000" w:themeColor="text1"/>
        </w:rPr>
        <w:t>specifications</w:t>
      </w:r>
      <w:r w:rsidRPr="00EA50E8" w:rsidR="00D32EB3">
        <w:rPr>
          <w:color w:val="000000" w:themeColor="text1"/>
        </w:rPr>
        <w:t xml:space="preserve"> for IRF </w:t>
      </w:r>
      <w:r w:rsidRPr="00EA50E8" w:rsidR="006E6BE6">
        <w:rPr>
          <w:color w:val="000000" w:themeColor="text1"/>
        </w:rPr>
        <w:t>electronic health record (</w:t>
      </w:r>
      <w:r w:rsidRPr="00EA50E8" w:rsidR="00262799">
        <w:rPr>
          <w:color w:val="000000" w:themeColor="text1"/>
        </w:rPr>
        <w:t>EHR</w:t>
      </w:r>
      <w:r w:rsidRPr="00EA50E8" w:rsidR="006E6BE6">
        <w:rPr>
          <w:color w:val="000000" w:themeColor="text1"/>
        </w:rPr>
        <w:t>)</w:t>
      </w:r>
      <w:r w:rsidRPr="00EA50E8" w:rsidR="00D32EB3">
        <w:rPr>
          <w:color w:val="000000" w:themeColor="text1"/>
        </w:rPr>
        <w:t xml:space="preserve"> software</w:t>
      </w:r>
      <w:r w:rsidRPr="00EA50E8" w:rsidR="0043098A">
        <w:rPr>
          <w:color w:val="000000" w:themeColor="text1"/>
        </w:rPr>
        <w:t xml:space="preserve"> </w:t>
      </w:r>
      <w:r w:rsidRPr="00EA50E8">
        <w:rPr>
          <w:color w:val="000000" w:themeColor="text1"/>
        </w:rPr>
        <w:t xml:space="preserve">with </w:t>
      </w:r>
      <w:r w:rsidRPr="00EA50E8" w:rsidR="005E13DC">
        <w:rPr>
          <w:color w:val="000000" w:themeColor="text1"/>
        </w:rPr>
        <w:t xml:space="preserve">‘skip’ patterns to ensure the </w:t>
      </w:r>
      <w:r w:rsidRPr="00EA50E8" w:rsidR="003C1E23">
        <w:rPr>
          <w:color w:val="000000" w:themeColor="text1"/>
        </w:rPr>
        <w:t xml:space="preserve">IRF-PAI </w:t>
      </w:r>
      <w:r w:rsidRPr="00EA50E8" w:rsidR="005E13DC">
        <w:rPr>
          <w:color w:val="000000" w:themeColor="text1"/>
        </w:rPr>
        <w:t>is limited to the minimum</w:t>
      </w:r>
      <w:r w:rsidRPr="00EA50E8" w:rsidR="0043098A">
        <w:rPr>
          <w:color w:val="000000" w:themeColor="text1"/>
        </w:rPr>
        <w:t xml:space="preserve"> data</w:t>
      </w:r>
      <w:r w:rsidRPr="00EA50E8" w:rsidR="005E13DC">
        <w:rPr>
          <w:color w:val="000000" w:themeColor="text1"/>
        </w:rPr>
        <w:t xml:space="preserve"> required</w:t>
      </w:r>
      <w:r w:rsidRPr="00EA50E8">
        <w:rPr>
          <w:color w:val="000000" w:themeColor="text1"/>
        </w:rPr>
        <w:t xml:space="preserve"> to meet</w:t>
      </w:r>
      <w:r w:rsidRPr="00EA50E8" w:rsidR="00E014D0">
        <w:rPr>
          <w:color w:val="000000" w:themeColor="text1"/>
        </w:rPr>
        <w:t xml:space="preserve"> </w:t>
      </w:r>
      <w:r w:rsidRPr="00EA50E8">
        <w:rPr>
          <w:color w:val="000000" w:themeColor="text1"/>
        </w:rPr>
        <w:t>quality reporting requirements and to calculate IRF payment</w:t>
      </w:r>
      <w:r w:rsidRPr="00EA50E8" w:rsidR="0043098A">
        <w:rPr>
          <w:color w:val="000000" w:themeColor="text1"/>
        </w:rPr>
        <w:t>.  These specifications are available free of charge to all IRFs and their technology partners</w:t>
      </w:r>
      <w:r w:rsidRPr="00EA50E8" w:rsidR="00962C85">
        <w:rPr>
          <w:color w:val="000000" w:themeColor="text1"/>
        </w:rPr>
        <w:t xml:space="preserve">. </w:t>
      </w:r>
      <w:r w:rsidRPr="00EA50E8">
        <w:rPr>
          <w:color w:val="000000" w:themeColor="text1"/>
        </w:rPr>
        <w:t>Further, t</w:t>
      </w:r>
      <w:r w:rsidRPr="00EA50E8" w:rsidR="005E13DC">
        <w:rPr>
          <w:color w:val="000000" w:themeColor="text1"/>
        </w:rPr>
        <w:t xml:space="preserve">hese minimum </w:t>
      </w:r>
      <w:r w:rsidRPr="00EA50E8" w:rsidR="003C1E23">
        <w:rPr>
          <w:color w:val="000000" w:themeColor="text1"/>
        </w:rPr>
        <w:t xml:space="preserve">requirements </w:t>
      </w:r>
      <w:r w:rsidRPr="00EA50E8" w:rsidR="005E13DC">
        <w:rPr>
          <w:color w:val="000000" w:themeColor="text1"/>
        </w:rPr>
        <w:t xml:space="preserve">are standardized for all users of the </w:t>
      </w:r>
      <w:r w:rsidRPr="00EA50E8">
        <w:rPr>
          <w:color w:val="000000" w:themeColor="text1"/>
        </w:rPr>
        <w:t xml:space="preserve">IRF-PAI </w:t>
      </w:r>
      <w:r w:rsidRPr="00EA50E8" w:rsidR="003C1E23">
        <w:rPr>
          <w:color w:val="000000" w:themeColor="text1"/>
        </w:rPr>
        <w:t>assessment</w:t>
      </w:r>
      <w:r w:rsidRPr="00EA50E8" w:rsidR="005E13DC">
        <w:rPr>
          <w:color w:val="000000" w:themeColor="text1"/>
        </w:rPr>
        <w:t xml:space="preserve"> forms. </w:t>
      </w:r>
      <w:r w:rsidRPr="00EA50E8" w:rsidR="0043098A">
        <w:rPr>
          <w:color w:val="000000" w:themeColor="text1"/>
        </w:rPr>
        <w:t xml:space="preserve"> CMS also provides flexibility to IRFs by giving them the option of recording the required data on a printed form and later transferring the data to electronic format or they can choose to directly enter the required data electronically to the </w:t>
      </w:r>
      <w:bookmarkStart w:id="23" w:name="_Hlk130391248"/>
      <w:r w:rsidRPr="00EA50E8" w:rsidR="0043098A">
        <w:rPr>
          <w:color w:val="000000" w:themeColor="text1"/>
        </w:rPr>
        <w:t>CMS designated submission system</w:t>
      </w:r>
      <w:bookmarkEnd w:id="23"/>
      <w:r w:rsidRPr="00EA50E8" w:rsidR="0043098A">
        <w:rPr>
          <w:color w:val="000000" w:themeColor="text1"/>
        </w:rPr>
        <w:t xml:space="preserve">, which is currently used by Inpatient Rehabilitation Facilities (IRFs), </w:t>
      </w:r>
      <w:r w:rsidRPr="00EA50E8" w:rsidR="00262799">
        <w:rPr>
          <w:color w:val="000000" w:themeColor="text1"/>
        </w:rPr>
        <w:t xml:space="preserve">Skilled Nursing Facilities (SNFs), </w:t>
      </w:r>
      <w:r w:rsidRPr="00EA50E8" w:rsidR="0043098A">
        <w:rPr>
          <w:color w:val="000000" w:themeColor="text1"/>
        </w:rPr>
        <w:t>Long-Term Care Hospitals</w:t>
      </w:r>
      <w:r w:rsidRPr="00EA50E8" w:rsidR="00225A0E">
        <w:rPr>
          <w:color w:val="000000" w:themeColor="text1"/>
        </w:rPr>
        <w:t xml:space="preserve"> (LTCHs)</w:t>
      </w:r>
      <w:r w:rsidRPr="00EA50E8" w:rsidR="0043098A">
        <w:rPr>
          <w:color w:val="000000" w:themeColor="text1"/>
        </w:rPr>
        <w:t>, and Home Health Agencies (HHAs).</w:t>
      </w:r>
    </w:p>
    <w:p w:rsidR="003B486F" w:rsidRPr="00EA50E8" w:rsidP="003B486F" w14:paraId="1326476B" w14:textId="44200245">
      <w:pPr>
        <w:pStyle w:val="ListContinue"/>
        <w:ind w:left="360"/>
        <w:rPr>
          <w:color w:val="000000" w:themeColor="text1"/>
        </w:rPr>
      </w:pPr>
      <w:r w:rsidRPr="00EA50E8">
        <w:rPr>
          <w:color w:val="000000" w:themeColor="text1"/>
        </w:rPr>
        <w:t xml:space="preserve">Second, </w:t>
      </w:r>
      <w:r w:rsidRPr="00EA50E8" w:rsidR="0043098A">
        <w:rPr>
          <w:color w:val="000000" w:themeColor="text1"/>
        </w:rPr>
        <w:t>CMS has minimized costly documentation requirements by allowing</w:t>
      </w:r>
      <w:r w:rsidRPr="00EA50E8" w:rsidR="0043098A">
        <w:rPr>
          <w:color w:val="000000" w:themeColor="text1"/>
        </w:rPr>
        <w:t xml:space="preserve"> </w:t>
      </w:r>
      <w:r w:rsidRPr="00EA50E8" w:rsidR="00DB58E3">
        <w:rPr>
          <w:color w:val="000000" w:themeColor="text1"/>
        </w:rPr>
        <w:t>IRF</w:t>
      </w:r>
      <w:r w:rsidRPr="00EA50E8" w:rsidR="0043098A">
        <w:rPr>
          <w:color w:val="000000" w:themeColor="text1"/>
        </w:rPr>
        <w:t xml:space="preserve">s to </w:t>
      </w:r>
      <w:r w:rsidRPr="00EA50E8" w:rsidR="00DB58E3">
        <w:rPr>
          <w:color w:val="000000" w:themeColor="text1"/>
        </w:rPr>
        <w:t xml:space="preserve">electronically self-attest to the accuracy of the </w:t>
      </w:r>
      <w:r w:rsidRPr="00EA50E8" w:rsidR="0043098A">
        <w:rPr>
          <w:color w:val="000000" w:themeColor="text1"/>
        </w:rPr>
        <w:t>data</w:t>
      </w:r>
      <w:r w:rsidRPr="00EA50E8" w:rsidR="00DB58E3">
        <w:rPr>
          <w:color w:val="000000" w:themeColor="text1"/>
        </w:rPr>
        <w:t xml:space="preserve"> in the </w:t>
      </w:r>
      <w:r w:rsidRPr="00EA50E8" w:rsidR="003C1E23">
        <w:rPr>
          <w:color w:val="000000" w:themeColor="text1"/>
        </w:rPr>
        <w:t>IRF-PAI</w:t>
      </w:r>
      <w:r w:rsidRPr="00EA50E8" w:rsidR="0043098A">
        <w:rPr>
          <w:color w:val="000000" w:themeColor="text1"/>
        </w:rPr>
        <w:t xml:space="preserve"> prior to transmitting the IRF-PAI, </w:t>
      </w:r>
      <w:r w:rsidRPr="00EA50E8" w:rsidR="00DB58E3">
        <w:rPr>
          <w:color w:val="000000" w:themeColor="text1"/>
        </w:rPr>
        <w:t>eliminating the need for supportive documentation to be submitted with</w:t>
      </w:r>
      <w:r w:rsidRPr="00EA50E8">
        <w:rPr>
          <w:color w:val="000000" w:themeColor="text1"/>
        </w:rPr>
        <w:t xml:space="preserve"> the IRF-PAI</w:t>
      </w:r>
      <w:r w:rsidRPr="00EA50E8" w:rsidR="00962C85">
        <w:rPr>
          <w:color w:val="000000" w:themeColor="text1"/>
        </w:rPr>
        <w:t xml:space="preserve">. </w:t>
      </w:r>
      <w:r w:rsidRPr="00EA50E8" w:rsidR="0043098A">
        <w:rPr>
          <w:color w:val="000000" w:themeColor="text1"/>
        </w:rPr>
        <w:t xml:space="preserve"> CMS</w:t>
      </w:r>
      <w:r w:rsidRPr="00EA50E8">
        <w:rPr>
          <w:color w:val="000000" w:themeColor="text1"/>
        </w:rPr>
        <w:t xml:space="preserve"> </w:t>
      </w:r>
      <w:r w:rsidRPr="00EA50E8" w:rsidR="0043098A">
        <w:rPr>
          <w:color w:val="000000" w:themeColor="text1"/>
        </w:rPr>
        <w:t xml:space="preserve">has also </w:t>
      </w:r>
      <w:r w:rsidRPr="00EA50E8">
        <w:rPr>
          <w:color w:val="000000" w:themeColor="text1"/>
        </w:rPr>
        <w:t xml:space="preserve">developed customized software that allows IRFs to encode, store and transmit the IRF-PAI data. The software is available free of charge on the CMS Website at </w:t>
      </w:r>
      <w:hyperlink r:id="rId10" w:tooltip="Inpatient Rehabilitation Facility PPS" w:history="1">
        <w:r w:rsidRPr="00EA50E8" w:rsidR="001078CD">
          <w:rPr>
            <w:rStyle w:val="Hyperlink"/>
          </w:rPr>
          <w:t>http://www.cms.gov/Medicare/Medicare-Fee-for-Service-Payment/InpatientRehabFacPPS/index.html?redirect=/InpatientRehabFacPPS/06_Software.asp</w:t>
        </w:r>
      </w:hyperlink>
      <w:r w:rsidRPr="00EA50E8">
        <w:rPr>
          <w:color w:val="000000" w:themeColor="text1"/>
        </w:rPr>
        <w:t xml:space="preserve">. </w:t>
      </w:r>
      <w:r w:rsidRPr="00EA50E8" w:rsidR="00DB58E3">
        <w:rPr>
          <w:color w:val="000000" w:themeColor="text1"/>
        </w:rPr>
        <w:t xml:space="preserve">Additionally, the software delivers real-time warnings to the IRF when the </w:t>
      </w:r>
      <w:r w:rsidRPr="00EA50E8" w:rsidR="0043098A">
        <w:rPr>
          <w:color w:val="000000" w:themeColor="text1"/>
        </w:rPr>
        <w:t>data</w:t>
      </w:r>
      <w:r w:rsidRPr="00EA50E8" w:rsidR="00DB58E3">
        <w:rPr>
          <w:color w:val="000000" w:themeColor="text1"/>
        </w:rPr>
        <w:t xml:space="preserve"> is incomplete. IRFs receive warnings when the </w:t>
      </w:r>
      <w:r w:rsidRPr="00EA50E8" w:rsidR="0043098A">
        <w:rPr>
          <w:color w:val="000000" w:themeColor="text1"/>
        </w:rPr>
        <w:t>data</w:t>
      </w:r>
      <w:r w:rsidRPr="00EA50E8" w:rsidR="00DB58E3">
        <w:rPr>
          <w:color w:val="000000" w:themeColor="text1"/>
        </w:rPr>
        <w:t xml:space="preserve"> is accepted by the system but may be incomplete for purposes of quality reporting submission</w:t>
      </w:r>
      <w:r w:rsidRPr="00EA50E8" w:rsidR="00962C85">
        <w:rPr>
          <w:color w:val="000000" w:themeColor="text1"/>
        </w:rPr>
        <w:t xml:space="preserve">. </w:t>
      </w:r>
      <w:r w:rsidRPr="00EA50E8" w:rsidR="00DB58E3">
        <w:rPr>
          <w:color w:val="000000" w:themeColor="text1"/>
        </w:rPr>
        <w:t xml:space="preserve">IRFs receive fatal warnings when the </w:t>
      </w:r>
      <w:r w:rsidRPr="00EA50E8" w:rsidR="0043098A">
        <w:rPr>
          <w:color w:val="000000" w:themeColor="text1"/>
        </w:rPr>
        <w:t>data</w:t>
      </w:r>
      <w:r w:rsidRPr="00EA50E8" w:rsidR="00DB58E3">
        <w:rPr>
          <w:color w:val="000000" w:themeColor="text1"/>
        </w:rPr>
        <w:t xml:space="preserve"> collection form is not accepted by the system for any reason</w:t>
      </w:r>
      <w:r w:rsidRPr="00EA50E8" w:rsidR="00962C85">
        <w:rPr>
          <w:color w:val="000000" w:themeColor="text1"/>
        </w:rPr>
        <w:t xml:space="preserve">. </w:t>
      </w:r>
    </w:p>
    <w:p w:rsidR="00D27AAC" w:rsidRPr="00EA50E8" w:rsidP="003B486F" w14:paraId="1C407945" w14:textId="391B5B9B">
      <w:pPr>
        <w:pStyle w:val="ListContinue"/>
        <w:ind w:left="360"/>
        <w:rPr>
          <w:color w:val="000000" w:themeColor="text1"/>
        </w:rPr>
      </w:pPr>
      <w:r w:rsidRPr="00EA50E8">
        <w:rPr>
          <w:color w:val="000000" w:themeColor="text1"/>
        </w:rPr>
        <w:t xml:space="preserve">Third, </w:t>
      </w:r>
      <w:r w:rsidRPr="00EA50E8" w:rsidR="00B43542">
        <w:rPr>
          <w:color w:val="000000" w:themeColor="text1"/>
        </w:rPr>
        <w:t>we</w:t>
      </w:r>
      <w:r w:rsidRPr="00EA50E8" w:rsidR="003B486F">
        <w:rPr>
          <w:color w:val="000000" w:themeColor="text1"/>
        </w:rPr>
        <w:t xml:space="preserve"> provide customer support for software and transmission problems encountered by the providers. </w:t>
      </w:r>
      <w:r w:rsidRPr="00EA50E8" w:rsidR="00DB58E3">
        <w:rPr>
          <w:color w:val="000000" w:themeColor="text1"/>
        </w:rPr>
        <w:t>IRFs have the ability to self-select their preferred method of communication</w:t>
      </w:r>
      <w:r w:rsidRPr="00EA50E8" w:rsidR="00962C85">
        <w:rPr>
          <w:color w:val="000000" w:themeColor="text1"/>
        </w:rPr>
        <w:t xml:space="preserve">. </w:t>
      </w:r>
      <w:r w:rsidRPr="00EA50E8" w:rsidR="00DB58E3">
        <w:rPr>
          <w:color w:val="000000" w:themeColor="text1"/>
        </w:rPr>
        <w:t xml:space="preserve">For example, </w:t>
      </w:r>
      <w:r w:rsidRPr="00EA50E8" w:rsidR="00B43542">
        <w:rPr>
          <w:color w:val="000000" w:themeColor="text1"/>
        </w:rPr>
        <w:t>we</w:t>
      </w:r>
      <w:r w:rsidRPr="00EA50E8" w:rsidR="00DB58E3">
        <w:rPr>
          <w:color w:val="000000" w:themeColor="text1"/>
        </w:rPr>
        <w:t xml:space="preserve"> ha</w:t>
      </w:r>
      <w:r w:rsidRPr="00EA50E8" w:rsidR="00B43542">
        <w:rPr>
          <w:color w:val="000000" w:themeColor="text1"/>
        </w:rPr>
        <w:t>ve</w:t>
      </w:r>
      <w:r w:rsidRPr="00EA50E8" w:rsidR="00DB58E3">
        <w:rPr>
          <w:color w:val="000000" w:themeColor="text1"/>
        </w:rPr>
        <w:t xml:space="preserve"> dedicated help desks to respond to questions about issues IRFs may encounter with the software</w:t>
      </w:r>
      <w:r w:rsidRPr="00EA50E8" w:rsidR="00962C85">
        <w:rPr>
          <w:color w:val="000000" w:themeColor="text1"/>
        </w:rPr>
        <w:t xml:space="preserve">. </w:t>
      </w:r>
      <w:r w:rsidRPr="00EA50E8" w:rsidR="00B43542">
        <w:rPr>
          <w:color w:val="000000" w:themeColor="text1"/>
        </w:rPr>
        <w:t xml:space="preserve">We also </w:t>
      </w:r>
      <w:r w:rsidRPr="00EA50E8" w:rsidR="00DB58E3">
        <w:rPr>
          <w:color w:val="000000" w:themeColor="text1"/>
        </w:rPr>
        <w:t>offer IRFs the ability to sign up for listservs that send out timely and important new information, reminders, and alerts via electronic mail related to the software</w:t>
      </w:r>
      <w:r w:rsidRPr="00EA50E8" w:rsidR="00962C85">
        <w:rPr>
          <w:color w:val="000000" w:themeColor="text1"/>
        </w:rPr>
        <w:t xml:space="preserve">. </w:t>
      </w:r>
      <w:r w:rsidRPr="00EA50E8" w:rsidR="0043098A">
        <w:rPr>
          <w:color w:val="000000" w:themeColor="text1"/>
        </w:rPr>
        <w:t xml:space="preserve">CMS has also </w:t>
      </w:r>
      <w:r w:rsidRPr="00EA50E8" w:rsidR="003B486F">
        <w:rPr>
          <w:color w:val="000000" w:themeColor="text1"/>
        </w:rPr>
        <w:t xml:space="preserve">established a website to assist providers with questions regarding the IRF-PAI, at </w:t>
      </w:r>
      <w:hyperlink r:id="rId11" w:tooltip="IRF-PAI" w:history="1">
        <w:r w:rsidRPr="00EA50E8" w:rsidR="003B486F">
          <w:rPr>
            <w:rStyle w:val="Hyperlink"/>
            <w:color w:val="000000" w:themeColor="text1"/>
          </w:rPr>
          <w:t>https://www.cms.gov/Medicare/Medicare-Fee-for-Service-Payment/InpatientRehabFacPPS/IRFPAI.html</w:t>
        </w:r>
      </w:hyperlink>
      <w:r w:rsidRPr="00EA50E8" w:rsidR="003B486F">
        <w:rPr>
          <w:color w:val="000000" w:themeColor="text1"/>
        </w:rPr>
        <w:t xml:space="preserve">. </w:t>
      </w:r>
      <w:r w:rsidRPr="00EA50E8" w:rsidR="00DB58E3">
        <w:rPr>
          <w:color w:val="000000" w:themeColor="text1"/>
        </w:rPr>
        <w:t>Th</w:t>
      </w:r>
      <w:r w:rsidRPr="00EA50E8">
        <w:rPr>
          <w:color w:val="000000" w:themeColor="text1"/>
        </w:rPr>
        <w:t>is</w:t>
      </w:r>
      <w:r w:rsidRPr="00EA50E8" w:rsidR="00DB58E3">
        <w:rPr>
          <w:color w:val="000000" w:themeColor="text1"/>
        </w:rPr>
        <w:t xml:space="preserve"> website </w:t>
      </w:r>
      <w:r w:rsidRPr="00EA50E8">
        <w:rPr>
          <w:color w:val="000000" w:themeColor="text1"/>
        </w:rPr>
        <w:t xml:space="preserve">publishes </w:t>
      </w:r>
      <w:r w:rsidRPr="00EA50E8">
        <w:rPr>
          <w:color w:val="000000" w:themeColor="text1"/>
        </w:rPr>
        <w:t xml:space="preserve">new information related to the </w:t>
      </w:r>
      <w:r w:rsidRPr="00EA50E8" w:rsidR="003C1E23">
        <w:rPr>
          <w:color w:val="000000" w:themeColor="text1"/>
        </w:rPr>
        <w:t>IRF-</w:t>
      </w:r>
      <w:r w:rsidRPr="00EA50E8" w:rsidR="003C1E23">
        <w:rPr>
          <w:color w:val="000000" w:themeColor="text1"/>
        </w:rPr>
        <w:t>PAI,</w:t>
      </w:r>
      <w:r w:rsidRPr="00EA50E8">
        <w:rPr>
          <w:color w:val="000000" w:themeColor="text1"/>
        </w:rPr>
        <w:t xml:space="preserve"> hous</w:t>
      </w:r>
      <w:r w:rsidRPr="00EA50E8">
        <w:rPr>
          <w:color w:val="000000" w:themeColor="text1"/>
        </w:rPr>
        <w:t>es</w:t>
      </w:r>
      <w:r w:rsidRPr="00EA50E8">
        <w:rPr>
          <w:color w:val="000000" w:themeColor="text1"/>
        </w:rPr>
        <w:t xml:space="preserve"> archived versions of the </w:t>
      </w:r>
      <w:r w:rsidRPr="00EA50E8">
        <w:rPr>
          <w:color w:val="000000" w:themeColor="text1"/>
        </w:rPr>
        <w:t>tool</w:t>
      </w:r>
      <w:r w:rsidRPr="00EA50E8" w:rsidR="003C1E23">
        <w:rPr>
          <w:color w:val="000000" w:themeColor="text1"/>
        </w:rPr>
        <w:t>,</w:t>
      </w:r>
      <w:r w:rsidRPr="00EA50E8">
        <w:rPr>
          <w:color w:val="000000" w:themeColor="text1"/>
        </w:rPr>
        <w:t xml:space="preserve"> and</w:t>
      </w:r>
      <w:r w:rsidRPr="00EA50E8">
        <w:rPr>
          <w:color w:val="000000" w:themeColor="text1"/>
        </w:rPr>
        <w:t xml:space="preserve"> </w:t>
      </w:r>
      <w:r w:rsidRPr="00EA50E8">
        <w:rPr>
          <w:color w:val="000000" w:themeColor="text1"/>
        </w:rPr>
        <w:t>is available</w:t>
      </w:r>
      <w:r w:rsidRPr="00EA50E8" w:rsidR="0043098A">
        <w:rPr>
          <w:color w:val="000000" w:themeColor="text1"/>
        </w:rPr>
        <w:t xml:space="preserve"> at all times</w:t>
      </w:r>
      <w:r w:rsidRPr="00EA50E8" w:rsidR="0043098A">
        <w:rPr>
          <w:color w:val="000000" w:themeColor="text1"/>
        </w:rPr>
        <w:t xml:space="preserve"> to IRFs</w:t>
      </w:r>
      <w:r w:rsidRPr="00EA50E8" w:rsidR="00962C85">
        <w:rPr>
          <w:color w:val="000000" w:themeColor="text1"/>
        </w:rPr>
        <w:t xml:space="preserve">. </w:t>
      </w:r>
      <w:r w:rsidRPr="00EA50E8">
        <w:rPr>
          <w:color w:val="000000" w:themeColor="text1"/>
        </w:rPr>
        <w:t xml:space="preserve"> </w:t>
      </w:r>
    </w:p>
    <w:p w:rsidR="003B486F" w:rsidRPr="00EA50E8" w:rsidP="003B486F" w14:paraId="7B924285" w14:textId="330AFA9E">
      <w:pPr>
        <w:pStyle w:val="Heading2"/>
      </w:pPr>
      <w:bookmarkStart w:id="24" w:name="_Toc89079481"/>
      <w:bookmarkStart w:id="25" w:name="_Toc94773734"/>
      <w:bookmarkStart w:id="26" w:name="_Toc195704898"/>
      <w:r w:rsidRPr="00EA50E8">
        <w:t>Duplication of Efforts</w:t>
      </w:r>
      <w:bookmarkEnd w:id="24"/>
      <w:bookmarkEnd w:id="25"/>
      <w:bookmarkEnd w:id="26"/>
    </w:p>
    <w:p w:rsidR="003B486F" w:rsidRPr="00EA50E8" w:rsidP="006F35AE" w14:paraId="350EE3E0" w14:textId="4EEAE4A8">
      <w:pPr>
        <w:pStyle w:val="ListContinue"/>
        <w:spacing w:after="0"/>
        <w:ind w:left="360"/>
        <w:rPr>
          <w:color w:val="000000" w:themeColor="text1"/>
        </w:rPr>
      </w:pPr>
      <w:r w:rsidRPr="00EA50E8">
        <w:rPr>
          <w:color w:val="000000" w:themeColor="text1"/>
        </w:rPr>
        <w:t xml:space="preserve">The data required for reimbursement and monitoring the effects of an </w:t>
      </w:r>
      <w:r w:rsidRPr="00EA50E8" w:rsidR="00426100">
        <w:rPr>
          <w:color w:val="000000" w:themeColor="text1"/>
        </w:rPr>
        <w:t xml:space="preserve">IRF PPS </w:t>
      </w:r>
      <w:r w:rsidRPr="00EA50E8">
        <w:rPr>
          <w:color w:val="000000" w:themeColor="text1"/>
        </w:rPr>
        <w:t>on patient care and outcomes are not available from any other source.</w:t>
      </w:r>
    </w:p>
    <w:p w:rsidR="003B486F" w:rsidRPr="00EA50E8" w:rsidP="006F35AE" w14:paraId="1748D016" w14:textId="1E2DB92B">
      <w:pPr>
        <w:pStyle w:val="ListContinue"/>
        <w:spacing w:after="0"/>
        <w:ind w:left="360"/>
        <w:rPr>
          <w:color w:val="000000" w:themeColor="text1"/>
        </w:rPr>
      </w:pPr>
      <w:r w:rsidRPr="00EA50E8">
        <w:rPr>
          <w:color w:val="000000" w:themeColor="text1"/>
        </w:rPr>
        <w:t xml:space="preserve">This </w:t>
      </w:r>
      <w:r w:rsidRPr="00EA50E8" w:rsidR="0043098A">
        <w:rPr>
          <w:color w:val="000000" w:themeColor="text1"/>
        </w:rPr>
        <w:t>data</w:t>
      </w:r>
      <w:r w:rsidRPr="00EA50E8">
        <w:rPr>
          <w:color w:val="000000" w:themeColor="text1"/>
        </w:rPr>
        <w:t xml:space="preserve"> collection for the QRP does not duplicate any other effort and the standardized </w:t>
      </w:r>
      <w:r w:rsidRPr="00EA50E8" w:rsidR="0043098A">
        <w:rPr>
          <w:color w:val="000000" w:themeColor="text1"/>
        </w:rPr>
        <w:t>data</w:t>
      </w:r>
      <w:r w:rsidRPr="00EA50E8">
        <w:rPr>
          <w:color w:val="000000" w:themeColor="text1"/>
        </w:rPr>
        <w:t xml:space="preserve"> cannot be obtained from any other source. There are no other data sets that will provide comparable information on patients admitted to IRFs.</w:t>
      </w:r>
      <w:bookmarkStart w:id="27" w:name="_Toc298168186"/>
    </w:p>
    <w:p w:rsidR="003B486F" w:rsidRPr="00EA50E8" w:rsidP="003B486F" w14:paraId="5F6388F3" w14:textId="0E6BDA66">
      <w:pPr>
        <w:pStyle w:val="Heading2"/>
      </w:pPr>
      <w:bookmarkStart w:id="28" w:name="_Toc89079482"/>
      <w:bookmarkStart w:id="29" w:name="_Toc94773735"/>
      <w:bookmarkStart w:id="30" w:name="_Toc195704899"/>
      <w:r w:rsidRPr="00EA50E8">
        <w:t>Small Businesses</w:t>
      </w:r>
      <w:bookmarkEnd w:id="27"/>
      <w:bookmarkEnd w:id="28"/>
      <w:bookmarkEnd w:id="29"/>
      <w:bookmarkEnd w:id="30"/>
    </w:p>
    <w:p w:rsidR="003B486F" w:rsidRPr="00EA50E8" w:rsidP="003B486F" w14:paraId="0889AB85" w14:textId="0D05EBDB">
      <w:pPr>
        <w:pStyle w:val="ListContinue"/>
        <w:ind w:left="360"/>
        <w:rPr>
          <w:color w:val="000000" w:themeColor="text1"/>
        </w:rPr>
      </w:pPr>
      <w:r w:rsidRPr="00EA50E8">
        <w:rPr>
          <w:color w:val="000000" w:themeColor="text1"/>
        </w:rPr>
        <w:t>As part of our PRA analysis for an update of our existing approval, we again considered whether the change impacts a significant number of small entities. Out of a total of 1,</w:t>
      </w:r>
      <w:r w:rsidRPr="00EA50E8" w:rsidR="0097248B">
        <w:rPr>
          <w:color w:val="000000" w:themeColor="text1"/>
        </w:rPr>
        <w:t xml:space="preserve">166 </w:t>
      </w:r>
      <w:r w:rsidRPr="00EA50E8">
        <w:rPr>
          <w:color w:val="000000" w:themeColor="text1"/>
        </w:rPr>
        <w:t>IRFs, only 1</w:t>
      </w:r>
      <w:r w:rsidRPr="00EA50E8" w:rsidR="00D34EFD">
        <w:rPr>
          <w:color w:val="000000" w:themeColor="text1"/>
        </w:rPr>
        <w:t>4</w:t>
      </w:r>
      <w:r w:rsidRPr="00EA50E8" w:rsidR="007D1348">
        <w:rPr>
          <w:color w:val="000000" w:themeColor="text1"/>
        </w:rPr>
        <w:t>5</w:t>
      </w:r>
      <w:r w:rsidRPr="00EA50E8">
        <w:rPr>
          <w:color w:val="000000" w:themeColor="text1"/>
        </w:rPr>
        <w:t xml:space="preserve"> or 1</w:t>
      </w:r>
      <w:r w:rsidRPr="00EA50E8" w:rsidR="00D34EFD">
        <w:rPr>
          <w:color w:val="000000" w:themeColor="text1"/>
        </w:rPr>
        <w:t>2</w:t>
      </w:r>
      <w:r w:rsidRPr="00EA50E8">
        <w:rPr>
          <w:color w:val="000000" w:themeColor="text1"/>
        </w:rPr>
        <w:t>% are rural IRFs, 1</w:t>
      </w:r>
      <w:r w:rsidRPr="00EA50E8" w:rsidR="00D34EFD">
        <w:rPr>
          <w:color w:val="000000" w:themeColor="text1"/>
        </w:rPr>
        <w:t>3</w:t>
      </w:r>
      <w:r w:rsidRPr="00EA50E8">
        <w:rPr>
          <w:color w:val="000000" w:themeColor="text1"/>
        </w:rPr>
        <w:t>% of which are government-owned.</w:t>
      </w:r>
      <w:r>
        <w:rPr>
          <w:rStyle w:val="FootnoteReference"/>
        </w:rPr>
        <w:footnoteReference w:id="5"/>
      </w:r>
      <w:r w:rsidRPr="00EA50E8">
        <w:rPr>
          <w:color w:val="000000" w:themeColor="text1"/>
        </w:rPr>
        <w:t xml:space="preserve"> The average number of assessments completed </w:t>
      </w:r>
      <w:r w:rsidRPr="00EA50E8" w:rsidR="0043098A">
        <w:rPr>
          <w:color w:val="000000" w:themeColor="text1"/>
        </w:rPr>
        <w:t xml:space="preserve">annually </w:t>
      </w:r>
      <w:r w:rsidRPr="00EA50E8">
        <w:rPr>
          <w:color w:val="000000" w:themeColor="text1"/>
        </w:rPr>
        <w:t xml:space="preserve">is </w:t>
      </w:r>
      <w:r w:rsidRPr="00EA50E8" w:rsidR="00290345">
        <w:rPr>
          <w:color w:val="000000" w:themeColor="text1"/>
        </w:rPr>
        <w:t xml:space="preserve">534 </w:t>
      </w:r>
      <w:r w:rsidRPr="00EA50E8" w:rsidR="0043098A">
        <w:rPr>
          <w:color w:val="000000" w:themeColor="text1"/>
        </w:rPr>
        <w:t xml:space="preserve">per </w:t>
      </w:r>
      <w:r w:rsidRPr="00EA50E8" w:rsidR="0043098A">
        <w:rPr>
          <w:color w:val="000000" w:themeColor="text1"/>
        </w:rPr>
        <w:t>IRF</w:t>
      </w:r>
      <w:r w:rsidRPr="00EA50E8">
        <w:rPr>
          <w:color w:val="000000" w:themeColor="text1"/>
        </w:rPr>
        <w:t>, and</w:t>
      </w:r>
      <w:r w:rsidRPr="00EA50E8">
        <w:rPr>
          <w:color w:val="000000" w:themeColor="text1"/>
        </w:rPr>
        <w:t xml:space="preserve"> is the same across all respondents based on the number of actual assessments completed by IRFs in </w:t>
      </w:r>
      <w:r w:rsidRPr="00EA50E8" w:rsidR="00B04419">
        <w:rPr>
          <w:color w:val="000000" w:themeColor="text1"/>
        </w:rPr>
        <w:t xml:space="preserve">fiscal </w:t>
      </w:r>
      <w:r w:rsidRPr="00EA50E8">
        <w:rPr>
          <w:color w:val="000000" w:themeColor="text1"/>
        </w:rPr>
        <w:t>year 202</w:t>
      </w:r>
      <w:r w:rsidRPr="00EA50E8" w:rsidR="00290345">
        <w:rPr>
          <w:color w:val="000000" w:themeColor="text1"/>
        </w:rPr>
        <w:t>4</w:t>
      </w:r>
      <w:r w:rsidRPr="00EA50E8" w:rsidR="00962C85">
        <w:rPr>
          <w:color w:val="000000" w:themeColor="text1"/>
        </w:rPr>
        <w:t xml:space="preserve">. </w:t>
      </w:r>
    </w:p>
    <w:p w:rsidR="003B486F" w:rsidRPr="00EA50E8" w:rsidP="004F1BD7" w14:paraId="2485CD9B" w14:textId="109934D9">
      <w:pPr>
        <w:pStyle w:val="ListContinue"/>
        <w:ind w:left="360"/>
        <w:rPr>
          <w:color w:val="000000" w:themeColor="text1"/>
        </w:rPr>
      </w:pPr>
      <w:r w:rsidRPr="00EA50E8">
        <w:rPr>
          <w:color w:val="000000" w:themeColor="text1"/>
        </w:rPr>
        <w:t>CMS requests authorization for IRFs to use the updated IRF-PAI</w:t>
      </w:r>
      <w:r w:rsidRPr="00EA50E8" w:rsidR="000A2EE6">
        <w:rPr>
          <w:color w:val="000000" w:themeColor="text1"/>
        </w:rPr>
        <w:t xml:space="preserve"> 4</w:t>
      </w:r>
      <w:r w:rsidRPr="00EA50E8" w:rsidR="00426100">
        <w:rPr>
          <w:color w:val="000000" w:themeColor="text1"/>
        </w:rPr>
        <w:t>.4</w:t>
      </w:r>
      <w:r w:rsidRPr="00EA50E8" w:rsidR="00D03F10">
        <w:rPr>
          <w:color w:val="000000" w:themeColor="text1"/>
        </w:rPr>
        <w:t xml:space="preserve"> </w:t>
      </w:r>
      <w:r w:rsidRPr="00EA50E8">
        <w:rPr>
          <w:color w:val="000000" w:themeColor="text1"/>
        </w:rPr>
        <w:t>for the submission of quality measure information</w:t>
      </w:r>
      <w:r w:rsidRPr="00EA50E8" w:rsidR="0043098A">
        <w:rPr>
          <w:color w:val="000000" w:themeColor="text1"/>
        </w:rPr>
        <w:t xml:space="preserve"> </w:t>
      </w:r>
      <w:r w:rsidRPr="00EA50E8" w:rsidR="00426100">
        <w:rPr>
          <w:color w:val="000000" w:themeColor="text1"/>
        </w:rPr>
        <w:t xml:space="preserve">proposed </w:t>
      </w:r>
      <w:r w:rsidRPr="00EA50E8" w:rsidR="0043098A">
        <w:rPr>
          <w:color w:val="000000" w:themeColor="text1"/>
        </w:rPr>
        <w:t>in the FY 202</w:t>
      </w:r>
      <w:r w:rsidRPr="00EA50E8" w:rsidR="00792F83">
        <w:rPr>
          <w:color w:val="000000" w:themeColor="text1"/>
        </w:rPr>
        <w:t>6</w:t>
      </w:r>
      <w:r w:rsidRPr="00EA50E8" w:rsidR="0043098A">
        <w:rPr>
          <w:color w:val="000000" w:themeColor="text1"/>
        </w:rPr>
        <w:t xml:space="preserve"> IRF PPS </w:t>
      </w:r>
      <w:r w:rsidRPr="00EA50E8" w:rsidR="00792F83">
        <w:rPr>
          <w:color w:val="000000" w:themeColor="text1"/>
        </w:rPr>
        <w:t xml:space="preserve">proposed </w:t>
      </w:r>
      <w:r w:rsidRPr="00EA50E8" w:rsidR="0043098A">
        <w:rPr>
          <w:color w:val="000000" w:themeColor="text1"/>
        </w:rPr>
        <w:t>rule</w:t>
      </w:r>
      <w:r w:rsidRPr="00EA50E8">
        <w:rPr>
          <w:color w:val="000000" w:themeColor="text1"/>
        </w:rPr>
        <w:t>. Provider participation in the submission of quality data is mandated by Section 3004 of the Affordable Care Act and Section 1899B(c)(2)(A) of the IMPACT Act. Small business providers viewing the data collection as a burden can elect not to participate. However, if an IRF does not submit the required quality data, this provider shall be subject to a 2% reduction in their payment update for the standard Federal rate for discharges from that IRF during that rate year.</w:t>
      </w:r>
    </w:p>
    <w:p w:rsidR="003B486F" w:rsidRPr="00EA50E8" w:rsidP="003B486F" w14:paraId="3C2D874E" w14:textId="78EC9E1E">
      <w:pPr>
        <w:pStyle w:val="Heading2"/>
      </w:pPr>
      <w:bookmarkStart w:id="31" w:name="_Toc89079483"/>
      <w:bookmarkStart w:id="32" w:name="_Toc94773736"/>
      <w:bookmarkStart w:id="33" w:name="_Toc195704900"/>
      <w:r w:rsidRPr="00EA50E8">
        <w:t>Less Frequent Collection</w:t>
      </w:r>
      <w:bookmarkEnd w:id="31"/>
      <w:bookmarkEnd w:id="32"/>
      <w:bookmarkEnd w:id="33"/>
    </w:p>
    <w:p w:rsidR="003B486F" w:rsidRPr="00EA50E8" w:rsidP="003B486F" w14:paraId="39AC8691" w14:textId="6F66F80D">
      <w:pPr>
        <w:pStyle w:val="ListContinue"/>
        <w:ind w:left="360"/>
        <w:rPr>
          <w:color w:val="000000" w:themeColor="text1"/>
        </w:rPr>
      </w:pPr>
      <w:r w:rsidRPr="00EA50E8">
        <w:rPr>
          <w:color w:val="000000" w:themeColor="text1"/>
        </w:rPr>
        <w:t xml:space="preserve">We need to collect the </w:t>
      </w:r>
      <w:r w:rsidRPr="00EA50E8" w:rsidR="0043098A">
        <w:rPr>
          <w:color w:val="000000" w:themeColor="text1"/>
        </w:rPr>
        <w:t>data</w:t>
      </w:r>
      <w:r w:rsidRPr="00EA50E8">
        <w:rPr>
          <w:color w:val="000000" w:themeColor="text1"/>
        </w:rPr>
        <w:t xml:space="preserve"> on the IRF-PAI at the required frequency (that is, at admission and at discharge from the IRF) in order to calculate payment and any possible payment penalty under the IRF PPS. This data frequency is also required for the purposes of measures calculation.</w:t>
      </w:r>
    </w:p>
    <w:p w:rsidR="003B486F" w:rsidRPr="00EA50E8" w:rsidP="003B486F" w14:paraId="2AB32A3D" w14:textId="57698161">
      <w:pPr>
        <w:pStyle w:val="Heading2"/>
      </w:pPr>
      <w:bookmarkStart w:id="34" w:name="_Toc89079484"/>
      <w:bookmarkStart w:id="35" w:name="_Toc94773737"/>
      <w:bookmarkStart w:id="36" w:name="_Toc195704901"/>
      <w:r w:rsidRPr="00EA50E8">
        <w:t>Special Circumstances</w:t>
      </w:r>
      <w:bookmarkEnd w:id="34"/>
      <w:bookmarkEnd w:id="35"/>
      <w:bookmarkEnd w:id="36"/>
    </w:p>
    <w:p w:rsidR="003B486F" w:rsidRPr="00EA50E8" w14:paraId="5CE742D6" w14:textId="608D1556">
      <w:pPr>
        <w:pStyle w:val="ListContinue"/>
        <w:ind w:left="360"/>
        <w:rPr>
          <w:b/>
          <w:bCs/>
          <w:color w:val="000000" w:themeColor="text1"/>
        </w:rPr>
      </w:pPr>
      <w:r w:rsidRPr="00EA50E8">
        <w:rPr>
          <w:color w:val="000000" w:themeColor="text1"/>
        </w:rPr>
        <w:t xml:space="preserve">There are no special circumstances that </w:t>
      </w:r>
      <w:r w:rsidRPr="00EA50E8" w:rsidR="00426100">
        <w:rPr>
          <w:color w:val="000000" w:themeColor="text1"/>
        </w:rPr>
        <w:t xml:space="preserve">would </w:t>
      </w:r>
      <w:r w:rsidRPr="00EA50E8">
        <w:rPr>
          <w:color w:val="000000" w:themeColor="text1"/>
        </w:rPr>
        <w:t>require the IRF-PAI Admission and IRF-PAI Discharge assessments to be conducted more than once during a patient’s stay.</w:t>
      </w:r>
    </w:p>
    <w:p w:rsidR="6A7D0191" w:rsidRPr="00EA50E8" w:rsidP="00D03F10" w14:paraId="165DCAB4" w14:textId="5F21F23A">
      <w:pPr>
        <w:spacing w:before="240" w:after="240"/>
        <w:ind w:left="360"/>
        <w:rPr>
          <w:b/>
          <w:bCs/>
          <w:color w:val="000000" w:themeColor="text1"/>
          <w:sz w:val="22"/>
          <w:szCs w:val="22"/>
        </w:rPr>
      </w:pPr>
      <w:r w:rsidRPr="00EA50E8">
        <w:rPr>
          <w:b/>
          <w:bCs/>
          <w:color w:val="000000" w:themeColor="text1"/>
          <w:sz w:val="22"/>
          <w:szCs w:val="22"/>
        </w:rPr>
        <w:t>Statistical Policy Directive No. 15 (</w:t>
      </w:r>
      <w:r w:rsidRPr="00EA50E8">
        <w:rPr>
          <w:b/>
          <w:bCs/>
          <w:color w:val="000000" w:themeColor="text1"/>
          <w:sz w:val="22"/>
          <w:szCs w:val="22"/>
        </w:rPr>
        <w:t>SPD</w:t>
      </w:r>
      <w:r w:rsidRPr="00EA50E8">
        <w:rPr>
          <w:b/>
          <w:bCs/>
          <w:color w:val="000000" w:themeColor="text1"/>
          <w:sz w:val="22"/>
          <w:szCs w:val="22"/>
        </w:rPr>
        <w:t>-</w:t>
      </w:r>
      <w:r w:rsidRPr="00EA50E8">
        <w:rPr>
          <w:b/>
          <w:bCs/>
          <w:color w:val="000000" w:themeColor="text1"/>
          <w:sz w:val="22"/>
          <w:szCs w:val="22"/>
        </w:rPr>
        <w:t>15</w:t>
      </w:r>
      <w:r w:rsidRPr="00EA50E8">
        <w:rPr>
          <w:b/>
          <w:bCs/>
          <w:color w:val="000000" w:themeColor="text1"/>
          <w:sz w:val="22"/>
          <w:szCs w:val="22"/>
        </w:rPr>
        <w:t>)</w:t>
      </w:r>
      <w:r w:rsidRPr="00EA50E8">
        <w:rPr>
          <w:b/>
          <w:bCs/>
          <w:color w:val="000000" w:themeColor="text1"/>
          <w:sz w:val="22"/>
          <w:szCs w:val="22"/>
        </w:rPr>
        <w:t xml:space="preserve"> Implementation Update</w:t>
      </w:r>
    </w:p>
    <w:p w:rsidR="6A7D0191" w:rsidRPr="00EA50E8" w:rsidP="00D03F10" w14:paraId="737A07BC" w14:textId="66C38916">
      <w:pPr>
        <w:spacing w:before="240" w:after="240"/>
        <w:ind w:left="360"/>
        <w:rPr>
          <w:color w:val="000000" w:themeColor="text1"/>
          <w:sz w:val="22"/>
          <w:szCs w:val="22"/>
        </w:rPr>
      </w:pPr>
      <w:r w:rsidRPr="00EA50E8">
        <w:rPr>
          <w:color w:val="000000" w:themeColor="text1"/>
          <w:sz w:val="22"/>
          <w:szCs w:val="22"/>
        </w:rPr>
        <w:t>We support implementing the latest SPD-15 directive.</w:t>
      </w:r>
    </w:p>
    <w:p w:rsidR="6A7D0191" w:rsidRPr="00EA50E8" w:rsidP="004373E1" w14:paraId="345C2256" w14:textId="4D705E49">
      <w:pPr>
        <w:spacing w:before="240" w:after="240"/>
        <w:ind w:left="360"/>
        <w:rPr>
          <w:color w:val="000000" w:themeColor="text1"/>
          <w:sz w:val="22"/>
          <w:szCs w:val="22"/>
        </w:rPr>
      </w:pPr>
      <w:r w:rsidRPr="00EA50E8">
        <w:rPr>
          <w:color w:val="000000" w:themeColor="text1"/>
          <w:sz w:val="22"/>
          <w:szCs w:val="22"/>
        </w:rPr>
        <w:t>For the FY/CY 202</w:t>
      </w:r>
      <w:r w:rsidRPr="00EA50E8" w:rsidR="00426100">
        <w:rPr>
          <w:color w:val="000000" w:themeColor="text1"/>
          <w:sz w:val="22"/>
          <w:szCs w:val="22"/>
        </w:rPr>
        <w:t>7</w:t>
      </w:r>
      <w:r w:rsidRPr="00EA50E8">
        <w:rPr>
          <w:color w:val="000000" w:themeColor="text1"/>
          <w:sz w:val="22"/>
          <w:szCs w:val="22"/>
        </w:rPr>
        <w:t xml:space="preserve"> Rulemaking seasons, we intend to discuss our plans to implement Figure 3, the </w:t>
      </w:r>
      <w:r w:rsidRPr="00EA50E8" w:rsidR="0064208E">
        <w:rPr>
          <w:color w:val="000000" w:themeColor="text1"/>
          <w:sz w:val="22"/>
          <w:szCs w:val="22"/>
        </w:rPr>
        <w:t>M</w:t>
      </w:r>
      <w:r w:rsidRPr="00EA50E8">
        <w:rPr>
          <w:color w:val="000000" w:themeColor="text1"/>
          <w:sz w:val="22"/>
          <w:szCs w:val="22"/>
        </w:rPr>
        <w:t xml:space="preserve">inimum </w:t>
      </w:r>
      <w:r w:rsidRPr="00EA50E8" w:rsidR="0064208E">
        <w:rPr>
          <w:color w:val="000000" w:themeColor="text1"/>
          <w:sz w:val="22"/>
          <w:szCs w:val="22"/>
        </w:rPr>
        <w:t>C</w:t>
      </w:r>
      <w:r w:rsidRPr="00EA50E8">
        <w:rPr>
          <w:color w:val="000000" w:themeColor="text1"/>
          <w:sz w:val="22"/>
          <w:szCs w:val="22"/>
        </w:rPr>
        <w:t xml:space="preserve">ategories </w:t>
      </w:r>
      <w:r w:rsidRPr="00EA50E8" w:rsidR="0064208E">
        <w:rPr>
          <w:color w:val="000000" w:themeColor="text1"/>
          <w:sz w:val="22"/>
          <w:szCs w:val="22"/>
        </w:rPr>
        <w:t xml:space="preserve">Only </w:t>
      </w:r>
      <w:r w:rsidRPr="00EA50E8">
        <w:rPr>
          <w:color w:val="000000" w:themeColor="text1"/>
          <w:sz w:val="22"/>
          <w:szCs w:val="22"/>
        </w:rPr>
        <w:t>with the expectation to implement in our 5 PAC Programs beginning in 202</w:t>
      </w:r>
      <w:r w:rsidRPr="00EA50E8" w:rsidR="00426100">
        <w:rPr>
          <w:color w:val="000000" w:themeColor="text1"/>
          <w:sz w:val="22"/>
          <w:szCs w:val="22"/>
        </w:rPr>
        <w:t>8</w:t>
      </w:r>
      <w:r w:rsidRPr="00EA50E8" w:rsidR="00BA7D42">
        <w:rPr>
          <w:color w:val="000000" w:themeColor="text1"/>
          <w:sz w:val="22"/>
          <w:szCs w:val="22"/>
        </w:rPr>
        <w:t xml:space="preserve"> </w:t>
      </w:r>
      <w:r w:rsidRPr="00EA50E8">
        <w:rPr>
          <w:color w:val="000000" w:themeColor="text1"/>
          <w:sz w:val="22"/>
          <w:szCs w:val="22"/>
        </w:rPr>
        <w:t>The implementation of this standard sooner would be a significant burden for the following reasons—</w:t>
      </w:r>
    </w:p>
    <w:p w:rsidR="6A7D0191" w:rsidRPr="00EA50E8" w:rsidP="00927A6A" w14:paraId="3F3DCDE3" w14:textId="3948A467">
      <w:pPr>
        <w:pStyle w:val="ListParagraph"/>
        <w:numPr>
          <w:ilvl w:val="0"/>
          <w:numId w:val="3"/>
        </w:numPr>
        <w:spacing w:before="240" w:after="240"/>
        <w:rPr>
          <w:color w:val="000000" w:themeColor="text1"/>
          <w:sz w:val="21"/>
          <w:szCs w:val="21"/>
        </w:rPr>
      </w:pPr>
      <w:r w:rsidRPr="00EA50E8">
        <w:rPr>
          <w:rFonts w:ascii="Times New Roman" w:eastAsia="Times New Roman" w:hAnsi="Times New Roman" w:cs="Times New Roman"/>
          <w:color w:val="000000" w:themeColor="text1"/>
        </w:rPr>
        <w:t>Existing patient assessment instruments (PAIs) collect information on patients’ race and/or ethnicity using an earlier standard. By statute, all PAIs must propose the data items, including race/ethnicity via notice and comment rulemaking.  This means that to add the race/ethnicity from SPD</w:t>
      </w:r>
      <w:r w:rsidRPr="00EA50E8" w:rsidR="00F60925">
        <w:rPr>
          <w:rFonts w:ascii="Times New Roman" w:eastAsia="Times New Roman" w:hAnsi="Times New Roman" w:cs="Times New Roman"/>
          <w:color w:val="000000" w:themeColor="text1"/>
        </w:rPr>
        <w:t>-</w:t>
      </w:r>
      <w:r w:rsidRPr="00EA50E8">
        <w:rPr>
          <w:rFonts w:ascii="Times New Roman" w:eastAsia="Times New Roman" w:hAnsi="Times New Roman" w:cs="Times New Roman"/>
          <w:color w:val="000000" w:themeColor="text1"/>
        </w:rPr>
        <w:t>15, we would need to propose the time, place, and manner of adding the SPD</w:t>
      </w:r>
      <w:r w:rsidRPr="00EA50E8" w:rsidR="00F60925">
        <w:rPr>
          <w:rFonts w:ascii="Times New Roman" w:eastAsia="Times New Roman" w:hAnsi="Times New Roman" w:cs="Times New Roman"/>
          <w:color w:val="000000" w:themeColor="text1"/>
        </w:rPr>
        <w:t>-</w:t>
      </w:r>
      <w:r w:rsidRPr="00EA50E8">
        <w:rPr>
          <w:rFonts w:ascii="Times New Roman" w:eastAsia="Times New Roman" w:hAnsi="Times New Roman" w:cs="Times New Roman"/>
          <w:color w:val="000000" w:themeColor="text1"/>
        </w:rPr>
        <w:t>15 race/ethnicity in each of its rules.</w:t>
      </w:r>
    </w:p>
    <w:p w:rsidR="6A7D0191" w:rsidRPr="00EA50E8" w:rsidP="000E5EF1" w14:paraId="3D40A629" w14:textId="279589DB">
      <w:pPr>
        <w:pStyle w:val="ListParagraph"/>
        <w:numPr>
          <w:ilvl w:val="0"/>
          <w:numId w:val="3"/>
        </w:numPr>
        <w:spacing w:before="240" w:after="240"/>
        <w:rPr>
          <w:color w:val="000000" w:themeColor="text1"/>
          <w:sz w:val="21"/>
          <w:szCs w:val="21"/>
        </w:rPr>
      </w:pPr>
      <w:r w:rsidRPr="00EA50E8">
        <w:rPr>
          <w:rFonts w:ascii="Times New Roman" w:eastAsia="Times New Roman" w:hAnsi="Times New Roman" w:cs="Times New Roman"/>
          <w:color w:val="000000" w:themeColor="text1"/>
        </w:rPr>
        <w:t>While we have begun preliminary conversations with our Information Systems Group (ISG) colleagues for implementation following rulemaking, adoption of this standard (like any new work) requires adequate time for vendors, States, other CMS components, and federal agencies to implement updates to their respective systems, databases, finder files, etc.</w:t>
      </w:r>
    </w:p>
    <w:p w:rsidR="0064208E" w:rsidRPr="00EA50E8" w14:paraId="5D717374" w14:textId="77777777">
      <w:pPr>
        <w:pStyle w:val="ListParagraph"/>
        <w:numPr>
          <w:ilvl w:val="0"/>
          <w:numId w:val="3"/>
        </w:numPr>
        <w:spacing w:before="240" w:after="240"/>
        <w:rPr>
          <w:rFonts w:ascii="Times New Roman" w:hAnsi="Times New Roman" w:cs="Times New Roman"/>
          <w:color w:val="000000" w:themeColor="text1"/>
        </w:rPr>
      </w:pPr>
      <w:r w:rsidRPr="00EA50E8">
        <w:rPr>
          <w:rFonts w:ascii="Times New Roman" w:eastAsia="Times New Roman" w:hAnsi="Times New Roman" w:cs="Times New Roman"/>
          <w:color w:val="000000" w:themeColor="text1"/>
        </w:rPr>
        <w:t>We need to allow for the 12-month period allotted prior to implementation of any updates and related trainings to the assessment tools and technical data specifications, our various data bases, and impacted reports. We plan to incorporate the Race and Ethnicity Question</w:t>
      </w:r>
      <w:r w:rsidRPr="00EA50E8" w:rsidR="70248868">
        <w:rPr>
          <w:rFonts w:ascii="Times New Roman" w:eastAsia="Times New Roman" w:hAnsi="Times New Roman" w:cs="Times New Roman"/>
          <w:color w:val="000000" w:themeColor="text1"/>
        </w:rPr>
        <w:t xml:space="preserve"> </w:t>
      </w:r>
      <w:r w:rsidRPr="00EA50E8">
        <w:rPr>
          <w:rFonts w:ascii="Times New Roman" w:eastAsia="Times New Roman" w:hAnsi="Times New Roman" w:cs="Times New Roman"/>
          <w:color w:val="000000" w:themeColor="text1"/>
        </w:rPr>
        <w:t xml:space="preserve">with </w:t>
      </w:r>
      <w:r w:rsidRPr="00EA50E8">
        <w:rPr>
          <w:rFonts w:ascii="Times New Roman" w:eastAsia="Times New Roman" w:hAnsi="Times New Roman" w:cs="Times New Roman"/>
          <w:color w:val="000000" w:themeColor="text1"/>
        </w:rPr>
        <w:t>Minimum Categories only (no examples or write-ins) (as shown in Figure 3 of the Federal Register posting)</w:t>
      </w:r>
    </w:p>
    <w:p w:rsidR="0064208E" w:rsidRPr="00EA50E8" w:rsidP="0064208E" w14:paraId="5F8BF443" w14:textId="498B2911">
      <w:pPr>
        <w:pStyle w:val="ListParagraph"/>
        <w:numPr>
          <w:ilvl w:val="0"/>
          <w:numId w:val="3"/>
        </w:numPr>
        <w:spacing w:before="240" w:after="240"/>
        <w:rPr>
          <w:rFonts w:ascii="Times New Roman" w:hAnsi="Times New Roman" w:cs="Times New Roman"/>
          <w:color w:val="000000" w:themeColor="text1"/>
        </w:rPr>
      </w:pPr>
      <w:r w:rsidRPr="00EA50E8">
        <w:rPr>
          <w:rFonts w:ascii="Times New Roman" w:hAnsi="Times New Roman" w:cs="Times New Roman"/>
          <w:color w:val="000000" w:themeColor="text1"/>
        </w:rPr>
        <w:t>The new Race and Ethnicity Question has a</w:t>
      </w:r>
      <w:r w:rsidRPr="00EA50E8" w:rsidR="6A7D0191">
        <w:rPr>
          <w:rFonts w:ascii="Times New Roman" w:hAnsi="Times New Roman" w:cs="Times New Roman"/>
          <w:color w:val="000000" w:themeColor="text1"/>
        </w:rPr>
        <w:t xml:space="preserve"> </w:t>
      </w:r>
      <w:r w:rsidRPr="00EA50E8">
        <w:rPr>
          <w:rFonts w:ascii="Times New Roman" w:hAnsi="Times New Roman" w:cs="Times New Roman"/>
          <w:color w:val="000000" w:themeColor="text1"/>
        </w:rPr>
        <w:t>longer</w:t>
      </w:r>
      <w:r w:rsidRPr="00EA50E8" w:rsidR="6A7D0191">
        <w:rPr>
          <w:rFonts w:ascii="Times New Roman" w:hAnsi="Times New Roman" w:cs="Times New Roman"/>
          <w:color w:val="000000" w:themeColor="text1"/>
        </w:rPr>
        <w:t xml:space="preserve"> list of race/ethnicity options</w:t>
      </w:r>
      <w:r w:rsidRPr="00EA50E8">
        <w:rPr>
          <w:rFonts w:ascii="Times New Roman" w:hAnsi="Times New Roman" w:cs="Times New Roman"/>
          <w:color w:val="000000" w:themeColor="text1"/>
        </w:rPr>
        <w:t>, which</w:t>
      </w:r>
      <w:r w:rsidRPr="00EA50E8" w:rsidR="6A7D0191">
        <w:rPr>
          <w:rFonts w:ascii="Times New Roman" w:hAnsi="Times New Roman" w:cs="Times New Roman"/>
          <w:color w:val="000000" w:themeColor="text1"/>
        </w:rPr>
        <w:t xml:space="preserve"> may be more difficult to administer </w:t>
      </w:r>
      <w:r w:rsidRPr="00EA50E8">
        <w:rPr>
          <w:rFonts w:ascii="Times New Roman" w:hAnsi="Times New Roman" w:cs="Times New Roman"/>
          <w:color w:val="000000" w:themeColor="text1"/>
        </w:rPr>
        <w:t>by</w:t>
      </w:r>
      <w:r w:rsidRPr="00EA50E8" w:rsidR="6A7D0191">
        <w:rPr>
          <w:rFonts w:ascii="Times New Roman" w:hAnsi="Times New Roman" w:cs="Times New Roman"/>
          <w:color w:val="000000" w:themeColor="text1"/>
        </w:rPr>
        <w:t xml:space="preserve"> PAC staff, </w:t>
      </w:r>
      <w:r w:rsidRPr="00EA50E8">
        <w:rPr>
          <w:rFonts w:ascii="Times New Roman" w:hAnsi="Times New Roman" w:cs="Times New Roman"/>
          <w:color w:val="000000" w:themeColor="text1"/>
        </w:rPr>
        <w:t>due to the age</w:t>
      </w:r>
      <w:r w:rsidRPr="00EA50E8" w:rsidR="6A7D0191">
        <w:rPr>
          <w:rFonts w:ascii="Times New Roman" w:hAnsi="Times New Roman" w:cs="Times New Roman"/>
          <w:color w:val="000000" w:themeColor="text1"/>
        </w:rPr>
        <w:t xml:space="preserve"> and </w:t>
      </w:r>
      <w:r w:rsidRPr="00EA50E8">
        <w:rPr>
          <w:rFonts w:ascii="Times New Roman" w:hAnsi="Times New Roman" w:cs="Times New Roman"/>
          <w:color w:val="000000" w:themeColor="text1"/>
        </w:rPr>
        <w:t>comorbidities of the</w:t>
      </w:r>
      <w:r w:rsidRPr="00EA50E8" w:rsidR="6A7D0191">
        <w:rPr>
          <w:rFonts w:ascii="Times New Roman" w:hAnsi="Times New Roman" w:cs="Times New Roman"/>
          <w:color w:val="000000" w:themeColor="text1"/>
        </w:rPr>
        <w:t xml:space="preserve"> Medicare-aged population. The </w:t>
      </w:r>
      <w:r w:rsidRPr="00EA50E8">
        <w:rPr>
          <w:rFonts w:ascii="Times New Roman" w:hAnsi="Times New Roman" w:cs="Times New Roman"/>
          <w:color w:val="000000" w:themeColor="text1"/>
        </w:rPr>
        <w:t>M</w:t>
      </w:r>
      <w:r w:rsidRPr="00EA50E8" w:rsidR="6A7D0191">
        <w:rPr>
          <w:rFonts w:ascii="Times New Roman" w:hAnsi="Times New Roman" w:cs="Times New Roman"/>
          <w:color w:val="000000" w:themeColor="text1"/>
        </w:rPr>
        <w:t xml:space="preserve">inimum </w:t>
      </w:r>
      <w:r w:rsidRPr="00EA50E8">
        <w:rPr>
          <w:rFonts w:ascii="Times New Roman" w:hAnsi="Times New Roman" w:cs="Times New Roman"/>
          <w:color w:val="000000" w:themeColor="text1"/>
        </w:rPr>
        <w:t>C</w:t>
      </w:r>
      <w:r w:rsidRPr="00EA50E8" w:rsidR="6A7D0191">
        <w:rPr>
          <w:rFonts w:ascii="Times New Roman" w:hAnsi="Times New Roman" w:cs="Times New Roman"/>
          <w:color w:val="000000" w:themeColor="text1"/>
        </w:rPr>
        <w:t>ategories</w:t>
      </w:r>
      <w:r w:rsidRPr="00EA50E8">
        <w:rPr>
          <w:rFonts w:ascii="Times New Roman" w:hAnsi="Times New Roman" w:cs="Times New Roman"/>
          <w:color w:val="000000" w:themeColor="text1"/>
        </w:rPr>
        <w:t xml:space="preserve"> only</w:t>
      </w:r>
      <w:r w:rsidRPr="00EA50E8">
        <w:rPr>
          <w:rFonts w:ascii="Times New Roman" w:hAnsi="Times New Roman" w:cs="Times New Roman"/>
          <w:color w:val="000000" w:themeColor="text1"/>
        </w:rPr>
        <w:t xml:space="preserve"> question</w:t>
      </w:r>
      <w:r w:rsidRPr="00EA50E8">
        <w:rPr>
          <w:rFonts w:ascii="Times New Roman" w:hAnsi="Times New Roman" w:cs="Times New Roman"/>
          <w:color w:val="000000" w:themeColor="text1"/>
        </w:rPr>
        <w:t xml:space="preserve"> (figure 3)</w:t>
      </w:r>
      <w:r w:rsidRPr="00EA50E8" w:rsidR="6A7D0191">
        <w:rPr>
          <w:rFonts w:ascii="Times New Roman" w:hAnsi="Times New Roman" w:cs="Times New Roman"/>
          <w:color w:val="000000" w:themeColor="text1"/>
        </w:rPr>
        <w:t xml:space="preserve"> reduce provider burden and patient/resident/family confusion since the staff must read the questions to the patient/resident for their response. We also consider the translations for patients who need staff to ask the questions in a language other than English. </w:t>
      </w:r>
      <w:r w:rsidRPr="00EA50E8" w:rsidR="00D2627A">
        <w:rPr>
          <w:rFonts w:ascii="Times New Roman" w:hAnsi="Times New Roman" w:cs="Times New Roman"/>
          <w:color w:val="000000" w:themeColor="text1"/>
        </w:rPr>
        <w:t>CMS has tested</w:t>
      </w:r>
      <w:r w:rsidRPr="00EA50E8" w:rsidR="6A7D0191">
        <w:rPr>
          <w:rFonts w:ascii="Times New Roman" w:hAnsi="Times New Roman" w:cs="Times New Roman"/>
          <w:color w:val="000000" w:themeColor="text1"/>
        </w:rPr>
        <w:t xml:space="preserve"> write-in </w:t>
      </w:r>
      <w:r w:rsidRPr="00EA50E8" w:rsidR="00D2627A">
        <w:rPr>
          <w:rFonts w:ascii="Times New Roman" w:hAnsi="Times New Roman" w:cs="Times New Roman"/>
          <w:color w:val="000000" w:themeColor="text1"/>
        </w:rPr>
        <w:t xml:space="preserve">options for assessment items and </w:t>
      </w:r>
      <w:r w:rsidRPr="00EA50E8">
        <w:rPr>
          <w:rFonts w:ascii="Times New Roman" w:hAnsi="Times New Roman" w:cs="Times New Roman"/>
          <w:color w:val="000000" w:themeColor="text1"/>
        </w:rPr>
        <w:t xml:space="preserve">that data </w:t>
      </w:r>
      <w:r w:rsidRPr="00EA50E8" w:rsidR="6A7D0191">
        <w:rPr>
          <w:rFonts w:ascii="Times New Roman" w:hAnsi="Times New Roman" w:cs="Times New Roman"/>
          <w:color w:val="000000" w:themeColor="text1"/>
        </w:rPr>
        <w:t xml:space="preserve">cannot </w:t>
      </w:r>
      <w:r w:rsidRPr="00EA50E8">
        <w:rPr>
          <w:rFonts w:ascii="Times New Roman" w:hAnsi="Times New Roman" w:cs="Times New Roman"/>
          <w:color w:val="000000" w:themeColor="text1"/>
        </w:rPr>
        <w:t>be used</w:t>
      </w:r>
      <w:r w:rsidRPr="00EA50E8" w:rsidR="6A7D0191">
        <w:rPr>
          <w:rFonts w:ascii="Times New Roman" w:hAnsi="Times New Roman" w:cs="Times New Roman"/>
          <w:color w:val="000000" w:themeColor="text1"/>
        </w:rPr>
        <w:t xml:space="preserve">. Aside from spelling issues and how many write-ins should be allowed, we seek inter-operability, and write-ins do not allow for </w:t>
      </w:r>
      <w:r w:rsidRPr="00EA50E8" w:rsidR="00F60925">
        <w:rPr>
          <w:rFonts w:ascii="Times New Roman" w:hAnsi="Times New Roman" w:cs="Times New Roman"/>
          <w:color w:val="000000" w:themeColor="text1"/>
        </w:rPr>
        <w:t>this</w:t>
      </w:r>
      <w:r w:rsidRPr="00EA50E8" w:rsidR="6A7D0191">
        <w:rPr>
          <w:rFonts w:ascii="Times New Roman" w:hAnsi="Times New Roman" w:cs="Times New Roman"/>
          <w:color w:val="000000" w:themeColor="text1"/>
        </w:rPr>
        <w:t xml:space="preserve">. </w:t>
      </w:r>
    </w:p>
    <w:p w:rsidR="003B486F" w:rsidRPr="00EA50E8" w:rsidP="003B486F" w14:paraId="0DDB267C" w14:textId="24AA0448">
      <w:pPr>
        <w:pStyle w:val="Heading2"/>
      </w:pPr>
      <w:bookmarkStart w:id="37" w:name="_Toc130395974"/>
      <w:bookmarkStart w:id="38" w:name="_Toc298168189"/>
      <w:bookmarkStart w:id="39" w:name="_Toc89079485"/>
      <w:bookmarkStart w:id="40" w:name="_Toc94773738"/>
      <w:bookmarkStart w:id="41" w:name="_Toc195704902"/>
      <w:bookmarkEnd w:id="37"/>
      <w:r w:rsidRPr="00EA50E8">
        <w:t>Federal Register/Outside Consultation</w:t>
      </w:r>
      <w:bookmarkEnd w:id="38"/>
      <w:bookmarkEnd w:id="39"/>
      <w:bookmarkEnd w:id="40"/>
      <w:bookmarkEnd w:id="41"/>
    </w:p>
    <w:p w:rsidR="000C5047" w:rsidRPr="00EA50E8" w14:paraId="69EEE7EB" w14:textId="5B25BF79">
      <w:pPr>
        <w:pStyle w:val="ListContinue"/>
        <w:ind w:left="360"/>
        <w:rPr>
          <w:color w:val="000000" w:themeColor="text1"/>
        </w:rPr>
      </w:pPr>
      <w:r w:rsidRPr="00EA50E8">
        <w:rPr>
          <w:color w:val="000000" w:themeColor="text1"/>
        </w:rPr>
        <w:t>The FY 202</w:t>
      </w:r>
      <w:r w:rsidRPr="00EA50E8" w:rsidR="0053647D">
        <w:rPr>
          <w:color w:val="000000" w:themeColor="text1"/>
        </w:rPr>
        <w:t>6</w:t>
      </w:r>
      <w:r w:rsidRPr="00EA50E8">
        <w:rPr>
          <w:color w:val="000000" w:themeColor="text1"/>
        </w:rPr>
        <w:t xml:space="preserve"> IRF PPS Notice of Proposed Rulemaking (NPRM) </w:t>
      </w:r>
      <w:r w:rsidR="001A72E6">
        <w:rPr>
          <w:color w:val="000000" w:themeColor="text1"/>
        </w:rPr>
        <w:t>(</w:t>
      </w:r>
      <w:r w:rsidRPr="001A72E6" w:rsidR="001A72E6">
        <w:rPr>
          <w:color w:val="000000" w:themeColor="text1"/>
        </w:rPr>
        <w:t>CMS-1829-P</w:t>
      </w:r>
      <w:r w:rsidR="001A72E6">
        <w:rPr>
          <w:color w:val="000000" w:themeColor="text1"/>
        </w:rPr>
        <w:t xml:space="preserve">) </w:t>
      </w:r>
      <w:r w:rsidRPr="00EA50E8">
        <w:rPr>
          <w:color w:val="000000" w:themeColor="text1"/>
        </w:rPr>
        <w:t>was published on</w:t>
      </w:r>
      <w:r w:rsidRPr="00EA50E8" w:rsidR="004B547A">
        <w:rPr>
          <w:color w:val="000000" w:themeColor="text1"/>
        </w:rPr>
        <w:t xml:space="preserve"> the Federal Register public inspection desk on </w:t>
      </w:r>
      <w:r w:rsidRPr="00EA50E8" w:rsidR="0053647D">
        <w:rPr>
          <w:color w:val="000000" w:themeColor="text1"/>
        </w:rPr>
        <w:t xml:space="preserve">April </w:t>
      </w:r>
      <w:r w:rsidRPr="00EA50E8" w:rsidR="004B547A">
        <w:rPr>
          <w:color w:val="000000" w:themeColor="text1"/>
        </w:rPr>
        <w:t>11</w:t>
      </w:r>
      <w:r w:rsidRPr="00EA50E8" w:rsidR="0053647D">
        <w:rPr>
          <w:color w:val="000000" w:themeColor="text1"/>
        </w:rPr>
        <w:t>, 202</w:t>
      </w:r>
      <w:r w:rsidRPr="00EA50E8" w:rsidR="004B547A">
        <w:rPr>
          <w:color w:val="000000" w:themeColor="text1"/>
        </w:rPr>
        <w:t xml:space="preserve">5, and is expected to </w:t>
      </w:r>
      <w:r w:rsidRPr="00EA50E8" w:rsidR="004B547A">
        <w:rPr>
          <w:color w:val="000000" w:themeColor="text1"/>
        </w:rPr>
        <w:t>publish</w:t>
      </w:r>
      <w:r w:rsidRPr="00EA50E8" w:rsidR="004B547A">
        <w:rPr>
          <w:color w:val="000000" w:themeColor="text1"/>
        </w:rPr>
        <w:t xml:space="preserve"> in the Federal Register </w:t>
      </w:r>
      <w:r w:rsidR="001A72E6">
        <w:rPr>
          <w:color w:val="000000" w:themeColor="text1"/>
        </w:rPr>
        <w:t>(</w:t>
      </w:r>
      <w:r w:rsidRPr="001A72E6" w:rsidR="001A72E6">
        <w:rPr>
          <w:color w:val="000000" w:themeColor="text1"/>
        </w:rPr>
        <w:t>90 FR 18534</w:t>
      </w:r>
      <w:r w:rsidR="001A72E6">
        <w:rPr>
          <w:color w:val="000000" w:themeColor="text1"/>
        </w:rPr>
        <w:t xml:space="preserve">) </w:t>
      </w:r>
      <w:r w:rsidRPr="00EA50E8" w:rsidR="004B547A">
        <w:rPr>
          <w:color w:val="000000" w:themeColor="text1"/>
        </w:rPr>
        <w:t>on April 30, 2025</w:t>
      </w:r>
      <w:r w:rsidRPr="00EA50E8">
        <w:rPr>
          <w:color w:val="000000" w:themeColor="text1"/>
        </w:rPr>
        <w:t xml:space="preserve">.  </w:t>
      </w:r>
      <w:r w:rsidRPr="00EA50E8" w:rsidR="000573E7">
        <w:rPr>
          <w:color w:val="000000" w:themeColor="text1"/>
        </w:rPr>
        <w:t xml:space="preserve">CMS invited public comment on the proposed burden estimate. </w:t>
      </w:r>
      <w:r w:rsidRPr="00EA50E8" w:rsidR="00A7366B">
        <w:rPr>
          <w:color w:val="000000" w:themeColor="text1"/>
        </w:rPr>
        <w:t xml:space="preserve"> </w:t>
      </w:r>
    </w:p>
    <w:p w:rsidR="003B486F" w:rsidRPr="00EA50E8" w:rsidP="009F03D6" w14:paraId="75B09517" w14:textId="02A21B49">
      <w:pPr>
        <w:pStyle w:val="ListContinue"/>
        <w:ind w:left="360"/>
        <w:rPr>
          <w:color w:val="000000" w:themeColor="text1"/>
        </w:rPr>
      </w:pPr>
      <w:r w:rsidRPr="00EA50E8">
        <w:rPr>
          <w:color w:val="000000" w:themeColor="text1"/>
        </w:rPr>
        <w:t xml:space="preserve">CMS informed the provider community on </w:t>
      </w:r>
      <w:r w:rsidRPr="00EA50E8" w:rsidR="005B34EC">
        <w:rPr>
          <w:color w:val="000000" w:themeColor="text1"/>
        </w:rPr>
        <w:t>April 11, 2025</w:t>
      </w:r>
      <w:r w:rsidRPr="00EA50E8" w:rsidR="00962C85">
        <w:rPr>
          <w:color w:val="000000" w:themeColor="text1"/>
        </w:rPr>
        <w:t xml:space="preserve">. </w:t>
      </w:r>
      <w:r w:rsidRPr="00EA50E8">
        <w:rPr>
          <w:color w:val="000000" w:themeColor="text1"/>
        </w:rPr>
        <w:t>A reference to the announcement can be found on the IRF QRP webpage found here</w:t>
      </w:r>
      <w:r w:rsidRPr="00EA50E8" w:rsidR="0043098A">
        <w:rPr>
          <w:color w:val="000000" w:themeColor="text1"/>
        </w:rPr>
        <w:t xml:space="preserve"> </w:t>
      </w:r>
      <w:hyperlink r:id="rId12" w:history="1">
        <w:r w:rsidRPr="00295423" w:rsidR="001A72E6">
          <w:rPr>
            <w:rStyle w:val="Hyperlink"/>
          </w:rPr>
          <w:t>https://www.cms.gov/medicare/quality-initiatives-patient-assessment-instruments/irf-quality-reporting/spotlights-announcements</w:t>
        </w:r>
      </w:hyperlink>
      <w:r w:rsidRPr="00EA50E8" w:rsidR="00B74537">
        <w:rPr>
          <w:color w:val="000000" w:themeColor="text1"/>
        </w:rPr>
        <w:t xml:space="preserve">. </w:t>
      </w:r>
    </w:p>
    <w:p w:rsidR="000D586C" w:rsidRPr="00EA50E8" w:rsidP="009F03D6" w14:paraId="4E22F190" w14:textId="77777777">
      <w:pPr>
        <w:pStyle w:val="Heading3"/>
        <w:numPr>
          <w:ilvl w:val="0"/>
          <w:numId w:val="10"/>
        </w:numPr>
        <w:ind w:left="720"/>
      </w:pPr>
      <w:bookmarkStart w:id="42" w:name="_Toc195704903"/>
      <w:r w:rsidRPr="00EA50E8">
        <w:t>Consideration of Burden of Information Collection Requests</w:t>
      </w:r>
      <w:bookmarkEnd w:id="42"/>
    </w:p>
    <w:p w:rsidR="000D586C" w:rsidRPr="00EA50E8" w:rsidP="000D586C" w14:paraId="2D9A051E" w14:textId="4C0DC1A0">
      <w:pPr>
        <w:pStyle w:val="ListContinue"/>
        <w:ind w:left="360"/>
        <w:rPr>
          <w:color w:val="000000" w:themeColor="text1"/>
        </w:rPr>
      </w:pPr>
      <w:r w:rsidRPr="00EA50E8">
        <w:rPr>
          <w:color w:val="000000" w:themeColor="text1"/>
        </w:rPr>
        <w:t>CMS continually looks for opportunities to minimize burden associated with collection of the IRF-PAI for information users through strategies that (1) simplify collection and submission requirements, (2) improve IRF-PAI comprehension, and (3) enhance communication, navigation, and outreach, (4) minimize learning costs, and (5) provide flexible time frames for data submission.</w:t>
      </w:r>
    </w:p>
    <w:p w:rsidR="000D586C" w:rsidRPr="00EA50E8" w:rsidP="000D586C" w14:paraId="08C327A5" w14:textId="77777777">
      <w:pPr>
        <w:pStyle w:val="ListContinue"/>
        <w:ind w:left="360"/>
        <w:rPr>
          <w:color w:val="000000" w:themeColor="text1"/>
        </w:rPr>
      </w:pPr>
      <w:r w:rsidRPr="00EA50E8">
        <w:rPr>
          <w:color w:val="000000" w:themeColor="text1"/>
        </w:rPr>
        <w:t xml:space="preserve">First, interviews are conducted with information users before new items are introduced. The interviews provide valuable evidence in order to ensure the item(s) are precise and result in meaningful information. </w:t>
      </w:r>
    </w:p>
    <w:p w:rsidR="000D586C" w:rsidRPr="00EA50E8" w:rsidP="000D586C" w14:paraId="41D48CF4" w14:textId="77777777">
      <w:pPr>
        <w:pStyle w:val="ListContinue"/>
        <w:ind w:left="360"/>
        <w:rPr>
          <w:color w:val="000000" w:themeColor="text1"/>
        </w:rPr>
      </w:pPr>
      <w:r w:rsidRPr="00EA50E8">
        <w:rPr>
          <w:color w:val="000000" w:themeColor="text1"/>
        </w:rPr>
        <w:t xml:space="preserve">Second, improving IRF-PAI comprehension is a priority.  A number of strategies are used, including standardizing the collection instructions across all IRFs, ensuring that all instructions and notices are written in plain language, and by providing step-by-step examples for completing the IRF-PAI.  Human-centered design best practices are used, such as prioritizing key communication in headings, text boxes, and bold text.  Close attention is paid to the amount of information required in the forms so that only the necessary data is collected on the IRF-PAI. </w:t>
      </w:r>
    </w:p>
    <w:p w:rsidR="000D586C" w:rsidRPr="00EA50E8" w:rsidP="000D586C" w14:paraId="12304655" w14:textId="2DDF9C0C">
      <w:pPr>
        <w:pStyle w:val="ListContinue"/>
        <w:ind w:left="360"/>
        <w:rPr>
          <w:color w:val="000000" w:themeColor="text1"/>
        </w:rPr>
      </w:pPr>
      <w:r w:rsidRPr="00EA50E8">
        <w:rPr>
          <w:color w:val="000000" w:themeColor="text1"/>
        </w:rPr>
        <w:t>Third, CMS looks for opportunities to improve communication with users and conducts outreach.  CMS provides a dedicated help desk to support users and respond to questions about the data collection.  Additionally, a dedicated IRF QRP webpage houses multiple modes of tools, such as instructional videos, case studies, user manuals, and frequently asked questions which support understanding of the IRF-</w:t>
      </w:r>
      <w:r w:rsidRPr="00EA50E8">
        <w:rPr>
          <w:color w:val="000000" w:themeColor="text1"/>
        </w:rPr>
        <w:t>PAI, and</w:t>
      </w:r>
      <w:r w:rsidRPr="00EA50E8">
        <w:rPr>
          <w:color w:val="000000" w:themeColor="text1"/>
        </w:rPr>
        <w:t xml:space="preserve"> can be used by current and assist new users of the IRF-PAI.  CMS utilizes a listserv to facilitate outreach to users, such as communicating timely and important new material(s), as well as reminders and alerts related to the IRF-PAI completion. Finally, CMS provides a free internet-based system through which users can access on-demand reports for feedback on the collection of the IRF-PAI associated with their facility.</w:t>
      </w:r>
    </w:p>
    <w:p w:rsidR="000D586C" w:rsidRPr="00EA50E8" w:rsidP="000D586C" w14:paraId="6106EE9D" w14:textId="77777777">
      <w:pPr>
        <w:pStyle w:val="ListContinue"/>
        <w:ind w:left="360"/>
        <w:rPr>
          <w:color w:val="000000" w:themeColor="text1"/>
        </w:rPr>
      </w:pPr>
      <w:r w:rsidRPr="00EA50E8">
        <w:rPr>
          <w:color w:val="000000" w:themeColor="text1"/>
        </w:rPr>
        <w:t xml:space="preserve">Fourth, CMS is aware of the learning costs that IRFs may incur when new data collection is required.  CMS provides multiple free training resources and opportunities for IRFs to use, reducing the burden to IRFs in creating their own training resources.  These training resources include live training, online learning modules, tip sheets, and/or recorded webinars and videos.  Having the materials online and </w:t>
      </w:r>
      <w:r w:rsidRPr="00EA50E8">
        <w:rPr>
          <w:color w:val="000000" w:themeColor="text1"/>
        </w:rPr>
        <w:t>on-demand gives IRFs the flexibility to use the materials in a group setting or on an individual basis at times that work for them.</w:t>
      </w:r>
    </w:p>
    <w:p w:rsidR="000D586C" w:rsidRPr="00EA50E8" w:rsidP="006F35AE" w14:paraId="19BCBC6B" w14:textId="1AFED1AF">
      <w:pPr>
        <w:pStyle w:val="ListContinue"/>
        <w:tabs>
          <w:tab w:val="left" w:pos="0"/>
        </w:tabs>
        <w:ind w:left="360"/>
        <w:rPr>
          <w:color w:val="000000" w:themeColor="text1"/>
        </w:rPr>
      </w:pPr>
      <w:r w:rsidRPr="00EA50E8">
        <w:rPr>
          <w:color w:val="000000" w:themeColor="text1"/>
        </w:rPr>
        <w:t>Fifth, CMS allows up to 4.5 months for IRFs to submit all data required in this information collection, providing ample time for data submission.  CMS acknowledges that some small providers may experience difficulties complying with data collection requirements, and having additional time may reduce the stress and anxiety IRF providers may experience.</w:t>
      </w:r>
    </w:p>
    <w:p w:rsidR="003B486F" w:rsidRPr="00EA50E8" w:rsidP="003B486F" w14:paraId="12548327" w14:textId="3F774873">
      <w:pPr>
        <w:pStyle w:val="Heading2"/>
      </w:pPr>
      <w:bookmarkStart w:id="43" w:name="_Toc89079486"/>
      <w:bookmarkStart w:id="44" w:name="_Toc94773739"/>
      <w:bookmarkStart w:id="45" w:name="_Toc195704904"/>
      <w:r w:rsidRPr="00EA50E8">
        <w:t>Payment/Gifts to Respondents</w:t>
      </w:r>
      <w:bookmarkEnd w:id="43"/>
      <w:bookmarkEnd w:id="44"/>
      <w:bookmarkEnd w:id="45"/>
    </w:p>
    <w:p w:rsidR="003B486F" w:rsidRPr="00EA50E8" w:rsidP="003B486F" w14:paraId="4F3822F1" w14:textId="4DACB0A6">
      <w:pPr>
        <w:pStyle w:val="ListContinue"/>
        <w:ind w:left="360"/>
        <w:rPr>
          <w:color w:val="000000" w:themeColor="text1"/>
        </w:rPr>
      </w:pPr>
      <w:r w:rsidRPr="00EA50E8">
        <w:rPr>
          <w:color w:val="000000" w:themeColor="text1"/>
        </w:rPr>
        <w:t>There will be no payments/gifts to respondents for the use of the IRF-PAI.</w:t>
      </w:r>
      <w:r w:rsidRPr="00EA50E8" w:rsidR="00294AF4">
        <w:rPr>
          <w:color w:val="000000" w:themeColor="text1"/>
        </w:rPr>
        <w:t xml:space="preserve"> However, per § 412.604, IRFs must complete the IRF-PAI as a condition for payment under the IRF PPS.  If an IRF fails to comply fully, CMS may withhold (in full or in part) or reduce Medicare payment to the IRF.</w:t>
      </w:r>
    </w:p>
    <w:p w:rsidR="003B486F" w:rsidRPr="00EA50E8" w:rsidP="003B486F" w14:paraId="37A16519" w14:textId="01284D68">
      <w:pPr>
        <w:pStyle w:val="Heading2"/>
      </w:pPr>
      <w:bookmarkStart w:id="46" w:name="_Toc89079487"/>
      <w:bookmarkStart w:id="47" w:name="_Toc94773740"/>
      <w:bookmarkStart w:id="48" w:name="_Toc195704905"/>
      <w:r w:rsidRPr="00EA50E8">
        <w:t>Confidentiality</w:t>
      </w:r>
      <w:bookmarkEnd w:id="46"/>
      <w:bookmarkEnd w:id="47"/>
      <w:bookmarkEnd w:id="48"/>
    </w:p>
    <w:p w:rsidR="003B486F" w:rsidRPr="00EA50E8" w:rsidP="003B486F" w14:paraId="45B038FD" w14:textId="0DAF634E">
      <w:pPr>
        <w:pStyle w:val="ListContinue"/>
        <w:ind w:left="360"/>
        <w:rPr>
          <w:color w:val="000000" w:themeColor="text1"/>
        </w:rPr>
      </w:pPr>
      <w:r w:rsidRPr="00EA50E8">
        <w:rPr>
          <w:color w:val="000000" w:themeColor="text1"/>
        </w:rPr>
        <w:t xml:space="preserve">The system of records </w:t>
      </w:r>
      <w:r w:rsidRPr="00EA50E8" w:rsidR="000573E7">
        <w:rPr>
          <w:color w:val="000000" w:themeColor="text1"/>
        </w:rPr>
        <w:t xml:space="preserve">notices </w:t>
      </w:r>
      <w:r w:rsidRPr="00EA50E8">
        <w:rPr>
          <w:color w:val="000000" w:themeColor="text1"/>
        </w:rPr>
        <w:t>(SOR</w:t>
      </w:r>
      <w:r w:rsidRPr="00EA50E8" w:rsidR="000573E7">
        <w:rPr>
          <w:color w:val="000000" w:themeColor="text1"/>
        </w:rPr>
        <w:t>N</w:t>
      </w:r>
      <w:r w:rsidRPr="00EA50E8">
        <w:rPr>
          <w:color w:val="000000" w:themeColor="text1"/>
        </w:rPr>
        <w:t xml:space="preserve">) establishes </w:t>
      </w:r>
      <w:bookmarkStart w:id="49" w:name="_Int_xCwZpill"/>
      <w:r w:rsidRPr="00EA50E8">
        <w:rPr>
          <w:color w:val="000000" w:themeColor="text1"/>
        </w:rPr>
        <w:t>privacy stringent</w:t>
      </w:r>
      <w:bookmarkEnd w:id="49"/>
      <w:r w:rsidRPr="00EA50E8">
        <w:rPr>
          <w:color w:val="000000" w:themeColor="text1"/>
        </w:rPr>
        <w:t xml:space="preserve"> requirements. The IRF-PAI SOR</w:t>
      </w:r>
      <w:r w:rsidRPr="00EA50E8" w:rsidR="00EB5594">
        <w:rPr>
          <w:color w:val="000000" w:themeColor="text1"/>
        </w:rPr>
        <w:t>N</w:t>
      </w:r>
      <w:r w:rsidRPr="00EA50E8" w:rsidR="00082FB3">
        <w:rPr>
          <w:color w:val="000000" w:themeColor="text1"/>
        </w:rPr>
        <w:t xml:space="preserve"> (09-70-</w:t>
      </w:r>
      <w:r w:rsidRPr="00EA50E8" w:rsidR="00DC6B51">
        <w:rPr>
          <w:color w:val="000000" w:themeColor="text1"/>
        </w:rPr>
        <w:t>0521</w:t>
      </w:r>
      <w:r w:rsidRPr="00EA50E8" w:rsidR="00082FB3">
        <w:rPr>
          <w:color w:val="000000" w:themeColor="text1"/>
        </w:rPr>
        <w:t>)</w:t>
      </w:r>
      <w:r w:rsidRPr="00EA50E8">
        <w:rPr>
          <w:color w:val="000000" w:themeColor="text1"/>
        </w:rPr>
        <w:t xml:space="preserve"> was published in the Federal Register on November 9, 2001</w:t>
      </w:r>
      <w:r w:rsidRPr="00EA50E8" w:rsidR="0043098A">
        <w:rPr>
          <w:color w:val="000000" w:themeColor="text1"/>
        </w:rPr>
        <w:t xml:space="preserve"> </w:t>
      </w:r>
      <w:r w:rsidRPr="00EA50E8">
        <w:rPr>
          <w:color w:val="000000" w:themeColor="text1"/>
        </w:rPr>
        <w:t>(66 FR 56681-56687). A SOR</w:t>
      </w:r>
      <w:r w:rsidRPr="00EA50E8" w:rsidR="000573E7">
        <w:rPr>
          <w:color w:val="000000" w:themeColor="text1"/>
        </w:rPr>
        <w:t>N</w:t>
      </w:r>
      <w:r w:rsidRPr="00EA50E8">
        <w:rPr>
          <w:color w:val="000000" w:themeColor="text1"/>
        </w:rPr>
        <w:t xml:space="preserve"> modification notice was published in the Federal Register on November 20, 2006 (71 FR 67143).</w:t>
      </w:r>
    </w:p>
    <w:p w:rsidR="003B486F" w:rsidRPr="00EA50E8" w:rsidP="003B486F" w14:paraId="148711A3" w14:textId="17EA49D3">
      <w:pPr>
        <w:pStyle w:val="ListContinue"/>
        <w:ind w:left="360"/>
        <w:rPr>
          <w:color w:val="000000" w:themeColor="text1"/>
        </w:rPr>
      </w:pPr>
      <w:r w:rsidRPr="00EA50E8">
        <w:rPr>
          <w:color w:val="000000" w:themeColor="text1"/>
        </w:rPr>
        <w:t xml:space="preserve">CMS has also provided, as part of the current Manual, a section that addresses in writing statements of confidentiality consistent with the Privacy Act of 1974. All patient-level data is protected from public dissemination in accordance with the Privacy Act of 1974, as amended. The </w:t>
      </w:r>
      <w:r w:rsidRPr="00EA50E8" w:rsidR="0043098A">
        <w:rPr>
          <w:color w:val="000000" w:themeColor="text1"/>
        </w:rPr>
        <w:t>data</w:t>
      </w:r>
      <w:r w:rsidRPr="00EA50E8">
        <w:rPr>
          <w:color w:val="000000" w:themeColor="text1"/>
        </w:rPr>
        <w:t xml:space="preserve"> collected is protected and held confidential in accordance with 20 CFR 401.3. Data will be treated in a confidential manner, unless otherwise compelled by law.</w:t>
      </w:r>
    </w:p>
    <w:p w:rsidR="003B486F" w:rsidRPr="00EA50E8" w:rsidP="003B486F" w14:paraId="1CBC57E2" w14:textId="183FA82C">
      <w:pPr>
        <w:pStyle w:val="Heading2"/>
      </w:pPr>
      <w:bookmarkStart w:id="50" w:name="_Toc89079488"/>
      <w:bookmarkStart w:id="51" w:name="_Toc94773741"/>
      <w:bookmarkStart w:id="52" w:name="_Toc195704906"/>
      <w:r w:rsidRPr="00EA50E8">
        <w:t>Sensitive Questions</w:t>
      </w:r>
      <w:bookmarkEnd w:id="50"/>
      <w:bookmarkEnd w:id="51"/>
      <w:bookmarkEnd w:id="52"/>
    </w:p>
    <w:p w:rsidR="003B486F" w:rsidRPr="00EA50E8" w:rsidP="003B486F" w14:paraId="00843F63" w14:textId="77777777">
      <w:pPr>
        <w:pStyle w:val="ListContinue"/>
        <w:ind w:left="360"/>
        <w:rPr>
          <w:color w:val="000000" w:themeColor="text1"/>
        </w:rPr>
      </w:pPr>
      <w:r w:rsidRPr="00EA50E8">
        <w:rPr>
          <w:color w:val="000000" w:themeColor="text1"/>
        </w:rPr>
        <w:t xml:space="preserve">There are no sensitive questions on the IRF-PAI. </w:t>
      </w:r>
    </w:p>
    <w:p w:rsidR="003B486F" w:rsidRPr="00EA50E8" w:rsidP="003B486F" w14:paraId="056468EE" w14:textId="2D5C3FF1">
      <w:pPr>
        <w:pStyle w:val="Heading2"/>
      </w:pPr>
      <w:bookmarkStart w:id="53" w:name="_Toc298168193"/>
      <w:bookmarkStart w:id="54" w:name="_Toc89079489"/>
      <w:bookmarkStart w:id="55" w:name="_Toc94773742"/>
      <w:bookmarkStart w:id="56" w:name="_Toc195704907"/>
      <w:r w:rsidRPr="00EA50E8">
        <w:t>Burden Estimates (Hours &amp; Wages)</w:t>
      </w:r>
      <w:bookmarkEnd w:id="53"/>
      <w:bookmarkEnd w:id="54"/>
      <w:bookmarkEnd w:id="55"/>
      <w:bookmarkEnd w:id="56"/>
    </w:p>
    <w:p w:rsidR="00AC3A21" w:rsidRPr="00EA50E8" w:rsidP="00AC3A21" w14:paraId="4A78D4A5" w14:textId="6B733CE9">
      <w:pPr>
        <w:pStyle w:val="ListContinue"/>
        <w:ind w:left="360"/>
      </w:pPr>
      <w:r w:rsidRPr="00EA50E8">
        <w:t xml:space="preserve">The burden associated with the IRF QRP is the time and effort </w:t>
      </w:r>
      <w:r w:rsidRPr="00EA50E8" w:rsidR="00B6790D">
        <w:t>required</w:t>
      </w:r>
      <w:r w:rsidRPr="00EA50E8">
        <w:t xml:space="preserve"> </w:t>
      </w:r>
      <w:r w:rsidRPr="00EA50E8" w:rsidR="00B6790D">
        <w:t xml:space="preserve">for </w:t>
      </w:r>
      <w:r w:rsidRPr="00EA50E8">
        <w:t xml:space="preserve">complying </w:t>
      </w:r>
      <w:r w:rsidRPr="00EA50E8" w:rsidR="00B6790D">
        <w:t xml:space="preserve">with </w:t>
      </w:r>
      <w:r w:rsidRPr="00EA50E8">
        <w:t xml:space="preserve">the IRF QRP. The estimated burden </w:t>
      </w:r>
      <w:r w:rsidRPr="00EA50E8" w:rsidR="006E6E3F">
        <w:t>for completing the IRF-PAI was established in the FY 2002 IRF PPS Final Rule</w:t>
      </w:r>
      <w:r w:rsidRPr="00EA50E8">
        <w:t xml:space="preserve">.  </w:t>
      </w:r>
      <w:r w:rsidRPr="00EA50E8" w:rsidR="00707700">
        <w:t xml:space="preserve">Since the establishment of the IRF PAI, CMS has calculated programmatic burden accounting for the time and cost it takes an IRF to encode the IRF PAI, prepare the data for electronic submission, and transmit the data to CMS. </w:t>
      </w:r>
      <w:r w:rsidRPr="00EA50E8">
        <w:t xml:space="preserve"> </w:t>
      </w:r>
      <w:r w:rsidRPr="00EA50E8" w:rsidR="008D071C">
        <w:t xml:space="preserve">Our estimates of time to complete new items is based on </w:t>
      </w:r>
      <w:r w:rsidRPr="00EA50E8" w:rsidR="00707700">
        <w:t xml:space="preserve">past </w:t>
      </w:r>
      <w:r w:rsidRPr="00EA50E8" w:rsidR="008D071C">
        <w:t>IRF burden calculations, and o</w:t>
      </w:r>
      <w:r w:rsidRPr="00EA50E8">
        <w:t xml:space="preserve">ur assumptions for staff type are based on the categories generally necessary to </w:t>
      </w:r>
      <w:r w:rsidRPr="00EA50E8" w:rsidR="00B870B5">
        <w:t>collect this data</w:t>
      </w:r>
      <w:r w:rsidRPr="00EA50E8">
        <w:t>, and subsequently encode it.</w:t>
      </w:r>
      <w:r>
        <w:rPr>
          <w:rStyle w:val="FootnoteReference"/>
        </w:rPr>
        <w:footnoteReference w:id="6"/>
      </w:r>
      <w:r w:rsidRPr="00EA50E8">
        <w:t xml:space="preserve">  However, individual providers determine </w:t>
      </w:r>
      <w:r w:rsidRPr="00EA50E8" w:rsidR="008D071C">
        <w:t xml:space="preserve">their own processes to collect the information and </w:t>
      </w:r>
      <w:r w:rsidRPr="00EA50E8">
        <w:t>the staffing resources necessary</w:t>
      </w:r>
      <w:r w:rsidRPr="00EA50E8" w:rsidR="008D071C">
        <w:t xml:space="preserve"> to collect it.</w:t>
      </w:r>
      <w:r w:rsidRPr="00EA50E8">
        <w:t xml:space="preserve">  </w:t>
      </w:r>
      <w:r w:rsidRPr="00EA50E8" w:rsidR="008D071C">
        <w:t>We acknowledge that some IRFs will incur a higher cost than was estimated, while some IRFs will incur a lower cost.</w:t>
      </w:r>
    </w:p>
    <w:p w:rsidR="00B6790D" w:rsidRPr="00EA50E8" w:rsidP="4C372AC2" w14:paraId="6192FC4F" w14:textId="333F2409">
      <w:pPr>
        <w:pStyle w:val="Heading3"/>
      </w:pPr>
      <w:bookmarkStart w:id="57" w:name="_Toc195704908"/>
      <w:r w:rsidRPr="00EA50E8">
        <w:t>Assessing Burden of Information Collection</w:t>
      </w:r>
      <w:bookmarkEnd w:id="57"/>
    </w:p>
    <w:p w:rsidR="00014AB2" w:rsidRPr="00EA50E8" w:rsidP="003B486F" w14:paraId="2AF0E83E" w14:textId="589D6EFF">
      <w:pPr>
        <w:pStyle w:val="ListContinue"/>
        <w:ind w:left="360"/>
        <w:rPr>
          <w:color w:val="000000" w:themeColor="text1"/>
        </w:rPr>
      </w:pPr>
      <w:r w:rsidRPr="00EA50E8">
        <w:rPr>
          <w:color w:val="000000" w:themeColor="text1"/>
        </w:rPr>
        <w:t>In the FY 202</w:t>
      </w:r>
      <w:r w:rsidRPr="00EA50E8" w:rsidR="6DE942FC">
        <w:rPr>
          <w:color w:val="000000" w:themeColor="text1"/>
        </w:rPr>
        <w:t>6</w:t>
      </w:r>
      <w:r w:rsidRPr="00EA50E8">
        <w:rPr>
          <w:color w:val="000000" w:themeColor="text1"/>
        </w:rPr>
        <w:t xml:space="preserve"> IRF PPS </w:t>
      </w:r>
      <w:r w:rsidRPr="00EA50E8" w:rsidR="3463A633">
        <w:rPr>
          <w:color w:val="000000" w:themeColor="text1"/>
        </w:rPr>
        <w:t>proposed</w:t>
      </w:r>
      <w:r w:rsidRPr="00EA50E8" w:rsidR="00D34EFD">
        <w:rPr>
          <w:color w:val="000000" w:themeColor="text1"/>
        </w:rPr>
        <w:t xml:space="preserve"> </w:t>
      </w:r>
      <w:r w:rsidRPr="00EA50E8">
        <w:rPr>
          <w:color w:val="000000" w:themeColor="text1"/>
        </w:rPr>
        <w:t>rule</w:t>
      </w:r>
      <w:r>
        <w:rPr>
          <w:rStyle w:val="FootnoteReference"/>
        </w:rPr>
        <w:footnoteReference w:id="7"/>
      </w:r>
      <w:r w:rsidRPr="00EA50E8" w:rsidR="008537D4">
        <w:rPr>
          <w:color w:val="000000" w:themeColor="text1"/>
        </w:rPr>
        <w:t xml:space="preserve"> </w:t>
      </w:r>
      <w:r w:rsidRPr="00EA50E8">
        <w:rPr>
          <w:color w:val="000000" w:themeColor="text1"/>
        </w:rPr>
        <w:t xml:space="preserve">we </w:t>
      </w:r>
      <w:r w:rsidRPr="00EA50E8" w:rsidR="360665B1">
        <w:rPr>
          <w:color w:val="000000" w:themeColor="text1"/>
        </w:rPr>
        <w:t xml:space="preserve">proposed </w:t>
      </w:r>
      <w:r w:rsidRPr="00EA50E8" w:rsidR="00D34EFD">
        <w:rPr>
          <w:color w:val="000000" w:themeColor="text1"/>
        </w:rPr>
        <w:t xml:space="preserve">the </w:t>
      </w:r>
      <w:r w:rsidRPr="00EA50E8" w:rsidR="00D862B8">
        <w:rPr>
          <w:color w:val="000000" w:themeColor="text1"/>
        </w:rPr>
        <w:t>remov</w:t>
      </w:r>
      <w:r w:rsidRPr="00EA50E8" w:rsidR="00D34EFD">
        <w:rPr>
          <w:color w:val="000000" w:themeColor="text1"/>
        </w:rPr>
        <w:t>al of</w:t>
      </w:r>
      <w:r w:rsidRPr="00EA50E8" w:rsidR="00D862B8">
        <w:rPr>
          <w:color w:val="000000" w:themeColor="text1"/>
        </w:rPr>
        <w:t xml:space="preserve"> </w:t>
      </w:r>
      <w:r w:rsidRPr="00EA50E8" w:rsidR="38AF1953">
        <w:rPr>
          <w:color w:val="000000" w:themeColor="text1"/>
        </w:rPr>
        <w:t xml:space="preserve">five </w:t>
      </w:r>
      <w:r w:rsidRPr="00EA50E8" w:rsidR="00D862B8">
        <w:rPr>
          <w:color w:val="000000" w:themeColor="text1"/>
        </w:rPr>
        <w:t>item</w:t>
      </w:r>
      <w:r w:rsidRPr="00EA50E8" w:rsidR="6FF0F460">
        <w:rPr>
          <w:color w:val="000000" w:themeColor="text1"/>
        </w:rPr>
        <w:t>s</w:t>
      </w:r>
      <w:r w:rsidRPr="00EA50E8" w:rsidR="00D862B8">
        <w:rPr>
          <w:color w:val="000000" w:themeColor="text1"/>
        </w:rPr>
        <w:t xml:space="preserve"> from the IRF-PAI </w:t>
      </w:r>
      <w:r w:rsidRPr="00EA50E8" w:rsidR="00AD5127">
        <w:rPr>
          <w:color w:val="000000" w:themeColor="text1"/>
        </w:rPr>
        <w:t xml:space="preserve">version </w:t>
      </w:r>
      <w:r w:rsidRPr="00EA50E8" w:rsidR="00D862B8">
        <w:rPr>
          <w:color w:val="000000" w:themeColor="text1"/>
        </w:rPr>
        <w:t>4.</w:t>
      </w:r>
      <w:r w:rsidRPr="00EA50E8" w:rsidR="00F01C99">
        <w:rPr>
          <w:color w:val="000000" w:themeColor="text1"/>
        </w:rPr>
        <w:t>4</w:t>
      </w:r>
      <w:r w:rsidRPr="00EA50E8">
        <w:rPr>
          <w:color w:val="000000" w:themeColor="text1"/>
        </w:rPr>
        <w:t xml:space="preserve">: </w:t>
      </w:r>
    </w:p>
    <w:p w:rsidR="00014AB2" w:rsidRPr="00EA50E8" w:rsidP="00014AB2" w14:paraId="4BFDE47F" w14:textId="7D19CED4">
      <w:pPr>
        <w:pStyle w:val="ListContinue"/>
        <w:numPr>
          <w:ilvl w:val="0"/>
          <w:numId w:val="19"/>
        </w:numPr>
        <w:rPr>
          <w:color w:val="000000" w:themeColor="text1"/>
        </w:rPr>
      </w:pPr>
      <w:r w:rsidRPr="00EA50E8">
        <w:rPr>
          <w:color w:val="000000" w:themeColor="text1"/>
        </w:rPr>
        <w:t>O0350. Patient’s COVID-19 vaccination is up to date</w:t>
      </w:r>
    </w:p>
    <w:p w:rsidR="0069440A" w:rsidRPr="00EA50E8" w:rsidP="00014AB2" w14:paraId="4221FCFA" w14:textId="1A3C793E">
      <w:pPr>
        <w:pStyle w:val="ListContinue"/>
        <w:numPr>
          <w:ilvl w:val="0"/>
          <w:numId w:val="19"/>
        </w:numPr>
        <w:rPr>
          <w:color w:val="000000" w:themeColor="text1"/>
        </w:rPr>
      </w:pPr>
      <w:r w:rsidRPr="00EA50E8">
        <w:t>R0310. Living Situation</w:t>
      </w:r>
    </w:p>
    <w:p w:rsidR="003B7B0E" w:rsidRPr="00EA50E8" w:rsidP="00014AB2" w14:paraId="53B07AEE" w14:textId="6A9E4BC3">
      <w:pPr>
        <w:pStyle w:val="ListContinue"/>
        <w:numPr>
          <w:ilvl w:val="0"/>
          <w:numId w:val="19"/>
        </w:numPr>
        <w:rPr>
          <w:color w:val="000000" w:themeColor="text1"/>
        </w:rPr>
      </w:pPr>
      <w:r w:rsidRPr="00EA50E8">
        <w:t>R0320A</w:t>
      </w:r>
      <w:r w:rsidRPr="00EA50E8" w:rsidR="00E00D93">
        <w:t>.</w:t>
      </w:r>
      <w:r w:rsidRPr="00EA50E8">
        <w:t xml:space="preserve"> and R0320B</w:t>
      </w:r>
      <w:r w:rsidRPr="00EA50E8" w:rsidR="00DB4D50">
        <w:t>. Food</w:t>
      </w:r>
    </w:p>
    <w:p w:rsidR="00DB4D50" w:rsidRPr="00EA50E8" w:rsidP="00475B10" w14:paraId="652B3BC5" w14:textId="665E818E">
      <w:pPr>
        <w:pStyle w:val="ListContinue"/>
        <w:numPr>
          <w:ilvl w:val="0"/>
          <w:numId w:val="19"/>
        </w:numPr>
        <w:rPr>
          <w:color w:val="000000" w:themeColor="text1"/>
        </w:rPr>
      </w:pPr>
      <w:r w:rsidRPr="00EA50E8">
        <w:t>R0330</w:t>
      </w:r>
      <w:r w:rsidRPr="00EA50E8" w:rsidR="00E00D93">
        <w:t>.</w:t>
      </w:r>
      <w:r w:rsidRPr="00EA50E8">
        <w:t xml:space="preserve"> Utilities </w:t>
      </w:r>
    </w:p>
    <w:p w:rsidR="00707700" w:rsidRPr="00EA50E8" w:rsidP="003B486F" w14:paraId="38DDE18E" w14:textId="7FD3F0F2">
      <w:pPr>
        <w:pStyle w:val="ListContinue"/>
        <w:ind w:left="360"/>
        <w:rPr>
          <w:b/>
          <w:bCs/>
          <w:color w:val="000000" w:themeColor="text1"/>
        </w:rPr>
      </w:pPr>
      <w:r w:rsidRPr="00EA50E8">
        <w:rPr>
          <w:color w:val="000000" w:themeColor="text1"/>
        </w:rPr>
        <w:t>We are also modifying two items</w:t>
      </w:r>
      <w:r w:rsidRPr="00EA50E8" w:rsidR="00313D22">
        <w:rPr>
          <w:color w:val="000000" w:themeColor="text1"/>
        </w:rPr>
        <w:t xml:space="preserve"> (</w:t>
      </w:r>
      <w:r w:rsidRPr="00EA50E8" w:rsidR="00F01C99">
        <w:t>Item 8</w:t>
      </w:r>
      <w:r w:rsidRPr="00EA50E8" w:rsidR="00AD5127">
        <w:t>,</w:t>
      </w:r>
      <w:r w:rsidRPr="00EA50E8" w:rsidR="00313D22">
        <w:t xml:space="preserve"> Gender will be modified to A0810 Sex, and item</w:t>
      </w:r>
      <w:r w:rsidRPr="00EA50E8" w:rsidR="006F35F5">
        <w:t xml:space="preserve"> A1250 Transportation will be modified to item A1255 Transportation) but we estimate no burden </w:t>
      </w:r>
      <w:r w:rsidRPr="00EA50E8" w:rsidR="007B63A8">
        <w:t>change</w:t>
      </w:r>
      <w:r w:rsidRPr="00EA50E8" w:rsidR="006F35F5">
        <w:t xml:space="preserve"> for these item modifications. </w:t>
      </w:r>
      <w:r w:rsidRPr="00EA50E8" w:rsidR="00D862B8">
        <w:rPr>
          <w:color w:val="000000" w:themeColor="text1"/>
        </w:rPr>
        <w:t xml:space="preserve"> Overall, we estimate </w:t>
      </w:r>
      <w:r w:rsidRPr="00EA50E8" w:rsidR="5EC80EC2">
        <w:rPr>
          <w:color w:val="000000" w:themeColor="text1"/>
        </w:rPr>
        <w:t>a</w:t>
      </w:r>
      <w:r w:rsidRPr="00EA50E8" w:rsidR="009A57AA">
        <w:rPr>
          <w:color w:val="000000" w:themeColor="text1"/>
        </w:rPr>
        <w:t xml:space="preserve"> </w:t>
      </w:r>
      <w:r w:rsidRPr="00EA50E8" w:rsidR="31A48044">
        <w:rPr>
          <w:color w:val="000000" w:themeColor="text1"/>
        </w:rPr>
        <w:t xml:space="preserve">decrease </w:t>
      </w:r>
      <w:r w:rsidRPr="00EA50E8" w:rsidR="00B870B5">
        <w:rPr>
          <w:color w:val="000000" w:themeColor="text1"/>
        </w:rPr>
        <w:t xml:space="preserve">in the total burden incurred </w:t>
      </w:r>
      <w:r w:rsidRPr="00EA50E8" w:rsidR="009A57AA">
        <w:rPr>
          <w:color w:val="000000" w:themeColor="text1"/>
        </w:rPr>
        <w:t xml:space="preserve">for </w:t>
      </w:r>
      <w:r w:rsidRPr="00EA50E8" w:rsidR="00B870B5">
        <w:rPr>
          <w:color w:val="000000" w:themeColor="text1"/>
        </w:rPr>
        <w:t xml:space="preserve">the </w:t>
      </w:r>
      <w:r w:rsidRPr="00EA50E8" w:rsidR="009A57AA">
        <w:rPr>
          <w:color w:val="000000" w:themeColor="text1"/>
        </w:rPr>
        <w:t>FY 202</w:t>
      </w:r>
      <w:r w:rsidRPr="00EA50E8" w:rsidR="00D862B8">
        <w:rPr>
          <w:color w:val="000000" w:themeColor="text1"/>
        </w:rPr>
        <w:t>8</w:t>
      </w:r>
      <w:r w:rsidRPr="00EA50E8" w:rsidR="009A57AA">
        <w:rPr>
          <w:color w:val="000000" w:themeColor="text1"/>
        </w:rPr>
        <w:t xml:space="preserve"> </w:t>
      </w:r>
      <w:r w:rsidRPr="00EA50E8" w:rsidR="00B870B5">
        <w:rPr>
          <w:color w:val="000000" w:themeColor="text1"/>
        </w:rPr>
        <w:t>IRF QRP</w:t>
      </w:r>
      <w:r w:rsidRPr="00EA50E8" w:rsidR="00F70759">
        <w:rPr>
          <w:color w:val="000000" w:themeColor="text1"/>
        </w:rPr>
        <w:t xml:space="preserve">, </w:t>
      </w:r>
      <w:r w:rsidRPr="00EA50E8" w:rsidR="00BF6C21">
        <w:rPr>
          <w:color w:val="000000" w:themeColor="text1"/>
        </w:rPr>
        <w:t>if the policies proposed for the IRF QRP in the FY 2026 IRF PPS proposed rule are finalized</w:t>
      </w:r>
      <w:r w:rsidRPr="00EA50E8" w:rsidR="00F70759">
        <w:rPr>
          <w:color w:val="000000" w:themeColor="text1"/>
        </w:rPr>
        <w:t xml:space="preserve">. </w:t>
      </w:r>
    </w:p>
    <w:p w:rsidR="005F7116" w:rsidRPr="00EA50E8" w:rsidP="005F7116" w14:paraId="79B3D094" w14:textId="77777777">
      <w:pPr>
        <w:pStyle w:val="ListContinue"/>
        <w:ind w:left="360"/>
        <w:rPr>
          <w:color w:val="000000" w:themeColor="text1"/>
        </w:rPr>
      </w:pPr>
      <w:r w:rsidRPr="00EA50E8">
        <w:rPr>
          <w:b/>
          <w:bCs/>
          <w:color w:val="000000" w:themeColor="text1"/>
        </w:rPr>
        <w:t xml:space="preserve">Estimate of the Burden: </w:t>
      </w:r>
    </w:p>
    <w:p w:rsidR="007E5662" w:rsidRPr="00EA50E8" w:rsidP="00475B10" w14:paraId="167EB462" w14:textId="39A5E1AA">
      <w:pPr>
        <w:pStyle w:val="ListContinue"/>
        <w:ind w:left="360"/>
        <w:rPr>
          <w:color w:val="000000" w:themeColor="text1"/>
        </w:rPr>
      </w:pPr>
      <w:r w:rsidRPr="00EA50E8">
        <w:rPr>
          <w:color w:val="000000" w:themeColor="text1"/>
        </w:rPr>
        <w:t xml:space="preserve">The net result of removing five items </w:t>
      </w:r>
      <w:r w:rsidRPr="00EA50E8" w:rsidR="00FD5B6E">
        <w:rPr>
          <w:color w:val="000000" w:themeColor="text1"/>
        </w:rPr>
        <w:t xml:space="preserve">from the IRF-PAI </w:t>
      </w:r>
      <w:r w:rsidRPr="00EA50E8">
        <w:rPr>
          <w:color w:val="000000" w:themeColor="text1"/>
        </w:rPr>
        <w:t>is a decrease of 1.5 minutes or 0.025 hour of clinical staff time.</w:t>
      </w:r>
      <w:r w:rsidRPr="00EA50E8" w:rsidR="007B63A8">
        <w:rPr>
          <w:color w:val="000000" w:themeColor="text1"/>
        </w:rPr>
        <w:t xml:space="preserve"> </w:t>
      </w:r>
      <w:r w:rsidRPr="00EA50E8">
        <w:rPr>
          <w:color w:val="000000" w:themeColor="text1"/>
        </w:rPr>
        <w:t xml:space="preserve">We identified the staff type based on past IRF burden calculations. We believe that the items would be completed equally by a Registered Nurse (RN) and a Licensed Practical and Licensed Vocational Nurse (LPN/LVN). However, IRFs determine the staffing resources necessary. </w:t>
      </w:r>
    </w:p>
    <w:p w:rsidR="007E5662" w:rsidP="007B63A8" w14:paraId="15DADD7C" w14:textId="70975955">
      <w:pPr>
        <w:pStyle w:val="ListContinue"/>
        <w:ind w:left="360"/>
        <w:rPr>
          <w:color w:val="000000" w:themeColor="text1"/>
        </w:rPr>
      </w:pPr>
      <w:r w:rsidRPr="00EA50E8">
        <w:rPr>
          <w:color w:val="000000" w:themeColor="text1"/>
        </w:rPr>
        <w:t>For the purposes of calculating the costs associated with the collection of information requirements, we obtained median hourly wages for these staff from the U.S. Bureau of Labor Statistics' (BLS) May 2023 National Occupational Employment and Wage Estimates.</w:t>
      </w:r>
      <w:r>
        <w:rPr>
          <w:color w:val="000000" w:themeColor="text1"/>
          <w:vertAlign w:val="superscript"/>
        </w:rPr>
        <w:footnoteReference w:id="8"/>
      </w:r>
      <w:r w:rsidRPr="00EA50E8">
        <w:rPr>
          <w:color w:val="000000" w:themeColor="text1"/>
        </w:rPr>
        <w:t xml:space="preserve"> To account for other indirect costs and fringe benefits, we doubled the hourly wage. These amounts are detailed in Table </w:t>
      </w:r>
      <w:r w:rsidRPr="00EA50E8" w:rsidR="005D149C">
        <w:rPr>
          <w:color w:val="000000" w:themeColor="text1"/>
        </w:rPr>
        <w:t>1</w:t>
      </w:r>
      <w:r w:rsidRPr="00EA50E8" w:rsidR="003B4B3D">
        <w:rPr>
          <w:color w:val="000000" w:themeColor="text1"/>
        </w:rPr>
        <w:t xml:space="preserve">. </w:t>
      </w:r>
      <w:r w:rsidRPr="00EA50E8">
        <w:rPr>
          <w:color w:val="000000" w:themeColor="text1"/>
        </w:rPr>
        <w:t>We established a composite cost estimate using our adjusted wage estimates. The composite estimate of $70.10/</w:t>
      </w:r>
      <w:r w:rsidRPr="00EA50E8">
        <w:rPr>
          <w:color w:val="000000" w:themeColor="text1"/>
        </w:rPr>
        <w:t>hr</w:t>
      </w:r>
      <w:r w:rsidRPr="00EA50E8">
        <w:rPr>
          <w:color w:val="000000" w:themeColor="text1"/>
        </w:rPr>
        <w:t xml:space="preserve"> was calculated by weighting each adjusted hourly wage equally (that is, 50 percent) [($82.76/</w:t>
      </w:r>
      <w:r w:rsidRPr="00EA50E8">
        <w:rPr>
          <w:color w:val="000000" w:themeColor="text1"/>
        </w:rPr>
        <w:t>hr</w:t>
      </w:r>
      <w:r w:rsidRPr="00EA50E8">
        <w:rPr>
          <w:color w:val="000000" w:themeColor="text1"/>
        </w:rPr>
        <w:t xml:space="preserve"> × 0.5) + ($57.44/</w:t>
      </w:r>
      <w:r w:rsidRPr="00EA50E8">
        <w:rPr>
          <w:color w:val="000000" w:themeColor="text1"/>
        </w:rPr>
        <w:t>hr</w:t>
      </w:r>
      <w:r w:rsidRPr="00EA50E8">
        <w:rPr>
          <w:color w:val="000000" w:themeColor="text1"/>
        </w:rPr>
        <w:t xml:space="preserve"> × 0.5) = $70.10]. </w:t>
      </w:r>
    </w:p>
    <w:p w:rsidR="00D905A8" w:rsidRPr="00EA50E8" w:rsidP="007B63A8" w14:paraId="6389F8DD" w14:textId="77777777">
      <w:pPr>
        <w:pStyle w:val="ListContinue"/>
        <w:ind w:left="360"/>
        <w:rPr>
          <w:color w:val="000000" w:themeColor="text1"/>
        </w:rPr>
      </w:pPr>
    </w:p>
    <w:p w:rsidR="007E5662" w:rsidRPr="00EA50E8" w:rsidP="007E5662" w14:paraId="086F9546" w14:textId="06A8126F">
      <w:pPr>
        <w:pStyle w:val="ListContinue"/>
        <w:spacing w:after="0"/>
        <w:rPr>
          <w:b/>
          <w:bCs/>
          <w:color w:val="000000" w:themeColor="text1"/>
        </w:rPr>
      </w:pPr>
      <w:r w:rsidRPr="00EA50E8">
        <w:rPr>
          <w:b/>
          <w:bCs/>
          <w:color w:val="000000" w:themeColor="text1"/>
        </w:rPr>
        <w:t xml:space="preserve">TABLE </w:t>
      </w:r>
      <w:r w:rsidRPr="00EA50E8" w:rsidR="004E5C2E">
        <w:rPr>
          <w:b/>
          <w:bCs/>
          <w:color w:val="000000" w:themeColor="text1"/>
        </w:rPr>
        <w:t>1</w:t>
      </w:r>
      <w:r w:rsidRPr="00EA50E8">
        <w:rPr>
          <w:b/>
          <w:bCs/>
          <w:color w:val="000000" w:themeColor="text1"/>
        </w:rPr>
        <w:t>—U.S. Bureau of Labor and Statistics' May 2023 National Occupational Employment and Wage Estimates</w:t>
      </w:r>
    </w:p>
    <w:tbl>
      <w:tblPr>
        <w:tblCaption w:val="TABLE 1—U.S. Bureau of Labor and Statistics' May 2023 National Occupational Employment and Wage Estimates"/>
        <w:tblDescription w:val="TABLE 1—U.S. Bureau of Labor and Statistics' May 2023 National Occupational Employment and Wage Estimates; 5 columns and 3 rows including header row; from left to right: Occupation title, Occupation code, Median hourly wage ($/hr, Other indirect costs and fringe benefit ($/hr), Adjusted hourly wage ($/hr)"/>
        <w:tblW w:w="0" w:type="auto"/>
        <w:tblCellSpacing w:w="15" w:type="dxa"/>
        <w:tblInd w:w="355" w:type="dxa"/>
        <w:tblBorders>
          <w:top w:val="single" w:sz="4" w:space="0" w:color="auto"/>
          <w:left w:val="single" w:sz="4" w:space="0" w:color="auto"/>
          <w:bottom w:val="single" w:sz="4" w:space="0" w:color="auto"/>
          <w:right w:val="single" w:sz="4" w:space="0" w:color="auto"/>
        </w:tblBorders>
        <w:tblLook w:val="04A0"/>
      </w:tblPr>
      <w:tblGrid>
        <w:gridCol w:w="2079"/>
        <w:gridCol w:w="1416"/>
        <w:gridCol w:w="1755"/>
        <w:gridCol w:w="1990"/>
        <w:gridCol w:w="1760"/>
      </w:tblGrid>
      <w:tr w14:paraId="11A0A60F" w14:textId="77777777" w:rsidTr="003B4B3D">
        <w:tblPrEx>
          <w:tblW w:w="0" w:type="auto"/>
          <w:tblCellSpacing w:w="15" w:type="dxa"/>
          <w:tblInd w:w="355" w:type="dxa"/>
          <w:tblBorders>
            <w:top w:val="single" w:sz="4" w:space="0" w:color="auto"/>
            <w:left w:val="single" w:sz="4" w:space="0" w:color="auto"/>
            <w:bottom w:val="single" w:sz="4" w:space="0" w:color="auto"/>
            <w:right w:val="single" w:sz="4" w:space="0" w:color="auto"/>
          </w:tblBorders>
          <w:tblLook w:val="04A0"/>
        </w:tblPrEx>
        <w:trPr>
          <w:tblHeader/>
          <w:tblCellSpacing w:w="15" w:type="dxa"/>
        </w:trPr>
        <w:tc>
          <w:tcPr>
            <w:tcW w:w="2115" w:type="dxa"/>
            <w:tcBorders>
              <w:top w:val="single" w:sz="4" w:space="0" w:color="auto"/>
              <w:bottom w:val="single" w:sz="4" w:space="0" w:color="auto"/>
              <w:right w:val="single" w:sz="4" w:space="0" w:color="auto"/>
            </w:tcBorders>
            <w:shd w:val="clear" w:color="auto" w:fill="F9F9F9"/>
            <w:tcMar>
              <w:top w:w="15" w:type="dxa"/>
              <w:left w:w="15" w:type="dxa"/>
              <w:bottom w:w="15" w:type="dxa"/>
              <w:right w:w="15" w:type="dxa"/>
            </w:tcMar>
            <w:vAlign w:val="center"/>
            <w:hideMark/>
          </w:tcPr>
          <w:p w:rsidR="007E5662" w:rsidRPr="00EA50E8" w:rsidP="007B63A8" w14:paraId="3BBE4CE3" w14:textId="77777777">
            <w:pPr>
              <w:pStyle w:val="ListContinue"/>
              <w:spacing w:after="0"/>
              <w:ind w:left="0"/>
              <w:rPr>
                <w:b/>
                <w:bCs/>
                <w:color w:val="000000" w:themeColor="text1"/>
              </w:rPr>
            </w:pPr>
            <w:r w:rsidRPr="00EA50E8">
              <w:rPr>
                <w:b/>
                <w:bCs/>
                <w:color w:val="000000" w:themeColor="text1"/>
              </w:rPr>
              <w:t>Occupation title</w:t>
            </w:r>
          </w:p>
        </w:tc>
        <w:tc>
          <w:tcPr>
            <w:tcW w:w="1410" w:type="dxa"/>
            <w:tcBorders>
              <w:top w:val="single" w:sz="4" w:space="0" w:color="auto"/>
              <w:bottom w:val="single" w:sz="4" w:space="0" w:color="auto"/>
              <w:right w:val="single" w:sz="4" w:space="0" w:color="auto"/>
            </w:tcBorders>
            <w:shd w:val="clear" w:color="auto" w:fill="F9F9F9"/>
            <w:tcMar>
              <w:top w:w="15" w:type="dxa"/>
              <w:left w:w="15" w:type="dxa"/>
              <w:bottom w:w="15" w:type="dxa"/>
              <w:right w:w="15" w:type="dxa"/>
            </w:tcMar>
            <w:vAlign w:val="center"/>
            <w:hideMark/>
          </w:tcPr>
          <w:p w:rsidR="007E5662" w:rsidRPr="00EA50E8" w:rsidP="007B63A8" w14:paraId="0E986B9F" w14:textId="77777777">
            <w:pPr>
              <w:pStyle w:val="ListContinue"/>
              <w:spacing w:after="0"/>
              <w:ind w:left="0"/>
              <w:rPr>
                <w:b/>
                <w:bCs/>
                <w:color w:val="000000" w:themeColor="text1"/>
              </w:rPr>
            </w:pPr>
            <w:r w:rsidRPr="00EA50E8">
              <w:rPr>
                <w:b/>
                <w:bCs/>
                <w:color w:val="000000" w:themeColor="text1"/>
              </w:rPr>
              <w:t>Occupation code</w:t>
            </w:r>
          </w:p>
        </w:tc>
        <w:tc>
          <w:tcPr>
            <w:tcW w:w="1598" w:type="dxa"/>
            <w:tcBorders>
              <w:top w:val="single" w:sz="4" w:space="0" w:color="auto"/>
              <w:bottom w:val="single" w:sz="4" w:space="0" w:color="auto"/>
              <w:right w:val="single" w:sz="4" w:space="0" w:color="auto"/>
            </w:tcBorders>
            <w:shd w:val="clear" w:color="auto" w:fill="F9F9F9"/>
            <w:tcMar>
              <w:top w:w="15" w:type="dxa"/>
              <w:left w:w="15" w:type="dxa"/>
              <w:bottom w:w="15" w:type="dxa"/>
              <w:right w:w="15" w:type="dxa"/>
            </w:tcMar>
            <w:vAlign w:val="center"/>
            <w:hideMark/>
          </w:tcPr>
          <w:p w:rsidR="007E5662" w:rsidRPr="00EA50E8" w:rsidP="007B63A8" w14:paraId="08656D5C" w14:textId="77777777">
            <w:pPr>
              <w:pStyle w:val="ListContinue"/>
              <w:spacing w:after="0"/>
              <w:ind w:left="0"/>
              <w:rPr>
                <w:b/>
                <w:bCs/>
                <w:color w:val="000000" w:themeColor="text1"/>
              </w:rPr>
            </w:pPr>
            <w:r w:rsidRPr="00EA50E8">
              <w:rPr>
                <w:b/>
                <w:bCs/>
                <w:color w:val="000000" w:themeColor="text1"/>
              </w:rPr>
              <w:t>Median hourly wage ($/</w:t>
            </w:r>
            <w:r w:rsidRPr="00EA50E8">
              <w:rPr>
                <w:b/>
                <w:bCs/>
                <w:color w:val="000000" w:themeColor="text1"/>
              </w:rPr>
              <w:t>hr</w:t>
            </w:r>
            <w:r w:rsidRPr="00EA50E8">
              <w:rPr>
                <w:b/>
                <w:bCs/>
                <w:color w:val="000000" w:themeColor="text1"/>
              </w:rPr>
              <w:t>)</w:t>
            </w:r>
          </w:p>
        </w:tc>
        <w:tc>
          <w:tcPr>
            <w:tcW w:w="1982" w:type="dxa"/>
            <w:tcBorders>
              <w:top w:val="single" w:sz="4" w:space="0" w:color="auto"/>
              <w:bottom w:val="single" w:sz="4" w:space="0" w:color="auto"/>
              <w:right w:val="single" w:sz="4" w:space="0" w:color="auto"/>
            </w:tcBorders>
            <w:shd w:val="clear" w:color="auto" w:fill="F9F9F9"/>
            <w:tcMar>
              <w:top w:w="15" w:type="dxa"/>
              <w:left w:w="15" w:type="dxa"/>
              <w:bottom w:w="15" w:type="dxa"/>
              <w:right w:w="15" w:type="dxa"/>
            </w:tcMar>
            <w:vAlign w:val="center"/>
            <w:hideMark/>
          </w:tcPr>
          <w:p w:rsidR="007E5662" w:rsidRPr="00EA50E8" w:rsidP="007B63A8" w14:paraId="3621178C" w14:textId="77777777">
            <w:pPr>
              <w:pStyle w:val="ListContinue"/>
              <w:spacing w:after="0"/>
              <w:ind w:left="0"/>
              <w:rPr>
                <w:b/>
                <w:bCs/>
                <w:color w:val="000000" w:themeColor="text1"/>
              </w:rPr>
            </w:pPr>
            <w:r w:rsidRPr="00EA50E8">
              <w:rPr>
                <w:b/>
                <w:bCs/>
                <w:color w:val="000000" w:themeColor="text1"/>
              </w:rPr>
              <w:t>Other indirect costs and fringe benefit ($/</w:t>
            </w:r>
            <w:r w:rsidRPr="00EA50E8">
              <w:rPr>
                <w:b/>
                <w:bCs/>
                <w:color w:val="000000" w:themeColor="text1"/>
              </w:rPr>
              <w:t>hr</w:t>
            </w:r>
            <w:r w:rsidRPr="00EA50E8">
              <w:rPr>
                <w:b/>
                <w:bCs/>
                <w:color w:val="000000" w:themeColor="text1"/>
              </w:rPr>
              <w:t>)</w:t>
            </w:r>
          </w:p>
        </w:tc>
        <w:tc>
          <w:tcPr>
            <w:tcW w:w="1715" w:type="dxa"/>
            <w:tcBorders>
              <w:top w:val="single" w:sz="4" w:space="0" w:color="auto"/>
              <w:bottom w:val="single" w:sz="4" w:space="0" w:color="auto"/>
              <w:right w:val="nil"/>
            </w:tcBorders>
            <w:shd w:val="clear" w:color="auto" w:fill="F9F9F9"/>
            <w:tcMar>
              <w:top w:w="15" w:type="dxa"/>
              <w:left w:w="15" w:type="dxa"/>
              <w:bottom w:w="15" w:type="dxa"/>
              <w:right w:w="15" w:type="dxa"/>
            </w:tcMar>
            <w:vAlign w:val="center"/>
            <w:hideMark/>
          </w:tcPr>
          <w:p w:rsidR="007E5662" w:rsidRPr="00EA50E8" w:rsidP="007B63A8" w14:paraId="2E912762" w14:textId="77777777">
            <w:pPr>
              <w:pStyle w:val="ListContinue"/>
              <w:spacing w:after="0"/>
              <w:ind w:left="0"/>
              <w:rPr>
                <w:b/>
                <w:bCs/>
                <w:color w:val="000000" w:themeColor="text1"/>
              </w:rPr>
            </w:pPr>
            <w:r w:rsidRPr="00EA50E8">
              <w:rPr>
                <w:b/>
                <w:bCs/>
                <w:color w:val="000000" w:themeColor="text1"/>
              </w:rPr>
              <w:t>Adjusted hourly wage ($/</w:t>
            </w:r>
            <w:r w:rsidRPr="00EA50E8">
              <w:rPr>
                <w:b/>
                <w:bCs/>
                <w:color w:val="000000" w:themeColor="text1"/>
              </w:rPr>
              <w:t>hr</w:t>
            </w:r>
            <w:r w:rsidRPr="00EA50E8">
              <w:rPr>
                <w:b/>
                <w:bCs/>
                <w:color w:val="000000" w:themeColor="text1"/>
              </w:rPr>
              <w:t>)</w:t>
            </w:r>
          </w:p>
        </w:tc>
      </w:tr>
      <w:tr w14:paraId="5670DDE6" w14:textId="77777777" w:rsidTr="003B4B3D">
        <w:tblPrEx>
          <w:tblW w:w="0" w:type="auto"/>
          <w:tblCellSpacing w:w="15" w:type="dxa"/>
          <w:tblInd w:w="355" w:type="dxa"/>
          <w:tblLook w:val="04A0"/>
        </w:tblPrEx>
        <w:trPr>
          <w:tblCellSpacing w:w="15" w:type="dxa"/>
        </w:trPr>
        <w:tc>
          <w:tcPr>
            <w:tcW w:w="2115" w:type="dxa"/>
            <w:tcBorders>
              <w:top w:val="nil"/>
              <w:bottom w:val="nil"/>
              <w:right w:val="single" w:sz="4" w:space="0" w:color="auto"/>
            </w:tcBorders>
            <w:tcMar>
              <w:top w:w="15" w:type="dxa"/>
              <w:left w:w="15" w:type="dxa"/>
              <w:bottom w:w="15" w:type="dxa"/>
              <w:right w:w="15" w:type="dxa"/>
            </w:tcMar>
            <w:vAlign w:val="center"/>
            <w:hideMark/>
          </w:tcPr>
          <w:p w:rsidR="007E5662" w:rsidRPr="00EA50E8" w:rsidP="007B63A8" w14:paraId="5B0F3D8D" w14:textId="77777777">
            <w:pPr>
              <w:pStyle w:val="ListContinue"/>
              <w:spacing w:after="0"/>
              <w:ind w:left="0"/>
              <w:rPr>
                <w:color w:val="000000" w:themeColor="text1"/>
              </w:rPr>
            </w:pPr>
            <w:r w:rsidRPr="00EA50E8">
              <w:rPr>
                <w:color w:val="000000" w:themeColor="text1"/>
              </w:rPr>
              <w:t>Registered Nurse (RN)</w:t>
            </w:r>
          </w:p>
        </w:tc>
        <w:tc>
          <w:tcPr>
            <w:tcW w:w="1410" w:type="dxa"/>
            <w:tcBorders>
              <w:top w:val="nil"/>
              <w:bottom w:val="nil"/>
              <w:right w:val="single" w:sz="4" w:space="0" w:color="auto"/>
            </w:tcBorders>
            <w:tcMar>
              <w:top w:w="15" w:type="dxa"/>
              <w:left w:w="15" w:type="dxa"/>
              <w:bottom w:w="15" w:type="dxa"/>
              <w:right w:w="15" w:type="dxa"/>
            </w:tcMar>
            <w:vAlign w:val="center"/>
            <w:hideMark/>
          </w:tcPr>
          <w:p w:rsidR="007E5662" w:rsidRPr="00EA50E8" w:rsidP="007B63A8" w14:paraId="72B93B96" w14:textId="77777777">
            <w:pPr>
              <w:pStyle w:val="ListContinue"/>
              <w:spacing w:after="0"/>
              <w:ind w:left="0"/>
              <w:rPr>
                <w:color w:val="000000" w:themeColor="text1"/>
              </w:rPr>
            </w:pPr>
            <w:r w:rsidRPr="00EA50E8">
              <w:rPr>
                <w:color w:val="000000" w:themeColor="text1"/>
              </w:rPr>
              <w:t>29-1141</w:t>
            </w:r>
          </w:p>
        </w:tc>
        <w:tc>
          <w:tcPr>
            <w:tcW w:w="1598" w:type="dxa"/>
            <w:tcBorders>
              <w:top w:val="nil"/>
              <w:bottom w:val="nil"/>
              <w:right w:val="single" w:sz="4" w:space="0" w:color="auto"/>
            </w:tcBorders>
            <w:tcMar>
              <w:top w:w="15" w:type="dxa"/>
              <w:left w:w="15" w:type="dxa"/>
              <w:bottom w:w="15" w:type="dxa"/>
              <w:right w:w="15" w:type="dxa"/>
            </w:tcMar>
            <w:hideMark/>
          </w:tcPr>
          <w:p w:rsidR="007E5662" w:rsidRPr="00EA50E8" w:rsidP="007E5662" w14:paraId="472FE2E0" w14:textId="77777777">
            <w:pPr>
              <w:pStyle w:val="ListContinue"/>
              <w:spacing w:after="0"/>
              <w:rPr>
                <w:color w:val="000000" w:themeColor="text1"/>
              </w:rPr>
            </w:pPr>
            <w:r w:rsidRPr="00EA50E8">
              <w:rPr>
                <w:color w:val="000000" w:themeColor="text1"/>
              </w:rPr>
              <w:t>$41.38</w:t>
            </w:r>
          </w:p>
        </w:tc>
        <w:tc>
          <w:tcPr>
            <w:tcW w:w="1982" w:type="dxa"/>
            <w:tcBorders>
              <w:top w:val="nil"/>
              <w:bottom w:val="nil"/>
              <w:right w:val="single" w:sz="4" w:space="0" w:color="auto"/>
            </w:tcBorders>
            <w:tcMar>
              <w:top w:w="15" w:type="dxa"/>
              <w:left w:w="15" w:type="dxa"/>
              <w:bottom w:w="15" w:type="dxa"/>
              <w:right w:w="15" w:type="dxa"/>
            </w:tcMar>
            <w:hideMark/>
          </w:tcPr>
          <w:p w:rsidR="007E5662" w:rsidRPr="00EA50E8" w:rsidP="007E5662" w14:paraId="131F8F1C" w14:textId="77777777">
            <w:pPr>
              <w:pStyle w:val="ListContinue"/>
              <w:spacing w:after="0"/>
              <w:rPr>
                <w:color w:val="000000" w:themeColor="text1"/>
              </w:rPr>
            </w:pPr>
            <w:r w:rsidRPr="00EA50E8">
              <w:rPr>
                <w:color w:val="000000" w:themeColor="text1"/>
              </w:rPr>
              <w:t>$41.38</w:t>
            </w:r>
          </w:p>
        </w:tc>
        <w:tc>
          <w:tcPr>
            <w:tcW w:w="1715" w:type="dxa"/>
            <w:tcBorders>
              <w:top w:val="nil"/>
              <w:bottom w:val="nil"/>
              <w:right w:val="nil"/>
            </w:tcBorders>
            <w:tcMar>
              <w:top w:w="15" w:type="dxa"/>
              <w:left w:w="15" w:type="dxa"/>
              <w:bottom w:w="15" w:type="dxa"/>
              <w:right w:w="15" w:type="dxa"/>
            </w:tcMar>
            <w:hideMark/>
          </w:tcPr>
          <w:p w:rsidR="007E5662" w:rsidRPr="00EA50E8" w:rsidP="007E5662" w14:paraId="3CC1CF95" w14:textId="77777777">
            <w:pPr>
              <w:pStyle w:val="ListContinue"/>
              <w:spacing w:after="0"/>
              <w:rPr>
                <w:color w:val="000000" w:themeColor="text1"/>
              </w:rPr>
            </w:pPr>
            <w:r w:rsidRPr="00EA50E8">
              <w:rPr>
                <w:color w:val="000000" w:themeColor="text1"/>
              </w:rPr>
              <w:t>$82.76</w:t>
            </w:r>
          </w:p>
        </w:tc>
      </w:tr>
      <w:tr w14:paraId="2569F6D3" w14:textId="77777777" w:rsidTr="003B4B3D">
        <w:tblPrEx>
          <w:tblW w:w="0" w:type="auto"/>
          <w:tblCellSpacing w:w="15" w:type="dxa"/>
          <w:tblInd w:w="355" w:type="dxa"/>
          <w:tblLook w:val="04A0"/>
        </w:tblPrEx>
        <w:trPr>
          <w:tblCellSpacing w:w="15" w:type="dxa"/>
        </w:trPr>
        <w:tc>
          <w:tcPr>
            <w:tcW w:w="2115" w:type="dxa"/>
            <w:tcBorders>
              <w:top w:val="nil"/>
              <w:bottom w:val="single" w:sz="4" w:space="0" w:color="auto"/>
              <w:right w:val="single" w:sz="4" w:space="0" w:color="auto"/>
            </w:tcBorders>
            <w:tcMar>
              <w:top w:w="15" w:type="dxa"/>
              <w:left w:w="15" w:type="dxa"/>
              <w:bottom w:w="15" w:type="dxa"/>
              <w:right w:w="15" w:type="dxa"/>
            </w:tcMar>
            <w:vAlign w:val="center"/>
            <w:hideMark/>
          </w:tcPr>
          <w:p w:rsidR="007E5662" w:rsidRPr="00EA50E8" w:rsidP="007B63A8" w14:paraId="698C2870" w14:textId="77777777">
            <w:pPr>
              <w:pStyle w:val="ListContinue"/>
              <w:spacing w:after="0"/>
              <w:ind w:left="0"/>
              <w:rPr>
                <w:color w:val="000000" w:themeColor="text1"/>
              </w:rPr>
            </w:pPr>
            <w:r w:rsidRPr="00EA50E8">
              <w:rPr>
                <w:color w:val="000000" w:themeColor="text1"/>
              </w:rPr>
              <w:t>Licensed Practical and Licensed Vocational Nurse (LPN/LVN)</w:t>
            </w:r>
          </w:p>
        </w:tc>
        <w:tc>
          <w:tcPr>
            <w:tcW w:w="1410" w:type="dxa"/>
            <w:tcBorders>
              <w:top w:val="nil"/>
              <w:bottom w:val="single" w:sz="4" w:space="0" w:color="auto"/>
              <w:right w:val="single" w:sz="4" w:space="0" w:color="auto"/>
            </w:tcBorders>
            <w:tcMar>
              <w:top w:w="15" w:type="dxa"/>
              <w:left w:w="15" w:type="dxa"/>
              <w:bottom w:w="15" w:type="dxa"/>
              <w:right w:w="15" w:type="dxa"/>
            </w:tcMar>
            <w:vAlign w:val="center"/>
            <w:hideMark/>
          </w:tcPr>
          <w:p w:rsidR="007E5662" w:rsidRPr="00EA50E8" w:rsidP="007B63A8" w14:paraId="40F83E4F" w14:textId="77777777">
            <w:pPr>
              <w:pStyle w:val="ListContinue"/>
              <w:spacing w:after="0"/>
              <w:ind w:left="0"/>
              <w:rPr>
                <w:color w:val="000000" w:themeColor="text1"/>
              </w:rPr>
            </w:pPr>
            <w:r w:rsidRPr="00EA50E8">
              <w:rPr>
                <w:color w:val="000000" w:themeColor="text1"/>
              </w:rPr>
              <w:t>29-2061</w:t>
            </w:r>
          </w:p>
        </w:tc>
        <w:tc>
          <w:tcPr>
            <w:tcW w:w="1598" w:type="dxa"/>
            <w:tcBorders>
              <w:top w:val="nil"/>
              <w:bottom w:val="single" w:sz="4" w:space="0" w:color="auto"/>
              <w:right w:val="single" w:sz="4" w:space="0" w:color="auto"/>
            </w:tcBorders>
            <w:tcMar>
              <w:top w:w="15" w:type="dxa"/>
              <w:left w:w="15" w:type="dxa"/>
              <w:bottom w:w="15" w:type="dxa"/>
              <w:right w:w="15" w:type="dxa"/>
            </w:tcMar>
            <w:hideMark/>
          </w:tcPr>
          <w:p w:rsidR="007E5662" w:rsidRPr="00EA50E8" w:rsidP="007E5662" w14:paraId="0E7B2C93" w14:textId="77777777">
            <w:pPr>
              <w:pStyle w:val="ListContinue"/>
              <w:spacing w:after="0"/>
              <w:rPr>
                <w:color w:val="000000" w:themeColor="text1"/>
              </w:rPr>
            </w:pPr>
            <w:r w:rsidRPr="00EA50E8">
              <w:rPr>
                <w:color w:val="000000" w:themeColor="text1"/>
              </w:rPr>
              <w:t>$28.72</w:t>
            </w:r>
          </w:p>
        </w:tc>
        <w:tc>
          <w:tcPr>
            <w:tcW w:w="1982" w:type="dxa"/>
            <w:tcBorders>
              <w:top w:val="nil"/>
              <w:bottom w:val="single" w:sz="4" w:space="0" w:color="auto"/>
              <w:right w:val="single" w:sz="4" w:space="0" w:color="auto"/>
            </w:tcBorders>
            <w:tcMar>
              <w:top w:w="15" w:type="dxa"/>
              <w:left w:w="15" w:type="dxa"/>
              <w:bottom w:w="15" w:type="dxa"/>
              <w:right w:w="15" w:type="dxa"/>
            </w:tcMar>
            <w:hideMark/>
          </w:tcPr>
          <w:p w:rsidR="007E5662" w:rsidRPr="00EA50E8" w:rsidP="007E5662" w14:paraId="2669CF02" w14:textId="77777777">
            <w:pPr>
              <w:pStyle w:val="ListContinue"/>
              <w:spacing w:after="0"/>
              <w:rPr>
                <w:color w:val="000000" w:themeColor="text1"/>
              </w:rPr>
            </w:pPr>
            <w:r w:rsidRPr="00EA50E8">
              <w:rPr>
                <w:color w:val="000000" w:themeColor="text1"/>
              </w:rPr>
              <w:t>$28.72</w:t>
            </w:r>
          </w:p>
        </w:tc>
        <w:tc>
          <w:tcPr>
            <w:tcW w:w="1715" w:type="dxa"/>
            <w:tcBorders>
              <w:top w:val="nil"/>
              <w:bottom w:val="single" w:sz="4" w:space="0" w:color="auto"/>
              <w:right w:val="nil"/>
            </w:tcBorders>
            <w:tcMar>
              <w:top w:w="15" w:type="dxa"/>
              <w:left w:w="15" w:type="dxa"/>
              <w:bottom w:w="15" w:type="dxa"/>
              <w:right w:w="15" w:type="dxa"/>
            </w:tcMar>
            <w:hideMark/>
          </w:tcPr>
          <w:p w:rsidR="007E5662" w:rsidRPr="00EA50E8" w:rsidP="007E5662" w14:paraId="44373DC4" w14:textId="77777777">
            <w:pPr>
              <w:pStyle w:val="ListContinue"/>
              <w:spacing w:after="0"/>
              <w:rPr>
                <w:color w:val="000000" w:themeColor="text1"/>
              </w:rPr>
            </w:pPr>
            <w:r w:rsidRPr="00EA50E8">
              <w:rPr>
                <w:color w:val="000000" w:themeColor="text1"/>
              </w:rPr>
              <w:t>$57.44</w:t>
            </w:r>
          </w:p>
        </w:tc>
      </w:tr>
    </w:tbl>
    <w:p w:rsidR="007E5662" w:rsidRPr="00EA50E8" w:rsidP="007E5662" w14:paraId="1A8D774A" w14:textId="77777777">
      <w:pPr>
        <w:pStyle w:val="ListContinue"/>
        <w:spacing w:after="0"/>
        <w:rPr>
          <w:color w:val="000000" w:themeColor="text1"/>
        </w:rPr>
      </w:pPr>
    </w:p>
    <w:p w:rsidR="007E5662" w:rsidRPr="00EA50E8" w:rsidP="003B4B3D" w14:paraId="40260835" w14:textId="00CF7A57">
      <w:pPr>
        <w:pStyle w:val="ListContinue"/>
        <w:spacing w:after="0"/>
        <w:ind w:left="360"/>
        <w:rPr>
          <w:color w:val="000000" w:themeColor="text1"/>
        </w:rPr>
      </w:pPr>
      <w:r w:rsidRPr="00EA50E8">
        <w:rPr>
          <w:color w:val="000000" w:themeColor="text1"/>
        </w:rPr>
        <w:t xml:space="preserve">We estimate that the burden and cost for IRFs for complying with </w:t>
      </w:r>
      <w:r w:rsidRPr="00EA50E8" w:rsidR="00BF6C21">
        <w:rPr>
          <w:color w:val="000000" w:themeColor="text1"/>
        </w:rPr>
        <w:t xml:space="preserve">the proposed </w:t>
      </w:r>
      <w:r w:rsidRPr="00EA50E8">
        <w:rPr>
          <w:color w:val="000000" w:themeColor="text1"/>
        </w:rPr>
        <w:t xml:space="preserve">requirements of the FY 2028 IRF QRP would decrease under this proposal. </w:t>
      </w:r>
      <w:r w:rsidRPr="00EA50E8" w:rsidR="002314C8">
        <w:rPr>
          <w:color w:val="000000" w:themeColor="text1"/>
        </w:rPr>
        <w:t xml:space="preserve">We estimate that </w:t>
      </w:r>
      <w:r w:rsidRPr="00EA50E8" w:rsidR="00BF6C21">
        <w:rPr>
          <w:color w:val="000000" w:themeColor="text1"/>
        </w:rPr>
        <w:t>the proposed removal of</w:t>
      </w:r>
      <w:r w:rsidRPr="00EA50E8" w:rsidR="002C6B5F">
        <w:rPr>
          <w:color w:val="000000" w:themeColor="text1"/>
        </w:rPr>
        <w:t xml:space="preserve"> </w:t>
      </w:r>
      <w:r w:rsidRPr="00EA50E8" w:rsidR="00765D15">
        <w:rPr>
          <w:color w:val="000000" w:themeColor="text1"/>
        </w:rPr>
        <w:t>five items from the IRF-PAI is a decrease of 1.5 minutes or 0.025 hour of clinical staff time</w:t>
      </w:r>
      <w:r w:rsidRPr="00EA50E8">
        <w:rPr>
          <w:color w:val="000000" w:themeColor="text1"/>
        </w:rPr>
        <w:t xml:space="preserve">. Using FY 2024 data, we estimate a total of 622,300 assessments from 1,166 IRFs annually for a decrease of </w:t>
      </w:r>
      <w:r w:rsidRPr="00EA50E8" w:rsidR="00311EA8">
        <w:rPr>
          <w:color w:val="000000" w:themeColor="text1"/>
        </w:rPr>
        <w:t>15,557</w:t>
      </w:r>
      <w:r w:rsidRPr="00EA50E8" w:rsidR="006D1FD5">
        <w:rPr>
          <w:color w:val="000000" w:themeColor="text1"/>
        </w:rPr>
        <w:t>.50</w:t>
      </w:r>
      <w:r w:rsidRPr="00EA50E8">
        <w:rPr>
          <w:color w:val="000000" w:themeColor="text1"/>
        </w:rPr>
        <w:t xml:space="preserve"> hours in burden for all IRFs (622,300 x 0.02</w:t>
      </w:r>
      <w:r w:rsidRPr="00EA50E8" w:rsidR="006D1FD5">
        <w:rPr>
          <w:color w:val="000000" w:themeColor="text1"/>
        </w:rPr>
        <w:t>5</w:t>
      </w:r>
      <w:r w:rsidRPr="00EA50E8">
        <w:rPr>
          <w:color w:val="000000" w:themeColor="text1"/>
        </w:rPr>
        <w:t xml:space="preserve"> hour), or a decrease of </w:t>
      </w:r>
      <w:r w:rsidRPr="00EA50E8" w:rsidR="006D1FD5">
        <w:rPr>
          <w:color w:val="000000" w:themeColor="text1"/>
        </w:rPr>
        <w:t>13.34</w:t>
      </w:r>
      <w:r w:rsidRPr="00EA50E8">
        <w:rPr>
          <w:color w:val="000000" w:themeColor="text1"/>
        </w:rPr>
        <w:t xml:space="preserve"> hours per IRF. Given </w:t>
      </w:r>
      <w:r w:rsidRPr="00EA50E8" w:rsidR="006D1FD5">
        <w:rPr>
          <w:color w:val="000000" w:themeColor="text1"/>
        </w:rPr>
        <w:t>13.34</w:t>
      </w:r>
      <w:r w:rsidRPr="00EA50E8">
        <w:rPr>
          <w:color w:val="000000" w:themeColor="text1"/>
        </w:rPr>
        <w:t xml:space="preserve"> hours at $70.10 per hour</w:t>
      </w:r>
      <w:r w:rsidRPr="00EA50E8" w:rsidR="000F75F8">
        <w:rPr>
          <w:color w:val="000000" w:themeColor="text1"/>
        </w:rPr>
        <w:t xml:space="preserve">, </w:t>
      </w:r>
      <w:r w:rsidRPr="00EA50E8">
        <w:rPr>
          <w:color w:val="000000" w:themeColor="text1"/>
        </w:rPr>
        <w:t>we estimate the total cost will be decreased by $</w:t>
      </w:r>
      <w:r w:rsidRPr="00EA50E8" w:rsidR="000F75F8">
        <w:rPr>
          <w:color w:val="000000" w:themeColor="text1"/>
        </w:rPr>
        <w:t>935.32</w:t>
      </w:r>
      <w:r w:rsidRPr="00EA50E8">
        <w:rPr>
          <w:color w:val="000000" w:themeColor="text1"/>
        </w:rPr>
        <w:t xml:space="preserve"> per IRF annually, or $</w:t>
      </w:r>
      <w:r w:rsidRPr="00EA50E8" w:rsidR="000C020F">
        <w:rPr>
          <w:color w:val="000000" w:themeColor="text1"/>
        </w:rPr>
        <w:t>1,090,580.75</w:t>
      </w:r>
      <w:r w:rsidRPr="00EA50E8">
        <w:rPr>
          <w:color w:val="000000" w:themeColor="text1"/>
        </w:rPr>
        <w:t xml:space="preserve"> for all IRFs annually</w:t>
      </w:r>
      <w:r w:rsidRPr="00EA50E8" w:rsidR="000C020F">
        <w:rPr>
          <w:color w:val="000000" w:themeColor="text1"/>
        </w:rPr>
        <w:t xml:space="preserve">. </w:t>
      </w:r>
    </w:p>
    <w:p w:rsidR="002314C8" w:rsidRPr="00EA50E8" w:rsidP="007E5662" w14:paraId="1617D68E" w14:textId="77777777">
      <w:pPr>
        <w:pStyle w:val="ListContinue"/>
        <w:spacing w:after="0"/>
        <w:rPr>
          <w:color w:val="000000" w:themeColor="text1"/>
        </w:rPr>
      </w:pPr>
    </w:p>
    <w:p w:rsidR="00D90BD3" w:rsidRPr="00EA50E8" w:rsidP="4C372AC2" w14:paraId="537DC775" w14:textId="77777777">
      <w:pPr>
        <w:pStyle w:val="ListContinue"/>
        <w:spacing w:after="0"/>
        <w:ind w:left="0"/>
        <w:rPr>
          <w:color w:val="000000" w:themeColor="text1"/>
        </w:rPr>
      </w:pPr>
    </w:p>
    <w:p w:rsidR="00212C61" w:rsidRPr="00EA50E8" w:rsidP="009F03D6" w14:paraId="6EAC79BE" w14:textId="77F6D04C">
      <w:pPr>
        <w:pStyle w:val="ListContinue"/>
        <w:keepNext/>
        <w:ind w:left="360"/>
        <w:rPr>
          <w:b/>
          <w:bCs/>
          <w:color w:val="000000" w:themeColor="text1"/>
          <w:u w:val="single"/>
        </w:rPr>
      </w:pPr>
      <w:r w:rsidRPr="00EA50E8">
        <w:rPr>
          <w:b/>
          <w:bCs/>
          <w:color w:val="000000" w:themeColor="text1"/>
          <w:u w:val="single"/>
        </w:rPr>
        <w:t>Burden Hours and Cost Calculation for IRF-PAI V4.</w:t>
      </w:r>
      <w:r w:rsidRPr="00EA50E8" w:rsidR="0076526A">
        <w:rPr>
          <w:b/>
          <w:bCs/>
          <w:color w:val="000000" w:themeColor="text1"/>
          <w:u w:val="single"/>
        </w:rPr>
        <w:t>4</w:t>
      </w:r>
      <w:r w:rsidRPr="00EA50E8">
        <w:rPr>
          <w:b/>
          <w:bCs/>
          <w:color w:val="000000" w:themeColor="text1"/>
          <w:u w:val="single"/>
        </w:rPr>
        <w:t xml:space="preserve"> for the FY 202</w:t>
      </w:r>
      <w:r w:rsidRPr="00EA50E8" w:rsidR="00001983">
        <w:rPr>
          <w:b/>
          <w:bCs/>
          <w:color w:val="000000" w:themeColor="text1"/>
          <w:u w:val="single"/>
        </w:rPr>
        <w:t>8</w:t>
      </w:r>
      <w:r w:rsidRPr="00EA50E8">
        <w:rPr>
          <w:b/>
          <w:bCs/>
          <w:color w:val="000000" w:themeColor="text1"/>
          <w:u w:val="single"/>
        </w:rPr>
        <w:t xml:space="preserve"> IRF QRP:</w:t>
      </w:r>
    </w:p>
    <w:tbl>
      <w:tblPr>
        <w:tblStyle w:val="TableGrid"/>
        <w:tblCaption w:val="Burden Hours and Cost Calculation for IRF-PAI V4.4 for the FY 2028 IRF QRP"/>
        <w:tblDescription w:val="Burden Hours and Cost Calculation for IRF-PAI V4.4 for the FY 2028 IRF QRP; 2 columns and 10 rows including header row; from left to right: Average number of IRFs in U.S. in 2024, 1,166"/>
        <w:tblW w:w="0" w:type="auto"/>
        <w:tblInd w:w="445" w:type="dxa"/>
        <w:tblLook w:val="04A0"/>
      </w:tblPr>
      <w:tblGrid>
        <w:gridCol w:w="6599"/>
        <w:gridCol w:w="2306"/>
      </w:tblGrid>
      <w:tr w14:paraId="1536BA0F" w14:textId="77777777" w:rsidTr="601E5EAE">
        <w:tblPrEx>
          <w:tblW w:w="0" w:type="auto"/>
          <w:tblInd w:w="445" w:type="dxa"/>
          <w:tblLook w:val="04A0"/>
        </w:tblPrEx>
        <w:trPr>
          <w:trHeight w:val="300"/>
        </w:trPr>
        <w:tc>
          <w:tcPr>
            <w:tcW w:w="6599" w:type="dxa"/>
          </w:tcPr>
          <w:p w:rsidR="00212C61" w:rsidRPr="00EA50E8" w:rsidP="00212C61" w14:paraId="69C75B31" w14:textId="146776FC">
            <w:pPr>
              <w:pStyle w:val="ListContinue"/>
              <w:spacing w:after="0"/>
              <w:ind w:left="0"/>
              <w:rPr>
                <w:color w:val="000000" w:themeColor="text1"/>
              </w:rPr>
            </w:pPr>
            <w:r w:rsidRPr="00EA50E8">
              <w:rPr>
                <w:color w:val="000000" w:themeColor="text1"/>
              </w:rPr>
              <w:t>Average number of IRFs in U.S. in 202</w:t>
            </w:r>
            <w:r w:rsidRPr="00EA50E8" w:rsidR="009A338C">
              <w:rPr>
                <w:color w:val="000000" w:themeColor="text1"/>
              </w:rPr>
              <w:t>4</w:t>
            </w:r>
            <w:r>
              <w:rPr>
                <w:rStyle w:val="FootnoteReference"/>
              </w:rPr>
              <w:footnoteReference w:id="9"/>
            </w:r>
          </w:p>
        </w:tc>
        <w:tc>
          <w:tcPr>
            <w:tcW w:w="2306" w:type="dxa"/>
          </w:tcPr>
          <w:p w:rsidR="00212C61" w:rsidRPr="00EA50E8" w:rsidP="00212C61" w14:paraId="200259AB" w14:textId="604C613D">
            <w:pPr>
              <w:pStyle w:val="ListContinue"/>
              <w:spacing w:after="0"/>
              <w:ind w:left="0"/>
              <w:jc w:val="right"/>
              <w:rPr>
                <w:color w:val="000000" w:themeColor="text1"/>
              </w:rPr>
            </w:pPr>
            <w:r w:rsidRPr="00EA50E8">
              <w:rPr>
                <w:color w:val="000000" w:themeColor="text1"/>
              </w:rPr>
              <w:t xml:space="preserve">    1,1</w:t>
            </w:r>
            <w:r w:rsidRPr="00EA50E8" w:rsidR="00B743AC">
              <w:rPr>
                <w:color w:val="000000" w:themeColor="text1"/>
              </w:rPr>
              <w:t>6</w:t>
            </w:r>
            <w:r w:rsidRPr="00EA50E8" w:rsidR="0689193B">
              <w:rPr>
                <w:color w:val="000000" w:themeColor="text1"/>
              </w:rPr>
              <w:t>6</w:t>
            </w:r>
          </w:p>
        </w:tc>
      </w:tr>
      <w:tr w14:paraId="5766FF80" w14:textId="77777777" w:rsidTr="601E5EAE">
        <w:tblPrEx>
          <w:tblW w:w="0" w:type="auto"/>
          <w:tblInd w:w="445" w:type="dxa"/>
          <w:tblLook w:val="04A0"/>
        </w:tblPrEx>
        <w:trPr>
          <w:trHeight w:val="300"/>
        </w:trPr>
        <w:tc>
          <w:tcPr>
            <w:tcW w:w="6599" w:type="dxa"/>
          </w:tcPr>
          <w:p w:rsidR="00212C61" w:rsidRPr="00EA50E8" w:rsidP="00212C61" w14:paraId="16860DFC" w14:textId="7A5E1402">
            <w:pPr>
              <w:pStyle w:val="ListContinue"/>
              <w:spacing w:after="0"/>
              <w:ind w:left="0"/>
              <w:rPr>
                <w:color w:val="000000" w:themeColor="text1"/>
              </w:rPr>
            </w:pPr>
            <w:r w:rsidRPr="00EA50E8">
              <w:rPr>
                <w:color w:val="000000" w:themeColor="text1"/>
              </w:rPr>
              <w:t>Average number of IRF-PAI admission reports submitted per each IRF for the FY 202</w:t>
            </w:r>
            <w:r w:rsidRPr="00EA50E8" w:rsidR="00001983">
              <w:rPr>
                <w:color w:val="000000" w:themeColor="text1"/>
              </w:rPr>
              <w:t>6</w:t>
            </w:r>
            <w:r w:rsidRPr="00EA50E8">
              <w:rPr>
                <w:color w:val="000000" w:themeColor="text1"/>
              </w:rPr>
              <w:t xml:space="preserve"> IRF QRP</w:t>
            </w:r>
          </w:p>
        </w:tc>
        <w:tc>
          <w:tcPr>
            <w:tcW w:w="2306" w:type="dxa"/>
            <w:vAlign w:val="center"/>
          </w:tcPr>
          <w:p w:rsidR="00212C61" w:rsidRPr="00EA50E8" w:rsidP="00212C61" w14:paraId="2FD34767" w14:textId="144AA110">
            <w:pPr>
              <w:pStyle w:val="ListContinue"/>
              <w:spacing w:after="0"/>
              <w:ind w:left="0"/>
              <w:jc w:val="right"/>
              <w:rPr>
                <w:color w:val="000000" w:themeColor="text1"/>
              </w:rPr>
            </w:pPr>
            <w:r w:rsidRPr="00EA50E8">
              <w:rPr>
                <w:color w:val="000000" w:themeColor="text1"/>
              </w:rPr>
              <w:t>534</w:t>
            </w:r>
          </w:p>
        </w:tc>
      </w:tr>
      <w:tr w14:paraId="4BD768B9" w14:textId="77777777" w:rsidTr="601E5EAE">
        <w:tblPrEx>
          <w:tblW w:w="0" w:type="auto"/>
          <w:tblInd w:w="445" w:type="dxa"/>
          <w:tblLook w:val="04A0"/>
        </w:tblPrEx>
        <w:trPr>
          <w:trHeight w:val="300"/>
        </w:trPr>
        <w:tc>
          <w:tcPr>
            <w:tcW w:w="6599" w:type="dxa"/>
          </w:tcPr>
          <w:p w:rsidR="00212C61" w:rsidRPr="00EA50E8" w:rsidP="00212C61" w14:paraId="2564BD79" w14:textId="5C1735D5">
            <w:pPr>
              <w:pStyle w:val="ListContinue"/>
              <w:spacing w:after="0"/>
              <w:ind w:left="0"/>
              <w:rPr>
                <w:color w:val="000000" w:themeColor="text1"/>
              </w:rPr>
            </w:pPr>
            <w:r w:rsidRPr="00EA50E8">
              <w:rPr>
                <w:color w:val="000000" w:themeColor="text1"/>
              </w:rPr>
              <w:t>Average number of IRF-PAI admission reports submitted for all IRFs for the FY 202</w:t>
            </w:r>
            <w:r w:rsidRPr="00EA50E8" w:rsidR="00001983">
              <w:rPr>
                <w:color w:val="000000" w:themeColor="text1"/>
              </w:rPr>
              <w:t>6</w:t>
            </w:r>
            <w:r w:rsidRPr="00EA50E8">
              <w:rPr>
                <w:color w:val="000000" w:themeColor="text1"/>
              </w:rPr>
              <w:t xml:space="preserve"> IRF QRP</w:t>
            </w:r>
          </w:p>
        </w:tc>
        <w:tc>
          <w:tcPr>
            <w:tcW w:w="2306" w:type="dxa"/>
            <w:vAlign w:val="center"/>
          </w:tcPr>
          <w:p w:rsidR="00212C61" w:rsidRPr="00EA50E8" w14:paraId="24C59AFC" w14:textId="05A96A28">
            <w:pPr>
              <w:pStyle w:val="ListContinue"/>
              <w:spacing w:after="0"/>
              <w:ind w:left="0"/>
              <w:jc w:val="right"/>
              <w:rPr>
                <w:color w:val="000000" w:themeColor="text1"/>
              </w:rPr>
            </w:pPr>
            <w:r w:rsidRPr="00EA50E8">
              <w:rPr>
                <w:color w:val="000000" w:themeColor="text1"/>
              </w:rPr>
              <w:t>622,300</w:t>
            </w:r>
          </w:p>
        </w:tc>
      </w:tr>
      <w:tr w14:paraId="4358E016" w14:textId="77777777" w:rsidTr="601E5EAE">
        <w:tblPrEx>
          <w:tblW w:w="0" w:type="auto"/>
          <w:tblInd w:w="445" w:type="dxa"/>
          <w:tblLook w:val="04A0"/>
        </w:tblPrEx>
        <w:trPr>
          <w:trHeight w:val="300"/>
        </w:trPr>
        <w:tc>
          <w:tcPr>
            <w:tcW w:w="6599" w:type="dxa"/>
          </w:tcPr>
          <w:p w:rsidR="00212C61" w:rsidRPr="00EA50E8" w:rsidP="00212C61" w14:paraId="6A20E0BA" w14:textId="3BD2A553">
            <w:pPr>
              <w:pStyle w:val="ListContinue"/>
              <w:spacing w:after="0"/>
              <w:ind w:left="0"/>
              <w:rPr>
                <w:color w:val="000000" w:themeColor="text1"/>
              </w:rPr>
            </w:pPr>
            <w:r w:rsidRPr="00EA50E8">
              <w:rPr>
                <w:color w:val="000000" w:themeColor="text1"/>
              </w:rPr>
              <w:t>Minutes to complete each IRF-PAI</w:t>
            </w:r>
          </w:p>
        </w:tc>
        <w:tc>
          <w:tcPr>
            <w:tcW w:w="2306" w:type="dxa"/>
            <w:vAlign w:val="center"/>
          </w:tcPr>
          <w:p w:rsidR="00212C61" w:rsidRPr="00EA50E8" w:rsidP="00212C61" w14:paraId="0A5A4013" w14:textId="59CF143F">
            <w:pPr>
              <w:pStyle w:val="ListContinue"/>
              <w:spacing w:after="0"/>
              <w:ind w:left="0"/>
              <w:jc w:val="right"/>
              <w:rPr>
                <w:color w:val="000000" w:themeColor="text1"/>
              </w:rPr>
            </w:pPr>
            <w:r w:rsidRPr="00EA50E8">
              <w:rPr>
                <w:color w:val="000000" w:themeColor="text1"/>
              </w:rPr>
              <w:t>10</w:t>
            </w:r>
            <w:r w:rsidRPr="00EA50E8" w:rsidR="19457065">
              <w:rPr>
                <w:color w:val="000000" w:themeColor="text1"/>
              </w:rPr>
              <w:t>5</w:t>
            </w:r>
            <w:r w:rsidRPr="00EA50E8" w:rsidR="25305221">
              <w:rPr>
                <w:color w:val="000000" w:themeColor="text1"/>
              </w:rPr>
              <w:t>.</w:t>
            </w:r>
            <w:r w:rsidRPr="00EA50E8" w:rsidR="4974FB36">
              <w:rPr>
                <w:color w:val="000000" w:themeColor="text1"/>
              </w:rPr>
              <w:t>1</w:t>
            </w:r>
          </w:p>
        </w:tc>
      </w:tr>
      <w:tr w14:paraId="42D17E44" w14:textId="77777777" w:rsidTr="601E5EAE">
        <w:tblPrEx>
          <w:tblW w:w="0" w:type="auto"/>
          <w:tblInd w:w="445" w:type="dxa"/>
          <w:tblLook w:val="04A0"/>
        </w:tblPrEx>
        <w:trPr>
          <w:trHeight w:val="300"/>
        </w:trPr>
        <w:tc>
          <w:tcPr>
            <w:tcW w:w="6599" w:type="dxa"/>
          </w:tcPr>
          <w:p w:rsidR="008108E4" w:rsidRPr="00EA50E8" w:rsidP="00212C61" w14:paraId="31CB87C2" w14:textId="5CD05D7B">
            <w:pPr>
              <w:pStyle w:val="ListContinue"/>
              <w:spacing w:after="0"/>
              <w:ind w:left="0"/>
              <w:rPr>
                <w:color w:val="000000" w:themeColor="text1"/>
              </w:rPr>
            </w:pPr>
            <w:r w:rsidRPr="00EA50E8">
              <w:rPr>
                <w:color w:val="000000" w:themeColor="text1"/>
              </w:rPr>
              <w:t xml:space="preserve">Decrease </w:t>
            </w:r>
            <w:r w:rsidRPr="00EA50E8">
              <w:rPr>
                <w:color w:val="000000" w:themeColor="text1"/>
              </w:rPr>
              <w:t>in minutes to complete each IRF-PAI</w:t>
            </w:r>
          </w:p>
        </w:tc>
        <w:tc>
          <w:tcPr>
            <w:tcW w:w="2306" w:type="dxa"/>
            <w:vAlign w:val="center"/>
          </w:tcPr>
          <w:p w:rsidR="008108E4" w:rsidRPr="00EA50E8" w14:paraId="6823DC90" w14:textId="62C5DF08">
            <w:pPr>
              <w:pStyle w:val="ListContinue"/>
              <w:spacing w:after="0"/>
              <w:ind w:left="0"/>
              <w:jc w:val="right"/>
              <w:rPr>
                <w:color w:val="000000" w:themeColor="text1"/>
              </w:rPr>
            </w:pPr>
            <w:r w:rsidRPr="00EA50E8">
              <w:rPr>
                <w:color w:val="000000" w:themeColor="text1"/>
              </w:rPr>
              <w:t>(</w:t>
            </w:r>
            <w:r w:rsidRPr="00EA50E8" w:rsidR="1D598F99">
              <w:rPr>
                <w:color w:val="000000" w:themeColor="text1"/>
              </w:rPr>
              <w:t>1.2</w:t>
            </w:r>
            <w:r w:rsidRPr="00EA50E8">
              <w:rPr>
                <w:color w:val="000000" w:themeColor="text1"/>
              </w:rPr>
              <w:t>)</w:t>
            </w:r>
          </w:p>
        </w:tc>
      </w:tr>
      <w:tr w14:paraId="3B546987" w14:textId="77777777" w:rsidTr="601E5EAE">
        <w:tblPrEx>
          <w:tblW w:w="0" w:type="auto"/>
          <w:tblInd w:w="445" w:type="dxa"/>
          <w:tblLook w:val="04A0"/>
        </w:tblPrEx>
        <w:trPr>
          <w:trHeight w:val="300"/>
        </w:trPr>
        <w:tc>
          <w:tcPr>
            <w:tcW w:w="6599" w:type="dxa"/>
          </w:tcPr>
          <w:p w:rsidR="00212C61" w:rsidRPr="00EA50E8" w:rsidP="00212C61" w14:paraId="5B4F7C85" w14:textId="4F10EE2F">
            <w:pPr>
              <w:pStyle w:val="ListContinue"/>
              <w:spacing w:after="0"/>
              <w:ind w:left="0"/>
              <w:rPr>
                <w:color w:val="000000" w:themeColor="text1"/>
              </w:rPr>
            </w:pPr>
            <w:r w:rsidRPr="00EA50E8">
              <w:rPr>
                <w:color w:val="000000" w:themeColor="text1"/>
              </w:rPr>
              <w:t xml:space="preserve">Decrease </w:t>
            </w:r>
            <w:r w:rsidRPr="00EA50E8">
              <w:rPr>
                <w:color w:val="000000" w:themeColor="text1"/>
              </w:rPr>
              <w:t>in Hours for each IRF annually</w:t>
            </w:r>
          </w:p>
        </w:tc>
        <w:tc>
          <w:tcPr>
            <w:tcW w:w="2306" w:type="dxa"/>
            <w:vAlign w:val="center"/>
          </w:tcPr>
          <w:p w:rsidR="00212C61" w:rsidRPr="00EA50E8" w:rsidP="00212C61" w14:paraId="1368ECE3" w14:textId="1E046E23">
            <w:pPr>
              <w:pStyle w:val="ListContinue"/>
              <w:spacing w:after="0"/>
              <w:ind w:left="0"/>
              <w:jc w:val="right"/>
              <w:rPr>
                <w:color w:val="000000" w:themeColor="text1"/>
              </w:rPr>
            </w:pPr>
            <w:r w:rsidRPr="00EA50E8">
              <w:rPr>
                <w:color w:val="000000" w:themeColor="text1"/>
              </w:rPr>
              <w:t>(</w:t>
            </w:r>
            <w:r w:rsidRPr="00EA50E8" w:rsidR="00346D70">
              <w:rPr>
                <w:color w:val="000000" w:themeColor="text1"/>
              </w:rPr>
              <w:t>13.</w:t>
            </w:r>
            <w:r w:rsidRPr="00EA50E8" w:rsidR="008372D3">
              <w:rPr>
                <w:color w:val="000000" w:themeColor="text1"/>
              </w:rPr>
              <w:t>34</w:t>
            </w:r>
            <w:r w:rsidRPr="00EA50E8">
              <w:rPr>
                <w:color w:val="000000" w:themeColor="text1"/>
              </w:rPr>
              <w:t>)</w:t>
            </w:r>
          </w:p>
        </w:tc>
      </w:tr>
      <w:tr w14:paraId="1FCB0525" w14:textId="77777777" w:rsidTr="601E5EAE">
        <w:tblPrEx>
          <w:tblW w:w="0" w:type="auto"/>
          <w:tblInd w:w="445" w:type="dxa"/>
          <w:tblLook w:val="04A0"/>
        </w:tblPrEx>
        <w:trPr>
          <w:trHeight w:val="300"/>
        </w:trPr>
        <w:tc>
          <w:tcPr>
            <w:tcW w:w="6599" w:type="dxa"/>
          </w:tcPr>
          <w:p w:rsidR="00212C61" w:rsidRPr="00EA50E8" w:rsidP="00212C61" w14:paraId="68194528" w14:textId="563C0C13">
            <w:pPr>
              <w:pStyle w:val="ListContinue"/>
              <w:spacing w:after="0"/>
              <w:ind w:left="0"/>
              <w:rPr>
                <w:color w:val="000000" w:themeColor="text1"/>
              </w:rPr>
            </w:pPr>
            <w:r w:rsidRPr="00EA50E8">
              <w:rPr>
                <w:color w:val="000000" w:themeColor="text1"/>
              </w:rPr>
              <w:t xml:space="preserve">Decrease </w:t>
            </w:r>
            <w:r w:rsidRPr="00EA50E8">
              <w:rPr>
                <w:color w:val="000000" w:themeColor="text1"/>
              </w:rPr>
              <w:t>in Hours for all IRFs annually</w:t>
            </w:r>
          </w:p>
        </w:tc>
        <w:tc>
          <w:tcPr>
            <w:tcW w:w="2306" w:type="dxa"/>
            <w:vAlign w:val="center"/>
          </w:tcPr>
          <w:p w:rsidR="00212C61" w:rsidRPr="00EA50E8" w14:paraId="2C7F040C" w14:textId="714E09D7">
            <w:pPr>
              <w:pStyle w:val="ListContinue"/>
              <w:spacing w:after="0"/>
              <w:ind w:left="0"/>
              <w:jc w:val="right"/>
              <w:rPr>
                <w:color w:val="000000" w:themeColor="text1"/>
              </w:rPr>
            </w:pPr>
            <w:r w:rsidRPr="00EA50E8">
              <w:rPr>
                <w:color w:val="000000" w:themeColor="text1"/>
              </w:rPr>
              <w:t>(</w:t>
            </w:r>
            <w:r w:rsidRPr="00EA50E8" w:rsidR="008372D3">
              <w:rPr>
                <w:color w:val="000000" w:themeColor="text1"/>
              </w:rPr>
              <w:t>15,558</w:t>
            </w:r>
            <w:r w:rsidRPr="00EA50E8">
              <w:rPr>
                <w:color w:val="000000" w:themeColor="text1"/>
              </w:rPr>
              <w:t>)</w:t>
            </w:r>
          </w:p>
        </w:tc>
      </w:tr>
      <w:tr w14:paraId="4B9B63FC" w14:textId="77777777" w:rsidTr="601E5EAE">
        <w:tblPrEx>
          <w:tblW w:w="0" w:type="auto"/>
          <w:tblInd w:w="445" w:type="dxa"/>
          <w:tblLook w:val="04A0"/>
        </w:tblPrEx>
        <w:trPr>
          <w:trHeight w:val="300"/>
        </w:trPr>
        <w:tc>
          <w:tcPr>
            <w:tcW w:w="6599" w:type="dxa"/>
            <w:shd w:val="clear" w:color="auto" w:fill="000000" w:themeFill="text1"/>
          </w:tcPr>
          <w:p w:rsidR="00212C61" w:rsidRPr="00EA50E8" w:rsidP="00212C61" w14:paraId="7A0427DD" w14:textId="77777777">
            <w:pPr>
              <w:pStyle w:val="ListContinue"/>
              <w:spacing w:after="0"/>
              <w:ind w:left="0"/>
              <w:rPr>
                <w:color w:val="000000" w:themeColor="text1"/>
                <w:sz w:val="10"/>
              </w:rPr>
            </w:pPr>
          </w:p>
        </w:tc>
        <w:tc>
          <w:tcPr>
            <w:tcW w:w="2306" w:type="dxa"/>
            <w:shd w:val="clear" w:color="auto" w:fill="000000" w:themeFill="text1"/>
          </w:tcPr>
          <w:p w:rsidR="00212C61" w:rsidRPr="00EA50E8" w:rsidP="00212C61" w14:paraId="0C7A51A8" w14:textId="77777777">
            <w:pPr>
              <w:pStyle w:val="ListContinue"/>
              <w:spacing w:after="0"/>
              <w:ind w:left="0"/>
              <w:rPr>
                <w:color w:val="000000" w:themeColor="text1"/>
                <w:sz w:val="10"/>
              </w:rPr>
            </w:pPr>
          </w:p>
        </w:tc>
      </w:tr>
      <w:tr w14:paraId="7C574BF7" w14:textId="77777777" w:rsidTr="601E5EAE">
        <w:tblPrEx>
          <w:tblW w:w="0" w:type="auto"/>
          <w:tblInd w:w="445" w:type="dxa"/>
          <w:tblLook w:val="04A0"/>
        </w:tblPrEx>
        <w:trPr>
          <w:trHeight w:val="300"/>
        </w:trPr>
        <w:tc>
          <w:tcPr>
            <w:tcW w:w="6599" w:type="dxa"/>
          </w:tcPr>
          <w:p w:rsidR="00212C61" w:rsidRPr="00EA50E8" w:rsidP="00212C61" w14:paraId="23579F1A" w14:textId="77777777">
            <w:pPr>
              <w:pStyle w:val="ListContinue"/>
              <w:spacing w:after="0"/>
              <w:ind w:left="0"/>
              <w:rPr>
                <w:color w:val="000000" w:themeColor="text1"/>
              </w:rPr>
            </w:pPr>
            <w:r w:rsidRPr="00EA50E8">
              <w:rPr>
                <w:color w:val="000000" w:themeColor="text1"/>
              </w:rPr>
              <w:t>Previous Cost Burden for all IRFs per year</w:t>
            </w:r>
          </w:p>
        </w:tc>
        <w:tc>
          <w:tcPr>
            <w:tcW w:w="2306" w:type="dxa"/>
          </w:tcPr>
          <w:p w:rsidR="00212C61" w:rsidRPr="00EA50E8" w:rsidP="4C372AC2" w14:paraId="737F7924" w14:textId="100A756E">
            <w:pPr>
              <w:pStyle w:val="ListContinue"/>
              <w:spacing w:after="0"/>
              <w:ind w:left="0"/>
              <w:jc w:val="right"/>
              <w:rPr>
                <w:color w:val="000000" w:themeColor="text1"/>
              </w:rPr>
            </w:pPr>
            <w:r w:rsidRPr="00EA50E8">
              <w:rPr>
                <w:color w:val="000000" w:themeColor="text1"/>
              </w:rPr>
              <w:t>$</w:t>
            </w:r>
            <w:r w:rsidRPr="00EA50E8" w:rsidR="00B3709A">
              <w:rPr>
                <w:color w:val="000000" w:themeColor="text1"/>
              </w:rPr>
              <w:t xml:space="preserve">82,921,473.96 </w:t>
            </w:r>
          </w:p>
        </w:tc>
      </w:tr>
      <w:tr w14:paraId="55D54826" w14:textId="77777777" w:rsidTr="601E5EAE">
        <w:tblPrEx>
          <w:tblW w:w="0" w:type="auto"/>
          <w:tblInd w:w="445" w:type="dxa"/>
          <w:tblLook w:val="04A0"/>
        </w:tblPrEx>
        <w:trPr>
          <w:trHeight w:val="300"/>
        </w:trPr>
        <w:tc>
          <w:tcPr>
            <w:tcW w:w="6599" w:type="dxa"/>
          </w:tcPr>
          <w:p w:rsidR="00212C61" w:rsidRPr="00EA50E8" w:rsidP="00212C61" w14:paraId="3C0A4688" w14:textId="668FCD73">
            <w:pPr>
              <w:pStyle w:val="ListContinue"/>
              <w:spacing w:after="0"/>
              <w:ind w:left="0"/>
              <w:rPr>
                <w:color w:val="000000" w:themeColor="text1"/>
              </w:rPr>
            </w:pPr>
            <w:r w:rsidRPr="00EA50E8">
              <w:rPr>
                <w:color w:val="000000" w:themeColor="text1"/>
              </w:rPr>
              <w:t>New Cost Burden for all IRFs beginning with the FY 2028 IRF QRP</w:t>
            </w:r>
          </w:p>
        </w:tc>
        <w:tc>
          <w:tcPr>
            <w:tcW w:w="2306" w:type="dxa"/>
          </w:tcPr>
          <w:p w:rsidR="00DB3C1E" w:rsidRPr="00EA50E8" w:rsidP="00DB3C1E" w14:paraId="339CB05D" w14:textId="77777777">
            <w:pPr>
              <w:jc w:val="right"/>
              <w:rPr>
                <w:color w:val="000000"/>
                <w:sz w:val="22"/>
                <w:szCs w:val="22"/>
              </w:rPr>
            </w:pPr>
            <w:r w:rsidRPr="00EA50E8">
              <w:rPr>
                <w:color w:val="000000" w:themeColor="text1"/>
                <w:sz w:val="22"/>
                <w:szCs w:val="22"/>
              </w:rPr>
              <w:t xml:space="preserve">$81,830,893.21 </w:t>
            </w:r>
          </w:p>
          <w:p w:rsidR="00212C61" w:rsidRPr="00EA50E8" w:rsidP="4C372AC2" w14:paraId="7140965C" w14:textId="3662E094">
            <w:pPr>
              <w:pStyle w:val="ListContinue"/>
              <w:spacing w:after="0"/>
              <w:ind w:left="0"/>
              <w:jc w:val="right"/>
              <w:rPr>
                <w:color w:val="000000" w:themeColor="text1"/>
              </w:rPr>
            </w:pPr>
          </w:p>
        </w:tc>
      </w:tr>
    </w:tbl>
    <w:p w:rsidR="000F5372" w:rsidRPr="00EA50E8" w:rsidP="003B486F" w14:paraId="7AC937FF" w14:textId="77777777">
      <w:pPr>
        <w:pStyle w:val="ListContinue"/>
        <w:ind w:left="360"/>
        <w:rPr>
          <w:color w:val="000000" w:themeColor="text1"/>
        </w:rPr>
      </w:pPr>
    </w:p>
    <w:p w:rsidR="003B486F" w:rsidRPr="00EA50E8" w:rsidP="003B486F" w14:paraId="7C63D78E" w14:textId="093AD0DF">
      <w:pPr>
        <w:pStyle w:val="Heading2"/>
      </w:pPr>
      <w:bookmarkStart w:id="58" w:name="_Toc89079490"/>
      <w:bookmarkStart w:id="59" w:name="_Toc94773743"/>
      <w:bookmarkStart w:id="60" w:name="_Toc195704909"/>
      <w:r w:rsidRPr="00EA50E8">
        <w:t>Capital Costs</w:t>
      </w:r>
      <w:bookmarkEnd w:id="58"/>
      <w:bookmarkEnd w:id="59"/>
      <w:bookmarkEnd w:id="60"/>
    </w:p>
    <w:p w:rsidR="003B486F" w:rsidRPr="00EA50E8" w:rsidP="003B486F" w14:paraId="1D5167D0" w14:textId="77777777">
      <w:pPr>
        <w:pStyle w:val="ListContinueBody"/>
        <w:ind w:left="360"/>
        <w:rPr>
          <w:color w:val="000000" w:themeColor="text1"/>
        </w:rPr>
      </w:pPr>
      <w:r w:rsidRPr="00EA50E8">
        <w:rPr>
          <w:color w:val="000000" w:themeColor="text1"/>
        </w:rPr>
        <w:t>There are no capital costs.</w:t>
      </w:r>
    </w:p>
    <w:p w:rsidR="003B486F" w:rsidRPr="00EA50E8" w:rsidP="003B486F" w14:paraId="5708488A" w14:textId="52278E59">
      <w:pPr>
        <w:pStyle w:val="Heading2"/>
      </w:pPr>
      <w:bookmarkStart w:id="61" w:name="_Toc89079491"/>
      <w:bookmarkStart w:id="62" w:name="_Toc94773744"/>
      <w:bookmarkStart w:id="63" w:name="_Toc195704910"/>
      <w:r w:rsidRPr="00EA50E8">
        <w:t>Cost to Federal Government</w:t>
      </w:r>
      <w:bookmarkEnd w:id="61"/>
      <w:bookmarkEnd w:id="62"/>
      <w:bookmarkEnd w:id="63"/>
    </w:p>
    <w:p w:rsidR="003B486F" w:rsidRPr="00EA50E8" w:rsidP="003B486F" w14:paraId="73D3B5E3" w14:textId="5607E0E4">
      <w:pPr>
        <w:pStyle w:val="ListContinueBody"/>
        <w:ind w:left="360"/>
        <w:rPr>
          <w:color w:val="000000" w:themeColor="text1"/>
        </w:rPr>
      </w:pPr>
      <w:r w:rsidRPr="00EA50E8">
        <w:rPr>
          <w:color w:val="000000" w:themeColor="text1"/>
        </w:rPr>
        <w:t xml:space="preserve">The Department of Health &amp; Human Services (DHHS) will incur costs associated with the administration of the IRF </w:t>
      </w:r>
      <w:r w:rsidRPr="00EA50E8" w:rsidR="001078CD">
        <w:rPr>
          <w:color w:val="000000" w:themeColor="text1"/>
        </w:rPr>
        <w:t xml:space="preserve">QRP </w:t>
      </w:r>
      <w:r w:rsidRPr="00EA50E8">
        <w:rPr>
          <w:color w:val="000000" w:themeColor="text1"/>
        </w:rPr>
        <w:t>including costs associated with the IT system used to process IRF submissions to CMS and analysis of the data received.</w:t>
      </w:r>
      <w:r w:rsidRPr="00EA50E8">
        <w:rPr>
          <w:b/>
          <w:color w:val="000000" w:themeColor="text1"/>
        </w:rPr>
        <w:t xml:space="preserve"> </w:t>
      </w:r>
    </w:p>
    <w:p w:rsidR="003B486F" w:rsidRPr="00EA50E8" w:rsidP="003B486F" w14:paraId="1BF5CAEA" w14:textId="159714B8">
      <w:pPr>
        <w:pStyle w:val="ListContinueBody"/>
        <w:ind w:left="360"/>
        <w:rPr>
          <w:color w:val="000000" w:themeColor="text1"/>
        </w:rPr>
      </w:pPr>
      <w:r w:rsidRPr="00EA50E8">
        <w:rPr>
          <w:color w:val="000000" w:themeColor="text1"/>
        </w:rPr>
        <w:t>CMS has engaged the services of an in-house CMS contractor to create and manage an online reporting/IT platform for the IRF-PAI. This contractor works with the CMS Center for Clinical Standards and Quality, Division of Post-Acute and Chronic Care (DCPAC) in order to support the IT needs of multiple quality reporting programs. When IRF providers transmit the data contained within the IRF-PAI to CMS it is received by this contractor. Upon receipt of all data sets for each quarter the contractor performs some basic analysis which helps to determine each provider’s compliance with the reporting requirements of the IRF QRP. The findings are communicated to the IRF QRP lead in a report. Contractor costs include the development, testing,</w:t>
      </w:r>
      <w:r w:rsidRPr="00EA50E8" w:rsidR="00AF5DF7">
        <w:rPr>
          <w:color w:val="000000" w:themeColor="text1"/>
        </w:rPr>
        <w:t xml:space="preserve"> and</w:t>
      </w:r>
      <w:r w:rsidRPr="00EA50E8">
        <w:rPr>
          <w:color w:val="000000" w:themeColor="text1"/>
        </w:rPr>
        <w:t xml:space="preserve"> roll-out</w:t>
      </w:r>
      <w:r w:rsidRPr="00EA50E8" w:rsidR="00AF5DF7">
        <w:rPr>
          <w:color w:val="000000" w:themeColor="text1"/>
        </w:rPr>
        <w:t xml:space="preserve"> of updates to data submission systems.</w:t>
      </w:r>
      <w:r w:rsidRPr="00EA50E8">
        <w:rPr>
          <w:color w:val="000000" w:themeColor="text1"/>
        </w:rPr>
        <w:t xml:space="preserve"> </w:t>
      </w:r>
    </w:p>
    <w:p w:rsidR="003B486F" w:rsidRPr="00EA50E8" w:rsidP="003B486F" w14:paraId="3F7639D1" w14:textId="77777777">
      <w:pPr>
        <w:pStyle w:val="ListContinueBody"/>
        <w:ind w:left="360"/>
        <w:rPr>
          <w:color w:val="000000" w:themeColor="text1"/>
        </w:rPr>
      </w:pPr>
      <w:r w:rsidRPr="00EA50E8">
        <w:rPr>
          <w:color w:val="000000" w:themeColor="text1"/>
        </w:rPr>
        <w:t>DCPAC had also retained the services of a separate contractor for the purpose of performing a more in-depth analysis of the IRF quality data, as well as the calculation of the quality measures, and future public reporting of the IRF quality data. Said contractor will be responsible for obtaining the IRF quality reporting data from the in-house CMS contractor. They will perform statistical analysis on this data and prepare reports of their findings, which will be submitted to the IRF QRP lead.</w:t>
      </w:r>
    </w:p>
    <w:p w:rsidR="003B486F" w:rsidRPr="00EA50E8" w:rsidP="003B486F" w14:paraId="3594D35B" w14:textId="77777777">
      <w:pPr>
        <w:pStyle w:val="ListContinueBody"/>
        <w:ind w:left="360"/>
        <w:rPr>
          <w:color w:val="000000" w:themeColor="text1"/>
        </w:rPr>
      </w:pPr>
      <w:r w:rsidRPr="00EA50E8">
        <w:rPr>
          <w:color w:val="000000" w:themeColor="text1"/>
        </w:rPr>
        <w:t xml:space="preserve">DCPAC has retained the services of a third contractor to assist us with provider training and support services related to the IRF QRP. </w:t>
      </w:r>
    </w:p>
    <w:p w:rsidR="00D905A8" w14:paraId="5D0E1E9C" w14:textId="77777777">
      <w:pPr>
        <w:spacing w:after="160" w:line="259" w:lineRule="auto"/>
        <w:rPr>
          <w:color w:val="000000" w:themeColor="text1"/>
          <w:sz w:val="22"/>
          <w:szCs w:val="22"/>
        </w:rPr>
      </w:pPr>
      <w:r>
        <w:rPr>
          <w:color w:val="000000" w:themeColor="text1"/>
        </w:rPr>
        <w:br w:type="page"/>
      </w:r>
    </w:p>
    <w:p w:rsidR="003B486F" w:rsidRPr="00EA50E8" w:rsidP="003B486F" w14:paraId="297D0807" w14:textId="3F1D2B2C">
      <w:pPr>
        <w:pStyle w:val="ListContinueBody"/>
        <w:ind w:left="360"/>
        <w:rPr>
          <w:color w:val="000000" w:themeColor="text1"/>
        </w:rPr>
      </w:pPr>
      <w:r w:rsidRPr="00EA50E8">
        <w:rPr>
          <w:color w:val="000000" w:themeColor="text1"/>
        </w:rPr>
        <w:t>In addition to the contractor costs, the total includes the cost of the following Federal employees:</w:t>
      </w:r>
    </w:p>
    <w:p w:rsidR="003B486F" w:rsidRPr="00EA50E8" w:rsidP="003B486F" w14:paraId="3CA9B056" w14:textId="236491C6">
      <w:pPr>
        <w:pStyle w:val="ListBullet"/>
        <w:rPr>
          <w:color w:val="000000" w:themeColor="text1"/>
        </w:rPr>
      </w:pPr>
      <w:r w:rsidRPr="00EA50E8">
        <w:rPr>
          <w:color w:val="000000" w:themeColor="text1"/>
        </w:rPr>
        <w:t xml:space="preserve">GS-13 (locality pay area of Washington-Baltimore-Northern Virginia) at 100% effort for 3 years, or </w:t>
      </w:r>
      <w:r w:rsidRPr="00EA50E8" w:rsidR="00013813">
        <w:rPr>
          <w:color w:val="000000" w:themeColor="text1"/>
        </w:rPr>
        <w:t>$</w:t>
      </w:r>
      <w:r w:rsidRPr="00EA50E8" w:rsidR="00013813">
        <w:t>427,464</w:t>
      </w:r>
    </w:p>
    <w:p w:rsidR="003B486F" w:rsidRPr="00EA50E8" w:rsidP="003B486F" w14:paraId="54DEAB22" w14:textId="645A0E6F">
      <w:pPr>
        <w:pStyle w:val="ListBullet"/>
        <w:spacing w:after="20"/>
        <w:contextualSpacing w:val="0"/>
        <w:rPr>
          <w:color w:val="000000" w:themeColor="text1"/>
        </w:rPr>
      </w:pPr>
      <w:r w:rsidRPr="00EA50E8">
        <w:rPr>
          <w:color w:val="000000" w:themeColor="text1"/>
        </w:rPr>
        <w:t xml:space="preserve">GS-14 (locality pay area of Washington-Baltimore-Northern Virginia) at 33% effort for 3 years, or </w:t>
      </w:r>
      <w:r w:rsidRPr="00EA50E8" w:rsidR="005650A3">
        <w:t>$142,488</w:t>
      </w:r>
      <w:r w:rsidRPr="00EA50E8">
        <w:rPr>
          <w:color w:val="000000" w:themeColor="text1"/>
        </w:rPr>
        <w:t>.</w:t>
      </w:r>
    </w:p>
    <w:p w:rsidR="003B486F" w:rsidRPr="00EA50E8" w:rsidP="003B486F" w14:paraId="7D5813A9" w14:textId="77777777">
      <w:pPr>
        <w:pStyle w:val="ListContinueBody"/>
        <w:spacing w:before="160"/>
        <w:ind w:left="360"/>
        <w:rPr>
          <w:color w:val="000000" w:themeColor="text1"/>
        </w:rPr>
      </w:pPr>
      <w:r w:rsidRPr="00EA50E8">
        <w:rPr>
          <w:color w:val="000000" w:themeColor="text1"/>
        </w:rPr>
        <w:t>The estimated cost to the federal government for the contractor is as follows:</w:t>
      </w:r>
    </w:p>
    <w:tbl>
      <w:tblPr>
        <w:tblStyle w:val="TableGrid"/>
        <w:tblCaption w:val="Estimated cost to the federal government for the contractor "/>
        <w:tblDescription w:val="Estimated cost to the federal government for the contractor; 2 columns and 6 rows including header row; from left to right: CMS in-house contractor – Maintenance and support of IT platform that supports the IRF-PAI , $750,000&#10;"/>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10"/>
        <w:gridCol w:w="1206"/>
      </w:tblGrid>
      <w:tr w14:paraId="7A90101E" w14:textId="77777777" w:rsidTr="006C49C1">
        <w:tblPrEx>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6210" w:type="dxa"/>
          </w:tcPr>
          <w:p w:rsidR="003B486F" w:rsidRPr="00EA50E8" w:rsidP="006C49C1" w14:paraId="36F73235" w14:textId="77777777">
            <w:pPr>
              <w:spacing w:line="60" w:lineRule="exact"/>
              <w:rPr>
                <w:color w:val="000000" w:themeColor="text1"/>
                <w:sz w:val="22"/>
                <w:szCs w:val="22"/>
              </w:rPr>
            </w:pPr>
            <w:r w:rsidRPr="00EA50E8">
              <w:rPr>
                <w:color w:val="000000" w:themeColor="text1"/>
                <w:sz w:val="22"/>
                <w:szCs w:val="22"/>
              </w:rPr>
              <w:t>  </w:t>
            </w:r>
          </w:p>
        </w:tc>
        <w:tc>
          <w:tcPr>
            <w:tcW w:w="1170" w:type="dxa"/>
          </w:tcPr>
          <w:p w:rsidR="003B486F" w:rsidRPr="00EA50E8" w:rsidP="006C49C1" w14:paraId="444DDFD0" w14:textId="77777777">
            <w:pPr>
              <w:pStyle w:val="ListContinueBody"/>
              <w:spacing w:before="0" w:after="0" w:line="60" w:lineRule="exact"/>
              <w:ind w:left="0"/>
              <w:jc w:val="right"/>
              <w:rPr>
                <w:color w:val="000000" w:themeColor="text1"/>
              </w:rPr>
            </w:pPr>
            <w:r w:rsidRPr="00EA50E8">
              <w:rPr>
                <w:color w:val="000000" w:themeColor="text1"/>
              </w:rPr>
              <w:t>  </w:t>
            </w:r>
          </w:p>
        </w:tc>
      </w:tr>
      <w:tr w14:paraId="562A025E" w14:textId="77777777" w:rsidTr="006C49C1">
        <w:tblPrEx>
          <w:tblW w:w="0" w:type="auto"/>
          <w:tblInd w:w="625" w:type="dxa"/>
          <w:tblLook w:val="04A0"/>
        </w:tblPrEx>
        <w:trPr>
          <w:cantSplit/>
        </w:trPr>
        <w:tc>
          <w:tcPr>
            <w:tcW w:w="6210" w:type="dxa"/>
          </w:tcPr>
          <w:p w:rsidR="003B486F" w:rsidRPr="00EA50E8" w:rsidP="006C49C1" w14:paraId="03C73BC6" w14:textId="77777777">
            <w:pPr>
              <w:ind w:left="435" w:hanging="435"/>
              <w:rPr>
                <w:color w:val="000000" w:themeColor="text1"/>
                <w:sz w:val="22"/>
                <w:szCs w:val="22"/>
              </w:rPr>
            </w:pPr>
            <w:r w:rsidRPr="00EA50E8">
              <w:rPr>
                <w:color w:val="000000" w:themeColor="text1"/>
                <w:sz w:val="22"/>
                <w:szCs w:val="22"/>
              </w:rPr>
              <w:t>CMS in-house contractor – Maintenance and support of IT platform that supports the IRF-PAI</w:t>
            </w:r>
          </w:p>
        </w:tc>
        <w:tc>
          <w:tcPr>
            <w:tcW w:w="1170" w:type="dxa"/>
          </w:tcPr>
          <w:p w:rsidR="003B486F" w:rsidRPr="00EA50E8" w:rsidP="006C49C1" w14:paraId="0D4CCB90" w14:textId="77777777">
            <w:pPr>
              <w:pStyle w:val="ListContinueBody"/>
              <w:spacing w:before="0" w:after="0"/>
              <w:ind w:left="0"/>
              <w:jc w:val="right"/>
              <w:rPr>
                <w:color w:val="000000" w:themeColor="text1"/>
              </w:rPr>
            </w:pPr>
            <w:r w:rsidRPr="00EA50E8">
              <w:rPr>
                <w:color w:val="000000" w:themeColor="text1"/>
              </w:rPr>
              <w:t>$750,000</w:t>
            </w:r>
          </w:p>
        </w:tc>
      </w:tr>
      <w:tr w14:paraId="2834B196" w14:textId="77777777" w:rsidTr="006C49C1">
        <w:tblPrEx>
          <w:tblW w:w="0" w:type="auto"/>
          <w:tblInd w:w="625" w:type="dxa"/>
          <w:tblLook w:val="04A0"/>
        </w:tblPrEx>
        <w:trPr>
          <w:cantSplit/>
        </w:trPr>
        <w:tc>
          <w:tcPr>
            <w:tcW w:w="6210" w:type="dxa"/>
          </w:tcPr>
          <w:p w:rsidR="003B486F" w:rsidRPr="00EA50E8" w:rsidP="006C49C1" w14:paraId="24A9ACB0" w14:textId="77777777">
            <w:pPr>
              <w:pStyle w:val="ListContinueBody"/>
              <w:spacing w:before="0" w:after="0"/>
              <w:ind w:left="0"/>
              <w:rPr>
                <w:color w:val="000000" w:themeColor="text1"/>
              </w:rPr>
            </w:pPr>
            <w:r w:rsidRPr="00EA50E8">
              <w:rPr>
                <w:color w:val="000000" w:themeColor="text1"/>
              </w:rPr>
              <w:t>Data analysis contractor</w:t>
            </w:r>
            <w:r w:rsidRPr="00EA50E8">
              <w:rPr>
                <w:color w:val="000000" w:themeColor="text1"/>
              </w:rPr>
              <w:tab/>
            </w:r>
          </w:p>
        </w:tc>
        <w:tc>
          <w:tcPr>
            <w:tcW w:w="1170" w:type="dxa"/>
          </w:tcPr>
          <w:p w:rsidR="003B486F" w:rsidRPr="00EA50E8" w:rsidP="006C49C1" w14:paraId="1C529BEE" w14:textId="77777777">
            <w:pPr>
              <w:pStyle w:val="ListContinueBody"/>
              <w:spacing w:before="0" w:after="0"/>
              <w:ind w:left="0"/>
              <w:jc w:val="right"/>
              <w:rPr>
                <w:color w:val="000000" w:themeColor="text1"/>
              </w:rPr>
            </w:pPr>
            <w:r w:rsidRPr="00EA50E8">
              <w:rPr>
                <w:color w:val="000000" w:themeColor="text1"/>
              </w:rPr>
              <w:t>$1,000,000</w:t>
            </w:r>
          </w:p>
        </w:tc>
      </w:tr>
      <w:tr w14:paraId="5C9B88DC" w14:textId="77777777" w:rsidTr="006C49C1">
        <w:tblPrEx>
          <w:tblW w:w="0" w:type="auto"/>
          <w:tblInd w:w="625" w:type="dxa"/>
          <w:tblLook w:val="04A0"/>
        </w:tblPrEx>
        <w:trPr>
          <w:cantSplit/>
        </w:trPr>
        <w:tc>
          <w:tcPr>
            <w:tcW w:w="6210" w:type="dxa"/>
          </w:tcPr>
          <w:p w:rsidR="003B486F" w:rsidRPr="00EA50E8" w:rsidP="006C49C1" w14:paraId="088D7CD8" w14:textId="77777777">
            <w:pPr>
              <w:pStyle w:val="ListContinueBody"/>
              <w:spacing w:before="0" w:after="0"/>
              <w:ind w:left="0"/>
              <w:rPr>
                <w:color w:val="000000" w:themeColor="text1"/>
              </w:rPr>
            </w:pPr>
            <w:r w:rsidRPr="00EA50E8">
              <w:rPr>
                <w:color w:val="000000" w:themeColor="text1"/>
              </w:rPr>
              <w:t>Provider training &amp; helpdesk contractor</w:t>
            </w:r>
          </w:p>
        </w:tc>
        <w:tc>
          <w:tcPr>
            <w:tcW w:w="1170" w:type="dxa"/>
          </w:tcPr>
          <w:p w:rsidR="003B486F" w:rsidRPr="00EA50E8" w:rsidP="006C49C1" w14:paraId="36FB2A89" w14:textId="77777777">
            <w:pPr>
              <w:pStyle w:val="ListContinueBody"/>
              <w:spacing w:before="0" w:after="0"/>
              <w:ind w:left="0"/>
              <w:jc w:val="right"/>
              <w:rPr>
                <w:color w:val="000000" w:themeColor="text1"/>
              </w:rPr>
            </w:pPr>
            <w:r w:rsidRPr="00EA50E8">
              <w:rPr>
                <w:color w:val="000000" w:themeColor="text1"/>
              </w:rPr>
              <w:t>$1,000,000</w:t>
            </w:r>
          </w:p>
        </w:tc>
      </w:tr>
      <w:tr w14:paraId="4D317542" w14:textId="77777777" w:rsidTr="006C49C1">
        <w:tblPrEx>
          <w:tblW w:w="0" w:type="auto"/>
          <w:tblInd w:w="625" w:type="dxa"/>
          <w:tblLook w:val="04A0"/>
        </w:tblPrEx>
        <w:trPr>
          <w:cantSplit/>
        </w:trPr>
        <w:tc>
          <w:tcPr>
            <w:tcW w:w="6210" w:type="dxa"/>
          </w:tcPr>
          <w:p w:rsidR="003B486F" w:rsidRPr="00EA50E8" w:rsidP="006C49C1" w14:paraId="55DE3783" w14:textId="64AD3352">
            <w:pPr>
              <w:pStyle w:val="ListContinueBody"/>
              <w:spacing w:before="0" w:after="0"/>
              <w:ind w:left="0"/>
              <w:rPr>
                <w:color w:val="000000" w:themeColor="text1"/>
              </w:rPr>
            </w:pPr>
            <w:r w:rsidRPr="00EA50E8">
              <w:rPr>
                <w:color w:val="000000" w:themeColor="text1"/>
              </w:rPr>
              <w:t xml:space="preserve">GS-13 </w:t>
            </w:r>
            <w:r w:rsidRPr="00EA50E8" w:rsidR="0043098A">
              <w:rPr>
                <w:color w:val="000000" w:themeColor="text1"/>
              </w:rPr>
              <w:t xml:space="preserve">Step 1 </w:t>
            </w:r>
            <w:r w:rsidRPr="00EA50E8">
              <w:rPr>
                <w:color w:val="000000" w:themeColor="text1"/>
              </w:rPr>
              <w:t>Federal Employee (100% X 3 years</w:t>
            </w:r>
            <w:r w:rsidRPr="00EA50E8" w:rsidR="0043098A">
              <w:rPr>
                <w:color w:val="000000" w:themeColor="text1"/>
              </w:rPr>
              <w:t xml:space="preserve"> at $11</w:t>
            </w:r>
            <w:r w:rsidRPr="00EA50E8" w:rsidR="00EA3ACF">
              <w:rPr>
                <w:color w:val="000000" w:themeColor="text1"/>
              </w:rPr>
              <w:t>7,962</w:t>
            </w:r>
            <w:r w:rsidRPr="00EA50E8" w:rsidR="0043098A">
              <w:rPr>
                <w:color w:val="000000" w:themeColor="text1"/>
              </w:rPr>
              <w:t xml:space="preserve"> annually</w:t>
            </w:r>
            <w:r w:rsidRPr="00EA50E8">
              <w:rPr>
                <w:color w:val="000000" w:themeColor="text1"/>
              </w:rPr>
              <w:t>)</w:t>
            </w:r>
          </w:p>
        </w:tc>
        <w:tc>
          <w:tcPr>
            <w:tcW w:w="1170" w:type="dxa"/>
          </w:tcPr>
          <w:p w:rsidR="003B486F" w:rsidRPr="00EA50E8" w:rsidP="006C49C1" w14:paraId="49048364" w14:textId="5FC8A1D1">
            <w:pPr>
              <w:pStyle w:val="ListContinueBody"/>
              <w:spacing w:before="0" w:after="0"/>
              <w:ind w:left="0"/>
              <w:jc w:val="right"/>
              <w:rPr>
                <w:color w:val="000000" w:themeColor="text1"/>
              </w:rPr>
            </w:pPr>
            <w:r w:rsidRPr="00EA50E8">
              <w:t>$427,464</w:t>
            </w:r>
          </w:p>
        </w:tc>
      </w:tr>
      <w:tr w14:paraId="5810CB6A" w14:textId="77777777" w:rsidTr="006C49C1">
        <w:tblPrEx>
          <w:tblW w:w="0" w:type="auto"/>
          <w:tblInd w:w="625" w:type="dxa"/>
          <w:tblLook w:val="04A0"/>
        </w:tblPrEx>
        <w:trPr>
          <w:cantSplit/>
        </w:trPr>
        <w:tc>
          <w:tcPr>
            <w:tcW w:w="6210" w:type="dxa"/>
            <w:tcBorders>
              <w:bottom w:val="single" w:sz="4" w:space="0" w:color="auto"/>
            </w:tcBorders>
          </w:tcPr>
          <w:p w:rsidR="003B486F" w:rsidRPr="00EA50E8" w:rsidP="006C49C1" w14:paraId="7D6C4E53" w14:textId="60029183">
            <w:pPr>
              <w:pStyle w:val="ListContinueBody"/>
              <w:spacing w:before="0" w:after="0"/>
              <w:ind w:left="0"/>
              <w:rPr>
                <w:color w:val="000000" w:themeColor="text1"/>
              </w:rPr>
            </w:pPr>
            <w:r w:rsidRPr="00EA50E8">
              <w:rPr>
                <w:color w:val="000000" w:themeColor="text1"/>
              </w:rPr>
              <w:t xml:space="preserve">GS-14 </w:t>
            </w:r>
            <w:r w:rsidRPr="00EA50E8" w:rsidR="0043098A">
              <w:rPr>
                <w:color w:val="000000" w:themeColor="text1"/>
              </w:rPr>
              <w:t xml:space="preserve">Step 1 </w:t>
            </w:r>
            <w:r w:rsidRPr="00EA50E8">
              <w:rPr>
                <w:color w:val="000000" w:themeColor="text1"/>
              </w:rPr>
              <w:t>Federal Employee (33% X 3 years</w:t>
            </w:r>
            <w:r w:rsidRPr="00EA50E8" w:rsidR="0043098A">
              <w:rPr>
                <w:color w:val="000000" w:themeColor="text1"/>
              </w:rPr>
              <w:t xml:space="preserve"> at $</w:t>
            </w:r>
            <w:r w:rsidRPr="00EA50E8" w:rsidR="00EA3ACF">
              <w:rPr>
                <w:color w:val="000000" w:themeColor="text1"/>
              </w:rPr>
              <w:t>46,465</w:t>
            </w:r>
            <w:r w:rsidRPr="00EA50E8" w:rsidR="0043098A">
              <w:rPr>
                <w:color w:val="000000" w:themeColor="text1"/>
              </w:rPr>
              <w:t xml:space="preserve"> annually</w:t>
            </w:r>
            <w:r w:rsidRPr="00EA50E8">
              <w:rPr>
                <w:color w:val="000000" w:themeColor="text1"/>
              </w:rPr>
              <w:t>)</w:t>
            </w:r>
          </w:p>
        </w:tc>
        <w:tc>
          <w:tcPr>
            <w:tcW w:w="1170" w:type="dxa"/>
            <w:tcBorders>
              <w:bottom w:val="single" w:sz="4" w:space="0" w:color="auto"/>
            </w:tcBorders>
          </w:tcPr>
          <w:p w:rsidR="003B486F" w:rsidRPr="00EA50E8" w:rsidP="006C49C1" w14:paraId="3F05AED4" w14:textId="2A6E3F48">
            <w:pPr>
              <w:pStyle w:val="ListContinueBody"/>
              <w:spacing w:before="0" w:after="0"/>
              <w:ind w:left="0"/>
              <w:jc w:val="right"/>
              <w:rPr>
                <w:color w:val="000000" w:themeColor="text1"/>
              </w:rPr>
            </w:pPr>
            <w:r w:rsidRPr="00EA50E8">
              <w:t>$142,488</w:t>
            </w:r>
          </w:p>
        </w:tc>
      </w:tr>
      <w:tr w14:paraId="49BE0254" w14:textId="77777777" w:rsidTr="006C49C1">
        <w:tblPrEx>
          <w:tblW w:w="0" w:type="auto"/>
          <w:tblInd w:w="625" w:type="dxa"/>
          <w:tblLook w:val="04A0"/>
        </w:tblPrEx>
        <w:trPr>
          <w:cantSplit/>
        </w:trPr>
        <w:tc>
          <w:tcPr>
            <w:tcW w:w="6210" w:type="dxa"/>
            <w:tcBorders>
              <w:top w:val="single" w:sz="4" w:space="0" w:color="auto"/>
            </w:tcBorders>
          </w:tcPr>
          <w:p w:rsidR="003B486F" w:rsidRPr="00EA50E8" w:rsidP="006C49C1" w14:paraId="17587787" w14:textId="77777777">
            <w:pPr>
              <w:pStyle w:val="ListContinueBody"/>
              <w:spacing w:before="0" w:after="0"/>
              <w:ind w:left="0"/>
              <w:rPr>
                <w:color w:val="000000" w:themeColor="text1"/>
              </w:rPr>
            </w:pPr>
            <w:r w:rsidRPr="00EA50E8">
              <w:rPr>
                <w:b/>
                <w:color w:val="000000" w:themeColor="text1"/>
              </w:rPr>
              <w:t>Total cost to Federal Government:</w:t>
            </w:r>
          </w:p>
        </w:tc>
        <w:tc>
          <w:tcPr>
            <w:tcW w:w="1170" w:type="dxa"/>
            <w:tcBorders>
              <w:top w:val="single" w:sz="4" w:space="0" w:color="auto"/>
            </w:tcBorders>
          </w:tcPr>
          <w:p w:rsidR="003B486F" w:rsidRPr="00EA50E8" w:rsidP="006C49C1" w14:paraId="37EE3D9A" w14:textId="48EFA6FE">
            <w:pPr>
              <w:pStyle w:val="ListContinueBody"/>
              <w:spacing w:before="0" w:after="0"/>
              <w:ind w:left="0"/>
              <w:jc w:val="right"/>
              <w:rPr>
                <w:color w:val="000000" w:themeColor="text1"/>
              </w:rPr>
            </w:pPr>
            <w:r w:rsidRPr="00EA50E8">
              <w:rPr>
                <w:b/>
                <w:color w:val="000000" w:themeColor="text1"/>
              </w:rPr>
              <w:t>$3,319,952</w:t>
            </w:r>
          </w:p>
        </w:tc>
      </w:tr>
    </w:tbl>
    <w:p w:rsidR="003B486F" w:rsidRPr="00EA50E8" w:rsidP="4C372AC2" w14:paraId="196C3200" w14:textId="1B783E18">
      <w:pPr>
        <w:pStyle w:val="Heading2"/>
      </w:pPr>
      <w:bookmarkStart w:id="64" w:name="_Toc298168196"/>
      <w:bookmarkStart w:id="65" w:name="_Toc89079492"/>
      <w:bookmarkStart w:id="66" w:name="_Toc94773745"/>
      <w:bookmarkStart w:id="67" w:name="_Toc195704911"/>
      <w:r w:rsidRPr="00EA50E8">
        <w:t>Changes to Burden</w:t>
      </w:r>
      <w:bookmarkEnd w:id="64"/>
      <w:bookmarkEnd w:id="65"/>
      <w:bookmarkEnd w:id="66"/>
      <w:bookmarkEnd w:id="67"/>
    </w:p>
    <w:p w:rsidR="00CB7CDE" w:rsidRPr="00EA50E8" w:rsidP="003B486F" w14:paraId="7592E507" w14:textId="2F2897C7">
      <w:pPr>
        <w:pStyle w:val="NoSpacing"/>
        <w:ind w:left="360"/>
        <w:rPr>
          <w:rFonts w:ascii="Times New Roman" w:hAnsi="Times New Roman"/>
        </w:rPr>
      </w:pPr>
      <w:r w:rsidRPr="00EA50E8">
        <w:rPr>
          <w:rFonts w:ascii="Times New Roman" w:hAnsi="Times New Roman"/>
        </w:rPr>
        <w:t>Since the IRF PAI 4.</w:t>
      </w:r>
      <w:r w:rsidRPr="00EA50E8" w:rsidR="00ED52DF">
        <w:rPr>
          <w:rFonts w:ascii="Times New Roman" w:hAnsi="Times New Roman"/>
        </w:rPr>
        <w:t>3</w:t>
      </w:r>
      <w:r w:rsidRPr="00EA50E8">
        <w:rPr>
          <w:rFonts w:ascii="Times New Roman" w:hAnsi="Times New Roman"/>
        </w:rPr>
        <w:t xml:space="preserve"> was </w:t>
      </w:r>
      <w:r w:rsidRPr="00EA50E8" w:rsidR="0076526A">
        <w:rPr>
          <w:rFonts w:ascii="Times New Roman" w:hAnsi="Times New Roman"/>
        </w:rPr>
        <w:t xml:space="preserve">previously </w:t>
      </w:r>
      <w:r w:rsidRPr="00EA50E8">
        <w:rPr>
          <w:rFonts w:ascii="Times New Roman" w:hAnsi="Times New Roman"/>
        </w:rPr>
        <w:t>approved</w:t>
      </w:r>
      <w:r w:rsidRPr="00EA50E8" w:rsidR="0076526A">
        <w:t xml:space="preserve"> </w:t>
      </w:r>
      <w:r w:rsidRPr="00EA50E8" w:rsidR="0076526A">
        <w:rPr>
          <w:rFonts w:ascii="Times New Roman" w:hAnsi="Times New Roman"/>
        </w:rPr>
        <w:t>the FY 2026 IRF PPS proposed rule policies would change the burden associated with that package.  Additionally</w:t>
      </w:r>
      <w:r w:rsidRPr="00EA50E8">
        <w:rPr>
          <w:rFonts w:ascii="Times New Roman" w:hAnsi="Times New Roman"/>
        </w:rPr>
        <w:t xml:space="preserve">, new information demonstrates a change in </w:t>
      </w:r>
      <w:r w:rsidRPr="00EA50E8">
        <w:rPr>
          <w:rFonts w:ascii="Times New Roman" w:hAnsi="Times New Roman"/>
        </w:rPr>
        <w:t xml:space="preserve">both </w:t>
      </w:r>
      <w:r w:rsidRPr="00EA50E8">
        <w:rPr>
          <w:rFonts w:ascii="Times New Roman" w:hAnsi="Times New Roman"/>
        </w:rPr>
        <w:t>the number of IRFs</w:t>
      </w:r>
      <w:r w:rsidRPr="00EA50E8">
        <w:rPr>
          <w:rFonts w:ascii="Times New Roman" w:hAnsi="Times New Roman"/>
        </w:rPr>
        <w:t xml:space="preserve"> and the number of IRF-PAI assessments completed per IRF.  The number of IRFs has increased </w:t>
      </w:r>
      <w:r w:rsidRPr="00EA50E8">
        <w:rPr>
          <w:rFonts w:ascii="Times New Roman" w:hAnsi="Times New Roman"/>
        </w:rPr>
        <w:t xml:space="preserve">from </w:t>
      </w:r>
      <w:r w:rsidRPr="00EA50E8" w:rsidR="00ED52DF">
        <w:rPr>
          <w:rFonts w:ascii="Times New Roman" w:hAnsi="Times New Roman"/>
        </w:rPr>
        <w:t xml:space="preserve">1,600 </w:t>
      </w:r>
      <w:r w:rsidRPr="00EA50E8">
        <w:rPr>
          <w:rFonts w:ascii="Times New Roman" w:hAnsi="Times New Roman"/>
        </w:rPr>
        <w:t>to 1,1</w:t>
      </w:r>
      <w:r w:rsidRPr="00EA50E8" w:rsidR="00940D3B">
        <w:rPr>
          <w:rFonts w:ascii="Times New Roman" w:hAnsi="Times New Roman"/>
        </w:rPr>
        <w:t>6</w:t>
      </w:r>
      <w:r w:rsidRPr="00EA50E8" w:rsidR="003C76DA">
        <w:rPr>
          <w:rFonts w:ascii="Times New Roman" w:hAnsi="Times New Roman"/>
        </w:rPr>
        <w:t>6</w:t>
      </w:r>
      <w:r w:rsidRPr="00EA50E8">
        <w:rPr>
          <w:rFonts w:ascii="Times New Roman" w:hAnsi="Times New Roman"/>
        </w:rPr>
        <w:t>.</w:t>
      </w:r>
    </w:p>
    <w:p w:rsidR="00BA1C81" w:rsidRPr="00EA50E8" w:rsidP="00CB7CDE" w14:paraId="6E3D7778" w14:textId="77777777">
      <w:pPr>
        <w:pStyle w:val="NoSpacing"/>
        <w:ind w:left="360"/>
        <w:rPr>
          <w:rFonts w:ascii="Times New Roman" w:hAnsi="Times New Roman"/>
        </w:rPr>
      </w:pPr>
    </w:p>
    <w:p w:rsidR="00CB7CDE" w:rsidRPr="00EA50E8" w:rsidP="00CB7CDE" w14:paraId="6D527581" w14:textId="2E83362A">
      <w:pPr>
        <w:pStyle w:val="NoSpacing"/>
        <w:ind w:left="360"/>
        <w:rPr>
          <w:rFonts w:ascii="Times New Roman" w:hAnsi="Times New Roman"/>
        </w:rPr>
      </w:pPr>
      <w:r w:rsidRPr="00EA50E8">
        <w:rPr>
          <w:rFonts w:ascii="Times New Roman" w:hAnsi="Times New Roman"/>
        </w:rPr>
        <w:t xml:space="preserve">We </w:t>
      </w:r>
      <w:r w:rsidRPr="00EA50E8" w:rsidR="0043098A">
        <w:rPr>
          <w:rFonts w:ascii="Times New Roman" w:hAnsi="Times New Roman"/>
        </w:rPr>
        <w:t xml:space="preserve">estimate </w:t>
      </w:r>
      <w:r w:rsidRPr="00EA50E8" w:rsidR="00C4099C">
        <w:rPr>
          <w:rFonts w:ascii="Times New Roman" w:hAnsi="Times New Roman"/>
        </w:rPr>
        <w:t>a decrease</w:t>
      </w:r>
      <w:r w:rsidRPr="00EA50E8" w:rsidR="003B486F">
        <w:rPr>
          <w:rFonts w:ascii="Times New Roman" w:hAnsi="Times New Roman"/>
        </w:rPr>
        <w:t xml:space="preserve"> in the amount of time it w</w:t>
      </w:r>
      <w:r w:rsidRPr="00EA50E8" w:rsidR="005C5DEE">
        <w:rPr>
          <w:rFonts w:ascii="Times New Roman" w:hAnsi="Times New Roman"/>
        </w:rPr>
        <w:t>ill</w:t>
      </w:r>
      <w:r w:rsidRPr="00EA50E8" w:rsidR="003B486F">
        <w:rPr>
          <w:rFonts w:ascii="Times New Roman" w:hAnsi="Times New Roman"/>
        </w:rPr>
        <w:t xml:space="preserve"> take to complete a single IRF PAI </w:t>
      </w:r>
      <w:r w:rsidRPr="00EA50E8" w:rsidR="00693E43">
        <w:rPr>
          <w:rFonts w:ascii="Times New Roman" w:hAnsi="Times New Roman"/>
        </w:rPr>
        <w:t>V</w:t>
      </w:r>
      <w:r w:rsidRPr="00EA50E8" w:rsidR="00AD5127">
        <w:rPr>
          <w:rFonts w:ascii="Times New Roman" w:hAnsi="Times New Roman"/>
        </w:rPr>
        <w:t xml:space="preserve">ersion </w:t>
      </w:r>
      <w:r w:rsidRPr="00EA50E8" w:rsidR="009E7489">
        <w:rPr>
          <w:rFonts w:ascii="Times New Roman" w:hAnsi="Times New Roman"/>
        </w:rPr>
        <w:t>4.</w:t>
      </w:r>
      <w:r w:rsidRPr="00EA50E8" w:rsidR="00F35566">
        <w:rPr>
          <w:rFonts w:ascii="Times New Roman" w:hAnsi="Times New Roman"/>
        </w:rPr>
        <w:t>4</w:t>
      </w:r>
      <w:r w:rsidRPr="00EA50E8" w:rsidR="003B486F">
        <w:rPr>
          <w:rFonts w:ascii="Times New Roman" w:hAnsi="Times New Roman"/>
        </w:rPr>
        <w:t xml:space="preserve"> as compared to </w:t>
      </w:r>
      <w:r w:rsidRPr="00EA50E8" w:rsidR="0076526A">
        <w:rPr>
          <w:rFonts w:ascii="Times New Roman" w:hAnsi="Times New Roman"/>
        </w:rPr>
        <w:t>the previously approved package</w:t>
      </w:r>
      <w:r w:rsidRPr="00EA50E8" w:rsidR="00962C85">
        <w:rPr>
          <w:rFonts w:ascii="Times New Roman" w:hAnsi="Times New Roman"/>
        </w:rPr>
        <w:t xml:space="preserve">. </w:t>
      </w:r>
      <w:r w:rsidRPr="00EA50E8" w:rsidR="0043098A">
        <w:rPr>
          <w:rFonts w:ascii="Times New Roman" w:hAnsi="Times New Roman"/>
        </w:rPr>
        <w:t xml:space="preserve"> </w:t>
      </w:r>
      <w:r w:rsidRPr="00EA50E8" w:rsidR="00133A35">
        <w:rPr>
          <w:rFonts w:ascii="Times New Roman" w:hAnsi="Times New Roman"/>
        </w:rPr>
        <w:t xml:space="preserve">As </w:t>
      </w:r>
      <w:r w:rsidRPr="00EA50E8" w:rsidR="00940D3B">
        <w:rPr>
          <w:rFonts w:ascii="Times New Roman" w:hAnsi="Times New Roman"/>
        </w:rPr>
        <w:t>finalized</w:t>
      </w:r>
      <w:r w:rsidRPr="00EA50E8" w:rsidR="0043098A">
        <w:rPr>
          <w:rFonts w:ascii="Times New Roman" w:hAnsi="Times New Roman"/>
        </w:rPr>
        <w:t xml:space="preserve">, </w:t>
      </w:r>
      <w:r w:rsidRPr="00EA50E8" w:rsidR="003B486F">
        <w:rPr>
          <w:rFonts w:ascii="Times New Roman" w:hAnsi="Times New Roman"/>
        </w:rPr>
        <w:t>the burden w</w:t>
      </w:r>
      <w:r w:rsidRPr="00EA50E8" w:rsidR="00133A35">
        <w:rPr>
          <w:rFonts w:ascii="Times New Roman" w:hAnsi="Times New Roman"/>
        </w:rPr>
        <w:t>ill</w:t>
      </w:r>
      <w:r w:rsidRPr="00EA50E8" w:rsidR="003B486F">
        <w:rPr>
          <w:rFonts w:ascii="Times New Roman" w:hAnsi="Times New Roman"/>
        </w:rPr>
        <w:t xml:space="preserve"> </w:t>
      </w:r>
      <w:r w:rsidRPr="00EA50E8" w:rsidR="00ED52DF">
        <w:rPr>
          <w:rFonts w:ascii="Times New Roman" w:hAnsi="Times New Roman"/>
        </w:rPr>
        <w:t xml:space="preserve">decrease </w:t>
      </w:r>
      <w:r w:rsidRPr="00EA50E8" w:rsidR="0043098A">
        <w:rPr>
          <w:rFonts w:ascii="Times New Roman" w:hAnsi="Times New Roman"/>
        </w:rPr>
        <w:t xml:space="preserve">from </w:t>
      </w:r>
      <w:r w:rsidRPr="00EA50E8" w:rsidR="008964DB">
        <w:rPr>
          <w:rFonts w:ascii="Times New Roman" w:hAnsi="Times New Roman"/>
        </w:rPr>
        <w:t>106</w:t>
      </w:r>
      <w:r w:rsidRPr="00EA50E8" w:rsidR="00ED52DF">
        <w:rPr>
          <w:rFonts w:ascii="Times New Roman" w:hAnsi="Times New Roman"/>
        </w:rPr>
        <w:t>.</w:t>
      </w:r>
      <w:r w:rsidRPr="00EA50E8" w:rsidR="00AD5127">
        <w:rPr>
          <w:rFonts w:ascii="Times New Roman" w:hAnsi="Times New Roman"/>
        </w:rPr>
        <w:t xml:space="preserve"> </w:t>
      </w:r>
      <w:r w:rsidRPr="00EA50E8" w:rsidR="00ED52DF">
        <w:rPr>
          <w:rFonts w:ascii="Times New Roman" w:hAnsi="Times New Roman"/>
        </w:rPr>
        <w:t>6</w:t>
      </w:r>
      <w:r w:rsidRPr="00EA50E8" w:rsidR="008964DB">
        <w:rPr>
          <w:rFonts w:ascii="Times New Roman" w:hAnsi="Times New Roman"/>
        </w:rPr>
        <w:t xml:space="preserve"> minutes</w:t>
      </w:r>
      <w:r w:rsidRPr="00EA50E8" w:rsidR="00A979A3">
        <w:rPr>
          <w:rFonts w:ascii="Times New Roman" w:hAnsi="Times New Roman"/>
        </w:rPr>
        <w:t xml:space="preserve"> (1,194,814 hours across all IRFs</w:t>
      </w:r>
      <w:r w:rsidRPr="00EA50E8" w:rsidR="00252315">
        <w:rPr>
          <w:rFonts w:ascii="Times New Roman" w:hAnsi="Times New Roman"/>
        </w:rPr>
        <w:t>)</w:t>
      </w:r>
      <w:r w:rsidRPr="00EA50E8" w:rsidR="008964DB">
        <w:rPr>
          <w:rFonts w:ascii="Times New Roman" w:hAnsi="Times New Roman"/>
        </w:rPr>
        <w:t xml:space="preserve"> to </w:t>
      </w:r>
      <w:r w:rsidRPr="00EA50E8" w:rsidR="00ED52DF">
        <w:rPr>
          <w:rFonts w:ascii="Times New Roman" w:hAnsi="Times New Roman"/>
        </w:rPr>
        <w:t>105.1</w:t>
      </w:r>
      <w:r w:rsidRPr="00EA50E8" w:rsidR="008964DB">
        <w:rPr>
          <w:rFonts w:ascii="Times New Roman" w:hAnsi="Times New Roman"/>
        </w:rPr>
        <w:t xml:space="preserve"> minutes </w:t>
      </w:r>
      <w:r w:rsidRPr="00EA50E8" w:rsidR="00252315">
        <w:rPr>
          <w:rFonts w:ascii="Times New Roman" w:hAnsi="Times New Roman"/>
        </w:rPr>
        <w:t>(</w:t>
      </w:r>
      <w:r w:rsidRPr="00EA50E8" w:rsidR="00031228">
        <w:rPr>
          <w:rFonts w:ascii="Times New Roman" w:hAnsi="Times New Roman"/>
        </w:rPr>
        <w:t xml:space="preserve">1,179,256 </w:t>
      </w:r>
      <w:r w:rsidRPr="00EA50E8" w:rsidR="003B486F">
        <w:rPr>
          <w:rFonts w:ascii="Times New Roman" w:hAnsi="Times New Roman"/>
        </w:rPr>
        <w:t xml:space="preserve">hours </w:t>
      </w:r>
      <w:r w:rsidRPr="00EA50E8" w:rsidR="0043098A">
        <w:rPr>
          <w:rFonts w:ascii="Times New Roman" w:hAnsi="Times New Roman"/>
        </w:rPr>
        <w:t>across all IRFs</w:t>
      </w:r>
      <w:r w:rsidRPr="00EA50E8" w:rsidR="00252315">
        <w:rPr>
          <w:rFonts w:ascii="Times New Roman" w:hAnsi="Times New Roman"/>
        </w:rPr>
        <w:t>)</w:t>
      </w:r>
      <w:r w:rsidRPr="00EA50E8" w:rsidR="0043098A">
        <w:rPr>
          <w:rFonts w:ascii="Times New Roman" w:hAnsi="Times New Roman"/>
        </w:rPr>
        <w:t xml:space="preserve"> </w:t>
      </w:r>
      <w:r w:rsidRPr="00EA50E8" w:rsidR="003B486F">
        <w:rPr>
          <w:rFonts w:ascii="Times New Roman" w:hAnsi="Times New Roman"/>
        </w:rPr>
        <w:t>beginning October 1, 202</w:t>
      </w:r>
      <w:r w:rsidRPr="00EA50E8" w:rsidR="008964DB">
        <w:rPr>
          <w:rFonts w:ascii="Times New Roman" w:hAnsi="Times New Roman"/>
        </w:rPr>
        <w:t>6</w:t>
      </w:r>
      <w:r w:rsidRPr="00EA50E8" w:rsidR="00A66E93">
        <w:rPr>
          <w:rFonts w:ascii="Times New Roman" w:hAnsi="Times New Roman"/>
        </w:rPr>
        <w:t xml:space="preserve"> </w:t>
      </w:r>
      <w:r w:rsidRPr="00EA50E8">
        <w:rPr>
          <w:rFonts w:ascii="Times New Roman" w:hAnsi="Times New Roman"/>
        </w:rPr>
        <w:t>[(</w:t>
      </w:r>
      <w:r w:rsidRPr="00EA50E8" w:rsidR="008964DB">
        <w:rPr>
          <w:rFonts w:ascii="Times New Roman" w:hAnsi="Times New Roman"/>
        </w:rPr>
        <w:t>1,</w:t>
      </w:r>
      <w:r w:rsidRPr="00EA50E8" w:rsidR="70AA8DF8">
        <w:rPr>
          <w:rFonts w:ascii="Times New Roman" w:hAnsi="Times New Roman"/>
        </w:rPr>
        <w:t>194,814</w:t>
      </w:r>
      <w:r w:rsidRPr="00EA50E8" w:rsidR="008964DB">
        <w:rPr>
          <w:rFonts w:ascii="Times New Roman" w:hAnsi="Times New Roman"/>
        </w:rPr>
        <w:t xml:space="preserve"> -</w:t>
      </w:r>
      <w:r w:rsidRPr="00EA50E8">
        <w:rPr>
          <w:rFonts w:ascii="Times New Roman" w:hAnsi="Times New Roman"/>
        </w:rPr>
        <w:t xml:space="preserve"> (1,</w:t>
      </w:r>
      <w:r w:rsidRPr="00EA50E8" w:rsidR="6827C016">
        <w:rPr>
          <w:rFonts w:ascii="Times New Roman" w:hAnsi="Times New Roman"/>
        </w:rPr>
        <w:t>1</w:t>
      </w:r>
      <w:r w:rsidRPr="00EA50E8" w:rsidR="1C46391B">
        <w:rPr>
          <w:rFonts w:ascii="Times New Roman" w:hAnsi="Times New Roman"/>
        </w:rPr>
        <w:t>6</w:t>
      </w:r>
      <w:r w:rsidRPr="00EA50E8" w:rsidR="27D2E867">
        <w:rPr>
          <w:rFonts w:ascii="Times New Roman" w:hAnsi="Times New Roman"/>
        </w:rPr>
        <w:t>6</w:t>
      </w:r>
      <w:r w:rsidRPr="00EA50E8">
        <w:rPr>
          <w:rFonts w:ascii="Times New Roman" w:hAnsi="Times New Roman"/>
        </w:rPr>
        <w:t xml:space="preserve"> IRFs x </w:t>
      </w:r>
      <w:r w:rsidRPr="00EA50E8" w:rsidR="4069D041">
        <w:rPr>
          <w:rFonts w:ascii="Times New Roman" w:hAnsi="Times New Roman"/>
        </w:rPr>
        <w:t>13.34</w:t>
      </w:r>
      <w:r w:rsidRPr="00EA50E8">
        <w:rPr>
          <w:rFonts w:ascii="Times New Roman" w:hAnsi="Times New Roman"/>
        </w:rPr>
        <w:t xml:space="preserve"> </w:t>
      </w:r>
      <w:r w:rsidRPr="00EA50E8">
        <w:rPr>
          <w:rFonts w:ascii="Times New Roman" w:hAnsi="Times New Roman"/>
        </w:rPr>
        <w:t>hr</w:t>
      </w:r>
      <w:r w:rsidRPr="00EA50E8">
        <w:rPr>
          <w:rFonts w:ascii="Times New Roman" w:hAnsi="Times New Roman"/>
        </w:rPr>
        <w:t xml:space="preserve"> </w:t>
      </w:r>
      <w:r w:rsidRPr="00EA50E8" w:rsidR="008964DB">
        <w:rPr>
          <w:rFonts w:ascii="Times New Roman" w:hAnsi="Times New Roman"/>
        </w:rPr>
        <w:t>de</w:t>
      </w:r>
      <w:r w:rsidRPr="00EA50E8">
        <w:rPr>
          <w:rFonts w:ascii="Times New Roman" w:hAnsi="Times New Roman"/>
        </w:rPr>
        <w:t>crease/IRF for FY 202</w:t>
      </w:r>
      <w:r w:rsidRPr="00EA50E8" w:rsidR="008964DB">
        <w:rPr>
          <w:rFonts w:ascii="Times New Roman" w:hAnsi="Times New Roman"/>
        </w:rPr>
        <w:t>8</w:t>
      </w:r>
      <w:r w:rsidRPr="00EA50E8">
        <w:rPr>
          <w:rFonts w:ascii="Times New Roman" w:hAnsi="Times New Roman"/>
        </w:rPr>
        <w:t xml:space="preserve"> IRF QRP) = 1,</w:t>
      </w:r>
      <w:r w:rsidRPr="00EA50E8" w:rsidR="6827C016">
        <w:rPr>
          <w:rFonts w:ascii="Times New Roman" w:hAnsi="Times New Roman"/>
        </w:rPr>
        <w:t>1</w:t>
      </w:r>
      <w:r w:rsidRPr="00EA50E8" w:rsidR="7AFED934">
        <w:rPr>
          <w:rFonts w:ascii="Times New Roman" w:hAnsi="Times New Roman"/>
        </w:rPr>
        <w:t>79</w:t>
      </w:r>
      <w:r w:rsidRPr="00EA50E8" w:rsidR="6827C016">
        <w:rPr>
          <w:rFonts w:ascii="Times New Roman" w:hAnsi="Times New Roman"/>
        </w:rPr>
        <w:t>,</w:t>
      </w:r>
      <w:r w:rsidRPr="00EA50E8" w:rsidR="6D61BAC9">
        <w:rPr>
          <w:rFonts w:ascii="Times New Roman" w:hAnsi="Times New Roman"/>
        </w:rPr>
        <w:t>256</w:t>
      </w:r>
      <w:r w:rsidRPr="00EA50E8">
        <w:rPr>
          <w:rFonts w:ascii="Times New Roman" w:hAnsi="Times New Roman"/>
        </w:rPr>
        <w:t>)].</w:t>
      </w:r>
    </w:p>
    <w:p w:rsidR="003B486F" w:rsidRPr="00EA50E8" w:rsidP="003B486F" w14:paraId="66C6E98A" w14:textId="13ACF57D">
      <w:pPr>
        <w:pStyle w:val="NoSpacing"/>
        <w:ind w:left="360"/>
        <w:rPr>
          <w:rFonts w:ascii="Times New Roman" w:hAnsi="Times New Roman"/>
        </w:rPr>
      </w:pPr>
    </w:p>
    <w:p w:rsidR="003B486F" w:rsidRPr="00EA50E8" w:rsidP="003B486F" w14:paraId="77FA2E2B" w14:textId="44C9A918">
      <w:pPr>
        <w:pStyle w:val="Heading2"/>
      </w:pPr>
      <w:bookmarkStart w:id="68" w:name="_Toc89079493"/>
      <w:bookmarkStart w:id="69" w:name="_Toc94773746"/>
      <w:bookmarkStart w:id="70" w:name="_Toc195704912"/>
      <w:r w:rsidRPr="00EA50E8">
        <w:t>Publication/Tabulation Dates</w:t>
      </w:r>
      <w:bookmarkEnd w:id="68"/>
      <w:bookmarkEnd w:id="69"/>
      <w:bookmarkEnd w:id="70"/>
    </w:p>
    <w:p w:rsidR="003B486F" w:rsidRPr="00EA50E8" w:rsidP="003B486F" w14:paraId="53CA1C0F" w14:textId="25E122CD">
      <w:pPr>
        <w:pStyle w:val="ListContinueBody"/>
        <w:ind w:left="360"/>
        <w:rPr>
          <w:color w:val="000000" w:themeColor="text1"/>
        </w:rPr>
      </w:pPr>
      <w:bookmarkStart w:id="71" w:name="_Toc298168198"/>
      <w:r w:rsidRPr="00EA50E8">
        <w:rPr>
          <w:color w:val="000000" w:themeColor="text1"/>
        </w:rPr>
        <w:t xml:space="preserve">For </w:t>
      </w:r>
      <w:r w:rsidRPr="00EA50E8" w:rsidR="0043098A">
        <w:rPr>
          <w:color w:val="000000" w:themeColor="text1"/>
        </w:rPr>
        <w:t xml:space="preserve">the </w:t>
      </w:r>
      <w:r w:rsidRPr="00EA50E8" w:rsidR="00BC6CE7">
        <w:rPr>
          <w:color w:val="000000" w:themeColor="text1"/>
        </w:rPr>
        <w:t xml:space="preserve">proposed </w:t>
      </w:r>
      <w:r w:rsidRPr="00EA50E8">
        <w:rPr>
          <w:color w:val="000000" w:themeColor="text1"/>
        </w:rPr>
        <w:t>changes to the IRF-PAI Version 4.</w:t>
      </w:r>
      <w:r w:rsidRPr="00EA50E8" w:rsidR="00693E43">
        <w:rPr>
          <w:color w:val="000000" w:themeColor="text1"/>
        </w:rPr>
        <w:t>4</w:t>
      </w:r>
      <w:r w:rsidRPr="00EA50E8">
        <w:rPr>
          <w:color w:val="000000" w:themeColor="text1"/>
        </w:rPr>
        <w:t xml:space="preserve"> related to the IRF QRP, the </w:t>
      </w:r>
      <w:r w:rsidRPr="00EA50E8" w:rsidR="00BC6CE7">
        <w:rPr>
          <w:color w:val="000000" w:themeColor="text1"/>
        </w:rPr>
        <w:t xml:space="preserve">proposed </w:t>
      </w:r>
      <w:r w:rsidRPr="00EA50E8">
        <w:rPr>
          <w:color w:val="000000" w:themeColor="text1"/>
        </w:rPr>
        <w:t xml:space="preserve">rule </w:t>
      </w:r>
      <w:r w:rsidRPr="00EA50E8" w:rsidR="00FC4068">
        <w:rPr>
          <w:color w:val="000000" w:themeColor="text1"/>
        </w:rPr>
        <w:t xml:space="preserve">was published </w:t>
      </w:r>
      <w:r w:rsidRPr="00EA50E8" w:rsidR="00693E43">
        <w:rPr>
          <w:color w:val="000000"/>
          <w:shd w:val="clear" w:color="auto" w:fill="FFFFFF"/>
        </w:rPr>
        <w:t xml:space="preserve">on the Federal Register Public Inspection </w:t>
      </w:r>
      <w:r w:rsidRPr="00EA50E8" w:rsidR="00693E43">
        <w:rPr>
          <w:color w:val="000000"/>
          <w:shd w:val="clear" w:color="auto" w:fill="FFFFFF"/>
        </w:rPr>
        <w:t>desk, and</w:t>
      </w:r>
      <w:r w:rsidRPr="00EA50E8" w:rsidR="00693E43">
        <w:rPr>
          <w:color w:val="000000"/>
          <w:shd w:val="clear" w:color="auto" w:fill="FFFFFF"/>
        </w:rPr>
        <w:t xml:space="preserve"> is scheduled to publish in the Federal Register on April 30, 2025.</w:t>
      </w:r>
      <w:r w:rsidRPr="00EA50E8">
        <w:rPr>
          <w:color w:val="000000" w:themeColor="text1"/>
        </w:rPr>
        <w:t xml:space="preserve"> </w:t>
      </w:r>
      <w:r w:rsidRPr="00EA50E8" w:rsidR="00E07022">
        <w:t>The IRF</w:t>
      </w:r>
      <w:r w:rsidRPr="00EA50E8" w:rsidR="00E07022">
        <w:t xml:space="preserve">-PAI Version 4.2 will have a runoff period through September 30, </w:t>
      </w:r>
      <w:r w:rsidRPr="00EA50E8" w:rsidR="00E07022">
        <w:t>2026</w:t>
      </w:r>
      <w:r w:rsidRPr="00EA50E8" w:rsidR="00E07022">
        <w:t xml:space="preserve"> and sunset when </w:t>
      </w:r>
      <w:r w:rsidRPr="00EA50E8" w:rsidR="00E07022">
        <w:rPr>
          <w:color w:val="000000" w:themeColor="text1"/>
        </w:rPr>
        <w:t xml:space="preserve">the </w:t>
      </w:r>
      <w:r w:rsidRPr="00EA50E8" w:rsidR="001F00F9">
        <w:rPr>
          <w:color w:val="000000" w:themeColor="text1"/>
        </w:rPr>
        <w:t xml:space="preserve">IRF-PAI </w:t>
      </w:r>
      <w:r w:rsidRPr="00EA50E8" w:rsidR="00E07022">
        <w:rPr>
          <w:color w:val="000000" w:themeColor="text1"/>
        </w:rPr>
        <w:t>Version 4.</w:t>
      </w:r>
      <w:r w:rsidRPr="00EA50E8" w:rsidR="00AD5127">
        <w:rPr>
          <w:color w:val="000000" w:themeColor="text1"/>
        </w:rPr>
        <w:t>4</w:t>
      </w:r>
      <w:r w:rsidRPr="00EA50E8" w:rsidR="00E07022">
        <w:rPr>
          <w:color w:val="000000" w:themeColor="text1"/>
        </w:rPr>
        <w:t xml:space="preserve"> takes effect on October 1, 2026</w:t>
      </w:r>
      <w:r w:rsidRPr="00EA50E8" w:rsidR="00BC6CE7">
        <w:rPr>
          <w:color w:val="000000" w:themeColor="text1"/>
        </w:rPr>
        <w:t xml:space="preserve">. </w:t>
      </w:r>
      <w:r w:rsidRPr="00EA50E8" w:rsidR="00D55EA2">
        <w:rPr>
          <w:color w:val="000000" w:themeColor="text1"/>
        </w:rPr>
        <w:t>The IRF-PAI Version 4.3, previously approved on 12/27/24, will not be implemented and will be superseded by IRF-PAI Version 4.4.</w:t>
      </w:r>
    </w:p>
    <w:p w:rsidR="003B486F" w:rsidRPr="00EA50E8" w:rsidP="003B486F" w14:paraId="0BA34FC8" w14:textId="6ECD7F08">
      <w:pPr>
        <w:pStyle w:val="Heading2"/>
      </w:pPr>
      <w:bookmarkStart w:id="72" w:name="_Toc89079494"/>
      <w:bookmarkStart w:id="73" w:name="_Toc94773747"/>
      <w:bookmarkStart w:id="74" w:name="_Toc195704913"/>
      <w:r w:rsidRPr="00EA50E8">
        <w:t>Expiration Date</w:t>
      </w:r>
      <w:bookmarkEnd w:id="71"/>
      <w:bookmarkEnd w:id="72"/>
      <w:bookmarkEnd w:id="73"/>
      <w:bookmarkEnd w:id="74"/>
    </w:p>
    <w:p w:rsidR="003B486F" w:rsidRPr="00EA50E8" w:rsidP="003B486F" w14:paraId="13386774" w14:textId="77777777">
      <w:pPr>
        <w:pStyle w:val="ListContinueBody"/>
        <w:ind w:left="360"/>
        <w:rPr>
          <w:color w:val="000000" w:themeColor="text1"/>
        </w:rPr>
      </w:pPr>
      <w:r w:rsidRPr="00EA50E8">
        <w:rPr>
          <w:color w:val="000000" w:themeColor="text1"/>
        </w:rPr>
        <w:t>The OMB expiration date will be displayed on all disseminated data collection materials.</w:t>
      </w:r>
    </w:p>
    <w:p w:rsidR="003B486F" w:rsidRPr="00EA50E8" w:rsidP="003B486F" w14:paraId="75E57EAA" w14:textId="46B5A20E">
      <w:pPr>
        <w:pStyle w:val="Heading2"/>
      </w:pPr>
      <w:bookmarkStart w:id="75" w:name="_Toc298168199"/>
      <w:bookmarkStart w:id="76" w:name="_Toc89079495"/>
      <w:bookmarkStart w:id="77" w:name="_Toc94773748"/>
      <w:bookmarkStart w:id="78" w:name="_Toc195704914"/>
      <w:r w:rsidRPr="00EA50E8">
        <w:t>Certification Statement</w:t>
      </w:r>
      <w:bookmarkStart w:id="79" w:name="_Toc102549699"/>
      <w:bookmarkStart w:id="80" w:name="_Toc168210891"/>
      <w:bookmarkEnd w:id="75"/>
      <w:bookmarkEnd w:id="76"/>
      <w:bookmarkEnd w:id="77"/>
      <w:bookmarkEnd w:id="78"/>
    </w:p>
    <w:p w:rsidR="003B486F" w:rsidRPr="00EA50E8" w:rsidP="003B486F" w14:paraId="00394270" w14:textId="77777777">
      <w:pPr>
        <w:pStyle w:val="ListContinueBody"/>
        <w:ind w:left="360"/>
        <w:rPr>
          <w:color w:val="000000" w:themeColor="text1"/>
        </w:rPr>
      </w:pPr>
      <w:r w:rsidRPr="00EA50E8">
        <w:rPr>
          <w:color w:val="000000" w:themeColor="text1"/>
        </w:rPr>
        <w:t xml:space="preserve">There are no exceptions to the certifications statement. </w:t>
      </w:r>
    </w:p>
    <w:p w:rsidR="003B486F" w:rsidRPr="00EA50E8" w:rsidP="003B486F" w14:paraId="2FB66DC6" w14:textId="77777777">
      <w:pPr>
        <w:pStyle w:val="BodyText1"/>
        <w:rPr>
          <w:color w:val="000000" w:themeColor="text1"/>
        </w:rPr>
      </w:pPr>
    </w:p>
    <w:p w:rsidR="003B486F" w:rsidRPr="00EA50E8" w:rsidP="003B486F" w14:paraId="049E096B" w14:textId="00FFB608">
      <w:pPr>
        <w:pStyle w:val="Heading1"/>
        <w:numPr>
          <w:ilvl w:val="0"/>
          <w:numId w:val="0"/>
        </w:numPr>
        <w:rPr>
          <w:sz w:val="22"/>
          <w:szCs w:val="22"/>
        </w:rPr>
      </w:pPr>
      <w:bookmarkStart w:id="81" w:name="_Toc513035647"/>
      <w:bookmarkStart w:id="82" w:name="_Toc298168200"/>
      <w:bookmarkStart w:id="83" w:name="_Toc94773749"/>
      <w:bookmarkStart w:id="84" w:name="_Toc89079496"/>
      <w:bookmarkStart w:id="85" w:name="_Toc195704915"/>
      <w:bookmarkEnd w:id="79"/>
      <w:bookmarkEnd w:id="80"/>
      <w:r w:rsidRPr="00EA50E8">
        <w:rPr>
          <w:sz w:val="22"/>
          <w:szCs w:val="22"/>
        </w:rPr>
        <w:t>APPENDIX A</w:t>
      </w:r>
      <w:bookmarkEnd w:id="81"/>
      <w:r w:rsidRPr="00EA50E8">
        <w:rPr>
          <w:sz w:val="22"/>
          <w:szCs w:val="22"/>
        </w:rPr>
        <w:t>:</w:t>
      </w:r>
      <w:bookmarkStart w:id="86" w:name="_Toc513035648"/>
      <w:bookmarkEnd w:id="82"/>
      <w:r w:rsidRPr="00EA50E8">
        <w:rPr>
          <w:sz w:val="22"/>
          <w:szCs w:val="22"/>
        </w:rPr>
        <w:t xml:space="preserve"> </w:t>
      </w:r>
      <w:r w:rsidRPr="00EA50E8" w:rsidR="000C5047">
        <w:rPr>
          <w:sz w:val="22"/>
          <w:szCs w:val="22"/>
        </w:rPr>
        <w:t xml:space="preserve">FINAL </w:t>
      </w:r>
      <w:r w:rsidRPr="00EA50E8">
        <w:rPr>
          <w:sz w:val="22"/>
          <w:szCs w:val="22"/>
        </w:rPr>
        <w:t xml:space="preserve">IRF-PAI </w:t>
      </w:r>
      <w:bookmarkEnd w:id="86"/>
      <w:r w:rsidRPr="00EA50E8">
        <w:rPr>
          <w:sz w:val="22"/>
          <w:szCs w:val="22"/>
        </w:rPr>
        <w:t>Version 4.</w:t>
      </w:r>
      <w:bookmarkEnd w:id="83"/>
      <w:bookmarkEnd w:id="84"/>
      <w:r w:rsidRPr="00EA50E8" w:rsidR="00AD5127">
        <w:rPr>
          <w:sz w:val="22"/>
          <w:szCs w:val="22"/>
        </w:rPr>
        <w:t>4</w:t>
      </w:r>
      <w:bookmarkEnd w:id="85"/>
      <w:r w:rsidRPr="00EA50E8">
        <w:rPr>
          <w:sz w:val="22"/>
          <w:szCs w:val="22"/>
        </w:rPr>
        <w:t xml:space="preserve"> </w:t>
      </w:r>
    </w:p>
    <w:p w:rsidR="003B486F" w:rsidRPr="00802A11" w:rsidP="003B486F" w14:paraId="3DDC107C" w14:textId="3D693208">
      <w:pPr>
        <w:spacing w:line="276" w:lineRule="auto"/>
        <w:rPr>
          <w:color w:val="000000" w:themeColor="text1"/>
          <w:sz w:val="22"/>
          <w:szCs w:val="22"/>
        </w:rPr>
      </w:pPr>
      <w:r w:rsidRPr="00EA50E8">
        <w:rPr>
          <w:color w:val="000000" w:themeColor="text1"/>
          <w:sz w:val="22"/>
          <w:szCs w:val="22"/>
        </w:rPr>
        <w:t>See attached PDF</w:t>
      </w:r>
      <w:r w:rsidRPr="00EA50E8" w:rsidR="001078CD">
        <w:rPr>
          <w:color w:val="000000" w:themeColor="text1"/>
          <w:sz w:val="22"/>
          <w:szCs w:val="22"/>
        </w:rPr>
        <w:t>.</w:t>
      </w:r>
      <w:r w:rsidRPr="00802A11">
        <w:rPr>
          <w:color w:val="000000" w:themeColor="text1"/>
          <w:sz w:val="22"/>
          <w:szCs w:val="22"/>
        </w:rPr>
        <w:t xml:space="preserve"> </w:t>
      </w:r>
    </w:p>
    <w:p w:rsidR="00161E1F" w14:paraId="3E712AE1" w14:textId="77777777"/>
    <w:sectPr w:rsidSect="009F03D6">
      <w:footerReference w:type="default" r:id="rId13"/>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011212"/>
      <w:docPartObj>
        <w:docPartGallery w:val="Page Numbers (Bottom of Page)"/>
        <w:docPartUnique/>
      </w:docPartObj>
    </w:sdtPr>
    <w:sdtEndPr>
      <w:rPr>
        <w:noProof/>
      </w:rPr>
    </w:sdtEndPr>
    <w:sdtContent>
      <w:p w:rsidR="00FA3811" w:rsidRPr="0042499B" w:rsidP="006C49C1" w14:paraId="32086A4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32FF" w:rsidP="003B486F" w14:paraId="13811589" w14:textId="77777777">
      <w:r>
        <w:separator/>
      </w:r>
    </w:p>
  </w:footnote>
  <w:footnote w:type="continuationSeparator" w:id="1">
    <w:p w:rsidR="001532FF" w:rsidP="003B486F" w14:paraId="302F073F" w14:textId="77777777">
      <w:r>
        <w:continuationSeparator/>
      </w:r>
    </w:p>
  </w:footnote>
  <w:footnote w:type="continuationNotice" w:id="2">
    <w:p w:rsidR="001532FF" w14:paraId="037DFE7A" w14:textId="77777777"/>
  </w:footnote>
  <w:footnote w:id="3">
    <w:p w:rsidR="00FA3811" w:rsidP="00C26774" w14:paraId="7AE941A5" w14:textId="46B753E2">
      <w:pPr>
        <w:pStyle w:val="FootnoteText"/>
        <w:spacing w:after="0"/>
      </w:pPr>
      <w:r w:rsidRPr="00070CA2">
        <w:rPr>
          <w:rStyle w:val="FootnoteReference"/>
          <w:sz w:val="14"/>
        </w:rPr>
        <w:footnoteRef/>
      </w:r>
      <w:r w:rsidRPr="00070CA2">
        <w:rPr>
          <w:sz w:val="16"/>
        </w:rPr>
        <w:t xml:space="preserve"> </w:t>
      </w:r>
      <w:r>
        <w:rPr>
          <w:sz w:val="16"/>
        </w:rPr>
        <w:tab/>
      </w:r>
      <w:r w:rsidRPr="00070CA2">
        <w:rPr>
          <w:sz w:val="16"/>
        </w:rPr>
        <w:t xml:space="preserve">Patient Protection and Affordable Care Act. Pub. L. 111-148. Stat. 124-119. 23 March 2010. Web. </w:t>
      </w:r>
      <w:hyperlink r:id="rId1" w:tooltip="Patient Protection and Affordable Care Act" w:history="1">
        <w:r w:rsidRPr="00070CA2">
          <w:rPr>
            <w:rStyle w:val="Hyperlink"/>
            <w:sz w:val="16"/>
          </w:rPr>
          <w:t>http://www.gpo.gov/fdsys/pkg/PLAW-111publ148/pdf/PLAW-111publ148.pdf</w:t>
        </w:r>
      </w:hyperlink>
      <w:r w:rsidRPr="00070CA2">
        <w:rPr>
          <w:sz w:val="16"/>
        </w:rPr>
        <w:t>.</w:t>
      </w:r>
      <w:r>
        <w:rPr>
          <w:sz w:val="16"/>
        </w:rPr>
        <w:t xml:space="preserve"> </w:t>
      </w:r>
    </w:p>
  </w:footnote>
  <w:footnote w:id="4">
    <w:p w:rsidR="00FA3811" w:rsidRPr="00070CA2" w:rsidP="003B486F" w14:paraId="6188495B" w14:textId="3BA5EAD7">
      <w:pPr>
        <w:pStyle w:val="FootnoteText"/>
        <w:spacing w:after="0"/>
        <w:rPr>
          <w:sz w:val="16"/>
        </w:rPr>
      </w:pPr>
      <w:r w:rsidRPr="00070CA2">
        <w:rPr>
          <w:rStyle w:val="FootnoteReference"/>
          <w:sz w:val="14"/>
        </w:rPr>
        <w:footnoteRef/>
      </w:r>
      <w:r w:rsidRPr="00070CA2">
        <w:rPr>
          <w:sz w:val="16"/>
        </w:rPr>
        <w:t xml:space="preserve"> </w:t>
      </w:r>
      <w:r>
        <w:rPr>
          <w:sz w:val="16"/>
        </w:rPr>
        <w:tab/>
      </w:r>
      <w:r w:rsidRPr="00070CA2">
        <w:rPr>
          <w:sz w:val="16"/>
        </w:rPr>
        <w:t>Inpatient Rehabilitation Facility Prospective Payment System for Federal Fiscal Year 2012, Federal Register/Vol 76, No. 151, Friday, August</w:t>
      </w:r>
      <w:r>
        <w:rPr>
          <w:sz w:val="16"/>
        </w:rPr>
        <w:t> </w:t>
      </w:r>
      <w:r w:rsidRPr="00070CA2">
        <w:rPr>
          <w:sz w:val="16"/>
        </w:rPr>
        <w:t xml:space="preserve">5, 2011. </w:t>
      </w:r>
      <w:hyperlink r:id="rId2" w:tooltip="Inpatient Rehabilitation Facility Prospective Payment System for Federal Fiscal Year 2012" w:history="1">
        <w:r w:rsidRPr="00070CA2">
          <w:rPr>
            <w:rStyle w:val="Hyperlink"/>
            <w:sz w:val="16"/>
          </w:rPr>
          <w:t>https://www.gpo.gov/fdsys/pkg/FR-2011-08-05/pdf/2011-19516.pdf</w:t>
        </w:r>
      </w:hyperlink>
    </w:p>
  </w:footnote>
  <w:footnote w:id="5">
    <w:p w:rsidR="000D586C" w14:paraId="52F184D8" w14:textId="2CAA478D">
      <w:pPr>
        <w:pStyle w:val="FootnoteText"/>
      </w:pPr>
      <w:r>
        <w:rPr>
          <w:rStyle w:val="FootnoteReference"/>
        </w:rPr>
        <w:footnoteRef/>
      </w:r>
      <w:r>
        <w:t xml:space="preserve"> </w:t>
      </w:r>
      <w:r w:rsidR="0050608C">
        <w:t xml:space="preserve">Public display version of the FY 2026 IRF PPS proposed rule: </w:t>
      </w:r>
      <w:hyperlink r:id="rId3" w:tooltip="Public display version of the FY 2026 IRF PPS proposed rule" w:history="1">
        <w:r w:rsidRPr="000D7E0F" w:rsidR="0050608C">
          <w:rPr>
            <w:rStyle w:val="Hyperlink"/>
          </w:rPr>
          <w:t>https://public-inspection.federalregister.gov/2025-06336.pdf</w:t>
        </w:r>
      </w:hyperlink>
      <w:r w:rsidR="00E3095B">
        <w:t xml:space="preserve"> </w:t>
      </w:r>
    </w:p>
  </w:footnote>
  <w:footnote w:id="6">
    <w:p w:rsidR="006E6E3F" w14:paraId="5EF6E55F" w14:textId="0183C93F">
      <w:pPr>
        <w:pStyle w:val="FootnoteText"/>
      </w:pPr>
      <w:r>
        <w:rPr>
          <w:rStyle w:val="FootnoteReference"/>
        </w:rPr>
        <w:footnoteRef/>
      </w:r>
      <w:r>
        <w:t xml:space="preserve"> FY 2002 Final Rule</w:t>
      </w:r>
      <w:r w:rsidR="00AF1CF0">
        <w:t xml:space="preserve"> (66 FR 41316)</w:t>
      </w:r>
      <w:r>
        <w:t>, FY 2015 Final Rule</w:t>
      </w:r>
      <w:r w:rsidR="00AF1CF0">
        <w:t xml:space="preserve"> (79 FR 45872)</w:t>
      </w:r>
      <w:r>
        <w:t>, FY 2016 Final Rule</w:t>
      </w:r>
      <w:r w:rsidR="00AF1CF0">
        <w:t xml:space="preserve"> (80 FR 47036)</w:t>
      </w:r>
      <w:r>
        <w:t>, FY 2020 Final Rule</w:t>
      </w:r>
      <w:r w:rsidR="00AF1CF0">
        <w:t xml:space="preserve"> (84 FR 39054)</w:t>
      </w:r>
      <w:r>
        <w:t>, FY 2023 Final Rule</w:t>
      </w:r>
      <w:r w:rsidR="00AF1CF0">
        <w:t xml:space="preserve"> (87 FR 47038)</w:t>
      </w:r>
      <w:r>
        <w:t>, FY 2024 Final Rule</w:t>
      </w:r>
      <w:r w:rsidR="00AF1CF0">
        <w:t xml:space="preserve"> (88 FR 50956)</w:t>
      </w:r>
    </w:p>
  </w:footnote>
  <w:footnote w:id="7">
    <w:p w:rsidR="000E14E8" w14:paraId="4A6FFB40" w14:textId="16A277D1">
      <w:pPr>
        <w:pStyle w:val="FootnoteText"/>
      </w:pPr>
      <w:r>
        <w:rPr>
          <w:rStyle w:val="FootnoteReference"/>
        </w:rPr>
        <w:footnoteRef/>
      </w:r>
      <w:r>
        <w:t xml:space="preserve"> FY 2026 IRF PPS proposed rule P</w:t>
      </w:r>
      <w:r>
        <w:rPr>
          <w:color w:val="000000" w:themeColor="text1"/>
        </w:rPr>
        <w:t xml:space="preserve">ublic Inspection version: </w:t>
      </w:r>
      <w:hyperlink r:id="rId3" w:tooltip="FY 2026 IRF PPS proposed rule Public Inspection version" w:history="1">
        <w:r w:rsidRPr="000D7E0F">
          <w:rPr>
            <w:rStyle w:val="Hyperlink"/>
          </w:rPr>
          <w:t>https://public-inspection.federalregister.gov/2025-06336.pdf</w:t>
        </w:r>
      </w:hyperlink>
      <w:r>
        <w:rPr>
          <w:color w:val="000000" w:themeColor="text1"/>
        </w:rPr>
        <w:t>, expected to publish in the Federal Register on April 30, 2025.</w:t>
      </w:r>
    </w:p>
  </w:footnote>
  <w:footnote w:id="8">
    <w:p w:rsidR="007E5662" w:rsidP="007E5662" w14:paraId="679FDB25" w14:textId="2198B841">
      <w:pPr>
        <w:pStyle w:val="FootnoteText"/>
      </w:pPr>
      <w:r>
        <w:rPr>
          <w:rStyle w:val="FootnoteReference"/>
        </w:rPr>
        <w:footnoteRef/>
      </w:r>
      <w:r>
        <w:t xml:space="preserve"> U.S. Bureau of Labor Statistics' (BLS) May 2023 National Occupational Employment and Wage Estimates.</w:t>
      </w:r>
      <w:r w:rsidRPr="009408A3" w:rsidR="009408A3">
        <w:t xml:space="preserve"> </w:t>
      </w:r>
      <w:hyperlink r:id="rId4" w:tooltip="U.S. Bureau of Labor Statistics' (BLS) May 2023 National Occupational Employment and Wage Estimates" w:history="1">
        <w:r w:rsidRPr="00E4262A" w:rsidR="009408A3">
          <w:rPr>
            <w:rStyle w:val="Hyperlink"/>
            <w:i/>
            <w:iCs/>
          </w:rPr>
          <w:t>https://www.bls.gov/oes/tables.htm</w:t>
        </w:r>
      </w:hyperlink>
      <w:r>
        <w:rPr>
          <w:rStyle w:val="Emphasis"/>
          <w:rFonts w:eastAsiaTheme="majorEastAsia"/>
        </w:rPr>
        <w:t>.</w:t>
      </w:r>
    </w:p>
  </w:footnote>
  <w:footnote w:id="9">
    <w:p w:rsidR="000D586C" w14:paraId="03DE5747" w14:textId="2DE30654">
      <w:pPr>
        <w:pStyle w:val="FootnoteText"/>
      </w:pPr>
      <w:r w:rsidRPr="001D64F2">
        <w:rPr>
          <w:rStyle w:val="FootnoteReference"/>
        </w:rPr>
        <w:footnoteRef/>
      </w:r>
      <w:r w:rsidRPr="001D64F2">
        <w:t xml:space="preserve"> </w:t>
      </w:r>
      <w:r w:rsidRPr="00693E43" w:rsidR="00693E43">
        <w:t xml:space="preserve"> </w:t>
      </w:r>
      <w:r w:rsidR="00693E43">
        <w:t>FY 2026 IRF PPS proposed rule P</w:t>
      </w:r>
      <w:r w:rsidR="00693E43">
        <w:rPr>
          <w:color w:val="000000" w:themeColor="text1"/>
        </w:rPr>
        <w:t xml:space="preserve">ublic Inspection version: </w:t>
      </w:r>
      <w:hyperlink r:id="rId3" w:tooltip="FY 2026 IRF PPS proposed rule Public Inspection version" w:history="1">
        <w:r w:rsidRPr="000D7E0F" w:rsidR="00693E43">
          <w:rPr>
            <w:rStyle w:val="Hyperlink"/>
          </w:rPr>
          <w:t>https://public-inspection.federalregister.gov/2025-06336.pdf</w:t>
        </w:r>
      </w:hyperlink>
      <w:r w:rsidR="00693E43">
        <w:rPr>
          <w:color w:val="000000" w:themeColor="text1"/>
        </w:rPr>
        <w:t>, expected to publish in the Federal Register on April 30,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62D88E66"/>
    <w:lvl w:ilvl="0">
      <w:start w:val="1"/>
      <w:numFmt w:val="bullet"/>
      <w:pStyle w:val="ListBullet"/>
      <w:lvlText w:val="•"/>
      <w:lvlJc w:val="left"/>
      <w:pPr>
        <w:tabs>
          <w:tab w:val="num" w:pos="0"/>
        </w:tabs>
        <w:ind w:left="0" w:hanging="360"/>
      </w:pPr>
      <w:rPr>
        <w:rFonts w:ascii="Times New Roman" w:hAnsi="Times New Roman" w:cs="Times New Roman" w:hint="default"/>
      </w:rPr>
    </w:lvl>
  </w:abstractNum>
  <w:abstractNum w:abstractNumId="1">
    <w:nsid w:val="08DA3170"/>
    <w:multiLevelType w:val="hybridMultilevel"/>
    <w:tmpl w:val="AA9838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2EF08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E6FC14"/>
    <w:multiLevelType w:val="hybridMultilevel"/>
    <w:tmpl w:val="2A74E72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1B084627"/>
    <w:multiLevelType w:val="hybridMultilevel"/>
    <w:tmpl w:val="3E2A23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1C2039EB"/>
    <w:multiLevelType w:val="hybridMultilevel"/>
    <w:tmpl w:val="3C5A9ACE"/>
    <w:lvl w:ilvl="0">
      <w:start w:val="1"/>
      <w:numFmt w:val="upperLetter"/>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4060EF"/>
    <w:multiLevelType w:val="hybridMultilevel"/>
    <w:tmpl w:val="A6C8EC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9F1F0F"/>
    <w:multiLevelType w:val="hybridMultilevel"/>
    <w:tmpl w:val="5B589C4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AAE6E20"/>
    <w:multiLevelType w:val="hybridMultilevel"/>
    <w:tmpl w:val="065431DE"/>
    <w:lvl w:ilvl="0">
      <w:start w:val="1"/>
      <w:numFmt w:val="bullet"/>
      <w:lvlText w:val="o"/>
      <w:lvlJc w:val="left"/>
      <w:pPr>
        <w:ind w:left="1245" w:hanging="360"/>
      </w:pPr>
      <w:rPr>
        <w:rFonts w:ascii="Courier New" w:hAnsi="Courier New" w:cs="Courier New" w:hint="default"/>
      </w:rPr>
    </w:lvl>
    <w:lvl w:ilvl="1" w:tentative="1">
      <w:start w:val="1"/>
      <w:numFmt w:val="bullet"/>
      <w:lvlText w:val="o"/>
      <w:lvlJc w:val="left"/>
      <w:pPr>
        <w:ind w:left="1965" w:hanging="360"/>
      </w:pPr>
      <w:rPr>
        <w:rFonts w:ascii="Courier New" w:hAnsi="Courier New" w:cs="Courier New" w:hint="default"/>
      </w:rPr>
    </w:lvl>
    <w:lvl w:ilvl="2" w:tentative="1">
      <w:start w:val="1"/>
      <w:numFmt w:val="bullet"/>
      <w:lvlText w:val=""/>
      <w:lvlJc w:val="left"/>
      <w:pPr>
        <w:ind w:left="2685" w:hanging="360"/>
      </w:pPr>
      <w:rPr>
        <w:rFonts w:ascii="Wingdings" w:hAnsi="Wingdings" w:hint="default"/>
      </w:rPr>
    </w:lvl>
    <w:lvl w:ilvl="3" w:tentative="1">
      <w:start w:val="1"/>
      <w:numFmt w:val="bullet"/>
      <w:lvlText w:val=""/>
      <w:lvlJc w:val="left"/>
      <w:pPr>
        <w:ind w:left="3405" w:hanging="360"/>
      </w:pPr>
      <w:rPr>
        <w:rFonts w:ascii="Symbol" w:hAnsi="Symbol" w:hint="default"/>
      </w:rPr>
    </w:lvl>
    <w:lvl w:ilvl="4" w:tentative="1">
      <w:start w:val="1"/>
      <w:numFmt w:val="bullet"/>
      <w:lvlText w:val="o"/>
      <w:lvlJc w:val="left"/>
      <w:pPr>
        <w:ind w:left="4125" w:hanging="360"/>
      </w:pPr>
      <w:rPr>
        <w:rFonts w:ascii="Courier New" w:hAnsi="Courier New" w:cs="Courier New" w:hint="default"/>
      </w:rPr>
    </w:lvl>
    <w:lvl w:ilvl="5" w:tentative="1">
      <w:start w:val="1"/>
      <w:numFmt w:val="bullet"/>
      <w:lvlText w:val=""/>
      <w:lvlJc w:val="left"/>
      <w:pPr>
        <w:ind w:left="4845" w:hanging="360"/>
      </w:pPr>
      <w:rPr>
        <w:rFonts w:ascii="Wingdings" w:hAnsi="Wingdings" w:hint="default"/>
      </w:rPr>
    </w:lvl>
    <w:lvl w:ilvl="6" w:tentative="1">
      <w:start w:val="1"/>
      <w:numFmt w:val="bullet"/>
      <w:lvlText w:val=""/>
      <w:lvlJc w:val="left"/>
      <w:pPr>
        <w:ind w:left="5565" w:hanging="360"/>
      </w:pPr>
      <w:rPr>
        <w:rFonts w:ascii="Symbol" w:hAnsi="Symbol" w:hint="default"/>
      </w:rPr>
    </w:lvl>
    <w:lvl w:ilvl="7" w:tentative="1">
      <w:start w:val="1"/>
      <w:numFmt w:val="bullet"/>
      <w:lvlText w:val="o"/>
      <w:lvlJc w:val="left"/>
      <w:pPr>
        <w:ind w:left="6285" w:hanging="360"/>
      </w:pPr>
      <w:rPr>
        <w:rFonts w:ascii="Courier New" w:hAnsi="Courier New" w:cs="Courier New" w:hint="default"/>
      </w:rPr>
    </w:lvl>
    <w:lvl w:ilvl="8" w:tentative="1">
      <w:start w:val="1"/>
      <w:numFmt w:val="bullet"/>
      <w:lvlText w:val=""/>
      <w:lvlJc w:val="left"/>
      <w:pPr>
        <w:ind w:left="7005" w:hanging="360"/>
      </w:pPr>
      <w:rPr>
        <w:rFonts w:ascii="Wingdings" w:hAnsi="Wingdings" w:hint="default"/>
      </w:rPr>
    </w:lvl>
  </w:abstractNum>
  <w:abstractNum w:abstractNumId="9">
    <w:nsid w:val="4C2F70C3"/>
    <w:multiLevelType w:val="hybridMultilevel"/>
    <w:tmpl w:val="65723D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760265A"/>
    <w:multiLevelType w:val="hybridMultilevel"/>
    <w:tmpl w:val="BECC24EC"/>
    <w:lvl w:ilvl="0">
      <w:start w:val="1"/>
      <w:numFmt w:val="decimal"/>
      <w:pStyle w:val="Heading2"/>
      <w:lvlText w:val="%1."/>
      <w:lvlJc w:val="left"/>
      <w:pPr>
        <w:ind w:left="36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AA040FA"/>
    <w:multiLevelType w:val="hybridMultilevel"/>
    <w:tmpl w:val="072A2928"/>
    <w:lvl w:ilvl="0">
      <w:start w:val="1"/>
      <w:numFmt w:val="lowerLetter"/>
      <w:pStyle w:val="Heading3"/>
      <w:lvlText w:val="%1)"/>
      <w:lvlJc w:val="left"/>
      <w:pPr>
        <w:ind w:left="54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D121B0"/>
    <w:multiLevelType w:val="hybridMultilevel"/>
    <w:tmpl w:val="3A1466B4"/>
    <w:lvl w:ilvl="0">
      <w:start w:val="0"/>
      <w:numFmt w:val="bullet"/>
      <w:lvlText w:val=""/>
      <w:lvlJc w:val="left"/>
      <w:pPr>
        <w:ind w:left="900" w:hanging="360"/>
      </w:pPr>
      <w:rPr>
        <w:rFonts w:ascii="Symbol" w:eastAsia="Times New Roman" w:hAnsi="Symbol" w:cs="Times New Roman"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3">
    <w:nsid w:val="6C530AE4"/>
    <w:multiLevelType w:val="hybridMultilevel"/>
    <w:tmpl w:val="62689288"/>
    <w:lvl w:ilvl="0">
      <w:start w:val="1"/>
      <w:numFmt w:val="lowerLetter"/>
      <w:pStyle w:val="Heading4"/>
      <w:lvlText w:val="%1)"/>
      <w:lvlJc w:val="left"/>
      <w:pPr>
        <w:ind w:left="54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2904644"/>
    <w:multiLevelType w:val="hybridMultilevel"/>
    <w:tmpl w:val="AA9838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B246948"/>
    <w:multiLevelType w:val="hybridMultilevel"/>
    <w:tmpl w:val="E998FE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9859670">
    <w:abstractNumId w:val="2"/>
  </w:num>
  <w:num w:numId="2" w16cid:durableId="652871177">
    <w:abstractNumId w:val="3"/>
  </w:num>
  <w:num w:numId="3" w16cid:durableId="1500926621">
    <w:abstractNumId w:val="4"/>
  </w:num>
  <w:num w:numId="4" w16cid:durableId="738016260">
    <w:abstractNumId w:val="10"/>
  </w:num>
  <w:num w:numId="5" w16cid:durableId="399908990">
    <w:abstractNumId w:val="0"/>
  </w:num>
  <w:num w:numId="6" w16cid:durableId="253898992">
    <w:abstractNumId w:val="13"/>
  </w:num>
  <w:num w:numId="7" w16cid:durableId="1131442101">
    <w:abstractNumId w:val="5"/>
  </w:num>
  <w:num w:numId="8" w16cid:durableId="990216180">
    <w:abstractNumId w:val="1"/>
  </w:num>
  <w:num w:numId="9" w16cid:durableId="107823253">
    <w:abstractNumId w:val="14"/>
  </w:num>
  <w:num w:numId="10" w16cid:durableId="1613318175">
    <w:abstractNumId w:val="13"/>
    <w:lvlOverride w:ilvl="0">
      <w:startOverride w:val="1"/>
    </w:lvlOverride>
  </w:num>
  <w:num w:numId="11" w16cid:durableId="1658725632">
    <w:abstractNumId w:val="6"/>
  </w:num>
  <w:num w:numId="12" w16cid:durableId="1739327572">
    <w:abstractNumId w:val="13"/>
  </w:num>
  <w:num w:numId="13" w16cid:durableId="1276400633">
    <w:abstractNumId w:val="15"/>
  </w:num>
  <w:num w:numId="14" w16cid:durableId="709839344">
    <w:abstractNumId w:val="7"/>
  </w:num>
  <w:num w:numId="15" w16cid:durableId="950169575">
    <w:abstractNumId w:val="13"/>
    <w:lvlOverride w:ilvl="0">
      <w:startOverride w:val="1"/>
    </w:lvlOverride>
  </w:num>
  <w:num w:numId="16" w16cid:durableId="1017657514">
    <w:abstractNumId w:val="11"/>
  </w:num>
  <w:num w:numId="17" w16cid:durableId="757947046">
    <w:abstractNumId w:val="12"/>
  </w:num>
  <w:num w:numId="18" w16cid:durableId="1468472089">
    <w:abstractNumId w:val="8"/>
  </w:num>
  <w:num w:numId="19" w16cid:durableId="417213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6F"/>
    <w:rsid w:val="00000FFE"/>
    <w:rsid w:val="00001983"/>
    <w:rsid w:val="00004F35"/>
    <w:rsid w:val="000076DF"/>
    <w:rsid w:val="00013813"/>
    <w:rsid w:val="00014AB2"/>
    <w:rsid w:val="00022F43"/>
    <w:rsid w:val="000232E0"/>
    <w:rsid w:val="0002631E"/>
    <w:rsid w:val="00030551"/>
    <w:rsid w:val="00031228"/>
    <w:rsid w:val="00031C63"/>
    <w:rsid w:val="000573E7"/>
    <w:rsid w:val="00070CA2"/>
    <w:rsid w:val="00082FB3"/>
    <w:rsid w:val="00092428"/>
    <w:rsid w:val="00097E76"/>
    <w:rsid w:val="000A22B4"/>
    <w:rsid w:val="000A2EE6"/>
    <w:rsid w:val="000A77BE"/>
    <w:rsid w:val="000B05F3"/>
    <w:rsid w:val="000B4387"/>
    <w:rsid w:val="000C020F"/>
    <w:rsid w:val="000C0B27"/>
    <w:rsid w:val="000C4BCA"/>
    <w:rsid w:val="000C5047"/>
    <w:rsid w:val="000D2C45"/>
    <w:rsid w:val="000D53B7"/>
    <w:rsid w:val="000D586C"/>
    <w:rsid w:val="000D60E9"/>
    <w:rsid w:val="000D6557"/>
    <w:rsid w:val="000D7E0F"/>
    <w:rsid w:val="000E14E8"/>
    <w:rsid w:val="000E2A42"/>
    <w:rsid w:val="000E5EF1"/>
    <w:rsid w:val="000F4085"/>
    <w:rsid w:val="000F5372"/>
    <w:rsid w:val="000F75F8"/>
    <w:rsid w:val="000F7ECE"/>
    <w:rsid w:val="001014BC"/>
    <w:rsid w:val="00106E8F"/>
    <w:rsid w:val="00107021"/>
    <w:rsid w:val="001078CD"/>
    <w:rsid w:val="0011499C"/>
    <w:rsid w:val="001250B2"/>
    <w:rsid w:val="00133A35"/>
    <w:rsid w:val="001532FF"/>
    <w:rsid w:val="00160DD6"/>
    <w:rsid w:val="00161E1F"/>
    <w:rsid w:val="00190A6E"/>
    <w:rsid w:val="001A00C7"/>
    <w:rsid w:val="001A0611"/>
    <w:rsid w:val="001A4BBC"/>
    <w:rsid w:val="001A5237"/>
    <w:rsid w:val="001A6CD7"/>
    <w:rsid w:val="001A72E6"/>
    <w:rsid w:val="001B7481"/>
    <w:rsid w:val="001C0B76"/>
    <w:rsid w:val="001C117B"/>
    <w:rsid w:val="001C1D51"/>
    <w:rsid w:val="001C50AA"/>
    <w:rsid w:val="001D5BA5"/>
    <w:rsid w:val="001D64F2"/>
    <w:rsid w:val="001E41D1"/>
    <w:rsid w:val="001E741E"/>
    <w:rsid w:val="001F00F9"/>
    <w:rsid w:val="001F5816"/>
    <w:rsid w:val="001F7A66"/>
    <w:rsid w:val="00212C61"/>
    <w:rsid w:val="0021364B"/>
    <w:rsid w:val="002149B1"/>
    <w:rsid w:val="00225A0E"/>
    <w:rsid w:val="002314C8"/>
    <w:rsid w:val="0023725F"/>
    <w:rsid w:val="002408AC"/>
    <w:rsid w:val="0024246C"/>
    <w:rsid w:val="0024255A"/>
    <w:rsid w:val="00252315"/>
    <w:rsid w:val="0025367E"/>
    <w:rsid w:val="0025435B"/>
    <w:rsid w:val="0025610F"/>
    <w:rsid w:val="002623C9"/>
    <w:rsid w:val="00262799"/>
    <w:rsid w:val="002818BF"/>
    <w:rsid w:val="002831DC"/>
    <w:rsid w:val="00287090"/>
    <w:rsid w:val="00290345"/>
    <w:rsid w:val="002938A6"/>
    <w:rsid w:val="00294AF4"/>
    <w:rsid w:val="0029512E"/>
    <w:rsid w:val="00295423"/>
    <w:rsid w:val="002B34EF"/>
    <w:rsid w:val="002C6B5F"/>
    <w:rsid w:val="002D019C"/>
    <w:rsid w:val="002D0929"/>
    <w:rsid w:val="002D1909"/>
    <w:rsid w:val="002D1FB2"/>
    <w:rsid w:val="002D282E"/>
    <w:rsid w:val="002D33DF"/>
    <w:rsid w:val="002E1CD7"/>
    <w:rsid w:val="002E277D"/>
    <w:rsid w:val="002E71A0"/>
    <w:rsid w:val="002F68AC"/>
    <w:rsid w:val="002F6D51"/>
    <w:rsid w:val="00301173"/>
    <w:rsid w:val="00302207"/>
    <w:rsid w:val="00302CBB"/>
    <w:rsid w:val="00302DB1"/>
    <w:rsid w:val="00306129"/>
    <w:rsid w:val="00311EA8"/>
    <w:rsid w:val="00313D22"/>
    <w:rsid w:val="00334868"/>
    <w:rsid w:val="00334ADE"/>
    <w:rsid w:val="0034513E"/>
    <w:rsid w:val="003465EA"/>
    <w:rsid w:val="00346D70"/>
    <w:rsid w:val="003521E3"/>
    <w:rsid w:val="00352D59"/>
    <w:rsid w:val="00353F41"/>
    <w:rsid w:val="00363E39"/>
    <w:rsid w:val="003744A4"/>
    <w:rsid w:val="00381BAC"/>
    <w:rsid w:val="00386CD5"/>
    <w:rsid w:val="00397A83"/>
    <w:rsid w:val="003A4CA5"/>
    <w:rsid w:val="003B226E"/>
    <w:rsid w:val="003B2674"/>
    <w:rsid w:val="003B486F"/>
    <w:rsid w:val="003B4B3D"/>
    <w:rsid w:val="003B71F9"/>
    <w:rsid w:val="003B7B0E"/>
    <w:rsid w:val="003C1E23"/>
    <w:rsid w:val="003C5608"/>
    <w:rsid w:val="003C76DA"/>
    <w:rsid w:val="003D3737"/>
    <w:rsid w:val="003E37FE"/>
    <w:rsid w:val="003E3D0D"/>
    <w:rsid w:val="003E4B4A"/>
    <w:rsid w:val="003F0672"/>
    <w:rsid w:val="003F45C8"/>
    <w:rsid w:val="003F7CD8"/>
    <w:rsid w:val="00400BCB"/>
    <w:rsid w:val="004117E6"/>
    <w:rsid w:val="00422154"/>
    <w:rsid w:val="0042499B"/>
    <w:rsid w:val="00425281"/>
    <w:rsid w:val="00425658"/>
    <w:rsid w:val="00426100"/>
    <w:rsid w:val="00426A15"/>
    <w:rsid w:val="0043098A"/>
    <w:rsid w:val="00436410"/>
    <w:rsid w:val="004373E1"/>
    <w:rsid w:val="0044310A"/>
    <w:rsid w:val="00461254"/>
    <w:rsid w:val="00461CBB"/>
    <w:rsid w:val="00467352"/>
    <w:rsid w:val="00470690"/>
    <w:rsid w:val="004744EC"/>
    <w:rsid w:val="00475B10"/>
    <w:rsid w:val="00487F0F"/>
    <w:rsid w:val="00494990"/>
    <w:rsid w:val="00495D34"/>
    <w:rsid w:val="004B340F"/>
    <w:rsid w:val="004B547A"/>
    <w:rsid w:val="004D3751"/>
    <w:rsid w:val="004D5431"/>
    <w:rsid w:val="004E105D"/>
    <w:rsid w:val="004E4B64"/>
    <w:rsid w:val="004E5C2E"/>
    <w:rsid w:val="004E6C67"/>
    <w:rsid w:val="004F1BD7"/>
    <w:rsid w:val="004F578B"/>
    <w:rsid w:val="005027C4"/>
    <w:rsid w:val="0050529C"/>
    <w:rsid w:val="0050608C"/>
    <w:rsid w:val="0051252D"/>
    <w:rsid w:val="005279B2"/>
    <w:rsid w:val="0053647D"/>
    <w:rsid w:val="00545074"/>
    <w:rsid w:val="005471D8"/>
    <w:rsid w:val="00563052"/>
    <w:rsid w:val="005650A3"/>
    <w:rsid w:val="0056527A"/>
    <w:rsid w:val="00567536"/>
    <w:rsid w:val="005721DD"/>
    <w:rsid w:val="005823CC"/>
    <w:rsid w:val="0058346F"/>
    <w:rsid w:val="005851E8"/>
    <w:rsid w:val="00593EFD"/>
    <w:rsid w:val="00596A8C"/>
    <w:rsid w:val="005A33E8"/>
    <w:rsid w:val="005B34EC"/>
    <w:rsid w:val="005C0136"/>
    <w:rsid w:val="005C02A7"/>
    <w:rsid w:val="005C3D23"/>
    <w:rsid w:val="005C5DEE"/>
    <w:rsid w:val="005C6D62"/>
    <w:rsid w:val="005D149C"/>
    <w:rsid w:val="005D3457"/>
    <w:rsid w:val="005D57DE"/>
    <w:rsid w:val="005D785D"/>
    <w:rsid w:val="005E0B49"/>
    <w:rsid w:val="005E13DC"/>
    <w:rsid w:val="005E43A2"/>
    <w:rsid w:val="005E46EE"/>
    <w:rsid w:val="005F2AB5"/>
    <w:rsid w:val="005F7116"/>
    <w:rsid w:val="005F7A89"/>
    <w:rsid w:val="00600563"/>
    <w:rsid w:val="00602359"/>
    <w:rsid w:val="00604B6B"/>
    <w:rsid w:val="00612100"/>
    <w:rsid w:val="00617387"/>
    <w:rsid w:val="00617457"/>
    <w:rsid w:val="00620FAF"/>
    <w:rsid w:val="0064208E"/>
    <w:rsid w:val="00644B28"/>
    <w:rsid w:val="00645B91"/>
    <w:rsid w:val="00651D61"/>
    <w:rsid w:val="006523B5"/>
    <w:rsid w:val="006631C3"/>
    <w:rsid w:val="00663B8F"/>
    <w:rsid w:val="00667AFD"/>
    <w:rsid w:val="006729AF"/>
    <w:rsid w:val="00677DD3"/>
    <w:rsid w:val="0068460A"/>
    <w:rsid w:val="00693E43"/>
    <w:rsid w:val="0069440A"/>
    <w:rsid w:val="006A315A"/>
    <w:rsid w:val="006A4E5C"/>
    <w:rsid w:val="006B5F46"/>
    <w:rsid w:val="006C49C1"/>
    <w:rsid w:val="006C57DA"/>
    <w:rsid w:val="006D1FD5"/>
    <w:rsid w:val="006D3C50"/>
    <w:rsid w:val="006E01DE"/>
    <w:rsid w:val="006E1ADA"/>
    <w:rsid w:val="006E6BE6"/>
    <w:rsid w:val="006E6E3F"/>
    <w:rsid w:val="006F25F6"/>
    <w:rsid w:val="006F35AE"/>
    <w:rsid w:val="006F35F5"/>
    <w:rsid w:val="006F6FC7"/>
    <w:rsid w:val="00702785"/>
    <w:rsid w:val="00702DC4"/>
    <w:rsid w:val="00707700"/>
    <w:rsid w:val="00740434"/>
    <w:rsid w:val="0074045B"/>
    <w:rsid w:val="007421BC"/>
    <w:rsid w:val="00744166"/>
    <w:rsid w:val="00750B05"/>
    <w:rsid w:val="007513E4"/>
    <w:rsid w:val="00757B5E"/>
    <w:rsid w:val="00760C5B"/>
    <w:rsid w:val="007649B1"/>
    <w:rsid w:val="0076526A"/>
    <w:rsid w:val="00765D15"/>
    <w:rsid w:val="0076607A"/>
    <w:rsid w:val="00770099"/>
    <w:rsid w:val="0078367B"/>
    <w:rsid w:val="00784CAE"/>
    <w:rsid w:val="00792F83"/>
    <w:rsid w:val="007975DF"/>
    <w:rsid w:val="007A1D2C"/>
    <w:rsid w:val="007A2F98"/>
    <w:rsid w:val="007A6AA4"/>
    <w:rsid w:val="007B40B5"/>
    <w:rsid w:val="007B63A8"/>
    <w:rsid w:val="007B749F"/>
    <w:rsid w:val="007C0CCB"/>
    <w:rsid w:val="007D1348"/>
    <w:rsid w:val="007D300E"/>
    <w:rsid w:val="007E5662"/>
    <w:rsid w:val="007F1857"/>
    <w:rsid w:val="007F7AE8"/>
    <w:rsid w:val="00802A11"/>
    <w:rsid w:val="008108E4"/>
    <w:rsid w:val="0081537A"/>
    <w:rsid w:val="0082451C"/>
    <w:rsid w:val="008334BE"/>
    <w:rsid w:val="008372D3"/>
    <w:rsid w:val="0084206A"/>
    <w:rsid w:val="00844077"/>
    <w:rsid w:val="008447CE"/>
    <w:rsid w:val="008537D4"/>
    <w:rsid w:val="00856C1F"/>
    <w:rsid w:val="008609C3"/>
    <w:rsid w:val="00874F95"/>
    <w:rsid w:val="0088587D"/>
    <w:rsid w:val="00890C45"/>
    <w:rsid w:val="008942E5"/>
    <w:rsid w:val="008964DB"/>
    <w:rsid w:val="0089698A"/>
    <w:rsid w:val="008A41E6"/>
    <w:rsid w:val="008A682F"/>
    <w:rsid w:val="008B44A9"/>
    <w:rsid w:val="008C16B4"/>
    <w:rsid w:val="008C3958"/>
    <w:rsid w:val="008D0679"/>
    <w:rsid w:val="008D071C"/>
    <w:rsid w:val="008D4201"/>
    <w:rsid w:val="008D42DC"/>
    <w:rsid w:val="008E0DAF"/>
    <w:rsid w:val="008E3270"/>
    <w:rsid w:val="008F1E46"/>
    <w:rsid w:val="008F571B"/>
    <w:rsid w:val="008F7E04"/>
    <w:rsid w:val="00901458"/>
    <w:rsid w:val="009028B6"/>
    <w:rsid w:val="00912BD0"/>
    <w:rsid w:val="00916A18"/>
    <w:rsid w:val="00920B37"/>
    <w:rsid w:val="00922C23"/>
    <w:rsid w:val="00922D9C"/>
    <w:rsid w:val="00925DCC"/>
    <w:rsid w:val="00927A6A"/>
    <w:rsid w:val="00930246"/>
    <w:rsid w:val="009309FB"/>
    <w:rsid w:val="009408A3"/>
    <w:rsid w:val="00940D3B"/>
    <w:rsid w:val="00951F28"/>
    <w:rsid w:val="00953435"/>
    <w:rsid w:val="00954809"/>
    <w:rsid w:val="00962C85"/>
    <w:rsid w:val="00967C6F"/>
    <w:rsid w:val="0097248B"/>
    <w:rsid w:val="009729AF"/>
    <w:rsid w:val="009741A4"/>
    <w:rsid w:val="00981FA8"/>
    <w:rsid w:val="009A184F"/>
    <w:rsid w:val="009A338C"/>
    <w:rsid w:val="009A40A9"/>
    <w:rsid w:val="009A4232"/>
    <w:rsid w:val="009A57AA"/>
    <w:rsid w:val="009B5E61"/>
    <w:rsid w:val="009B755F"/>
    <w:rsid w:val="009C1020"/>
    <w:rsid w:val="009C6B35"/>
    <w:rsid w:val="009D6D35"/>
    <w:rsid w:val="009D7A2E"/>
    <w:rsid w:val="009E271A"/>
    <w:rsid w:val="009E7489"/>
    <w:rsid w:val="009F03D6"/>
    <w:rsid w:val="009F35BB"/>
    <w:rsid w:val="009F5DA9"/>
    <w:rsid w:val="009F759B"/>
    <w:rsid w:val="00A07472"/>
    <w:rsid w:val="00A30398"/>
    <w:rsid w:val="00A315DE"/>
    <w:rsid w:val="00A33E4B"/>
    <w:rsid w:val="00A34377"/>
    <w:rsid w:val="00A3740E"/>
    <w:rsid w:val="00A37748"/>
    <w:rsid w:val="00A412F3"/>
    <w:rsid w:val="00A4451A"/>
    <w:rsid w:val="00A546C8"/>
    <w:rsid w:val="00A5741E"/>
    <w:rsid w:val="00A65022"/>
    <w:rsid w:val="00A66E93"/>
    <w:rsid w:val="00A7366B"/>
    <w:rsid w:val="00A8095E"/>
    <w:rsid w:val="00A81059"/>
    <w:rsid w:val="00A84D3B"/>
    <w:rsid w:val="00A90E58"/>
    <w:rsid w:val="00A979A3"/>
    <w:rsid w:val="00AA4A5C"/>
    <w:rsid w:val="00AA73E5"/>
    <w:rsid w:val="00AB25DD"/>
    <w:rsid w:val="00AB52B6"/>
    <w:rsid w:val="00AC387E"/>
    <w:rsid w:val="00AC3A21"/>
    <w:rsid w:val="00AD097D"/>
    <w:rsid w:val="00AD5127"/>
    <w:rsid w:val="00AE0E0A"/>
    <w:rsid w:val="00AE3E37"/>
    <w:rsid w:val="00AE649F"/>
    <w:rsid w:val="00AE7EA6"/>
    <w:rsid w:val="00AF1CF0"/>
    <w:rsid w:val="00AF5DF7"/>
    <w:rsid w:val="00AF6FA7"/>
    <w:rsid w:val="00B04419"/>
    <w:rsid w:val="00B0748B"/>
    <w:rsid w:val="00B07494"/>
    <w:rsid w:val="00B313E6"/>
    <w:rsid w:val="00B328EB"/>
    <w:rsid w:val="00B37093"/>
    <w:rsid w:val="00B3709A"/>
    <w:rsid w:val="00B40615"/>
    <w:rsid w:val="00B43542"/>
    <w:rsid w:val="00B6790D"/>
    <w:rsid w:val="00B706C9"/>
    <w:rsid w:val="00B743AC"/>
    <w:rsid w:val="00B74537"/>
    <w:rsid w:val="00B83E5F"/>
    <w:rsid w:val="00B8689A"/>
    <w:rsid w:val="00B870B5"/>
    <w:rsid w:val="00B908BD"/>
    <w:rsid w:val="00B9330D"/>
    <w:rsid w:val="00B99B92"/>
    <w:rsid w:val="00BA0522"/>
    <w:rsid w:val="00BA1C81"/>
    <w:rsid w:val="00BA7D42"/>
    <w:rsid w:val="00BB1450"/>
    <w:rsid w:val="00BB271A"/>
    <w:rsid w:val="00BB2C68"/>
    <w:rsid w:val="00BB31B4"/>
    <w:rsid w:val="00BC0FF3"/>
    <w:rsid w:val="00BC4ABE"/>
    <w:rsid w:val="00BC6CE7"/>
    <w:rsid w:val="00BC7C2A"/>
    <w:rsid w:val="00BF0644"/>
    <w:rsid w:val="00BF6C21"/>
    <w:rsid w:val="00C07042"/>
    <w:rsid w:val="00C0705A"/>
    <w:rsid w:val="00C21133"/>
    <w:rsid w:val="00C22C69"/>
    <w:rsid w:val="00C236F7"/>
    <w:rsid w:val="00C24275"/>
    <w:rsid w:val="00C26774"/>
    <w:rsid w:val="00C270F0"/>
    <w:rsid w:val="00C36116"/>
    <w:rsid w:val="00C4099C"/>
    <w:rsid w:val="00C4159E"/>
    <w:rsid w:val="00C42F40"/>
    <w:rsid w:val="00C51160"/>
    <w:rsid w:val="00C63B57"/>
    <w:rsid w:val="00C70528"/>
    <w:rsid w:val="00C93E16"/>
    <w:rsid w:val="00C97F7C"/>
    <w:rsid w:val="00CA3BDD"/>
    <w:rsid w:val="00CB38E1"/>
    <w:rsid w:val="00CB4292"/>
    <w:rsid w:val="00CB6C40"/>
    <w:rsid w:val="00CB7CDE"/>
    <w:rsid w:val="00CC50FA"/>
    <w:rsid w:val="00CC79E4"/>
    <w:rsid w:val="00CE47ED"/>
    <w:rsid w:val="00CE6DFC"/>
    <w:rsid w:val="00CF3DD5"/>
    <w:rsid w:val="00CF6CB0"/>
    <w:rsid w:val="00D0300D"/>
    <w:rsid w:val="00D03F10"/>
    <w:rsid w:val="00D15735"/>
    <w:rsid w:val="00D15FB1"/>
    <w:rsid w:val="00D20205"/>
    <w:rsid w:val="00D202DA"/>
    <w:rsid w:val="00D2627A"/>
    <w:rsid w:val="00D27AAC"/>
    <w:rsid w:val="00D30902"/>
    <w:rsid w:val="00D31F15"/>
    <w:rsid w:val="00D32EB3"/>
    <w:rsid w:val="00D3363B"/>
    <w:rsid w:val="00D34EFD"/>
    <w:rsid w:val="00D45B27"/>
    <w:rsid w:val="00D46849"/>
    <w:rsid w:val="00D53A94"/>
    <w:rsid w:val="00D55EA2"/>
    <w:rsid w:val="00D60CED"/>
    <w:rsid w:val="00D61404"/>
    <w:rsid w:val="00D71E99"/>
    <w:rsid w:val="00D7339F"/>
    <w:rsid w:val="00D862B8"/>
    <w:rsid w:val="00D905A8"/>
    <w:rsid w:val="00D90BD3"/>
    <w:rsid w:val="00D90F19"/>
    <w:rsid w:val="00D964B6"/>
    <w:rsid w:val="00DB03A0"/>
    <w:rsid w:val="00DB37A7"/>
    <w:rsid w:val="00DB3C1E"/>
    <w:rsid w:val="00DB4682"/>
    <w:rsid w:val="00DB4D50"/>
    <w:rsid w:val="00DB58E3"/>
    <w:rsid w:val="00DC420C"/>
    <w:rsid w:val="00DC6B51"/>
    <w:rsid w:val="00DD1EA2"/>
    <w:rsid w:val="00DE5D6A"/>
    <w:rsid w:val="00DE7CDB"/>
    <w:rsid w:val="00DF36AF"/>
    <w:rsid w:val="00DF4905"/>
    <w:rsid w:val="00E00D93"/>
    <w:rsid w:val="00E014D0"/>
    <w:rsid w:val="00E05D38"/>
    <w:rsid w:val="00E0673D"/>
    <w:rsid w:val="00E06BA0"/>
    <w:rsid w:val="00E07022"/>
    <w:rsid w:val="00E17523"/>
    <w:rsid w:val="00E3095B"/>
    <w:rsid w:val="00E31855"/>
    <w:rsid w:val="00E34D92"/>
    <w:rsid w:val="00E35439"/>
    <w:rsid w:val="00E4262A"/>
    <w:rsid w:val="00E470F3"/>
    <w:rsid w:val="00E72754"/>
    <w:rsid w:val="00E736DF"/>
    <w:rsid w:val="00E8279C"/>
    <w:rsid w:val="00E82B9C"/>
    <w:rsid w:val="00E86006"/>
    <w:rsid w:val="00E92CDC"/>
    <w:rsid w:val="00EA29C1"/>
    <w:rsid w:val="00EA3ACF"/>
    <w:rsid w:val="00EA50E8"/>
    <w:rsid w:val="00EB05B7"/>
    <w:rsid w:val="00EB5594"/>
    <w:rsid w:val="00EB7D41"/>
    <w:rsid w:val="00EC101E"/>
    <w:rsid w:val="00ED52DF"/>
    <w:rsid w:val="00ED5E9F"/>
    <w:rsid w:val="00EE3325"/>
    <w:rsid w:val="00EE3DD2"/>
    <w:rsid w:val="00EE4EDC"/>
    <w:rsid w:val="00EE7715"/>
    <w:rsid w:val="00EF0799"/>
    <w:rsid w:val="00EF54D7"/>
    <w:rsid w:val="00F01C99"/>
    <w:rsid w:val="00F03178"/>
    <w:rsid w:val="00F04312"/>
    <w:rsid w:val="00F11B8C"/>
    <w:rsid w:val="00F1534B"/>
    <w:rsid w:val="00F24C86"/>
    <w:rsid w:val="00F26F58"/>
    <w:rsid w:val="00F31F34"/>
    <w:rsid w:val="00F340C9"/>
    <w:rsid w:val="00F341B8"/>
    <w:rsid w:val="00F34F63"/>
    <w:rsid w:val="00F35566"/>
    <w:rsid w:val="00F52A0A"/>
    <w:rsid w:val="00F53EA5"/>
    <w:rsid w:val="00F57A97"/>
    <w:rsid w:val="00F60925"/>
    <w:rsid w:val="00F63C89"/>
    <w:rsid w:val="00F66E3F"/>
    <w:rsid w:val="00F70759"/>
    <w:rsid w:val="00F74629"/>
    <w:rsid w:val="00F75EA0"/>
    <w:rsid w:val="00F77BF8"/>
    <w:rsid w:val="00F859F9"/>
    <w:rsid w:val="00F87861"/>
    <w:rsid w:val="00F9375A"/>
    <w:rsid w:val="00F96F12"/>
    <w:rsid w:val="00FA3811"/>
    <w:rsid w:val="00FA4FC1"/>
    <w:rsid w:val="00FB0297"/>
    <w:rsid w:val="00FB61EF"/>
    <w:rsid w:val="00FC36A8"/>
    <w:rsid w:val="00FC4068"/>
    <w:rsid w:val="00FC79F6"/>
    <w:rsid w:val="00FC7D09"/>
    <w:rsid w:val="00FD56D0"/>
    <w:rsid w:val="00FD5B6E"/>
    <w:rsid w:val="00FE46A8"/>
    <w:rsid w:val="00FF78F6"/>
    <w:rsid w:val="00FF7D11"/>
    <w:rsid w:val="00FF7F0C"/>
    <w:rsid w:val="01362999"/>
    <w:rsid w:val="02F2326E"/>
    <w:rsid w:val="0441CB71"/>
    <w:rsid w:val="04AF820F"/>
    <w:rsid w:val="04CB6583"/>
    <w:rsid w:val="04F55C8A"/>
    <w:rsid w:val="056FD9E3"/>
    <w:rsid w:val="05CB4E42"/>
    <w:rsid w:val="0689193B"/>
    <w:rsid w:val="073013B1"/>
    <w:rsid w:val="0815D986"/>
    <w:rsid w:val="087A9A59"/>
    <w:rsid w:val="08B243C6"/>
    <w:rsid w:val="0919E88B"/>
    <w:rsid w:val="09331534"/>
    <w:rsid w:val="09B7FC3C"/>
    <w:rsid w:val="09C87DBC"/>
    <w:rsid w:val="09DD5D8F"/>
    <w:rsid w:val="09E6D629"/>
    <w:rsid w:val="09EFF3B0"/>
    <w:rsid w:val="0AC90F87"/>
    <w:rsid w:val="0AD0BF5C"/>
    <w:rsid w:val="0B337E0A"/>
    <w:rsid w:val="0B4FCBB8"/>
    <w:rsid w:val="0C15A955"/>
    <w:rsid w:val="0C53BA6B"/>
    <w:rsid w:val="0C554ECF"/>
    <w:rsid w:val="0C61B636"/>
    <w:rsid w:val="0C7FD4F0"/>
    <w:rsid w:val="0CCDF352"/>
    <w:rsid w:val="0E27460C"/>
    <w:rsid w:val="0E93639B"/>
    <w:rsid w:val="0F2A92FE"/>
    <w:rsid w:val="0FA22671"/>
    <w:rsid w:val="0FDDFCA8"/>
    <w:rsid w:val="1054680C"/>
    <w:rsid w:val="110EAB10"/>
    <w:rsid w:val="11603265"/>
    <w:rsid w:val="120A1B79"/>
    <w:rsid w:val="126C4E5C"/>
    <w:rsid w:val="12D41052"/>
    <w:rsid w:val="12FF0D1D"/>
    <w:rsid w:val="1307A42A"/>
    <w:rsid w:val="13FE13EF"/>
    <w:rsid w:val="1443CDB0"/>
    <w:rsid w:val="1479C142"/>
    <w:rsid w:val="15496AAA"/>
    <w:rsid w:val="15594FDF"/>
    <w:rsid w:val="15604436"/>
    <w:rsid w:val="15FF9AAF"/>
    <w:rsid w:val="16CB1E53"/>
    <w:rsid w:val="1736FF8B"/>
    <w:rsid w:val="17EAC733"/>
    <w:rsid w:val="186B5F23"/>
    <w:rsid w:val="18A6792D"/>
    <w:rsid w:val="19150CA0"/>
    <w:rsid w:val="19355D2F"/>
    <w:rsid w:val="19457065"/>
    <w:rsid w:val="197E1535"/>
    <w:rsid w:val="19853539"/>
    <w:rsid w:val="1AB99E96"/>
    <w:rsid w:val="1B3626B3"/>
    <w:rsid w:val="1B52CA52"/>
    <w:rsid w:val="1C46391B"/>
    <w:rsid w:val="1D2AAFD4"/>
    <w:rsid w:val="1D598F99"/>
    <w:rsid w:val="1DA659F7"/>
    <w:rsid w:val="1E93AD45"/>
    <w:rsid w:val="1E9CFCCD"/>
    <w:rsid w:val="1ECAD602"/>
    <w:rsid w:val="1FA488CA"/>
    <w:rsid w:val="21568602"/>
    <w:rsid w:val="21665442"/>
    <w:rsid w:val="216F7E89"/>
    <w:rsid w:val="22B8AC7F"/>
    <w:rsid w:val="22CAA301"/>
    <w:rsid w:val="240D9393"/>
    <w:rsid w:val="241A44BF"/>
    <w:rsid w:val="24698A41"/>
    <w:rsid w:val="24F56BC9"/>
    <w:rsid w:val="252243CC"/>
    <w:rsid w:val="25305221"/>
    <w:rsid w:val="25B2548D"/>
    <w:rsid w:val="2607C0EF"/>
    <w:rsid w:val="2685B7EE"/>
    <w:rsid w:val="27B241D5"/>
    <w:rsid w:val="27D2E867"/>
    <w:rsid w:val="2845D40A"/>
    <w:rsid w:val="2882F012"/>
    <w:rsid w:val="29AC86FB"/>
    <w:rsid w:val="2A00D42B"/>
    <w:rsid w:val="2A10DF2A"/>
    <w:rsid w:val="2ABF781A"/>
    <w:rsid w:val="2AF752DF"/>
    <w:rsid w:val="2BC2A37C"/>
    <w:rsid w:val="2BF51180"/>
    <w:rsid w:val="2C3275FA"/>
    <w:rsid w:val="2C3CD6DA"/>
    <w:rsid w:val="2DC3F886"/>
    <w:rsid w:val="2DE47159"/>
    <w:rsid w:val="2E4240A2"/>
    <w:rsid w:val="2FD3BD4D"/>
    <w:rsid w:val="307B39E7"/>
    <w:rsid w:val="31A48044"/>
    <w:rsid w:val="320565D1"/>
    <w:rsid w:val="321F5DC5"/>
    <w:rsid w:val="32325D30"/>
    <w:rsid w:val="32FD0B34"/>
    <w:rsid w:val="340C4961"/>
    <w:rsid w:val="3463A633"/>
    <w:rsid w:val="35F00EC6"/>
    <w:rsid w:val="360665B1"/>
    <w:rsid w:val="3797068C"/>
    <w:rsid w:val="37D6A5EE"/>
    <w:rsid w:val="381D9F4D"/>
    <w:rsid w:val="38AF1953"/>
    <w:rsid w:val="38FE4B34"/>
    <w:rsid w:val="39534E47"/>
    <w:rsid w:val="396BA8EA"/>
    <w:rsid w:val="3A4837E2"/>
    <w:rsid w:val="3BCC838B"/>
    <w:rsid w:val="3C38CAEE"/>
    <w:rsid w:val="3CAE868B"/>
    <w:rsid w:val="3CBDF760"/>
    <w:rsid w:val="3CD4AA21"/>
    <w:rsid w:val="3CE4044D"/>
    <w:rsid w:val="3D5317AF"/>
    <w:rsid w:val="3DA44E3E"/>
    <w:rsid w:val="3ED01FC9"/>
    <w:rsid w:val="3F1255C6"/>
    <w:rsid w:val="3F2AE5CA"/>
    <w:rsid w:val="40317A9F"/>
    <w:rsid w:val="4069D041"/>
    <w:rsid w:val="4086EDFC"/>
    <w:rsid w:val="40BD5070"/>
    <w:rsid w:val="414F32C9"/>
    <w:rsid w:val="4270DEB8"/>
    <w:rsid w:val="4303177A"/>
    <w:rsid w:val="43128820"/>
    <w:rsid w:val="4351B1D3"/>
    <w:rsid w:val="43A16B92"/>
    <w:rsid w:val="4488596E"/>
    <w:rsid w:val="4521FDEC"/>
    <w:rsid w:val="45264742"/>
    <w:rsid w:val="4578779F"/>
    <w:rsid w:val="45F2936F"/>
    <w:rsid w:val="46461624"/>
    <w:rsid w:val="474DCB57"/>
    <w:rsid w:val="475A76F9"/>
    <w:rsid w:val="4827E0CB"/>
    <w:rsid w:val="488BEDD8"/>
    <w:rsid w:val="48A58E9B"/>
    <w:rsid w:val="48BD8E1E"/>
    <w:rsid w:val="48DDB095"/>
    <w:rsid w:val="493F8606"/>
    <w:rsid w:val="4958DEFD"/>
    <w:rsid w:val="4974FB36"/>
    <w:rsid w:val="49E25235"/>
    <w:rsid w:val="4BBAEBEB"/>
    <w:rsid w:val="4BDEFF67"/>
    <w:rsid w:val="4C372AC2"/>
    <w:rsid w:val="4CCDD908"/>
    <w:rsid w:val="4DB8CCC9"/>
    <w:rsid w:val="4E1B7FC0"/>
    <w:rsid w:val="4FF2D747"/>
    <w:rsid w:val="501BEE22"/>
    <w:rsid w:val="507F80D8"/>
    <w:rsid w:val="512A9E7B"/>
    <w:rsid w:val="51CA0723"/>
    <w:rsid w:val="53209DD4"/>
    <w:rsid w:val="543586D2"/>
    <w:rsid w:val="54BF98E0"/>
    <w:rsid w:val="55369175"/>
    <w:rsid w:val="553C477B"/>
    <w:rsid w:val="55F73B5C"/>
    <w:rsid w:val="56909327"/>
    <w:rsid w:val="57C6AE0A"/>
    <w:rsid w:val="57D3C053"/>
    <w:rsid w:val="57F2020B"/>
    <w:rsid w:val="58739315"/>
    <w:rsid w:val="598B6F51"/>
    <w:rsid w:val="599BBAEC"/>
    <w:rsid w:val="59C50A01"/>
    <w:rsid w:val="5A28051E"/>
    <w:rsid w:val="5ACEC1E6"/>
    <w:rsid w:val="5B17BFF9"/>
    <w:rsid w:val="5B29242A"/>
    <w:rsid w:val="5B8E550D"/>
    <w:rsid w:val="5CAF07D3"/>
    <w:rsid w:val="5D24A9E9"/>
    <w:rsid w:val="5EC80EC2"/>
    <w:rsid w:val="5EE224BC"/>
    <w:rsid w:val="5FA67B2E"/>
    <w:rsid w:val="5FCBAA46"/>
    <w:rsid w:val="5FFFA747"/>
    <w:rsid w:val="601E5EAE"/>
    <w:rsid w:val="6021BF61"/>
    <w:rsid w:val="60E6B9EA"/>
    <w:rsid w:val="6264014D"/>
    <w:rsid w:val="634CE9E8"/>
    <w:rsid w:val="6368B130"/>
    <w:rsid w:val="64627419"/>
    <w:rsid w:val="646EC1F1"/>
    <w:rsid w:val="64DC446C"/>
    <w:rsid w:val="651690B2"/>
    <w:rsid w:val="65244020"/>
    <w:rsid w:val="66A927C0"/>
    <w:rsid w:val="6701AC17"/>
    <w:rsid w:val="673DC1DB"/>
    <w:rsid w:val="67B0FC9C"/>
    <w:rsid w:val="68093C24"/>
    <w:rsid w:val="6827C016"/>
    <w:rsid w:val="684E0F25"/>
    <w:rsid w:val="68742831"/>
    <w:rsid w:val="6A0B0276"/>
    <w:rsid w:val="6A7685BD"/>
    <w:rsid w:val="6A7D0191"/>
    <w:rsid w:val="6A872C80"/>
    <w:rsid w:val="6A9F63E7"/>
    <w:rsid w:val="6AC603E6"/>
    <w:rsid w:val="6ADB9A2E"/>
    <w:rsid w:val="6B421EE9"/>
    <w:rsid w:val="6C0885E5"/>
    <w:rsid w:val="6CCAC3C4"/>
    <w:rsid w:val="6CCB746B"/>
    <w:rsid w:val="6D3DEFD4"/>
    <w:rsid w:val="6D598549"/>
    <w:rsid w:val="6D61BAC9"/>
    <w:rsid w:val="6DE942FC"/>
    <w:rsid w:val="6F1A8116"/>
    <w:rsid w:val="6FF0F460"/>
    <w:rsid w:val="70248868"/>
    <w:rsid w:val="70AA8DF8"/>
    <w:rsid w:val="7104E65A"/>
    <w:rsid w:val="72807ED8"/>
    <w:rsid w:val="7298C061"/>
    <w:rsid w:val="73F32E18"/>
    <w:rsid w:val="741898E2"/>
    <w:rsid w:val="74376C1E"/>
    <w:rsid w:val="74DA23F8"/>
    <w:rsid w:val="764826C9"/>
    <w:rsid w:val="76902CF5"/>
    <w:rsid w:val="76C38C16"/>
    <w:rsid w:val="76D40E63"/>
    <w:rsid w:val="77966F04"/>
    <w:rsid w:val="77CF8DF0"/>
    <w:rsid w:val="7885A2A5"/>
    <w:rsid w:val="78EA1F68"/>
    <w:rsid w:val="79225145"/>
    <w:rsid w:val="7AFED934"/>
    <w:rsid w:val="7B92248B"/>
    <w:rsid w:val="7C02EA2C"/>
    <w:rsid w:val="7CDF1B5D"/>
    <w:rsid w:val="7D14469B"/>
    <w:rsid w:val="7D3C2BA8"/>
    <w:rsid w:val="7EDCFE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D79BE7"/>
  <w15:chartTrackingRefBased/>
  <w15:docId w15:val="{C9E3C92E-8319-472C-BDD3-D695311C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7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B486F"/>
    <w:pPr>
      <w:numPr>
        <w:numId w:val="7"/>
      </w:numPr>
      <w:spacing w:before="240" w:after="180"/>
      <w:ind w:left="0" w:firstLine="0"/>
      <w:outlineLvl w:val="0"/>
    </w:pPr>
    <w:rPr>
      <w:b/>
      <w:caps/>
    </w:rPr>
  </w:style>
  <w:style w:type="paragraph" w:styleId="Heading2">
    <w:name w:val="heading 2"/>
    <w:basedOn w:val="Normal"/>
    <w:next w:val="Normal"/>
    <w:link w:val="Heading2Char"/>
    <w:qFormat/>
    <w:rsid w:val="003B486F"/>
    <w:pPr>
      <w:keepNext/>
      <w:numPr>
        <w:numId w:val="4"/>
      </w:numPr>
      <w:spacing w:before="240" w:after="180"/>
      <w:ind w:left="720"/>
      <w:outlineLvl w:val="1"/>
    </w:pPr>
    <w:rPr>
      <w:b/>
      <w:sz w:val="22"/>
      <w:szCs w:val="22"/>
    </w:rPr>
  </w:style>
  <w:style w:type="paragraph" w:styleId="Heading3">
    <w:name w:val="heading 3"/>
    <w:basedOn w:val="Heading4"/>
    <w:next w:val="BodyText1"/>
    <w:link w:val="Heading3Char"/>
    <w:qFormat/>
    <w:rsid w:val="009F03D6"/>
    <w:pPr>
      <w:numPr>
        <w:numId w:val="16"/>
      </w:numPr>
      <w:ind w:left="720"/>
      <w:outlineLvl w:val="2"/>
    </w:pPr>
    <w:rPr>
      <w:sz w:val="22"/>
      <w:szCs w:val="22"/>
    </w:rPr>
  </w:style>
  <w:style w:type="paragraph" w:styleId="Heading4">
    <w:name w:val="heading 4"/>
    <w:aliases w:val="l4"/>
    <w:basedOn w:val="Normal"/>
    <w:next w:val="BodyText1"/>
    <w:link w:val="Heading4Char"/>
    <w:qFormat/>
    <w:rsid w:val="003B486F"/>
    <w:pPr>
      <w:keepNext/>
      <w:numPr>
        <w:numId w:val="12"/>
      </w:numPr>
      <w:spacing w:before="240" w:after="180"/>
      <w:outlineLvl w:val="3"/>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486F"/>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3B486F"/>
    <w:rPr>
      <w:rFonts w:ascii="Times New Roman" w:eastAsia="Times New Roman" w:hAnsi="Times New Roman" w:cs="Times New Roman"/>
      <w:b/>
    </w:rPr>
  </w:style>
  <w:style w:type="character" w:customStyle="1" w:styleId="Heading3Char">
    <w:name w:val="Heading 3 Char"/>
    <w:basedOn w:val="DefaultParagraphFont"/>
    <w:link w:val="Heading3"/>
    <w:rsid w:val="009F03D6"/>
    <w:rPr>
      <w:rFonts w:ascii="Times New Roman" w:eastAsia="Times New Roman" w:hAnsi="Times New Roman" w:cs="Times New Roman"/>
      <w:u w:val="single"/>
    </w:rPr>
  </w:style>
  <w:style w:type="character" w:customStyle="1" w:styleId="Heading4Char">
    <w:name w:val="Heading 4 Char"/>
    <w:aliases w:val="l4 Char"/>
    <w:basedOn w:val="DefaultParagraphFont"/>
    <w:link w:val="Heading4"/>
    <w:rsid w:val="003B486F"/>
    <w:rPr>
      <w:rFonts w:ascii="Times New Roman" w:eastAsia="Times New Roman" w:hAnsi="Times New Roman" w:cs="Times New Roman"/>
      <w:sz w:val="24"/>
      <w:szCs w:val="24"/>
      <w:u w:val="single"/>
    </w:rPr>
  </w:style>
  <w:style w:type="paragraph" w:styleId="Header">
    <w:name w:val="header"/>
    <w:basedOn w:val="Normal"/>
    <w:link w:val="HeaderChar"/>
    <w:uiPriority w:val="99"/>
    <w:rsid w:val="003B486F"/>
    <w:pPr>
      <w:tabs>
        <w:tab w:val="center" w:pos="4320"/>
        <w:tab w:val="right" w:pos="8640"/>
      </w:tabs>
    </w:pPr>
  </w:style>
  <w:style w:type="character" w:customStyle="1" w:styleId="HeaderChar">
    <w:name w:val="Header Char"/>
    <w:basedOn w:val="DefaultParagraphFont"/>
    <w:link w:val="Header"/>
    <w:uiPriority w:val="99"/>
    <w:rsid w:val="003B486F"/>
    <w:rPr>
      <w:rFonts w:ascii="Times New Roman" w:eastAsia="Times New Roman" w:hAnsi="Times New Roman" w:cs="Times New Roman"/>
      <w:sz w:val="24"/>
      <w:szCs w:val="24"/>
    </w:rPr>
  </w:style>
  <w:style w:type="table" w:styleId="TableGrid">
    <w:name w:val="Table Grid"/>
    <w:aliases w:val="AcuSPHERE,Acumen,Table Grid-A"/>
    <w:basedOn w:val="TableNormal"/>
    <w:uiPriority w:val="39"/>
    <w:rsid w:val="003B486F"/>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
    <w:rsid w:val="003B486F"/>
    <w:pPr>
      <w:spacing w:after="240"/>
    </w:pPr>
    <w:rPr>
      <w:sz w:val="22"/>
      <w:szCs w:val="22"/>
    </w:rPr>
  </w:style>
  <w:style w:type="character" w:customStyle="1" w:styleId="bodytextChar">
    <w:name w:val="body text Char"/>
    <w:basedOn w:val="DefaultParagraphFont"/>
    <w:link w:val="BodyText1"/>
    <w:rsid w:val="003B486F"/>
    <w:rPr>
      <w:rFonts w:ascii="Times New Roman" w:eastAsia="Times New Roman" w:hAnsi="Times New Roman" w:cs="Times New Roman"/>
    </w:rPr>
  </w:style>
  <w:style w:type="paragraph" w:styleId="Footer">
    <w:name w:val="footer"/>
    <w:basedOn w:val="Normal"/>
    <w:link w:val="FooterChar"/>
    <w:autoRedefine/>
    <w:uiPriority w:val="99"/>
    <w:rsid w:val="003B486F"/>
    <w:pPr>
      <w:tabs>
        <w:tab w:val="center" w:pos="4320"/>
        <w:tab w:val="right" w:pos="8640"/>
      </w:tabs>
    </w:pPr>
    <w:rPr>
      <w:sz w:val="22"/>
    </w:rPr>
  </w:style>
  <w:style w:type="character" w:customStyle="1" w:styleId="FooterChar">
    <w:name w:val="Footer Char"/>
    <w:basedOn w:val="DefaultParagraphFont"/>
    <w:link w:val="Footer"/>
    <w:uiPriority w:val="99"/>
    <w:rsid w:val="003B486F"/>
    <w:rPr>
      <w:rFonts w:ascii="Times New Roman" w:eastAsia="Times New Roman" w:hAnsi="Times New Roman" w:cs="Times New Roman"/>
      <w:szCs w:val="24"/>
    </w:rPr>
  </w:style>
  <w:style w:type="paragraph" w:styleId="TOC1">
    <w:name w:val="toc 1"/>
    <w:basedOn w:val="Normal"/>
    <w:next w:val="Normal"/>
    <w:uiPriority w:val="39"/>
    <w:rsid w:val="003B486F"/>
    <w:pPr>
      <w:tabs>
        <w:tab w:val="right" w:leader="dot" w:pos="9360"/>
      </w:tabs>
      <w:spacing w:before="240"/>
      <w:ind w:left="540" w:right="720" w:hanging="540"/>
    </w:pPr>
    <w:rPr>
      <w:i/>
      <w:noProof/>
      <w:color w:val="3333FF"/>
      <w:u w:val="single"/>
    </w:rPr>
  </w:style>
  <w:style w:type="paragraph" w:styleId="TOC2">
    <w:name w:val="toc 2"/>
    <w:basedOn w:val="Normal"/>
    <w:next w:val="Normal"/>
    <w:uiPriority w:val="39"/>
    <w:rsid w:val="003B486F"/>
    <w:pPr>
      <w:tabs>
        <w:tab w:val="right" w:leader="dot" w:pos="9360"/>
      </w:tabs>
      <w:ind w:left="1080" w:right="720" w:hanging="540"/>
    </w:pPr>
    <w:rPr>
      <w:noProof/>
      <w:color w:val="3333FF"/>
      <w:u w:val="single"/>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qFormat/>
    <w:rsid w:val="00467352"/>
    <w:pPr>
      <w:spacing w:after="120"/>
      <w:ind w:left="274" w:hanging="274"/>
    </w:pPr>
    <w:rPr>
      <w:sz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3B486F"/>
    <w:rPr>
      <w:rFonts w:ascii="Times New Roman" w:eastAsia="Times New Roman" w:hAnsi="Times New Roman" w:cs="Times New Roman"/>
      <w:sz w:val="20"/>
      <w:szCs w:val="24"/>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467352"/>
    <w:rPr>
      <w:rFonts w:ascii="Times New Roman" w:hAnsi="Times New Roman"/>
      <w:color w:val="3333FF"/>
      <w:position w:val="6"/>
      <w:sz w:val="16"/>
      <w:u w:val="single"/>
    </w:rPr>
  </w:style>
  <w:style w:type="character" w:styleId="CommentReference">
    <w:name w:val="annotation reference"/>
    <w:basedOn w:val="DefaultParagraphFont"/>
    <w:uiPriority w:val="99"/>
    <w:semiHidden/>
    <w:qFormat/>
    <w:rsid w:val="003B486F"/>
    <w:rPr>
      <w:sz w:val="16"/>
      <w:szCs w:val="16"/>
    </w:rPr>
  </w:style>
  <w:style w:type="paragraph" w:styleId="CommentText">
    <w:name w:val="annotation text"/>
    <w:basedOn w:val="Normal"/>
    <w:link w:val="CommentTextChar"/>
    <w:uiPriority w:val="99"/>
    <w:semiHidden/>
    <w:rsid w:val="003B486F"/>
    <w:rPr>
      <w:sz w:val="20"/>
    </w:rPr>
  </w:style>
  <w:style w:type="character" w:customStyle="1" w:styleId="CommentTextChar">
    <w:name w:val="Comment Text Char"/>
    <w:basedOn w:val="DefaultParagraphFont"/>
    <w:link w:val="CommentText"/>
    <w:uiPriority w:val="99"/>
    <w:semiHidden/>
    <w:rsid w:val="003B486F"/>
    <w:rPr>
      <w:rFonts w:ascii="Times New Roman" w:eastAsia="Times New Roman" w:hAnsi="Times New Roman" w:cs="Times New Roman"/>
      <w:sz w:val="20"/>
      <w:szCs w:val="24"/>
    </w:rPr>
  </w:style>
  <w:style w:type="character" w:styleId="Hyperlink">
    <w:name w:val="Hyperlink"/>
    <w:basedOn w:val="DefaultParagraphFont"/>
    <w:uiPriority w:val="99"/>
    <w:rsid w:val="003B486F"/>
    <w:rPr>
      <w:color w:val="3333FF"/>
      <w:u w:val="single"/>
    </w:rPr>
  </w:style>
  <w:style w:type="paragraph" w:styleId="TOC3">
    <w:name w:val="toc 3"/>
    <w:basedOn w:val="Normal"/>
    <w:next w:val="Normal"/>
    <w:uiPriority w:val="39"/>
    <w:rsid w:val="00CF3DD5"/>
    <w:pPr>
      <w:tabs>
        <w:tab w:val="right" w:leader="dot" w:pos="9360"/>
      </w:tabs>
      <w:ind w:left="1512" w:right="720" w:hanging="432"/>
    </w:pPr>
    <w:rPr>
      <w:noProof/>
      <w:color w:val="3333FF"/>
      <w:u w:val="single"/>
    </w:rPr>
  </w:style>
  <w:style w:type="paragraph" w:customStyle="1" w:styleId="TOC0">
    <w:name w:val="TOC 0"/>
    <w:basedOn w:val="Normal"/>
    <w:rsid w:val="003B486F"/>
    <w:pPr>
      <w:spacing w:before="240" w:after="240"/>
      <w:jc w:val="center"/>
    </w:pPr>
    <w:rPr>
      <w:b/>
      <w:caps/>
    </w:rPr>
  </w:style>
  <w:style w:type="paragraph" w:styleId="Title">
    <w:name w:val="Title"/>
    <w:basedOn w:val="Normal"/>
    <w:link w:val="TitleChar"/>
    <w:qFormat/>
    <w:rsid w:val="003B48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B486F"/>
    <w:rPr>
      <w:rFonts w:ascii="Arial" w:eastAsia="Times New Roman" w:hAnsi="Arial" w:cs="Arial"/>
      <w:b/>
      <w:bCs/>
      <w:kern w:val="28"/>
      <w:sz w:val="32"/>
      <w:szCs w:val="32"/>
    </w:rPr>
  </w:style>
  <w:style w:type="paragraph" w:styleId="NoSpacing">
    <w:name w:val="No Spacing"/>
    <w:uiPriority w:val="1"/>
    <w:qFormat/>
    <w:rsid w:val="003B486F"/>
    <w:pPr>
      <w:spacing w:after="0" w:line="240" w:lineRule="auto"/>
    </w:pPr>
    <w:rPr>
      <w:rFonts w:ascii="Calibri" w:eastAsia="Calibri" w:hAnsi="Calibri" w:cs="Times New Roman"/>
    </w:rPr>
  </w:style>
  <w:style w:type="paragraph" w:styleId="ListContinue">
    <w:name w:val="List Continue"/>
    <w:basedOn w:val="Normal"/>
    <w:unhideWhenUsed/>
    <w:rsid w:val="003B486F"/>
    <w:pPr>
      <w:spacing w:after="120"/>
      <w:ind w:left="1080"/>
    </w:pPr>
    <w:rPr>
      <w:sz w:val="22"/>
      <w:szCs w:val="22"/>
    </w:rPr>
  </w:style>
  <w:style w:type="paragraph" w:styleId="ListBullet">
    <w:name w:val="List Bullet"/>
    <w:basedOn w:val="Normal"/>
    <w:unhideWhenUsed/>
    <w:rsid w:val="003B486F"/>
    <w:pPr>
      <w:numPr>
        <w:numId w:val="5"/>
      </w:numPr>
      <w:tabs>
        <w:tab w:val="num" w:pos="720"/>
      </w:tabs>
      <w:ind w:left="720"/>
      <w:contextualSpacing/>
    </w:pPr>
    <w:rPr>
      <w:sz w:val="22"/>
      <w:szCs w:val="22"/>
    </w:rPr>
  </w:style>
  <w:style w:type="paragraph" w:customStyle="1" w:styleId="ListContinueBody">
    <w:name w:val="List Continue Body"/>
    <w:basedOn w:val="ListContinue"/>
    <w:qFormat/>
    <w:rsid w:val="003B486F"/>
    <w:pPr>
      <w:spacing w:before="120"/>
      <w:ind w:left="720"/>
    </w:pPr>
  </w:style>
  <w:style w:type="paragraph" w:styleId="TOCHeading">
    <w:name w:val="TOC Heading"/>
    <w:basedOn w:val="Heading1"/>
    <w:next w:val="Normal"/>
    <w:uiPriority w:val="39"/>
    <w:unhideWhenUsed/>
    <w:qFormat/>
    <w:rsid w:val="003B486F"/>
    <w:pPr>
      <w:keepNext/>
      <w:keepLines/>
      <w:numPr>
        <w:numId w:val="0"/>
      </w:numPr>
      <w:spacing w:after="0" w:line="259" w:lineRule="auto"/>
      <w:outlineLvl w:val="9"/>
    </w:pPr>
    <w:rPr>
      <w:rFonts w:asciiTheme="majorHAnsi" w:eastAsiaTheme="majorEastAsia" w:hAnsiTheme="majorHAnsi" w:cstheme="majorBidi"/>
      <w:b w:val="0"/>
      <w:caps w:val="0"/>
      <w:color w:val="2F5496" w:themeColor="accent1" w:themeShade="BF"/>
      <w:sz w:val="32"/>
      <w:szCs w:val="32"/>
    </w:rPr>
  </w:style>
  <w:style w:type="paragraph" w:styleId="BalloonText">
    <w:name w:val="Balloon Text"/>
    <w:basedOn w:val="Normal"/>
    <w:link w:val="BalloonTextChar"/>
    <w:uiPriority w:val="99"/>
    <w:semiHidden/>
    <w:unhideWhenUsed/>
    <w:rsid w:val="003B4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86F"/>
    <w:rPr>
      <w:rFonts w:ascii="Segoe UI" w:eastAsia="Times New Roman" w:hAnsi="Segoe UI" w:cs="Segoe UI"/>
      <w:sz w:val="18"/>
      <w:szCs w:val="18"/>
    </w:rPr>
  </w:style>
  <w:style w:type="paragraph" w:styleId="Revision">
    <w:name w:val="Revision"/>
    <w:hidden/>
    <w:uiPriority w:val="99"/>
    <w:semiHidden/>
    <w:rsid w:val="003B486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E4ED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098A"/>
    <w:rPr>
      <w:b/>
      <w:bCs/>
      <w:szCs w:val="20"/>
    </w:rPr>
  </w:style>
  <w:style w:type="character" w:customStyle="1" w:styleId="CommentSubjectChar">
    <w:name w:val="Comment Subject Char"/>
    <w:basedOn w:val="CommentTextChar"/>
    <w:link w:val="CommentSubject"/>
    <w:uiPriority w:val="99"/>
    <w:semiHidden/>
    <w:rsid w:val="0043098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74537"/>
    <w:rPr>
      <w:color w:val="954F72" w:themeColor="followedHyperlink"/>
      <w:u w:val="single"/>
    </w:rPr>
  </w:style>
  <w:style w:type="character" w:styleId="Emphasis">
    <w:name w:val="Emphasis"/>
    <w:basedOn w:val="DefaultParagraphFont"/>
    <w:uiPriority w:val="20"/>
    <w:qFormat/>
    <w:rsid w:val="00CC50FA"/>
    <w:rPr>
      <w:i/>
      <w:iCs/>
    </w:rPr>
  </w:style>
  <w:style w:type="paragraph" w:customStyle="1" w:styleId="Body125">
    <w:name w:val="Body 1.25"/>
    <w:basedOn w:val="BodyText"/>
    <w:link w:val="Body125Char"/>
    <w:uiPriority w:val="6"/>
    <w:qFormat/>
    <w:rsid w:val="00BF0644"/>
    <w:pPr>
      <w:spacing w:before="120" w:line="300" w:lineRule="auto"/>
      <w:ind w:firstLine="720"/>
    </w:pPr>
  </w:style>
  <w:style w:type="character" w:customStyle="1" w:styleId="Body125Char">
    <w:name w:val="Body 1.25 Char"/>
    <w:basedOn w:val="BodyTextChar0"/>
    <w:link w:val="Body125"/>
    <w:uiPriority w:val="6"/>
    <w:rsid w:val="00BF0644"/>
    <w:rPr>
      <w:rFonts w:ascii="Times New Roman" w:eastAsia="Times New Roman" w:hAnsi="Times New Roman" w:cs="Times New Roman"/>
      <w:sz w:val="24"/>
      <w:szCs w:val="24"/>
    </w:rPr>
  </w:style>
  <w:style w:type="paragraph" w:styleId="BodyText">
    <w:name w:val="Body Text"/>
    <w:basedOn w:val="Normal"/>
    <w:link w:val="BodyTextChar0"/>
    <w:uiPriority w:val="99"/>
    <w:semiHidden/>
    <w:unhideWhenUsed/>
    <w:rsid w:val="00BF0644"/>
    <w:pPr>
      <w:spacing w:after="120"/>
    </w:pPr>
  </w:style>
  <w:style w:type="character" w:customStyle="1" w:styleId="BodyTextChar0">
    <w:name w:val="Body Text Char"/>
    <w:basedOn w:val="DefaultParagraphFont"/>
    <w:link w:val="BodyText"/>
    <w:uiPriority w:val="99"/>
    <w:semiHidden/>
    <w:rsid w:val="00BF0644"/>
    <w:rPr>
      <w:rFonts w:ascii="Times New Roman" w:eastAsia="Times New Roman" w:hAnsi="Times New Roman" w:cs="Times New Roman"/>
      <w:sz w:val="24"/>
      <w:szCs w:val="24"/>
    </w:rPr>
  </w:style>
  <w:style w:type="paragraph" w:styleId="ListParagraph">
    <w:name w:val="List Paragraph"/>
    <w:basedOn w:val="Normal"/>
    <w:uiPriority w:val="34"/>
    <w:qFormat/>
    <w:rsid w:val="00856C1F"/>
    <w:pPr>
      <w:ind w:left="720"/>
    </w:pPr>
    <w:rPr>
      <w:rFonts w:ascii="Calibri" w:hAnsi="Calibri" w:eastAsiaTheme="minorHAnsi" w:cs="Calibri"/>
      <w:sz w:val="22"/>
      <w:szCs w:val="22"/>
      <w14:ligatures w14:val="standardContextual"/>
    </w:rPr>
  </w:style>
  <w:style w:type="table" w:styleId="PlainTable2">
    <w:name w:val="Plain Table 2"/>
    <w:basedOn w:val="TableNormal"/>
    <w:uiPriority w:val="42"/>
    <w:rsid w:val="007E566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ms.gov/Medicare/Medicare-Fee-for-Service-Payment/InpatientRehabFacPPS/index.html?redirect=/InpatientRehabFacPPS/06_Software.asp" TargetMode="External" /><Relationship Id="rId11" Type="http://schemas.openxmlformats.org/officeDocument/2006/relationships/hyperlink" Target="https://www.cms.gov/Medicare/Medicare-Fee-for-Service-Payment/InpatientRehabFacPPS/IRFPAI.html" TargetMode="External" /><Relationship Id="rId12" Type="http://schemas.openxmlformats.org/officeDocument/2006/relationships/hyperlink" Target="https://www.cms.gov/medicare/quality-initiatives-patient-assessment-instruments/irf-quality-reporting/spotlights-announcements"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medicare.gov/inpatientrehabilitationfacilitycompar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gpo.gov/fdsys/pkg/PLAW-111publ148/pdf/PLAW-111publ148.pdf" TargetMode="External" /><Relationship Id="rId2" Type="http://schemas.openxmlformats.org/officeDocument/2006/relationships/hyperlink" Target="https://www.gpo.gov/fdsys/pkg/FR-2011-08-05/pdf/2011-19516.pdf" TargetMode="External" /><Relationship Id="rId3" Type="http://schemas.openxmlformats.org/officeDocument/2006/relationships/hyperlink" Target="https://public-inspection.federalregister.gov/2025-06336.pdf" TargetMode="External" /><Relationship Id="rId4" Type="http://schemas.openxmlformats.org/officeDocument/2006/relationships/hyperlink" Target="https://www.bls.gov/oes/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b5f64b-1dbd-445a-9e0e-f9dd96accbc7">
      <Terms xmlns="http://schemas.microsoft.com/office/infopath/2007/PartnerControls"/>
    </lcf76f155ced4ddcb4097134ff3c332f>
    <TaxCatchAll xmlns="f7af9fac-9146-4226-9619-2e00f0583b7a" xsi:nil="true"/>
    <Notes_x002f_Comments xmlns="a9b5f64b-1dbd-445a-9e0e-f9dd96accb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58E6921CBB944D9450DC0A0B1808F8" ma:contentTypeVersion="13" ma:contentTypeDescription="Create a new document." ma:contentTypeScope="" ma:versionID="1dd61ce22a7aae6f0736a29f7e97b986">
  <xsd:schema xmlns:xsd="http://www.w3.org/2001/XMLSchema" xmlns:xs="http://www.w3.org/2001/XMLSchema" xmlns:p="http://schemas.microsoft.com/office/2006/metadata/properties" xmlns:ns2="a9b5f64b-1dbd-445a-9e0e-f9dd96accbc7" xmlns:ns3="f7af9fac-9146-4226-9619-2e00f0583b7a" targetNamespace="http://schemas.microsoft.com/office/2006/metadata/properties" ma:root="true" ma:fieldsID="d2436cc65006de3ecba54350d727eddc" ns2:_="" ns3:_="">
    <xsd:import namespace="a9b5f64b-1dbd-445a-9e0e-f9dd96accbc7"/>
    <xsd:import namespace="f7af9fac-9146-4226-9619-2e00f0583b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_x002f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5f64b-1dbd-445a-9e0e-f9dd96acc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s_x002f_Comments" ma:index="20" nillable="true" ma:displayName="Notes/Comments" ma:description="can delete after reviews are complete" ma:format="Dropdown" ma:internalName="Notes_x002f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af9fac-9146-4226-9619-2e00f0583b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37756c-2256-4ce3-bf5c-bf7798d8e23a}" ma:internalName="TaxCatchAll" ma:showField="CatchAllData" ma:web="f7af9fac-9146-4226-9619-2e00f0583b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0FB79-2970-4185-9486-E7A65A871B89}">
  <ds:schemaRefs>
    <ds:schemaRef ds:uri="http://schemas.openxmlformats.org/officeDocument/2006/bibliography"/>
  </ds:schemaRefs>
</ds:datastoreItem>
</file>

<file path=customXml/itemProps2.xml><?xml version="1.0" encoding="utf-8"?>
<ds:datastoreItem xmlns:ds="http://schemas.openxmlformats.org/officeDocument/2006/customXml" ds:itemID="{8A633B46-F8C8-4A93-9642-6226CE9C0541}">
  <ds:schemaRefs>
    <ds:schemaRef ds:uri="http://schemas.microsoft.com/office/2006/metadata/properties"/>
    <ds:schemaRef ds:uri="http://schemas.microsoft.com/office/infopath/2007/PartnerControls"/>
    <ds:schemaRef ds:uri="a9b5f64b-1dbd-445a-9e0e-f9dd96accbc7"/>
    <ds:schemaRef ds:uri="f7af9fac-9146-4226-9619-2e00f0583b7a"/>
  </ds:schemaRefs>
</ds:datastoreItem>
</file>

<file path=customXml/itemProps3.xml><?xml version="1.0" encoding="utf-8"?>
<ds:datastoreItem xmlns:ds="http://schemas.openxmlformats.org/officeDocument/2006/customXml" ds:itemID="{5B693477-FAB0-452D-B467-4069467A4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5f64b-1dbd-445a-9e0e-f9dd96accbc7"/>
    <ds:schemaRef ds:uri="f7af9fac-9146-4226-9619-2e00f0583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7DD5A-BF6F-4849-ABFD-C14804EBC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4755</Words>
  <Characters>27105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Inpatient Rehabilitation Facility - PRA Package</vt:lpstr>
    </vt:vector>
  </TitlesOfParts>
  <Company/>
  <LinksUpToDate>false</LinksUpToDate>
  <CharactersWithSpaces>31797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Inpatient Rehabilitation Facility - PRA Package</dc:title>
  <dc:subject>Inpatient Rehabilitation Facility - PRA Package Supporting Statement 4.4</dc:subject>
  <dc:creator>Centers for Medicare &amp; Medicaid Services (CMS)</dc:creator>
  <cp:keywords>inpatient rehabilitation; pra; supporting statement</cp:keywords>
  <cp:lastModifiedBy>McKenzie, Stephan (CMS/OSORA)</cp:lastModifiedBy>
  <cp:revision>3</cp:revision>
  <dcterms:created xsi:type="dcterms:W3CDTF">2025-04-17T12:47:00Z</dcterms:created>
  <dcterms:modified xsi:type="dcterms:W3CDTF">2025-05-07T16:02:00Z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0x0101000158E6921CBB944D9450DC0A0B1808F8</vt:lpwstr>
  </property>
  <property fmtid="{D5CDD505-2E9C-101B-9397-08002B2CF9AE}" pid="3" name="Language">
    <vt:lpwstr>English</vt:lpwstr>
  </property>
  <property fmtid="{D5CDD505-2E9C-101B-9397-08002B2CF9AE}" pid="4" name="MediaServiceImageTags">
    <vt:lpwstr/>
  </property>
</Properties>
</file>