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69F" w:rsidP="00076170" w14:paraId="5659206D" w14:textId="31C05211">
      <w:pPr>
        <w:ind w:left="208" w:right="208"/>
        <w:jc w:val="center"/>
        <w:rPr>
          <w:b/>
          <w:bCs/>
          <w:sz w:val="24"/>
        </w:rPr>
      </w:pPr>
      <w:r w:rsidRPr="0085282C">
        <w:rPr>
          <w:b/>
          <w:bCs/>
          <w:sz w:val="24"/>
        </w:rPr>
        <w:t>Supporting Statement</w:t>
      </w:r>
      <w:r w:rsidR="008A79A2">
        <w:rPr>
          <w:b/>
          <w:bCs/>
          <w:sz w:val="24"/>
        </w:rPr>
        <w:t xml:space="preserve"> </w:t>
      </w:r>
      <w:r w:rsidR="008A79A2">
        <w:rPr>
          <w:rStyle w:val="normaltextrun"/>
          <w:b/>
          <w:bCs/>
          <w:color w:val="000000"/>
          <w:bdr w:val="none" w:sz="0" w:space="0" w:color="auto" w:frame="1"/>
        </w:rPr>
        <w:t>–</w:t>
      </w:r>
      <w:r w:rsidRPr="0085282C">
        <w:rPr>
          <w:b/>
          <w:bCs/>
          <w:sz w:val="24"/>
        </w:rPr>
        <w:t xml:space="preserve"> </w:t>
      </w:r>
      <w:r w:rsidR="008A79A2">
        <w:rPr>
          <w:b/>
          <w:bCs/>
          <w:sz w:val="24"/>
        </w:rPr>
        <w:t xml:space="preserve">Part </w:t>
      </w:r>
      <w:r w:rsidRPr="0085282C">
        <w:rPr>
          <w:b/>
          <w:bCs/>
          <w:sz w:val="24"/>
        </w:rPr>
        <w:t>A</w:t>
      </w:r>
    </w:p>
    <w:p w:rsidR="008A79A2" w:rsidRPr="0085282C" w:rsidP="00076170" w14:paraId="72038A41" w14:textId="35EBC4A8">
      <w:pPr>
        <w:ind w:left="208" w:right="208"/>
        <w:jc w:val="center"/>
        <w:rPr>
          <w:b/>
          <w:bCs/>
          <w:sz w:val="24"/>
        </w:rPr>
      </w:pPr>
    </w:p>
    <w:p w:rsidR="005E41F1" w:rsidRPr="00A35E4D" w:rsidP="00076170" w14:paraId="4134F9E7" w14:textId="63C70C98">
      <w:pPr>
        <w:ind w:left="208" w:right="208"/>
        <w:jc w:val="center"/>
        <w:rPr>
          <w:b/>
          <w:bCs/>
          <w:sz w:val="24"/>
        </w:rPr>
      </w:pPr>
      <w:r w:rsidRPr="00A35E4D">
        <w:rPr>
          <w:b/>
          <w:bCs/>
          <w:sz w:val="24"/>
        </w:rPr>
        <w:t xml:space="preserve">Submission of Information for the </w:t>
      </w:r>
      <w:r w:rsidRPr="00A35E4D" w:rsidR="00384D83">
        <w:rPr>
          <w:b/>
          <w:bCs/>
          <w:sz w:val="24"/>
        </w:rPr>
        <w:t>Inpatient Psychiatric Facility Quality Reporting (IPFQR) Program</w:t>
      </w:r>
      <w:r w:rsidRPr="00A35E4D" w:rsidR="00EA3671">
        <w:rPr>
          <w:b/>
          <w:bCs/>
          <w:sz w:val="24"/>
        </w:rPr>
        <w:t>: FY 202</w:t>
      </w:r>
      <w:r w:rsidR="00967F55">
        <w:rPr>
          <w:b/>
          <w:bCs/>
          <w:sz w:val="24"/>
        </w:rPr>
        <w:t>6</w:t>
      </w:r>
      <w:r w:rsidRPr="00A35E4D" w:rsidR="00EA3671">
        <w:rPr>
          <w:b/>
          <w:bCs/>
          <w:sz w:val="24"/>
        </w:rPr>
        <w:t xml:space="preserve"> IPF PPS </w:t>
      </w:r>
      <w:r w:rsidR="00967F55">
        <w:rPr>
          <w:b/>
          <w:bCs/>
          <w:sz w:val="24"/>
        </w:rPr>
        <w:t>Proposed</w:t>
      </w:r>
      <w:r w:rsidRPr="00A35E4D" w:rsidR="00EA3671">
        <w:rPr>
          <w:b/>
          <w:bCs/>
          <w:sz w:val="24"/>
        </w:rPr>
        <w:t xml:space="preserve"> Rule</w:t>
      </w:r>
    </w:p>
    <w:p w:rsidR="005E41F1" w:rsidRPr="00A35E4D" w14:paraId="2863FC6B" w14:textId="16915591">
      <w:pPr>
        <w:ind w:left="208" w:right="208"/>
        <w:jc w:val="center"/>
        <w:rPr>
          <w:b/>
          <w:bCs/>
          <w:sz w:val="24"/>
        </w:rPr>
      </w:pPr>
      <w:r w:rsidRPr="00A35E4D">
        <w:rPr>
          <w:b/>
          <w:bCs/>
          <w:sz w:val="24"/>
        </w:rPr>
        <w:t>(</w:t>
      </w:r>
      <w:bookmarkStart w:id="0" w:name="_Hlk163749380"/>
      <w:r w:rsidRPr="00A35E4D" w:rsidR="00384D83">
        <w:rPr>
          <w:b/>
          <w:bCs/>
          <w:sz w:val="24"/>
        </w:rPr>
        <w:t>OMB</w:t>
      </w:r>
      <w:r w:rsidRPr="00A35E4D">
        <w:rPr>
          <w:b/>
          <w:bCs/>
          <w:sz w:val="24"/>
        </w:rPr>
        <w:t>#</w:t>
      </w:r>
      <w:r w:rsidRPr="00A35E4D" w:rsidR="00384D83">
        <w:rPr>
          <w:b/>
          <w:bCs/>
          <w:sz w:val="24"/>
        </w:rPr>
        <w:t xml:space="preserve"> 0938-1171</w:t>
      </w:r>
      <w:r w:rsidRPr="00A35E4D" w:rsidR="00A35E4D">
        <w:rPr>
          <w:b/>
          <w:bCs/>
          <w:sz w:val="24"/>
        </w:rPr>
        <w:t>;</w:t>
      </w:r>
      <w:r w:rsidRPr="00A35E4D">
        <w:rPr>
          <w:b/>
          <w:bCs/>
          <w:sz w:val="24"/>
        </w:rPr>
        <w:t xml:space="preserve"> CMS-10432</w:t>
      </w:r>
      <w:bookmarkEnd w:id="0"/>
      <w:r w:rsidRPr="00A35E4D" w:rsidR="00A35E4D">
        <w:rPr>
          <w:b/>
          <w:bCs/>
          <w:sz w:val="24"/>
        </w:rPr>
        <w:t>)</w:t>
      </w:r>
    </w:p>
    <w:p w:rsidR="005E41F1" w:rsidRPr="002E3733" w:rsidP="00E9146E" w14:paraId="1E4BE5C5" w14:textId="77777777">
      <w:pPr>
        <w:pStyle w:val="BodyText"/>
      </w:pPr>
    </w:p>
    <w:p w:rsidR="005E41F1" w:rsidRPr="00A35E4D" w:rsidP="00643724" w14:paraId="6D153C0D" w14:textId="0C6F5E7B">
      <w:pPr>
        <w:pStyle w:val="Heading1"/>
        <w:numPr>
          <w:ilvl w:val="0"/>
          <w:numId w:val="29"/>
        </w:numPr>
      </w:pPr>
      <w:bookmarkStart w:id="1" w:name="Background"/>
      <w:bookmarkEnd w:id="1"/>
      <w:r w:rsidRPr="00A35E4D">
        <w:t>Background</w:t>
      </w:r>
    </w:p>
    <w:p w:rsidR="00A35E4D" w:rsidRPr="00B2111A" w:rsidP="00A35E4D" w14:paraId="64B2A033" w14:textId="56D8615F">
      <w:pPr>
        <w:pStyle w:val="BodyText"/>
        <w:ind w:left="0" w:right="0"/>
      </w:pPr>
      <w:r w:rsidRPr="00B2111A">
        <w:t xml:space="preserve">This is </w:t>
      </w:r>
      <w:r w:rsidR="007E413C">
        <w:t>an update</w:t>
      </w:r>
      <w:r w:rsidRPr="00B2111A">
        <w:t xml:space="preserve"> of the currently approved information collection request. The Centers for Medicare &amp; Medicaid Services’ (CMS’) quality reporting programs promote higher quality, more efficient healthcare for Medicare beneficiaries by collecting and reporting on quality-of-care metrics. This information is made available to consumers, both to empower Medicare beneficiaries and inform decision-making, as well as to incentivize </w:t>
      </w:r>
      <w:r w:rsidRPr="00B2111A" w:rsidR="00A30BE1">
        <w:t>healthcare facilities to make continued improvements.</w:t>
      </w:r>
    </w:p>
    <w:p w:rsidR="00A35E4D" w:rsidP="00DB71A0" w14:paraId="4CF3AA12" w14:textId="34F13B2A">
      <w:pPr>
        <w:rPr>
          <w:sz w:val="24"/>
          <w:szCs w:val="24"/>
        </w:rPr>
      </w:pPr>
      <w:r w:rsidRPr="00B2111A">
        <w:rPr>
          <w:sz w:val="24"/>
          <w:szCs w:val="24"/>
        </w:rPr>
        <w:t xml:space="preserve">Specifically, </w:t>
      </w:r>
      <w:r w:rsidRPr="00B2111A" w:rsidR="00F941F1">
        <w:rPr>
          <w:sz w:val="24"/>
          <w:szCs w:val="24"/>
        </w:rPr>
        <w:t>CMS has implemented quality measure reporting programs for multiple settings, including for the Inpatient Psychiatric Facility (IPF) setting, to achieve its overarching priorities and initiatives, including the Meaningful Measure</w:t>
      </w:r>
      <w:r w:rsidR="00EF68B3">
        <w:rPr>
          <w:sz w:val="24"/>
          <w:szCs w:val="24"/>
        </w:rPr>
        <w:t>s</w:t>
      </w:r>
      <w:r w:rsidRPr="00B2111A" w:rsidR="00F941F1">
        <w:rPr>
          <w:sz w:val="24"/>
          <w:szCs w:val="24"/>
        </w:rPr>
        <w:t xml:space="preserve"> 2.0 </w:t>
      </w:r>
      <w:r w:rsidR="009A07EA">
        <w:rPr>
          <w:sz w:val="24"/>
          <w:szCs w:val="24"/>
        </w:rPr>
        <w:t>Initiative</w:t>
      </w:r>
      <w:r>
        <w:rPr>
          <w:rStyle w:val="FootnoteReference"/>
          <w:sz w:val="24"/>
          <w:szCs w:val="24"/>
        </w:rPr>
        <w:footnoteReference w:id="3"/>
      </w:r>
      <w:r w:rsidRPr="00B2111A" w:rsidR="00F941F1">
        <w:rPr>
          <w:sz w:val="24"/>
          <w:szCs w:val="24"/>
        </w:rPr>
        <w:t xml:space="preserve">. In particular, Meaningful Measures 2.0 promotes innovation and modernization of all aspects of quality to better address health </w:t>
      </w:r>
      <w:r w:rsidRPr="00B2111A" w:rsidR="005B4A04">
        <w:rPr>
          <w:sz w:val="24"/>
          <w:szCs w:val="24"/>
        </w:rPr>
        <w:t xml:space="preserve">care priorities and </w:t>
      </w:r>
      <w:r w:rsidR="009A07EA">
        <w:rPr>
          <w:sz w:val="24"/>
          <w:szCs w:val="24"/>
        </w:rPr>
        <w:t xml:space="preserve">measurement </w:t>
      </w:r>
      <w:r w:rsidRPr="00B2111A" w:rsidR="005B4A04">
        <w:rPr>
          <w:sz w:val="24"/>
          <w:szCs w:val="24"/>
        </w:rPr>
        <w:t xml:space="preserve">gaps, </w:t>
      </w:r>
      <w:r w:rsidR="009A07EA">
        <w:rPr>
          <w:sz w:val="24"/>
          <w:szCs w:val="24"/>
        </w:rPr>
        <w:t>reduce burden, and increase efficiency by</w:t>
      </w:r>
      <w:r w:rsidRPr="00B2111A" w:rsidR="005B4A04">
        <w:rPr>
          <w:sz w:val="24"/>
          <w:szCs w:val="24"/>
        </w:rPr>
        <w:t xml:space="preserve">: (1) </w:t>
      </w:r>
      <w:r w:rsidR="009A07EA">
        <w:rPr>
          <w:sz w:val="24"/>
          <w:szCs w:val="24"/>
        </w:rPr>
        <w:t>u</w:t>
      </w:r>
      <w:r w:rsidRPr="009A07EA" w:rsidR="009A07EA">
        <w:rPr>
          <w:sz w:val="24"/>
          <w:szCs w:val="24"/>
        </w:rPr>
        <w:t>sing only high-value quality measures impacting key quality domains</w:t>
      </w:r>
      <w:r w:rsidRPr="00B2111A" w:rsidR="005B4A04">
        <w:rPr>
          <w:sz w:val="24"/>
          <w:szCs w:val="24"/>
        </w:rPr>
        <w:t xml:space="preserve">, (2) </w:t>
      </w:r>
      <w:r w:rsidR="009A07EA">
        <w:rPr>
          <w:sz w:val="24"/>
          <w:szCs w:val="24"/>
        </w:rPr>
        <w:t>a</w:t>
      </w:r>
      <w:r w:rsidRPr="009A07EA" w:rsidR="009A07EA">
        <w:rPr>
          <w:sz w:val="24"/>
          <w:szCs w:val="24"/>
        </w:rPr>
        <w:t>ligning measures across value-based programs and across partners, including CMS, federal, and private entities</w:t>
      </w:r>
      <w:r w:rsidRPr="00B2111A" w:rsidR="005B4A04">
        <w:rPr>
          <w:sz w:val="24"/>
          <w:szCs w:val="24"/>
        </w:rPr>
        <w:t>, (</w:t>
      </w:r>
      <w:r w:rsidR="00967F55">
        <w:rPr>
          <w:sz w:val="24"/>
          <w:szCs w:val="24"/>
        </w:rPr>
        <w:t>3</w:t>
      </w:r>
      <w:r w:rsidRPr="00B2111A" w:rsidR="005B4A04">
        <w:rPr>
          <w:sz w:val="24"/>
          <w:szCs w:val="24"/>
        </w:rPr>
        <w:t xml:space="preserve">) </w:t>
      </w:r>
      <w:r w:rsidR="009A07EA">
        <w:rPr>
          <w:sz w:val="24"/>
          <w:szCs w:val="24"/>
        </w:rPr>
        <w:t>p</w:t>
      </w:r>
      <w:r w:rsidRPr="009A07EA" w:rsidR="009A07EA">
        <w:rPr>
          <w:sz w:val="24"/>
          <w:szCs w:val="24"/>
        </w:rPr>
        <w:t>rioritizing outcome and patient-reported measures</w:t>
      </w:r>
      <w:r w:rsidRPr="00B2111A" w:rsidR="005B4A04">
        <w:rPr>
          <w:sz w:val="24"/>
          <w:szCs w:val="24"/>
        </w:rPr>
        <w:t>, and (</w:t>
      </w:r>
      <w:r w:rsidR="00967F55">
        <w:rPr>
          <w:sz w:val="24"/>
          <w:szCs w:val="24"/>
        </w:rPr>
        <w:t>4</w:t>
      </w:r>
      <w:r w:rsidRPr="00B2111A" w:rsidR="005B4A04">
        <w:rPr>
          <w:sz w:val="24"/>
          <w:szCs w:val="24"/>
        </w:rPr>
        <w:t xml:space="preserve">) </w:t>
      </w:r>
      <w:r w:rsidR="009A07EA">
        <w:rPr>
          <w:sz w:val="24"/>
          <w:szCs w:val="24"/>
        </w:rPr>
        <w:t>t</w:t>
      </w:r>
      <w:r w:rsidRPr="009A07EA" w:rsidR="009A07EA">
        <w:rPr>
          <w:sz w:val="24"/>
          <w:szCs w:val="24"/>
        </w:rPr>
        <w:t>ransforming measures to be fully digital and incorporating all-payer data</w:t>
      </w:r>
      <w:r w:rsidRPr="00B2111A" w:rsidR="005B4A04">
        <w:rPr>
          <w:sz w:val="24"/>
          <w:szCs w:val="24"/>
        </w:rPr>
        <w:t>.</w:t>
      </w:r>
    </w:p>
    <w:p w:rsidR="00DB71A0" w:rsidRPr="00DB71A0" w:rsidP="00DB71A0" w14:paraId="15138200" w14:textId="77777777">
      <w:pPr>
        <w:rPr>
          <w:sz w:val="24"/>
          <w:szCs w:val="24"/>
        </w:rPr>
      </w:pPr>
    </w:p>
    <w:p w:rsidR="00D62129" w:rsidP="00A35E4D" w14:paraId="2F3E58DA" w14:textId="4770827E">
      <w:pPr>
        <w:pStyle w:val="BodyText"/>
        <w:ind w:left="0" w:right="0"/>
      </w:pPr>
      <w:r>
        <w:t xml:space="preserve">The information collection requirements for the FY 2014 through FY </w:t>
      </w:r>
      <w:r w:rsidR="00CE2F6C">
        <w:t>202</w:t>
      </w:r>
      <w:r w:rsidR="00967F55">
        <w:t>9</w:t>
      </w:r>
      <w:r w:rsidR="00CE2F6C">
        <w:t xml:space="preserve"> </w:t>
      </w:r>
      <w:r>
        <w:t xml:space="preserve">program years </w:t>
      </w:r>
      <w:r w:rsidR="00CE2F6C">
        <w:t xml:space="preserve">(that is, data submitted from CY 2013 through CY 2027) </w:t>
      </w:r>
      <w:r>
        <w:t xml:space="preserve">are currently approved under OMB control number 0938-1171 (expiration date </w:t>
      </w:r>
      <w:r w:rsidR="00967F55">
        <w:t>February 29</w:t>
      </w:r>
      <w:r w:rsidR="00BF20C9">
        <w:t>, 202</w:t>
      </w:r>
      <w:r w:rsidR="00967F55">
        <w:t>8</w:t>
      </w:r>
      <w:r w:rsidR="00BF20C9">
        <w:t xml:space="preserve">). </w:t>
      </w:r>
    </w:p>
    <w:p w:rsidR="005E41F1" w:rsidRPr="00C06847" w:rsidP="00643724" w14:paraId="4E50E28B" w14:textId="491ABD5D">
      <w:pPr>
        <w:pStyle w:val="Heading1"/>
        <w:numPr>
          <w:ilvl w:val="0"/>
          <w:numId w:val="29"/>
        </w:numPr>
      </w:pPr>
      <w:bookmarkStart w:id="2" w:name="A._Justification"/>
      <w:bookmarkStart w:id="3" w:name="1._Need_and_Legal_Basis"/>
      <w:bookmarkEnd w:id="2"/>
      <w:bookmarkEnd w:id="3"/>
      <w:r w:rsidRPr="00C06847">
        <w:t>Justification</w:t>
      </w:r>
    </w:p>
    <w:p w:rsidR="005E41F1" w:rsidRPr="002339B2" w:rsidP="00643724" w14:paraId="100FD719" w14:textId="1B13FEC8">
      <w:pPr>
        <w:pStyle w:val="Heading2"/>
      </w:pPr>
      <w:r w:rsidRPr="002339B2">
        <w:t xml:space="preserve">Need </w:t>
      </w:r>
      <w:r w:rsidRPr="00643724">
        <w:t>and</w:t>
      </w:r>
      <w:r w:rsidRPr="002339B2">
        <w:t xml:space="preserve"> Legal Basis</w:t>
      </w:r>
    </w:p>
    <w:p w:rsidR="005E41F1" w:rsidRPr="003D480B" w:rsidP="003D480B" w14:paraId="2B9B0D3A" w14:textId="42F923D2">
      <w:pPr>
        <w:pStyle w:val="BodyText"/>
        <w:ind w:left="0" w:right="0"/>
      </w:pPr>
      <w:r w:rsidRPr="00F32C38">
        <w:t>Pursuant to section</w:t>
      </w:r>
      <w:r w:rsidRPr="00F32C38" w:rsidR="00384D83">
        <w:t xml:space="preserve"> 1886(s)(4)(C) of the </w:t>
      </w:r>
      <w:r w:rsidRPr="00F32C38">
        <w:t xml:space="preserve">Social Security </w:t>
      </w:r>
      <w:r w:rsidRPr="00F32C38" w:rsidR="00384D83">
        <w:t>Act</w:t>
      </w:r>
      <w:r w:rsidR="000F7FC7">
        <w:t xml:space="preserve"> (the Act)</w:t>
      </w:r>
      <w:r w:rsidRPr="00F32C38">
        <w:t>, st</w:t>
      </w:r>
      <w:r>
        <w:t xml:space="preserve">arting in </w:t>
      </w:r>
      <w:r w:rsidRPr="002E3733" w:rsidR="00384D83">
        <w:t xml:space="preserve">FY 2014 and </w:t>
      </w:r>
      <w:r w:rsidR="00276C9F">
        <w:t xml:space="preserve">for </w:t>
      </w:r>
      <w:r w:rsidRPr="002E3733" w:rsidR="00384D83">
        <w:t xml:space="preserve">subsequent </w:t>
      </w:r>
      <w:r w:rsidR="00276C9F">
        <w:t>fiscal years</w:t>
      </w:r>
      <w:r w:rsidRPr="002E3733" w:rsidR="00384D83">
        <w:t xml:space="preserve">, </w:t>
      </w:r>
      <w:r w:rsidR="00276C9F">
        <w:t>IPFs</w:t>
      </w:r>
      <w:r w:rsidRPr="002E3733" w:rsidR="00384D83">
        <w:t xml:space="preserve"> paid under the IPF </w:t>
      </w:r>
      <w:r w:rsidR="007508CB">
        <w:t>Prospective Payment System (</w:t>
      </w:r>
      <w:r w:rsidRPr="002E3733" w:rsidR="00384D83">
        <w:t>PPS</w:t>
      </w:r>
      <w:r w:rsidR="007508CB">
        <w:t>)</w:t>
      </w:r>
      <w:r w:rsidRPr="002E3733" w:rsidR="00384D83">
        <w:t xml:space="preserve"> shall submit </w:t>
      </w:r>
      <w:r w:rsidR="007508CB">
        <w:t>selected</w:t>
      </w:r>
      <w:r w:rsidR="0039295E">
        <w:t xml:space="preserve"> quality measures to CMS. Such data shall be submitted in a form and manner, and at</w:t>
      </w:r>
      <w:r w:rsidR="00280FBE">
        <w:t xml:space="preserve"> </w:t>
      </w:r>
      <w:r w:rsidR="0039295E">
        <w:t xml:space="preserve">a time </w:t>
      </w:r>
      <w:r w:rsidRPr="002E3733" w:rsidR="00384D83">
        <w:t>specified by the Secretary.</w:t>
      </w:r>
      <w:r w:rsidR="00FE7B6F">
        <w:t xml:space="preserve"> </w:t>
      </w:r>
      <w:r w:rsidR="00690A46">
        <w:t>Section 1886(s)(4)</w:t>
      </w:r>
      <w:r w:rsidR="000D3F85">
        <w:t xml:space="preserve">(A) of the Act provides that </w:t>
      </w:r>
      <w:r w:rsidRPr="00FE7B6F" w:rsidR="00FE7B6F">
        <w:t xml:space="preserve">IPFs that </w:t>
      </w:r>
      <w:r w:rsidR="00EB3BCC">
        <w:t xml:space="preserve">fail to </w:t>
      </w:r>
      <w:r w:rsidR="007A428C">
        <w:t xml:space="preserve">submit data </w:t>
      </w:r>
      <w:r w:rsidR="003D4015">
        <w:t>on the</w:t>
      </w:r>
      <w:r w:rsidRPr="00FE7B6F" w:rsidR="00FE7B6F">
        <w:t xml:space="preserve"> selected quality measures and comply with other administrative requirements</w:t>
      </w:r>
      <w:r w:rsidR="00FE7B6F">
        <w:t xml:space="preserve"> will have their IPF PPS payment updates reduced by 2.0 percentage points</w:t>
      </w:r>
      <w:r w:rsidR="003D480B">
        <w:t>.</w:t>
      </w:r>
    </w:p>
    <w:p w:rsidR="0019303C" w:rsidRPr="0017727B" w:rsidP="00BE63B7" w14:paraId="1CE5723D" w14:textId="7BA95647">
      <w:pPr>
        <w:pStyle w:val="Heading3"/>
        <w:numPr>
          <w:ilvl w:val="0"/>
          <w:numId w:val="52"/>
        </w:numPr>
        <w:ind w:right="461"/>
      </w:pPr>
      <w:r w:rsidRPr="0017727B">
        <w:t xml:space="preserve">IPFQR Program </w:t>
      </w:r>
      <w:r w:rsidRPr="00E12283">
        <w:t>Quality</w:t>
      </w:r>
      <w:r w:rsidRPr="0017727B">
        <w:t xml:space="preserve"> Measures</w:t>
      </w:r>
    </w:p>
    <w:p w:rsidR="000B2EC1" w:rsidP="003D480B" w14:paraId="394D7631" w14:textId="313AF81C">
      <w:pPr>
        <w:pStyle w:val="BodyText"/>
        <w:ind w:left="0" w:right="0"/>
      </w:pPr>
      <w:r>
        <w:t>The FY 202</w:t>
      </w:r>
      <w:r w:rsidR="00967F55">
        <w:t>8</w:t>
      </w:r>
      <w:r>
        <w:t xml:space="preserve"> IPFQR payment determination will be based on IPFQR Program data reported and </w:t>
      </w:r>
      <w:r>
        <w:t>supporting forms submitted by IPFs on chart-abstracted measures and patient surveys for calendar year (CY) 202</w:t>
      </w:r>
      <w:r w:rsidR="00967F55">
        <w:t>6</w:t>
      </w:r>
      <w:r>
        <w:t xml:space="preserve"> discharges.  </w:t>
      </w:r>
      <w:r>
        <w:t>In an effort to</w:t>
      </w:r>
      <w:r>
        <w:t xml:space="preserve"> reduce burden, a variety of data collection mechanisms are employed, with every consideration taken to employ data and data collection systems already in place.</w:t>
      </w:r>
    </w:p>
    <w:p w:rsidR="002B7F87" w:rsidP="003D480B" w14:paraId="3B8ACC5D" w14:textId="3E58275C">
      <w:pPr>
        <w:pStyle w:val="BodyText"/>
        <w:ind w:left="0" w:right="0"/>
      </w:pPr>
      <w:r>
        <w:t xml:space="preserve">The IPFQR Program seeks to collect and publicly report data on quality-of-care metrics for the IPF setting. Measure data are submitted via one of </w:t>
      </w:r>
      <w:r w:rsidR="00072EC9">
        <w:t>four</w:t>
      </w:r>
      <w:r>
        <w:t xml:space="preserve"> modes: (1) web-based, (2) claims-based, (3) survey-based, </w:t>
      </w:r>
      <w:r w:rsidR="001813E1">
        <w:t xml:space="preserve">and (4) chart-abstracted, </w:t>
      </w:r>
      <w:r>
        <w:t>as seen in Table 1.</w:t>
      </w:r>
    </w:p>
    <w:p w:rsidR="009F64C0" w:rsidP="003D480B" w14:paraId="303DCAAC" w14:textId="7D1EF87C">
      <w:pPr>
        <w:pStyle w:val="BodyText"/>
        <w:ind w:left="0" w:right="0"/>
      </w:pPr>
      <w:bookmarkStart w:id="4" w:name="_Hlk163562950"/>
      <w:r>
        <w:t xml:space="preserve">For web-based measures, measure data </w:t>
      </w:r>
      <w:r w:rsidR="001E582A">
        <w:t>are</w:t>
      </w:r>
      <w:r>
        <w:t xml:space="preserve"> submitted differently depending on the measure. For </w:t>
      </w:r>
      <w:r w:rsidR="00D33159">
        <w:t xml:space="preserve">the </w:t>
      </w:r>
      <w:r>
        <w:t>measure data submitted via the Centers for Disease Control and Prevention’s (CDC) National Healthcare Safety Network (NH</w:t>
      </w:r>
      <w:r w:rsidR="00FB38E2">
        <w:t xml:space="preserve">SN), </w:t>
      </w:r>
      <w:r w:rsidR="001E582A">
        <w:t>specifically,</w:t>
      </w:r>
      <w:r w:rsidR="00FB38E2">
        <w:t xml:space="preserve"> data for the COVID-19 Vaccination Coverage Among Healthcare Personnel (HCP) measure, data are submitted under OMB control number 0920-</w:t>
      </w:r>
      <w:r w:rsidR="0046389A">
        <w:t xml:space="preserve">1317 (expiration date </w:t>
      </w:r>
      <w:r w:rsidR="00967F55">
        <w:t>January</w:t>
      </w:r>
      <w:r w:rsidR="0060158B">
        <w:t xml:space="preserve"> 31, 202</w:t>
      </w:r>
      <w:r w:rsidR="00967F55">
        <w:t>8</w:t>
      </w:r>
      <w:r w:rsidR="0046389A">
        <w:t xml:space="preserve">). </w:t>
      </w:r>
      <w:r w:rsidR="00A26FE2">
        <w:t xml:space="preserve">For </w:t>
      </w:r>
      <w:r w:rsidR="00D33159">
        <w:t xml:space="preserve">web-based </w:t>
      </w:r>
      <w:r w:rsidR="00A26FE2">
        <w:t>structural and process measures, IPFs are required to submit measure data via CMS’ Hospital Quality Reporting (HQR) system.</w:t>
      </w:r>
    </w:p>
    <w:p w:rsidR="00021D76" w:rsidRPr="00334311" w:rsidP="00021D76" w14:paraId="09501571" w14:textId="4A76E336">
      <w:pPr>
        <w:pStyle w:val="BodyText"/>
        <w:ind w:left="0" w:right="0"/>
      </w:pPr>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 xml:space="preserve">claims </w:t>
      </w:r>
      <w:r>
        <w:t xml:space="preserve">and beneficiary enrollment </w:t>
      </w:r>
      <w:r w:rsidRPr="005028BF">
        <w:t>data and</w:t>
      </w:r>
      <w:r>
        <w:t xml:space="preserve"> </w:t>
      </w:r>
      <w:r w:rsidRPr="00334311">
        <w:t>therefore, do not require additional effort or burden from IPFs.</w:t>
      </w:r>
    </w:p>
    <w:p w:rsidR="00DC744E" w:rsidP="003D480B" w14:paraId="7581C142" w14:textId="130A174C">
      <w:pPr>
        <w:pStyle w:val="BodyText"/>
        <w:ind w:left="0" w:right="0"/>
      </w:pPr>
      <w:r w:rsidRPr="00334311">
        <w:t xml:space="preserve">For measure data submitted as “survey-based,” information is derived through analysis of </w:t>
      </w:r>
      <w:r w:rsidRPr="00334311" w:rsidR="00334311">
        <w:t xml:space="preserve">patient </w:t>
      </w:r>
      <w:r w:rsidRPr="00334311">
        <w:t xml:space="preserve">responses to the </w:t>
      </w:r>
      <w:r w:rsidRPr="00334311" w:rsidR="00334311">
        <w:t>Psychiatric Inpatient Experience (PIX) survey.</w:t>
      </w:r>
      <w:r w:rsidR="000A5A53">
        <w:t xml:space="preserve"> </w:t>
      </w:r>
      <w:r w:rsidR="00932C9E">
        <w:t>Survey-based</w:t>
      </w:r>
      <w:r w:rsidR="000A5A53">
        <w:t xml:space="preserve"> data involves manual data entry effort and requires some burden for IPFs.</w:t>
      </w:r>
    </w:p>
    <w:p w:rsidR="00072EC9" w:rsidP="003D480B" w14:paraId="070C2821" w14:textId="570BA9E6">
      <w:pPr>
        <w:pStyle w:val="BodyText"/>
        <w:ind w:left="0" w:right="0"/>
      </w:pPr>
      <w:r>
        <w:t>For measure data submitted as “chart-abstracted,” information is derived through</w:t>
      </w:r>
      <w:r w:rsidR="0098567A">
        <w:t xml:space="preserve"> </w:t>
      </w:r>
      <w:r w:rsidR="003B2BA9">
        <w:t>analysis of a patient’s medical record. Chart-abstracted data involves manual data entry effort and requires some burden for IPFs.</w:t>
      </w:r>
    </w:p>
    <w:p w:rsidR="00D21F33" w:rsidP="00043AFF" w14:paraId="1424211A" w14:textId="406DE28E">
      <w:pPr>
        <w:ind w:left="1440" w:hanging="1440"/>
        <w:jc w:val="center"/>
      </w:pPr>
      <w:bookmarkStart w:id="5" w:name="_Hlk158800167"/>
      <w:bookmarkStart w:id="6" w:name="_Hlk163563010"/>
      <w:bookmarkEnd w:id="4"/>
      <w:r w:rsidRPr="00A07506">
        <w:rPr>
          <w:b/>
        </w:rPr>
        <w:t>Table 1.</w:t>
      </w:r>
      <w:r>
        <w:rPr>
          <w:b/>
        </w:rPr>
        <w:t xml:space="preserve"> Currently Approved IPFQR</w:t>
      </w:r>
      <w:r w:rsidRPr="00A07506">
        <w:rPr>
          <w:b/>
        </w:rPr>
        <w:t xml:space="preserve"> Program Measures for the </w:t>
      </w:r>
      <w:r w:rsidR="00BE63B7">
        <w:rPr>
          <w:b/>
        </w:rPr>
        <w:t>CY 202</w:t>
      </w:r>
      <w:r w:rsidR="00967F55">
        <w:rPr>
          <w:b/>
        </w:rPr>
        <w:t>6</w:t>
      </w:r>
      <w:r w:rsidR="00BE63B7">
        <w:rPr>
          <w:b/>
        </w:rPr>
        <w:t xml:space="preserve"> Reporting Period/</w:t>
      </w:r>
      <w:r>
        <w:rPr>
          <w:b/>
        </w:rPr>
        <w:t>F</w:t>
      </w:r>
      <w:r w:rsidRPr="00A07506">
        <w:rPr>
          <w:b/>
        </w:rPr>
        <w:t>Y 202</w:t>
      </w:r>
      <w:r w:rsidR="00967F55">
        <w:rPr>
          <w:b/>
        </w:rPr>
        <w:t>8</w:t>
      </w:r>
      <w:r w:rsidRPr="00A07506">
        <w:rPr>
          <w:b/>
        </w:rPr>
        <w:t xml:space="preserve"> </w:t>
      </w:r>
      <w:bookmarkEnd w:id="5"/>
      <w:r w:rsidR="0002669A">
        <w:rPr>
          <w:b/>
        </w:rPr>
        <w:t>Payment Determination</w:t>
      </w:r>
      <w:r w:rsidR="00967F55">
        <w:rPr>
          <w:b/>
        </w:rPr>
        <w:t xml:space="preserve"> and Subsequent Years</w:t>
      </w:r>
    </w:p>
    <w:tbl>
      <w:tblPr>
        <w:tblStyle w:val="TableGrid"/>
        <w:tblW w:w="0" w:type="auto"/>
        <w:tblLook w:val="04A0"/>
      </w:tblPr>
      <w:tblGrid>
        <w:gridCol w:w="9341"/>
      </w:tblGrid>
      <w:tr w14:paraId="40F857A3" w14:textId="77777777" w:rsidTr="00E94B66">
        <w:tblPrEx>
          <w:tblW w:w="0" w:type="auto"/>
          <w:tblLook w:val="04A0"/>
        </w:tblPrEx>
        <w:trPr>
          <w:tblHeader/>
        </w:trPr>
        <w:tc>
          <w:tcPr>
            <w:tcW w:w="9341" w:type="dxa"/>
            <w:shd w:val="clear" w:color="auto" w:fill="8DB3E2" w:themeFill="text2" w:themeFillTint="66"/>
          </w:tcPr>
          <w:p w:rsidR="0060158B" w:rsidRPr="00D21F33" w:rsidP="00E94B66" w14:paraId="013A9F27" w14:textId="3D0AE49A">
            <w:pPr>
              <w:shd w:val="clear" w:color="auto" w:fill="8DB3E2" w:themeFill="text2" w:themeFillTint="66"/>
              <w:jc w:val="center"/>
              <w:rPr>
                <w:b/>
                <w:highlight w:val="lightGray"/>
              </w:rPr>
            </w:pPr>
            <w:bookmarkStart w:id="7" w:name="_Hlk158800191"/>
            <w:r w:rsidRPr="00E94B66">
              <w:rPr>
                <w:b/>
                <w:color w:val="000000"/>
                <w:shd w:val="clear" w:color="auto" w:fill="8DB3E2" w:themeFill="text2" w:themeFillTint="66"/>
              </w:rPr>
              <w:t xml:space="preserve">Measure </w:t>
            </w:r>
            <w:r w:rsidRPr="00E94B66">
              <w:rPr>
                <w:b/>
                <w:shd w:val="clear" w:color="auto" w:fill="8DB3E2" w:themeFill="text2" w:themeFillTint="66"/>
              </w:rPr>
              <w:t>Data Submission Mode</w:t>
            </w:r>
            <w:r w:rsidRPr="00E94B66">
              <w:rPr>
                <w:b/>
                <w:color w:val="000000"/>
                <w:shd w:val="clear" w:color="auto" w:fill="8DB3E2" w:themeFill="text2" w:themeFillTint="66"/>
              </w:rPr>
              <w:t xml:space="preserve"> and Name</w:t>
            </w:r>
          </w:p>
        </w:tc>
      </w:tr>
      <w:tr w14:paraId="41F6CBC5" w14:textId="77777777" w:rsidTr="00E94B66">
        <w:tblPrEx>
          <w:tblW w:w="0" w:type="auto"/>
          <w:tblLook w:val="04A0"/>
        </w:tblPrEx>
        <w:tc>
          <w:tcPr>
            <w:tcW w:w="9341" w:type="dxa"/>
            <w:shd w:val="clear" w:color="auto" w:fill="D9D9D9" w:themeFill="background1" w:themeFillShade="D9"/>
            <w:vAlign w:val="bottom"/>
          </w:tcPr>
          <w:p w:rsidR="00D21F33" w:rsidRPr="00FA4D1A" w14:paraId="1246D219" w14:textId="264E2567">
            <w:pPr>
              <w:pStyle w:val="Default"/>
              <w:jc w:val="center"/>
              <w:rPr>
                <w:rFonts w:ascii="Times New Roman" w:hAnsi="Times New Roman" w:cs="Times New Roman"/>
                <w:b/>
                <w:bCs/>
              </w:rPr>
            </w:pPr>
            <w:r w:rsidRPr="00FA4D1A">
              <w:rPr>
                <w:rFonts w:ascii="Times New Roman" w:hAnsi="Times New Roman" w:cs="Times New Roman"/>
                <w:b/>
                <w:bCs/>
              </w:rPr>
              <w:t>NHSN Measures</w:t>
            </w:r>
            <w:r w:rsidR="00BE258B">
              <w:rPr>
                <w:rFonts w:ascii="Times New Roman" w:hAnsi="Times New Roman" w:cs="Times New Roman"/>
                <w:b/>
                <w:bCs/>
              </w:rPr>
              <w:t xml:space="preserve"> (web-based)</w:t>
            </w:r>
          </w:p>
        </w:tc>
      </w:tr>
      <w:tr w14:paraId="2289773D" w14:textId="77777777" w:rsidTr="009E2C3E">
        <w:tblPrEx>
          <w:tblW w:w="0" w:type="auto"/>
          <w:tblLook w:val="04A0"/>
        </w:tblPrEx>
        <w:tc>
          <w:tcPr>
            <w:tcW w:w="9341" w:type="dxa"/>
            <w:vAlign w:val="bottom"/>
          </w:tcPr>
          <w:p w:rsidR="0060158B" w:rsidRPr="00FA4D1A" w:rsidP="00E94B66" w14:paraId="03CE75CA" w14:textId="7EBE8AB9">
            <w:pPr>
              <w:pStyle w:val="Default"/>
              <w:rPr>
                <w:rFonts w:ascii="Times New Roman" w:hAnsi="Times New Roman" w:cs="Times New Roman"/>
              </w:rPr>
            </w:pPr>
            <w:r w:rsidRPr="00FA4D1A">
              <w:rPr>
                <w:rFonts w:ascii="Times New Roman" w:hAnsi="Times New Roman" w:cs="Times New Roman"/>
              </w:rPr>
              <w:t>COVID-19 Vaccination</w:t>
            </w:r>
            <w:r w:rsidR="006059E5">
              <w:rPr>
                <w:rFonts w:ascii="Times New Roman" w:hAnsi="Times New Roman" w:cs="Times New Roman"/>
              </w:rPr>
              <w:t xml:space="preserve"> Coverage among Healthcare Personnel</w:t>
            </w:r>
            <w:r>
              <w:rPr>
                <w:rFonts w:ascii="Times New Roman" w:hAnsi="Times New Roman" w:cs="Times New Roman"/>
              </w:rPr>
              <w:t>*</w:t>
            </w:r>
          </w:p>
        </w:tc>
      </w:tr>
      <w:tr w14:paraId="676701F5" w14:textId="77777777" w:rsidTr="00E94B66">
        <w:tblPrEx>
          <w:tblW w:w="0" w:type="auto"/>
          <w:tblLook w:val="04A0"/>
        </w:tblPrEx>
        <w:tc>
          <w:tcPr>
            <w:tcW w:w="9341" w:type="dxa"/>
            <w:shd w:val="clear" w:color="auto" w:fill="D9D9D9" w:themeFill="background1" w:themeFillShade="D9"/>
            <w:vAlign w:val="bottom"/>
          </w:tcPr>
          <w:p w:rsidR="009915FC" w:rsidRPr="00A06421" w14:paraId="144648E4" w14:textId="77777777">
            <w:pPr>
              <w:pStyle w:val="Default"/>
              <w:jc w:val="center"/>
              <w:rPr>
                <w:rFonts w:ascii="Times New Roman" w:hAnsi="Times New Roman" w:cs="Times New Roman"/>
                <w:b/>
                <w:bCs/>
              </w:rPr>
            </w:pPr>
            <w:r w:rsidRPr="00A06421">
              <w:rPr>
                <w:rFonts w:ascii="Times New Roman" w:hAnsi="Times New Roman" w:cs="Times New Roman"/>
                <w:b/>
                <w:bCs/>
              </w:rPr>
              <w:t>Structural Measure</w:t>
            </w:r>
            <w:r>
              <w:rPr>
                <w:rFonts w:ascii="Times New Roman" w:hAnsi="Times New Roman" w:cs="Times New Roman"/>
                <w:b/>
                <w:bCs/>
              </w:rPr>
              <w:t>s (web-based)</w:t>
            </w:r>
          </w:p>
        </w:tc>
      </w:tr>
      <w:tr w14:paraId="731D1F6F" w14:textId="77777777" w:rsidTr="004B52D5">
        <w:tblPrEx>
          <w:tblW w:w="0" w:type="auto"/>
          <w:tblLook w:val="04A0"/>
        </w:tblPrEx>
        <w:tc>
          <w:tcPr>
            <w:tcW w:w="9341" w:type="dxa"/>
            <w:vAlign w:val="bottom"/>
          </w:tcPr>
          <w:p w:rsidR="0060158B" w:rsidP="00E94B66" w14:paraId="539E1875" w14:textId="73D91BD7">
            <w:pPr>
              <w:pStyle w:val="Default"/>
              <w:rPr>
                <w:rFonts w:ascii="Times New Roman" w:hAnsi="Times New Roman" w:cs="Times New Roman"/>
              </w:rPr>
            </w:pPr>
            <w:r>
              <w:rPr>
                <w:rFonts w:ascii="Times New Roman" w:hAnsi="Times New Roman" w:cs="Times New Roman"/>
              </w:rPr>
              <w:t>Facility Commitment to Health Equity</w:t>
            </w:r>
          </w:p>
        </w:tc>
      </w:tr>
      <w:tr w14:paraId="5E7D54AE" w14:textId="77777777" w:rsidTr="00E94B66">
        <w:tblPrEx>
          <w:tblW w:w="0" w:type="auto"/>
          <w:tblLook w:val="04A0"/>
        </w:tblPrEx>
        <w:tc>
          <w:tcPr>
            <w:tcW w:w="9341" w:type="dxa"/>
            <w:shd w:val="clear" w:color="auto" w:fill="D9D9D9" w:themeFill="background1" w:themeFillShade="D9"/>
            <w:vAlign w:val="bottom"/>
          </w:tcPr>
          <w:p w:rsidR="009915FC" w:rsidRPr="00FA4D1A" w14:paraId="3F4BEAD9" w14:textId="77777777">
            <w:pPr>
              <w:pStyle w:val="Default"/>
              <w:jc w:val="center"/>
              <w:rPr>
                <w:rFonts w:ascii="Times New Roman" w:hAnsi="Times New Roman" w:cs="Times New Roman"/>
                <w:b/>
                <w:bCs/>
              </w:rPr>
            </w:pPr>
            <w:r>
              <w:rPr>
                <w:rFonts w:ascii="Times New Roman" w:hAnsi="Times New Roman" w:cs="Times New Roman"/>
                <w:b/>
                <w:bCs/>
              </w:rPr>
              <w:t>Process</w:t>
            </w:r>
            <w:r w:rsidRPr="00FA4D1A">
              <w:rPr>
                <w:rFonts w:ascii="Times New Roman" w:hAnsi="Times New Roman" w:cs="Times New Roman"/>
                <w:b/>
                <w:bCs/>
              </w:rPr>
              <w:t xml:space="preserve"> Measures</w:t>
            </w:r>
            <w:r>
              <w:rPr>
                <w:rFonts w:ascii="Times New Roman" w:hAnsi="Times New Roman" w:cs="Times New Roman"/>
                <w:b/>
                <w:bCs/>
              </w:rPr>
              <w:t xml:space="preserve"> (web-based)</w:t>
            </w:r>
          </w:p>
        </w:tc>
      </w:tr>
      <w:tr w14:paraId="50385E84" w14:textId="77777777" w:rsidTr="00E94B66">
        <w:tblPrEx>
          <w:tblW w:w="0" w:type="auto"/>
          <w:tblLook w:val="04A0"/>
        </w:tblPrEx>
        <w:trPr>
          <w:trHeight w:val="287"/>
        </w:trPr>
        <w:tc>
          <w:tcPr>
            <w:tcW w:w="9341" w:type="dxa"/>
            <w:vAlign w:val="bottom"/>
          </w:tcPr>
          <w:p w:rsidR="0060158B" w:rsidRPr="00FA4D1A" w:rsidP="00E94B66" w14:paraId="26F6416B" w14:textId="13BF98EF">
            <w:pPr>
              <w:pStyle w:val="Default"/>
              <w:rPr>
                <w:rFonts w:ascii="Times New Roman" w:hAnsi="Times New Roman" w:cs="Times New Roman"/>
              </w:rPr>
            </w:pPr>
            <w:r>
              <w:rPr>
                <w:rFonts w:ascii="Times New Roman" w:hAnsi="Times New Roman" w:cs="Times New Roman"/>
              </w:rPr>
              <w:t>Screening for Social Drivers of Health</w:t>
            </w:r>
          </w:p>
        </w:tc>
      </w:tr>
      <w:tr w14:paraId="21012055" w14:textId="77777777" w:rsidTr="008F7C70">
        <w:tblPrEx>
          <w:tblW w:w="0" w:type="auto"/>
          <w:tblLook w:val="04A0"/>
        </w:tblPrEx>
        <w:tc>
          <w:tcPr>
            <w:tcW w:w="9341" w:type="dxa"/>
            <w:vAlign w:val="bottom"/>
          </w:tcPr>
          <w:p w:rsidR="0060158B" w:rsidRPr="00FA4D1A" w:rsidP="00E94B66" w14:paraId="0B6AF336" w14:textId="0F777F4C">
            <w:pPr>
              <w:pStyle w:val="Default"/>
              <w:rPr>
                <w:rFonts w:ascii="Times New Roman" w:hAnsi="Times New Roman" w:cs="Times New Roman"/>
              </w:rPr>
            </w:pPr>
            <w:r>
              <w:rPr>
                <w:rFonts w:ascii="Times New Roman" w:hAnsi="Times New Roman" w:cs="Times New Roman"/>
              </w:rPr>
              <w:t>Screen Positive Rate for Social Drivers of Health</w:t>
            </w:r>
          </w:p>
        </w:tc>
      </w:tr>
      <w:tr w14:paraId="16402C70" w14:textId="77777777" w:rsidTr="00E94B66">
        <w:tblPrEx>
          <w:tblW w:w="0" w:type="auto"/>
          <w:tblLook w:val="04A0"/>
        </w:tblPrEx>
        <w:tc>
          <w:tcPr>
            <w:tcW w:w="9341" w:type="dxa"/>
            <w:shd w:val="clear" w:color="auto" w:fill="D9D9D9" w:themeFill="background1" w:themeFillShade="D9"/>
            <w:vAlign w:val="bottom"/>
          </w:tcPr>
          <w:p w:rsidR="00D21F33" w:rsidRPr="00FA4D1A" w14:paraId="0EB02320" w14:textId="1E0DCFDB">
            <w:pPr>
              <w:pStyle w:val="Default"/>
              <w:jc w:val="center"/>
              <w:rPr>
                <w:rFonts w:ascii="Times New Roman" w:hAnsi="Times New Roman" w:cs="Times New Roman"/>
              </w:rPr>
            </w:pPr>
            <w:r w:rsidRPr="00FA4D1A">
              <w:rPr>
                <w:rFonts w:ascii="Times New Roman" w:hAnsi="Times New Roman" w:cs="Times New Roman"/>
                <w:b/>
                <w:bCs/>
              </w:rPr>
              <w:t>Claims-Based Measures</w:t>
            </w:r>
            <w:r w:rsidR="00B45BC5">
              <w:rPr>
                <w:rFonts w:ascii="Times New Roman" w:hAnsi="Times New Roman" w:cs="Times New Roman"/>
                <w:b/>
                <w:bCs/>
              </w:rPr>
              <w:t xml:space="preserve"> **</w:t>
            </w:r>
          </w:p>
        </w:tc>
      </w:tr>
      <w:tr w14:paraId="15AC2FF4" w14:textId="77777777" w:rsidTr="00947567">
        <w:tblPrEx>
          <w:tblW w:w="0" w:type="auto"/>
          <w:tblLook w:val="04A0"/>
        </w:tblPrEx>
        <w:tc>
          <w:tcPr>
            <w:tcW w:w="9341" w:type="dxa"/>
            <w:vAlign w:val="bottom"/>
          </w:tcPr>
          <w:p w:rsidR="0060158B" w:rsidRPr="00FA4D1A" w:rsidP="00E94B66" w14:paraId="041ADD65" w14:textId="2787D05E">
            <w:pPr>
              <w:pStyle w:val="Default"/>
              <w:rPr>
                <w:rFonts w:ascii="Times New Roman" w:hAnsi="Times New Roman" w:cs="Times New Roman"/>
              </w:rPr>
            </w:pPr>
            <w:r w:rsidRPr="00975C08">
              <w:rPr>
                <w:rFonts w:ascii="Times New Roman" w:hAnsi="Times New Roman" w:cs="Times New Roman"/>
              </w:rPr>
              <w:t>Follow-Up After Psychiatric Hospitalization</w:t>
            </w:r>
          </w:p>
        </w:tc>
      </w:tr>
      <w:tr w14:paraId="521A9CDC" w14:textId="77777777" w:rsidTr="00822242">
        <w:tblPrEx>
          <w:tblW w:w="0" w:type="auto"/>
          <w:tblLook w:val="04A0"/>
        </w:tblPrEx>
        <w:tc>
          <w:tcPr>
            <w:tcW w:w="9341" w:type="dxa"/>
            <w:vAlign w:val="bottom"/>
          </w:tcPr>
          <w:p w:rsidR="0060158B" w:rsidRPr="00FA4D1A" w:rsidP="00E94B66" w14:paraId="02AD6C26" w14:textId="719C5F19">
            <w:pPr>
              <w:pStyle w:val="Default"/>
              <w:rPr>
                <w:rFonts w:ascii="Times New Roman" w:hAnsi="Times New Roman" w:cs="Times New Roman"/>
              </w:rPr>
            </w:pPr>
            <w:r w:rsidRPr="002960F0">
              <w:rPr>
                <w:rFonts w:ascii="Times New Roman" w:hAnsi="Times New Roman" w:cs="Times New Roman"/>
              </w:rPr>
              <w:t>Thirty-Day</w:t>
            </w:r>
            <w:r w:rsidRPr="002960F0">
              <w:rPr>
                <w:rFonts w:ascii="Times New Roman" w:hAnsi="Times New Roman" w:cs="Times New Roman"/>
              </w:rPr>
              <w:t xml:space="preserve"> All-Cause Unplanned Readmission Following Psychiatric Hospitalization in an Inpatient Psychiatric Facility</w:t>
            </w:r>
          </w:p>
        </w:tc>
      </w:tr>
      <w:tr w14:paraId="019ADBD8" w14:textId="77777777" w:rsidTr="00822242">
        <w:tblPrEx>
          <w:tblW w:w="0" w:type="auto"/>
          <w:tblLook w:val="04A0"/>
        </w:tblPrEx>
        <w:tc>
          <w:tcPr>
            <w:tcW w:w="9341" w:type="dxa"/>
            <w:vAlign w:val="bottom"/>
          </w:tcPr>
          <w:p w:rsidR="00967F55" w:rsidRPr="002960F0" w:rsidP="00E94B66" w14:paraId="0AD75314" w14:textId="5E090146">
            <w:pPr>
              <w:pStyle w:val="Default"/>
              <w:rPr>
                <w:rFonts w:ascii="Times New Roman" w:hAnsi="Times New Roman" w:cs="Times New Roman"/>
              </w:rPr>
            </w:pPr>
            <w:r w:rsidRPr="003C7B88">
              <w:rPr>
                <w:rFonts w:ascii="Times New Roman" w:hAnsi="Times New Roman" w:cs="Times New Roman"/>
              </w:rPr>
              <w:t>30-Day Risk-Standardized All-Cause Emergency Department Visit Following an Inpatient Psychiatric Facility Discharge</w:t>
            </w:r>
          </w:p>
        </w:tc>
      </w:tr>
      <w:tr w14:paraId="4DE69E57" w14:textId="77777777" w:rsidTr="008B6E08">
        <w:tblPrEx>
          <w:tblW w:w="0" w:type="auto"/>
          <w:tblLook w:val="04A0"/>
        </w:tblPrEx>
        <w:tc>
          <w:tcPr>
            <w:tcW w:w="9341" w:type="dxa"/>
            <w:vAlign w:val="bottom"/>
          </w:tcPr>
          <w:p w:rsidR="0060158B" w:rsidRPr="00FA4D1A" w:rsidP="00E94B66" w14:paraId="484D05DC" w14:textId="701822CE">
            <w:pPr>
              <w:pStyle w:val="Default"/>
              <w:rPr>
                <w:rFonts w:ascii="Times New Roman" w:hAnsi="Times New Roman" w:cs="Times New Roman"/>
              </w:rPr>
            </w:pPr>
            <w:r>
              <w:rPr>
                <w:rFonts w:ascii="Times New Roman" w:hAnsi="Times New Roman" w:cs="Times New Roman"/>
              </w:rPr>
              <w:t>Medication Continuation Following Inpatient Psychiatric Discharge</w:t>
            </w:r>
          </w:p>
        </w:tc>
      </w:tr>
      <w:tr w14:paraId="23366B40" w14:textId="77777777" w:rsidTr="00E94B66">
        <w:tblPrEx>
          <w:tblW w:w="0" w:type="auto"/>
          <w:tblLook w:val="04A0"/>
        </w:tblPrEx>
        <w:tc>
          <w:tcPr>
            <w:tcW w:w="9341" w:type="dxa"/>
            <w:shd w:val="clear" w:color="auto" w:fill="D9D9D9" w:themeFill="background1" w:themeFillShade="D9"/>
            <w:vAlign w:val="bottom"/>
          </w:tcPr>
          <w:p w:rsidR="009915FC" w:rsidRPr="00D132D9" w14:paraId="4740FCFE" w14:textId="77777777">
            <w:pPr>
              <w:pStyle w:val="Default"/>
              <w:jc w:val="center"/>
              <w:rPr>
                <w:rFonts w:ascii="Times New Roman" w:hAnsi="Times New Roman" w:cs="Times New Roman"/>
                <w:b/>
                <w:bCs/>
              </w:rPr>
            </w:pPr>
            <w:r w:rsidRPr="00D132D9">
              <w:rPr>
                <w:rFonts w:ascii="Times New Roman" w:hAnsi="Times New Roman" w:cs="Times New Roman"/>
                <w:b/>
                <w:bCs/>
              </w:rPr>
              <w:t>Survey-Based Measure</w:t>
            </w:r>
          </w:p>
        </w:tc>
      </w:tr>
      <w:tr w14:paraId="6A31C4C3" w14:textId="77777777" w:rsidTr="00704B67">
        <w:tblPrEx>
          <w:tblW w:w="0" w:type="auto"/>
          <w:tblLook w:val="04A0"/>
        </w:tblPrEx>
        <w:tc>
          <w:tcPr>
            <w:tcW w:w="9341" w:type="dxa"/>
            <w:vAlign w:val="bottom"/>
          </w:tcPr>
          <w:p w:rsidR="0060158B" w:rsidP="00E94B66" w14:paraId="6B8BB87F" w14:textId="2B780A45">
            <w:pPr>
              <w:pStyle w:val="Default"/>
              <w:rPr>
                <w:rFonts w:ascii="Times New Roman" w:hAnsi="Times New Roman" w:cs="Times New Roman"/>
              </w:rPr>
            </w:pPr>
            <w:r>
              <w:rPr>
                <w:rFonts w:ascii="Times New Roman" w:hAnsi="Times New Roman" w:cs="Times New Roman"/>
              </w:rPr>
              <w:t xml:space="preserve">Psychiatric Inpatient Experience </w:t>
            </w:r>
            <w:r w:rsidR="004E52B1">
              <w:rPr>
                <w:rFonts w:ascii="Times New Roman" w:hAnsi="Times New Roman" w:cs="Times New Roman"/>
              </w:rPr>
              <w:t xml:space="preserve">(PIX) </w:t>
            </w:r>
            <w:r>
              <w:rPr>
                <w:rFonts w:ascii="Times New Roman" w:hAnsi="Times New Roman" w:cs="Times New Roman"/>
              </w:rPr>
              <w:t>Survey</w:t>
            </w:r>
          </w:p>
        </w:tc>
      </w:tr>
      <w:tr w14:paraId="26D46C34" w14:textId="77777777" w:rsidTr="00E94B66">
        <w:tblPrEx>
          <w:tblW w:w="0" w:type="auto"/>
          <w:tblLook w:val="04A0"/>
        </w:tblPrEx>
        <w:tc>
          <w:tcPr>
            <w:tcW w:w="9341" w:type="dxa"/>
            <w:shd w:val="clear" w:color="auto" w:fill="D9D9D9" w:themeFill="background1" w:themeFillShade="D9"/>
            <w:vAlign w:val="bottom"/>
          </w:tcPr>
          <w:p w:rsidR="00361B35" w14:paraId="387620C8" w14:textId="4FFAE635">
            <w:pPr>
              <w:pStyle w:val="Default"/>
              <w:jc w:val="center"/>
              <w:rPr>
                <w:rFonts w:ascii="Times New Roman" w:hAnsi="Times New Roman" w:cs="Times New Roman"/>
              </w:rPr>
            </w:pPr>
            <w:r>
              <w:rPr>
                <w:rFonts w:ascii="Times New Roman" w:hAnsi="Times New Roman" w:cs="Times New Roman"/>
                <w:b/>
                <w:bCs/>
              </w:rPr>
              <w:t>Chart-Abstracted Measures</w:t>
            </w:r>
          </w:p>
        </w:tc>
      </w:tr>
      <w:tr w14:paraId="23E34471" w14:textId="77777777" w:rsidTr="003A6D1D">
        <w:tblPrEx>
          <w:tblW w:w="0" w:type="auto"/>
          <w:tblLook w:val="04A0"/>
        </w:tblPrEx>
        <w:tc>
          <w:tcPr>
            <w:tcW w:w="9341" w:type="dxa"/>
            <w:vAlign w:val="bottom"/>
          </w:tcPr>
          <w:p w:rsidR="0060158B" w:rsidP="00E94B66" w14:paraId="18703663" w14:textId="0500E3D7">
            <w:pPr>
              <w:pStyle w:val="Default"/>
              <w:rPr>
                <w:rFonts w:ascii="Times New Roman" w:hAnsi="Times New Roman" w:cs="Times New Roman"/>
              </w:rPr>
            </w:pPr>
            <w:r w:rsidRPr="005620DC">
              <w:rPr>
                <w:rFonts w:ascii="Times New Roman" w:hAnsi="Times New Roman" w:cs="Times New Roman"/>
              </w:rPr>
              <w:t>Hours of Physical Restraint Use</w:t>
            </w:r>
          </w:p>
        </w:tc>
      </w:tr>
      <w:tr w14:paraId="0A9608C1" w14:textId="77777777" w:rsidTr="00766374">
        <w:tblPrEx>
          <w:tblW w:w="0" w:type="auto"/>
          <w:tblLook w:val="04A0"/>
        </w:tblPrEx>
        <w:tc>
          <w:tcPr>
            <w:tcW w:w="9341" w:type="dxa"/>
            <w:vAlign w:val="bottom"/>
          </w:tcPr>
          <w:p w:rsidR="0060158B" w:rsidP="00E94B66" w14:paraId="2F2070D9" w14:textId="182C9977">
            <w:pPr>
              <w:pStyle w:val="Default"/>
              <w:rPr>
                <w:rFonts w:ascii="Times New Roman" w:hAnsi="Times New Roman" w:cs="Times New Roman"/>
              </w:rPr>
            </w:pPr>
            <w:r w:rsidRPr="00946D42">
              <w:rPr>
                <w:rFonts w:ascii="Times New Roman" w:hAnsi="Times New Roman" w:cs="Times New Roman"/>
              </w:rPr>
              <w:t>Hours of Seclusion Use</w:t>
            </w:r>
          </w:p>
        </w:tc>
      </w:tr>
      <w:tr w14:paraId="4CA47FAA" w14:textId="77777777" w:rsidTr="00875BDE">
        <w:tblPrEx>
          <w:tblW w:w="0" w:type="auto"/>
          <w:tblLook w:val="04A0"/>
        </w:tblPrEx>
        <w:tc>
          <w:tcPr>
            <w:tcW w:w="9341" w:type="dxa"/>
            <w:vAlign w:val="bottom"/>
          </w:tcPr>
          <w:p w:rsidR="0060158B" w:rsidP="00E94B66" w14:paraId="0D107D53" w14:textId="1092EA73">
            <w:pPr>
              <w:pStyle w:val="Default"/>
              <w:rPr>
                <w:rFonts w:ascii="Times New Roman" w:hAnsi="Times New Roman" w:cs="Times New Roman"/>
              </w:rPr>
            </w:pPr>
            <w:r w:rsidRPr="004F69C3">
              <w:rPr>
                <w:rFonts w:ascii="Times New Roman" w:hAnsi="Times New Roman" w:cs="Times New Roman"/>
              </w:rPr>
              <w:t>Alcohol Use Brief Intervention Provided or Offered and SUB-2a Alcohol Use Brief Intervention</w:t>
            </w:r>
          </w:p>
        </w:tc>
      </w:tr>
      <w:tr w14:paraId="77147935" w14:textId="77777777" w:rsidTr="00F10714">
        <w:tblPrEx>
          <w:tblW w:w="0" w:type="auto"/>
          <w:tblLook w:val="04A0"/>
        </w:tblPrEx>
        <w:tc>
          <w:tcPr>
            <w:tcW w:w="9341" w:type="dxa"/>
            <w:vAlign w:val="bottom"/>
          </w:tcPr>
          <w:p w:rsidR="0060158B" w:rsidP="00E94B66" w14:paraId="0F98E1A0" w14:textId="77528A5D">
            <w:pPr>
              <w:pStyle w:val="Default"/>
              <w:rPr>
                <w:rFonts w:ascii="Times New Roman" w:hAnsi="Times New Roman" w:cs="Times New Roman"/>
              </w:rPr>
            </w:pPr>
            <w:r w:rsidRPr="00B62A55">
              <w:rPr>
                <w:rFonts w:ascii="Times New Roman" w:hAnsi="Times New Roman" w:cs="Times New Roman"/>
              </w:rPr>
              <w:t>Alcohol and Other Drug Use Disorder Treatment Provided or Offered at Discharge and SUB-3a Alcohol and Other Drug Use Disorder Treatment at Discharge</w:t>
            </w:r>
          </w:p>
        </w:tc>
      </w:tr>
      <w:tr w14:paraId="641EB312" w14:textId="77777777" w:rsidTr="00715867">
        <w:tblPrEx>
          <w:tblW w:w="0" w:type="auto"/>
          <w:tblLook w:val="04A0"/>
        </w:tblPrEx>
        <w:tc>
          <w:tcPr>
            <w:tcW w:w="9341" w:type="dxa"/>
            <w:vAlign w:val="bottom"/>
          </w:tcPr>
          <w:p w:rsidR="0060158B" w:rsidP="00E94B66" w14:paraId="32EDB3FD" w14:textId="0560141D">
            <w:pPr>
              <w:pStyle w:val="Default"/>
              <w:rPr>
                <w:rFonts w:ascii="Times New Roman" w:hAnsi="Times New Roman" w:cs="Times New Roman"/>
              </w:rPr>
            </w:pPr>
            <w:r w:rsidRPr="00BE6928">
              <w:rPr>
                <w:rFonts w:ascii="Times New Roman" w:hAnsi="Times New Roman" w:cs="Times New Roman"/>
              </w:rPr>
              <w:t>Tobacco Use Treatment Provided or Offered at Discharge and TOB-3a Tobacco Use Treatment at Discharge</w:t>
            </w:r>
          </w:p>
        </w:tc>
      </w:tr>
      <w:tr w14:paraId="661FE7F9" w14:textId="77777777" w:rsidTr="00FE1A36">
        <w:tblPrEx>
          <w:tblW w:w="0" w:type="auto"/>
          <w:tblLook w:val="04A0"/>
        </w:tblPrEx>
        <w:tc>
          <w:tcPr>
            <w:tcW w:w="9341" w:type="dxa"/>
            <w:vAlign w:val="bottom"/>
          </w:tcPr>
          <w:p w:rsidR="0060158B" w:rsidP="00E94B66" w14:paraId="46A2944B" w14:textId="0CBE634E">
            <w:pPr>
              <w:pStyle w:val="Default"/>
              <w:rPr>
                <w:rFonts w:ascii="Times New Roman" w:hAnsi="Times New Roman" w:cs="Times New Roman"/>
              </w:rPr>
            </w:pPr>
            <w:r w:rsidRPr="000405BB">
              <w:rPr>
                <w:rFonts w:ascii="Times New Roman" w:hAnsi="Times New Roman" w:cs="Times New Roman"/>
              </w:rPr>
              <w:t>Influenza Immunization</w:t>
            </w:r>
          </w:p>
        </w:tc>
      </w:tr>
      <w:tr w14:paraId="6B6A7E2C" w14:textId="77777777" w:rsidTr="008F57B9">
        <w:tblPrEx>
          <w:tblW w:w="0" w:type="auto"/>
          <w:tblLook w:val="04A0"/>
        </w:tblPrEx>
        <w:tc>
          <w:tcPr>
            <w:tcW w:w="9341" w:type="dxa"/>
            <w:vAlign w:val="bottom"/>
          </w:tcPr>
          <w:p w:rsidR="0060158B" w:rsidP="00E94B66" w14:paraId="4ED20DDC" w14:textId="02186F09">
            <w:pPr>
              <w:pStyle w:val="Default"/>
              <w:rPr>
                <w:rFonts w:ascii="Times New Roman" w:hAnsi="Times New Roman" w:cs="Times New Roman"/>
              </w:rPr>
            </w:pPr>
            <w:r w:rsidRPr="00C625C5">
              <w:rPr>
                <w:rFonts w:ascii="Times New Roman" w:hAnsi="Times New Roman" w:cs="Times New Roman"/>
              </w:rPr>
              <w:t>Transition Record with Specified Elements Received by Discharged Patients (Discharges from an Inpatient Facility to Home/Self Care or Any Other Site of Care)</w:t>
            </w:r>
          </w:p>
        </w:tc>
      </w:tr>
      <w:tr w14:paraId="6A683CC7" w14:textId="77777777" w:rsidTr="000925A2">
        <w:tblPrEx>
          <w:tblW w:w="0" w:type="auto"/>
          <w:tblLook w:val="04A0"/>
        </w:tblPrEx>
        <w:tc>
          <w:tcPr>
            <w:tcW w:w="9341" w:type="dxa"/>
            <w:vAlign w:val="bottom"/>
          </w:tcPr>
          <w:p w:rsidR="0060158B" w:rsidP="00E94B66" w14:paraId="01DBDADF" w14:textId="06926407">
            <w:pPr>
              <w:pStyle w:val="Default"/>
              <w:rPr>
                <w:rFonts w:ascii="Times New Roman" w:hAnsi="Times New Roman" w:cs="Times New Roman"/>
              </w:rPr>
            </w:pPr>
            <w:r w:rsidRPr="00241FBC">
              <w:rPr>
                <w:rFonts w:ascii="Times New Roman" w:hAnsi="Times New Roman" w:cs="Times New Roman"/>
              </w:rPr>
              <w:t>Screening for Metabolic Disorders</w:t>
            </w:r>
          </w:p>
        </w:tc>
      </w:tr>
    </w:tbl>
    <w:bookmarkEnd w:id="7"/>
    <w:p w:rsidR="00B45BC5" w:rsidP="00B45BC5" w14:paraId="6C28FBDC" w14:textId="77777777">
      <w:pPr>
        <w:rPr>
          <w:rFonts w:eastAsia="Calibri"/>
          <w:sz w:val="18"/>
          <w:szCs w:val="18"/>
        </w:rPr>
      </w:pPr>
      <w:r w:rsidRPr="00043C6D">
        <w:rPr>
          <w:sz w:val="20"/>
          <w:szCs w:val="20"/>
        </w:rPr>
        <w:t>*</w:t>
      </w:r>
      <w:r>
        <w:rPr>
          <w:sz w:val="20"/>
          <w:szCs w:val="20"/>
        </w:rPr>
        <w:t xml:space="preserve"> </w:t>
      </w:r>
      <w:r>
        <w:rPr>
          <w:rFonts w:eastAsia="Calibri"/>
          <w:sz w:val="18"/>
          <w:szCs w:val="18"/>
        </w:rPr>
        <w:t>Burden for this measure is accounted for under OMB control number 0920-1317.</w:t>
      </w:r>
    </w:p>
    <w:p w:rsidR="00B45BC5" w:rsidP="00B45BC5" w14:paraId="1CFD69DA" w14:textId="1ACAC5DE">
      <w:pPr>
        <w:rPr>
          <w:color w:val="000000"/>
          <w:sz w:val="18"/>
          <w:szCs w:val="18"/>
        </w:rPr>
      </w:pPr>
      <w:r>
        <w:rPr>
          <w:rFonts w:eastAsia="Calibri"/>
          <w:sz w:val="18"/>
          <w:szCs w:val="18"/>
        </w:rPr>
        <w:t xml:space="preserve">** Burden for these measures is accounted for under OMB control number </w:t>
      </w:r>
      <w:r w:rsidRPr="00B45BC5">
        <w:rPr>
          <w:rFonts w:eastAsia="Calibri"/>
          <w:sz w:val="18"/>
          <w:szCs w:val="18"/>
        </w:rPr>
        <w:t>0938-0050</w:t>
      </w:r>
      <w:r>
        <w:rPr>
          <w:rFonts w:eastAsia="Calibri"/>
          <w:sz w:val="18"/>
          <w:szCs w:val="18"/>
        </w:rPr>
        <w:t>.</w:t>
      </w:r>
    </w:p>
    <w:bookmarkEnd w:id="6"/>
    <w:p w:rsidR="003C7B88" w:rsidP="003C7B88" w14:paraId="3A124F95" w14:textId="77777777">
      <w:pPr>
        <w:pStyle w:val="BodyText"/>
        <w:ind w:left="0"/>
      </w:pPr>
    </w:p>
    <w:p w:rsidR="002B7F87" w:rsidP="00276D64" w14:paraId="4F887821" w14:textId="027C7835">
      <w:pPr>
        <w:pStyle w:val="BodyText"/>
        <w:ind w:left="0"/>
      </w:pPr>
      <w:r>
        <w:t>In the FY 202</w:t>
      </w:r>
      <w:r w:rsidR="003C7B88">
        <w:t>6</w:t>
      </w:r>
      <w:r>
        <w:t xml:space="preserve"> IPF PPS proposed rule, we </w:t>
      </w:r>
      <w:r w:rsidR="003C7B88">
        <w:t xml:space="preserve">proposed </w:t>
      </w:r>
      <w:r w:rsidRPr="003C7B88" w:rsidR="003C7B88">
        <w:t xml:space="preserve">to remove </w:t>
      </w:r>
      <w:r w:rsidR="003C7B88">
        <w:t xml:space="preserve">four </w:t>
      </w:r>
      <w:r w:rsidR="0002669A">
        <w:t xml:space="preserve">web-based </w:t>
      </w:r>
      <w:r w:rsidR="003C7B88">
        <w:t xml:space="preserve">measures </w:t>
      </w:r>
      <w:r w:rsidRPr="003C7B88" w:rsidR="003C7B88">
        <w:t>beginning with the FY 2026 payment determination</w:t>
      </w:r>
      <w:r w:rsidR="003C7B88">
        <w:t>: (1)</w:t>
      </w:r>
      <w:r w:rsidRPr="003C7B88" w:rsidR="003C7B88">
        <w:t xml:space="preserve"> the Facility Commitment to Health Equity measure</w:t>
      </w:r>
      <w:r w:rsidR="003C7B88">
        <w:t>; (2)</w:t>
      </w:r>
      <w:r w:rsidRPr="003C7B88" w:rsidR="003C7B88">
        <w:t xml:space="preserve"> the COVID-19 Vaccination Coverage among HCP measure</w:t>
      </w:r>
      <w:r w:rsidR="003C7B88">
        <w:t>; (3)</w:t>
      </w:r>
      <w:r w:rsidRPr="003C7B88" w:rsidR="003C7B88">
        <w:t xml:space="preserve"> the Screening for Social Drivers of Health </w:t>
      </w:r>
      <w:r w:rsidR="003C7B88">
        <w:t xml:space="preserve">measure; </w:t>
      </w:r>
      <w:r w:rsidRPr="003C7B88" w:rsidR="003C7B88">
        <w:t xml:space="preserve">and </w:t>
      </w:r>
      <w:r w:rsidR="003C7B88">
        <w:t xml:space="preserve">(4) the </w:t>
      </w:r>
      <w:r w:rsidRPr="003C7B88" w:rsidR="003C7B88">
        <w:t>Screen Positive Rate for Social Drivers of Health measure</w:t>
      </w:r>
      <w:r w:rsidR="003C7B88">
        <w:t>.</w:t>
      </w:r>
    </w:p>
    <w:p w:rsidR="004F7F12" w:rsidP="004F7F12" w14:paraId="0FD03627" w14:textId="10DC4BAC">
      <w:pPr>
        <w:pStyle w:val="BodyText"/>
      </w:pPr>
      <w:r>
        <w:t>I</w:t>
      </w:r>
      <w:r w:rsidR="00987F1D">
        <w:t>n the FY 202</w:t>
      </w:r>
      <w:r w:rsidR="003C7B88">
        <w:t>6</w:t>
      </w:r>
      <w:r w:rsidR="00987F1D">
        <w:t xml:space="preserve"> IPF PPS </w:t>
      </w:r>
      <w:r w:rsidR="003C7B88">
        <w:t>proposed</w:t>
      </w:r>
      <w:r>
        <w:t xml:space="preserve"> rule we are also </w:t>
      </w:r>
      <w:r w:rsidR="003C7B88">
        <w:t xml:space="preserve">proposing to modify one </w:t>
      </w:r>
      <w:r w:rsidR="0002669A">
        <w:t xml:space="preserve">claims-based </w:t>
      </w:r>
      <w:r w:rsidR="003C7B88">
        <w:t>measure</w:t>
      </w:r>
      <w:r w:rsidR="00987F1D">
        <w:t xml:space="preserve"> which </w:t>
      </w:r>
      <w:r>
        <w:t xml:space="preserve">will </w:t>
      </w:r>
      <w:r w:rsidR="00987F1D">
        <w:t xml:space="preserve">not affect information collection burden under this OMB control number. We </w:t>
      </w:r>
      <w:r>
        <w:t xml:space="preserve">are </w:t>
      </w:r>
      <w:r w:rsidR="003C7B88">
        <w:t xml:space="preserve">proposing to </w:t>
      </w:r>
      <w:r w:rsidRPr="003C7B88" w:rsidR="003C7B88">
        <w:t>begin use of the 30-Day Risk-Standardized All-Cause Emergency Department (ED) Visit Following an IPF Discharge measure (IPF ED Visit measure) with the FY 2029 payment determination instead of the FY 2027 payment determination, and to modify the reporting period for the IPF ED Visit measure to a two-year reporting period that runs from July 1st four years prior to the applicable fiscal year payment determination to June 30th two years prior to the applicable fiscal year payment</w:t>
      </w:r>
      <w:r>
        <w:t>.</w:t>
      </w:r>
      <w:r w:rsidRPr="003C7B88" w:rsidR="003C7B88">
        <w:t xml:space="preserve"> determination</w:t>
      </w:r>
      <w:r w:rsidR="003C7B88">
        <w:t>.</w:t>
      </w:r>
      <w:r>
        <w:t xml:space="preserve"> Additionally, in the FY 2026 IPF PPS proposed rule, we are proposing to update the Extraordinary Circumstances Exception (ECE) policy and codify the process for requesting or granting an ECE.</w:t>
      </w:r>
      <w:r w:rsidR="00FC362F">
        <w:t xml:space="preserve"> This </w:t>
      </w:r>
      <w:r w:rsidR="00995385">
        <w:t xml:space="preserve">proposed </w:t>
      </w:r>
      <w:r w:rsidR="00FC362F">
        <w:t xml:space="preserve">update would explicitly include </w:t>
      </w:r>
      <w:r w:rsidRPr="00BC08F3" w:rsidR="00FC362F">
        <w:rPr>
          <w:i/>
          <w:iCs/>
        </w:rPr>
        <w:t>extensions</w:t>
      </w:r>
      <w:r w:rsidR="00FC362F">
        <w:t xml:space="preserve"> as a type of</w:t>
      </w:r>
      <w:r w:rsidR="003023A2">
        <w:t xml:space="preserve"> </w:t>
      </w:r>
      <w:r w:rsidR="00FC362F">
        <w:t>extraordinary circumstances relief option, in addition to exceptions.</w:t>
      </w:r>
      <w:r w:rsidR="00E51C11">
        <w:t xml:space="preserve"> </w:t>
      </w:r>
      <w:r w:rsidRPr="00E90F5B" w:rsidR="00E51C11">
        <w:t>Because the process for requesting or granting an ECE would remain the same as the current ECE process, these updates would not affect burden associated with the submission of the ECE form, which is accounted for under OMB control number 0938-1022 (expiration date April 30, 2027).</w:t>
      </w:r>
    </w:p>
    <w:p w:rsidR="000F7EA2" w:rsidRPr="000F7EA2" w:rsidP="00BE63B7" w14:paraId="47BD1467" w14:textId="25B7AADD">
      <w:pPr>
        <w:pStyle w:val="Heading3"/>
        <w:numPr>
          <w:ilvl w:val="0"/>
          <w:numId w:val="52"/>
        </w:numPr>
        <w:ind w:right="461"/>
      </w:pPr>
      <w:r w:rsidRPr="000F7EA2">
        <w:t>IPFQR Program Administrative Forms</w:t>
      </w:r>
    </w:p>
    <w:p w:rsidR="00F971B6" w:rsidP="00E9146E" w14:paraId="561802F9" w14:textId="4E8A3F96">
      <w:pPr>
        <w:pStyle w:val="BodyText"/>
      </w:pPr>
      <w:r>
        <w:t xml:space="preserve">CMS has implemented procedural requirements that align the current quality reporting programs, including the Hospital </w:t>
      </w:r>
      <w:r w:rsidRPr="002E3733" w:rsidR="00340474">
        <w:t>Inpatient Quality Reporting (</w:t>
      </w:r>
      <w:r>
        <w:t>IQR</w:t>
      </w:r>
      <w:r w:rsidR="00340474">
        <w:t>)</w:t>
      </w:r>
      <w:r>
        <w:t xml:space="preserve"> Program, the PPS-Exempt Cancer Hospital Quality Reporting (PCHQR) Program, the Hospital Outpatient Quality Reporting </w:t>
      </w:r>
      <w:r w:rsidR="006059E5">
        <w:t xml:space="preserve">(OQR) </w:t>
      </w:r>
      <w:r>
        <w:t>Program, and the IPFQR Program. These procedural requirements involve submission of forms to comply with the IPFQR Program requirements.</w:t>
      </w:r>
    </w:p>
    <w:p w:rsidR="00EB3C19" w:rsidRPr="00BC33E8" w:rsidP="00E9146E" w14:paraId="44B5CA8F" w14:textId="2B863702">
      <w:pPr>
        <w:pStyle w:val="BodyText"/>
      </w:pPr>
      <w:r>
        <w:t xml:space="preserve">The IPFQR Program uses </w:t>
      </w:r>
      <w:r w:rsidR="009A05E5">
        <w:t xml:space="preserve">six </w:t>
      </w:r>
      <w:r>
        <w:t>administrative forms: (1) Notice of Participation Form; (2) Data Accuracy and Completeness Acknowledgement (DACA) Form; (3) Extraordinary Circumstances Exception (ECE) Request</w:t>
      </w:r>
      <w:r w:rsidR="000F7FC7">
        <w:t xml:space="preserve"> Form</w:t>
      </w:r>
      <w:r>
        <w:t xml:space="preserve">; (4) </w:t>
      </w:r>
      <w:r w:rsidRPr="002E3733" w:rsidR="00C8074E">
        <w:t>Annual Payment Update (</w:t>
      </w:r>
      <w:r w:rsidR="00380812">
        <w:t>APU</w:t>
      </w:r>
      <w:r w:rsidR="00C8074E">
        <w:t>)</w:t>
      </w:r>
      <w:r w:rsidR="00380812">
        <w:t xml:space="preserve"> Reconsideration Request Form; (5) </w:t>
      </w:r>
      <w:r>
        <w:t>Vendor Authorization Form</w:t>
      </w:r>
      <w:r w:rsidR="009A05E5">
        <w:t>; and (6) Request Form for Withholding/Footnoting for Public Reporting</w:t>
      </w:r>
      <w:r>
        <w:t>.</w:t>
      </w:r>
      <w:r w:rsidR="002B7C7D">
        <w:t xml:space="preserve"> </w:t>
      </w:r>
      <w:r w:rsidRPr="003563D0" w:rsidR="002143E8">
        <w:t>None of these</w:t>
      </w:r>
      <w:r w:rsidR="002143E8">
        <w:t xml:space="preserve"> administrative</w:t>
      </w:r>
      <w:r w:rsidRPr="003563D0" w:rsidR="002143E8">
        <w:t xml:space="preserve"> forms are completed on an annual basis; all are on a need-to-use, exception basis and most </w:t>
      </w:r>
      <w:r w:rsidR="002143E8">
        <w:t>IPFs</w:t>
      </w:r>
      <w:r w:rsidRPr="003563D0" w:rsidR="002143E8">
        <w:t xml:space="preserve"> will not need to complete any of these forms in any given year</w:t>
      </w:r>
      <w:r w:rsidR="002143E8">
        <w:t xml:space="preserve">, </w:t>
      </w:r>
      <w:r w:rsidR="002143E8">
        <w:t>with the exception of</w:t>
      </w:r>
      <w:r w:rsidR="002143E8">
        <w:t xml:space="preserve"> the DACA Form, which is completed annually</w:t>
      </w:r>
      <w:r w:rsidRPr="003563D0" w:rsidR="002143E8">
        <w:t>.</w:t>
      </w:r>
      <w:r w:rsidR="002143E8">
        <w:t xml:space="preserve"> </w:t>
      </w:r>
      <w:r w:rsidR="002B7C7D">
        <w:t xml:space="preserve">The burden for </w:t>
      </w:r>
      <w:r w:rsidRPr="00BC33E8" w:rsidR="002B7C7D">
        <w:t>IPFs associated with forms is discussed in section B.12</w:t>
      </w:r>
      <w:r w:rsidRPr="00BC33E8" w:rsidR="00866EAF">
        <w:t>.</w:t>
      </w:r>
      <w:r w:rsidR="0029168B">
        <w:t>k</w:t>
      </w:r>
      <w:r w:rsidRPr="00BC33E8" w:rsidR="00866EAF">
        <w:t>.</w:t>
      </w:r>
    </w:p>
    <w:p w:rsidR="001D0AC4" w:rsidRPr="004D4D33" w:rsidP="00CF7A2A" w14:paraId="0552284D" w14:textId="09C03C69">
      <w:pPr>
        <w:pStyle w:val="Heading4"/>
      </w:pPr>
      <w:r w:rsidRPr="004D4D33">
        <w:t>Notice of Participation Form</w:t>
      </w:r>
    </w:p>
    <w:p w:rsidR="004D4D33" w:rsidRPr="004D4D33" w:rsidP="004D4D33" w14:paraId="059B4F86" w14:textId="77777777"/>
    <w:p w:rsidR="005E41F1" w:rsidRPr="002E3733" w:rsidP="00E9146E" w14:paraId="0638B672" w14:textId="4F166C19">
      <w:pPr>
        <w:pStyle w:val="BodyText"/>
      </w:pPr>
      <w:r>
        <w:t xml:space="preserve">To begin participation in the IPFQR Program, IPFs paid under the IPF PPS must complete an IPFQR Notice of Participation. The Notice of Participation explains the participation and reporting requirements for the program. The form explains that </w:t>
      </w:r>
      <w:r>
        <w:t>in order to</w:t>
      </w:r>
      <w:r>
        <w:t xml:space="preserve"> receive the full market basket update or APU, </w:t>
      </w:r>
      <w:r w:rsidR="003F110B">
        <w:t>I</w:t>
      </w:r>
      <w:r>
        <w:t xml:space="preserve">PFs are agreeing to submit data on selected measures and allow CMS to publish </w:t>
      </w:r>
      <w:r w:rsidR="00A44C0F">
        <w:t>their data for public viewing according to s</w:t>
      </w:r>
      <w:r w:rsidRPr="00BC33E8" w:rsidR="00384D83">
        <w:t xml:space="preserve">ection </w:t>
      </w:r>
      <w:r w:rsidRPr="00BC33E8" w:rsidR="00384D83">
        <w:t>1886(s)</w:t>
      </w:r>
      <w:r w:rsidRPr="00BC33E8" w:rsidR="00384D83">
        <w:t>(4)(E) of the Act</w:t>
      </w:r>
      <w:r w:rsidR="00A44C0F">
        <w:t xml:space="preserve">. We note that </w:t>
      </w:r>
      <w:r w:rsidR="008103F0">
        <w:t xml:space="preserve">the Notice of Participation has been previously approved under </w:t>
      </w:r>
      <w:r w:rsidR="00B16985">
        <w:t xml:space="preserve">this </w:t>
      </w:r>
      <w:r w:rsidR="00BF2D67">
        <w:t>OMB control number (that is</w:t>
      </w:r>
      <w:r w:rsidR="00161CBA">
        <w:t>,</w:t>
      </w:r>
      <w:r w:rsidR="00BF2D67">
        <w:t xml:space="preserve"> OMB control number 0938-1171).</w:t>
      </w:r>
      <w:r w:rsidRPr="00BC33E8" w:rsidR="00384D83">
        <w:t xml:space="preserve"> </w:t>
      </w:r>
      <w:r w:rsidR="00AB4F47">
        <w:t>We</w:t>
      </w:r>
      <w:r w:rsidRPr="002E3733" w:rsidR="00384D83">
        <w:t xml:space="preserve"> </w:t>
      </w:r>
      <w:r w:rsidR="0057212D">
        <w:t>recognize</w:t>
      </w:r>
      <w:r w:rsidRPr="002E3733" w:rsidR="00384D83">
        <w:t xml:space="preserve"> that IPFs may choose not to participate or may choose to withdraw from the IPFQR Program. To this end, our procedures include the necessary steps that IPFs must take to indicate their intent to participate or</w:t>
      </w:r>
      <w:r w:rsidRPr="002E3733" w:rsidR="00384D83">
        <w:rPr>
          <w:spacing w:val="-15"/>
        </w:rPr>
        <w:t xml:space="preserve"> </w:t>
      </w:r>
      <w:r w:rsidRPr="002E3733" w:rsidR="00384D83">
        <w:t>withdraw.</w:t>
      </w:r>
    </w:p>
    <w:p w:rsidR="00AB4F47" w:rsidP="00CF7A2A" w14:paraId="5BCA4D0E" w14:textId="2D746ECD">
      <w:pPr>
        <w:pStyle w:val="Heading4"/>
      </w:pPr>
      <w:r>
        <w:t>DACA Form</w:t>
      </w:r>
    </w:p>
    <w:p w:rsidR="00AB4F47" w:rsidRPr="00AB4F47" w:rsidP="00AB4F47" w14:paraId="296734AB" w14:textId="77777777"/>
    <w:p w:rsidR="00CF3DE1" w:rsidP="00E9146E" w14:paraId="589DA2D6" w14:textId="1FAF838C">
      <w:pPr>
        <w:pStyle w:val="BodyText"/>
      </w:pPr>
      <w:r w:rsidRPr="002E3733">
        <w:t>As part of our procedural requirements, we require that IPFs acknowledge the accuracy and completeness of submitted data</w:t>
      </w:r>
      <w:r>
        <w:t xml:space="preserve"> on an annual basis after the end of each reporting year</w:t>
      </w:r>
      <w:r w:rsidRPr="002E3733">
        <w:t xml:space="preserve">. </w:t>
      </w:r>
      <w:r>
        <w:t>Requiring submission of the DACA form supports us in our aim to collect and report i</w:t>
      </w:r>
      <w:r w:rsidRPr="002E3733">
        <w:t xml:space="preserve">nformation on </w:t>
      </w:r>
      <w:r w:rsidR="002F022B">
        <w:t>accurate</w:t>
      </w:r>
      <w:r w:rsidRPr="002E3733">
        <w:t>, reliable, and relevant measures of quality</w:t>
      </w:r>
      <w:r>
        <w:t>.</w:t>
      </w:r>
      <w:r w:rsidR="00800008">
        <w:t xml:space="preserve">  </w:t>
      </w:r>
      <w:r w:rsidRPr="002E3733" w:rsidR="00800008">
        <w:t>In our effort to foster alignment across quality reporting programs</w:t>
      </w:r>
      <w:r w:rsidR="006965B1">
        <w:t>,</w:t>
      </w:r>
      <w:r w:rsidRPr="002E3733" w:rsidR="00800008">
        <w:t xml:space="preserve"> the </w:t>
      </w:r>
      <w:r w:rsidR="00C81803">
        <w:t xml:space="preserve">same </w:t>
      </w:r>
      <w:r w:rsidR="00981565">
        <w:t>DACA</w:t>
      </w:r>
      <w:r w:rsidRPr="002E3733" w:rsidR="00800008">
        <w:t xml:space="preserve"> form</w:t>
      </w:r>
      <w:r w:rsidR="00C81803">
        <w:t xml:space="preserve"> can be used for multiple programs and</w:t>
      </w:r>
      <w:r w:rsidRPr="002E3733" w:rsidR="00800008">
        <w:t xml:space="preserve"> </w:t>
      </w:r>
      <w:r w:rsidR="00800008">
        <w:t>is</w:t>
      </w:r>
      <w:r w:rsidRPr="002E3733" w:rsidR="00800008">
        <w:t xml:space="preserve"> part of the Hospital IQR Program’s PRA package (OMB control number 0938-1022)</w:t>
      </w:r>
      <w:r w:rsidR="006965B1">
        <w:t xml:space="preserve"> to reduce administrative burden and the potential for errors when updates are necessary</w:t>
      </w:r>
      <w:r w:rsidR="00981565">
        <w:t>.</w:t>
      </w:r>
    </w:p>
    <w:p w:rsidR="00E96EEA" w:rsidP="00CF7A2A" w14:paraId="4994EE38" w14:textId="47ADE05D">
      <w:pPr>
        <w:pStyle w:val="Heading4"/>
      </w:pPr>
      <w:r>
        <w:t>ECE Request Form</w:t>
      </w:r>
      <w:r w:rsidRPr="002E3733" w:rsidR="0064291F">
        <w:t xml:space="preserve">  </w:t>
      </w:r>
    </w:p>
    <w:p w:rsidR="00CF3DE1" w:rsidRPr="00CF3DE1" w:rsidP="00CF3DE1" w14:paraId="3015DCBA" w14:textId="77777777"/>
    <w:p w:rsidR="00266F30" w:rsidP="00CF3DE1" w14:paraId="7B859DB8" w14:textId="73CF7BC0">
      <w:pPr>
        <w:pStyle w:val="BodyText"/>
      </w:pPr>
      <w:r>
        <w:t>We offer a process for IPFs to request exceptions to the reporting of required quality data when an IPF experiences an extraordinary circumstance beyond the IPF’s control. The CMS</w:t>
      </w:r>
      <w:r w:rsidR="00DD7460">
        <w:t xml:space="preserve"> Quality Program ECE Request Form indicates that the request must be submitted within 90 calendar days of an extraordinary circumstance event for all programs. </w:t>
      </w:r>
      <w:r w:rsidRPr="002E3733">
        <w:t>In our effort to foster alignment across quality reporting programs</w:t>
      </w:r>
      <w:r w:rsidR="00C81803">
        <w:t>,</w:t>
      </w:r>
      <w:r w:rsidRPr="002E3733">
        <w:t xml:space="preserve"> the Extraordinary Circumstances Exception </w:t>
      </w:r>
      <w:r w:rsidR="006965B1">
        <w:t>Request F</w:t>
      </w:r>
      <w:r w:rsidRPr="002E3733">
        <w:t xml:space="preserve">orm </w:t>
      </w:r>
      <w:r w:rsidR="005F75FB">
        <w:t>is</w:t>
      </w:r>
      <w:r w:rsidRPr="002E3733">
        <w:t xml:space="preserve"> part of the Hospital IQR Program’s PRA package (OMB control number 0938-1022)</w:t>
      </w:r>
      <w:r w:rsidR="006965B1">
        <w:t xml:space="preserve"> to reduce administrative burden and the potential for errors when updates are necessary</w:t>
      </w:r>
      <w:r w:rsidRPr="002E3733">
        <w:t>.</w:t>
      </w:r>
      <w:r>
        <w:t xml:space="preserve"> </w:t>
      </w:r>
      <w:r w:rsidRPr="002E3733">
        <w:t xml:space="preserve">While IPFs may also need to complete and submit </w:t>
      </w:r>
      <w:r w:rsidR="005F75FB">
        <w:t>this form</w:t>
      </w:r>
      <w:r w:rsidRPr="002E3733">
        <w:t>, the associated burden is addressed in the Hospital IQR Program PRA package.</w:t>
      </w:r>
    </w:p>
    <w:p w:rsidR="00CF3DE1" w:rsidRPr="006134BD" w:rsidP="00CF3DE1" w14:paraId="6978B8B0" w14:textId="0B2DEA63">
      <w:pPr>
        <w:pStyle w:val="BodyText"/>
      </w:pPr>
      <w:r>
        <w:t xml:space="preserve">As noted in section B.1.a, </w:t>
      </w:r>
      <w:r w:rsidR="00266F30">
        <w:t xml:space="preserve">in the FY 2026 IPF PPS proposed rule, we are proposing to update the Extraordinary Circumstances Exception (ECE) policy and codify the process for </w:t>
      </w:r>
      <w:r w:rsidR="00266F30">
        <w:t xml:space="preserve">requesting or granting an ECE. This proposed update would explicitly include </w:t>
      </w:r>
      <w:r w:rsidRPr="00BC08F3" w:rsidR="00266F30">
        <w:rPr>
          <w:i/>
          <w:iCs/>
        </w:rPr>
        <w:t>extensions</w:t>
      </w:r>
      <w:r w:rsidR="00266F30">
        <w:t xml:space="preserve"> as a type of extraordinary circumstances relief option, in addition to exceptions. </w:t>
      </w:r>
      <w:r w:rsidRPr="00E90F5B" w:rsidR="00266F30">
        <w:t>Because the process for requesting or granting an ECE would remain the same as the current ECE process, these updates would not affect burden associated with the submission of the ECE form, which is accounted for under OMB control number 0938-1022 (expiration date April 30, 2027).</w:t>
      </w:r>
    </w:p>
    <w:p w:rsidR="00CF3DE1" w:rsidP="00CF7A2A" w14:paraId="343ED4DC" w14:textId="074252E6">
      <w:pPr>
        <w:pStyle w:val="Heading4"/>
      </w:pPr>
      <w:r>
        <w:t>APU Reconsideration Request</w:t>
      </w:r>
      <w:r w:rsidR="005F75FB">
        <w:t xml:space="preserve"> Form</w:t>
      </w:r>
    </w:p>
    <w:p w:rsidR="005F75FB" w:rsidRPr="005F75FB" w:rsidP="005F75FB" w14:paraId="74ECE145" w14:textId="77777777"/>
    <w:p w:rsidR="005F75FB" w:rsidRPr="006134BD" w:rsidP="005F75FB" w14:paraId="66E36860" w14:textId="0DF09F5A">
      <w:pPr>
        <w:pStyle w:val="BodyText"/>
      </w:pPr>
      <w:r>
        <w:t xml:space="preserve">When CMS determines that an IPF did not meet one or more of the IPFQR Program requirements, the IPF may submit a request for reconsideration to CMS using the CMS Quality Reporting Program APU Reconsideration Request Form, by the deadline identified on the IPFQR Program APU Notification Letter it received. </w:t>
      </w:r>
      <w:r w:rsidRPr="002E3733">
        <w:t>In our effort to foster alignment across quality reporting programs</w:t>
      </w:r>
      <w:r w:rsidR="00116C0D">
        <w:t>,</w:t>
      </w:r>
      <w:r w:rsidRPr="002E3733">
        <w:t xml:space="preserve"> the </w:t>
      </w:r>
      <w:r>
        <w:t>APU Reconsideration Request</w:t>
      </w:r>
      <w:r w:rsidRPr="002E3733">
        <w:t xml:space="preserve"> form </w:t>
      </w:r>
      <w:r>
        <w:t>is</w:t>
      </w:r>
      <w:r w:rsidRPr="002E3733">
        <w:t xml:space="preserve"> part of the Hospital IQR Program’s PRA package (OMB control number 0938-1022)</w:t>
      </w:r>
      <w:r w:rsidR="00C81803">
        <w:t xml:space="preserve"> to reduce administrative burden and the potential for errors when updates are necessary</w:t>
      </w:r>
      <w:r w:rsidRPr="002E3733">
        <w:t>.</w:t>
      </w:r>
      <w:r>
        <w:t xml:space="preserve"> </w:t>
      </w:r>
      <w:r w:rsidRPr="002E3733">
        <w:t xml:space="preserve">While IPFs may also need to complete and submit </w:t>
      </w:r>
      <w:r>
        <w:t>this form</w:t>
      </w:r>
      <w:r w:rsidRPr="002E3733">
        <w:t>, the associated burden is addressed in the Hospital IQR Program PRA package.</w:t>
      </w:r>
    </w:p>
    <w:p w:rsidR="005F75FB" w:rsidP="00CF7A2A" w14:paraId="53AB0C81" w14:textId="540F90B0">
      <w:pPr>
        <w:pStyle w:val="Heading4"/>
      </w:pPr>
      <w:r>
        <w:t>Vendor Authorization Form</w:t>
      </w:r>
    </w:p>
    <w:p w:rsidR="005F75FB" w:rsidRPr="005F75FB" w:rsidP="005F75FB" w14:paraId="38AF20F8" w14:textId="77777777"/>
    <w:p w:rsidR="006C55AC" w:rsidP="00E9146E" w14:paraId="4B64AAB2" w14:textId="70287390">
      <w:pPr>
        <w:pStyle w:val="BodyText"/>
      </w:pPr>
      <w:r>
        <w:t xml:space="preserve">We recognize that some IPFs may choose to have a vendor transmit quality data on the IPF’s behalf. To ensure that the IPF has authorized the </w:t>
      </w:r>
      <w:r w:rsidR="00CA0440">
        <w:t>vendor,</w:t>
      </w:r>
      <w:r>
        <w:t xml:space="preserve"> and the vendor has agreed that it will collect and transmit data in accordance with </w:t>
      </w:r>
      <w:r w:rsidR="006A04A2">
        <w:t xml:space="preserve">the </w:t>
      </w:r>
      <w:r w:rsidRPr="000D08D3" w:rsidR="006A04A2">
        <w:t>Health Insurance Portability and Accountability Act (</w:t>
      </w:r>
      <w:r>
        <w:t>HIPAA</w:t>
      </w:r>
      <w:r w:rsidR="006A04A2">
        <w:t>)</w:t>
      </w:r>
      <w:r>
        <w:t xml:space="preserve"> regulatory requirements regarding security and privacy, we require IPFs to complete a vendor authorization form approving the vendor to transmit the facility’s quality of care data.</w:t>
      </w:r>
    </w:p>
    <w:p w:rsidR="009A05E5" w:rsidP="009A05E5" w14:paraId="4A8A6795" w14:textId="3A2BE018">
      <w:pPr>
        <w:pStyle w:val="Heading4"/>
      </w:pPr>
      <w:r w:rsidRPr="009A05E5">
        <w:t>Request Form for Withholding/Footnoting Data for Public Reporting</w:t>
      </w:r>
    </w:p>
    <w:p w:rsidR="009A05E5" w:rsidP="009A05E5" w14:paraId="6CDFB520" w14:textId="77777777"/>
    <w:p w:rsidR="009A05E5" w:rsidRPr="0001718E" w:rsidP="009A05E5" w14:paraId="1B8A2F05" w14:textId="18F8C9B1">
      <w:pPr>
        <w:pStyle w:val="BodyText"/>
      </w:pPr>
      <w:r>
        <w:t xml:space="preserve">We recognize that there are times when </w:t>
      </w:r>
      <w:r w:rsidR="0001718E">
        <w:t xml:space="preserve">a facility identifies an error in claims-based measure calculations during the review and correction period. In these instances, we have developed a process for facilities to request a footnote be added to their publicly reported data on the </w:t>
      </w:r>
      <w:r w:rsidRPr="00A83FDB" w:rsidR="00B50380">
        <w:rPr>
          <w:i/>
        </w:rPr>
        <w:t>Compare</w:t>
      </w:r>
      <w:r w:rsidR="00B50380">
        <w:t xml:space="preserve"> tool hosted by HHS, currently available at:  </w:t>
      </w:r>
      <w:hyperlink r:id="rId10" w:history="1">
        <w:r w:rsidRPr="00C5306A" w:rsidR="00B50380">
          <w:rPr>
            <w:rStyle w:val="Hyperlink"/>
          </w:rPr>
          <w:t>https://www.medicare.gov/care-compare</w:t>
        </w:r>
      </w:hyperlink>
      <w:r w:rsidRPr="00E819A7" w:rsidR="00B50380">
        <w:t>,</w:t>
      </w:r>
      <w:r w:rsidR="00B50380">
        <w:t xml:space="preserve"> or its successor website(s) </w:t>
      </w:r>
      <w:r w:rsidR="0001718E">
        <w:t>to indicate that the facility has identified errors. The Request Form for Withholding/Footnoting Data for Public Reporting is part of the Hospital IQR Program’s PRA package (OMB control number 0938-1022)</w:t>
      </w:r>
      <w:r w:rsidR="00386276">
        <w:t xml:space="preserve"> to reduce administrative burden and the potential for errors when updates are necessary</w:t>
      </w:r>
      <w:r w:rsidR="0001718E">
        <w:t>. While IPFs may also complete and submit this form, the associated burden is addressed in the Hospital IQR Program PRA Package.</w:t>
      </w:r>
    </w:p>
    <w:p w:rsidR="005E41F1" w:rsidP="00643724" w14:paraId="72632DFB" w14:textId="3F5F674E">
      <w:pPr>
        <w:pStyle w:val="Heading2"/>
      </w:pPr>
      <w:r w:rsidRPr="002E3733">
        <w:t>Information</w:t>
      </w:r>
      <w:r w:rsidRPr="002E3733">
        <w:rPr>
          <w:spacing w:val="-10"/>
        </w:rPr>
        <w:t xml:space="preserve"> </w:t>
      </w:r>
      <w:r w:rsidRPr="00643724">
        <w:t>Users</w:t>
      </w:r>
    </w:p>
    <w:p w:rsidR="00075F4B" w:rsidP="00075F4B" w14:paraId="49D9442E" w14:textId="1B5E59C1">
      <w:pPr>
        <w:pStyle w:val="BodyText"/>
      </w:pPr>
      <w:r>
        <w:t xml:space="preserve">The IPFQR Program, as a pay-for-reporting program, strives to have a streamlined measure set that provides meaningful measurement that also serves to differentiate IPFs by quality of care while minimizing burden to the extent possible. We provide </w:t>
      </w:r>
      <w:r w:rsidR="00D61E1C">
        <w:t xml:space="preserve">confidential feedback reports that IPFs may use to assess their performance and operationalize quality improvement activities. These reports include the data that we have collected from the IPF and the IPF’s </w:t>
      </w:r>
      <w:r w:rsidR="00D61E1C">
        <w:t xml:space="preserve">claims, and some also include information about how the IPF’s data </w:t>
      </w:r>
      <w:r w:rsidR="00D61E1C">
        <w:t>compare</w:t>
      </w:r>
      <w:r w:rsidR="00E226BB">
        <w:t>d</w:t>
      </w:r>
      <w:r w:rsidR="00D61E1C">
        <w:t xml:space="preserve"> to the performance of other IPFs. For </w:t>
      </w:r>
      <w:r w:rsidR="008D1F48">
        <w:t xml:space="preserve">example, the Facility, State and National (FSN) Report </w:t>
      </w:r>
      <w:r w:rsidR="00D14A73">
        <w:t>allows IPFs to compare their performance on a specific measure during a specific timeframe to the average performance of other IPFs at the state and national levels.</w:t>
      </w:r>
    </w:p>
    <w:p w:rsidR="00A878E8" w:rsidRPr="0014473B" w:rsidP="00A878E8" w14:paraId="39129079" w14:textId="51A05770">
      <w:pPr>
        <w:pStyle w:val="BodyText"/>
      </w:pPr>
      <w:r w:rsidRPr="0014473B">
        <w:t>The availability of peer performance enables state agencies and CMS to identify opportunities for improvement in the</w:t>
      </w:r>
      <w:r>
        <w:t xml:space="preserve"> IPF </w:t>
      </w:r>
      <w:r w:rsidRPr="0014473B">
        <w:t xml:space="preserve">and to evaluate more effectively the </w:t>
      </w:r>
      <w:r>
        <w:t>IPF</w:t>
      </w:r>
      <w:r w:rsidRPr="0014473B">
        <w:t>’s own quality assessment and performance improvement program.</w:t>
      </w:r>
      <w:r>
        <w:t xml:space="preserve"> </w:t>
      </w:r>
      <w:r w:rsidRPr="00A878E8">
        <w:t>Additionally, Quality Improvement Organizations (QIOs) use Hospital OQR Program data to improve quality of care through education, outreach, and sharing best practices.</w:t>
      </w:r>
    </w:p>
    <w:p w:rsidR="00BA287D" w:rsidRPr="0014473B" w:rsidP="00BA287D" w14:paraId="1E946ADC" w14:textId="33AAAAC2">
      <w:pPr>
        <w:pStyle w:val="BodyText"/>
      </w:pPr>
      <w:r w:rsidRPr="0014473B">
        <w:t>National accrediting organizations such as The Joint Commission or state accreditation agencies may wish to use the information to target potential or identified problems during the organization’s accreditation review of that facility.</w:t>
      </w:r>
    </w:p>
    <w:p w:rsidR="003A2D27" w:rsidP="00075F4B" w14:paraId="1D0C88BC" w14:textId="25EBD4EB">
      <w:pPr>
        <w:pStyle w:val="BodyText"/>
      </w:pPr>
      <w:r>
        <w:t xml:space="preserve">The information from the IPFQR Program is also available to Medicare beneficiaries, as well as the </w:t>
      </w:r>
      <w:r>
        <w:t>general public</w:t>
      </w:r>
      <w:r>
        <w:t xml:space="preserve">, on the </w:t>
      </w:r>
      <w:r w:rsidRPr="00A83FDB" w:rsidR="00B50380">
        <w:rPr>
          <w:i/>
        </w:rPr>
        <w:t>Compare</w:t>
      </w:r>
      <w:r w:rsidR="00B50380">
        <w:t xml:space="preserve"> tool </w:t>
      </w:r>
      <w:r>
        <w:t xml:space="preserve">and in the Provider Data Catalog to assist patients and their families in making decisions about their healthcare. </w:t>
      </w:r>
      <w:r w:rsidR="001E04FF">
        <w:t>We</w:t>
      </w:r>
      <w:r w:rsidRPr="00792D0B" w:rsidR="001E04FF">
        <w:t xml:space="preserve"> </w:t>
      </w:r>
      <w:r w:rsidR="001E04FF">
        <w:t xml:space="preserve">sometimes </w:t>
      </w:r>
      <w:r w:rsidRPr="00792D0B" w:rsidR="001E04FF">
        <w:t>conduct focus groups or market testing prior to public</w:t>
      </w:r>
      <w:r w:rsidR="001E04FF">
        <w:t>ly</w:t>
      </w:r>
      <w:r w:rsidRPr="00792D0B" w:rsidR="001E04FF">
        <w:t xml:space="preserve"> reporting quality data on the </w:t>
      </w:r>
      <w:r w:rsidRPr="00A75D64" w:rsidR="001E04FF">
        <w:t>Compare</w:t>
      </w:r>
      <w:r w:rsidRPr="00792D0B" w:rsidR="001E04FF">
        <w:t xml:space="preserve"> </w:t>
      </w:r>
      <w:r w:rsidR="001E04FF">
        <w:t>tool to get feedback on ways to make the website more user-friendly</w:t>
      </w:r>
      <w:r w:rsidRPr="00792D0B" w:rsidR="001E04FF">
        <w:t>.</w:t>
      </w:r>
      <w:r w:rsidR="001E04FF">
        <w:t xml:space="preserve"> Feedback from these focus groups has helped us understand how beneficiaries and consumers use </w:t>
      </w:r>
      <w:r w:rsidRPr="00A75D64" w:rsidR="001E04FF">
        <w:rPr>
          <w:iCs/>
        </w:rPr>
        <w:t>the Compare tool</w:t>
      </w:r>
      <w:r w:rsidR="001E04FF">
        <w:t>.</w:t>
      </w:r>
    </w:p>
    <w:p w:rsidR="00D14A73" w:rsidRPr="00500036" w:rsidP="00075F4B" w14:paraId="369FBDBC" w14:textId="6353FE94">
      <w:pPr>
        <w:pStyle w:val="BodyText"/>
      </w:pPr>
      <w:r w:rsidRPr="003A2D27">
        <w:t xml:space="preserve">Under section </w:t>
      </w:r>
      <w:r w:rsidRPr="00806747" w:rsidR="00806747">
        <w:t>1890A(a)(6)</w:t>
      </w:r>
      <w:r w:rsidRPr="003A2D27">
        <w:t xml:space="preserve"> of the </w:t>
      </w:r>
      <w:r w:rsidR="00806747">
        <w:t>Act</w:t>
      </w:r>
      <w:r w:rsidRPr="003A2D27">
        <w:t xml:space="preserve">, CMS is required to evaluate the impact and efficiency of CMS measures in quality reporting programs and to post the report every three years.  Following the compilation of data from the </w:t>
      </w:r>
      <w:r w:rsidR="00407A76">
        <w:t>IPFQR</w:t>
      </w:r>
      <w:r w:rsidRPr="003A2D27">
        <w:t xml:space="preserve"> Program and other CMS programs, CMS’ findings were formally written into the latest triennial National Impact Assessment Report, which was released in CY 2024.</w:t>
      </w:r>
      <w:r>
        <w:rPr>
          <w:vertAlign w:val="superscript"/>
        </w:rPr>
        <w:footnoteReference w:id="4"/>
      </w:r>
      <w:r w:rsidR="001E04FF">
        <w:t xml:space="preserve"> </w:t>
      </w:r>
    </w:p>
    <w:p w:rsidR="005E41F1" w:rsidRPr="002E3733" w:rsidP="00643724" w14:paraId="180FE05B" w14:textId="77777777">
      <w:pPr>
        <w:pStyle w:val="Heading2"/>
      </w:pPr>
      <w:r w:rsidRPr="002E3733">
        <w:t>Use of Information</w:t>
      </w:r>
      <w:r w:rsidRPr="002E3733">
        <w:rPr>
          <w:spacing w:val="-7"/>
        </w:rPr>
        <w:t xml:space="preserve"> </w:t>
      </w:r>
      <w:r w:rsidRPr="002E3733">
        <w:t>Technology</w:t>
      </w:r>
    </w:p>
    <w:p w:rsidR="005E41F1" w:rsidP="00E9146E" w14:paraId="1545D1DD" w14:textId="519E0E96">
      <w:pPr>
        <w:pStyle w:val="BodyText"/>
      </w:pPr>
      <w:r w:rsidRPr="00BC5A4F">
        <w:t xml:space="preserve">To assist </w:t>
      </w:r>
      <w:r>
        <w:t>IPFs</w:t>
      </w:r>
      <w:r w:rsidRPr="00BC5A4F">
        <w:t xml:space="preserve"> in participating in standardized data collection initiatives across the industry, </w:t>
      </w:r>
      <w:r w:rsidR="00130643">
        <w:t xml:space="preserve">we </w:t>
      </w:r>
      <w:r w:rsidRPr="00BC5A4F">
        <w:t xml:space="preserve">continue to improve data collection tools with the goal of making data submission easier (e.g., the free CMS Abstraction and Reporting Tool (CART) for use in collecting data from paper or electronic medical records for chart-abstracted measures or the collection of data from federal registries like the NHSN), and to increase the utility of the data provided by </w:t>
      </w:r>
      <w:r>
        <w:t>IPFs</w:t>
      </w:r>
      <w:r w:rsidRPr="00BC5A4F">
        <w:t xml:space="preserve">. </w:t>
      </w:r>
      <w:r w:rsidR="00130643">
        <w:t>We</w:t>
      </w:r>
      <w:r w:rsidRPr="00BC5A4F">
        <w:t xml:space="preserve"> also provide a secure data warehouse via the HQR system for storage and transmittal of data as well as data validation and aggregation services prior to the release of data to the CMS website. </w:t>
      </w:r>
      <w:r w:rsidR="00130643">
        <w:t>IPFs</w:t>
      </w:r>
      <w:r w:rsidRPr="00BC5A4F">
        <w:t xml:space="preserve"> have the option of using vendors to transmit </w:t>
      </w:r>
      <w:r w:rsidRPr="00BC5A4F">
        <w:t>the data</w:t>
      </w:r>
      <w:r w:rsidRPr="00BC5A4F">
        <w:t xml:space="preserve">. </w:t>
      </w:r>
      <w:r w:rsidR="00130643">
        <w:t>We</w:t>
      </w:r>
      <w:r w:rsidRPr="00BC5A4F">
        <w:t xml:space="preserve"> ha</w:t>
      </w:r>
      <w:r w:rsidR="00130643">
        <w:t>ve</w:t>
      </w:r>
      <w:r w:rsidRPr="00BC5A4F">
        <w:t xml:space="preserve"> engaged a national support contractor to provide technical assistance with the data collection tool</w:t>
      </w:r>
      <w:r w:rsidR="00DA0260">
        <w:t xml:space="preserve"> as well as</w:t>
      </w:r>
      <w:r w:rsidRPr="00BC5A4F" w:rsidR="00DA0260">
        <w:t xml:space="preserve"> </w:t>
      </w:r>
      <w:r w:rsidRPr="00BC5A4F">
        <w:t xml:space="preserve">other program requirements, and to provide education to support program participants. </w:t>
      </w:r>
    </w:p>
    <w:p w:rsidR="00B97F5B" w:rsidP="00B97F5B" w14:paraId="2A07D281" w14:textId="37A26623">
      <w:pPr>
        <w:pStyle w:val="BodyText"/>
      </w:pPr>
      <w:r>
        <w:t>As reflected by the collection and reporting of claims-based quality measures</w:t>
      </w:r>
      <w:r w:rsidR="007660E1">
        <w:t xml:space="preserve"> and </w:t>
      </w:r>
      <w:r>
        <w:t xml:space="preserve">quality </w:t>
      </w:r>
      <w:r>
        <w:t xml:space="preserve">measures submitted via the HQR system, efforts are made to reduce burden by limiting the adoption of measures requiring the submission of patient-level information that must be </w:t>
      </w:r>
      <w:r w:rsidRPr="00BC57C0">
        <w:t xml:space="preserve">acquired through chart-abstraction and to employ existing data and data collection systems. </w:t>
      </w:r>
    </w:p>
    <w:p w:rsidR="00130643" w:rsidRPr="002E3733" w:rsidP="00B97F5B" w14:paraId="10C98E04" w14:textId="21E72D3A">
      <w:pPr>
        <w:pStyle w:val="BodyText"/>
      </w:pPr>
      <w:r>
        <w:t>For the claims-based</w:t>
      </w:r>
      <w:r w:rsidR="001906A9">
        <w:t xml:space="preserve"> measures</w:t>
      </w:r>
      <w:r>
        <w:t xml:space="preserve">, this section is not applicable, because these measures can be calculated based on data that are already reported to the Medicare program for payment purposes. Therefore, no additional information technology will be required of </w:t>
      </w:r>
      <w:r w:rsidR="0034254F">
        <w:t xml:space="preserve">IPFs </w:t>
      </w:r>
      <w:r>
        <w:t>to collect these data for these measures.</w:t>
      </w:r>
    </w:p>
    <w:p w:rsidR="005E41F1" w:rsidRPr="002E3733" w:rsidP="00643724" w14:paraId="78B91091" w14:textId="77777777">
      <w:pPr>
        <w:pStyle w:val="Heading2"/>
      </w:pPr>
      <w:bookmarkStart w:id="8" w:name="7._Special_Circumstances"/>
      <w:bookmarkEnd w:id="8"/>
      <w:r w:rsidRPr="002E3733">
        <w:t>Duplication of</w:t>
      </w:r>
      <w:r w:rsidRPr="002E3733">
        <w:rPr>
          <w:spacing w:val="-8"/>
        </w:rPr>
        <w:t xml:space="preserve"> </w:t>
      </w:r>
      <w:r w:rsidRPr="00076170">
        <w:t>Efforts</w:t>
      </w:r>
    </w:p>
    <w:p w:rsidR="005E41F1" w:rsidRPr="00B2491B" w:rsidP="00E9146E" w14:paraId="0C504D1E" w14:textId="6E36CC62">
      <w:pPr>
        <w:pStyle w:val="BodyText"/>
      </w:pPr>
      <w:r w:rsidRPr="008B0AE4">
        <w:t xml:space="preserve">The information to be collected is not duplicative of similar information collected by CMS or other efforts to collect quality of care data for </w:t>
      </w:r>
      <w:r>
        <w:t>IPF</w:t>
      </w:r>
      <w:r w:rsidRPr="008B0AE4">
        <w:t xml:space="preserve"> care. </w:t>
      </w:r>
      <w:r>
        <w:t>We</w:t>
      </w:r>
      <w:r w:rsidRPr="008B0AE4">
        <w:t xml:space="preserve"> require </w:t>
      </w:r>
      <w:r>
        <w:t>IPFs</w:t>
      </w:r>
      <w:r w:rsidRPr="008B0AE4">
        <w:t xml:space="preserve"> to submit quality measure data for services provided. We prioritize efforts to reduce reporting burden for the collection of quality-of-care information by utilizing data that </w:t>
      </w:r>
      <w:r>
        <w:t>IPFs</w:t>
      </w:r>
      <w:r w:rsidRPr="008B0AE4">
        <w:t xml:space="preserve"> already report to The Joint Commission for accreditation</w:t>
      </w:r>
      <w:r>
        <w:t>, where possible.</w:t>
      </w:r>
    </w:p>
    <w:p w:rsidR="005E41F1" w:rsidRPr="002E3733" w:rsidP="00643724" w14:paraId="7FAB315D" w14:textId="77777777">
      <w:pPr>
        <w:pStyle w:val="Heading2"/>
      </w:pPr>
      <w:r w:rsidRPr="002E3733">
        <w:t>Small</w:t>
      </w:r>
      <w:r w:rsidRPr="002E3733">
        <w:rPr>
          <w:spacing w:val="-5"/>
        </w:rPr>
        <w:t xml:space="preserve"> </w:t>
      </w:r>
      <w:r w:rsidRPr="002E3733">
        <w:t>Business</w:t>
      </w:r>
    </w:p>
    <w:p w:rsidR="005E41F1" w:rsidRPr="002E3733" w:rsidP="00E9146E" w14:paraId="5666E470" w14:textId="0B6E8A2C">
      <w:pPr>
        <w:pStyle w:val="BodyText"/>
        <w:rPr>
          <w:sz w:val="23"/>
        </w:rPr>
      </w:pPr>
      <w:r w:rsidRPr="002E3733">
        <w:t>Information collection requirements are designed to allow maximum flexibility specifically to small IPF providers participating in the IPFQR Program.</w:t>
      </w:r>
      <w:r w:rsidRPr="002E3733" w:rsidR="005E3D02">
        <w:t xml:space="preserve"> </w:t>
      </w:r>
      <w:r w:rsidRPr="002E3733">
        <w:t>This effort assists small IPF</w:t>
      </w:r>
      <w:r w:rsidR="00552B77">
        <w:t>s</w:t>
      </w:r>
      <w:r w:rsidRPr="002E3733">
        <w:t xml:space="preserve"> in gathering information for their own quality improvement efforts. </w:t>
      </w:r>
      <w:r w:rsidR="00BB0FA5">
        <w:t>No</w:t>
      </w:r>
      <w:r w:rsidR="00BB0FA5">
        <w:rPr>
          <w:spacing w:val="-3"/>
        </w:rPr>
        <w:t xml:space="preserve"> </w:t>
      </w:r>
      <w:r w:rsidR="00BB0FA5">
        <w:t>special</w:t>
      </w:r>
      <w:r w:rsidR="00BB0FA5">
        <w:rPr>
          <w:spacing w:val="-3"/>
        </w:rPr>
        <w:t xml:space="preserve"> </w:t>
      </w:r>
      <w:r w:rsidR="00BB0FA5">
        <w:t>processes</w:t>
      </w:r>
      <w:r w:rsidR="00BB0FA5">
        <w:rPr>
          <w:spacing w:val="-3"/>
        </w:rPr>
        <w:t xml:space="preserve"> </w:t>
      </w:r>
      <w:r w:rsidR="00BB0FA5">
        <w:t>or</w:t>
      </w:r>
      <w:r w:rsidR="00BB0FA5">
        <w:rPr>
          <w:spacing w:val="-4"/>
        </w:rPr>
        <w:t xml:space="preserve"> </w:t>
      </w:r>
      <w:r w:rsidR="00BB0FA5">
        <w:t>procedures</w:t>
      </w:r>
      <w:r w:rsidR="00BB0FA5">
        <w:rPr>
          <w:spacing w:val="-3"/>
        </w:rPr>
        <w:t xml:space="preserve"> </w:t>
      </w:r>
      <w:r w:rsidR="00BB0FA5">
        <w:t>are</w:t>
      </w:r>
      <w:r w:rsidR="00BB0FA5">
        <w:rPr>
          <w:spacing w:val="-4"/>
        </w:rPr>
        <w:t xml:space="preserve"> </w:t>
      </w:r>
      <w:r w:rsidR="00BB0FA5">
        <w:t>available</w:t>
      </w:r>
      <w:r w:rsidR="00BB0FA5">
        <w:rPr>
          <w:spacing w:val="-4"/>
        </w:rPr>
        <w:t xml:space="preserve"> </w:t>
      </w:r>
      <w:r w:rsidR="00BB0FA5">
        <w:t>to</w:t>
      </w:r>
      <w:r w:rsidR="00BB0FA5">
        <w:rPr>
          <w:spacing w:val="-3"/>
        </w:rPr>
        <w:t xml:space="preserve"> </w:t>
      </w:r>
      <w:r w:rsidR="00BB0FA5">
        <w:t>small</w:t>
      </w:r>
      <w:r w:rsidR="00BB0FA5">
        <w:rPr>
          <w:spacing w:val="-3"/>
        </w:rPr>
        <w:t xml:space="preserve"> </w:t>
      </w:r>
      <w:r w:rsidR="00BB0FA5">
        <w:t>hospitals</w:t>
      </w:r>
      <w:r w:rsidR="00BB0FA5">
        <w:rPr>
          <w:spacing w:val="-3"/>
        </w:rPr>
        <w:t xml:space="preserve"> </w:t>
      </w:r>
      <w:r w:rsidR="00BB0FA5">
        <w:t>to</w:t>
      </w:r>
      <w:r w:rsidR="00BB0FA5">
        <w:rPr>
          <w:spacing w:val="-3"/>
        </w:rPr>
        <w:t xml:space="preserve"> </w:t>
      </w:r>
      <w:r w:rsidR="00BB0FA5">
        <w:t>make</w:t>
      </w:r>
      <w:r w:rsidR="00BB0FA5">
        <w:rPr>
          <w:spacing w:val="-4"/>
        </w:rPr>
        <w:t xml:space="preserve"> </w:t>
      </w:r>
      <w:r w:rsidR="00BB0FA5">
        <w:t>the</w:t>
      </w:r>
      <w:r w:rsidR="00BB0FA5">
        <w:rPr>
          <w:spacing w:val="-4"/>
        </w:rPr>
        <w:t xml:space="preserve"> </w:t>
      </w:r>
      <w:r w:rsidR="00BB0FA5">
        <w:t>information collection</w:t>
      </w:r>
      <w:r w:rsidR="00BB0FA5">
        <w:rPr>
          <w:spacing w:val="-1"/>
        </w:rPr>
        <w:t xml:space="preserve"> </w:t>
      </w:r>
      <w:r w:rsidR="00BB0FA5">
        <w:t>less</w:t>
      </w:r>
      <w:r w:rsidR="00BB0FA5">
        <w:rPr>
          <w:spacing w:val="-1"/>
        </w:rPr>
        <w:t xml:space="preserve"> </w:t>
      </w:r>
      <w:r w:rsidR="00BB0FA5">
        <w:t>burdensome.</w:t>
      </w:r>
      <w:r w:rsidR="00BB0FA5">
        <w:rPr>
          <w:spacing w:val="40"/>
        </w:rPr>
        <w:t xml:space="preserve"> </w:t>
      </w:r>
      <w:r w:rsidR="00BB0FA5">
        <w:t>However</w:t>
      </w:r>
      <w:r w:rsidRPr="002E3733">
        <w:t xml:space="preserve">, we provide a help-desk hotline for troubleshooting purposes and 24/7 free information available </w:t>
      </w:r>
      <w:r w:rsidR="007F1857">
        <w:t xml:space="preserve">on the </w:t>
      </w:r>
      <w:r w:rsidR="007F1857">
        <w:t>QualityNet</w:t>
      </w:r>
      <w:r w:rsidR="007F1857">
        <w:t xml:space="preserve"> website and</w:t>
      </w:r>
      <w:r w:rsidRPr="002E3733">
        <w:t xml:space="preserve"> through </w:t>
      </w:r>
      <w:r w:rsidRPr="002E3733">
        <w:t>a</w:t>
      </w:r>
      <w:r w:rsidR="00921190">
        <w:t>n online</w:t>
      </w:r>
      <w:r w:rsidRPr="002E3733">
        <w:t xml:space="preserve"> Questions and Answers (Q&amp;A) functionality.</w:t>
      </w:r>
      <w:r w:rsidRPr="002E3733" w:rsidR="00ED18F3">
        <w:t xml:space="preserve"> Further</w:t>
      </w:r>
      <w:r w:rsidR="007F1857">
        <w:t>,</w:t>
      </w:r>
      <w:r w:rsidRPr="002E3733" w:rsidR="00ED18F3">
        <w:t xml:space="preserve"> we will support </w:t>
      </w:r>
      <w:r w:rsidRPr="002E3733" w:rsidR="00ED18F3">
        <w:t>submission</w:t>
      </w:r>
      <w:r w:rsidRPr="002E3733" w:rsidR="00ED18F3">
        <w:t xml:space="preserve"> of patient-level data through the </w:t>
      </w:r>
      <w:r w:rsidR="007F1857">
        <w:t xml:space="preserve">publicly available </w:t>
      </w:r>
      <w:r w:rsidRPr="002E3733" w:rsidR="00ED18F3">
        <w:t>CART.</w:t>
      </w:r>
    </w:p>
    <w:p w:rsidR="005E41F1" w:rsidRPr="002E3733" w:rsidP="00643724" w14:paraId="44567960" w14:textId="77777777">
      <w:pPr>
        <w:pStyle w:val="Heading2"/>
      </w:pPr>
      <w:r w:rsidRPr="002E3733">
        <w:t>Less Frequent</w:t>
      </w:r>
      <w:r w:rsidRPr="002E3733">
        <w:rPr>
          <w:spacing w:val="-9"/>
        </w:rPr>
        <w:t xml:space="preserve"> </w:t>
      </w:r>
      <w:r w:rsidRPr="002E3733">
        <w:t>Collection</w:t>
      </w:r>
    </w:p>
    <w:p w:rsidR="005E41F1" w:rsidRPr="002E3733" w:rsidP="00E9146E" w14:paraId="3B0FEBF1" w14:textId="28F5BDB7">
      <w:pPr>
        <w:pStyle w:val="BodyText"/>
        <w:rPr>
          <w:sz w:val="23"/>
        </w:rPr>
      </w:pPr>
      <w:r w:rsidRPr="002E3733">
        <w:t xml:space="preserve">We have designed the collection of </w:t>
      </w:r>
      <w:r w:rsidRPr="002E3733" w:rsidR="00522D68">
        <w:t>quality-of-care</w:t>
      </w:r>
      <w:r w:rsidRPr="002E3733">
        <w:t xml:space="preserve"> data to be the minimum necessary for </w:t>
      </w:r>
      <w:r w:rsidRPr="002E3733">
        <w:t>reporting of</w:t>
      </w:r>
      <w:r w:rsidRPr="002E3733">
        <w:t xml:space="preserve"> data on measures considered to be meaningful indicators of psychiatric patient care. </w:t>
      </w:r>
      <w:r w:rsidR="00446357">
        <w:t>W</w:t>
      </w:r>
      <w:r w:rsidR="00BC5C06">
        <w:t>e require annual reporting</w:t>
      </w:r>
      <w:r w:rsidR="00446357">
        <w:t xml:space="preserve"> of data for </w:t>
      </w:r>
      <w:r w:rsidR="00446357">
        <w:t>medical-record</w:t>
      </w:r>
      <w:r w:rsidR="00446357">
        <w:t xml:space="preserve"> abstracted measures and attestation measures. </w:t>
      </w:r>
      <w:r w:rsidR="002512AF">
        <w:t>Claims-based measures are calculated from Medicare FFS claims data; IPFs submit claims for reimbursement or payment per separately defined claims processing timelines</w:t>
      </w:r>
      <w:r w:rsidR="0001225A">
        <w:t xml:space="preserve">s requirements. </w:t>
      </w:r>
    </w:p>
    <w:p w:rsidR="005E41F1" w:rsidRPr="005C6ACB" w:rsidP="00643724" w14:paraId="6CDB5BEF" w14:textId="3FA9F964">
      <w:pPr>
        <w:pStyle w:val="Heading2"/>
      </w:pPr>
      <w:r w:rsidRPr="005C6ACB">
        <w:t>Special</w:t>
      </w:r>
      <w:r w:rsidRPr="005C6ACB">
        <w:rPr>
          <w:spacing w:val="-11"/>
        </w:rPr>
        <w:t xml:space="preserve"> </w:t>
      </w:r>
      <w:r w:rsidRPr="005C6ACB">
        <w:t>Circumstances</w:t>
      </w:r>
    </w:p>
    <w:p w:rsidR="001B636D" w:rsidRPr="002E3733" w:rsidP="005C6ACB" w14:paraId="05C9D14D" w14:textId="033159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rPr>
          <w:sz w:val="24"/>
          <w:szCs w:val="24"/>
        </w:rPr>
      </w:pPr>
      <w:r w:rsidRPr="002E3733">
        <w:rPr>
          <w:sz w:val="24"/>
          <w:szCs w:val="24"/>
        </w:rPr>
        <w:t>With respect to the information collection covered in this package, there are no special circumstances that would require an information collection to be conducted in a manner that requires respondents to:</w:t>
      </w:r>
    </w:p>
    <w:p w:rsidR="001B636D" w:rsidRPr="002E3733"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Report information to the agency more often than </w:t>
      </w:r>
      <w:r w:rsidRPr="002E3733">
        <w:rPr>
          <w:sz w:val="24"/>
          <w:szCs w:val="24"/>
        </w:rPr>
        <w:t>quarterly;</w:t>
      </w:r>
    </w:p>
    <w:p w:rsidR="001B636D" w:rsidRPr="002E3733"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Prepare a written response to a collection of information in fewer than 30 days after receipt of </w:t>
      </w:r>
      <w:r w:rsidRPr="002E3733">
        <w:rPr>
          <w:sz w:val="24"/>
          <w:szCs w:val="24"/>
        </w:rPr>
        <w:t>it;</w:t>
      </w:r>
      <w:r w:rsidRPr="002E3733">
        <w:rPr>
          <w:sz w:val="24"/>
          <w:szCs w:val="24"/>
        </w:rPr>
        <w:t xml:space="preserve"> </w:t>
      </w:r>
    </w:p>
    <w:p w:rsidR="001B636D" w:rsidRPr="002E3733"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Submit more than an original and two copies of any </w:t>
      </w:r>
      <w:r w:rsidRPr="002E3733">
        <w:rPr>
          <w:sz w:val="24"/>
          <w:szCs w:val="24"/>
        </w:rPr>
        <w:t>document;</w:t>
      </w:r>
    </w:p>
    <w:p w:rsidR="001B636D" w:rsidRPr="002E3733"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Retain records, other than health, medical, government contract, grant-in-aid, or tax records for </w:t>
      </w:r>
      <w:r w:rsidRPr="002E3733">
        <w:rPr>
          <w:sz w:val="24"/>
          <w:szCs w:val="24"/>
        </w:rPr>
        <w:t xml:space="preserve">more than three </w:t>
      </w:r>
      <w:r w:rsidRPr="002E3733">
        <w:rPr>
          <w:sz w:val="24"/>
          <w:szCs w:val="24"/>
        </w:rPr>
        <w:t>years;</w:t>
      </w:r>
    </w:p>
    <w:p w:rsidR="001B636D" w:rsidRPr="002E3733" w14:paraId="247EE65B" w14:textId="476CD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Collect data in connection with a statistical survey that is not designed to produce valid and reliable results that can be generalized to the universe of </w:t>
      </w:r>
      <w:r w:rsidRPr="002E3733">
        <w:rPr>
          <w:sz w:val="24"/>
          <w:szCs w:val="24"/>
        </w:rPr>
        <w:t>study</w:t>
      </w:r>
      <w:r w:rsidR="001F16C7">
        <w:rPr>
          <w:sz w:val="24"/>
          <w:szCs w:val="24"/>
        </w:rPr>
        <w:t>;</w:t>
      </w:r>
    </w:p>
    <w:p w:rsidR="001B636D" w:rsidRPr="002E3733"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Use a statistical data classification that has not been reviewed and approved by </w:t>
      </w:r>
      <w:r w:rsidRPr="002E3733">
        <w:rPr>
          <w:sz w:val="24"/>
          <w:szCs w:val="24"/>
        </w:rPr>
        <w:t>OMB;</w:t>
      </w:r>
    </w:p>
    <w:p w:rsidR="001B636D" w:rsidRPr="002E3733"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F3F11" w:rsidRPr="002E3733" w:rsidP="00146881"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2E3733">
        <w:rPr>
          <w:sz w:val="24"/>
          <w:szCs w:val="24"/>
        </w:rPr>
        <w:t>•</w:t>
      </w:r>
      <w:r w:rsidRPr="002E3733">
        <w:rPr>
          <w:sz w:val="24"/>
          <w:szCs w:val="24"/>
        </w:rPr>
        <w:tab/>
        <w:t>S</w:t>
      </w:r>
      <w:r w:rsidRPr="002E3733" w:rsidR="001B636D">
        <w:rPr>
          <w:sz w:val="24"/>
          <w:szCs w:val="24"/>
        </w:rPr>
        <w:t xml:space="preserve">ubmit proprietary trade </w:t>
      </w:r>
      <w:r w:rsidRPr="002E3733" w:rsidR="001B636D">
        <w:rPr>
          <w:sz w:val="24"/>
          <w:szCs w:val="24"/>
        </w:rPr>
        <w:t>secret</w:t>
      </w:r>
      <w:r w:rsidRPr="002E3733" w:rsidR="001B636D">
        <w:rPr>
          <w:sz w:val="24"/>
          <w:szCs w:val="24"/>
        </w:rPr>
        <w:t>, or other confidential information unless the agency can demonstrate that it has instituted procedures to protect the information's confidentiality to the extent permitted by law.</w:t>
      </w:r>
    </w:p>
    <w:p w:rsidR="000E586B" w:rsidRPr="002E3733" w:rsidP="00E9146E" w14:paraId="4964110B" w14:textId="77777777">
      <w:pPr>
        <w:pStyle w:val="BodyText"/>
      </w:pPr>
    </w:p>
    <w:p w:rsidR="005E41F1" w:rsidRPr="00CC7B3E" w:rsidP="00643724" w14:paraId="1EEE9D54" w14:textId="77777777">
      <w:pPr>
        <w:pStyle w:val="Heading2"/>
      </w:pPr>
      <w:bookmarkStart w:id="9" w:name="8._Federal_Register_Notice/Outside_Consu"/>
      <w:bookmarkStart w:id="10" w:name="9._Payment/Gift_to_Respondent"/>
      <w:bookmarkStart w:id="11" w:name="10._Confidentiality"/>
      <w:bookmarkEnd w:id="9"/>
      <w:bookmarkEnd w:id="10"/>
      <w:bookmarkEnd w:id="11"/>
      <w:r w:rsidRPr="00CC7B3E">
        <w:t>Federal Register Notice/Outside</w:t>
      </w:r>
      <w:r w:rsidRPr="00CC7B3E">
        <w:rPr>
          <w:spacing w:val="-13"/>
        </w:rPr>
        <w:t xml:space="preserve"> </w:t>
      </w:r>
      <w:r w:rsidRPr="00CC7B3E">
        <w:t>Consultation</w:t>
      </w:r>
    </w:p>
    <w:p w:rsidR="00A91BE1" w:rsidRPr="00CC7B3E" w:rsidP="001E427F" w14:paraId="2837F379" w14:textId="0EBD04CE">
      <w:pPr>
        <w:pStyle w:val="Heading3"/>
        <w:numPr>
          <w:ilvl w:val="0"/>
          <w:numId w:val="36"/>
        </w:numPr>
      </w:pPr>
      <w:bookmarkStart w:id="12" w:name="11._Sensitive_Questions"/>
      <w:bookmarkStart w:id="13" w:name="12._Burden_Estimate_(Total_Hours_and_Wag"/>
      <w:bookmarkEnd w:id="12"/>
      <w:bookmarkEnd w:id="13"/>
      <w:r w:rsidRPr="00CC7B3E">
        <w:t>Federal Register Notice</w:t>
      </w:r>
    </w:p>
    <w:p w:rsidR="00ED26AE" w:rsidRPr="00CC7B3E" w:rsidP="000F7D92" w14:paraId="760FB057" w14:textId="597C9923">
      <w:pPr>
        <w:pStyle w:val="BodyText"/>
      </w:pPr>
      <w:r>
        <w:t xml:space="preserve">The </w:t>
      </w:r>
      <w:r w:rsidRPr="00CC7B3E" w:rsidR="00384D83">
        <w:t xml:space="preserve">60-day </w:t>
      </w:r>
      <w:r>
        <w:t>Federal Register notice for this data collection</w:t>
      </w:r>
      <w:r w:rsidR="00411068">
        <w:t xml:space="preserve"> published as part of the notice of proposed rulemaking (CMS-18</w:t>
      </w:r>
      <w:r w:rsidR="001E1B89">
        <w:t>31</w:t>
      </w:r>
      <w:r w:rsidR="00411068">
        <w:t>-P; RIN 0938-AV3</w:t>
      </w:r>
      <w:r w:rsidR="001E1B89">
        <w:t>46</w:t>
      </w:r>
      <w:r w:rsidR="00411068">
        <w:t>)</w:t>
      </w:r>
      <w:r w:rsidR="00446357">
        <w:t xml:space="preserve"> on</w:t>
      </w:r>
      <w:r>
        <w:t xml:space="preserve"> </w:t>
      </w:r>
      <w:r w:rsidR="001E1B89">
        <w:t>March 30</w:t>
      </w:r>
      <w:r>
        <w:t>,</w:t>
      </w:r>
      <w:r w:rsidRPr="00CC7B3E" w:rsidR="00E66325">
        <w:t xml:space="preserve"> 202</w:t>
      </w:r>
      <w:r w:rsidR="00F0344F">
        <w:t>5</w:t>
      </w:r>
      <w:r w:rsidRPr="00CC7B3E" w:rsidR="00E66325">
        <w:t xml:space="preserve"> (</w:t>
      </w:r>
      <w:r w:rsidRPr="001E1B89" w:rsidR="001E1B89">
        <w:t>90 FR 18494</w:t>
      </w:r>
      <w:r w:rsidR="001E1B89">
        <w:t>)</w:t>
      </w:r>
    </w:p>
    <w:p w:rsidR="00A91BE1" w:rsidRPr="00CC7B3E" w:rsidP="001E427F" w14:paraId="0D0050B6" w14:textId="07EAFE06">
      <w:pPr>
        <w:pStyle w:val="Heading3"/>
      </w:pPr>
      <w:r w:rsidRPr="00CC7B3E">
        <w:t>Outside</w:t>
      </w:r>
      <w:r w:rsidRPr="00CC7B3E">
        <w:rPr>
          <w:spacing w:val="-13"/>
        </w:rPr>
        <w:t xml:space="preserve"> </w:t>
      </w:r>
      <w:r w:rsidRPr="00CC7B3E">
        <w:t>Consultation</w:t>
      </w:r>
    </w:p>
    <w:p w:rsidR="00F65E60" w:rsidP="00F65E60" w14:paraId="32B91997" w14:textId="29BAD0EF">
      <w:pPr>
        <w:pStyle w:val="BodyText"/>
      </w:pPr>
      <w:bookmarkStart w:id="14" w:name="a._Previously_Approved_Burden"/>
      <w:bookmarkEnd w:id="14"/>
      <w:r>
        <w:t xml:space="preserve">Measures adopted for the </w:t>
      </w:r>
      <w:r w:rsidR="008D0074">
        <w:t>IPFQR</w:t>
      </w:r>
      <w:r>
        <w:t xml:space="preserve"> Program are required by statute to undergo a recognized consensus process. Section 1890</w:t>
      </w:r>
      <w:r w:rsidR="007E2F80">
        <w:t>A</w:t>
      </w:r>
      <w:r>
        <w:t xml:space="preserve"> of the Act require</w:t>
      </w:r>
      <w:r w:rsidR="007E2F80">
        <w:t>s</w:t>
      </w:r>
      <w:r>
        <w:t xml:space="preserve"> CMS to </w:t>
      </w:r>
      <w:r w:rsidR="007E2F80">
        <w:t>consider quality and efficiency measures from a multi-stakeholder group convened by the</w:t>
      </w:r>
      <w:r>
        <w:t xml:space="preserve"> “consensus-based entity.” To fulfill this requirement, the </w:t>
      </w:r>
      <w:r w:rsidR="007E2F80">
        <w:t xml:space="preserve">Partnership for Quality Measurement provides input on the Measures under </w:t>
      </w:r>
      <w:r w:rsidR="007E2F80">
        <w:t>Consideration</w:t>
      </w:r>
      <w:r w:rsidR="007E2F80">
        <w:t xml:space="preserve"> list as part of</w:t>
      </w:r>
      <w:r>
        <w:t xml:space="preserve"> the </w:t>
      </w:r>
      <w:r w:rsidR="00F23FB8">
        <w:t xml:space="preserve">Pre-Rulemaking </w:t>
      </w:r>
      <w:r w:rsidR="007E2F80">
        <w:t xml:space="preserve">Measure </w:t>
      </w:r>
      <w:r w:rsidR="00F23FB8">
        <w:t>Review (PRMR)</w:t>
      </w:r>
      <w:r>
        <w:t xml:space="preserve"> </w:t>
      </w:r>
      <w:r w:rsidR="007E2F80">
        <w:t>process</w:t>
      </w:r>
      <w:r>
        <w:t xml:space="preserve">. We refer readers to </w:t>
      </w:r>
      <w:r w:rsidRPr="00AE2644" w:rsidR="00AE2644">
        <w:t xml:space="preserve">https://p4qm.org/PRMR/About </w:t>
      </w:r>
      <w:r>
        <w:t xml:space="preserve"> for</w:t>
      </w:r>
      <w:r>
        <w:t xml:space="preserve"> more information on the PRMR process.  </w:t>
      </w:r>
    </w:p>
    <w:p w:rsidR="00DF711A" w:rsidP="00F65E60" w14:paraId="0CEF148D" w14:textId="6C70D6F2">
      <w:pPr>
        <w:pStyle w:val="BodyText"/>
      </w:pPr>
      <w:r>
        <w:t>CMS is additionally supported in this program’s efforts by The Joint Commission, CDC, Health Resources and Services Administration</w:t>
      </w:r>
      <w:r w:rsidR="008C03C1">
        <w:t xml:space="preserve"> (HRSA)</w:t>
      </w:r>
      <w:r>
        <w:t>, and the Agency for Healthcare Research and Quality</w:t>
      </w:r>
      <w:r w:rsidR="008C03C1">
        <w:t xml:space="preserve"> (AHRQ)</w:t>
      </w:r>
      <w:r>
        <w:t>.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(e.g. solicitation of comments).</w:t>
      </w:r>
    </w:p>
    <w:p w:rsidR="005E41F1" w:rsidRPr="002E3733" w:rsidP="00DF711A" w14:paraId="3701220A" w14:textId="056EF664">
      <w:pPr>
        <w:pStyle w:val="Heading2"/>
      </w:pPr>
      <w:r w:rsidRPr="002E3733">
        <w:t>Payment/Gift to</w:t>
      </w:r>
      <w:r w:rsidRPr="002E3733">
        <w:rPr>
          <w:spacing w:val="-9"/>
        </w:rPr>
        <w:t xml:space="preserve"> </w:t>
      </w:r>
      <w:r w:rsidRPr="002E3733">
        <w:t>Respondent</w:t>
      </w:r>
    </w:p>
    <w:p w:rsidR="00D800B1" w:rsidRPr="002E3733" w:rsidP="00E9146E" w14:paraId="734FA8B9" w14:textId="2E1D17B5">
      <w:pPr>
        <w:pStyle w:val="BodyText"/>
      </w:pPr>
      <w:r w:rsidRPr="002E3733">
        <w:t xml:space="preserve">IPFs must submit their data to receive the full market basket update for a given FY. If data are not submitted to CMS, </w:t>
      </w:r>
      <w:r w:rsidRPr="002E3733">
        <w:t>the IPF</w:t>
      </w:r>
      <w:r w:rsidRPr="002E3733">
        <w:t xml:space="preserve"> receives a reduction of 2 percentage points from its APU unless CMS grants an exception.</w:t>
      </w:r>
    </w:p>
    <w:p w:rsidR="005E41F1" w:rsidRPr="002E3733" w:rsidP="00E9146E" w14:paraId="1DC97B39" w14:textId="6A4FC052">
      <w:pPr>
        <w:pStyle w:val="BodyText"/>
        <w:rPr>
          <w:sz w:val="23"/>
        </w:rPr>
      </w:pPr>
      <w:r>
        <w:t xml:space="preserve">As noted in the FY 2024 IPF PPS final rule (88 FR 51143), we reimburse </w:t>
      </w:r>
      <w:r w:rsidR="00FA35B5">
        <w:t>IPF</w:t>
      </w:r>
      <w:r>
        <w:t>s directly for expenses associated with submission of charts for measure data validation – we reimburse hospitals at a rate of $3.00 per record submitted.</w:t>
      </w:r>
    </w:p>
    <w:p w:rsidR="005E41F1" w:rsidRPr="002E3733" w:rsidP="00643724" w14:paraId="55890E3A" w14:textId="77777777">
      <w:pPr>
        <w:pStyle w:val="Heading2"/>
      </w:pPr>
      <w:r w:rsidRPr="002E3733">
        <w:t>Confidentiality</w:t>
      </w:r>
    </w:p>
    <w:p w:rsidR="000D08D3" w:rsidP="000D08D3" w14:paraId="4B43ED18" w14:textId="6BDB002E">
      <w:pPr>
        <w:pStyle w:val="BodyText"/>
      </w:pPr>
      <w:r w:rsidRPr="000D08D3">
        <w:t xml:space="preserve">We pledge privacy to the extent provided by law. As a matter of policy, CMS will prevent the disclosure of personally identifiable information contained in the data submitted. All information collected under the </w:t>
      </w:r>
      <w:r w:rsidR="00A76BBF">
        <w:t>IPFQR</w:t>
      </w:r>
      <w:r w:rsidRPr="000D08D3">
        <w:t xml:space="preserve"> Program will be maintained in strict accordance with statutes and regulations governing confidentiality requirements for CMS data, including the Privacy Act of 1974 (5 U.S.C. 552a), HIPAA, and the Quality Improvement Organizations confidentiality requirements at 42 C.F.R. Part 480. 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Only </w:t>
      </w:r>
      <w:r w:rsidR="00D268D7">
        <w:t>IPF</w:t>
      </w:r>
      <w:r w:rsidRPr="000D08D3">
        <w:t>-specific data will be made publicly available as mandated by statute.</w:t>
      </w:r>
    </w:p>
    <w:p w:rsidR="00C111F8" w:rsidRPr="000D08D3" w:rsidP="000D08D3" w14:paraId="745CF293" w14:textId="68F13012">
      <w:pPr>
        <w:pStyle w:val="BodyText"/>
      </w:pPr>
      <w:r w:rsidRPr="00C111F8">
        <w:t xml:space="preserve">Data related to the </w:t>
      </w:r>
      <w:r w:rsidR="00DC7F2A">
        <w:t>IPFQR</w:t>
      </w:r>
      <w:r w:rsidRPr="00C111F8">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sidR="00A90A4F">
        <w:t>IPFQ</w:t>
      </w:r>
      <w:r w:rsidRPr="00C111F8">
        <w:t>R Program is MBD 09-70-0536.</w:t>
      </w:r>
    </w:p>
    <w:p w:rsidR="005E41F1" w:rsidRPr="002E3733" w:rsidP="00C111F8" w14:paraId="1CFEDCE0" w14:textId="56C7D504">
      <w:pPr>
        <w:pStyle w:val="Heading2"/>
      </w:pPr>
      <w:r w:rsidRPr="00C111F8">
        <w:t>Sensitive</w:t>
      </w:r>
      <w:r w:rsidRPr="002E3733">
        <w:rPr>
          <w:spacing w:val="-5"/>
        </w:rPr>
        <w:t xml:space="preserve"> </w:t>
      </w:r>
      <w:r w:rsidRPr="002E3733">
        <w:t>Questions</w:t>
      </w:r>
    </w:p>
    <w:p w:rsidR="00F87E3D" w:rsidP="00A70246" w14:paraId="3D89207F" w14:textId="0F6AEA76">
      <w:pPr>
        <w:pStyle w:val="BodyText"/>
      </w:pPr>
      <w:r w:rsidRPr="00F87E3D">
        <w:t xml:space="preserve">There are no questions of a sensitive nature associated with these forms. Case-specific clinical data elements will be collected and are necessary to calculate statistical measures. These statistical measures are the basis of all subsequent improvement initiatives derived from this collection and cannot be calculated without case-specific data. Case-specific data will not be released to the public and </w:t>
      </w:r>
      <w:r w:rsidRPr="00F87E3D">
        <w:t>are</w:t>
      </w:r>
      <w:r w:rsidRPr="00F87E3D">
        <w:t xml:space="preserve"> not </w:t>
      </w:r>
      <w:r w:rsidRPr="00F87E3D">
        <w:t>releasable</w:t>
      </w:r>
      <w:r w:rsidRPr="00F87E3D">
        <w:t xml:space="preserve"> by requests under the Freedom of Information Act. Only </w:t>
      </w:r>
      <w:r w:rsidR="004561C9">
        <w:t>IPF</w:t>
      </w:r>
      <w:r w:rsidRPr="00F87E3D">
        <w:t xml:space="preserve">-specific data will be released to the public after </w:t>
      </w:r>
      <w:r w:rsidR="00820222">
        <w:t>IPFs have had an opportunity to review the data that are to be made public with respect to the IPF</w:t>
      </w:r>
      <w:r w:rsidRPr="00F87E3D">
        <w:t xml:space="preserve">, as mandated by statute. The patient-specific data remaining in the CMS clinical data warehouse after the data are aggregated for release for public reporting will continue to be subject to the strict confidentiality regulations in 42 CFR Part 480. </w:t>
      </w:r>
    </w:p>
    <w:p w:rsidR="005E41F1" w:rsidP="00E9146E" w14:paraId="0F2A56A2" w14:textId="11163369">
      <w:pPr>
        <w:pStyle w:val="BodyText"/>
      </w:pPr>
      <w:r>
        <w:t>T</w:t>
      </w:r>
      <w:r w:rsidRPr="002E3733" w:rsidR="00E66325">
        <w:t>he collection does not solicit questions of a sensitive nature, such as sexual behavior and attitudes, religious beliefs, and other matters that are commonly considered private.</w:t>
      </w:r>
    </w:p>
    <w:p w:rsidR="005E41F1" w:rsidRPr="002E3733" w:rsidP="00643724" w14:paraId="664A2B10" w14:textId="389CD5E4">
      <w:pPr>
        <w:pStyle w:val="Heading2"/>
      </w:pPr>
      <w:r w:rsidRPr="002E3733">
        <w:t>Burden Estimate</w:t>
      </w:r>
      <w:r w:rsidRPr="002E3733" w:rsidR="006D32D4">
        <w:t>s</w:t>
      </w:r>
    </w:p>
    <w:p w:rsidR="00B51A4D" w:rsidP="00B51A4D" w14:paraId="11F2738A" w14:textId="25BB1B52">
      <w:pPr>
        <w:pStyle w:val="Heading3"/>
        <w:numPr>
          <w:ilvl w:val="0"/>
          <w:numId w:val="40"/>
        </w:numPr>
        <w:ind w:right="461"/>
      </w:pPr>
      <w:r>
        <w:t>Background</w:t>
      </w:r>
    </w:p>
    <w:p w:rsidR="00825974" w:rsidP="00E9146E" w14:paraId="1A595AFA" w14:textId="50C35A1E">
      <w:pPr>
        <w:pStyle w:val="BodyText"/>
      </w:pPr>
      <w:r w:rsidRPr="008112E6">
        <w:t>In the FY 2026 IPF PPS proposed rule, we proposed to remove four measures beginning with the FY 2026 payment determination: (1) the Facility Commitment to Health Equity measure; (2) the COVID-19 Vaccination Coverage among HCP measure; (3) the Screening for Social Drivers of Health measure; and (4) the Screen Positive Rate for Social Drivers of Health measure.</w:t>
      </w:r>
      <w:r>
        <w:t xml:space="preserve"> </w:t>
      </w:r>
      <w:r w:rsidR="002202B3">
        <w:t xml:space="preserve">We discuss our </w:t>
      </w:r>
      <w:r>
        <w:t>propos</w:t>
      </w:r>
      <w:r w:rsidR="00895D3A">
        <w:t xml:space="preserve">ed policies </w:t>
      </w:r>
      <w:r>
        <w:t>in</w:t>
      </w:r>
      <w:r w:rsidR="00895D3A">
        <w:t xml:space="preserve"> the</w:t>
      </w:r>
      <w:r w:rsidR="002202B3">
        <w:t xml:space="preserve"> FY 202</w:t>
      </w:r>
      <w:r>
        <w:t>6</w:t>
      </w:r>
      <w:r w:rsidR="002202B3">
        <w:t xml:space="preserve"> IPF PPS </w:t>
      </w:r>
      <w:r>
        <w:t>proposed</w:t>
      </w:r>
      <w:r w:rsidR="00895D3A">
        <w:t xml:space="preserve"> rule</w:t>
      </w:r>
      <w:r w:rsidR="002202B3">
        <w:t xml:space="preserve"> which </w:t>
      </w:r>
      <w:r w:rsidR="00895D3A">
        <w:t xml:space="preserve">will </w:t>
      </w:r>
      <w:r w:rsidR="002202B3">
        <w:t>not affect information collection burden in section B.1.a</w:t>
      </w:r>
      <w:r>
        <w:t>.</w:t>
      </w:r>
      <w:r w:rsidR="002202B3">
        <w:t xml:space="preserve"> of this document.</w:t>
      </w:r>
    </w:p>
    <w:p w:rsidR="005E41F1" w:rsidRPr="002E3733" w:rsidP="00B51A4D" w14:paraId="6BBAC412" w14:textId="60C768B9">
      <w:pPr>
        <w:pStyle w:val="Heading3"/>
      </w:pPr>
      <w:r>
        <w:t>Updated Hourly</w:t>
      </w:r>
      <w:r w:rsidRPr="00243EFE" w:rsidR="00384D83">
        <w:t xml:space="preserve"> Wage</w:t>
      </w:r>
      <w:r>
        <w:t xml:space="preserve"> Rate</w:t>
      </w:r>
    </w:p>
    <w:p w:rsidR="00187100" w:rsidP="00E9146E" w14:paraId="47901890" w14:textId="519D4F37">
      <w:pPr>
        <w:pStyle w:val="BodyText"/>
      </w:pPr>
      <w:bookmarkStart w:id="15" w:name="_Hlk161307486"/>
      <w:r w:rsidRPr="00187100">
        <w:t xml:space="preserve">In the FY </w:t>
      </w:r>
      <w:r w:rsidRPr="00187100" w:rsidR="003E753F">
        <w:t>202</w:t>
      </w:r>
      <w:r w:rsidR="008112E6">
        <w:t>5</w:t>
      </w:r>
      <w:r w:rsidRPr="00187100" w:rsidR="003E753F">
        <w:t xml:space="preserve"> </w:t>
      </w:r>
      <w:r w:rsidR="003E753F">
        <w:t>IPF PPS</w:t>
      </w:r>
      <w:r w:rsidRPr="00187100">
        <w:t xml:space="preserve"> </w:t>
      </w:r>
      <w:r w:rsidR="007B7EFC">
        <w:t>final</w:t>
      </w:r>
      <w:r w:rsidRPr="00187100" w:rsidR="007B7EFC">
        <w:t xml:space="preserve"> </w:t>
      </w:r>
      <w:r w:rsidRPr="00187100">
        <w:t>rule (</w:t>
      </w:r>
      <w:r w:rsidR="003E753F">
        <w:t>8</w:t>
      </w:r>
      <w:r w:rsidR="008112E6">
        <w:t>9</w:t>
      </w:r>
      <w:r w:rsidR="003E753F">
        <w:t xml:space="preserve"> FR </w:t>
      </w:r>
      <w:r w:rsidR="008112E6">
        <w:t>64664</w:t>
      </w:r>
      <w:r w:rsidRPr="00187100">
        <w:t xml:space="preserve">), we estimated that the labor performed </w:t>
      </w:r>
      <w:r w:rsidRPr="00187100">
        <w:t xml:space="preserve">could be </w:t>
      </w:r>
      <w:r w:rsidRPr="00187100">
        <w:t>accomplished</w:t>
      </w:r>
      <w:r w:rsidRPr="00187100">
        <w:t xml:space="preserve"> </w:t>
      </w:r>
      <w:r w:rsidR="005846D4">
        <w:t>M</w:t>
      </w:r>
      <w:r w:rsidRPr="00187100" w:rsidR="005846D4">
        <w:t xml:space="preserve">edical </w:t>
      </w:r>
      <w:r w:rsidR="005846D4">
        <w:t>R</w:t>
      </w:r>
      <w:r w:rsidRPr="00187100" w:rsidR="005846D4">
        <w:t>ecord</w:t>
      </w:r>
      <w:r w:rsidR="005846D4">
        <w:t>s</w:t>
      </w:r>
      <w:r w:rsidRPr="00187100" w:rsidR="005846D4">
        <w:t xml:space="preserve"> </w:t>
      </w:r>
      <w:r w:rsidR="005846D4">
        <w:t>S</w:t>
      </w:r>
      <w:r w:rsidRPr="00187100" w:rsidR="005846D4">
        <w:t xml:space="preserve">pecialists </w:t>
      </w:r>
      <w:r w:rsidRPr="00187100">
        <w:t xml:space="preserve">based on a </w:t>
      </w:r>
      <w:r w:rsidR="007B7EFC">
        <w:t>mean</w:t>
      </w:r>
      <w:r w:rsidRPr="00187100" w:rsidR="007B7EFC">
        <w:t xml:space="preserve"> </w:t>
      </w:r>
      <w:r w:rsidRPr="00187100">
        <w:t>hourly wage in general medical and surgical hospitals of $</w:t>
      </w:r>
      <w:r w:rsidR="005846D4">
        <w:t>2</w:t>
      </w:r>
      <w:r w:rsidR="008112E6">
        <w:t>6.06</w:t>
      </w:r>
      <w:r w:rsidRPr="00187100">
        <w:t xml:space="preserve"> per hour. </w:t>
      </w:r>
      <w:r w:rsidR="005846D4">
        <w:t>M</w:t>
      </w:r>
      <w:r w:rsidRPr="00187100">
        <w:t xml:space="preserve">ore recent wage data reflect a </w:t>
      </w:r>
      <w:r w:rsidR="00A11971">
        <w:t>mean</w:t>
      </w:r>
      <w:r w:rsidRPr="00187100" w:rsidR="00A11971">
        <w:t xml:space="preserve"> </w:t>
      </w:r>
      <w:r w:rsidRPr="00187100">
        <w:t>hourly wage of $</w:t>
      </w:r>
      <w:r w:rsidR="005846D4">
        <w:t>2</w:t>
      </w:r>
      <w:r w:rsidR="00D135D2">
        <w:t>7.69</w:t>
      </w:r>
      <w:r w:rsidRPr="00187100">
        <w:t xml:space="preserve"> per hour.</w:t>
      </w:r>
    </w:p>
    <w:bookmarkEnd w:id="15"/>
    <w:p w:rsidR="00B2386D" w:rsidP="00E9146E" w14:paraId="0AA040A1" w14:textId="0E9D10A7">
      <w:pPr>
        <w:pStyle w:val="BodyText"/>
      </w:pPr>
      <w:r w:rsidRPr="002E3733">
        <w:t>Additionally, per OMB Circular A-76, in calculating direct labor, agencies should not only include salaries and wages, but also “other entitlements” such as fringe benefits.</w:t>
      </w:r>
      <w:r w:rsidRPr="002E3733" w:rsidR="00CD78D9">
        <w:t xml:space="preserve"> </w:t>
      </w:r>
      <w:r w:rsidRPr="002E3733">
        <w:t>However, obtaining data on other overhead costs is challenging.</w:t>
      </w:r>
      <w:r w:rsidRPr="002E3733" w:rsidR="00A4252F">
        <w:t xml:space="preserve"> </w:t>
      </w:r>
      <w:r w:rsidRPr="002E3733">
        <w:t>Overhead costs vary greatly across industries and firm sizes.</w:t>
      </w:r>
      <w:r w:rsidRPr="002E3733" w:rsidR="00A4252F">
        <w:t xml:space="preserve"> </w:t>
      </w:r>
      <w:r w:rsidRPr="002E3733">
        <w:t>In addition, the precise cost elements assigned as “indirect” or “overhead” costs, as opposed to direct costs or employee wages, are subject to some interpretation at the firm level. Therefore, we have chosen to calculate the cost of overhead at 100 percent of the me</w:t>
      </w:r>
      <w:r w:rsidRPr="002E3733" w:rsidR="007B79BB">
        <w:t>dian</w:t>
      </w:r>
      <w:r w:rsidRPr="002E3733">
        <w:t xml:space="preserve"> hourly wage. This is necessarily a rough adjustment, both because fringe benefits and overhead costs vary significantly from employer to employer and because methods of estimating these costs vary widely from study to study. </w:t>
      </w:r>
      <w:r w:rsidRPr="002E3733" w:rsidR="00FF33BA">
        <w:t>W</w:t>
      </w:r>
      <w:r w:rsidRPr="002E3733">
        <w:t xml:space="preserve">e believe that doubling the hourly wage to estimate total cost is a reasonably accurate estimation method. </w:t>
      </w:r>
      <w:r w:rsidRPr="002E3733" w:rsidR="007B79BB">
        <w:t>Consequently, i</w:t>
      </w:r>
      <w:r w:rsidRPr="002E3733">
        <w:t>n calculating the labor cost</w:t>
      </w:r>
      <w:r w:rsidRPr="002E3733" w:rsidR="007B79BB">
        <w:t>s</w:t>
      </w:r>
      <w:r w:rsidRPr="002E3733">
        <w:t xml:space="preserve">, we </w:t>
      </w:r>
      <w:r w:rsidRPr="002E3733" w:rsidR="007B79BB">
        <w:t xml:space="preserve">are using </w:t>
      </w:r>
      <w:r w:rsidRPr="002E3733">
        <w:t xml:space="preserve">an </w:t>
      </w:r>
      <w:r w:rsidRPr="002E3733" w:rsidR="00FF33BA">
        <w:t xml:space="preserve">adjusted </w:t>
      </w:r>
      <w:r w:rsidRPr="002E3733">
        <w:t xml:space="preserve">labor </w:t>
      </w:r>
      <w:r w:rsidRPr="002E3733" w:rsidR="00FF33BA">
        <w:t xml:space="preserve">rate </w:t>
      </w:r>
      <w:r w:rsidRPr="002E3733">
        <w:t xml:space="preserve">of </w:t>
      </w:r>
      <w:r w:rsidRPr="002E3733" w:rsidR="00A31665">
        <w:t>$</w:t>
      </w:r>
      <w:r w:rsidR="005846D4">
        <w:t>5</w:t>
      </w:r>
      <w:r w:rsidR="00D135D2">
        <w:t>5.38</w:t>
      </w:r>
      <w:r w:rsidR="000F222B">
        <w:t>/hour</w:t>
      </w:r>
      <w:r w:rsidRPr="002E3733">
        <w:t xml:space="preserve"> as described in Table </w:t>
      </w:r>
      <w:r w:rsidR="0036026B">
        <w:t>2</w:t>
      </w:r>
      <w:r w:rsidRPr="002E3733">
        <w:t>.</w:t>
      </w:r>
    </w:p>
    <w:p w:rsidR="005846D4" w:rsidP="005846D4" w14:paraId="51A81F25" w14:textId="72BF12E0">
      <w:pPr>
        <w:pStyle w:val="BodyText"/>
      </w:pPr>
      <w:r>
        <w:t>Because the IPFQR Program requires that IPFs</w:t>
      </w:r>
      <w:r w:rsidRPr="00F2771D">
        <w:t xml:space="preserve"> collect data from patients using standardized instruments</w:t>
      </w:r>
      <w:r>
        <w:t xml:space="preserve"> (</w:t>
      </w:r>
      <w:r w:rsidRPr="00F2771D">
        <w:t xml:space="preserve">specifically </w:t>
      </w:r>
      <w:r>
        <w:t>for the</w:t>
      </w:r>
      <w:r w:rsidRPr="00F2771D">
        <w:t xml:space="preserve"> Screening for Social Drivers of Health (SDOH) measure and the PIX measure</w:t>
      </w:r>
      <w:r>
        <w:t xml:space="preserve">) we also estimate the costs for </w:t>
      </w:r>
      <w:bookmarkStart w:id="16" w:name="_Hlk161308167"/>
      <w:r w:rsidR="00D37BC2">
        <w:t>patients</w:t>
      </w:r>
      <w:r w:rsidRPr="00F2771D">
        <w:t xml:space="preserve">. To derive the costs for </w:t>
      </w:r>
      <w:r w:rsidR="00D37BC2">
        <w:t>patients</w:t>
      </w:r>
      <w:r w:rsidRPr="00F2771D">
        <w:t xml:space="preserve">, </w:t>
      </w:r>
      <w:r>
        <w:t xml:space="preserve">we used </w:t>
      </w:r>
      <w:r w:rsidRPr="00F2771D">
        <w:t xml:space="preserve">a measurement of the </w:t>
      </w:r>
      <w:r w:rsidR="00E51C11">
        <w:t xml:space="preserve">median </w:t>
      </w:r>
      <w:r w:rsidRPr="00F2771D">
        <w:t>usual weekly earnings of wage and salary workers of $</w:t>
      </w:r>
      <w:r>
        <w:t>1,1</w:t>
      </w:r>
      <w:r w:rsidR="00D135D2">
        <w:t>92</w:t>
      </w:r>
      <w:r w:rsidRPr="00F2771D">
        <w:t>, divided by 40 hours to calculate an hourly pre-tax wage rate of $2</w:t>
      </w:r>
      <w:r w:rsidR="00D135D2">
        <w:t>9.80</w:t>
      </w:r>
      <w:r w:rsidRPr="00F2771D">
        <w:t>/</w:t>
      </w:r>
      <w:r w:rsidRPr="00F2771D" w:rsidR="003C4EC7">
        <w:t>hour</w:t>
      </w:r>
      <w:r w:rsidRPr="00F2771D">
        <w:t>. This rate is adjusted downwards by an estimate of the effective tax rate for median income households of about 1</w:t>
      </w:r>
      <w:r>
        <w:t>4</w:t>
      </w:r>
      <w:r w:rsidRPr="00F2771D">
        <w:t xml:space="preserve"> percent, resulting in the post-tax hourly wage rate of $</w:t>
      </w:r>
      <w:r>
        <w:t>2</w:t>
      </w:r>
      <w:r w:rsidR="00D135D2">
        <w:t>5.63</w:t>
      </w:r>
      <w:r w:rsidRPr="00F2771D">
        <w:t>/hour.</w:t>
      </w:r>
      <w:r>
        <w:t xml:space="preserve"> This is an upwards adjustment from $2</w:t>
      </w:r>
      <w:r w:rsidR="00D135D2">
        <w:t>4.04</w:t>
      </w:r>
      <w:r>
        <w:t>, which we adopted in the FY 202</w:t>
      </w:r>
      <w:r w:rsidR="00D135D2">
        <w:t>5</w:t>
      </w:r>
      <w:r>
        <w:t xml:space="preserve"> IPF PPS final rule (8</w:t>
      </w:r>
      <w:r w:rsidR="00D135D2">
        <w:t>9</w:t>
      </w:r>
      <w:r>
        <w:t xml:space="preserve"> FR </w:t>
      </w:r>
      <w:r w:rsidR="00D135D2">
        <w:t>64664</w:t>
      </w:r>
      <w:r>
        <w:t>).</w:t>
      </w:r>
      <w:r w:rsidRPr="00F2771D">
        <w:t xml:space="preserve"> </w:t>
      </w:r>
      <w:bookmarkEnd w:id="16"/>
      <w:r w:rsidRPr="00F2771D">
        <w:t>Unlike our State and private sector wage adjustments, we are not adjusting beneficiary wages for fringe benefits and other indirect costs since the individuals’ activities, if any, would occur outside the scope of their employment.</w:t>
      </w:r>
    </w:p>
    <w:p w:rsidR="0088435B" w:rsidRPr="00C513D4" w:rsidP="00522D68" w14:paraId="67F9CD16" w14:textId="4AD8F6B9">
      <w:pPr>
        <w:pStyle w:val="Caption"/>
        <w:jc w:val="center"/>
        <w:rPr>
          <w:rFonts w:eastAsia="Calibri"/>
        </w:rPr>
      </w:pPr>
      <w:r w:rsidRPr="001F03E0">
        <w:t xml:space="preserve">Table </w:t>
      </w:r>
      <w:r w:rsidR="0036026B">
        <w:t>2</w:t>
      </w:r>
      <w:r w:rsidRPr="001F03E0">
        <w:t xml:space="preserve">: Wage </w:t>
      </w:r>
      <w:r w:rsidR="005846D4">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41BEC573" w14:textId="77777777" w:rsidTr="005846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BFBFBF" w:themeFill="background1" w:themeFillShade="BF"/>
          </w:tcPr>
          <w:p w:rsidR="0088435B" w:rsidRPr="00F3714D" w:rsidP="007037DD" w14:paraId="753DC498" w14:textId="1199EE66">
            <w:pPr>
              <w:keepNext/>
              <w:rPr>
                <w:rFonts w:eastAsia="Calibri"/>
                <w:b/>
                <w:bCs/>
                <w:sz w:val="20"/>
                <w:szCs w:val="20"/>
              </w:rPr>
            </w:pPr>
            <w:r>
              <w:rPr>
                <w:rFonts w:eastAsia="Calibri"/>
                <w:b/>
                <w:bCs/>
                <w:sz w:val="20"/>
                <w:szCs w:val="20"/>
              </w:rPr>
              <w:t>Role</w:t>
            </w:r>
          </w:p>
        </w:tc>
        <w:tc>
          <w:tcPr>
            <w:tcW w:w="1809" w:type="dxa"/>
            <w:shd w:val="clear" w:color="auto" w:fill="BFBFBF" w:themeFill="background1" w:themeFillShade="BF"/>
          </w:tcPr>
          <w:p w:rsidR="0088435B" w:rsidRPr="00F3714D" w:rsidP="007037DD" w14:paraId="5DABE1DE" w14:textId="685D8BF6">
            <w:pPr>
              <w:keepNext/>
              <w:rPr>
                <w:rFonts w:eastAsia="Calibri"/>
                <w:b/>
                <w:bCs/>
                <w:sz w:val="20"/>
                <w:szCs w:val="20"/>
              </w:rPr>
            </w:pPr>
            <w:r w:rsidRPr="00F3714D">
              <w:rPr>
                <w:rFonts w:eastAsia="Calibri"/>
                <w:b/>
                <w:bCs/>
                <w:sz w:val="20"/>
                <w:szCs w:val="20"/>
              </w:rPr>
              <w:t>Occupation Code</w:t>
            </w:r>
            <w:r w:rsidR="005846D4">
              <w:rPr>
                <w:rFonts w:eastAsia="Calibri"/>
                <w:b/>
                <w:bCs/>
                <w:sz w:val="20"/>
                <w:szCs w:val="20"/>
              </w:rPr>
              <w:t>, if applicable</w:t>
            </w:r>
          </w:p>
        </w:tc>
        <w:tc>
          <w:tcPr>
            <w:tcW w:w="1733" w:type="dxa"/>
            <w:shd w:val="clear" w:color="auto" w:fill="BFBFBF" w:themeFill="background1" w:themeFillShade="BF"/>
          </w:tcPr>
          <w:p w:rsidR="0088435B" w:rsidRPr="00F3714D" w:rsidP="007037DD" w14:paraId="2604FC28" w14:textId="0817A8E8">
            <w:pPr>
              <w:keepNext/>
              <w:rPr>
                <w:rFonts w:eastAsia="Calibri"/>
                <w:b/>
                <w:bCs/>
                <w:sz w:val="20"/>
                <w:szCs w:val="20"/>
              </w:rPr>
            </w:pPr>
            <w:r w:rsidRPr="00F3714D">
              <w:rPr>
                <w:rFonts w:eastAsia="Calibri"/>
                <w:b/>
                <w:bCs/>
                <w:sz w:val="20"/>
                <w:szCs w:val="20"/>
              </w:rPr>
              <w:t>Hourly Wage ($/</w:t>
            </w:r>
            <w:r w:rsidR="00F3714D">
              <w:rPr>
                <w:rFonts w:eastAsia="Calibri"/>
                <w:b/>
                <w:bCs/>
                <w:sz w:val="20"/>
                <w:szCs w:val="20"/>
              </w:rPr>
              <w:t>hour</w:t>
            </w:r>
            <w:r w:rsidRPr="00F3714D">
              <w:rPr>
                <w:rFonts w:eastAsia="Calibri"/>
                <w:b/>
                <w:bCs/>
                <w:sz w:val="20"/>
                <w:szCs w:val="20"/>
              </w:rPr>
              <w:t>)</w:t>
            </w:r>
          </w:p>
        </w:tc>
        <w:tc>
          <w:tcPr>
            <w:tcW w:w="1738" w:type="dxa"/>
            <w:shd w:val="clear" w:color="auto" w:fill="BFBFBF" w:themeFill="background1" w:themeFillShade="BF"/>
          </w:tcPr>
          <w:p w:rsidR="0088435B" w:rsidRPr="00F3714D" w:rsidP="007037DD" w14:paraId="284A63B3" w14:textId="7119935E">
            <w:pPr>
              <w:keepNext/>
              <w:rPr>
                <w:rFonts w:eastAsia="Calibri"/>
                <w:b/>
                <w:bCs/>
                <w:sz w:val="20"/>
                <w:szCs w:val="20"/>
              </w:rPr>
            </w:pPr>
            <w:r w:rsidRPr="00F3714D">
              <w:rPr>
                <w:rFonts w:eastAsia="Calibri"/>
                <w:b/>
                <w:bCs/>
                <w:sz w:val="20"/>
                <w:szCs w:val="20"/>
              </w:rPr>
              <w:t>Fringe Benefits and Overhead ($/</w:t>
            </w:r>
            <w:r w:rsidR="00F3714D">
              <w:rPr>
                <w:rFonts w:eastAsia="Calibri"/>
                <w:b/>
                <w:bCs/>
                <w:sz w:val="20"/>
                <w:szCs w:val="20"/>
              </w:rPr>
              <w:t>hour</w:t>
            </w:r>
            <w:r w:rsidRPr="00F3714D">
              <w:rPr>
                <w:rFonts w:eastAsia="Calibri"/>
                <w:b/>
                <w:bCs/>
                <w:sz w:val="20"/>
                <w:szCs w:val="20"/>
              </w:rPr>
              <w:t>)</w:t>
            </w:r>
          </w:p>
        </w:tc>
        <w:tc>
          <w:tcPr>
            <w:tcW w:w="1767" w:type="dxa"/>
            <w:shd w:val="clear" w:color="auto" w:fill="BFBFBF" w:themeFill="background1" w:themeFillShade="BF"/>
          </w:tcPr>
          <w:p w:rsidR="0088435B" w:rsidRPr="00F3714D" w:rsidP="007037DD" w14:paraId="48DF8359" w14:textId="510F745E">
            <w:pPr>
              <w:keepNext/>
              <w:rPr>
                <w:rFonts w:eastAsia="Calibri"/>
                <w:b/>
                <w:bCs/>
                <w:sz w:val="20"/>
                <w:szCs w:val="20"/>
              </w:rPr>
            </w:pPr>
            <w:r w:rsidRPr="00F3714D">
              <w:rPr>
                <w:rFonts w:eastAsia="Calibri"/>
                <w:b/>
                <w:bCs/>
                <w:sz w:val="20"/>
                <w:szCs w:val="20"/>
              </w:rPr>
              <w:t>Adjusted Hourly Wage ($/</w:t>
            </w:r>
            <w:r w:rsidR="00F3714D">
              <w:rPr>
                <w:rFonts w:eastAsia="Calibri"/>
                <w:b/>
                <w:bCs/>
                <w:sz w:val="20"/>
                <w:szCs w:val="20"/>
              </w:rPr>
              <w:t>hour</w:t>
            </w:r>
            <w:r w:rsidRPr="00F3714D">
              <w:rPr>
                <w:rFonts w:eastAsia="Calibri"/>
                <w:b/>
                <w:bCs/>
                <w:sz w:val="20"/>
                <w:szCs w:val="20"/>
              </w:rPr>
              <w:t>)</w:t>
            </w:r>
          </w:p>
        </w:tc>
      </w:tr>
      <w:tr w14:paraId="1446F7FE" w14:textId="77777777" w:rsidTr="005846D4">
        <w:tblPrEx>
          <w:tblW w:w="0" w:type="auto"/>
          <w:tblLook w:val="04A0"/>
        </w:tblPrEx>
        <w:tc>
          <w:tcPr>
            <w:tcW w:w="1809" w:type="dxa"/>
            <w:shd w:val="clear" w:color="auto" w:fill="auto"/>
          </w:tcPr>
          <w:p w:rsidR="0088435B" w:rsidRPr="002E3733" w:rsidP="007037DD" w14:paraId="4EA997A1" w14:textId="294620B7">
            <w:pPr>
              <w:keepNext/>
              <w:rPr>
                <w:rFonts w:eastAsia="Calibri"/>
                <w:sz w:val="20"/>
                <w:szCs w:val="20"/>
              </w:rPr>
            </w:pPr>
            <w:r w:rsidRPr="002E3733">
              <w:rPr>
                <w:rFonts w:eastAsia="Calibri"/>
                <w:sz w:val="20"/>
                <w:szCs w:val="20"/>
              </w:rPr>
              <w:t xml:space="preserve">Medical Records </w:t>
            </w:r>
            <w:r w:rsidR="00B10F6D">
              <w:rPr>
                <w:rFonts w:eastAsia="Calibri"/>
                <w:sz w:val="20"/>
                <w:szCs w:val="20"/>
              </w:rPr>
              <w:t>Specialist</w:t>
            </w:r>
          </w:p>
        </w:tc>
        <w:tc>
          <w:tcPr>
            <w:tcW w:w="1809" w:type="dxa"/>
            <w:shd w:val="clear" w:color="auto" w:fill="auto"/>
          </w:tcPr>
          <w:p w:rsidR="0088435B" w:rsidRPr="002E3733" w:rsidP="007037DD" w14:paraId="5B2AE6EF" w14:textId="04E44CCB">
            <w:pPr>
              <w:keepNext/>
              <w:jc w:val="center"/>
              <w:rPr>
                <w:rFonts w:eastAsia="Calibri"/>
                <w:sz w:val="20"/>
                <w:szCs w:val="20"/>
              </w:rPr>
            </w:pPr>
            <w:r w:rsidRPr="002E3733">
              <w:rPr>
                <w:rFonts w:eastAsia="Calibri"/>
                <w:sz w:val="20"/>
                <w:szCs w:val="20"/>
              </w:rPr>
              <w:t>29-207</w:t>
            </w:r>
            <w:r w:rsidR="00B10F6D">
              <w:rPr>
                <w:rFonts w:eastAsia="Calibri"/>
                <w:sz w:val="20"/>
                <w:szCs w:val="20"/>
              </w:rPr>
              <w:t>2</w:t>
            </w:r>
          </w:p>
        </w:tc>
        <w:tc>
          <w:tcPr>
            <w:tcW w:w="1733" w:type="dxa"/>
            <w:shd w:val="clear" w:color="auto" w:fill="auto"/>
          </w:tcPr>
          <w:p w:rsidR="0088435B" w:rsidRPr="002E3733" w:rsidP="007037DD" w14:paraId="17EA4ACC" w14:textId="0EB774D2">
            <w:pPr>
              <w:keepNext/>
              <w:jc w:val="center"/>
              <w:rPr>
                <w:rFonts w:eastAsia="Calibri"/>
                <w:sz w:val="20"/>
                <w:szCs w:val="20"/>
              </w:rPr>
            </w:pPr>
            <w:r>
              <w:t>2</w:t>
            </w:r>
            <w:r w:rsidR="00D135D2">
              <w:t>7.69</w:t>
            </w:r>
          </w:p>
        </w:tc>
        <w:tc>
          <w:tcPr>
            <w:tcW w:w="1738" w:type="dxa"/>
            <w:shd w:val="clear" w:color="auto" w:fill="auto"/>
          </w:tcPr>
          <w:p w:rsidR="0088435B" w:rsidRPr="002E3733" w:rsidP="007037DD" w14:paraId="12444423" w14:textId="2F095A08">
            <w:pPr>
              <w:keepNext/>
              <w:jc w:val="center"/>
              <w:rPr>
                <w:rFonts w:eastAsia="Calibri"/>
                <w:sz w:val="20"/>
                <w:szCs w:val="20"/>
              </w:rPr>
            </w:pPr>
            <w:r>
              <w:t>2</w:t>
            </w:r>
            <w:r w:rsidR="00D135D2">
              <w:t>7.69</w:t>
            </w:r>
          </w:p>
        </w:tc>
        <w:tc>
          <w:tcPr>
            <w:tcW w:w="1767" w:type="dxa"/>
            <w:shd w:val="clear" w:color="auto" w:fill="auto"/>
          </w:tcPr>
          <w:p w:rsidR="0088435B" w:rsidRPr="002E3733" w:rsidP="007037DD" w14:paraId="5FF6A5E4" w14:textId="14CFB229">
            <w:pPr>
              <w:keepNext/>
              <w:jc w:val="center"/>
              <w:rPr>
                <w:rFonts w:eastAsia="Calibri"/>
                <w:sz w:val="20"/>
                <w:szCs w:val="20"/>
              </w:rPr>
            </w:pPr>
            <w:r>
              <w:t>55.38</w:t>
            </w:r>
          </w:p>
        </w:tc>
      </w:tr>
      <w:tr w14:paraId="2F97E91D" w14:textId="77777777" w:rsidTr="005846D4">
        <w:tblPrEx>
          <w:tblW w:w="0" w:type="auto"/>
          <w:tblLook w:val="04A0"/>
        </w:tblPrEx>
        <w:tc>
          <w:tcPr>
            <w:tcW w:w="1809" w:type="dxa"/>
            <w:shd w:val="clear" w:color="auto" w:fill="auto"/>
          </w:tcPr>
          <w:p w:rsidR="005846D4" w:rsidRPr="002E3733" w:rsidP="007037DD" w14:paraId="26FBAA0E" w14:textId="7EF28CC8">
            <w:pPr>
              <w:keepNext/>
              <w:rPr>
                <w:rFonts w:eastAsia="Calibri"/>
                <w:sz w:val="20"/>
                <w:szCs w:val="20"/>
              </w:rPr>
            </w:pPr>
            <w:r>
              <w:rPr>
                <w:rFonts w:eastAsia="Calibri"/>
                <w:sz w:val="20"/>
                <w:szCs w:val="20"/>
              </w:rPr>
              <w:t>Patient</w:t>
            </w:r>
          </w:p>
        </w:tc>
        <w:tc>
          <w:tcPr>
            <w:tcW w:w="1809" w:type="dxa"/>
            <w:shd w:val="clear" w:color="auto" w:fill="auto"/>
          </w:tcPr>
          <w:p w:rsidR="005846D4" w:rsidRPr="002E3733" w:rsidP="007037DD" w14:paraId="1FB7AF02" w14:textId="56DE9E88">
            <w:pPr>
              <w:keepNext/>
              <w:jc w:val="center"/>
              <w:rPr>
                <w:rFonts w:eastAsia="Calibri"/>
                <w:sz w:val="20"/>
                <w:szCs w:val="20"/>
              </w:rPr>
            </w:pPr>
            <w:r>
              <w:rPr>
                <w:rFonts w:eastAsia="Calibri"/>
                <w:sz w:val="20"/>
                <w:szCs w:val="20"/>
              </w:rPr>
              <w:t>N/A</w:t>
            </w:r>
          </w:p>
        </w:tc>
        <w:tc>
          <w:tcPr>
            <w:tcW w:w="1733" w:type="dxa"/>
            <w:shd w:val="clear" w:color="auto" w:fill="auto"/>
          </w:tcPr>
          <w:p w:rsidR="005846D4" w:rsidP="007037DD" w14:paraId="64C1A3FC" w14:textId="3A0FD635">
            <w:pPr>
              <w:keepNext/>
              <w:jc w:val="center"/>
            </w:pPr>
            <w:r>
              <w:t>2</w:t>
            </w:r>
            <w:r w:rsidR="00D135D2">
              <w:t>5.63</w:t>
            </w:r>
          </w:p>
        </w:tc>
        <w:tc>
          <w:tcPr>
            <w:tcW w:w="1738" w:type="dxa"/>
            <w:shd w:val="clear" w:color="auto" w:fill="auto"/>
          </w:tcPr>
          <w:p w:rsidR="005846D4" w:rsidP="007037DD" w14:paraId="73BCE697" w14:textId="04577389">
            <w:pPr>
              <w:keepNext/>
              <w:jc w:val="center"/>
            </w:pPr>
            <w:r>
              <w:t>N/A</w:t>
            </w:r>
          </w:p>
        </w:tc>
        <w:tc>
          <w:tcPr>
            <w:tcW w:w="1767" w:type="dxa"/>
            <w:shd w:val="clear" w:color="auto" w:fill="auto"/>
          </w:tcPr>
          <w:p w:rsidR="005846D4" w:rsidP="007037DD" w14:paraId="30E72C36" w14:textId="0C998B58">
            <w:pPr>
              <w:keepNext/>
              <w:jc w:val="center"/>
            </w:pPr>
            <w:r>
              <w:t>25.63</w:t>
            </w:r>
          </w:p>
        </w:tc>
      </w:tr>
    </w:tbl>
    <w:p w:rsidR="005E41F1" w:rsidRPr="002E3733" w:rsidP="00E9146E" w14:paraId="01A48ECA" w14:textId="77777777">
      <w:pPr>
        <w:pStyle w:val="BodyText"/>
      </w:pPr>
    </w:p>
    <w:p w:rsidR="0088435B" w:rsidRPr="006634BD" w:rsidP="00E12283" w14:paraId="210681C0" w14:textId="5E9453C3">
      <w:pPr>
        <w:pStyle w:val="Heading3"/>
      </w:pPr>
      <w:r>
        <w:t>Chart-Abstracted Measure Reporting and Submission Burden</w:t>
      </w:r>
    </w:p>
    <w:p w:rsidR="00DC4A49" w:rsidP="00733DC2" w14:paraId="2C84F59F" w14:textId="79836B82">
      <w:pPr>
        <w:pStyle w:val="BodyText"/>
      </w:pPr>
      <w:r w:rsidRPr="00984C5D">
        <w:t>In calculating the total burden of the chart-abstracted measures in the IPFQR Program</w:t>
      </w:r>
      <w:r w:rsidRPr="00984C5D" w:rsidR="001849A4">
        <w:t xml:space="preserve"> we have considered the number of cases that IPFs must report for each measure.</w:t>
      </w:r>
      <w:r w:rsidRPr="00984C5D" w:rsidR="00022DCC">
        <w:t xml:space="preserve"> We </w:t>
      </w:r>
      <w:r w:rsidR="00895D3A">
        <w:t>are not</w:t>
      </w:r>
      <w:r w:rsidRPr="00984C5D" w:rsidR="00022DCC">
        <w:t xml:space="preserve"> chang</w:t>
      </w:r>
      <w:r w:rsidR="00895D3A">
        <w:t>ing</w:t>
      </w:r>
      <w:r w:rsidRPr="00984C5D" w:rsidR="00022DCC">
        <w:t xml:space="preserve"> the number of cases that IPFs must submit for these measures. As previously finalized and approved t</w:t>
      </w:r>
      <w:r w:rsidRPr="00984C5D">
        <w:t>wo of our chart-abstracted measures require reporting data for all patients.</w:t>
      </w:r>
      <w:r>
        <w:rPr>
          <w:rStyle w:val="FootnoteReference"/>
        </w:rPr>
        <w:footnoteReference w:id="5"/>
      </w:r>
      <w:r w:rsidRPr="00984C5D">
        <w:t xml:space="preserve"> The remaining six chart-abstracted measures allow sampling </w:t>
      </w:r>
      <w:r w:rsidRPr="00984C5D" w:rsidR="00B83836">
        <w:t xml:space="preserve">under the global </w:t>
      </w:r>
      <w:r w:rsidRPr="00984C5D" w:rsidR="00B83836">
        <w:t xml:space="preserve">sample </w:t>
      </w:r>
      <w:r w:rsidRPr="00984C5D">
        <w:t xml:space="preserve">and </w:t>
      </w:r>
      <w:r w:rsidRPr="00984C5D" w:rsidR="001849A4">
        <w:t xml:space="preserve">therefore we </w:t>
      </w:r>
      <w:r w:rsidRPr="00984C5D">
        <w:t xml:space="preserve">estimate that </w:t>
      </w:r>
      <w:r w:rsidR="008D0373">
        <w:t xml:space="preserve">each </w:t>
      </w:r>
      <w:r w:rsidRPr="00984C5D">
        <w:t xml:space="preserve">IPF will report data on </w:t>
      </w:r>
      <w:r w:rsidR="008D0373">
        <w:t xml:space="preserve">an average of </w:t>
      </w:r>
      <w:r w:rsidRPr="00984C5D">
        <w:t>609 cases.</w:t>
      </w:r>
      <w:r>
        <w:rPr>
          <w:rStyle w:val="FootnoteReference"/>
        </w:rPr>
        <w:footnoteReference w:id="6"/>
      </w:r>
      <w:r>
        <w:t xml:space="preserve"> </w:t>
      </w:r>
    </w:p>
    <w:p w:rsidR="00460B9E" w:rsidRPr="006634BD" w:rsidP="00460B9E" w14:paraId="4437E2F2" w14:textId="45D2464F">
      <w:pPr>
        <w:pStyle w:val="Heading3"/>
        <w:ind w:right="461"/>
      </w:pPr>
      <w:r>
        <w:t>Structural Measure Reporting and Submission Burden</w:t>
      </w:r>
    </w:p>
    <w:p w:rsidR="00DC38DB" w:rsidP="00733DC2" w14:paraId="1ABAF8F0" w14:textId="358F355E">
      <w:pPr>
        <w:pStyle w:val="BodyText"/>
      </w:pPr>
      <w:r>
        <w:t>T</w:t>
      </w:r>
      <w:r w:rsidR="00022DCC">
        <w:t xml:space="preserve">he </w:t>
      </w:r>
      <w:r w:rsidR="00460B9E">
        <w:t>Facility Commitment to Health Equity structural measure</w:t>
      </w:r>
      <w:r w:rsidR="00B2469A">
        <w:t xml:space="preserve"> requires each IPF to </w:t>
      </w:r>
      <w:r>
        <w:t>attest “yes” or “no” in response to five set</w:t>
      </w:r>
      <w:r w:rsidR="00AE2644">
        <w:t>s</w:t>
      </w:r>
      <w:r>
        <w:t xml:space="preserve"> of questions one time per year. </w:t>
      </w:r>
      <w:r w:rsidR="001B05E3">
        <w:t xml:space="preserve"> In the FY 2026 IPF PPS proposed rule, </w:t>
      </w:r>
      <w:r w:rsidRPr="001B05E3" w:rsidR="001B05E3">
        <w:t>we propose</w:t>
      </w:r>
      <w:r w:rsidR="001B05E3">
        <w:t>d</w:t>
      </w:r>
      <w:r w:rsidRPr="001B05E3" w:rsidR="001B05E3">
        <w:t xml:space="preserve"> to remove the Facility Commitment to Health Equity measure </w:t>
      </w:r>
      <w:r w:rsidR="001B05E3">
        <w:t>b</w:t>
      </w:r>
      <w:r w:rsidRPr="001B05E3" w:rsidR="001B05E3">
        <w:t>eginning with the FY 2026 payment determination.</w:t>
      </w:r>
    </w:p>
    <w:p w:rsidR="002656C3" w:rsidP="002656C3" w14:paraId="30F047AA" w14:textId="56697B47">
      <w:pPr>
        <w:pStyle w:val="Heading3"/>
        <w:ind w:right="461"/>
      </w:pPr>
      <w:r>
        <w:t>Process Measure Reporting and Submission Burden</w:t>
      </w:r>
    </w:p>
    <w:p w:rsidR="008D2BB9" w:rsidP="00733DC2" w14:paraId="1F2B1F26" w14:textId="41C05170">
      <w:pPr>
        <w:pStyle w:val="BodyText"/>
      </w:pPr>
      <w:r>
        <w:t xml:space="preserve">For the </w:t>
      </w:r>
      <w:r w:rsidR="003A12DE">
        <w:t>S</w:t>
      </w:r>
      <w:r>
        <w:t xml:space="preserve">creening for Social Drivers of Health measure, IPFs </w:t>
      </w:r>
      <w:r>
        <w:t>are able to</w:t>
      </w:r>
      <w:r>
        <w:t xml:space="preserve"> collect data </w:t>
      </w:r>
      <w:r w:rsidR="003A12DE">
        <w:t xml:space="preserve">from patients </w:t>
      </w:r>
      <w:r>
        <w:t xml:space="preserve">via multiple methods. Measure data aggregated at the IPF level </w:t>
      </w:r>
      <w:r w:rsidR="00880408">
        <w:t xml:space="preserve">must </w:t>
      </w:r>
      <w:r>
        <w:t xml:space="preserve">be submitted via the HQR System annually. </w:t>
      </w:r>
    </w:p>
    <w:p w:rsidR="0033001B" w:rsidP="00733DC2" w14:paraId="225223F7" w14:textId="26845085">
      <w:pPr>
        <w:pStyle w:val="BodyText"/>
      </w:pPr>
      <w:r>
        <w:t xml:space="preserve">For the Screen Positive Rate for Social Drivers of </w:t>
      </w:r>
      <w:r w:rsidR="003A12DE">
        <w:t>H</w:t>
      </w:r>
      <w:r>
        <w:t xml:space="preserve">ealth measure, IPFs will be required to report on an annual basis the number of patients who screen positive for one or more of the five domains divided by the total number of patients screened (reported as five separate rates). </w:t>
      </w:r>
      <w:r w:rsidR="006921E9">
        <w:t>For this measure, we estimate</w:t>
      </w:r>
      <w:r w:rsidR="0086470E">
        <w:t>d</w:t>
      </w:r>
      <w:r w:rsidR="006921E9">
        <w:t xml:space="preserve"> only the additional burden for an IPF reporting this measure via the HQR System since patients will not need to provide any additional information for this measure.</w:t>
      </w:r>
      <w:r>
        <w:t xml:space="preserve"> </w:t>
      </w:r>
    </w:p>
    <w:p w:rsidR="001B05E3" w:rsidP="00733DC2" w14:paraId="1E8352D9" w14:textId="69C02EDB">
      <w:pPr>
        <w:pStyle w:val="BodyText"/>
      </w:pPr>
      <w:r>
        <w:t xml:space="preserve">In the FY 2026 IPF PPS proposed rule, we proposed </w:t>
      </w:r>
      <w:r w:rsidRPr="001B05E3">
        <w:t>to remove the Screening for Social Drivers of Health and Screen Positive Rate for Social Drivers of Health measures beginning with the FY 2026 payment determinatio</w:t>
      </w:r>
      <w:r>
        <w:t>n.</w:t>
      </w:r>
    </w:p>
    <w:p w:rsidR="00A17720" w:rsidP="00A17720" w14:paraId="33E5E2A8" w14:textId="46B26193">
      <w:pPr>
        <w:pStyle w:val="Heading3"/>
        <w:ind w:right="461"/>
      </w:pPr>
      <w:r>
        <w:t>Experience of Care Measure Reporting and Submission Burden</w:t>
      </w:r>
    </w:p>
    <w:p w:rsidR="009C75BD" w:rsidP="00733DC2" w14:paraId="4F5ABB52" w14:textId="0A010F3B">
      <w:pPr>
        <w:pStyle w:val="BodyText"/>
      </w:pPr>
      <w:r>
        <w:t xml:space="preserve">For the </w:t>
      </w:r>
      <w:r w:rsidR="008A1D8D">
        <w:t>PIX</w:t>
      </w:r>
      <w:r w:rsidR="001849A4">
        <w:t xml:space="preserve"> measure</w:t>
      </w:r>
      <w:r w:rsidR="008A1D8D">
        <w:t>,</w:t>
      </w:r>
      <w:r w:rsidR="001849A4">
        <w:t xml:space="preserve"> </w:t>
      </w:r>
      <w:r w:rsidR="008C1F6A">
        <w:t xml:space="preserve">IPFs must calculate performance on several domains based on the input from patients to the PIX survey. To align with </w:t>
      </w:r>
      <w:r w:rsidR="008C1F6A">
        <w:t>patient</w:t>
      </w:r>
      <w:r w:rsidR="008C1F6A">
        <w:t xml:space="preserve"> experience measures in other programs (specifically the Hospital Consumer Assessmen</w:t>
      </w:r>
      <w:r w:rsidR="00811814">
        <w:t>t of Healthcare Providers and Systems</w:t>
      </w:r>
      <w:r w:rsidR="00EC0E59">
        <w:t xml:space="preserve"> </w:t>
      </w:r>
      <w:r w:rsidR="0086470E">
        <w:t xml:space="preserve">survey </w:t>
      </w:r>
      <w:r w:rsidR="00EC0E59">
        <w:t>measure</w:t>
      </w:r>
      <w:r w:rsidR="00811814">
        <w:t xml:space="preserve">) we have adopted </w:t>
      </w:r>
      <w:r w:rsidR="001849A4">
        <w:t xml:space="preserve">a different sampling requirement </w:t>
      </w:r>
      <w:r w:rsidR="00811814">
        <w:t xml:space="preserve">from that of our chart-abstracted measures </w:t>
      </w:r>
      <w:r w:rsidR="001849A4">
        <w:t>and thus</w:t>
      </w:r>
      <w:r w:rsidR="008A1D8D">
        <w:t>,</w:t>
      </w:r>
      <w:r w:rsidR="001849A4">
        <w:t xml:space="preserve"> we estimate that </w:t>
      </w:r>
      <w:r w:rsidR="0086470E">
        <w:t xml:space="preserve">each </w:t>
      </w:r>
      <w:r w:rsidR="001849A4">
        <w:t xml:space="preserve">IPF will report 300 cases annually. </w:t>
      </w:r>
      <w:r w:rsidR="00C828FB">
        <w:t>Note, we have removed the optional demographic questions from the PIX survey.</w:t>
      </w:r>
    </w:p>
    <w:p w:rsidR="00D640B5" w:rsidP="009311AB" w14:paraId="76AE6CC0" w14:textId="2B3CFC29">
      <w:pPr>
        <w:pStyle w:val="Heading3"/>
        <w:ind w:right="461"/>
      </w:pPr>
      <w:r>
        <w:t xml:space="preserve">National Healthcare </w:t>
      </w:r>
      <w:r w:rsidR="0046338E">
        <w:t xml:space="preserve">Safety </w:t>
      </w:r>
      <w:r>
        <w:t>Network (NHSN) Measure Reporting and Submission Burden</w:t>
      </w:r>
    </w:p>
    <w:p w:rsidR="00F21E11" w:rsidRPr="00F21E11" w:rsidP="00F21E11" w14:paraId="3A89A41A" w14:textId="78BFC14E">
      <w:pPr>
        <w:rPr>
          <w:sz w:val="24"/>
          <w:szCs w:val="24"/>
        </w:rPr>
      </w:pPr>
      <w:r>
        <w:rPr>
          <w:sz w:val="24"/>
          <w:szCs w:val="24"/>
        </w:rPr>
        <w:t xml:space="preserve">For the COVID-19 Vaccination Coverage Among Healthcare Personnel (HCP) measure we require IPFs to submit data through the CDC’s NHSN system. </w:t>
      </w:r>
      <w:r w:rsidR="00880408">
        <w:rPr>
          <w:sz w:val="24"/>
          <w:szCs w:val="24"/>
        </w:rPr>
        <w:t>The burden</w:t>
      </w:r>
      <w:r w:rsidRPr="00F21E11">
        <w:rPr>
          <w:sz w:val="24"/>
          <w:szCs w:val="24"/>
        </w:rPr>
        <w:t xml:space="preserve"> estimates </w:t>
      </w:r>
      <w:r w:rsidR="00880408">
        <w:rPr>
          <w:sz w:val="24"/>
          <w:szCs w:val="24"/>
        </w:rPr>
        <w:t xml:space="preserve">under OMB control number </w:t>
      </w:r>
      <w:r w:rsidRPr="00362E1E" w:rsidR="006348D2">
        <w:rPr>
          <w:sz w:val="24"/>
          <w:szCs w:val="24"/>
        </w:rPr>
        <w:t>0938-1171</w:t>
      </w:r>
      <w:r w:rsidR="006348D2">
        <w:t xml:space="preserve"> </w:t>
      </w:r>
      <w:r w:rsidRPr="00F21E11">
        <w:rPr>
          <w:sz w:val="24"/>
          <w:szCs w:val="24"/>
        </w:rPr>
        <w:t xml:space="preserve">exclude burden associated with </w:t>
      </w:r>
      <w:r>
        <w:rPr>
          <w:sz w:val="24"/>
          <w:szCs w:val="24"/>
        </w:rPr>
        <w:t>this measure because the</w:t>
      </w:r>
      <w:r w:rsidRPr="00F21E11">
        <w:rPr>
          <w:sz w:val="24"/>
          <w:szCs w:val="24"/>
        </w:rPr>
        <w:t xml:space="preserve"> data are submitted under OMB control number 0920-1317.  </w:t>
      </w:r>
      <w:r w:rsidR="001B05E3">
        <w:rPr>
          <w:sz w:val="24"/>
          <w:szCs w:val="24"/>
        </w:rPr>
        <w:t xml:space="preserve">In the FY 2026 IPF PPS proposed rule, we proposed </w:t>
      </w:r>
      <w:r w:rsidRPr="001B05E3" w:rsidR="001B05E3">
        <w:rPr>
          <w:sz w:val="24"/>
          <w:szCs w:val="24"/>
        </w:rPr>
        <w:t xml:space="preserve">to </w:t>
      </w:r>
      <w:r w:rsidRPr="001B05E3" w:rsidR="001B05E3">
        <w:rPr>
          <w:sz w:val="24"/>
          <w:szCs w:val="24"/>
        </w:rPr>
        <w:t xml:space="preserve">remove the COVID-19 Vaccination Coverage </w:t>
      </w:r>
      <w:r w:rsidR="006348D2">
        <w:rPr>
          <w:sz w:val="24"/>
          <w:szCs w:val="24"/>
        </w:rPr>
        <w:t>A</w:t>
      </w:r>
      <w:r w:rsidRPr="001B05E3" w:rsidR="001B05E3">
        <w:rPr>
          <w:sz w:val="24"/>
          <w:szCs w:val="24"/>
        </w:rPr>
        <w:t xml:space="preserve">mong </w:t>
      </w:r>
      <w:r w:rsidR="001B05E3">
        <w:rPr>
          <w:sz w:val="24"/>
          <w:szCs w:val="24"/>
        </w:rPr>
        <w:t>HCP</w:t>
      </w:r>
      <w:r w:rsidRPr="001B05E3" w:rsidR="001B05E3">
        <w:rPr>
          <w:sz w:val="24"/>
          <w:szCs w:val="24"/>
        </w:rPr>
        <w:t xml:space="preserve"> measure beginning with the FY 2026 payment determination.</w:t>
      </w:r>
    </w:p>
    <w:p w:rsidR="00F21E11" w:rsidRPr="00F21E11" w:rsidP="00F21E11" w14:paraId="0E5DD20D" w14:textId="77777777"/>
    <w:p w:rsidR="009311AB" w:rsidP="00623660" w14:paraId="1A835281" w14:textId="77777777">
      <w:pPr>
        <w:pStyle w:val="Heading3"/>
        <w:ind w:right="461"/>
      </w:pPr>
      <w:r>
        <w:t>Claims-Based Measure Reporting and Submission Burden</w:t>
      </w:r>
    </w:p>
    <w:p w:rsidR="009311AB" w:rsidP="009311AB" w14:paraId="3B00DF9A" w14:textId="5AB364A7">
      <w:pPr>
        <w:pStyle w:val="BodyText"/>
      </w:pPr>
      <w:r>
        <w:t xml:space="preserve">Claims-based measures are derived through analysis of administrative claims, which are submitted under OMB control number </w:t>
      </w:r>
      <w:r w:rsidRPr="00F82CBE">
        <w:t>0938-0050 (CMS-2552-10)</w:t>
      </w:r>
      <w:r w:rsidR="003B1C75">
        <w:t xml:space="preserve"> and do not require additional effort or burden for IPFs. As a result, the IPFQR Program’s claims-based measures do not influence our burden calculations. We note that </w:t>
      </w:r>
      <w:r w:rsidR="001B05E3">
        <w:t>in the FY 2026 IPF PPS proposed rule, we</w:t>
      </w:r>
      <w:r w:rsidR="003B1C75">
        <w:t xml:space="preserve"> </w:t>
      </w:r>
      <w:r w:rsidRPr="001B05E3" w:rsidR="001B05E3">
        <w:t>propose</w:t>
      </w:r>
      <w:r w:rsidR="001B05E3">
        <w:t>d</w:t>
      </w:r>
      <w:r w:rsidRPr="001B05E3" w:rsidR="001B05E3">
        <w:t xml:space="preserve"> to begin use of the IPF ED Visit measure with the FY 2029 payment determination instead of the FY 2027 payment determination, and to modify the reporting period for the IPF ED Visit measure to a two-year reporting period that runs from July 1st four years prior to the applicable fiscal year payment determination to June 30th two years prior to the applicable fiscal year payment determination.</w:t>
      </w:r>
      <w:r w:rsidRPr="001B05E3" w:rsidR="001B05E3">
        <w:t xml:space="preserve"> </w:t>
      </w:r>
      <w:r w:rsidR="001C2958">
        <w:t>These proposed changes would not impact burden.</w:t>
      </w:r>
    </w:p>
    <w:p w:rsidR="00F84D53" w:rsidP="00F84D53" w14:paraId="79F5736E" w14:textId="25B1E028">
      <w:pPr>
        <w:pStyle w:val="Heading3"/>
        <w:ind w:right="461"/>
      </w:pPr>
      <w:r>
        <w:t>Patient Data Collection Burden</w:t>
      </w:r>
    </w:p>
    <w:p w:rsidR="00B83836" w:rsidP="00E9146E" w14:paraId="74DEA381" w14:textId="2F2946F1">
      <w:pPr>
        <w:pStyle w:val="BodyText"/>
      </w:pPr>
      <w:r>
        <w:t xml:space="preserve">Two of the measures in the IPFQR Program also require collecting data from patients. </w:t>
      </w:r>
      <w:r w:rsidR="0046338E">
        <w:t>The Screening for Social Drivers of Health</w:t>
      </w:r>
      <w:r>
        <w:t xml:space="preserve"> measure requires screening all patients and the </w:t>
      </w:r>
      <w:r w:rsidR="0046338E">
        <w:t xml:space="preserve">PIX measure </w:t>
      </w:r>
      <w:r>
        <w:t xml:space="preserve">requires </w:t>
      </w:r>
      <w:r w:rsidR="001C2958">
        <w:t xml:space="preserve">each IPF to </w:t>
      </w:r>
      <w:r>
        <w:t xml:space="preserve">collect data from a sample of 300 patients. Our estimates for how long patients will spend completing these screenings </w:t>
      </w:r>
      <w:r>
        <w:t>is</w:t>
      </w:r>
      <w:r>
        <w:t xml:space="preserve"> based on estimates completed by programs with similar measures.</w:t>
      </w:r>
      <w:r w:rsidR="001B05E3">
        <w:t xml:space="preserve">  As previously discussed, in the FY 2026 IPF PPS proposed rule, </w:t>
      </w:r>
      <w:r w:rsidRPr="001B05E3" w:rsidR="001B05E3">
        <w:t xml:space="preserve">we proposed to remove the Screening for Social Drivers of Health </w:t>
      </w:r>
      <w:r w:rsidR="001B05E3">
        <w:t xml:space="preserve">measure beginning </w:t>
      </w:r>
      <w:r w:rsidRPr="001B05E3" w:rsidR="001B05E3">
        <w:t>with the FY 2026 payment determination.</w:t>
      </w:r>
    </w:p>
    <w:p w:rsidR="00F84D53" w:rsidP="00B12D6A" w14:paraId="1AD13F94" w14:textId="2D3927A0">
      <w:pPr>
        <w:pStyle w:val="Heading3"/>
        <w:ind w:right="461"/>
      </w:pPr>
      <w:r>
        <w:t>Non-Measure Data Reporting and Submission Burden</w:t>
      </w:r>
    </w:p>
    <w:p w:rsidR="00B83836" w:rsidP="00E9146E" w14:paraId="064275B5" w14:textId="3AB3402C">
      <w:pPr>
        <w:pStyle w:val="BodyText"/>
      </w:pPr>
      <w:r>
        <w:t xml:space="preserve">We have also considered requirements in addition to submitting measure data. These requirements include submission of non-measure data (specifically, </w:t>
      </w:r>
      <w:r w:rsidRPr="002E3733">
        <w:t>aggregate population counts for Medicare and non-Medicare discharges by age group and diagnostic group</w:t>
      </w:r>
      <w:r>
        <w:t>), which we estimate takes 2.0 hours per IPF</w:t>
      </w:r>
      <w:r w:rsidR="00717CC2">
        <w:t xml:space="preserve"> per year</w:t>
      </w:r>
      <w:r>
        <w:t xml:space="preserve">. </w:t>
      </w:r>
    </w:p>
    <w:p w:rsidR="009311AB" w:rsidRPr="002E3733" w:rsidP="009311AB" w14:paraId="4BE55798" w14:textId="77777777">
      <w:pPr>
        <w:pStyle w:val="Heading3"/>
        <w:ind w:right="461"/>
      </w:pPr>
      <w:r w:rsidRPr="002E3733">
        <w:t>Information Collection Instruments and Instruction/Guidance Documents</w:t>
      </w:r>
    </w:p>
    <w:p w:rsidR="00ED68DF" w:rsidRPr="000431EC" w:rsidP="00094335" w14:paraId="07BABEE0" w14:textId="5D475971">
      <w:pPr>
        <w:pStyle w:val="BodyText"/>
      </w:pPr>
      <w:r>
        <w:t xml:space="preserve">As described in section </w:t>
      </w:r>
      <w:r w:rsidR="00DF29E5">
        <w:t>B.1.b</w:t>
      </w:r>
      <w:r>
        <w:t>, the IPFQR Program uses six administrative forms.</w:t>
      </w:r>
      <w:r w:rsidR="00717CC2">
        <w:t xml:space="preserve"> Other than the DACA Form, these forms would not be filled out by IPFs on a regular basis. </w:t>
      </w:r>
      <w:r w:rsidR="00AE78BC">
        <w:t xml:space="preserve">The DACA Form is the only form being updated in association with the FY 2026 IPF PPS proposed rule, and </w:t>
      </w:r>
      <w:r w:rsidR="00D36BE3">
        <w:t>it</w:t>
      </w:r>
      <w:r w:rsidR="00AE78BC">
        <w:t xml:space="preserve"> is included in the PRA package.</w:t>
      </w:r>
    </w:p>
    <w:p w:rsidR="007C46A2" w:rsidRPr="006634BD" w:rsidP="00833139" w14:paraId="47935EDE" w14:textId="1CC0B29D">
      <w:pPr>
        <w:pStyle w:val="Heading3"/>
        <w:ind w:right="461"/>
      </w:pPr>
      <w:r>
        <w:t xml:space="preserve"> </w:t>
      </w:r>
      <w:r w:rsidRPr="006634BD" w:rsidR="002202B3">
        <w:t>Information Collection/Reporting Requirements and Associated Burden Estimates</w:t>
      </w:r>
    </w:p>
    <w:p w:rsidR="00B83836" w:rsidRPr="002E3733" w:rsidP="00E9146E" w14:paraId="6138B534" w14:textId="06480ECF">
      <w:pPr>
        <w:pStyle w:val="BodyText"/>
      </w:pPr>
      <w:r>
        <w:t xml:space="preserve">The total </w:t>
      </w:r>
      <w:r w:rsidR="00A27090">
        <w:t xml:space="preserve">proposed </w:t>
      </w:r>
      <w:r>
        <w:t xml:space="preserve">burden associated with the IPFQR Program </w:t>
      </w:r>
      <w:r w:rsidR="000707A3">
        <w:t xml:space="preserve">for </w:t>
      </w:r>
      <w:r w:rsidR="006C57A1">
        <w:t xml:space="preserve">the </w:t>
      </w:r>
      <w:r w:rsidR="00C02E39">
        <w:t>C</w:t>
      </w:r>
      <w:r w:rsidR="006C57A1">
        <w:t xml:space="preserve">Y </w:t>
      </w:r>
      <w:r w:rsidR="000707A3">
        <w:t>202</w:t>
      </w:r>
      <w:r w:rsidR="00802DC2">
        <w:t>6</w:t>
      </w:r>
      <w:r w:rsidR="000707A3">
        <w:t xml:space="preserve"> </w:t>
      </w:r>
      <w:r w:rsidR="00C02E39">
        <w:t>reporting period</w:t>
      </w:r>
      <w:r w:rsidR="00CE2F6C">
        <w:t xml:space="preserve"> </w:t>
      </w:r>
      <w:r w:rsidR="000707A3">
        <w:t xml:space="preserve">and subsequent years </w:t>
      </w:r>
      <w:r>
        <w:t xml:space="preserve">is summarized in Table </w:t>
      </w:r>
      <w:r w:rsidR="0036026B">
        <w:t>3</w:t>
      </w:r>
      <w:r w:rsidR="006C57A1">
        <w:t>;</w:t>
      </w:r>
      <w:r w:rsidR="00CE2F6C">
        <w:t xml:space="preserve"> this total burden includes previously approved burden</w:t>
      </w:r>
      <w:r w:rsidR="00895D3A">
        <w:t>.</w:t>
      </w:r>
    </w:p>
    <w:p w:rsidR="00B2386D" w:rsidRPr="002E3733" w:rsidP="00234F5C" w14:paraId="7E206CEE" w14:textId="05E1DE5D">
      <w:pPr>
        <w:pStyle w:val="Caption"/>
        <w:jc w:val="center"/>
      </w:pPr>
      <w:bookmarkStart w:id="17" w:name="_Hlk161216313"/>
      <w:r>
        <w:t xml:space="preserve">Table </w:t>
      </w:r>
      <w:r w:rsidR="0036026B">
        <w:t>3</w:t>
      </w:r>
      <w:r>
        <w:t xml:space="preserve">: Burden Associated with </w:t>
      </w:r>
      <w:r w:rsidR="00B83836">
        <w:t>the IPFQR Program</w:t>
      </w:r>
      <w:r w:rsidR="00BF3F28">
        <w:t xml:space="preserve"> (OMB control no. </w:t>
      </w:r>
      <w:r w:rsidRPr="00BF3F28" w:rsidR="00BF3F28">
        <w:t>0938-1171</w:t>
      </w:r>
      <w:r w:rsidR="00BF3F2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1478"/>
        <w:gridCol w:w="1826"/>
        <w:gridCol w:w="1521"/>
        <w:gridCol w:w="1239"/>
        <w:gridCol w:w="1926"/>
      </w:tblGrid>
      <w:tr w14:paraId="6B954452" w14:textId="77777777" w:rsidTr="00802D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600" w:type="dxa"/>
            <w:shd w:val="clear" w:color="auto" w:fill="BFBFBF" w:themeFill="background1" w:themeFillShade="BF"/>
          </w:tcPr>
          <w:p w:rsidR="00B83836" w:rsidRPr="00AE5C2B" w14:paraId="370DB2A3" w14:textId="77777777">
            <w:pPr>
              <w:jc w:val="center"/>
              <w:rPr>
                <w:b/>
                <w:bCs/>
                <w:sz w:val="20"/>
                <w:szCs w:val="20"/>
              </w:rPr>
            </w:pPr>
            <w:bookmarkStart w:id="18" w:name="_Hlk131500543"/>
            <w:r w:rsidRPr="00AE5C2B">
              <w:rPr>
                <w:b/>
                <w:bCs/>
                <w:sz w:val="20"/>
                <w:szCs w:val="20"/>
              </w:rPr>
              <w:t>Requirement</w:t>
            </w:r>
          </w:p>
        </w:tc>
        <w:tc>
          <w:tcPr>
            <w:tcW w:w="1478" w:type="dxa"/>
            <w:shd w:val="clear" w:color="auto" w:fill="BFBFBF" w:themeFill="background1" w:themeFillShade="BF"/>
          </w:tcPr>
          <w:p w:rsidR="00B83836" w:rsidRPr="00AE5C2B" w14:paraId="238AE990" w14:textId="77777777">
            <w:pPr>
              <w:jc w:val="center"/>
              <w:rPr>
                <w:b/>
                <w:bCs/>
                <w:sz w:val="20"/>
                <w:szCs w:val="20"/>
              </w:rPr>
            </w:pPr>
            <w:r w:rsidRPr="00AE5C2B">
              <w:rPr>
                <w:b/>
                <w:bCs/>
                <w:sz w:val="20"/>
                <w:szCs w:val="20"/>
              </w:rPr>
              <w:t>Respondents</w:t>
            </w:r>
          </w:p>
        </w:tc>
        <w:tc>
          <w:tcPr>
            <w:tcW w:w="1826" w:type="dxa"/>
            <w:shd w:val="clear" w:color="auto" w:fill="BFBFBF" w:themeFill="background1" w:themeFillShade="BF"/>
          </w:tcPr>
          <w:p w:rsidR="00B83836" w:rsidRPr="00AE5C2B" w14:paraId="232F04B1" w14:textId="77777777">
            <w:pPr>
              <w:jc w:val="center"/>
              <w:rPr>
                <w:b/>
                <w:bCs/>
                <w:sz w:val="20"/>
                <w:szCs w:val="20"/>
              </w:rPr>
            </w:pPr>
            <w:r w:rsidRPr="00AE5C2B">
              <w:rPr>
                <w:b/>
                <w:bCs/>
                <w:sz w:val="20"/>
                <w:szCs w:val="20"/>
              </w:rPr>
              <w:t>Responses</w:t>
            </w:r>
          </w:p>
        </w:tc>
        <w:tc>
          <w:tcPr>
            <w:tcW w:w="1521" w:type="dxa"/>
            <w:shd w:val="clear" w:color="auto" w:fill="BFBFBF" w:themeFill="background1" w:themeFillShade="BF"/>
          </w:tcPr>
          <w:p w:rsidR="00B83836" w:rsidRPr="00AE5C2B" w14:paraId="5DD3C9CC" w14:textId="77777777">
            <w:pPr>
              <w:jc w:val="center"/>
              <w:rPr>
                <w:b/>
                <w:bCs/>
                <w:sz w:val="20"/>
                <w:szCs w:val="20"/>
              </w:rPr>
            </w:pPr>
            <w:r w:rsidRPr="00AE5C2B">
              <w:rPr>
                <w:b/>
                <w:bCs/>
                <w:sz w:val="20"/>
                <w:szCs w:val="20"/>
              </w:rPr>
              <w:t>Time (hours)</w:t>
            </w:r>
          </w:p>
        </w:tc>
        <w:tc>
          <w:tcPr>
            <w:tcW w:w="1239" w:type="dxa"/>
            <w:shd w:val="clear" w:color="auto" w:fill="BFBFBF" w:themeFill="background1" w:themeFillShade="BF"/>
          </w:tcPr>
          <w:p w:rsidR="00B83836" w:rsidRPr="00AE5C2B" w14:paraId="20F18C99" w14:textId="595834FC">
            <w:pPr>
              <w:jc w:val="center"/>
              <w:rPr>
                <w:b/>
                <w:bCs/>
                <w:sz w:val="20"/>
                <w:szCs w:val="20"/>
              </w:rPr>
            </w:pPr>
            <w:r>
              <w:rPr>
                <w:b/>
                <w:bCs/>
                <w:sz w:val="20"/>
                <w:szCs w:val="20"/>
              </w:rPr>
              <w:t>Applicable Wage Rate</w:t>
            </w:r>
            <w:r w:rsidR="005962D5">
              <w:rPr>
                <w:b/>
                <w:bCs/>
                <w:sz w:val="20"/>
                <w:szCs w:val="20"/>
              </w:rPr>
              <w:t xml:space="preserve"> ($/</w:t>
            </w:r>
            <w:r w:rsidR="005962D5">
              <w:rPr>
                <w:b/>
                <w:bCs/>
                <w:sz w:val="20"/>
                <w:szCs w:val="20"/>
              </w:rPr>
              <w:t>hr</w:t>
            </w:r>
            <w:r w:rsidR="005962D5">
              <w:rPr>
                <w:b/>
                <w:bCs/>
                <w:sz w:val="20"/>
                <w:szCs w:val="20"/>
              </w:rPr>
              <w:t>)</w:t>
            </w:r>
          </w:p>
        </w:tc>
        <w:tc>
          <w:tcPr>
            <w:tcW w:w="1926" w:type="dxa"/>
            <w:shd w:val="clear" w:color="auto" w:fill="BFBFBF" w:themeFill="background1" w:themeFillShade="BF"/>
          </w:tcPr>
          <w:p w:rsidR="00B83836" w:rsidRPr="00AE5C2B" w14:paraId="6DAB9C3A" w14:textId="77777777">
            <w:pPr>
              <w:jc w:val="center"/>
              <w:rPr>
                <w:b/>
                <w:bCs/>
                <w:sz w:val="20"/>
                <w:szCs w:val="20"/>
              </w:rPr>
            </w:pPr>
            <w:r w:rsidRPr="00AE5C2B">
              <w:rPr>
                <w:b/>
                <w:bCs/>
                <w:sz w:val="20"/>
                <w:szCs w:val="20"/>
              </w:rPr>
              <w:t>Cost ($)</w:t>
            </w:r>
          </w:p>
        </w:tc>
      </w:tr>
      <w:tr w14:paraId="392541F9" w14:textId="77777777" w:rsidTr="00276D64">
        <w:tblPrEx>
          <w:tblW w:w="0" w:type="auto"/>
          <w:jc w:val="center"/>
          <w:tblLook w:val="04A0"/>
        </w:tblPrEx>
        <w:trPr>
          <w:jc w:val="center"/>
        </w:trPr>
        <w:tc>
          <w:tcPr>
            <w:tcW w:w="1600" w:type="dxa"/>
            <w:shd w:val="clear" w:color="auto" w:fill="auto"/>
          </w:tcPr>
          <w:p w:rsidR="00B83836" w:rsidRPr="00AE5C2B" w14:paraId="586AE351" w14:textId="28F0CB84">
            <w:pPr>
              <w:rPr>
                <w:sz w:val="18"/>
                <w:szCs w:val="18"/>
              </w:rPr>
            </w:pPr>
            <w:r>
              <w:rPr>
                <w:sz w:val="18"/>
                <w:szCs w:val="18"/>
              </w:rPr>
              <w:t>All-Patient Measures</w:t>
            </w:r>
            <w:r w:rsidR="00E95C52">
              <w:rPr>
                <w:sz w:val="18"/>
                <w:szCs w:val="18"/>
              </w:rPr>
              <w:t xml:space="preserve"> (See B.12.c)</w:t>
            </w:r>
          </w:p>
        </w:tc>
        <w:tc>
          <w:tcPr>
            <w:tcW w:w="1478" w:type="dxa"/>
            <w:shd w:val="clear" w:color="auto" w:fill="auto"/>
          </w:tcPr>
          <w:p w:rsidR="00B83836" w:rsidRPr="00AE5C2B" w14:paraId="179F7910" w14:textId="77777777">
            <w:pPr>
              <w:jc w:val="center"/>
              <w:rPr>
                <w:sz w:val="18"/>
                <w:szCs w:val="18"/>
              </w:rPr>
            </w:pPr>
            <w:r>
              <w:rPr>
                <w:sz w:val="18"/>
                <w:szCs w:val="18"/>
              </w:rPr>
              <w:t>1,596</w:t>
            </w:r>
          </w:p>
        </w:tc>
        <w:tc>
          <w:tcPr>
            <w:tcW w:w="1826" w:type="dxa"/>
          </w:tcPr>
          <w:p w:rsidR="00B83836" w:rsidRPr="00AE5C2B" w14:paraId="5BF41E19" w14:textId="0DCC420C">
            <w:pPr>
              <w:jc w:val="center"/>
              <w:rPr>
                <w:sz w:val="18"/>
                <w:szCs w:val="18"/>
              </w:rPr>
            </w:pPr>
            <w:r>
              <w:rPr>
                <w:sz w:val="18"/>
                <w:szCs w:val="18"/>
              </w:rPr>
              <w:t>4,025,112</w:t>
            </w:r>
            <w:r w:rsidR="005962D5">
              <w:rPr>
                <w:sz w:val="18"/>
                <w:szCs w:val="18"/>
              </w:rPr>
              <w:t xml:space="preserve"> (1,596 IPFs x 1,261 discharges/IPF x 2 measures)</w:t>
            </w:r>
          </w:p>
        </w:tc>
        <w:tc>
          <w:tcPr>
            <w:tcW w:w="1521" w:type="dxa"/>
          </w:tcPr>
          <w:p w:rsidR="00B83836" w:rsidRPr="00AE5C2B" w14:paraId="3F338344" w14:textId="7265EB17">
            <w:pPr>
              <w:jc w:val="center"/>
              <w:rPr>
                <w:sz w:val="18"/>
                <w:szCs w:val="18"/>
              </w:rPr>
            </w:pPr>
            <w:r>
              <w:rPr>
                <w:sz w:val="18"/>
                <w:szCs w:val="18"/>
              </w:rPr>
              <w:t>1,006,278</w:t>
            </w:r>
            <w:r w:rsidR="005962D5">
              <w:rPr>
                <w:sz w:val="18"/>
                <w:szCs w:val="18"/>
              </w:rPr>
              <w:t xml:space="preserve"> (4,</w:t>
            </w:r>
            <w:r w:rsidR="00141205">
              <w:rPr>
                <w:sz w:val="18"/>
                <w:szCs w:val="18"/>
              </w:rPr>
              <w:t>025,112</w:t>
            </w:r>
            <w:r w:rsidR="005962D5">
              <w:rPr>
                <w:sz w:val="18"/>
                <w:szCs w:val="18"/>
              </w:rPr>
              <w:t xml:space="preserve"> responses x 0.25 hours/response)</w:t>
            </w:r>
          </w:p>
        </w:tc>
        <w:tc>
          <w:tcPr>
            <w:tcW w:w="1239" w:type="dxa"/>
          </w:tcPr>
          <w:p w:rsidR="00B83836" w:rsidRPr="00001030" w14:paraId="363FADE8" w14:textId="451C4417">
            <w:pPr>
              <w:jc w:val="center"/>
              <w:rPr>
                <w:bCs/>
                <w:color w:val="000000"/>
                <w:sz w:val="18"/>
                <w:szCs w:val="18"/>
              </w:rPr>
            </w:pPr>
            <w:r>
              <w:rPr>
                <w:bCs/>
                <w:color w:val="000000"/>
                <w:sz w:val="18"/>
                <w:szCs w:val="18"/>
              </w:rPr>
              <w:t>5</w:t>
            </w:r>
            <w:r w:rsidR="00802DC2">
              <w:rPr>
                <w:bCs/>
                <w:color w:val="000000"/>
                <w:sz w:val="18"/>
                <w:szCs w:val="18"/>
              </w:rPr>
              <w:t>5.38</w:t>
            </w:r>
          </w:p>
        </w:tc>
        <w:tc>
          <w:tcPr>
            <w:tcW w:w="1926" w:type="dxa"/>
            <w:shd w:val="clear" w:color="auto" w:fill="auto"/>
          </w:tcPr>
          <w:p w:rsidR="00B83836" w:rsidRPr="00AE5C2B" w14:paraId="43FF6DD4" w14:textId="64614743">
            <w:pPr>
              <w:jc w:val="center"/>
              <w:rPr>
                <w:sz w:val="18"/>
                <w:szCs w:val="18"/>
              </w:rPr>
            </w:pPr>
            <w:r>
              <w:rPr>
                <w:sz w:val="18"/>
                <w:szCs w:val="18"/>
              </w:rPr>
              <w:t>52,447,209</w:t>
            </w:r>
          </w:p>
        </w:tc>
      </w:tr>
      <w:tr w14:paraId="1BFE87FE" w14:textId="77777777" w:rsidTr="00276D64">
        <w:tblPrEx>
          <w:tblW w:w="0" w:type="auto"/>
          <w:jc w:val="center"/>
          <w:tblLook w:val="04A0"/>
        </w:tblPrEx>
        <w:trPr>
          <w:jc w:val="center"/>
        </w:trPr>
        <w:tc>
          <w:tcPr>
            <w:tcW w:w="1600" w:type="dxa"/>
            <w:shd w:val="clear" w:color="auto" w:fill="auto"/>
          </w:tcPr>
          <w:p w:rsidR="00B83836" w:rsidRPr="00AE5C2B" w14:paraId="6560ACC5" w14:textId="2FBD6C87">
            <w:pPr>
              <w:rPr>
                <w:sz w:val="18"/>
                <w:szCs w:val="18"/>
              </w:rPr>
            </w:pPr>
            <w:r>
              <w:rPr>
                <w:w w:val="105"/>
                <w:sz w:val="18"/>
                <w:szCs w:val="18"/>
              </w:rPr>
              <w:t>Global Sample Measures</w:t>
            </w:r>
            <w:r w:rsidR="00E95C52">
              <w:rPr>
                <w:w w:val="105"/>
                <w:sz w:val="18"/>
                <w:szCs w:val="18"/>
              </w:rPr>
              <w:t xml:space="preserve"> (See B.12.c)</w:t>
            </w:r>
          </w:p>
        </w:tc>
        <w:tc>
          <w:tcPr>
            <w:tcW w:w="1478" w:type="dxa"/>
            <w:shd w:val="clear" w:color="auto" w:fill="auto"/>
          </w:tcPr>
          <w:p w:rsidR="00B83836" w:rsidRPr="00AE5C2B" w14:paraId="48D0EE10" w14:textId="77777777">
            <w:pPr>
              <w:jc w:val="center"/>
              <w:rPr>
                <w:sz w:val="18"/>
                <w:szCs w:val="18"/>
              </w:rPr>
            </w:pPr>
            <w:r>
              <w:rPr>
                <w:sz w:val="18"/>
                <w:szCs w:val="18"/>
              </w:rPr>
              <w:t>1,596</w:t>
            </w:r>
          </w:p>
        </w:tc>
        <w:tc>
          <w:tcPr>
            <w:tcW w:w="1826" w:type="dxa"/>
          </w:tcPr>
          <w:p w:rsidR="00B83836" w:rsidRPr="00AE5C2B" w14:paraId="1249B641" w14:textId="244FB819">
            <w:pPr>
              <w:jc w:val="center"/>
              <w:rPr>
                <w:sz w:val="18"/>
                <w:szCs w:val="18"/>
              </w:rPr>
            </w:pPr>
            <w:r>
              <w:rPr>
                <w:sz w:val="18"/>
                <w:szCs w:val="18"/>
              </w:rPr>
              <w:t>5,831,784 (1,596 IPFs x 609 cases/IPF x 6 measures)</w:t>
            </w:r>
          </w:p>
        </w:tc>
        <w:tc>
          <w:tcPr>
            <w:tcW w:w="1521" w:type="dxa"/>
          </w:tcPr>
          <w:p w:rsidR="00B83836" w:rsidRPr="00AE5C2B" w14:paraId="30E1984E" w14:textId="51A3291E">
            <w:pPr>
              <w:jc w:val="center"/>
              <w:rPr>
                <w:sz w:val="18"/>
                <w:szCs w:val="18"/>
              </w:rPr>
            </w:pPr>
            <w:r>
              <w:rPr>
                <w:sz w:val="18"/>
                <w:szCs w:val="18"/>
              </w:rPr>
              <w:t>1,457,946 (5,831,784 responses x 0.25 hours/response)</w:t>
            </w:r>
          </w:p>
        </w:tc>
        <w:tc>
          <w:tcPr>
            <w:tcW w:w="1239" w:type="dxa"/>
          </w:tcPr>
          <w:p w:rsidR="00B83836" w14:paraId="599CC71E" w14:textId="686D09EF">
            <w:pPr>
              <w:jc w:val="center"/>
              <w:rPr>
                <w:sz w:val="18"/>
                <w:szCs w:val="18"/>
              </w:rPr>
            </w:pPr>
            <w:r>
              <w:rPr>
                <w:sz w:val="18"/>
                <w:szCs w:val="18"/>
              </w:rPr>
              <w:t>5</w:t>
            </w:r>
            <w:r w:rsidR="00802DC2">
              <w:rPr>
                <w:sz w:val="18"/>
                <w:szCs w:val="18"/>
              </w:rPr>
              <w:t>5.38</w:t>
            </w:r>
          </w:p>
        </w:tc>
        <w:tc>
          <w:tcPr>
            <w:tcW w:w="1926" w:type="dxa"/>
            <w:shd w:val="clear" w:color="auto" w:fill="auto"/>
          </w:tcPr>
          <w:p w:rsidR="00B83836" w:rsidRPr="00AE5C2B" w14:paraId="6E8FC17B" w14:textId="0F477F26">
            <w:pPr>
              <w:jc w:val="center"/>
              <w:rPr>
                <w:sz w:val="18"/>
                <w:szCs w:val="18"/>
              </w:rPr>
            </w:pPr>
            <w:r>
              <w:rPr>
                <w:sz w:val="18"/>
                <w:szCs w:val="18"/>
              </w:rPr>
              <w:t>75,988,14</w:t>
            </w:r>
            <w:r w:rsidR="00FC6932">
              <w:rPr>
                <w:sz w:val="18"/>
                <w:szCs w:val="18"/>
              </w:rPr>
              <w:t>6</w:t>
            </w:r>
          </w:p>
        </w:tc>
      </w:tr>
      <w:tr w14:paraId="25F835A9" w14:textId="77777777" w:rsidTr="009259F8">
        <w:tblPrEx>
          <w:tblW w:w="0" w:type="auto"/>
          <w:jc w:val="center"/>
          <w:tblLook w:val="04A0"/>
        </w:tblPrEx>
        <w:trPr>
          <w:jc w:val="center"/>
        </w:trPr>
        <w:tc>
          <w:tcPr>
            <w:tcW w:w="1600" w:type="dxa"/>
            <w:shd w:val="clear" w:color="auto" w:fill="auto"/>
          </w:tcPr>
          <w:p w:rsidR="004C38E8" w14:paraId="2236462A" w14:textId="400A756A">
            <w:pPr>
              <w:rPr>
                <w:w w:val="105"/>
                <w:sz w:val="18"/>
                <w:szCs w:val="18"/>
              </w:rPr>
            </w:pPr>
            <w:r>
              <w:rPr>
                <w:w w:val="105"/>
                <w:sz w:val="18"/>
                <w:szCs w:val="18"/>
              </w:rPr>
              <w:t xml:space="preserve">Submission of </w:t>
            </w:r>
            <w:r w:rsidR="00B83836">
              <w:rPr>
                <w:w w:val="105"/>
                <w:sz w:val="18"/>
                <w:szCs w:val="18"/>
              </w:rPr>
              <w:t>P</w:t>
            </w:r>
            <w:r w:rsidR="004E52B1">
              <w:rPr>
                <w:w w:val="105"/>
                <w:sz w:val="18"/>
                <w:szCs w:val="18"/>
              </w:rPr>
              <w:t>IX</w:t>
            </w:r>
            <w:r w:rsidR="00B83836">
              <w:rPr>
                <w:w w:val="105"/>
                <w:sz w:val="18"/>
                <w:szCs w:val="18"/>
              </w:rPr>
              <w:t xml:space="preserve"> Measure</w:t>
            </w:r>
            <w:r>
              <w:rPr>
                <w:w w:val="105"/>
                <w:sz w:val="18"/>
                <w:szCs w:val="18"/>
              </w:rPr>
              <w:t xml:space="preserve"> (See B.12.f)</w:t>
            </w:r>
          </w:p>
        </w:tc>
        <w:tc>
          <w:tcPr>
            <w:tcW w:w="1478" w:type="dxa"/>
            <w:shd w:val="clear" w:color="auto" w:fill="auto"/>
          </w:tcPr>
          <w:p w:rsidR="00B83836" w14:paraId="172E7760" w14:textId="4CCFD7E4">
            <w:pPr>
              <w:jc w:val="center"/>
              <w:rPr>
                <w:sz w:val="18"/>
                <w:szCs w:val="18"/>
              </w:rPr>
            </w:pPr>
            <w:r>
              <w:rPr>
                <w:sz w:val="18"/>
                <w:szCs w:val="18"/>
              </w:rPr>
              <w:t>1,596</w:t>
            </w:r>
          </w:p>
        </w:tc>
        <w:tc>
          <w:tcPr>
            <w:tcW w:w="1826" w:type="dxa"/>
          </w:tcPr>
          <w:p w:rsidR="00B83836" w:rsidRPr="00AE5C2B" w14:paraId="6CA6679A" w14:textId="5DCC7D82">
            <w:pPr>
              <w:jc w:val="center"/>
              <w:rPr>
                <w:sz w:val="18"/>
                <w:szCs w:val="18"/>
              </w:rPr>
            </w:pPr>
            <w:r>
              <w:rPr>
                <w:sz w:val="18"/>
                <w:szCs w:val="18"/>
              </w:rPr>
              <w:t>478,800 (1,596 IPFs x 300 cases/IPF x 1 measure)</w:t>
            </w:r>
          </w:p>
        </w:tc>
        <w:tc>
          <w:tcPr>
            <w:tcW w:w="1521" w:type="dxa"/>
          </w:tcPr>
          <w:p w:rsidR="00B83836" w:rsidRPr="00AE5C2B" w14:paraId="46E174F5" w14:textId="3A24649A">
            <w:pPr>
              <w:jc w:val="center"/>
              <w:rPr>
                <w:sz w:val="18"/>
                <w:szCs w:val="18"/>
              </w:rPr>
            </w:pPr>
            <w:r>
              <w:rPr>
                <w:sz w:val="18"/>
                <w:szCs w:val="18"/>
              </w:rPr>
              <w:t>119,700 (478,800 responses x 0.25 hours/response)</w:t>
            </w:r>
          </w:p>
        </w:tc>
        <w:tc>
          <w:tcPr>
            <w:tcW w:w="1239" w:type="dxa"/>
          </w:tcPr>
          <w:p w:rsidR="00B83836" w14:paraId="5250B824" w14:textId="6C4736E7">
            <w:pPr>
              <w:jc w:val="center"/>
              <w:rPr>
                <w:sz w:val="18"/>
                <w:szCs w:val="18"/>
              </w:rPr>
            </w:pPr>
            <w:r>
              <w:rPr>
                <w:sz w:val="18"/>
                <w:szCs w:val="18"/>
              </w:rPr>
              <w:t>5</w:t>
            </w:r>
            <w:r w:rsidR="00802DC2">
              <w:rPr>
                <w:sz w:val="18"/>
                <w:szCs w:val="18"/>
              </w:rPr>
              <w:t>5.38</w:t>
            </w:r>
          </w:p>
        </w:tc>
        <w:tc>
          <w:tcPr>
            <w:tcW w:w="1926" w:type="dxa"/>
            <w:shd w:val="clear" w:color="auto" w:fill="auto"/>
          </w:tcPr>
          <w:p w:rsidR="00B83836" w:rsidRPr="00AE5C2B" w14:paraId="7DB50E72" w14:textId="07E31816">
            <w:pPr>
              <w:jc w:val="center"/>
              <w:rPr>
                <w:sz w:val="18"/>
                <w:szCs w:val="18"/>
              </w:rPr>
            </w:pPr>
            <w:r>
              <w:rPr>
                <w:sz w:val="18"/>
                <w:szCs w:val="18"/>
              </w:rPr>
              <w:t>6,238,764</w:t>
            </w:r>
          </w:p>
        </w:tc>
      </w:tr>
      <w:tr w14:paraId="05E4C224" w14:textId="77777777" w:rsidTr="009259F8">
        <w:tblPrEx>
          <w:tblW w:w="0" w:type="auto"/>
          <w:jc w:val="center"/>
          <w:tblLook w:val="04A0"/>
        </w:tblPrEx>
        <w:trPr>
          <w:jc w:val="center"/>
        </w:trPr>
        <w:tc>
          <w:tcPr>
            <w:tcW w:w="1600" w:type="dxa"/>
            <w:shd w:val="clear" w:color="auto" w:fill="auto"/>
          </w:tcPr>
          <w:p w:rsidR="00B83836" w14:paraId="6087CE1E" w14:textId="6CF215CD">
            <w:pPr>
              <w:rPr>
                <w:w w:val="105"/>
                <w:sz w:val="18"/>
                <w:szCs w:val="18"/>
              </w:rPr>
            </w:pPr>
            <w:r>
              <w:rPr>
                <w:w w:val="105"/>
                <w:sz w:val="18"/>
                <w:szCs w:val="18"/>
              </w:rPr>
              <w:t>Non-Measure Data</w:t>
            </w:r>
            <w:r w:rsidR="004C38E8">
              <w:rPr>
                <w:w w:val="105"/>
                <w:sz w:val="18"/>
                <w:szCs w:val="18"/>
              </w:rPr>
              <w:t xml:space="preserve"> (See B.12.j)</w:t>
            </w:r>
          </w:p>
        </w:tc>
        <w:tc>
          <w:tcPr>
            <w:tcW w:w="1478" w:type="dxa"/>
            <w:shd w:val="clear" w:color="auto" w:fill="auto"/>
          </w:tcPr>
          <w:p w:rsidR="00B83836" w14:paraId="54FB4909" w14:textId="6183532C">
            <w:pPr>
              <w:jc w:val="center"/>
              <w:rPr>
                <w:sz w:val="18"/>
                <w:szCs w:val="18"/>
              </w:rPr>
            </w:pPr>
            <w:r>
              <w:rPr>
                <w:sz w:val="18"/>
                <w:szCs w:val="18"/>
              </w:rPr>
              <w:t>1,596</w:t>
            </w:r>
          </w:p>
        </w:tc>
        <w:tc>
          <w:tcPr>
            <w:tcW w:w="1826" w:type="dxa"/>
          </w:tcPr>
          <w:p w:rsidR="00B83836" w:rsidRPr="00AE5C2B" w14:paraId="472DCCF0" w14:textId="7EE297BA">
            <w:pPr>
              <w:jc w:val="center"/>
              <w:rPr>
                <w:sz w:val="18"/>
                <w:szCs w:val="18"/>
              </w:rPr>
            </w:pPr>
            <w:r>
              <w:rPr>
                <w:sz w:val="18"/>
                <w:szCs w:val="18"/>
              </w:rPr>
              <w:t>6,384 (1,596 IPFs x 4 responses/IPF)</w:t>
            </w:r>
          </w:p>
        </w:tc>
        <w:tc>
          <w:tcPr>
            <w:tcW w:w="1521" w:type="dxa"/>
          </w:tcPr>
          <w:p w:rsidR="00B83836" w:rsidRPr="00AE5C2B" w14:paraId="431BF7E4" w14:textId="6CE40816">
            <w:pPr>
              <w:jc w:val="center"/>
              <w:rPr>
                <w:sz w:val="18"/>
                <w:szCs w:val="18"/>
              </w:rPr>
            </w:pPr>
            <w:r>
              <w:rPr>
                <w:sz w:val="18"/>
                <w:szCs w:val="18"/>
              </w:rPr>
              <w:t>3,192 (6,384 responses x 0.5 hours/response)</w:t>
            </w:r>
          </w:p>
        </w:tc>
        <w:tc>
          <w:tcPr>
            <w:tcW w:w="1239" w:type="dxa"/>
          </w:tcPr>
          <w:p w:rsidR="00B83836" w14:paraId="2301C477" w14:textId="03121C21">
            <w:pPr>
              <w:jc w:val="center"/>
              <w:rPr>
                <w:sz w:val="18"/>
                <w:szCs w:val="18"/>
              </w:rPr>
            </w:pPr>
            <w:r>
              <w:rPr>
                <w:sz w:val="18"/>
                <w:szCs w:val="18"/>
              </w:rPr>
              <w:t>5</w:t>
            </w:r>
            <w:r w:rsidR="00802DC2">
              <w:rPr>
                <w:sz w:val="18"/>
                <w:szCs w:val="18"/>
              </w:rPr>
              <w:t>5.38</w:t>
            </w:r>
          </w:p>
        </w:tc>
        <w:tc>
          <w:tcPr>
            <w:tcW w:w="1926" w:type="dxa"/>
            <w:shd w:val="clear" w:color="auto" w:fill="auto"/>
          </w:tcPr>
          <w:p w:rsidR="00B83836" w:rsidRPr="00AE5C2B" w14:paraId="15DACC85" w14:textId="399856C9">
            <w:pPr>
              <w:jc w:val="center"/>
              <w:rPr>
                <w:sz w:val="18"/>
                <w:szCs w:val="18"/>
              </w:rPr>
            </w:pPr>
            <w:r>
              <w:rPr>
                <w:sz w:val="18"/>
                <w:szCs w:val="18"/>
              </w:rPr>
              <w:t>166,367</w:t>
            </w:r>
          </w:p>
        </w:tc>
      </w:tr>
      <w:tr w14:paraId="50A9C2F9" w14:textId="77777777" w:rsidTr="009259F8">
        <w:tblPrEx>
          <w:tblW w:w="0" w:type="auto"/>
          <w:jc w:val="center"/>
          <w:tblLook w:val="04A0"/>
        </w:tblPrEx>
        <w:trPr>
          <w:jc w:val="center"/>
        </w:trPr>
        <w:tc>
          <w:tcPr>
            <w:tcW w:w="1600" w:type="dxa"/>
            <w:shd w:val="clear" w:color="auto" w:fill="auto"/>
          </w:tcPr>
          <w:p w:rsidR="008968F8" w:rsidP="008968F8" w14:paraId="0FA62113" w14:textId="3080314C">
            <w:pPr>
              <w:rPr>
                <w:w w:val="105"/>
                <w:sz w:val="18"/>
                <w:szCs w:val="18"/>
              </w:rPr>
            </w:pPr>
            <w:r>
              <w:rPr>
                <w:w w:val="105"/>
                <w:sz w:val="18"/>
                <w:szCs w:val="18"/>
              </w:rPr>
              <w:t xml:space="preserve">Patient Survey </w:t>
            </w:r>
            <w:r w:rsidR="007A709F">
              <w:rPr>
                <w:w w:val="105"/>
                <w:sz w:val="18"/>
                <w:szCs w:val="18"/>
              </w:rPr>
              <w:t xml:space="preserve">Completion </w:t>
            </w:r>
            <w:r w:rsidR="006372D3">
              <w:rPr>
                <w:w w:val="105"/>
                <w:sz w:val="18"/>
                <w:szCs w:val="18"/>
              </w:rPr>
              <w:t>–</w:t>
            </w:r>
            <w:r>
              <w:rPr>
                <w:w w:val="105"/>
                <w:sz w:val="18"/>
                <w:szCs w:val="18"/>
              </w:rPr>
              <w:t xml:space="preserve"> PIX</w:t>
            </w:r>
            <w:r w:rsidR="006372D3">
              <w:rPr>
                <w:w w:val="105"/>
                <w:sz w:val="18"/>
                <w:szCs w:val="18"/>
              </w:rPr>
              <w:t xml:space="preserve"> (See B.12.i)</w:t>
            </w:r>
          </w:p>
        </w:tc>
        <w:tc>
          <w:tcPr>
            <w:tcW w:w="1478" w:type="dxa"/>
            <w:shd w:val="clear" w:color="auto" w:fill="auto"/>
          </w:tcPr>
          <w:p w:rsidR="008968F8" w:rsidP="008968F8" w14:paraId="734F8208" w14:textId="5E86194C">
            <w:pPr>
              <w:jc w:val="center"/>
              <w:rPr>
                <w:sz w:val="18"/>
                <w:szCs w:val="18"/>
              </w:rPr>
            </w:pPr>
            <w:r>
              <w:rPr>
                <w:sz w:val="18"/>
                <w:szCs w:val="18"/>
              </w:rPr>
              <w:t>1,596</w:t>
            </w:r>
          </w:p>
        </w:tc>
        <w:tc>
          <w:tcPr>
            <w:tcW w:w="1826" w:type="dxa"/>
          </w:tcPr>
          <w:p w:rsidR="008968F8" w:rsidRPr="00AE5C2B" w:rsidP="008968F8" w14:paraId="4C3C6C95" w14:textId="5985560B">
            <w:pPr>
              <w:jc w:val="center"/>
              <w:rPr>
                <w:sz w:val="18"/>
                <w:szCs w:val="18"/>
              </w:rPr>
            </w:pPr>
            <w:r>
              <w:rPr>
                <w:sz w:val="18"/>
                <w:szCs w:val="18"/>
              </w:rPr>
              <w:t>478,800 (1,596 IPFs x 300 cases/IPF x 1 measure)</w:t>
            </w:r>
          </w:p>
        </w:tc>
        <w:tc>
          <w:tcPr>
            <w:tcW w:w="1521" w:type="dxa"/>
          </w:tcPr>
          <w:p w:rsidR="008968F8" w:rsidRPr="00AE5C2B" w:rsidP="008968F8" w14:paraId="451E7DC0" w14:textId="445DE181">
            <w:pPr>
              <w:jc w:val="center"/>
              <w:rPr>
                <w:sz w:val="18"/>
                <w:szCs w:val="18"/>
              </w:rPr>
            </w:pPr>
            <w:r>
              <w:rPr>
                <w:sz w:val="18"/>
                <w:szCs w:val="18"/>
              </w:rPr>
              <w:t>57,935 (478,800 responses x 0.121 hours/response)</w:t>
            </w:r>
          </w:p>
        </w:tc>
        <w:tc>
          <w:tcPr>
            <w:tcW w:w="1239" w:type="dxa"/>
          </w:tcPr>
          <w:p w:rsidR="008968F8" w:rsidP="008968F8" w14:paraId="3DCAFEA0" w14:textId="4774CED8">
            <w:pPr>
              <w:jc w:val="center"/>
              <w:rPr>
                <w:sz w:val="18"/>
                <w:szCs w:val="18"/>
              </w:rPr>
            </w:pPr>
            <w:r>
              <w:rPr>
                <w:sz w:val="18"/>
                <w:szCs w:val="18"/>
              </w:rPr>
              <w:t>2</w:t>
            </w:r>
            <w:r w:rsidR="00802DC2">
              <w:rPr>
                <w:sz w:val="18"/>
                <w:szCs w:val="18"/>
              </w:rPr>
              <w:t>5.63</w:t>
            </w:r>
          </w:p>
        </w:tc>
        <w:tc>
          <w:tcPr>
            <w:tcW w:w="1926" w:type="dxa"/>
            <w:shd w:val="clear" w:color="auto" w:fill="auto"/>
          </w:tcPr>
          <w:p w:rsidR="008968F8" w:rsidRPr="00AE5C2B" w:rsidP="008968F8" w14:paraId="2F970BBB" w14:textId="55C24D23">
            <w:pPr>
              <w:jc w:val="center"/>
              <w:rPr>
                <w:sz w:val="18"/>
                <w:szCs w:val="18"/>
              </w:rPr>
            </w:pPr>
            <w:r>
              <w:rPr>
                <w:sz w:val="18"/>
                <w:szCs w:val="18"/>
              </w:rPr>
              <w:t>1,392,757</w:t>
            </w:r>
          </w:p>
        </w:tc>
      </w:tr>
      <w:tr w14:paraId="126A483E" w14:textId="77777777" w:rsidTr="00802DC2">
        <w:tblPrEx>
          <w:tblW w:w="0" w:type="auto"/>
          <w:jc w:val="center"/>
          <w:tblLook w:val="04A0"/>
        </w:tblPrEx>
        <w:trPr>
          <w:trHeight w:val="79"/>
          <w:jc w:val="center"/>
        </w:trPr>
        <w:tc>
          <w:tcPr>
            <w:tcW w:w="1600" w:type="dxa"/>
            <w:shd w:val="clear" w:color="auto" w:fill="BFBFBF" w:themeFill="background1" w:themeFillShade="BF"/>
          </w:tcPr>
          <w:p w:rsidR="008968F8" w:rsidRPr="0027128F" w:rsidP="008968F8" w14:paraId="4644459F" w14:textId="77777777">
            <w:pPr>
              <w:rPr>
                <w:b/>
                <w:bCs/>
                <w:w w:val="105"/>
                <w:sz w:val="20"/>
                <w:szCs w:val="20"/>
              </w:rPr>
            </w:pPr>
            <w:r w:rsidRPr="0027128F">
              <w:rPr>
                <w:b/>
                <w:bCs/>
                <w:w w:val="105"/>
                <w:sz w:val="20"/>
                <w:szCs w:val="20"/>
              </w:rPr>
              <w:t>TOTAL</w:t>
            </w:r>
          </w:p>
        </w:tc>
        <w:tc>
          <w:tcPr>
            <w:tcW w:w="1478" w:type="dxa"/>
            <w:shd w:val="clear" w:color="auto" w:fill="BFBFBF" w:themeFill="background1" w:themeFillShade="BF"/>
          </w:tcPr>
          <w:p w:rsidR="008968F8" w:rsidRPr="0027128F" w:rsidP="008968F8" w14:paraId="442FC798" w14:textId="77777777">
            <w:pPr>
              <w:jc w:val="center"/>
              <w:rPr>
                <w:b/>
                <w:bCs/>
                <w:sz w:val="20"/>
                <w:szCs w:val="20"/>
              </w:rPr>
            </w:pPr>
            <w:r w:rsidRPr="0027128F">
              <w:rPr>
                <w:b/>
                <w:bCs/>
                <w:sz w:val="20"/>
                <w:szCs w:val="20"/>
              </w:rPr>
              <w:t>1,596</w:t>
            </w:r>
          </w:p>
        </w:tc>
        <w:tc>
          <w:tcPr>
            <w:tcW w:w="1826" w:type="dxa"/>
            <w:shd w:val="clear" w:color="auto" w:fill="BFBFBF" w:themeFill="background1" w:themeFillShade="BF"/>
          </w:tcPr>
          <w:p w:rsidR="008968F8" w:rsidRPr="0027128F" w:rsidP="00802DC2" w14:paraId="7808DC18" w14:textId="0E4110A6">
            <w:pPr>
              <w:jc w:val="center"/>
              <w:rPr>
                <w:b/>
                <w:bCs/>
                <w:sz w:val="20"/>
                <w:szCs w:val="20"/>
              </w:rPr>
            </w:pPr>
            <w:r w:rsidRPr="00952A36">
              <w:rPr>
                <w:b/>
                <w:bCs/>
                <w:color w:val="000000"/>
                <w:sz w:val="18"/>
                <w:szCs w:val="18"/>
              </w:rPr>
              <w:t>1</w:t>
            </w:r>
            <w:r w:rsidR="00802DC2">
              <w:rPr>
                <w:b/>
                <w:bCs/>
                <w:sz w:val="20"/>
                <w:szCs w:val="20"/>
              </w:rPr>
              <w:t>0,820,880</w:t>
            </w:r>
          </w:p>
        </w:tc>
        <w:tc>
          <w:tcPr>
            <w:tcW w:w="1521" w:type="dxa"/>
            <w:shd w:val="clear" w:color="auto" w:fill="BFBFBF" w:themeFill="background1" w:themeFillShade="BF"/>
          </w:tcPr>
          <w:p w:rsidR="008968F8" w:rsidRPr="0069211B" w:rsidP="00802DC2" w14:paraId="06F088AC" w14:textId="5C0DC09B">
            <w:pPr>
              <w:jc w:val="center"/>
              <w:rPr>
                <w:sz w:val="20"/>
                <w:szCs w:val="20"/>
              </w:rPr>
            </w:pPr>
            <w:r w:rsidRPr="0069211B">
              <w:rPr>
                <w:b/>
                <w:bCs/>
                <w:color w:val="000000"/>
                <w:sz w:val="18"/>
                <w:szCs w:val="18"/>
              </w:rPr>
              <w:t>2,</w:t>
            </w:r>
            <w:r w:rsidR="00802DC2">
              <w:rPr>
                <w:b/>
                <w:bCs/>
                <w:color w:val="000000"/>
                <w:sz w:val="18"/>
                <w:szCs w:val="18"/>
              </w:rPr>
              <w:t>645,051</w:t>
            </w:r>
          </w:p>
        </w:tc>
        <w:tc>
          <w:tcPr>
            <w:tcW w:w="1239" w:type="dxa"/>
            <w:shd w:val="clear" w:color="auto" w:fill="BFBFBF" w:themeFill="background1" w:themeFillShade="BF"/>
          </w:tcPr>
          <w:p w:rsidR="008968F8" w:rsidP="008968F8" w14:paraId="54B7DD04" w14:textId="6008A03E">
            <w:pPr>
              <w:jc w:val="center"/>
              <w:rPr>
                <w:b/>
                <w:bCs/>
                <w:sz w:val="20"/>
                <w:szCs w:val="20"/>
              </w:rPr>
            </w:pPr>
            <w:r>
              <w:rPr>
                <w:b/>
                <w:bCs/>
                <w:sz w:val="20"/>
                <w:szCs w:val="20"/>
              </w:rPr>
              <w:t>Varies</w:t>
            </w:r>
          </w:p>
        </w:tc>
        <w:tc>
          <w:tcPr>
            <w:tcW w:w="1926" w:type="dxa"/>
            <w:shd w:val="clear" w:color="auto" w:fill="BFBFBF" w:themeFill="background1" w:themeFillShade="BF"/>
          </w:tcPr>
          <w:p w:rsidR="008968F8" w:rsidRPr="0027128F" w:rsidP="00802DC2" w14:paraId="2CA6B493" w14:textId="071DC5E1">
            <w:pPr>
              <w:jc w:val="center"/>
              <w:rPr>
                <w:b/>
                <w:bCs/>
                <w:sz w:val="20"/>
                <w:szCs w:val="20"/>
              </w:rPr>
            </w:pPr>
            <w:r w:rsidRPr="009228FF">
              <w:rPr>
                <w:b/>
                <w:bCs/>
                <w:color w:val="000000"/>
                <w:sz w:val="18"/>
                <w:szCs w:val="18"/>
              </w:rPr>
              <w:t>1</w:t>
            </w:r>
            <w:r w:rsidR="00802DC2">
              <w:rPr>
                <w:b/>
                <w:bCs/>
                <w:color w:val="000000"/>
                <w:sz w:val="18"/>
                <w:szCs w:val="18"/>
              </w:rPr>
              <w:t>44,759,358</w:t>
            </w:r>
          </w:p>
        </w:tc>
      </w:tr>
      <w:bookmarkEnd w:id="18"/>
    </w:tbl>
    <w:p w:rsidR="0088435B" w:rsidRPr="002E3733" w:rsidP="0088435B" w14:paraId="6084E5DB" w14:textId="77777777"/>
    <w:bookmarkEnd w:id="17"/>
    <w:p w:rsidR="005E41F1" w:rsidRPr="002E3733" w:rsidP="00643724" w14:paraId="57336DD2" w14:textId="737380FD">
      <w:pPr>
        <w:pStyle w:val="Heading2"/>
      </w:pPr>
      <w:r w:rsidRPr="002E3733">
        <w:t>Capital Costs (Maintenance of Capital</w:t>
      </w:r>
      <w:r w:rsidRPr="002E3733">
        <w:rPr>
          <w:spacing w:val="-12"/>
        </w:rPr>
        <w:t xml:space="preserve"> </w:t>
      </w:r>
      <w:r w:rsidRPr="002E3733">
        <w:t>Costs)</w:t>
      </w:r>
    </w:p>
    <w:p w:rsidR="000B2EA2" w:rsidRPr="002E3733" w:rsidP="00E9146E" w14:paraId="6C521A6B" w14:textId="218CE46F">
      <w:pPr>
        <w:pStyle w:val="BodyText"/>
      </w:pPr>
      <w:r>
        <w:t xml:space="preserve">We do not anticipate any capital costs associated with the </w:t>
      </w:r>
      <w:r w:rsidR="00895D3A">
        <w:t xml:space="preserve">policies </w:t>
      </w:r>
      <w:r>
        <w:t>in the FY 202</w:t>
      </w:r>
      <w:r w:rsidR="00802DC2">
        <w:t>6</w:t>
      </w:r>
      <w:r>
        <w:t xml:space="preserve"> IPF PPS </w:t>
      </w:r>
      <w:r w:rsidR="00802DC2">
        <w:t>proposed</w:t>
      </w:r>
      <w:r w:rsidR="00895D3A">
        <w:t xml:space="preserve"> </w:t>
      </w:r>
      <w:r>
        <w:t xml:space="preserve">rule. </w:t>
      </w:r>
    </w:p>
    <w:p w:rsidR="005E41F1" w:rsidRPr="002E3733" w:rsidP="00643724" w14:paraId="7D2BDEC8" w14:textId="77777777">
      <w:pPr>
        <w:pStyle w:val="Heading2"/>
      </w:pPr>
      <w:r w:rsidRPr="002E3733">
        <w:t>Cost to Federal</w:t>
      </w:r>
      <w:r w:rsidRPr="002E3733">
        <w:rPr>
          <w:spacing w:val="-11"/>
        </w:rPr>
        <w:t xml:space="preserve"> </w:t>
      </w:r>
      <w:r w:rsidRPr="002E3733">
        <w:t>Government</w:t>
      </w:r>
    </w:p>
    <w:p w:rsidR="001B5450" w:rsidP="001B5450" w14:paraId="0BD30783" w14:textId="39D0DBC4">
      <w:pPr>
        <w:pStyle w:val="BodyText"/>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IPFs</w:t>
      </w:r>
      <w:r w:rsidRPr="007A5678">
        <w:t xml:space="preserve"> and</w:t>
      </w:r>
      <w:r>
        <w:t xml:space="preserve"> their</w:t>
      </w:r>
      <w:r w:rsidRPr="007A5678">
        <w:t xml:space="preserve"> vendors</w:t>
      </w:r>
      <w:r>
        <w:t xml:space="preserve">, calculation of </w:t>
      </w:r>
      <w:r w:rsidRPr="007A5678">
        <w:t>claims-based measure</w:t>
      </w:r>
      <w:r>
        <w:t>s and validation, measure development and maintenance, the provision of IPFs</w:t>
      </w:r>
      <w:r w:rsidRPr="007A5678">
        <w:t xml:space="preserve"> with feedback </w:t>
      </w:r>
      <w:r>
        <w:t xml:space="preserve">and preview </w:t>
      </w:r>
      <w:r w:rsidRPr="007A5678">
        <w:t>reports</w:t>
      </w:r>
      <w:r>
        <w:t xml:space="preserve">, as well as costs associated with public reporting. </w:t>
      </w:r>
      <w:r w:rsidRPr="00F16402">
        <w:t xml:space="preserve">These costs are </w:t>
      </w:r>
      <w:r>
        <w:t xml:space="preserve">inclusive of the costs described in OMB control number 0938-1022, </w:t>
      </w:r>
      <w:r w:rsidRPr="00F16402">
        <w:t xml:space="preserve">estimated at </w:t>
      </w:r>
      <w:r w:rsidRPr="000A5448">
        <w:t>$10,050,000</w:t>
      </w:r>
      <w:r w:rsidRPr="00F16402">
        <w:t xml:space="preserve"> annually for the validation and quality reporting contracts</w:t>
      </w:r>
      <w:r>
        <w:t xml:space="preserve"> which support multiple quality programs</w:t>
      </w:r>
      <w:r w:rsidRPr="00F16402">
        <w:t>.</w:t>
      </w:r>
      <w:r w:rsidRPr="005F3A61">
        <w:t xml:space="preserve"> </w:t>
      </w:r>
      <w:r w:rsidR="002202B3">
        <w:t>Th</w:t>
      </w:r>
      <w:r>
        <w:t>e</w:t>
      </w:r>
      <w:r w:rsidR="002202B3">
        <w:t xml:space="preserve"> </w:t>
      </w:r>
      <w:r>
        <w:t>IPFQR P</w:t>
      </w:r>
      <w:r w:rsidR="002202B3">
        <w:t xml:space="preserve">rogram </w:t>
      </w:r>
      <w:r>
        <w:t xml:space="preserve">also </w:t>
      </w:r>
      <w:r w:rsidR="002202B3">
        <w:t xml:space="preserve">requires one CMS staff at a GS-13 Step </w:t>
      </w:r>
      <w:r>
        <w:t>5</w:t>
      </w:r>
      <w:r w:rsidR="002202B3">
        <w:t xml:space="preserve"> level to operate. The approximate </w:t>
      </w:r>
      <w:r>
        <w:t xml:space="preserve">annual </w:t>
      </w:r>
      <w:r w:rsidR="002202B3">
        <w:t xml:space="preserve">salary for GS-13 Step </w:t>
      </w:r>
      <w:r w:rsidR="00802DC2">
        <w:t>5</w:t>
      </w:r>
      <w:r w:rsidR="002202B3">
        <w:t xml:space="preserve"> is $1</w:t>
      </w:r>
      <w:r w:rsidR="00802DC2">
        <w:t>36,658</w:t>
      </w:r>
      <w:r w:rsidR="002202B3">
        <w:t xml:space="preserve"> plus benefits (30%) of $</w:t>
      </w:r>
      <w:r w:rsidR="00802DC2">
        <w:t>40,997</w:t>
      </w:r>
      <w:r w:rsidR="002202B3">
        <w:t xml:space="preserve"> for </w:t>
      </w:r>
      <w:r w:rsidR="002202B3">
        <w:t>a total</w:t>
      </w:r>
      <w:r w:rsidR="002202B3">
        <w:t xml:space="preserve"> </w:t>
      </w:r>
      <w:r>
        <w:t xml:space="preserve">compensation </w:t>
      </w:r>
      <w:r w:rsidR="002202B3">
        <w:t>of $1</w:t>
      </w:r>
      <w:r w:rsidR="00802DC2">
        <w:t>77,655</w:t>
      </w:r>
      <w:r w:rsidR="002202B3">
        <w:t>.</w:t>
      </w:r>
    </w:p>
    <w:p w:rsidR="00D9771F" w:rsidRPr="002E3733" w:rsidP="00E16D7B" w14:paraId="25DF632A" w14:textId="30232336">
      <w:pPr>
        <w:pStyle w:val="BodyText"/>
      </w:pPr>
      <w:r>
        <w:t xml:space="preserve">For most of the claims-based measures, the cost to the Federal Government is minimal. </w:t>
      </w:r>
      <w:r w:rsidR="00725633">
        <w:t>We</w:t>
      </w:r>
      <w:r>
        <w:t xml:space="preserve"> use data from the CMS National Claims History system that </w:t>
      </w:r>
      <w:r>
        <w:t>are</w:t>
      </w:r>
      <w:r>
        <w:t xml:space="preserve"> already being collected for provider reimbursement; therefore, no additional data will need to be submitted by </w:t>
      </w:r>
      <w:r w:rsidR="00725633">
        <w:t>IPF</w:t>
      </w:r>
      <w:r>
        <w:t>s for claims-based measures.</w:t>
      </w:r>
      <w:bookmarkStart w:id="19" w:name="16._Publication/Tabulation_Dates"/>
      <w:bookmarkEnd w:id="19"/>
      <w:r w:rsidRPr="002E3733">
        <w:t xml:space="preserve"> </w:t>
      </w:r>
    </w:p>
    <w:p w:rsidR="005E41F1" w:rsidRPr="002E3733" w:rsidP="00643724" w14:paraId="07A91ECE" w14:textId="170F7FCD">
      <w:pPr>
        <w:pStyle w:val="Heading2"/>
      </w:pPr>
      <w:r w:rsidRPr="002E3733">
        <w:t xml:space="preserve">Program </w:t>
      </w:r>
      <w:r w:rsidRPr="002E3733" w:rsidR="00B30A57">
        <w:t xml:space="preserve">and </w:t>
      </w:r>
      <w:r w:rsidRPr="002E3733">
        <w:t>Burden</w:t>
      </w:r>
      <w:r w:rsidRPr="002E3733">
        <w:rPr>
          <w:spacing w:val="-10"/>
        </w:rPr>
        <w:t xml:space="preserve"> </w:t>
      </w:r>
      <w:r w:rsidRPr="002E3733">
        <w:t>Changes</w:t>
      </w:r>
    </w:p>
    <w:p w:rsidR="00995558" w:rsidP="00E9146E" w14:paraId="233C04E0" w14:textId="2EC54CFE">
      <w:pPr>
        <w:pStyle w:val="BodyText"/>
      </w:pPr>
      <w:r w:rsidRPr="002E3733">
        <w:t xml:space="preserve">This collection of information </w:t>
      </w:r>
      <w:r w:rsidRPr="002E3733">
        <w:t>request</w:t>
      </w:r>
      <w:r w:rsidRPr="002E3733">
        <w:t xml:space="preserve"> </w:t>
      </w:r>
      <w:r w:rsidR="00EF678A">
        <w:t>describes</w:t>
      </w:r>
      <w:r w:rsidRPr="002E3733" w:rsidR="007A4437">
        <w:t xml:space="preserve"> </w:t>
      </w:r>
      <w:r w:rsidRPr="002E3733">
        <w:t xml:space="preserve">changes </w:t>
      </w:r>
      <w:r w:rsidR="00745479">
        <w:t xml:space="preserve">to the </w:t>
      </w:r>
      <w:r w:rsidRPr="002E3733">
        <w:t xml:space="preserve">IPFQR Program in association with </w:t>
      </w:r>
      <w:r w:rsidR="00EF678A">
        <w:t>the</w:t>
      </w:r>
      <w:r w:rsidRPr="002E3733">
        <w:t xml:space="preserve"> FY 202</w:t>
      </w:r>
      <w:r w:rsidR="00EA7DED">
        <w:t>6</w:t>
      </w:r>
      <w:r w:rsidRPr="002E3733">
        <w:t xml:space="preserve"> IPF PPS </w:t>
      </w:r>
      <w:r w:rsidR="00EA7DED">
        <w:t>proposed</w:t>
      </w:r>
      <w:r w:rsidR="009228FF">
        <w:t xml:space="preserve"> rule</w:t>
      </w:r>
      <w:r w:rsidRPr="002E3733">
        <w:t xml:space="preserve"> (</w:t>
      </w:r>
      <w:r w:rsidRPr="00094335" w:rsidR="00745479">
        <w:t>CMS-18</w:t>
      </w:r>
      <w:r w:rsidRPr="00094335" w:rsidR="00094335">
        <w:t>31</w:t>
      </w:r>
      <w:r w:rsidRPr="00094335" w:rsidR="00745479">
        <w:t>-</w:t>
      </w:r>
      <w:r w:rsidRPr="00094335" w:rsidR="00EA7DED">
        <w:t>P</w:t>
      </w:r>
      <w:r w:rsidRPr="00094335" w:rsidR="00745479">
        <w:t>, RIN 0938-AV</w:t>
      </w:r>
      <w:r w:rsidRPr="00094335" w:rsidR="00094335">
        <w:t>46</w:t>
      </w:r>
      <w:r w:rsidRPr="002E3733">
        <w:t xml:space="preserve">) and burden adjustments based on the availability of more recent wage figures. The </w:t>
      </w:r>
      <w:r w:rsidR="00EA7DED">
        <w:t>proposed</w:t>
      </w:r>
      <w:r w:rsidR="002C3DD9">
        <w:t xml:space="preserve"> </w:t>
      </w:r>
      <w:r w:rsidRPr="002E3733">
        <w:t xml:space="preserve">rule-related change </w:t>
      </w:r>
      <w:r w:rsidR="004E52B1">
        <w:t xml:space="preserve">reflects </w:t>
      </w:r>
      <w:r w:rsidR="00EA7DED">
        <w:t xml:space="preserve">removal of three </w:t>
      </w:r>
      <w:r w:rsidR="00745479">
        <w:t>measure</w:t>
      </w:r>
      <w:r w:rsidR="00EA7DED">
        <w:t>s</w:t>
      </w:r>
      <w:r w:rsidR="00A27090">
        <w:t xml:space="preserve"> (we reiterate that </w:t>
      </w:r>
      <w:r w:rsidR="00B763A1">
        <w:t xml:space="preserve">burden associated with </w:t>
      </w:r>
      <w:r w:rsidR="00A27090">
        <w:t xml:space="preserve">the COVID-19 Vaccination </w:t>
      </w:r>
      <w:r w:rsidR="00146AE2">
        <w:t xml:space="preserve">Coverage </w:t>
      </w:r>
      <w:r w:rsidR="004E52B1">
        <w:t>A</w:t>
      </w:r>
      <w:r w:rsidR="00146AE2">
        <w:t xml:space="preserve">mong HCP </w:t>
      </w:r>
      <w:r w:rsidR="00B763A1">
        <w:t>measure is accounted from under a separate OMB control number)</w:t>
      </w:r>
      <w:r w:rsidR="00745479">
        <w:t>.</w:t>
      </w:r>
      <w:r>
        <w:t xml:space="preserve"> </w:t>
      </w:r>
    </w:p>
    <w:p w:rsidR="00920A58" w:rsidP="00920A58" w14:paraId="16C84215" w14:textId="77777777">
      <w:pPr>
        <w:pStyle w:val="Heading3"/>
        <w:numPr>
          <w:ilvl w:val="0"/>
          <w:numId w:val="50"/>
        </w:numPr>
      </w:pPr>
      <w:r w:rsidRPr="0001750E">
        <w:t xml:space="preserve">Effects </w:t>
      </w:r>
      <w:r>
        <w:t>Updates on Facility and Patient Burden</w:t>
      </w:r>
      <w:r>
        <w:tab/>
      </w:r>
    </w:p>
    <w:p w:rsidR="00920A58" w:rsidP="00920A58" w14:paraId="5FA42160" w14:textId="4B8A393A">
      <w:pPr>
        <w:pStyle w:val="Heading3"/>
        <w:numPr>
          <w:ilvl w:val="0"/>
          <w:numId w:val="0"/>
        </w:numPr>
        <w:ind w:left="180"/>
        <w:rPr>
          <w:i w:val="0"/>
          <w:iCs/>
        </w:rPr>
      </w:pPr>
      <w:r>
        <w:rPr>
          <w:i w:val="0"/>
          <w:iCs/>
        </w:rPr>
        <w:t>In the FY 202</w:t>
      </w:r>
      <w:r w:rsidR="004E52B1">
        <w:rPr>
          <w:i w:val="0"/>
          <w:iCs/>
        </w:rPr>
        <w:t>6</w:t>
      </w:r>
      <w:r>
        <w:rPr>
          <w:i w:val="0"/>
          <w:iCs/>
        </w:rPr>
        <w:t xml:space="preserve"> IPF PPS proposed rule</w:t>
      </w:r>
      <w:r w:rsidR="004B4D5B">
        <w:rPr>
          <w:i w:val="0"/>
          <w:iCs/>
        </w:rPr>
        <w:t>, we proposed to remove four measures beginning with the FY 2026 payment determination</w:t>
      </w:r>
      <w:r w:rsidRPr="00920A58">
        <w:rPr>
          <w:i w:val="0"/>
          <w:iCs/>
        </w:rPr>
        <w:t>: (1) the Facility Commitment to Health Equity measure; (2) the COVID-19 Vaccination Coverage among HCP measure; (3) the Screening for Social Drivers of Health measure; and (4) the Screen Positive Rate for Social Drivers of Health measure.</w:t>
      </w:r>
      <w:r>
        <w:rPr>
          <w:i w:val="0"/>
          <w:iCs/>
        </w:rPr>
        <w:t xml:space="preserve">  We note that the proposed removal of the COVID-19 Vaccination Coverage </w:t>
      </w:r>
      <w:r w:rsidR="004E52B1">
        <w:rPr>
          <w:i w:val="0"/>
          <w:iCs/>
        </w:rPr>
        <w:t>A</w:t>
      </w:r>
      <w:r>
        <w:rPr>
          <w:i w:val="0"/>
          <w:iCs/>
        </w:rPr>
        <w:t>mong HCP measure would have no effect on information collection burden under OMB control number 0938-1171.  Table 4 below reflects the reduction in burden associated with the proposed removal of these measures.</w:t>
      </w:r>
    </w:p>
    <w:p w:rsidR="00920A58" w:rsidP="007738B4" w14:paraId="0B20B693" w14:textId="77707ACC">
      <w:pPr>
        <w:pStyle w:val="Caption"/>
        <w:jc w:val="center"/>
      </w:pPr>
      <w:r>
        <w:t xml:space="preserve">Table </w:t>
      </w:r>
      <w:r w:rsidR="004B4D5B">
        <w:t>4</w:t>
      </w:r>
      <w:r>
        <w:t>: Updates to Burden Associated with Proposed Measure Removals</w:t>
      </w:r>
    </w:p>
    <w:tbl>
      <w:tblPr>
        <w:tblStyle w:val="TableGrid2"/>
        <w:tblW w:w="9990" w:type="dxa"/>
        <w:tblInd w:w="-5" w:type="dxa"/>
        <w:tblLook w:val="04A0"/>
      </w:tblPr>
      <w:tblGrid>
        <w:gridCol w:w="1938"/>
        <w:gridCol w:w="1306"/>
        <w:gridCol w:w="1174"/>
        <w:gridCol w:w="1122"/>
        <w:gridCol w:w="1017"/>
        <w:gridCol w:w="963"/>
        <w:gridCol w:w="1067"/>
        <w:gridCol w:w="1403"/>
      </w:tblGrid>
      <w:tr w14:paraId="2C1700BB" w14:textId="77777777" w:rsidTr="00F51287">
        <w:tblPrEx>
          <w:tblW w:w="9990" w:type="dxa"/>
          <w:tblInd w:w="-5" w:type="dxa"/>
          <w:tblLook w:val="04A0"/>
        </w:tblPrEx>
        <w:trPr>
          <w:tblHeader/>
        </w:trPr>
        <w:tc>
          <w:tcPr>
            <w:tcW w:w="1938" w:type="dxa"/>
            <w:shd w:val="clear" w:color="auto" w:fill="BFBFBF" w:themeFill="background1" w:themeFillShade="BF"/>
          </w:tcPr>
          <w:p w:rsidR="00920A58" w:rsidRPr="009449D5" w:rsidP="00F51287" w14:paraId="0108DBCE" w14:textId="77777777">
            <w:pPr>
              <w:keepNext/>
              <w:tabs>
                <w:tab w:val="left" w:pos="720"/>
              </w:tabs>
              <w:rPr>
                <w:b/>
                <w:bCs/>
                <w:snapToGrid w:val="0"/>
              </w:rPr>
            </w:pPr>
            <w:r w:rsidRPr="009449D5">
              <w:rPr>
                <w:b/>
                <w:bCs/>
                <w:snapToGrid w:val="0"/>
              </w:rPr>
              <w:t>Measure</w:t>
            </w:r>
            <w:r>
              <w:rPr>
                <w:b/>
                <w:bCs/>
                <w:snapToGrid w:val="0"/>
              </w:rPr>
              <w:t xml:space="preserve"> ID</w:t>
            </w:r>
          </w:p>
        </w:tc>
        <w:tc>
          <w:tcPr>
            <w:tcW w:w="1306" w:type="dxa"/>
            <w:shd w:val="clear" w:color="auto" w:fill="BFBFBF" w:themeFill="background1" w:themeFillShade="BF"/>
          </w:tcPr>
          <w:p w:rsidR="00920A58" w:rsidRPr="009449D5" w:rsidP="00F51287" w14:paraId="4BE51C5E" w14:textId="77777777">
            <w:pPr>
              <w:keepNext/>
              <w:tabs>
                <w:tab w:val="left" w:pos="720"/>
              </w:tabs>
              <w:rPr>
                <w:b/>
                <w:bCs/>
                <w:snapToGrid w:val="0"/>
              </w:rPr>
            </w:pPr>
            <w:r w:rsidRPr="009449D5">
              <w:rPr>
                <w:b/>
                <w:bCs/>
                <w:snapToGrid w:val="0"/>
              </w:rPr>
              <w:t># Respondents (Facilities)</w:t>
            </w:r>
          </w:p>
        </w:tc>
        <w:tc>
          <w:tcPr>
            <w:tcW w:w="1174" w:type="dxa"/>
            <w:shd w:val="clear" w:color="auto" w:fill="BFBFBF" w:themeFill="background1" w:themeFillShade="BF"/>
          </w:tcPr>
          <w:p w:rsidR="00920A58" w:rsidRPr="009449D5" w:rsidP="00F51287" w14:paraId="2F7E1446" w14:textId="77777777">
            <w:pPr>
              <w:keepNext/>
              <w:tabs>
                <w:tab w:val="left" w:pos="720"/>
              </w:tabs>
              <w:rPr>
                <w:b/>
                <w:bCs/>
                <w:snapToGrid w:val="0"/>
              </w:rPr>
            </w:pPr>
            <w:r w:rsidRPr="009449D5">
              <w:rPr>
                <w:b/>
                <w:bCs/>
                <w:snapToGrid w:val="0"/>
              </w:rPr>
              <w:t>Estimated Responses per Facility</w:t>
            </w:r>
          </w:p>
        </w:tc>
        <w:tc>
          <w:tcPr>
            <w:tcW w:w="1122" w:type="dxa"/>
            <w:shd w:val="clear" w:color="auto" w:fill="BFBFBF" w:themeFill="background1" w:themeFillShade="BF"/>
          </w:tcPr>
          <w:p w:rsidR="00920A58" w:rsidRPr="009449D5" w:rsidP="00F51287" w14:paraId="12DC835F" w14:textId="77777777">
            <w:pPr>
              <w:keepNext/>
              <w:tabs>
                <w:tab w:val="left" w:pos="720"/>
              </w:tabs>
              <w:rPr>
                <w:b/>
                <w:bCs/>
                <w:snapToGrid w:val="0"/>
              </w:rPr>
            </w:pPr>
            <w:r w:rsidRPr="009449D5">
              <w:rPr>
                <w:b/>
                <w:bCs/>
                <w:snapToGrid w:val="0"/>
              </w:rPr>
              <w:t>Total Annual Responses</w:t>
            </w:r>
          </w:p>
        </w:tc>
        <w:tc>
          <w:tcPr>
            <w:tcW w:w="1017" w:type="dxa"/>
            <w:shd w:val="clear" w:color="auto" w:fill="BFBFBF" w:themeFill="background1" w:themeFillShade="BF"/>
          </w:tcPr>
          <w:p w:rsidR="00920A58" w:rsidRPr="009449D5" w:rsidP="00F51287" w14:paraId="30A880FF" w14:textId="77777777">
            <w:pPr>
              <w:keepNext/>
              <w:tabs>
                <w:tab w:val="left" w:pos="720"/>
              </w:tabs>
              <w:rPr>
                <w:b/>
                <w:bCs/>
                <w:snapToGrid w:val="0"/>
              </w:rPr>
            </w:pPr>
            <w:r w:rsidRPr="009449D5">
              <w:rPr>
                <w:b/>
                <w:bCs/>
                <w:snapToGrid w:val="0"/>
              </w:rPr>
              <w:t>Time per Response (hours)</w:t>
            </w:r>
          </w:p>
        </w:tc>
        <w:tc>
          <w:tcPr>
            <w:tcW w:w="963" w:type="dxa"/>
            <w:shd w:val="clear" w:color="auto" w:fill="BFBFBF" w:themeFill="background1" w:themeFillShade="BF"/>
          </w:tcPr>
          <w:p w:rsidR="00920A58" w:rsidRPr="009449D5" w:rsidP="00F51287" w14:paraId="4B6973ED" w14:textId="77777777">
            <w:pPr>
              <w:keepNext/>
              <w:tabs>
                <w:tab w:val="left" w:pos="720"/>
              </w:tabs>
              <w:rPr>
                <w:b/>
                <w:bCs/>
                <w:snapToGrid w:val="0"/>
              </w:rPr>
            </w:pPr>
            <w:r w:rsidRPr="009449D5">
              <w:rPr>
                <w:b/>
                <w:bCs/>
                <w:snapToGrid w:val="0"/>
              </w:rPr>
              <w:t>Time per Facility (hours)</w:t>
            </w:r>
          </w:p>
        </w:tc>
        <w:tc>
          <w:tcPr>
            <w:tcW w:w="1067" w:type="dxa"/>
            <w:shd w:val="clear" w:color="auto" w:fill="BFBFBF" w:themeFill="background1" w:themeFillShade="BF"/>
          </w:tcPr>
          <w:p w:rsidR="00920A58" w:rsidRPr="009449D5" w:rsidP="00F51287" w14:paraId="27913B44" w14:textId="77777777">
            <w:pPr>
              <w:keepNext/>
              <w:tabs>
                <w:tab w:val="left" w:pos="720"/>
              </w:tabs>
              <w:rPr>
                <w:b/>
                <w:bCs/>
                <w:snapToGrid w:val="0"/>
              </w:rPr>
            </w:pPr>
            <w:r w:rsidRPr="009449D5">
              <w:rPr>
                <w:b/>
                <w:bCs/>
                <w:snapToGrid w:val="0"/>
              </w:rPr>
              <w:t>Total Time (hours)</w:t>
            </w:r>
          </w:p>
        </w:tc>
        <w:tc>
          <w:tcPr>
            <w:tcW w:w="1403" w:type="dxa"/>
            <w:shd w:val="clear" w:color="auto" w:fill="BFBFBF" w:themeFill="background1" w:themeFillShade="BF"/>
          </w:tcPr>
          <w:p w:rsidR="00920A58" w:rsidRPr="009449D5" w:rsidP="00F51287" w14:paraId="099B7653" w14:textId="77777777">
            <w:pPr>
              <w:keepNext/>
              <w:tabs>
                <w:tab w:val="left" w:pos="720"/>
              </w:tabs>
              <w:rPr>
                <w:b/>
                <w:bCs/>
                <w:snapToGrid w:val="0"/>
              </w:rPr>
            </w:pPr>
            <w:r w:rsidRPr="009449D5">
              <w:rPr>
                <w:b/>
                <w:bCs/>
                <w:snapToGrid w:val="0"/>
              </w:rPr>
              <w:t>Total Cost ($)</w:t>
            </w:r>
          </w:p>
        </w:tc>
      </w:tr>
      <w:tr w14:paraId="53AF2295" w14:textId="77777777" w:rsidTr="00F51287">
        <w:tblPrEx>
          <w:tblW w:w="9990" w:type="dxa"/>
          <w:tblInd w:w="-5" w:type="dxa"/>
          <w:tblLook w:val="04A0"/>
        </w:tblPrEx>
        <w:tc>
          <w:tcPr>
            <w:tcW w:w="1938" w:type="dxa"/>
          </w:tcPr>
          <w:p w:rsidR="00920A58" w:rsidRPr="009449D5" w:rsidP="00F51287" w14:paraId="0983D0B7" w14:textId="1D597068">
            <w:pPr>
              <w:tabs>
                <w:tab w:val="left" w:pos="720"/>
              </w:tabs>
              <w:rPr>
                <w:snapToGrid w:val="0"/>
                <w:sz w:val="18"/>
                <w:szCs w:val="18"/>
              </w:rPr>
            </w:pPr>
            <w:r>
              <w:rPr>
                <w:snapToGrid w:val="0"/>
                <w:sz w:val="18"/>
                <w:szCs w:val="18"/>
              </w:rPr>
              <w:t>Facility Commitment to Health Equity</w:t>
            </w:r>
          </w:p>
        </w:tc>
        <w:tc>
          <w:tcPr>
            <w:tcW w:w="1306" w:type="dxa"/>
          </w:tcPr>
          <w:p w:rsidR="00920A58" w:rsidRPr="009449D5" w:rsidP="00F51287" w14:paraId="20EABA99" w14:textId="175A295E">
            <w:pPr>
              <w:tabs>
                <w:tab w:val="left" w:pos="720"/>
              </w:tabs>
              <w:rPr>
                <w:snapToGrid w:val="0"/>
                <w:sz w:val="18"/>
                <w:szCs w:val="18"/>
              </w:rPr>
            </w:pPr>
            <w:r w:rsidRPr="009449D5">
              <w:rPr>
                <w:snapToGrid w:val="0"/>
                <w:sz w:val="18"/>
                <w:szCs w:val="18"/>
              </w:rPr>
              <w:t>1,</w:t>
            </w:r>
            <w:r w:rsidR="004B4D5B">
              <w:rPr>
                <w:snapToGrid w:val="0"/>
                <w:sz w:val="18"/>
                <w:szCs w:val="18"/>
              </w:rPr>
              <w:t>596</w:t>
            </w:r>
          </w:p>
        </w:tc>
        <w:tc>
          <w:tcPr>
            <w:tcW w:w="1174" w:type="dxa"/>
          </w:tcPr>
          <w:p w:rsidR="00920A58" w:rsidRPr="009449D5" w:rsidP="00F51287" w14:paraId="6805494F" w14:textId="7F29A30F">
            <w:pPr>
              <w:tabs>
                <w:tab w:val="left" w:pos="720"/>
              </w:tabs>
              <w:rPr>
                <w:snapToGrid w:val="0"/>
                <w:sz w:val="18"/>
                <w:szCs w:val="18"/>
              </w:rPr>
            </w:pPr>
            <w:r>
              <w:rPr>
                <w:snapToGrid w:val="0"/>
                <w:sz w:val="18"/>
                <w:szCs w:val="18"/>
              </w:rPr>
              <w:t>(1)</w:t>
            </w:r>
          </w:p>
        </w:tc>
        <w:tc>
          <w:tcPr>
            <w:tcW w:w="1122" w:type="dxa"/>
          </w:tcPr>
          <w:p w:rsidR="00920A58" w:rsidRPr="009449D5" w:rsidP="00F51287" w14:paraId="2DDA51B6" w14:textId="71D449E9">
            <w:pPr>
              <w:tabs>
                <w:tab w:val="left" w:pos="720"/>
              </w:tabs>
              <w:rPr>
                <w:snapToGrid w:val="0"/>
                <w:sz w:val="18"/>
                <w:szCs w:val="18"/>
              </w:rPr>
            </w:pPr>
            <w:r w:rsidRPr="009449D5">
              <w:rPr>
                <w:snapToGrid w:val="0"/>
                <w:sz w:val="18"/>
                <w:szCs w:val="18"/>
              </w:rPr>
              <w:t>(</w:t>
            </w:r>
            <w:r w:rsidR="004B4D5B">
              <w:rPr>
                <w:snapToGrid w:val="0"/>
                <w:sz w:val="18"/>
                <w:szCs w:val="18"/>
              </w:rPr>
              <w:t>1,596</w:t>
            </w:r>
            <w:r w:rsidRPr="009449D5">
              <w:rPr>
                <w:snapToGrid w:val="0"/>
                <w:sz w:val="18"/>
                <w:szCs w:val="18"/>
              </w:rPr>
              <w:t>)</w:t>
            </w:r>
          </w:p>
        </w:tc>
        <w:tc>
          <w:tcPr>
            <w:tcW w:w="1017" w:type="dxa"/>
          </w:tcPr>
          <w:p w:rsidR="00920A58" w:rsidRPr="009449D5" w:rsidP="00F51287" w14:paraId="2B7D902E" w14:textId="2E5E6B8C">
            <w:pPr>
              <w:tabs>
                <w:tab w:val="left" w:pos="720"/>
              </w:tabs>
              <w:rPr>
                <w:snapToGrid w:val="0"/>
                <w:sz w:val="18"/>
                <w:szCs w:val="18"/>
              </w:rPr>
            </w:pPr>
            <w:r w:rsidRPr="009449D5">
              <w:rPr>
                <w:snapToGrid w:val="0"/>
                <w:sz w:val="18"/>
                <w:szCs w:val="18"/>
              </w:rPr>
              <w:t>0.</w:t>
            </w:r>
            <w:r w:rsidR="004B4D5B">
              <w:rPr>
                <w:snapToGrid w:val="0"/>
                <w:sz w:val="18"/>
                <w:szCs w:val="18"/>
              </w:rPr>
              <w:t>167</w:t>
            </w:r>
          </w:p>
        </w:tc>
        <w:tc>
          <w:tcPr>
            <w:tcW w:w="963" w:type="dxa"/>
          </w:tcPr>
          <w:p w:rsidR="00920A58" w:rsidRPr="009449D5" w:rsidP="00F51287" w14:paraId="0B10FF1E" w14:textId="7550B8CE">
            <w:pPr>
              <w:tabs>
                <w:tab w:val="left" w:pos="720"/>
              </w:tabs>
              <w:rPr>
                <w:snapToGrid w:val="0"/>
                <w:sz w:val="18"/>
                <w:szCs w:val="18"/>
              </w:rPr>
            </w:pPr>
            <w:r w:rsidRPr="009449D5">
              <w:rPr>
                <w:snapToGrid w:val="0"/>
                <w:sz w:val="18"/>
                <w:szCs w:val="18"/>
              </w:rPr>
              <w:t>(</w:t>
            </w:r>
            <w:r w:rsidR="004B4D5B">
              <w:rPr>
                <w:snapToGrid w:val="0"/>
                <w:sz w:val="18"/>
                <w:szCs w:val="18"/>
              </w:rPr>
              <w:t>0.167</w:t>
            </w:r>
            <w:r w:rsidRPr="009449D5">
              <w:rPr>
                <w:snapToGrid w:val="0"/>
                <w:sz w:val="18"/>
                <w:szCs w:val="18"/>
              </w:rPr>
              <w:t>)</w:t>
            </w:r>
          </w:p>
        </w:tc>
        <w:tc>
          <w:tcPr>
            <w:tcW w:w="1067" w:type="dxa"/>
          </w:tcPr>
          <w:p w:rsidR="00920A58" w:rsidRPr="009449D5" w:rsidP="00F51287" w14:paraId="2617E38A" w14:textId="41819FD7">
            <w:pPr>
              <w:tabs>
                <w:tab w:val="left" w:pos="720"/>
              </w:tabs>
              <w:rPr>
                <w:snapToGrid w:val="0"/>
                <w:sz w:val="18"/>
                <w:szCs w:val="18"/>
              </w:rPr>
            </w:pPr>
            <w:r w:rsidRPr="009449D5">
              <w:rPr>
                <w:snapToGrid w:val="0"/>
                <w:sz w:val="18"/>
                <w:szCs w:val="18"/>
              </w:rPr>
              <w:t>(</w:t>
            </w:r>
            <w:r w:rsidR="004B4D5B">
              <w:rPr>
                <w:snapToGrid w:val="0"/>
                <w:sz w:val="18"/>
                <w:szCs w:val="18"/>
              </w:rPr>
              <w:t>26</w:t>
            </w:r>
            <w:r w:rsidR="001A2DBB">
              <w:rPr>
                <w:snapToGrid w:val="0"/>
                <w:sz w:val="18"/>
                <w:szCs w:val="18"/>
              </w:rPr>
              <w:t>7</w:t>
            </w:r>
            <w:r w:rsidR="004B4D5B">
              <w:rPr>
                <w:snapToGrid w:val="0"/>
                <w:sz w:val="18"/>
                <w:szCs w:val="18"/>
              </w:rPr>
              <w:t>)</w:t>
            </w:r>
          </w:p>
        </w:tc>
        <w:tc>
          <w:tcPr>
            <w:tcW w:w="1403" w:type="dxa"/>
          </w:tcPr>
          <w:p w:rsidR="00920A58" w:rsidRPr="009449D5" w:rsidP="00F51287" w14:paraId="7D80DD1A" w14:textId="4DE87870">
            <w:pPr>
              <w:tabs>
                <w:tab w:val="left" w:pos="720"/>
              </w:tabs>
              <w:rPr>
                <w:snapToGrid w:val="0"/>
                <w:sz w:val="18"/>
                <w:szCs w:val="18"/>
              </w:rPr>
            </w:pPr>
            <w:r w:rsidRPr="009449D5">
              <w:rPr>
                <w:snapToGrid w:val="0"/>
                <w:sz w:val="18"/>
                <w:szCs w:val="18"/>
              </w:rPr>
              <w:t>(</w:t>
            </w:r>
            <w:r w:rsidR="001A2DBB">
              <w:rPr>
                <w:snapToGrid w:val="0"/>
                <w:sz w:val="18"/>
                <w:szCs w:val="18"/>
              </w:rPr>
              <w:t>13,899</w:t>
            </w:r>
            <w:r w:rsidR="004B4D5B">
              <w:rPr>
                <w:snapToGrid w:val="0"/>
                <w:sz w:val="18"/>
                <w:szCs w:val="18"/>
              </w:rPr>
              <w:t>)</w:t>
            </w:r>
          </w:p>
        </w:tc>
      </w:tr>
      <w:tr w14:paraId="7AD0BA7C" w14:textId="77777777" w:rsidTr="00F51287">
        <w:tblPrEx>
          <w:tblW w:w="9990" w:type="dxa"/>
          <w:tblInd w:w="-5" w:type="dxa"/>
          <w:tblLook w:val="04A0"/>
        </w:tblPrEx>
        <w:tc>
          <w:tcPr>
            <w:tcW w:w="1938" w:type="dxa"/>
          </w:tcPr>
          <w:p w:rsidR="004B4D5B" w:rsidP="00F51287" w14:paraId="088392C7" w14:textId="638975E6">
            <w:pPr>
              <w:tabs>
                <w:tab w:val="left" w:pos="720"/>
              </w:tabs>
              <w:rPr>
                <w:snapToGrid w:val="0"/>
                <w:sz w:val="18"/>
                <w:szCs w:val="18"/>
              </w:rPr>
            </w:pPr>
            <w:r>
              <w:rPr>
                <w:snapToGrid w:val="0"/>
                <w:sz w:val="18"/>
                <w:szCs w:val="18"/>
              </w:rPr>
              <w:t>Screening for Social Drivers of Health (Data Submission)</w:t>
            </w:r>
          </w:p>
        </w:tc>
        <w:tc>
          <w:tcPr>
            <w:tcW w:w="1306" w:type="dxa"/>
          </w:tcPr>
          <w:p w:rsidR="004B4D5B" w:rsidRPr="009449D5" w:rsidP="00F51287" w14:paraId="3AA28B47" w14:textId="158ABFBB">
            <w:pPr>
              <w:tabs>
                <w:tab w:val="left" w:pos="720"/>
              </w:tabs>
              <w:rPr>
                <w:snapToGrid w:val="0"/>
                <w:sz w:val="18"/>
                <w:szCs w:val="18"/>
              </w:rPr>
            </w:pPr>
            <w:r>
              <w:rPr>
                <w:snapToGrid w:val="0"/>
                <w:sz w:val="18"/>
                <w:szCs w:val="18"/>
              </w:rPr>
              <w:t>1,596</w:t>
            </w:r>
          </w:p>
        </w:tc>
        <w:tc>
          <w:tcPr>
            <w:tcW w:w="1174" w:type="dxa"/>
          </w:tcPr>
          <w:p w:rsidR="004B4D5B" w:rsidRPr="009449D5" w:rsidP="00F51287" w14:paraId="08C5E8FF" w14:textId="72E11139">
            <w:pPr>
              <w:tabs>
                <w:tab w:val="left" w:pos="720"/>
              </w:tabs>
              <w:rPr>
                <w:snapToGrid w:val="0"/>
                <w:sz w:val="18"/>
                <w:szCs w:val="18"/>
              </w:rPr>
            </w:pPr>
            <w:r>
              <w:rPr>
                <w:snapToGrid w:val="0"/>
                <w:sz w:val="18"/>
                <w:szCs w:val="18"/>
              </w:rPr>
              <w:t>(1)</w:t>
            </w:r>
          </w:p>
        </w:tc>
        <w:tc>
          <w:tcPr>
            <w:tcW w:w="1122" w:type="dxa"/>
          </w:tcPr>
          <w:p w:rsidR="004B4D5B" w:rsidRPr="009449D5" w:rsidP="00F51287" w14:paraId="2B882A65" w14:textId="6A3BE8EA">
            <w:pPr>
              <w:tabs>
                <w:tab w:val="left" w:pos="720"/>
              </w:tabs>
              <w:rPr>
                <w:snapToGrid w:val="0"/>
                <w:sz w:val="18"/>
                <w:szCs w:val="18"/>
              </w:rPr>
            </w:pPr>
            <w:r w:rsidRPr="009449D5">
              <w:rPr>
                <w:snapToGrid w:val="0"/>
                <w:sz w:val="18"/>
                <w:szCs w:val="18"/>
              </w:rPr>
              <w:t>(</w:t>
            </w:r>
            <w:r>
              <w:rPr>
                <w:snapToGrid w:val="0"/>
                <w:sz w:val="18"/>
                <w:szCs w:val="18"/>
              </w:rPr>
              <w:t>1,596</w:t>
            </w:r>
            <w:r w:rsidRPr="009449D5">
              <w:rPr>
                <w:snapToGrid w:val="0"/>
                <w:sz w:val="18"/>
                <w:szCs w:val="18"/>
              </w:rPr>
              <w:t>)</w:t>
            </w:r>
          </w:p>
        </w:tc>
        <w:tc>
          <w:tcPr>
            <w:tcW w:w="1017" w:type="dxa"/>
          </w:tcPr>
          <w:p w:rsidR="004B4D5B" w:rsidRPr="009449D5" w:rsidP="00F51287" w14:paraId="21CF4188" w14:textId="1AA8447C">
            <w:pPr>
              <w:tabs>
                <w:tab w:val="left" w:pos="720"/>
              </w:tabs>
              <w:rPr>
                <w:snapToGrid w:val="0"/>
                <w:sz w:val="18"/>
                <w:szCs w:val="18"/>
              </w:rPr>
            </w:pPr>
            <w:r w:rsidRPr="009449D5">
              <w:rPr>
                <w:snapToGrid w:val="0"/>
                <w:sz w:val="18"/>
                <w:szCs w:val="18"/>
              </w:rPr>
              <w:t>0.</w:t>
            </w:r>
            <w:r>
              <w:rPr>
                <w:snapToGrid w:val="0"/>
                <w:sz w:val="18"/>
                <w:szCs w:val="18"/>
              </w:rPr>
              <w:t>167</w:t>
            </w:r>
          </w:p>
        </w:tc>
        <w:tc>
          <w:tcPr>
            <w:tcW w:w="963" w:type="dxa"/>
          </w:tcPr>
          <w:p w:rsidR="004B4D5B" w:rsidRPr="009449D5" w:rsidP="00F51287" w14:paraId="2711B3E8" w14:textId="2F12374B">
            <w:pPr>
              <w:tabs>
                <w:tab w:val="left" w:pos="720"/>
              </w:tabs>
              <w:rPr>
                <w:snapToGrid w:val="0"/>
                <w:sz w:val="18"/>
                <w:szCs w:val="18"/>
              </w:rPr>
            </w:pPr>
            <w:r w:rsidRPr="009449D5">
              <w:rPr>
                <w:snapToGrid w:val="0"/>
                <w:sz w:val="18"/>
                <w:szCs w:val="18"/>
              </w:rPr>
              <w:t>(</w:t>
            </w:r>
            <w:r>
              <w:rPr>
                <w:snapToGrid w:val="0"/>
                <w:sz w:val="18"/>
                <w:szCs w:val="18"/>
              </w:rPr>
              <w:t>0.167</w:t>
            </w:r>
            <w:r w:rsidRPr="009449D5">
              <w:rPr>
                <w:snapToGrid w:val="0"/>
                <w:sz w:val="18"/>
                <w:szCs w:val="18"/>
              </w:rPr>
              <w:t>)</w:t>
            </w:r>
          </w:p>
        </w:tc>
        <w:tc>
          <w:tcPr>
            <w:tcW w:w="1067" w:type="dxa"/>
          </w:tcPr>
          <w:p w:rsidR="004B4D5B" w:rsidRPr="009449D5" w:rsidP="00F51287" w14:paraId="6D2F9947" w14:textId="47D9C990">
            <w:pPr>
              <w:tabs>
                <w:tab w:val="left" w:pos="720"/>
              </w:tabs>
              <w:rPr>
                <w:snapToGrid w:val="0"/>
                <w:sz w:val="18"/>
                <w:szCs w:val="18"/>
              </w:rPr>
            </w:pPr>
            <w:r w:rsidRPr="009449D5">
              <w:rPr>
                <w:snapToGrid w:val="0"/>
                <w:sz w:val="18"/>
                <w:szCs w:val="18"/>
              </w:rPr>
              <w:t>(</w:t>
            </w:r>
            <w:r>
              <w:rPr>
                <w:snapToGrid w:val="0"/>
                <w:sz w:val="18"/>
                <w:szCs w:val="18"/>
              </w:rPr>
              <w:t>26</w:t>
            </w:r>
            <w:r w:rsidR="001A2DBB">
              <w:rPr>
                <w:snapToGrid w:val="0"/>
                <w:sz w:val="18"/>
                <w:szCs w:val="18"/>
              </w:rPr>
              <w:t>7</w:t>
            </w:r>
            <w:r>
              <w:rPr>
                <w:snapToGrid w:val="0"/>
                <w:sz w:val="18"/>
                <w:szCs w:val="18"/>
              </w:rPr>
              <w:t>)</w:t>
            </w:r>
          </w:p>
        </w:tc>
        <w:tc>
          <w:tcPr>
            <w:tcW w:w="1403" w:type="dxa"/>
          </w:tcPr>
          <w:p w:rsidR="004B4D5B" w:rsidRPr="009449D5" w:rsidP="00F51287" w14:paraId="56183C5E" w14:textId="76B0A877">
            <w:pPr>
              <w:tabs>
                <w:tab w:val="left" w:pos="720"/>
              </w:tabs>
              <w:rPr>
                <w:snapToGrid w:val="0"/>
                <w:sz w:val="18"/>
                <w:szCs w:val="18"/>
              </w:rPr>
            </w:pPr>
            <w:r w:rsidRPr="009449D5">
              <w:rPr>
                <w:snapToGrid w:val="0"/>
                <w:sz w:val="18"/>
                <w:szCs w:val="18"/>
              </w:rPr>
              <w:t>(</w:t>
            </w:r>
            <w:r>
              <w:rPr>
                <w:snapToGrid w:val="0"/>
                <w:sz w:val="18"/>
                <w:szCs w:val="18"/>
              </w:rPr>
              <w:t>13,899)</w:t>
            </w:r>
          </w:p>
        </w:tc>
      </w:tr>
      <w:tr w14:paraId="749B953B" w14:textId="77777777" w:rsidTr="00F51287">
        <w:tblPrEx>
          <w:tblW w:w="9990" w:type="dxa"/>
          <w:tblInd w:w="-5" w:type="dxa"/>
          <w:tblLook w:val="04A0"/>
        </w:tblPrEx>
        <w:tc>
          <w:tcPr>
            <w:tcW w:w="1938" w:type="dxa"/>
          </w:tcPr>
          <w:p w:rsidR="004B4D5B" w:rsidP="00F51287" w14:paraId="11C22639" w14:textId="1B0B2470">
            <w:pPr>
              <w:tabs>
                <w:tab w:val="left" w:pos="720"/>
              </w:tabs>
              <w:rPr>
                <w:snapToGrid w:val="0"/>
                <w:sz w:val="18"/>
                <w:szCs w:val="18"/>
              </w:rPr>
            </w:pPr>
            <w:r>
              <w:rPr>
                <w:snapToGrid w:val="0"/>
                <w:sz w:val="18"/>
                <w:szCs w:val="18"/>
              </w:rPr>
              <w:t>Screening for Social Drivers of Health (Patient Screening)</w:t>
            </w:r>
          </w:p>
        </w:tc>
        <w:tc>
          <w:tcPr>
            <w:tcW w:w="1306" w:type="dxa"/>
          </w:tcPr>
          <w:p w:rsidR="004B4D5B" w:rsidRPr="009449D5" w:rsidP="00F51287" w14:paraId="60410E5B" w14:textId="34B86C13">
            <w:pPr>
              <w:tabs>
                <w:tab w:val="left" w:pos="720"/>
              </w:tabs>
              <w:rPr>
                <w:snapToGrid w:val="0"/>
                <w:sz w:val="18"/>
                <w:szCs w:val="18"/>
              </w:rPr>
            </w:pPr>
            <w:r>
              <w:rPr>
                <w:snapToGrid w:val="0"/>
                <w:sz w:val="18"/>
                <w:szCs w:val="18"/>
              </w:rPr>
              <w:t>1,596</w:t>
            </w:r>
          </w:p>
        </w:tc>
        <w:tc>
          <w:tcPr>
            <w:tcW w:w="1174" w:type="dxa"/>
          </w:tcPr>
          <w:p w:rsidR="004B4D5B" w:rsidP="00F51287" w14:paraId="3AD094FF" w14:textId="3BD7855F">
            <w:pPr>
              <w:tabs>
                <w:tab w:val="left" w:pos="720"/>
              </w:tabs>
              <w:rPr>
                <w:snapToGrid w:val="0"/>
                <w:sz w:val="18"/>
                <w:szCs w:val="18"/>
              </w:rPr>
            </w:pPr>
            <w:r>
              <w:rPr>
                <w:snapToGrid w:val="0"/>
                <w:sz w:val="18"/>
                <w:szCs w:val="18"/>
              </w:rPr>
              <w:t>(1,261)</w:t>
            </w:r>
          </w:p>
        </w:tc>
        <w:tc>
          <w:tcPr>
            <w:tcW w:w="1122" w:type="dxa"/>
          </w:tcPr>
          <w:p w:rsidR="004B4D5B" w:rsidRPr="009449D5" w:rsidP="00F51287" w14:paraId="6EF0CF9A" w14:textId="5A9E9281">
            <w:pPr>
              <w:tabs>
                <w:tab w:val="left" w:pos="720"/>
              </w:tabs>
              <w:rPr>
                <w:snapToGrid w:val="0"/>
                <w:sz w:val="18"/>
                <w:szCs w:val="18"/>
              </w:rPr>
            </w:pPr>
            <w:r>
              <w:rPr>
                <w:snapToGrid w:val="0"/>
                <w:sz w:val="18"/>
                <w:szCs w:val="18"/>
              </w:rPr>
              <w:t>(2,012,556)</w:t>
            </w:r>
          </w:p>
        </w:tc>
        <w:tc>
          <w:tcPr>
            <w:tcW w:w="1017" w:type="dxa"/>
          </w:tcPr>
          <w:p w:rsidR="004B4D5B" w:rsidRPr="009449D5" w:rsidP="00F51287" w14:paraId="27594666" w14:textId="00A48AC5">
            <w:pPr>
              <w:tabs>
                <w:tab w:val="left" w:pos="720"/>
              </w:tabs>
              <w:rPr>
                <w:snapToGrid w:val="0"/>
                <w:sz w:val="18"/>
                <w:szCs w:val="18"/>
              </w:rPr>
            </w:pPr>
            <w:r>
              <w:rPr>
                <w:snapToGrid w:val="0"/>
                <w:sz w:val="18"/>
                <w:szCs w:val="18"/>
              </w:rPr>
              <w:t>0.033</w:t>
            </w:r>
          </w:p>
        </w:tc>
        <w:tc>
          <w:tcPr>
            <w:tcW w:w="963" w:type="dxa"/>
          </w:tcPr>
          <w:p w:rsidR="004B4D5B" w:rsidRPr="009449D5" w:rsidP="00F51287" w14:paraId="26EE8FD9" w14:textId="339ADED8">
            <w:pPr>
              <w:tabs>
                <w:tab w:val="left" w:pos="720"/>
              </w:tabs>
              <w:rPr>
                <w:snapToGrid w:val="0"/>
                <w:sz w:val="18"/>
                <w:szCs w:val="18"/>
              </w:rPr>
            </w:pPr>
            <w:r>
              <w:rPr>
                <w:snapToGrid w:val="0"/>
                <w:sz w:val="18"/>
                <w:szCs w:val="18"/>
              </w:rPr>
              <w:t>(41.6)</w:t>
            </w:r>
          </w:p>
        </w:tc>
        <w:tc>
          <w:tcPr>
            <w:tcW w:w="1067" w:type="dxa"/>
          </w:tcPr>
          <w:p w:rsidR="004B4D5B" w:rsidRPr="009449D5" w:rsidP="00F51287" w14:paraId="291134AD" w14:textId="2D024F16">
            <w:pPr>
              <w:tabs>
                <w:tab w:val="left" w:pos="720"/>
              </w:tabs>
              <w:rPr>
                <w:snapToGrid w:val="0"/>
                <w:sz w:val="18"/>
                <w:szCs w:val="18"/>
              </w:rPr>
            </w:pPr>
            <w:r>
              <w:rPr>
                <w:snapToGrid w:val="0"/>
                <w:sz w:val="18"/>
                <w:szCs w:val="18"/>
              </w:rPr>
              <w:t>(66,414)</w:t>
            </w:r>
          </w:p>
        </w:tc>
        <w:tc>
          <w:tcPr>
            <w:tcW w:w="1403" w:type="dxa"/>
          </w:tcPr>
          <w:p w:rsidR="004B4D5B" w:rsidRPr="009449D5" w:rsidP="00F51287" w14:paraId="141E9735" w14:textId="6B9E46B0">
            <w:pPr>
              <w:tabs>
                <w:tab w:val="left" w:pos="720"/>
              </w:tabs>
              <w:rPr>
                <w:snapToGrid w:val="0"/>
                <w:sz w:val="18"/>
                <w:szCs w:val="18"/>
              </w:rPr>
            </w:pPr>
            <w:r>
              <w:rPr>
                <w:snapToGrid w:val="0"/>
                <w:sz w:val="18"/>
                <w:szCs w:val="18"/>
              </w:rPr>
              <w:t>(</w:t>
            </w:r>
            <w:r>
              <w:rPr>
                <w:snapToGrid w:val="0"/>
                <w:sz w:val="18"/>
                <w:szCs w:val="18"/>
              </w:rPr>
              <w:t>1,596,593</w:t>
            </w:r>
            <w:r>
              <w:rPr>
                <w:snapToGrid w:val="0"/>
                <w:sz w:val="18"/>
                <w:szCs w:val="18"/>
              </w:rPr>
              <w:t>)</w:t>
            </w:r>
          </w:p>
        </w:tc>
      </w:tr>
      <w:tr w14:paraId="7393BA74" w14:textId="77777777" w:rsidTr="00F51287">
        <w:tblPrEx>
          <w:tblW w:w="9990" w:type="dxa"/>
          <w:tblInd w:w="-5" w:type="dxa"/>
          <w:tblLook w:val="04A0"/>
        </w:tblPrEx>
        <w:tc>
          <w:tcPr>
            <w:tcW w:w="1938" w:type="dxa"/>
          </w:tcPr>
          <w:p w:rsidR="00920A58" w:rsidRPr="009449D5" w:rsidP="00F51287" w14:paraId="00CE9CF4" w14:textId="12CDCC84">
            <w:pPr>
              <w:tabs>
                <w:tab w:val="left" w:pos="720"/>
              </w:tabs>
              <w:rPr>
                <w:snapToGrid w:val="0"/>
                <w:sz w:val="18"/>
                <w:szCs w:val="18"/>
              </w:rPr>
            </w:pPr>
            <w:r>
              <w:rPr>
                <w:snapToGrid w:val="0"/>
                <w:sz w:val="18"/>
                <w:szCs w:val="18"/>
              </w:rPr>
              <w:t>Screen Positive for Social Drivers of Health</w:t>
            </w:r>
          </w:p>
        </w:tc>
        <w:tc>
          <w:tcPr>
            <w:tcW w:w="1306" w:type="dxa"/>
          </w:tcPr>
          <w:p w:rsidR="00920A58" w:rsidRPr="009449D5" w:rsidP="00F51287" w14:paraId="1167E28F" w14:textId="424D38CF">
            <w:pPr>
              <w:tabs>
                <w:tab w:val="left" w:pos="720"/>
              </w:tabs>
              <w:rPr>
                <w:snapToGrid w:val="0"/>
                <w:sz w:val="18"/>
                <w:szCs w:val="18"/>
              </w:rPr>
            </w:pPr>
            <w:r w:rsidRPr="009449D5">
              <w:rPr>
                <w:snapToGrid w:val="0"/>
                <w:sz w:val="18"/>
                <w:szCs w:val="18"/>
              </w:rPr>
              <w:t>1,</w:t>
            </w:r>
            <w:r w:rsidR="004B4D5B">
              <w:rPr>
                <w:snapToGrid w:val="0"/>
                <w:sz w:val="18"/>
                <w:szCs w:val="18"/>
              </w:rPr>
              <w:t>596</w:t>
            </w:r>
          </w:p>
        </w:tc>
        <w:tc>
          <w:tcPr>
            <w:tcW w:w="1174" w:type="dxa"/>
          </w:tcPr>
          <w:p w:rsidR="00920A58" w:rsidRPr="009449D5" w:rsidP="00F51287" w14:paraId="596B37FA" w14:textId="087B7175">
            <w:pPr>
              <w:tabs>
                <w:tab w:val="left" w:pos="720"/>
              </w:tabs>
              <w:rPr>
                <w:snapToGrid w:val="0"/>
                <w:sz w:val="18"/>
                <w:szCs w:val="18"/>
              </w:rPr>
            </w:pPr>
            <w:r>
              <w:rPr>
                <w:snapToGrid w:val="0"/>
                <w:sz w:val="18"/>
                <w:szCs w:val="18"/>
              </w:rPr>
              <w:t>(1)</w:t>
            </w:r>
          </w:p>
        </w:tc>
        <w:tc>
          <w:tcPr>
            <w:tcW w:w="1122" w:type="dxa"/>
          </w:tcPr>
          <w:p w:rsidR="00920A58" w:rsidRPr="009449D5" w:rsidP="00F51287" w14:paraId="014F67B9" w14:textId="47DBE6CA">
            <w:pPr>
              <w:tabs>
                <w:tab w:val="left" w:pos="720"/>
              </w:tabs>
              <w:rPr>
                <w:snapToGrid w:val="0"/>
                <w:sz w:val="18"/>
                <w:szCs w:val="18"/>
              </w:rPr>
            </w:pPr>
            <w:r w:rsidRPr="009449D5">
              <w:rPr>
                <w:snapToGrid w:val="0"/>
                <w:sz w:val="18"/>
                <w:szCs w:val="18"/>
              </w:rPr>
              <w:t>(</w:t>
            </w:r>
            <w:r>
              <w:rPr>
                <w:snapToGrid w:val="0"/>
                <w:sz w:val="18"/>
                <w:szCs w:val="18"/>
              </w:rPr>
              <w:t>1,596</w:t>
            </w:r>
            <w:r w:rsidRPr="009449D5">
              <w:rPr>
                <w:snapToGrid w:val="0"/>
                <w:sz w:val="18"/>
                <w:szCs w:val="18"/>
              </w:rPr>
              <w:t>)</w:t>
            </w:r>
          </w:p>
        </w:tc>
        <w:tc>
          <w:tcPr>
            <w:tcW w:w="1017" w:type="dxa"/>
          </w:tcPr>
          <w:p w:rsidR="00920A58" w:rsidRPr="009449D5" w:rsidP="00F51287" w14:paraId="5E4AE398" w14:textId="626AA6F7">
            <w:pPr>
              <w:tabs>
                <w:tab w:val="left" w:pos="720"/>
              </w:tabs>
              <w:rPr>
                <w:snapToGrid w:val="0"/>
                <w:sz w:val="18"/>
                <w:szCs w:val="18"/>
              </w:rPr>
            </w:pPr>
            <w:r w:rsidRPr="009449D5">
              <w:rPr>
                <w:snapToGrid w:val="0"/>
                <w:sz w:val="18"/>
                <w:szCs w:val="18"/>
              </w:rPr>
              <w:t>0.</w:t>
            </w:r>
            <w:r>
              <w:rPr>
                <w:snapToGrid w:val="0"/>
                <w:sz w:val="18"/>
                <w:szCs w:val="18"/>
              </w:rPr>
              <w:t>167</w:t>
            </w:r>
          </w:p>
        </w:tc>
        <w:tc>
          <w:tcPr>
            <w:tcW w:w="963" w:type="dxa"/>
          </w:tcPr>
          <w:p w:rsidR="00920A58" w:rsidRPr="009449D5" w:rsidP="00F51287" w14:paraId="7A0A31AE" w14:textId="7E93E249">
            <w:pPr>
              <w:tabs>
                <w:tab w:val="left" w:pos="720"/>
              </w:tabs>
              <w:rPr>
                <w:snapToGrid w:val="0"/>
                <w:sz w:val="18"/>
                <w:szCs w:val="18"/>
              </w:rPr>
            </w:pPr>
            <w:r w:rsidRPr="009449D5">
              <w:rPr>
                <w:snapToGrid w:val="0"/>
                <w:sz w:val="18"/>
                <w:szCs w:val="18"/>
              </w:rPr>
              <w:t>(</w:t>
            </w:r>
            <w:r>
              <w:rPr>
                <w:snapToGrid w:val="0"/>
                <w:sz w:val="18"/>
                <w:szCs w:val="18"/>
              </w:rPr>
              <w:t>0.167</w:t>
            </w:r>
            <w:r w:rsidRPr="009449D5">
              <w:rPr>
                <w:snapToGrid w:val="0"/>
                <w:sz w:val="18"/>
                <w:szCs w:val="18"/>
              </w:rPr>
              <w:t>)</w:t>
            </w:r>
          </w:p>
        </w:tc>
        <w:tc>
          <w:tcPr>
            <w:tcW w:w="1067" w:type="dxa"/>
          </w:tcPr>
          <w:p w:rsidR="00920A58" w:rsidRPr="009449D5" w:rsidP="00F51287" w14:paraId="7420E85A" w14:textId="63290FDB">
            <w:pPr>
              <w:tabs>
                <w:tab w:val="left" w:pos="720"/>
              </w:tabs>
              <w:rPr>
                <w:snapToGrid w:val="0"/>
                <w:sz w:val="18"/>
                <w:szCs w:val="18"/>
              </w:rPr>
            </w:pPr>
            <w:r w:rsidRPr="009449D5">
              <w:rPr>
                <w:snapToGrid w:val="0"/>
                <w:sz w:val="18"/>
                <w:szCs w:val="18"/>
              </w:rPr>
              <w:t>(</w:t>
            </w:r>
            <w:r>
              <w:rPr>
                <w:snapToGrid w:val="0"/>
                <w:sz w:val="18"/>
                <w:szCs w:val="18"/>
              </w:rPr>
              <w:t>26</w:t>
            </w:r>
            <w:r w:rsidR="001A2DBB">
              <w:rPr>
                <w:snapToGrid w:val="0"/>
                <w:sz w:val="18"/>
                <w:szCs w:val="18"/>
              </w:rPr>
              <w:t>7</w:t>
            </w:r>
            <w:r>
              <w:rPr>
                <w:snapToGrid w:val="0"/>
                <w:sz w:val="18"/>
                <w:szCs w:val="18"/>
              </w:rPr>
              <w:t>)</w:t>
            </w:r>
          </w:p>
        </w:tc>
        <w:tc>
          <w:tcPr>
            <w:tcW w:w="1403" w:type="dxa"/>
          </w:tcPr>
          <w:p w:rsidR="00920A58" w:rsidRPr="009449D5" w:rsidP="00F51287" w14:paraId="2D7EC68C" w14:textId="22655E12">
            <w:pPr>
              <w:tabs>
                <w:tab w:val="left" w:pos="720"/>
              </w:tabs>
              <w:rPr>
                <w:snapToGrid w:val="0"/>
                <w:sz w:val="18"/>
                <w:szCs w:val="18"/>
              </w:rPr>
            </w:pPr>
            <w:r w:rsidRPr="009449D5">
              <w:rPr>
                <w:snapToGrid w:val="0"/>
                <w:sz w:val="18"/>
                <w:szCs w:val="18"/>
              </w:rPr>
              <w:t>(</w:t>
            </w:r>
            <w:r>
              <w:rPr>
                <w:snapToGrid w:val="0"/>
                <w:sz w:val="18"/>
                <w:szCs w:val="18"/>
              </w:rPr>
              <w:t>13,899)</w:t>
            </w:r>
          </w:p>
        </w:tc>
      </w:tr>
      <w:tr w14:paraId="36018906" w14:textId="77777777" w:rsidTr="00F51287">
        <w:tblPrEx>
          <w:tblW w:w="9990" w:type="dxa"/>
          <w:tblInd w:w="-5" w:type="dxa"/>
          <w:tblLook w:val="04A0"/>
        </w:tblPrEx>
        <w:tc>
          <w:tcPr>
            <w:tcW w:w="1938" w:type="dxa"/>
            <w:shd w:val="clear" w:color="auto" w:fill="BFBFBF" w:themeFill="background1" w:themeFillShade="BF"/>
          </w:tcPr>
          <w:p w:rsidR="00920A58" w:rsidRPr="009449D5" w:rsidP="00F51287" w14:paraId="0564ECEE" w14:textId="77777777">
            <w:pPr>
              <w:tabs>
                <w:tab w:val="left" w:pos="720"/>
              </w:tabs>
              <w:rPr>
                <w:b/>
                <w:bCs/>
                <w:snapToGrid w:val="0"/>
                <w:sz w:val="18"/>
                <w:szCs w:val="18"/>
              </w:rPr>
            </w:pPr>
            <w:r w:rsidRPr="009449D5">
              <w:rPr>
                <w:b/>
                <w:bCs/>
                <w:snapToGrid w:val="0"/>
                <w:sz w:val="18"/>
                <w:szCs w:val="18"/>
              </w:rPr>
              <w:t>TOTAL</w:t>
            </w:r>
          </w:p>
        </w:tc>
        <w:tc>
          <w:tcPr>
            <w:tcW w:w="1306" w:type="dxa"/>
            <w:shd w:val="clear" w:color="auto" w:fill="BFBFBF" w:themeFill="background1" w:themeFillShade="BF"/>
          </w:tcPr>
          <w:p w:rsidR="00920A58" w:rsidRPr="009449D5" w:rsidP="00F51287" w14:paraId="0BE21273" w14:textId="358A9E87">
            <w:pPr>
              <w:tabs>
                <w:tab w:val="left" w:pos="720"/>
              </w:tabs>
              <w:rPr>
                <w:b/>
                <w:bCs/>
                <w:snapToGrid w:val="0"/>
                <w:sz w:val="18"/>
                <w:szCs w:val="18"/>
              </w:rPr>
            </w:pPr>
            <w:r w:rsidRPr="009449D5">
              <w:rPr>
                <w:b/>
                <w:bCs/>
                <w:snapToGrid w:val="0"/>
                <w:sz w:val="18"/>
                <w:szCs w:val="18"/>
              </w:rPr>
              <w:t>1,</w:t>
            </w:r>
            <w:r w:rsidR="001A2DBB">
              <w:rPr>
                <w:b/>
                <w:bCs/>
                <w:snapToGrid w:val="0"/>
                <w:sz w:val="18"/>
                <w:szCs w:val="18"/>
              </w:rPr>
              <w:t>596</w:t>
            </w:r>
          </w:p>
        </w:tc>
        <w:tc>
          <w:tcPr>
            <w:tcW w:w="1174" w:type="dxa"/>
            <w:shd w:val="clear" w:color="auto" w:fill="BFBFBF" w:themeFill="background1" w:themeFillShade="BF"/>
          </w:tcPr>
          <w:p w:rsidR="00920A58" w:rsidRPr="009449D5" w:rsidP="00F51287" w14:paraId="7AEA6ACA" w14:textId="3C6D5AE2">
            <w:pPr>
              <w:tabs>
                <w:tab w:val="left" w:pos="720"/>
              </w:tabs>
              <w:rPr>
                <w:b/>
                <w:bCs/>
                <w:snapToGrid w:val="0"/>
                <w:sz w:val="18"/>
                <w:szCs w:val="18"/>
              </w:rPr>
            </w:pPr>
            <w:r w:rsidRPr="009449D5">
              <w:rPr>
                <w:b/>
                <w:bCs/>
                <w:snapToGrid w:val="0"/>
                <w:sz w:val="18"/>
                <w:szCs w:val="18"/>
              </w:rPr>
              <w:t>(1,2</w:t>
            </w:r>
            <w:r w:rsidR="001A2DBB">
              <w:rPr>
                <w:b/>
                <w:bCs/>
                <w:snapToGrid w:val="0"/>
                <w:sz w:val="18"/>
                <w:szCs w:val="18"/>
              </w:rPr>
              <w:t>64</w:t>
            </w:r>
            <w:r w:rsidRPr="009449D5">
              <w:rPr>
                <w:b/>
                <w:bCs/>
                <w:snapToGrid w:val="0"/>
                <w:sz w:val="18"/>
                <w:szCs w:val="18"/>
              </w:rPr>
              <w:t>)</w:t>
            </w:r>
          </w:p>
        </w:tc>
        <w:tc>
          <w:tcPr>
            <w:tcW w:w="1122" w:type="dxa"/>
            <w:shd w:val="clear" w:color="auto" w:fill="BFBFBF" w:themeFill="background1" w:themeFillShade="BF"/>
          </w:tcPr>
          <w:p w:rsidR="00920A58" w:rsidRPr="009449D5" w:rsidP="00F51287" w14:paraId="0E0FBD40" w14:textId="6569854C">
            <w:pPr>
              <w:tabs>
                <w:tab w:val="left" w:pos="720"/>
              </w:tabs>
              <w:rPr>
                <w:b/>
                <w:bCs/>
                <w:snapToGrid w:val="0"/>
                <w:sz w:val="18"/>
                <w:szCs w:val="18"/>
              </w:rPr>
            </w:pPr>
            <w:r w:rsidRPr="009449D5">
              <w:rPr>
                <w:b/>
                <w:bCs/>
                <w:snapToGrid w:val="0"/>
                <w:sz w:val="18"/>
                <w:szCs w:val="18"/>
              </w:rPr>
              <w:t>(</w:t>
            </w:r>
            <w:r w:rsidR="001A2DBB">
              <w:rPr>
                <w:b/>
                <w:bCs/>
                <w:snapToGrid w:val="0"/>
                <w:sz w:val="18"/>
                <w:szCs w:val="18"/>
              </w:rPr>
              <w:t>2,017,344</w:t>
            </w:r>
            <w:r w:rsidRPr="009449D5">
              <w:rPr>
                <w:b/>
                <w:bCs/>
                <w:snapToGrid w:val="0"/>
                <w:sz w:val="18"/>
                <w:szCs w:val="18"/>
              </w:rPr>
              <w:t>)</w:t>
            </w:r>
          </w:p>
        </w:tc>
        <w:tc>
          <w:tcPr>
            <w:tcW w:w="1017" w:type="dxa"/>
            <w:shd w:val="clear" w:color="auto" w:fill="BFBFBF" w:themeFill="background1" w:themeFillShade="BF"/>
          </w:tcPr>
          <w:p w:rsidR="00920A58" w:rsidRPr="009449D5" w:rsidP="00F51287" w14:paraId="0CDBE917" w14:textId="01B9FEF5">
            <w:pPr>
              <w:tabs>
                <w:tab w:val="left" w:pos="720"/>
              </w:tabs>
              <w:rPr>
                <w:b/>
                <w:bCs/>
                <w:snapToGrid w:val="0"/>
                <w:sz w:val="18"/>
                <w:szCs w:val="18"/>
              </w:rPr>
            </w:pPr>
            <w:r w:rsidRPr="009449D5">
              <w:rPr>
                <w:b/>
                <w:bCs/>
                <w:snapToGrid w:val="0"/>
                <w:sz w:val="18"/>
                <w:szCs w:val="18"/>
              </w:rPr>
              <w:t>0.</w:t>
            </w:r>
            <w:r w:rsidR="001A2DBB">
              <w:rPr>
                <w:b/>
                <w:bCs/>
                <w:snapToGrid w:val="0"/>
                <w:sz w:val="18"/>
                <w:szCs w:val="18"/>
              </w:rPr>
              <w:t>533</w:t>
            </w:r>
          </w:p>
        </w:tc>
        <w:tc>
          <w:tcPr>
            <w:tcW w:w="963" w:type="dxa"/>
            <w:shd w:val="clear" w:color="auto" w:fill="BFBFBF" w:themeFill="background1" w:themeFillShade="BF"/>
          </w:tcPr>
          <w:p w:rsidR="00920A58" w:rsidRPr="009449D5" w:rsidP="00F51287" w14:paraId="6B89CA9B" w14:textId="624DFF11">
            <w:pPr>
              <w:tabs>
                <w:tab w:val="left" w:pos="720"/>
              </w:tabs>
              <w:rPr>
                <w:b/>
                <w:bCs/>
                <w:snapToGrid w:val="0"/>
                <w:sz w:val="18"/>
                <w:szCs w:val="18"/>
              </w:rPr>
            </w:pPr>
            <w:r w:rsidRPr="009449D5">
              <w:rPr>
                <w:b/>
                <w:bCs/>
                <w:snapToGrid w:val="0"/>
                <w:sz w:val="18"/>
                <w:szCs w:val="18"/>
              </w:rPr>
              <w:t>(</w:t>
            </w:r>
            <w:r w:rsidR="001A2DBB">
              <w:rPr>
                <w:b/>
                <w:bCs/>
                <w:snapToGrid w:val="0"/>
                <w:sz w:val="18"/>
                <w:szCs w:val="18"/>
              </w:rPr>
              <w:t>42.1</w:t>
            </w:r>
            <w:r w:rsidRPr="009449D5">
              <w:rPr>
                <w:b/>
                <w:bCs/>
                <w:snapToGrid w:val="0"/>
                <w:sz w:val="18"/>
                <w:szCs w:val="18"/>
              </w:rPr>
              <w:t>)</w:t>
            </w:r>
          </w:p>
        </w:tc>
        <w:tc>
          <w:tcPr>
            <w:tcW w:w="1067" w:type="dxa"/>
            <w:shd w:val="clear" w:color="auto" w:fill="BFBFBF" w:themeFill="background1" w:themeFillShade="BF"/>
          </w:tcPr>
          <w:p w:rsidR="00920A58" w:rsidRPr="009449D5" w:rsidP="00F51287" w14:paraId="202E7F71" w14:textId="2852B771">
            <w:pPr>
              <w:tabs>
                <w:tab w:val="left" w:pos="720"/>
              </w:tabs>
              <w:rPr>
                <w:b/>
                <w:bCs/>
                <w:snapToGrid w:val="0"/>
                <w:sz w:val="18"/>
                <w:szCs w:val="18"/>
              </w:rPr>
            </w:pPr>
            <w:r w:rsidRPr="009449D5">
              <w:rPr>
                <w:b/>
                <w:bCs/>
                <w:snapToGrid w:val="0"/>
                <w:sz w:val="18"/>
                <w:szCs w:val="18"/>
              </w:rPr>
              <w:t>(</w:t>
            </w:r>
            <w:r w:rsidR="001A2DBB">
              <w:rPr>
                <w:b/>
                <w:bCs/>
                <w:snapToGrid w:val="0"/>
                <w:sz w:val="18"/>
                <w:szCs w:val="18"/>
              </w:rPr>
              <w:t>67,214</w:t>
            </w:r>
            <w:r w:rsidRPr="009449D5">
              <w:rPr>
                <w:b/>
                <w:bCs/>
                <w:snapToGrid w:val="0"/>
                <w:sz w:val="18"/>
                <w:szCs w:val="18"/>
              </w:rPr>
              <w:t>)</w:t>
            </w:r>
            <w:r w:rsidR="001A2DBB">
              <w:rPr>
                <w:b/>
                <w:bCs/>
                <w:snapToGrid w:val="0"/>
                <w:sz w:val="18"/>
                <w:szCs w:val="18"/>
              </w:rPr>
              <w:t>*</w:t>
            </w:r>
          </w:p>
        </w:tc>
        <w:tc>
          <w:tcPr>
            <w:tcW w:w="1403" w:type="dxa"/>
            <w:shd w:val="clear" w:color="auto" w:fill="BFBFBF" w:themeFill="background1" w:themeFillShade="BF"/>
          </w:tcPr>
          <w:p w:rsidR="00920A58" w:rsidRPr="009449D5" w:rsidP="00F51287" w14:paraId="32DBD184" w14:textId="241BF9CE">
            <w:pPr>
              <w:tabs>
                <w:tab w:val="left" w:pos="720"/>
              </w:tabs>
              <w:rPr>
                <w:b/>
                <w:bCs/>
                <w:snapToGrid w:val="0"/>
                <w:sz w:val="18"/>
                <w:szCs w:val="18"/>
              </w:rPr>
            </w:pPr>
            <w:bookmarkStart w:id="20" w:name="_Hlk126226843"/>
            <w:r w:rsidRPr="009449D5">
              <w:rPr>
                <w:b/>
                <w:bCs/>
                <w:snapToGrid w:val="0"/>
                <w:sz w:val="18"/>
                <w:szCs w:val="18"/>
              </w:rPr>
              <w:t>(</w:t>
            </w:r>
            <w:bookmarkEnd w:id="20"/>
            <w:r w:rsidR="001A2DBB">
              <w:rPr>
                <w:b/>
                <w:bCs/>
                <w:snapToGrid w:val="0"/>
                <w:sz w:val="18"/>
                <w:szCs w:val="18"/>
              </w:rPr>
              <w:t>1,638,289</w:t>
            </w:r>
            <w:r w:rsidRPr="009449D5">
              <w:rPr>
                <w:b/>
                <w:bCs/>
                <w:snapToGrid w:val="0"/>
                <w:sz w:val="18"/>
                <w:szCs w:val="18"/>
              </w:rPr>
              <w:t>)</w:t>
            </w:r>
            <w:r w:rsidR="001A2DBB">
              <w:rPr>
                <w:b/>
                <w:bCs/>
                <w:snapToGrid w:val="0"/>
                <w:sz w:val="18"/>
                <w:szCs w:val="18"/>
              </w:rPr>
              <w:t>*</w:t>
            </w:r>
          </w:p>
        </w:tc>
      </w:tr>
    </w:tbl>
    <w:p w:rsidR="00920A58" w:rsidP="00920A58" w14:paraId="08285696" w14:textId="7402E444">
      <w:pPr>
        <w:rPr>
          <w:sz w:val="20"/>
          <w:szCs w:val="20"/>
        </w:rPr>
      </w:pPr>
      <w:r w:rsidRPr="009259F8">
        <w:rPr>
          <w:sz w:val="20"/>
          <w:szCs w:val="20"/>
        </w:rPr>
        <w:t>*Totals do not reflect the sum of individual measure removals due to rounding</w:t>
      </w:r>
    </w:p>
    <w:p w:rsidR="001A2DBB" w:rsidRPr="009259F8" w:rsidP="009259F8" w14:paraId="009DC341" w14:textId="77777777">
      <w:pPr>
        <w:rPr>
          <w:sz w:val="20"/>
          <w:szCs w:val="20"/>
        </w:rPr>
      </w:pPr>
    </w:p>
    <w:p w:rsidR="00920A58" w:rsidRPr="00920A58" w:rsidP="00920A58" w14:paraId="67029572" w14:textId="39E33228">
      <w:pPr>
        <w:pStyle w:val="Heading3"/>
        <w:numPr>
          <w:ilvl w:val="0"/>
          <w:numId w:val="50"/>
        </w:numPr>
      </w:pPr>
      <w:r w:rsidRPr="0001750E">
        <w:t>Effects of Updated Wage Rates</w:t>
      </w:r>
      <w:r>
        <w:t xml:space="preserve"> </w:t>
      </w:r>
    </w:p>
    <w:p w:rsidR="00926AE5" w:rsidP="00926AE5" w14:paraId="7B677D04" w14:textId="29B5635E">
      <w:pPr>
        <w:pStyle w:val="BodyText"/>
      </w:pPr>
      <w:r>
        <w:t>As described in Section 12, we have updated our estimated wage rate</w:t>
      </w:r>
      <w:r w:rsidR="004651FD">
        <w:t>; t</w:t>
      </w:r>
      <w:r>
        <w:t xml:space="preserve">he effects </w:t>
      </w:r>
      <w:r w:rsidR="004651FD">
        <w:t>of this</w:t>
      </w:r>
      <w:r>
        <w:t xml:space="preserve"> update are described here.</w:t>
      </w:r>
    </w:p>
    <w:p w:rsidR="00926AE5" w:rsidP="00926AE5" w14:paraId="18453502" w14:textId="0AF03315">
      <w:pPr>
        <w:pStyle w:val="BodyText"/>
      </w:pPr>
      <w:r>
        <w:t>We previously estimated a wage rate of $</w:t>
      </w:r>
      <w:r w:rsidR="0036026B">
        <w:t>52.12</w:t>
      </w:r>
      <w:r>
        <w:t>/hour</w:t>
      </w:r>
      <w:r w:rsidR="00D25362">
        <w:t>;</w:t>
      </w:r>
      <w:r>
        <w:t xml:space="preserve"> we are updating that estimate to $</w:t>
      </w:r>
      <w:r w:rsidR="00E2413C">
        <w:t>5</w:t>
      </w:r>
      <w:r w:rsidR="0036026B">
        <w:t>5.38</w:t>
      </w:r>
      <w:r>
        <w:t>/hour, a change of $</w:t>
      </w:r>
      <w:r w:rsidR="0036026B">
        <w:t>3.26</w:t>
      </w:r>
      <w:r>
        <w:t xml:space="preserve">/hour. </w:t>
      </w:r>
      <w:r w:rsidR="006B7E04">
        <w:t xml:space="preserve">Furthermore, for requirements that require </w:t>
      </w:r>
      <w:r w:rsidR="004E52B1">
        <w:t xml:space="preserve">patients </w:t>
      </w:r>
      <w:r w:rsidR="006B7E04">
        <w:t>to engage in activities on their own time, we previously estimated a wage rate of $2</w:t>
      </w:r>
      <w:r w:rsidR="0036026B">
        <w:t>4.04</w:t>
      </w:r>
      <w:r w:rsidR="006B7E04">
        <w:t>/hour; we are updating that estimate to $2</w:t>
      </w:r>
      <w:r w:rsidR="0036026B">
        <w:t>5.63</w:t>
      </w:r>
      <w:r w:rsidR="006B7E04">
        <w:t>/hour, a change of $</w:t>
      </w:r>
      <w:r w:rsidR="0036026B">
        <w:t>1.59</w:t>
      </w:r>
      <w:r w:rsidR="006B7E04">
        <w:t xml:space="preserve">/hour. </w:t>
      </w:r>
      <w:r>
        <w:t>The effects of th</w:t>
      </w:r>
      <w:r w:rsidR="006B7E04">
        <w:t>ese</w:t>
      </w:r>
      <w:r>
        <w:t xml:space="preserve"> update</w:t>
      </w:r>
      <w:r w:rsidR="009C7B05">
        <w:t>s</w:t>
      </w:r>
      <w:r>
        <w:t xml:space="preserve"> on the </w:t>
      </w:r>
      <w:r w:rsidR="006B7E04">
        <w:t xml:space="preserve">requirements associated with the </w:t>
      </w:r>
      <w:r>
        <w:t xml:space="preserve">IPFQR Program </w:t>
      </w:r>
      <w:r w:rsidR="009C7B05">
        <w:t xml:space="preserve">are shown </w:t>
      </w:r>
      <w:r>
        <w:t xml:space="preserve">in Table </w:t>
      </w:r>
      <w:r w:rsidR="00920A58">
        <w:t>5</w:t>
      </w:r>
      <w:r>
        <w:t>.</w:t>
      </w:r>
    </w:p>
    <w:p w:rsidR="0013308E" w:rsidP="00FC6932" w14:paraId="02862E83" w14:textId="3BE46906">
      <w:pPr>
        <w:pStyle w:val="Caption"/>
        <w:jc w:val="center"/>
      </w:pPr>
      <w:r>
        <w:t xml:space="preserve">Table </w:t>
      </w:r>
      <w:r w:rsidR="00920A58">
        <w:t>5</w:t>
      </w:r>
      <w:r>
        <w:t>: Effects of Updated Wage Rate</w:t>
      </w:r>
      <w:r w:rsidR="006B7E04">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9"/>
        <w:gridCol w:w="1702"/>
        <w:gridCol w:w="1526"/>
        <w:gridCol w:w="1370"/>
        <w:gridCol w:w="1670"/>
      </w:tblGrid>
      <w:tr w14:paraId="485CF19B"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1939" w:type="dxa"/>
            <w:shd w:val="clear" w:color="auto" w:fill="BFBFBF" w:themeFill="background1" w:themeFillShade="BF"/>
          </w:tcPr>
          <w:p w:rsidR="00A13297" w:rsidRPr="00AE5C2B" w14:paraId="4DB81E37" w14:textId="77777777">
            <w:pPr>
              <w:jc w:val="center"/>
              <w:rPr>
                <w:b/>
                <w:bCs/>
                <w:sz w:val="20"/>
                <w:szCs w:val="20"/>
              </w:rPr>
            </w:pPr>
            <w:r w:rsidRPr="00AE5C2B">
              <w:rPr>
                <w:b/>
                <w:bCs/>
                <w:sz w:val="20"/>
                <w:szCs w:val="20"/>
              </w:rPr>
              <w:t>Requirement</w:t>
            </w:r>
          </w:p>
        </w:tc>
        <w:tc>
          <w:tcPr>
            <w:tcW w:w="1702" w:type="dxa"/>
            <w:shd w:val="clear" w:color="auto" w:fill="BFBFBF" w:themeFill="background1" w:themeFillShade="BF"/>
          </w:tcPr>
          <w:p w:rsidR="00A13297" w:rsidRPr="00AE5C2B" w14:paraId="2B6BF0DC" w14:textId="77777777">
            <w:pPr>
              <w:jc w:val="center"/>
              <w:rPr>
                <w:b/>
                <w:bCs/>
                <w:sz w:val="20"/>
                <w:szCs w:val="20"/>
              </w:rPr>
            </w:pPr>
            <w:r w:rsidRPr="00AE5C2B">
              <w:rPr>
                <w:b/>
                <w:bCs/>
                <w:sz w:val="20"/>
                <w:szCs w:val="20"/>
              </w:rPr>
              <w:t>Respondents</w:t>
            </w:r>
          </w:p>
        </w:tc>
        <w:tc>
          <w:tcPr>
            <w:tcW w:w="1526" w:type="dxa"/>
            <w:shd w:val="clear" w:color="auto" w:fill="BFBFBF" w:themeFill="background1" w:themeFillShade="BF"/>
          </w:tcPr>
          <w:p w:rsidR="00A13297" w14:paraId="3170E25C" w14:textId="77777777">
            <w:pPr>
              <w:jc w:val="center"/>
              <w:rPr>
                <w:b/>
                <w:bCs/>
                <w:sz w:val="20"/>
                <w:szCs w:val="20"/>
              </w:rPr>
            </w:pPr>
            <w:r w:rsidRPr="00AE5C2B">
              <w:rPr>
                <w:b/>
                <w:bCs/>
                <w:sz w:val="20"/>
                <w:szCs w:val="20"/>
              </w:rPr>
              <w:t>Time (hours)</w:t>
            </w:r>
          </w:p>
          <w:p w:rsidR="00A13297" w:rsidRPr="00AE5C2B" w14:paraId="1C1B51AD" w14:textId="449DCE17">
            <w:pPr>
              <w:jc w:val="center"/>
              <w:rPr>
                <w:b/>
                <w:bCs/>
                <w:sz w:val="20"/>
                <w:szCs w:val="20"/>
              </w:rPr>
            </w:pPr>
            <w:r>
              <w:rPr>
                <w:b/>
                <w:bCs/>
                <w:sz w:val="20"/>
                <w:szCs w:val="20"/>
              </w:rPr>
              <w:t xml:space="preserve">(See Table </w:t>
            </w:r>
            <w:r w:rsidR="00190A86">
              <w:rPr>
                <w:b/>
                <w:bCs/>
                <w:sz w:val="20"/>
                <w:szCs w:val="20"/>
              </w:rPr>
              <w:t>3</w:t>
            </w:r>
            <w:r>
              <w:rPr>
                <w:b/>
                <w:bCs/>
                <w:sz w:val="20"/>
                <w:szCs w:val="20"/>
              </w:rPr>
              <w:t>)</w:t>
            </w:r>
          </w:p>
        </w:tc>
        <w:tc>
          <w:tcPr>
            <w:tcW w:w="1370" w:type="dxa"/>
            <w:shd w:val="clear" w:color="auto" w:fill="BFBFBF" w:themeFill="background1" w:themeFillShade="BF"/>
          </w:tcPr>
          <w:p w:rsidR="00A13297" w:rsidRPr="00AE5C2B" w14:paraId="5F190D9F" w14:textId="49A32170">
            <w:pPr>
              <w:jc w:val="center"/>
              <w:rPr>
                <w:b/>
                <w:bCs/>
                <w:sz w:val="20"/>
                <w:szCs w:val="20"/>
              </w:rPr>
            </w:pPr>
            <w:r>
              <w:rPr>
                <w:b/>
                <w:bCs/>
                <w:sz w:val="20"/>
                <w:szCs w:val="20"/>
              </w:rPr>
              <w:t>Change in Applicable Wage Rate ($/</w:t>
            </w:r>
            <w:r>
              <w:rPr>
                <w:b/>
                <w:bCs/>
                <w:sz w:val="20"/>
                <w:szCs w:val="20"/>
              </w:rPr>
              <w:t>hr</w:t>
            </w:r>
            <w:r>
              <w:rPr>
                <w:b/>
                <w:bCs/>
                <w:sz w:val="20"/>
                <w:szCs w:val="20"/>
              </w:rPr>
              <w:t>)</w:t>
            </w:r>
          </w:p>
        </w:tc>
        <w:tc>
          <w:tcPr>
            <w:tcW w:w="1670" w:type="dxa"/>
            <w:shd w:val="clear" w:color="auto" w:fill="BFBFBF" w:themeFill="background1" w:themeFillShade="BF"/>
          </w:tcPr>
          <w:p w:rsidR="00A13297" w:rsidRPr="00AE5C2B" w14:paraId="5F2C7A4E" w14:textId="51D43F74">
            <w:pPr>
              <w:jc w:val="center"/>
              <w:rPr>
                <w:b/>
                <w:bCs/>
                <w:sz w:val="20"/>
                <w:szCs w:val="20"/>
              </w:rPr>
            </w:pPr>
            <w:r>
              <w:rPr>
                <w:b/>
                <w:bCs/>
                <w:sz w:val="20"/>
                <w:szCs w:val="20"/>
              </w:rPr>
              <w:t xml:space="preserve">Change in </w:t>
            </w:r>
            <w:r w:rsidRPr="00AE5C2B">
              <w:rPr>
                <w:b/>
                <w:bCs/>
                <w:sz w:val="20"/>
                <w:szCs w:val="20"/>
              </w:rPr>
              <w:t>Cost ($)</w:t>
            </w:r>
          </w:p>
        </w:tc>
      </w:tr>
      <w:tr w14:paraId="1883501C" w14:textId="77777777">
        <w:tblPrEx>
          <w:tblW w:w="0" w:type="auto"/>
          <w:jc w:val="center"/>
          <w:tblLook w:val="04A0"/>
        </w:tblPrEx>
        <w:trPr>
          <w:jc w:val="center"/>
        </w:trPr>
        <w:tc>
          <w:tcPr>
            <w:tcW w:w="1939" w:type="dxa"/>
            <w:shd w:val="clear" w:color="auto" w:fill="auto"/>
            <w:vAlign w:val="center"/>
          </w:tcPr>
          <w:p w:rsidR="0001750E" w:rsidRPr="00AE5C2B" w:rsidP="0001750E" w14:paraId="30AD9709" w14:textId="77777777">
            <w:pPr>
              <w:jc w:val="center"/>
              <w:rPr>
                <w:sz w:val="18"/>
                <w:szCs w:val="18"/>
              </w:rPr>
            </w:pPr>
            <w:r>
              <w:rPr>
                <w:sz w:val="18"/>
                <w:szCs w:val="18"/>
              </w:rPr>
              <w:t>All-Patient Measures</w:t>
            </w:r>
          </w:p>
        </w:tc>
        <w:tc>
          <w:tcPr>
            <w:tcW w:w="1702" w:type="dxa"/>
            <w:shd w:val="clear" w:color="auto" w:fill="auto"/>
            <w:vAlign w:val="center"/>
          </w:tcPr>
          <w:p w:rsidR="0001750E" w:rsidRPr="00AE5C2B" w:rsidP="0001750E" w14:paraId="0E87F1F0" w14:textId="77777777">
            <w:pPr>
              <w:jc w:val="center"/>
              <w:rPr>
                <w:sz w:val="18"/>
                <w:szCs w:val="18"/>
              </w:rPr>
            </w:pPr>
            <w:r>
              <w:rPr>
                <w:sz w:val="18"/>
                <w:szCs w:val="18"/>
              </w:rPr>
              <w:t>1,596</w:t>
            </w:r>
          </w:p>
        </w:tc>
        <w:tc>
          <w:tcPr>
            <w:tcW w:w="1526" w:type="dxa"/>
            <w:vAlign w:val="center"/>
          </w:tcPr>
          <w:p w:rsidR="0001750E" w:rsidRPr="00AE5C2B" w:rsidP="0001750E" w14:paraId="4C8AC5F8" w14:textId="680ED3B2">
            <w:pPr>
              <w:jc w:val="center"/>
              <w:rPr>
                <w:sz w:val="18"/>
                <w:szCs w:val="18"/>
              </w:rPr>
            </w:pPr>
            <w:r>
              <w:rPr>
                <w:sz w:val="18"/>
                <w:szCs w:val="18"/>
              </w:rPr>
              <w:t>1,</w:t>
            </w:r>
            <w:r w:rsidR="00F51E07">
              <w:rPr>
                <w:sz w:val="18"/>
                <w:szCs w:val="18"/>
              </w:rPr>
              <w:t>006,278</w:t>
            </w:r>
          </w:p>
        </w:tc>
        <w:tc>
          <w:tcPr>
            <w:tcW w:w="1370" w:type="dxa"/>
            <w:vAlign w:val="center"/>
          </w:tcPr>
          <w:p w:rsidR="0001750E" w:rsidRPr="00001030" w:rsidP="0001750E" w14:paraId="02D995E9" w14:textId="74F82A0F">
            <w:pPr>
              <w:jc w:val="center"/>
              <w:rPr>
                <w:bCs/>
                <w:color w:val="000000"/>
                <w:sz w:val="18"/>
                <w:szCs w:val="18"/>
              </w:rPr>
            </w:pPr>
            <w:r>
              <w:rPr>
                <w:bCs/>
                <w:color w:val="000000"/>
                <w:sz w:val="18"/>
                <w:szCs w:val="18"/>
              </w:rPr>
              <w:t>+</w:t>
            </w:r>
            <w:r w:rsidR="00920A58">
              <w:rPr>
                <w:bCs/>
                <w:color w:val="000000"/>
                <w:sz w:val="18"/>
                <w:szCs w:val="18"/>
              </w:rPr>
              <w:t>3.26</w:t>
            </w:r>
          </w:p>
        </w:tc>
        <w:tc>
          <w:tcPr>
            <w:tcW w:w="1670" w:type="dxa"/>
            <w:shd w:val="clear" w:color="auto" w:fill="auto"/>
          </w:tcPr>
          <w:p w:rsidR="0001750E" w:rsidRPr="0001750E" w:rsidP="0001750E" w14:paraId="7058C4D0" w14:textId="6F727C41">
            <w:pPr>
              <w:jc w:val="center"/>
              <w:rPr>
                <w:bCs/>
                <w:color w:val="000000"/>
                <w:sz w:val="18"/>
                <w:szCs w:val="18"/>
              </w:rPr>
            </w:pPr>
            <w:r>
              <w:rPr>
                <w:bCs/>
                <w:color w:val="000000"/>
                <w:sz w:val="18"/>
                <w:szCs w:val="18"/>
              </w:rPr>
              <w:t>3,280,466</w:t>
            </w:r>
          </w:p>
        </w:tc>
      </w:tr>
      <w:tr w14:paraId="730B7626" w14:textId="77777777">
        <w:tblPrEx>
          <w:tblW w:w="0" w:type="auto"/>
          <w:jc w:val="center"/>
          <w:tblLook w:val="04A0"/>
        </w:tblPrEx>
        <w:trPr>
          <w:jc w:val="center"/>
        </w:trPr>
        <w:tc>
          <w:tcPr>
            <w:tcW w:w="1939" w:type="dxa"/>
            <w:shd w:val="clear" w:color="auto" w:fill="auto"/>
            <w:vAlign w:val="center"/>
          </w:tcPr>
          <w:p w:rsidR="0001750E" w:rsidRPr="00AE5C2B" w:rsidP="0001750E" w14:paraId="00A505FC" w14:textId="77777777">
            <w:pPr>
              <w:jc w:val="center"/>
              <w:rPr>
                <w:sz w:val="18"/>
                <w:szCs w:val="18"/>
              </w:rPr>
            </w:pPr>
            <w:r>
              <w:rPr>
                <w:w w:val="105"/>
                <w:sz w:val="18"/>
                <w:szCs w:val="18"/>
              </w:rPr>
              <w:t>Global Sample Measures</w:t>
            </w:r>
          </w:p>
        </w:tc>
        <w:tc>
          <w:tcPr>
            <w:tcW w:w="1702" w:type="dxa"/>
            <w:shd w:val="clear" w:color="auto" w:fill="auto"/>
            <w:vAlign w:val="center"/>
          </w:tcPr>
          <w:p w:rsidR="0001750E" w:rsidRPr="00AE5C2B" w:rsidP="0001750E" w14:paraId="55E356C8" w14:textId="77777777">
            <w:pPr>
              <w:jc w:val="center"/>
              <w:rPr>
                <w:sz w:val="18"/>
                <w:szCs w:val="18"/>
              </w:rPr>
            </w:pPr>
            <w:r>
              <w:rPr>
                <w:sz w:val="18"/>
                <w:szCs w:val="18"/>
              </w:rPr>
              <w:t>1,596</w:t>
            </w:r>
          </w:p>
        </w:tc>
        <w:tc>
          <w:tcPr>
            <w:tcW w:w="1526" w:type="dxa"/>
            <w:vAlign w:val="center"/>
          </w:tcPr>
          <w:p w:rsidR="0001750E" w:rsidRPr="00AE5C2B" w:rsidP="0001750E" w14:paraId="481E0F82" w14:textId="1BDC4AA7">
            <w:pPr>
              <w:jc w:val="center"/>
              <w:rPr>
                <w:sz w:val="18"/>
                <w:szCs w:val="18"/>
              </w:rPr>
            </w:pPr>
            <w:r>
              <w:rPr>
                <w:sz w:val="18"/>
                <w:szCs w:val="18"/>
              </w:rPr>
              <w:t>1,457,946</w:t>
            </w:r>
          </w:p>
        </w:tc>
        <w:tc>
          <w:tcPr>
            <w:tcW w:w="1370" w:type="dxa"/>
            <w:vAlign w:val="center"/>
          </w:tcPr>
          <w:p w:rsidR="0001750E" w:rsidRPr="0001750E" w:rsidP="0001750E" w14:paraId="4445D7E0" w14:textId="1615BEBB">
            <w:pPr>
              <w:jc w:val="center"/>
              <w:rPr>
                <w:bCs/>
                <w:color w:val="000000"/>
                <w:sz w:val="18"/>
                <w:szCs w:val="18"/>
              </w:rPr>
            </w:pPr>
            <w:r>
              <w:rPr>
                <w:bCs/>
                <w:color w:val="000000"/>
                <w:sz w:val="18"/>
                <w:szCs w:val="18"/>
              </w:rPr>
              <w:t>+</w:t>
            </w:r>
            <w:r w:rsidR="00920A58">
              <w:rPr>
                <w:bCs/>
                <w:color w:val="000000"/>
                <w:sz w:val="18"/>
                <w:szCs w:val="18"/>
              </w:rPr>
              <w:t>3</w:t>
            </w:r>
            <w:r>
              <w:rPr>
                <w:bCs/>
                <w:color w:val="000000"/>
                <w:sz w:val="18"/>
                <w:szCs w:val="18"/>
              </w:rPr>
              <w:t>.26</w:t>
            </w:r>
          </w:p>
        </w:tc>
        <w:tc>
          <w:tcPr>
            <w:tcW w:w="1670" w:type="dxa"/>
            <w:shd w:val="clear" w:color="auto" w:fill="auto"/>
          </w:tcPr>
          <w:p w:rsidR="0001750E" w:rsidRPr="0001750E" w:rsidP="0001750E" w14:paraId="46778A8F" w14:textId="5B42BBD0">
            <w:pPr>
              <w:jc w:val="center"/>
              <w:rPr>
                <w:bCs/>
                <w:color w:val="000000"/>
                <w:sz w:val="18"/>
                <w:szCs w:val="18"/>
              </w:rPr>
            </w:pPr>
            <w:r>
              <w:rPr>
                <w:bCs/>
                <w:color w:val="000000"/>
                <w:sz w:val="18"/>
                <w:szCs w:val="18"/>
              </w:rPr>
              <w:t>4,752,904</w:t>
            </w:r>
          </w:p>
        </w:tc>
      </w:tr>
      <w:tr w14:paraId="47CE3DCF" w14:textId="77777777">
        <w:tblPrEx>
          <w:tblW w:w="0" w:type="auto"/>
          <w:jc w:val="center"/>
          <w:tblLook w:val="04A0"/>
        </w:tblPrEx>
        <w:trPr>
          <w:jc w:val="center"/>
        </w:trPr>
        <w:tc>
          <w:tcPr>
            <w:tcW w:w="1939" w:type="dxa"/>
            <w:shd w:val="clear" w:color="auto" w:fill="auto"/>
            <w:vAlign w:val="center"/>
          </w:tcPr>
          <w:p w:rsidR="0001750E" w:rsidP="0001750E" w14:paraId="15572B42" w14:textId="28F3C28E">
            <w:pPr>
              <w:jc w:val="center"/>
              <w:rPr>
                <w:w w:val="105"/>
                <w:sz w:val="18"/>
                <w:szCs w:val="18"/>
              </w:rPr>
            </w:pPr>
            <w:r>
              <w:rPr>
                <w:w w:val="105"/>
                <w:sz w:val="18"/>
                <w:szCs w:val="18"/>
              </w:rPr>
              <w:t>P</w:t>
            </w:r>
            <w:r w:rsidR="004E52B1">
              <w:rPr>
                <w:w w:val="105"/>
                <w:sz w:val="18"/>
                <w:szCs w:val="18"/>
              </w:rPr>
              <w:t>IX</w:t>
            </w:r>
            <w:r>
              <w:rPr>
                <w:w w:val="105"/>
                <w:sz w:val="18"/>
                <w:szCs w:val="18"/>
              </w:rPr>
              <w:t xml:space="preserve"> Measure</w:t>
            </w:r>
          </w:p>
        </w:tc>
        <w:tc>
          <w:tcPr>
            <w:tcW w:w="1702" w:type="dxa"/>
            <w:shd w:val="clear" w:color="auto" w:fill="auto"/>
            <w:vAlign w:val="center"/>
          </w:tcPr>
          <w:p w:rsidR="0001750E" w:rsidP="0001750E" w14:paraId="4C233ED8" w14:textId="77777777">
            <w:pPr>
              <w:jc w:val="center"/>
              <w:rPr>
                <w:sz w:val="18"/>
                <w:szCs w:val="18"/>
              </w:rPr>
            </w:pPr>
            <w:r>
              <w:rPr>
                <w:sz w:val="18"/>
                <w:szCs w:val="18"/>
              </w:rPr>
              <w:t>1,596</w:t>
            </w:r>
          </w:p>
        </w:tc>
        <w:tc>
          <w:tcPr>
            <w:tcW w:w="1526" w:type="dxa"/>
            <w:vAlign w:val="center"/>
          </w:tcPr>
          <w:p w:rsidR="0001750E" w:rsidRPr="00AE5C2B" w:rsidP="0001750E" w14:paraId="400845B5" w14:textId="42E5BFFD">
            <w:pPr>
              <w:jc w:val="center"/>
              <w:rPr>
                <w:sz w:val="18"/>
                <w:szCs w:val="18"/>
              </w:rPr>
            </w:pPr>
            <w:r>
              <w:rPr>
                <w:sz w:val="18"/>
                <w:szCs w:val="18"/>
              </w:rPr>
              <w:t>119,700</w:t>
            </w:r>
          </w:p>
        </w:tc>
        <w:tc>
          <w:tcPr>
            <w:tcW w:w="1370" w:type="dxa"/>
            <w:vAlign w:val="center"/>
          </w:tcPr>
          <w:p w:rsidR="0001750E" w:rsidRPr="0001750E" w:rsidP="0001750E" w14:paraId="186702A7" w14:textId="2A7B9668">
            <w:pPr>
              <w:jc w:val="center"/>
              <w:rPr>
                <w:bCs/>
                <w:color w:val="000000"/>
                <w:sz w:val="18"/>
                <w:szCs w:val="18"/>
              </w:rPr>
            </w:pPr>
            <w:r>
              <w:rPr>
                <w:bCs/>
                <w:color w:val="000000"/>
                <w:sz w:val="18"/>
                <w:szCs w:val="18"/>
              </w:rPr>
              <w:t>+</w:t>
            </w:r>
            <w:r w:rsidR="00920A58">
              <w:rPr>
                <w:bCs/>
                <w:color w:val="000000"/>
                <w:sz w:val="18"/>
                <w:szCs w:val="18"/>
              </w:rPr>
              <w:t>3</w:t>
            </w:r>
            <w:r>
              <w:rPr>
                <w:bCs/>
                <w:color w:val="000000"/>
                <w:sz w:val="18"/>
                <w:szCs w:val="18"/>
              </w:rPr>
              <w:t>.26</w:t>
            </w:r>
          </w:p>
        </w:tc>
        <w:tc>
          <w:tcPr>
            <w:tcW w:w="1670" w:type="dxa"/>
            <w:shd w:val="clear" w:color="auto" w:fill="auto"/>
          </w:tcPr>
          <w:p w:rsidR="0001750E" w:rsidRPr="0001750E" w:rsidP="0001750E" w14:paraId="42DD8899" w14:textId="6245DEEF">
            <w:pPr>
              <w:jc w:val="center"/>
              <w:rPr>
                <w:bCs/>
                <w:color w:val="000000"/>
                <w:sz w:val="18"/>
                <w:szCs w:val="18"/>
              </w:rPr>
            </w:pPr>
            <w:r>
              <w:rPr>
                <w:bCs/>
                <w:color w:val="000000"/>
                <w:sz w:val="18"/>
                <w:szCs w:val="18"/>
              </w:rPr>
              <w:t>390,222</w:t>
            </w:r>
          </w:p>
        </w:tc>
      </w:tr>
      <w:tr w14:paraId="1A876044" w14:textId="77777777">
        <w:tblPrEx>
          <w:tblW w:w="0" w:type="auto"/>
          <w:jc w:val="center"/>
          <w:tblLook w:val="04A0"/>
        </w:tblPrEx>
        <w:trPr>
          <w:jc w:val="center"/>
        </w:trPr>
        <w:tc>
          <w:tcPr>
            <w:tcW w:w="1939" w:type="dxa"/>
            <w:shd w:val="clear" w:color="auto" w:fill="auto"/>
            <w:vAlign w:val="center"/>
          </w:tcPr>
          <w:p w:rsidR="0001750E" w:rsidP="0001750E" w14:paraId="4E25FB13" w14:textId="77777777">
            <w:pPr>
              <w:jc w:val="center"/>
              <w:rPr>
                <w:w w:val="105"/>
                <w:sz w:val="18"/>
                <w:szCs w:val="18"/>
              </w:rPr>
            </w:pPr>
            <w:r>
              <w:rPr>
                <w:w w:val="105"/>
                <w:sz w:val="18"/>
                <w:szCs w:val="18"/>
              </w:rPr>
              <w:t>Non-Measure Data</w:t>
            </w:r>
          </w:p>
        </w:tc>
        <w:tc>
          <w:tcPr>
            <w:tcW w:w="1702" w:type="dxa"/>
            <w:shd w:val="clear" w:color="auto" w:fill="auto"/>
            <w:vAlign w:val="center"/>
          </w:tcPr>
          <w:p w:rsidR="0001750E" w:rsidP="0001750E" w14:paraId="221DEFAE" w14:textId="77777777">
            <w:pPr>
              <w:jc w:val="center"/>
              <w:rPr>
                <w:sz w:val="18"/>
                <w:szCs w:val="18"/>
              </w:rPr>
            </w:pPr>
            <w:r>
              <w:rPr>
                <w:sz w:val="18"/>
                <w:szCs w:val="18"/>
              </w:rPr>
              <w:t>1,596</w:t>
            </w:r>
          </w:p>
        </w:tc>
        <w:tc>
          <w:tcPr>
            <w:tcW w:w="1526" w:type="dxa"/>
            <w:vAlign w:val="center"/>
          </w:tcPr>
          <w:p w:rsidR="0001750E" w:rsidRPr="00AE5C2B" w:rsidP="0001750E" w14:paraId="70DF00B7" w14:textId="030319CA">
            <w:pPr>
              <w:jc w:val="center"/>
              <w:rPr>
                <w:sz w:val="18"/>
                <w:szCs w:val="18"/>
              </w:rPr>
            </w:pPr>
            <w:r>
              <w:rPr>
                <w:sz w:val="18"/>
                <w:szCs w:val="18"/>
              </w:rPr>
              <w:t>3,192</w:t>
            </w:r>
          </w:p>
        </w:tc>
        <w:tc>
          <w:tcPr>
            <w:tcW w:w="1370" w:type="dxa"/>
            <w:vAlign w:val="center"/>
          </w:tcPr>
          <w:p w:rsidR="0001750E" w:rsidRPr="0001750E" w:rsidP="0001750E" w14:paraId="362B5A1A" w14:textId="2D8657C8">
            <w:pPr>
              <w:jc w:val="center"/>
              <w:rPr>
                <w:bCs/>
                <w:color w:val="000000"/>
                <w:sz w:val="18"/>
                <w:szCs w:val="18"/>
              </w:rPr>
            </w:pPr>
            <w:r>
              <w:rPr>
                <w:bCs/>
                <w:color w:val="000000"/>
                <w:sz w:val="18"/>
                <w:szCs w:val="18"/>
              </w:rPr>
              <w:t>+</w:t>
            </w:r>
            <w:r w:rsidR="00920A58">
              <w:rPr>
                <w:bCs/>
                <w:color w:val="000000"/>
                <w:sz w:val="18"/>
                <w:szCs w:val="18"/>
              </w:rPr>
              <w:t>3</w:t>
            </w:r>
            <w:r>
              <w:rPr>
                <w:bCs/>
                <w:color w:val="000000"/>
                <w:sz w:val="18"/>
                <w:szCs w:val="18"/>
              </w:rPr>
              <w:t>.26</w:t>
            </w:r>
          </w:p>
        </w:tc>
        <w:tc>
          <w:tcPr>
            <w:tcW w:w="1670" w:type="dxa"/>
            <w:shd w:val="clear" w:color="auto" w:fill="auto"/>
          </w:tcPr>
          <w:p w:rsidR="0001750E" w:rsidRPr="0001750E" w:rsidP="0001750E" w14:paraId="382C6765" w14:textId="15E26F26">
            <w:pPr>
              <w:jc w:val="center"/>
              <w:rPr>
                <w:bCs/>
                <w:color w:val="000000"/>
                <w:sz w:val="18"/>
                <w:szCs w:val="18"/>
              </w:rPr>
            </w:pPr>
            <w:r>
              <w:rPr>
                <w:bCs/>
                <w:color w:val="000000"/>
                <w:sz w:val="18"/>
                <w:szCs w:val="18"/>
              </w:rPr>
              <w:t>10,406</w:t>
            </w:r>
          </w:p>
        </w:tc>
      </w:tr>
      <w:tr w14:paraId="729FE433" w14:textId="77777777">
        <w:tblPrEx>
          <w:tblW w:w="0" w:type="auto"/>
          <w:jc w:val="center"/>
          <w:tblLook w:val="04A0"/>
        </w:tblPrEx>
        <w:trPr>
          <w:jc w:val="center"/>
        </w:trPr>
        <w:tc>
          <w:tcPr>
            <w:tcW w:w="1939" w:type="dxa"/>
            <w:shd w:val="clear" w:color="auto" w:fill="auto"/>
            <w:vAlign w:val="center"/>
          </w:tcPr>
          <w:p w:rsidR="0001750E" w:rsidP="0001750E" w14:paraId="17A28E92" w14:textId="77777777">
            <w:pPr>
              <w:jc w:val="center"/>
              <w:rPr>
                <w:w w:val="105"/>
                <w:sz w:val="18"/>
                <w:szCs w:val="18"/>
              </w:rPr>
            </w:pPr>
            <w:r>
              <w:rPr>
                <w:w w:val="105"/>
                <w:sz w:val="18"/>
                <w:szCs w:val="18"/>
              </w:rPr>
              <w:t>Patient Survey - PIX</w:t>
            </w:r>
          </w:p>
        </w:tc>
        <w:tc>
          <w:tcPr>
            <w:tcW w:w="1702" w:type="dxa"/>
            <w:shd w:val="clear" w:color="auto" w:fill="auto"/>
            <w:vAlign w:val="center"/>
          </w:tcPr>
          <w:p w:rsidR="0001750E" w:rsidP="0001750E" w14:paraId="5244281E" w14:textId="77777777">
            <w:pPr>
              <w:jc w:val="center"/>
              <w:rPr>
                <w:sz w:val="18"/>
                <w:szCs w:val="18"/>
              </w:rPr>
            </w:pPr>
            <w:r>
              <w:rPr>
                <w:sz w:val="18"/>
                <w:szCs w:val="18"/>
              </w:rPr>
              <w:t>1,596</w:t>
            </w:r>
          </w:p>
        </w:tc>
        <w:tc>
          <w:tcPr>
            <w:tcW w:w="1526" w:type="dxa"/>
            <w:vAlign w:val="center"/>
          </w:tcPr>
          <w:p w:rsidR="0001750E" w:rsidRPr="00AE5C2B" w:rsidP="0001750E" w14:paraId="446C2603" w14:textId="67002547">
            <w:pPr>
              <w:jc w:val="center"/>
              <w:rPr>
                <w:sz w:val="18"/>
                <w:szCs w:val="18"/>
              </w:rPr>
            </w:pPr>
            <w:r>
              <w:rPr>
                <w:sz w:val="18"/>
                <w:szCs w:val="18"/>
              </w:rPr>
              <w:t>57,935</w:t>
            </w:r>
          </w:p>
        </w:tc>
        <w:tc>
          <w:tcPr>
            <w:tcW w:w="1370" w:type="dxa"/>
            <w:vAlign w:val="center"/>
          </w:tcPr>
          <w:p w:rsidR="0001750E" w:rsidRPr="0001750E" w:rsidP="0001750E" w14:paraId="03FB29B2" w14:textId="5E65EC13">
            <w:pPr>
              <w:jc w:val="center"/>
              <w:rPr>
                <w:bCs/>
                <w:color w:val="000000"/>
                <w:sz w:val="18"/>
                <w:szCs w:val="18"/>
              </w:rPr>
            </w:pPr>
            <w:r w:rsidRPr="0001750E">
              <w:rPr>
                <w:bCs/>
                <w:color w:val="000000"/>
                <w:sz w:val="18"/>
                <w:szCs w:val="18"/>
              </w:rPr>
              <w:t>+</w:t>
            </w:r>
            <w:r w:rsidR="00920A58">
              <w:rPr>
                <w:bCs/>
                <w:color w:val="000000"/>
                <w:sz w:val="18"/>
                <w:szCs w:val="18"/>
              </w:rPr>
              <w:t>1.59</w:t>
            </w:r>
          </w:p>
        </w:tc>
        <w:tc>
          <w:tcPr>
            <w:tcW w:w="1670" w:type="dxa"/>
            <w:shd w:val="clear" w:color="auto" w:fill="auto"/>
          </w:tcPr>
          <w:p w:rsidR="0001750E" w:rsidRPr="0001750E" w:rsidP="0001750E" w14:paraId="557B34A8" w14:textId="388D9E09">
            <w:pPr>
              <w:jc w:val="center"/>
              <w:rPr>
                <w:bCs/>
                <w:color w:val="000000"/>
                <w:sz w:val="18"/>
                <w:szCs w:val="18"/>
              </w:rPr>
            </w:pPr>
            <w:r>
              <w:rPr>
                <w:bCs/>
                <w:color w:val="000000"/>
                <w:sz w:val="18"/>
                <w:szCs w:val="18"/>
              </w:rPr>
              <w:t>92,117</w:t>
            </w:r>
          </w:p>
        </w:tc>
      </w:tr>
      <w:tr w14:paraId="08BE64F3" w14:textId="77777777">
        <w:tblPrEx>
          <w:tblW w:w="0" w:type="auto"/>
          <w:jc w:val="center"/>
          <w:tblLook w:val="04A0"/>
        </w:tblPrEx>
        <w:trPr>
          <w:trHeight w:val="79"/>
          <w:jc w:val="center"/>
        </w:trPr>
        <w:tc>
          <w:tcPr>
            <w:tcW w:w="1939" w:type="dxa"/>
            <w:shd w:val="clear" w:color="auto" w:fill="BFBFBF" w:themeFill="background1" w:themeFillShade="BF"/>
          </w:tcPr>
          <w:p w:rsidR="00A13297" w:rsidRPr="0027128F" w14:paraId="66858177" w14:textId="77777777">
            <w:pPr>
              <w:rPr>
                <w:b/>
                <w:bCs/>
                <w:w w:val="105"/>
                <w:sz w:val="20"/>
                <w:szCs w:val="20"/>
              </w:rPr>
            </w:pPr>
            <w:r w:rsidRPr="0027128F">
              <w:rPr>
                <w:b/>
                <w:bCs/>
                <w:w w:val="105"/>
                <w:sz w:val="20"/>
                <w:szCs w:val="20"/>
              </w:rPr>
              <w:t>TOTAL</w:t>
            </w:r>
          </w:p>
        </w:tc>
        <w:tc>
          <w:tcPr>
            <w:tcW w:w="1702" w:type="dxa"/>
            <w:shd w:val="clear" w:color="auto" w:fill="BFBFBF" w:themeFill="background1" w:themeFillShade="BF"/>
          </w:tcPr>
          <w:p w:rsidR="00A13297" w:rsidRPr="0027128F" w14:paraId="2AC49643" w14:textId="77777777">
            <w:pPr>
              <w:jc w:val="center"/>
              <w:rPr>
                <w:b/>
                <w:bCs/>
                <w:sz w:val="20"/>
                <w:szCs w:val="20"/>
              </w:rPr>
            </w:pPr>
            <w:r w:rsidRPr="0027128F">
              <w:rPr>
                <w:b/>
                <w:bCs/>
                <w:sz w:val="20"/>
                <w:szCs w:val="20"/>
              </w:rPr>
              <w:t>1,596</w:t>
            </w:r>
          </w:p>
        </w:tc>
        <w:tc>
          <w:tcPr>
            <w:tcW w:w="1526" w:type="dxa"/>
            <w:shd w:val="clear" w:color="auto" w:fill="BFBFBF" w:themeFill="background1" w:themeFillShade="BF"/>
          </w:tcPr>
          <w:p w:rsidR="00A13297" w:rsidRPr="0027128F" w14:paraId="76661222" w14:textId="2BF4A0C1">
            <w:pPr>
              <w:jc w:val="center"/>
              <w:rPr>
                <w:b/>
                <w:bCs/>
                <w:sz w:val="20"/>
                <w:szCs w:val="20"/>
              </w:rPr>
            </w:pPr>
            <w:r>
              <w:rPr>
                <w:b/>
                <w:bCs/>
                <w:sz w:val="20"/>
                <w:szCs w:val="20"/>
              </w:rPr>
              <w:t>2,</w:t>
            </w:r>
            <w:r w:rsidR="00920A58">
              <w:rPr>
                <w:b/>
                <w:bCs/>
                <w:sz w:val="20"/>
                <w:szCs w:val="20"/>
              </w:rPr>
              <w:t>645,051</w:t>
            </w:r>
          </w:p>
        </w:tc>
        <w:tc>
          <w:tcPr>
            <w:tcW w:w="1370" w:type="dxa"/>
            <w:shd w:val="clear" w:color="auto" w:fill="BFBFBF" w:themeFill="background1" w:themeFillShade="BF"/>
          </w:tcPr>
          <w:p w:rsidR="00A13297" w14:paraId="44D2A387" w14:textId="77777777">
            <w:pPr>
              <w:jc w:val="center"/>
              <w:rPr>
                <w:b/>
                <w:bCs/>
                <w:sz w:val="20"/>
                <w:szCs w:val="20"/>
              </w:rPr>
            </w:pPr>
            <w:r>
              <w:rPr>
                <w:b/>
                <w:bCs/>
                <w:sz w:val="20"/>
                <w:szCs w:val="20"/>
              </w:rPr>
              <w:t>Varies</w:t>
            </w:r>
          </w:p>
        </w:tc>
        <w:tc>
          <w:tcPr>
            <w:tcW w:w="1670" w:type="dxa"/>
            <w:shd w:val="clear" w:color="auto" w:fill="BFBFBF" w:themeFill="background1" w:themeFillShade="BF"/>
          </w:tcPr>
          <w:p w:rsidR="00A13297" w:rsidRPr="0027128F" w:rsidP="0001750E" w14:paraId="5FD85193" w14:textId="62C7CBA7">
            <w:pPr>
              <w:jc w:val="center"/>
              <w:rPr>
                <w:b/>
                <w:bCs/>
                <w:sz w:val="20"/>
                <w:szCs w:val="20"/>
              </w:rPr>
            </w:pPr>
            <w:r>
              <w:rPr>
                <w:b/>
                <w:bCs/>
                <w:sz w:val="20"/>
                <w:szCs w:val="20"/>
              </w:rPr>
              <w:t>8,526,115</w:t>
            </w:r>
          </w:p>
        </w:tc>
      </w:tr>
    </w:tbl>
    <w:p w:rsidR="006B7E04" w:rsidP="006B7E04" w14:paraId="60B308DA" w14:textId="77777777"/>
    <w:p w:rsidR="001A2DBB" w:rsidP="009259F8" w14:paraId="09D5E957" w14:textId="5D2109D5">
      <w:pPr>
        <w:ind w:left="180"/>
      </w:pPr>
      <w:r>
        <w:t>In aggregate, we estimate a total decrease in burden hours of 67,214 and an increase of $6,887,826 due to proposed measure removals and updated wage rates.</w:t>
      </w:r>
    </w:p>
    <w:p w:rsidR="0001750E" w:rsidRPr="009259F8" w:rsidP="00CF7A2A" w14:paraId="281639D1" w14:textId="436A8FDC">
      <w:pPr>
        <w:pStyle w:val="Heading4"/>
        <w:numPr>
          <w:ilvl w:val="0"/>
          <w:numId w:val="0"/>
        </w:numPr>
        <w:rPr>
          <w:i w:val="0"/>
        </w:rPr>
      </w:pPr>
    </w:p>
    <w:p w:rsidR="005E41F1" w:rsidRPr="002E3733" w:rsidP="00643724" w14:paraId="267655D7" w14:textId="77777777">
      <w:pPr>
        <w:pStyle w:val="Heading2"/>
      </w:pPr>
      <w:r w:rsidRPr="002E3733">
        <w:t>Publication/Tabulation</w:t>
      </w:r>
      <w:r w:rsidRPr="002E3733">
        <w:rPr>
          <w:spacing w:val="-13"/>
        </w:rPr>
        <w:t xml:space="preserve"> </w:t>
      </w:r>
      <w:r w:rsidRPr="002E3733">
        <w:t>Dates</w:t>
      </w:r>
    </w:p>
    <w:p w:rsidR="005A601B" w:rsidP="00BB18D8" w14:paraId="200A5EA4" w14:textId="3F3997ED">
      <w:pPr>
        <w:pStyle w:val="BodyText"/>
      </w:pPr>
      <w:r w:rsidRPr="005A601B">
        <w:t xml:space="preserve">The goal of the data collection is to tabulate and publish </w:t>
      </w:r>
      <w:r w:rsidR="00AA6BC7">
        <w:t>IPF</w:t>
      </w:r>
      <w:r w:rsidRPr="005A601B">
        <w:t xml:space="preserve">-specific data.  We will continue to display </w:t>
      </w:r>
      <w:r w:rsidR="00135F07">
        <w:t>IPF</w:t>
      </w:r>
      <w:r w:rsidRPr="005A601B">
        <w:t xml:space="preserve"> quality information for public viewing as required by Social Security Act section 1886(</w:t>
      </w:r>
      <w:r w:rsidR="00AF73B7">
        <w:t>s</w:t>
      </w:r>
      <w:r w:rsidRPr="005A601B">
        <w:t>)(</w:t>
      </w:r>
      <w:r w:rsidR="00AF73B7">
        <w:t>4</w:t>
      </w:r>
      <w:r w:rsidRPr="005A601B">
        <w:t>)(</w:t>
      </w:r>
      <w:r w:rsidR="00AF73B7">
        <w:t>E</w:t>
      </w:r>
      <w:r w:rsidRPr="005A601B">
        <w:t>)</w:t>
      </w:r>
      <w:r w:rsidR="004E1B63">
        <w:t xml:space="preserve">. </w:t>
      </w:r>
      <w:r w:rsidR="00627115">
        <w:t>D</w:t>
      </w:r>
      <w:r w:rsidRPr="005A601B">
        <w:t>ata from the</w:t>
      </w:r>
      <w:r w:rsidR="00627115">
        <w:t xml:space="preserve"> IPFQR Program</w:t>
      </w:r>
      <w:r w:rsidRPr="005A601B">
        <w:t xml:space="preserve"> </w:t>
      </w:r>
      <w:r w:rsidRPr="005A601B">
        <w:t>are</w:t>
      </w:r>
      <w:r w:rsidRPr="005A601B">
        <w:t xml:space="preserve"> currently used to populate the </w:t>
      </w:r>
      <w:r w:rsidRPr="00D035AA">
        <w:rPr>
          <w:i/>
          <w:iCs/>
        </w:rPr>
        <w:t>Compare</w:t>
      </w:r>
      <w:r w:rsidRPr="005A601B">
        <w:t xml:space="preserve"> tool. Data are presented on the </w:t>
      </w:r>
      <w:r w:rsidRPr="00D035AA">
        <w:rPr>
          <w:i/>
          <w:iCs/>
        </w:rPr>
        <w:t>Compare</w:t>
      </w:r>
      <w:r w:rsidRPr="005A601B">
        <w:t xml:space="preserve"> tool in a format mainly aimed towards consumers, patients, and the </w:t>
      </w:r>
      <w:r w:rsidRPr="005A601B">
        <w:t>general public</w:t>
      </w:r>
      <w:r w:rsidRPr="005A601B">
        <w:t xml:space="preserve">, providing access to </w:t>
      </w:r>
      <w:r w:rsidR="00AA6BC7">
        <w:t>IPF</w:t>
      </w:r>
      <w:r w:rsidRPr="005A601B">
        <w:t xml:space="preserve">-specific quality measure performance rates along with state and national performance rates. More detailed measure data, including the data used for the </w:t>
      </w:r>
      <w:r w:rsidRPr="00D035AA">
        <w:rPr>
          <w:i/>
          <w:iCs/>
        </w:rPr>
        <w:t>Compare</w:t>
      </w:r>
      <w:r w:rsidRPr="005A601B">
        <w:t xml:space="preserve"> tool, are also available to the public as downloadable files </w:t>
      </w:r>
      <w:r w:rsidR="00AE14A9">
        <w:t xml:space="preserve">from the Provider Data Catalog available </w:t>
      </w:r>
      <w:r w:rsidRPr="005A601B">
        <w:t xml:space="preserve">at </w:t>
      </w:r>
      <w:hyperlink r:id="rId11" w:history="1">
        <w:r w:rsidRPr="002C7138" w:rsidR="00C031B7">
          <w:rPr>
            <w:rStyle w:val="Hyperlink"/>
          </w:rPr>
          <w:t>https://data.cms.gov/provider-data/</w:t>
        </w:r>
      </w:hyperlink>
      <w:r w:rsidRPr="005A601B">
        <w:t xml:space="preserve">. </w:t>
      </w:r>
      <w:r w:rsidR="00E55DED">
        <w:t>IPF</w:t>
      </w:r>
      <w:r w:rsidRPr="005A601B">
        <w:t xml:space="preserve"> quality data </w:t>
      </w:r>
      <w:r w:rsidR="00AE2644">
        <w:t xml:space="preserve">associated with this PRA </w:t>
      </w:r>
      <w:r w:rsidRPr="005A601B">
        <w:t xml:space="preserve">are currently updated on </w:t>
      </w:r>
      <w:r w:rsidR="00934F5E">
        <w:t>an annual</w:t>
      </w:r>
      <w:r w:rsidRPr="005A601B">
        <w:t xml:space="preserve"> basis</w:t>
      </w:r>
      <w:r w:rsidR="00AE2644">
        <w:t xml:space="preserve"> </w:t>
      </w:r>
      <w:r w:rsidRPr="005A601B" w:rsidR="00AE2644">
        <w:t xml:space="preserve">on the </w:t>
      </w:r>
      <w:r w:rsidRPr="00D035AA" w:rsidR="00AE2644">
        <w:rPr>
          <w:i/>
          <w:iCs/>
        </w:rPr>
        <w:t>Compare</w:t>
      </w:r>
      <w:r w:rsidRPr="005A601B" w:rsidR="00AE2644">
        <w:t xml:space="preserve"> tool</w:t>
      </w:r>
      <w:r w:rsidRPr="005A601B">
        <w:t xml:space="preserve">.  One of the goals of the </w:t>
      </w:r>
      <w:r w:rsidR="00BD436A">
        <w:t>IPFQR</w:t>
      </w:r>
      <w:r w:rsidRPr="005A601B">
        <w:t xml:space="preserve"> Program is to publicly display data on all measures adopted for the Program. We note, however, that in certain circumstances we may decide to delay public display as we evaluate the accuracy of the </w:t>
      </w:r>
      <w:r w:rsidRPr="005A601B">
        <w:t>measure</w:t>
      </w:r>
      <w:r w:rsidRPr="005A601B">
        <w:t xml:space="preserve"> data.</w:t>
      </w:r>
    </w:p>
    <w:p w:rsidR="005E41F1" w:rsidRPr="002E3733" w:rsidP="00643724" w14:paraId="18901D77" w14:textId="08F9FBB3">
      <w:pPr>
        <w:pStyle w:val="Heading2"/>
      </w:pPr>
      <w:r w:rsidRPr="002E3733">
        <w:t>Expiration</w:t>
      </w:r>
      <w:r w:rsidRPr="00BB18D8">
        <w:t xml:space="preserve"> </w:t>
      </w:r>
      <w:r w:rsidRPr="002E3733">
        <w:t>Date</w:t>
      </w:r>
    </w:p>
    <w:p w:rsidR="005E41F1" w:rsidRPr="002E3733" w:rsidP="00E9146E" w14:paraId="52BF333B" w14:textId="747F0246">
      <w:pPr>
        <w:pStyle w:val="BodyText"/>
      </w:pPr>
      <w:r w:rsidRPr="00740DA6">
        <w:t xml:space="preserve">We will display the approved expiration date on each of the forms included as appendices to this PRA, which would become available on the </w:t>
      </w:r>
      <w:r w:rsidRPr="00740DA6">
        <w:t>QualityNet</w:t>
      </w:r>
      <w:r w:rsidRPr="00740DA6">
        <w:t xml:space="preserve"> website (</w:t>
      </w:r>
      <w:hyperlink r:id="rId12" w:history="1">
        <w:r w:rsidRPr="00625840" w:rsidR="00DA30E2">
          <w:rPr>
            <w:rStyle w:val="Hyperlink"/>
          </w:rPr>
          <w:t>https://qualitynet.cms.gov</w:t>
        </w:r>
      </w:hyperlink>
      <w:r w:rsidRPr="00740DA6">
        <w:t xml:space="preserve">). We will also display the approved expiration date prominently on the </w:t>
      </w:r>
      <w:r w:rsidRPr="00740DA6">
        <w:t>QualityNet</w:t>
      </w:r>
      <w:r w:rsidRPr="00740DA6">
        <w:t xml:space="preserve"> website’s </w:t>
      </w:r>
      <w:r w:rsidR="00F22209">
        <w:t>IPFQR</w:t>
      </w:r>
      <w:r w:rsidRPr="00740DA6">
        <w:t xml:space="preserve"> Program pages used to document our measure specifications and reporting guidance.</w:t>
      </w:r>
    </w:p>
    <w:p w:rsidR="005E41F1" w:rsidRPr="002E3733" w:rsidP="00643724" w14:paraId="58A59FDC" w14:textId="77777777">
      <w:pPr>
        <w:pStyle w:val="Heading2"/>
      </w:pPr>
      <w:r w:rsidRPr="002E3733">
        <w:t>Certification</w:t>
      </w:r>
      <w:r w:rsidRPr="002E3733">
        <w:rPr>
          <w:spacing w:val="-9"/>
        </w:rPr>
        <w:t xml:space="preserve"> </w:t>
      </w:r>
      <w:r w:rsidRPr="002E3733">
        <w:t>Statement</w:t>
      </w:r>
    </w:p>
    <w:p w:rsidR="001F4A47" w:rsidP="00740DA6" w14:paraId="6CD49EDF" w14:textId="05EE2E93">
      <w:pPr>
        <w:pStyle w:val="BodyText"/>
      </w:pPr>
      <w:r w:rsidRPr="002748C8">
        <w:t xml:space="preserve">We </w:t>
      </w:r>
      <w:r w:rsidRPr="002748C8">
        <w:t>are not claiming</w:t>
      </w:r>
      <w:r w:rsidRPr="002748C8">
        <w:t xml:space="preserve"> any exceptions to the Certification for Paperwork Reduction Act Submissions Statement.</w:t>
      </w:r>
      <w:r>
        <w:br w:type="page"/>
      </w:r>
    </w:p>
    <w:p w:rsidR="003109A2" w:rsidRPr="00513AD5" w:rsidP="004F409E" w14:paraId="77E0B3E0" w14:textId="303206F9">
      <w:pPr>
        <w:pStyle w:val="BodyText"/>
        <w:rPr>
          <w:b/>
          <w:bCs/>
        </w:rPr>
      </w:pPr>
      <w:r w:rsidRPr="00513AD5">
        <w:rPr>
          <w:b/>
          <w:bCs/>
        </w:rPr>
        <w:t>B.</w:t>
      </w:r>
      <w:r w:rsidRPr="00513AD5">
        <w:rPr>
          <w:b/>
          <w:bCs/>
        </w:rPr>
        <w:tab/>
        <w:t>Collection of Information Employing Statistical Methods</w:t>
      </w:r>
    </w:p>
    <w:p w:rsidR="003109A2" w:rsidP="004F409E" w14:paraId="74977DFA" w14:textId="12B90E40">
      <w:pPr>
        <w:pStyle w:val="BodyText"/>
      </w:pPr>
      <w:r w:rsidRPr="003109A2">
        <w:t xml:space="preserve">The PIX survey </w:t>
      </w:r>
      <w:r w:rsidR="00AA6BC7">
        <w:t xml:space="preserve">allows but </w:t>
      </w:r>
      <w:r w:rsidRPr="003109A2">
        <w:t>does not require sampling and CMS will not employ any statistical methods or sampling in the calculation of survey results. However, IPFs can choose to use a valid sampling methodology for collecting survey data, though they are not required to do so.</w:t>
      </w:r>
    </w:p>
    <w:p w:rsidR="003109A2" w:rsidP="004F409E" w14:paraId="1CA3AD53" w14:textId="77777777">
      <w:pPr>
        <w:pStyle w:val="BodyText"/>
      </w:pPr>
    </w:p>
    <w:sectPr w:rsidSect="004652C2">
      <w:footerReference w:type="default" r:id="rId13"/>
      <w:pgSz w:w="12240" w:h="15840"/>
      <w:pgMar w:top="1440" w:right="1320" w:bottom="12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1950" w14:paraId="5AC09E37" w14:textId="77777777">
      <w:r>
        <w:separator/>
      </w:r>
    </w:p>
    <w:p w:rsidR="00791950" w14:paraId="2A8286AA" w14:textId="77777777"/>
  </w:endnote>
  <w:endnote w:type="continuationSeparator" w:id="1">
    <w:p w:rsidR="00791950" w14:paraId="5B502FDB" w14:textId="77777777">
      <w:r>
        <w:continuationSeparator/>
      </w:r>
    </w:p>
    <w:p w:rsidR="00791950" w14:paraId="2E48B8B4" w14:textId="77777777"/>
  </w:endnote>
  <w:endnote w:type="continuationNotice" w:id="2">
    <w:p w:rsidR="00791950" w14:paraId="30B5E945" w14:textId="77777777"/>
    <w:p w:rsidR="00791950" w14:paraId="4DC2D4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206140"/>
      <w:docPartObj>
        <w:docPartGallery w:val="Page Numbers (Bottom of Page)"/>
        <w:docPartUnique/>
      </w:docPartObj>
    </w:sdtPr>
    <w:sdtEndPr>
      <w:rPr>
        <w:noProof/>
      </w:rPr>
    </w:sdtEndPr>
    <w:sdtContent>
      <w:p w:rsidR="00E22119" w14:paraId="1FD32D1D" w14:textId="49CA26C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1950" w14:paraId="3F7D2C42" w14:textId="77777777">
      <w:r>
        <w:separator/>
      </w:r>
    </w:p>
    <w:p w:rsidR="00791950" w14:paraId="4017BB8A" w14:textId="77777777"/>
  </w:footnote>
  <w:footnote w:type="continuationSeparator" w:id="1">
    <w:p w:rsidR="00791950" w14:paraId="4CE74275" w14:textId="77777777">
      <w:r>
        <w:continuationSeparator/>
      </w:r>
    </w:p>
    <w:p w:rsidR="00791950" w14:paraId="5EED5958" w14:textId="77777777"/>
  </w:footnote>
  <w:footnote w:type="continuationNotice" w:id="2">
    <w:p w:rsidR="00791950" w14:paraId="7E067A56" w14:textId="77777777"/>
    <w:p w:rsidR="00791950" w14:paraId="59904135" w14:textId="77777777"/>
  </w:footnote>
  <w:footnote w:id="3">
    <w:p w:rsidR="009A07EA" w14:paraId="4E3AE0F5" w14:textId="61959DCB">
      <w:pPr>
        <w:pStyle w:val="FootnoteText"/>
      </w:pPr>
      <w:r>
        <w:rPr>
          <w:rStyle w:val="FootnoteReference"/>
        </w:rPr>
        <w:footnoteRef/>
      </w:r>
      <w:r>
        <w:t xml:space="preserve"> </w:t>
      </w:r>
      <w:r w:rsidRPr="009A07EA">
        <w:t>https://www.cms.gov/medicare/quality/cms-national-quality-strategy/meaningful-measures-20-moving-measure-reduction-modernization</w:t>
      </w:r>
    </w:p>
  </w:footnote>
  <w:footnote w:id="4">
    <w:p w:rsidR="003A2D27" w:rsidP="003A2D27" w14:paraId="15B4B68E" w14:textId="77777777">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D1405B" w14:paraId="1C9A15AF" w14:textId="77777777">
      <w:pPr>
        <w:pStyle w:val="FootnoteText"/>
      </w:pPr>
      <w:r>
        <w:rPr>
          <w:rStyle w:val="FootnoteReference"/>
        </w:rPr>
        <w:footnoteRef/>
      </w:r>
      <w:r>
        <w:t xml:space="preserve"> These measures are the Hours of Physical Restraint Use </w:t>
      </w:r>
      <w:r>
        <w:t>measure</w:t>
      </w:r>
      <w:r>
        <w:t xml:space="preserve"> and the Hours of Seclusion Use measure.</w:t>
      </w:r>
    </w:p>
  </w:footnote>
  <w:footnote w:id="6">
    <w:p w:rsidR="00D1405B" w14:paraId="5E3E8D13" w14:textId="77777777">
      <w:pPr>
        <w:pStyle w:val="FootnoteText"/>
      </w:pPr>
      <w:r>
        <w:rPr>
          <w:rStyle w:val="FootnoteReference"/>
        </w:rPr>
        <w:footnoteRef/>
      </w:r>
      <w:r>
        <w:t xml:space="preserve"> These measures are the Alcohol Use Disorder Brief Intervention Provided or Offered and Alcohol Use Disorder Brief Intervention measure, the Alcohol and Other Drug Use Disorder Treatment Provided or Offered at Discharge and Alcohol and Other Drug Use Disorder Treatment at Discharge measure, the Tobacco Use Treatment Provided or Offered at Discharge and Tobacco Use Treatment at Discharge measure, the Influenza Immunization measure, the Transition Record with Specified Elements Received by Discharged Patients (Discharges from an Inpatient Facility to Home/Self Care or Any Other Site of Care) measure, and the Screening for Metabolic Disorders measure.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2C38"/>
    <w:multiLevelType w:val="hybridMultilevel"/>
    <w:tmpl w:val="420C4AA0"/>
    <w:lvl w:ilvl="0">
      <w:start w:val="1"/>
      <w:numFmt w:val="lowerRoman"/>
      <w:lvlText w:val="%1."/>
      <w:lvlJc w:val="left"/>
      <w:pPr>
        <w:ind w:left="123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2FC22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377033"/>
    <w:multiLevelType w:val="hybridMultilevel"/>
    <w:tmpl w:val="63A4F9F4"/>
    <w:lvl w:ilvl="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696" w:hanging="288"/>
      </w:pPr>
      <w:rPr>
        <w:rFonts w:ascii="Symbol" w:eastAsia="Symbol" w:hAnsi="Symbol" w:cs="Symbol" w:hint="default"/>
        <w:w w:val="100"/>
        <w:sz w:val="24"/>
        <w:szCs w:val="24"/>
      </w:rPr>
    </w:lvl>
    <w:lvl w:ilvl="2">
      <w:start w:val="0"/>
      <w:numFmt w:val="bullet"/>
      <w:lvlText w:val="o"/>
      <w:lvlJc w:val="left"/>
      <w:pPr>
        <w:ind w:left="1920" w:hanging="360"/>
      </w:pPr>
      <w:rPr>
        <w:rFonts w:ascii="Courier New" w:eastAsia="Courier New" w:hAnsi="Courier New" w:cs="Courier New" w:hint="default"/>
        <w:w w:val="99"/>
        <w:sz w:val="24"/>
        <w:szCs w:val="24"/>
      </w:rPr>
    </w:lvl>
    <w:lvl w:ilvl="3">
      <w:start w:val="0"/>
      <w:numFmt w:val="bullet"/>
      <w:lvlText w:val="•"/>
      <w:lvlJc w:val="left"/>
      <w:pPr>
        <w:ind w:left="2880" w:hanging="360"/>
      </w:pPr>
      <w:rPr>
        <w:rFonts w:hint="default"/>
      </w:rPr>
    </w:lvl>
    <w:lvl w:ilvl="4">
      <w:start w:val="0"/>
      <w:numFmt w:val="bullet"/>
      <w:lvlText w:val="•"/>
      <w:lvlJc w:val="left"/>
      <w:pPr>
        <w:ind w:left="3840" w:hanging="360"/>
      </w:pPr>
      <w:rPr>
        <w:rFonts w:hint="default"/>
      </w:rPr>
    </w:lvl>
    <w:lvl w:ilvl="5">
      <w:start w:val="0"/>
      <w:numFmt w:val="bullet"/>
      <w:lvlText w:val="•"/>
      <w:lvlJc w:val="left"/>
      <w:pPr>
        <w:ind w:left="4800"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720" w:hanging="360"/>
      </w:pPr>
      <w:rPr>
        <w:rFonts w:hint="default"/>
      </w:rPr>
    </w:lvl>
    <w:lvl w:ilvl="8">
      <w:start w:val="0"/>
      <w:numFmt w:val="bullet"/>
      <w:lvlText w:val="•"/>
      <w:lvlJc w:val="left"/>
      <w:pPr>
        <w:ind w:left="7680" w:hanging="360"/>
      </w:pPr>
      <w:rPr>
        <w:rFonts w:hint="default"/>
      </w:rPr>
    </w:lvl>
  </w:abstractNum>
  <w:abstractNum w:abstractNumId="3">
    <w:nsid w:val="06175DE9"/>
    <w:multiLevelType w:val="hybridMultilevel"/>
    <w:tmpl w:val="B08468FC"/>
    <w:lvl w:ilvl="0">
      <w:start w:val="1"/>
      <w:numFmt w:val="lowerLetter"/>
      <w:lvlText w:val="%1."/>
      <w:lvlJc w:val="left"/>
      <w:pPr>
        <w:ind w:left="1224" w:hanging="360"/>
      </w:pPr>
      <w:rPr>
        <w:rFonts w:hint="default"/>
      </w:rPr>
    </w:lvl>
    <w:lvl w:ilvl="1" w:tentative="1">
      <w:start w:val="1"/>
      <w:numFmt w:val="low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
    <w:nsid w:val="093E34DB"/>
    <w:multiLevelType w:val="hybridMultilevel"/>
    <w:tmpl w:val="F89ABE4A"/>
    <w:lvl w:ilvl="0">
      <w:start w:val="0"/>
      <w:numFmt w:val="bullet"/>
      <w:lvlText w:val="•"/>
      <w:lvlJc w:val="left"/>
      <w:pPr>
        <w:ind w:left="840" w:hanging="360"/>
      </w:pPr>
      <w:rPr>
        <w:rFonts w:ascii="Times New Roman" w:eastAsia="Times New Roman" w:hAnsi="Times New Roman" w:cs="Times New Roman" w:hint="default"/>
        <w:w w:val="99"/>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5">
    <w:nsid w:val="097B5794"/>
    <w:multiLevelType w:val="hybridMultilevel"/>
    <w:tmpl w:val="0B9E037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6">
    <w:nsid w:val="098F61D1"/>
    <w:multiLevelType w:val="hybridMultilevel"/>
    <w:tmpl w:val="4538F166"/>
    <w:lvl w:ilvl="0">
      <w:start w:val="1"/>
      <w:numFmt w:val="upperLetter"/>
      <w:lvlText w:val="%1."/>
      <w:lvlJc w:val="left"/>
      <w:pPr>
        <w:ind w:left="1195" w:hanging="360"/>
      </w:pPr>
      <w:rPr>
        <w:rFonts w:hint="default"/>
      </w:rPr>
    </w:lvl>
    <w:lvl w:ilvl="1" w:tentative="1">
      <w:start w:val="1"/>
      <w:numFmt w:val="lowerLetter"/>
      <w:lvlText w:val="%2."/>
      <w:lvlJc w:val="left"/>
      <w:pPr>
        <w:ind w:left="1915" w:hanging="360"/>
      </w:pPr>
    </w:lvl>
    <w:lvl w:ilvl="2" w:tentative="1">
      <w:start w:val="1"/>
      <w:numFmt w:val="lowerRoman"/>
      <w:lvlText w:val="%3."/>
      <w:lvlJc w:val="right"/>
      <w:pPr>
        <w:ind w:left="2635" w:hanging="180"/>
      </w:pPr>
    </w:lvl>
    <w:lvl w:ilvl="3" w:tentative="1">
      <w:start w:val="1"/>
      <w:numFmt w:val="decimal"/>
      <w:lvlText w:val="%4."/>
      <w:lvlJc w:val="left"/>
      <w:pPr>
        <w:ind w:left="3355" w:hanging="360"/>
      </w:pPr>
    </w:lvl>
    <w:lvl w:ilvl="4" w:tentative="1">
      <w:start w:val="1"/>
      <w:numFmt w:val="lowerLetter"/>
      <w:lvlText w:val="%5."/>
      <w:lvlJc w:val="left"/>
      <w:pPr>
        <w:ind w:left="4075" w:hanging="360"/>
      </w:pPr>
    </w:lvl>
    <w:lvl w:ilvl="5" w:tentative="1">
      <w:start w:val="1"/>
      <w:numFmt w:val="lowerRoman"/>
      <w:lvlText w:val="%6."/>
      <w:lvlJc w:val="right"/>
      <w:pPr>
        <w:ind w:left="4795" w:hanging="180"/>
      </w:pPr>
    </w:lvl>
    <w:lvl w:ilvl="6" w:tentative="1">
      <w:start w:val="1"/>
      <w:numFmt w:val="decimal"/>
      <w:lvlText w:val="%7."/>
      <w:lvlJc w:val="left"/>
      <w:pPr>
        <w:ind w:left="5515" w:hanging="360"/>
      </w:pPr>
    </w:lvl>
    <w:lvl w:ilvl="7" w:tentative="1">
      <w:start w:val="1"/>
      <w:numFmt w:val="lowerLetter"/>
      <w:lvlText w:val="%8."/>
      <w:lvlJc w:val="left"/>
      <w:pPr>
        <w:ind w:left="6235" w:hanging="360"/>
      </w:pPr>
    </w:lvl>
    <w:lvl w:ilvl="8" w:tentative="1">
      <w:start w:val="1"/>
      <w:numFmt w:val="lowerRoman"/>
      <w:lvlText w:val="%9."/>
      <w:lvlJc w:val="right"/>
      <w:pPr>
        <w:ind w:left="6955" w:hanging="180"/>
      </w:pPr>
    </w:lvl>
  </w:abstractNum>
  <w:abstractNum w:abstractNumId="7">
    <w:nsid w:val="09DE2A26"/>
    <w:multiLevelType w:val="hybridMultilevel"/>
    <w:tmpl w:val="35205C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C1F3FAB"/>
    <w:multiLevelType w:val="hybridMultilevel"/>
    <w:tmpl w:val="9412E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886FDF"/>
    <w:multiLevelType w:val="hybridMultilevel"/>
    <w:tmpl w:val="9D32F78A"/>
    <w:lvl w:ilvl="0">
      <w:start w:val="1"/>
      <w:numFmt w:val="lowerLetter"/>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0">
    <w:nsid w:val="0C8C0681"/>
    <w:multiLevelType w:val="hybridMultilevel"/>
    <w:tmpl w:val="7F24F024"/>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1">
    <w:nsid w:val="16F03726"/>
    <w:multiLevelType w:val="hybridMultilevel"/>
    <w:tmpl w:val="EC760B60"/>
    <w:lvl w:ilvl="0">
      <w:start w:val="0"/>
      <w:numFmt w:val="bullet"/>
      <w:lvlText w:val=""/>
      <w:lvlJc w:val="left"/>
      <w:pPr>
        <w:ind w:left="460" w:hanging="360"/>
      </w:pPr>
      <w:rPr>
        <w:rFonts w:ascii="Symbol" w:eastAsia="Symbol" w:hAnsi="Symbol" w:cs="Symbol" w:hint="default"/>
        <w:w w:val="100"/>
        <w:sz w:val="24"/>
        <w:szCs w:val="24"/>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12">
    <w:nsid w:val="1A835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64C6486"/>
    <w:multiLevelType w:val="multilevel"/>
    <w:tmpl w:val="ADF88D4A"/>
    <w:lvl w:ilvl="0">
      <w:start w:val="1"/>
      <w:numFmt w:val="lowerRoman"/>
      <w:pStyle w:val="Heading4"/>
      <w:lvlText w:val="%1."/>
      <w:lvlJc w:val="left"/>
      <w:pPr>
        <w:ind w:left="360" w:hanging="360"/>
      </w:pPr>
      <w:rPr>
        <w:rFonts w:ascii="Times New Roman" w:eastAsia="Times New Roman" w:hAnsi="Times New Roman" w:cs="Times New Roman" w:hint="default"/>
        <w:spacing w:val="-3"/>
        <w:w w:val="99"/>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6CF0371"/>
    <w:multiLevelType w:val="hybridMultilevel"/>
    <w:tmpl w:val="5F2E026A"/>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857935"/>
    <w:multiLevelType w:val="hybridMultilevel"/>
    <w:tmpl w:val="92181880"/>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2BFE5A4D"/>
    <w:multiLevelType w:val="hybridMultilevel"/>
    <w:tmpl w:val="97180CD0"/>
    <w:lvl w:ilvl="0">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465" w:hanging="488"/>
      </w:pPr>
      <w:rPr>
        <w:rFonts w:hint="default"/>
      </w:rPr>
    </w:lvl>
    <w:lvl w:ilvl="2">
      <w:start w:val="0"/>
      <w:numFmt w:val="bullet"/>
      <w:lvlText w:val="•"/>
      <w:lvlJc w:val="left"/>
      <w:pPr>
        <w:ind w:left="2319" w:hanging="488"/>
      </w:pPr>
      <w:rPr>
        <w:rFonts w:hint="default"/>
      </w:rPr>
    </w:lvl>
    <w:lvl w:ilvl="3">
      <w:start w:val="0"/>
      <w:numFmt w:val="bullet"/>
      <w:lvlText w:val="•"/>
      <w:lvlJc w:val="left"/>
      <w:pPr>
        <w:ind w:left="3173" w:hanging="488"/>
      </w:pPr>
      <w:rPr>
        <w:rFonts w:hint="default"/>
      </w:rPr>
    </w:lvl>
    <w:lvl w:ilvl="4">
      <w:start w:val="0"/>
      <w:numFmt w:val="bullet"/>
      <w:lvlText w:val="•"/>
      <w:lvlJc w:val="left"/>
      <w:pPr>
        <w:ind w:left="4027" w:hanging="488"/>
      </w:pPr>
      <w:rPr>
        <w:rFonts w:hint="default"/>
      </w:rPr>
    </w:lvl>
    <w:lvl w:ilvl="5">
      <w:start w:val="0"/>
      <w:numFmt w:val="bullet"/>
      <w:lvlText w:val="•"/>
      <w:lvlJc w:val="left"/>
      <w:pPr>
        <w:ind w:left="4881" w:hanging="488"/>
      </w:pPr>
      <w:rPr>
        <w:rFonts w:hint="default"/>
      </w:rPr>
    </w:lvl>
    <w:lvl w:ilvl="6">
      <w:start w:val="0"/>
      <w:numFmt w:val="bullet"/>
      <w:lvlText w:val="•"/>
      <w:lvlJc w:val="left"/>
      <w:pPr>
        <w:ind w:left="5735" w:hanging="488"/>
      </w:pPr>
      <w:rPr>
        <w:rFonts w:hint="default"/>
      </w:rPr>
    </w:lvl>
    <w:lvl w:ilvl="7">
      <w:start w:val="0"/>
      <w:numFmt w:val="bullet"/>
      <w:lvlText w:val="•"/>
      <w:lvlJc w:val="left"/>
      <w:pPr>
        <w:ind w:left="6589" w:hanging="488"/>
      </w:pPr>
      <w:rPr>
        <w:rFonts w:hint="default"/>
      </w:rPr>
    </w:lvl>
    <w:lvl w:ilvl="8">
      <w:start w:val="0"/>
      <w:numFmt w:val="bullet"/>
      <w:lvlText w:val="•"/>
      <w:lvlJc w:val="left"/>
      <w:pPr>
        <w:ind w:left="7443" w:hanging="488"/>
      </w:pPr>
      <w:rPr>
        <w:rFonts w:hint="default"/>
      </w:rPr>
    </w:lvl>
  </w:abstractNum>
  <w:abstractNum w:abstractNumId="17">
    <w:nsid w:val="2E4F4A82"/>
    <w:multiLevelType w:val="hybridMultilevel"/>
    <w:tmpl w:val="491E5406"/>
    <w:lvl w:ilvl="0">
      <w:start w:val="1"/>
      <w:numFmt w:val="decimal"/>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8">
    <w:nsid w:val="3F1A074C"/>
    <w:multiLevelType w:val="hybridMultilevel"/>
    <w:tmpl w:val="69344F0C"/>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9">
    <w:nsid w:val="4087353D"/>
    <w:multiLevelType w:val="hybridMultilevel"/>
    <w:tmpl w:val="1E0C2436"/>
    <w:lvl w:ilvl="0">
      <w:start w:val="1"/>
      <w:numFmt w:val="lowerLetter"/>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0">
    <w:nsid w:val="417732C0"/>
    <w:multiLevelType w:val="hybridMultilevel"/>
    <w:tmpl w:val="497A25DA"/>
    <w:lvl w:ilvl="0">
      <w:start w:val="1"/>
      <w:numFmt w:val="bullet"/>
      <w:lvlText w:val=""/>
      <w:lvlJc w:val="left"/>
      <w:pPr>
        <w:ind w:left="384" w:hanging="360"/>
      </w:pPr>
      <w:rPr>
        <w:rFonts w:ascii="Symbol" w:hAnsi="Symbol" w:hint="default"/>
      </w:rPr>
    </w:lvl>
    <w:lvl w:ilvl="1" w:tentative="1">
      <w:start w:val="1"/>
      <w:numFmt w:val="bullet"/>
      <w:lvlText w:val="o"/>
      <w:lvlJc w:val="left"/>
      <w:pPr>
        <w:ind w:left="1104" w:hanging="360"/>
      </w:pPr>
      <w:rPr>
        <w:rFonts w:ascii="Courier New" w:hAnsi="Courier New" w:cs="Courier New" w:hint="default"/>
      </w:rPr>
    </w:lvl>
    <w:lvl w:ilvl="2" w:tentative="1">
      <w:start w:val="1"/>
      <w:numFmt w:val="bullet"/>
      <w:lvlText w:val=""/>
      <w:lvlJc w:val="left"/>
      <w:pPr>
        <w:ind w:left="1824" w:hanging="360"/>
      </w:pPr>
      <w:rPr>
        <w:rFonts w:ascii="Wingdings" w:hAnsi="Wingdings" w:hint="default"/>
      </w:rPr>
    </w:lvl>
    <w:lvl w:ilvl="3" w:tentative="1">
      <w:start w:val="1"/>
      <w:numFmt w:val="bullet"/>
      <w:lvlText w:val=""/>
      <w:lvlJc w:val="left"/>
      <w:pPr>
        <w:ind w:left="2544" w:hanging="360"/>
      </w:pPr>
      <w:rPr>
        <w:rFonts w:ascii="Symbol" w:hAnsi="Symbol" w:hint="default"/>
      </w:rPr>
    </w:lvl>
    <w:lvl w:ilvl="4" w:tentative="1">
      <w:start w:val="1"/>
      <w:numFmt w:val="bullet"/>
      <w:lvlText w:val="o"/>
      <w:lvlJc w:val="left"/>
      <w:pPr>
        <w:ind w:left="3264" w:hanging="360"/>
      </w:pPr>
      <w:rPr>
        <w:rFonts w:ascii="Courier New" w:hAnsi="Courier New" w:cs="Courier New" w:hint="default"/>
      </w:rPr>
    </w:lvl>
    <w:lvl w:ilvl="5" w:tentative="1">
      <w:start w:val="1"/>
      <w:numFmt w:val="bullet"/>
      <w:lvlText w:val=""/>
      <w:lvlJc w:val="left"/>
      <w:pPr>
        <w:ind w:left="3984" w:hanging="360"/>
      </w:pPr>
      <w:rPr>
        <w:rFonts w:ascii="Wingdings" w:hAnsi="Wingdings" w:hint="default"/>
      </w:rPr>
    </w:lvl>
    <w:lvl w:ilvl="6" w:tentative="1">
      <w:start w:val="1"/>
      <w:numFmt w:val="bullet"/>
      <w:lvlText w:val=""/>
      <w:lvlJc w:val="left"/>
      <w:pPr>
        <w:ind w:left="4704" w:hanging="360"/>
      </w:pPr>
      <w:rPr>
        <w:rFonts w:ascii="Symbol" w:hAnsi="Symbol" w:hint="default"/>
      </w:rPr>
    </w:lvl>
    <w:lvl w:ilvl="7" w:tentative="1">
      <w:start w:val="1"/>
      <w:numFmt w:val="bullet"/>
      <w:lvlText w:val="o"/>
      <w:lvlJc w:val="left"/>
      <w:pPr>
        <w:ind w:left="5424" w:hanging="360"/>
      </w:pPr>
      <w:rPr>
        <w:rFonts w:ascii="Courier New" w:hAnsi="Courier New" w:cs="Courier New" w:hint="default"/>
      </w:rPr>
    </w:lvl>
    <w:lvl w:ilvl="8" w:tentative="1">
      <w:start w:val="1"/>
      <w:numFmt w:val="bullet"/>
      <w:lvlText w:val=""/>
      <w:lvlJc w:val="left"/>
      <w:pPr>
        <w:ind w:left="6144" w:hanging="360"/>
      </w:pPr>
      <w:rPr>
        <w:rFonts w:ascii="Wingdings" w:hAnsi="Wingdings" w:hint="default"/>
      </w:rPr>
    </w:lvl>
  </w:abstractNum>
  <w:abstractNum w:abstractNumId="21">
    <w:nsid w:val="4637763D"/>
    <w:multiLevelType w:val="hybridMultilevel"/>
    <w:tmpl w:val="AB12450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22">
    <w:nsid w:val="490473AF"/>
    <w:multiLevelType w:val="hybridMultilevel"/>
    <w:tmpl w:val="6BCA8290"/>
    <w:lvl w:ilvl="0">
      <w:start w:val="1"/>
      <w:numFmt w:val="upperLetter"/>
      <w:pStyle w:val="Heading1"/>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23">
    <w:nsid w:val="528630BD"/>
    <w:multiLevelType w:val="hybridMultilevel"/>
    <w:tmpl w:val="C3228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55D24AB"/>
    <w:multiLevelType w:val="hybridMultilevel"/>
    <w:tmpl w:val="2D4E7A90"/>
    <w:lvl w:ilvl="0">
      <w:start w:val="1"/>
      <w:numFmt w:val="upperLetter"/>
      <w:lvlText w:val="%1."/>
      <w:lvlJc w:val="left"/>
      <w:pPr>
        <w:ind w:left="451" w:hanging="361"/>
      </w:pPr>
      <w:rPr>
        <w:rFonts w:hint="default"/>
        <w:b/>
        <w:bCs/>
        <w:w w:val="99"/>
      </w:rPr>
    </w:lvl>
    <w:lvl w:ilvl="1">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start w:val="0"/>
      <w:numFmt w:val="bullet"/>
      <w:lvlText w:val=""/>
      <w:lvlJc w:val="left"/>
      <w:pPr>
        <w:ind w:left="840" w:hanging="360"/>
      </w:pPr>
      <w:rPr>
        <w:rFonts w:ascii="Symbol" w:eastAsia="Symbol" w:hAnsi="Symbol" w:cs="Symbol" w:hint="default"/>
        <w:w w:val="100"/>
        <w:sz w:val="24"/>
        <w:szCs w:val="24"/>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25">
    <w:nsid w:val="5708262E"/>
    <w:multiLevelType w:val="hybridMultilevel"/>
    <w:tmpl w:val="68086BC2"/>
    <w:lvl w:ilvl="0">
      <w:start w:val="0"/>
      <w:numFmt w:val="bullet"/>
      <w:lvlText w:val=""/>
      <w:lvlJc w:val="left"/>
      <w:pPr>
        <w:ind w:left="773" w:hanging="360"/>
      </w:pPr>
      <w:rPr>
        <w:rFonts w:ascii="Symbol" w:eastAsia="Symbol" w:hAnsi="Symbol" w:cs="Symbol" w:hint="default"/>
        <w:w w:val="10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555E31"/>
    <w:multiLevelType w:val="hybridMultilevel"/>
    <w:tmpl w:val="8A5A0230"/>
    <w:lvl w:ilvl="0">
      <w:start w:val="0"/>
      <w:numFmt w:val="bullet"/>
      <w:lvlText w:val=""/>
      <w:lvlJc w:val="left"/>
      <w:pPr>
        <w:ind w:left="773" w:hanging="360"/>
      </w:pPr>
      <w:rPr>
        <w:rFonts w:ascii="Symbol" w:eastAsia="Symbol" w:hAnsi="Symbol" w:cs="Symbol"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749DE"/>
    <w:multiLevelType w:val="hybridMultilevel"/>
    <w:tmpl w:val="D42A048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0E017D"/>
    <w:multiLevelType w:val="hybridMultilevel"/>
    <w:tmpl w:val="D21C3B00"/>
    <w:lvl w:ilvl="0">
      <w:start w:val="0"/>
      <w:numFmt w:val="bullet"/>
      <w:pStyle w:val="Link"/>
      <w:lvlText w:val=""/>
      <w:lvlJc w:val="left"/>
      <w:pPr>
        <w:ind w:left="892" w:hanging="360"/>
      </w:pPr>
      <w:rPr>
        <w:rFonts w:ascii="Symbol" w:eastAsia="Symbol" w:hAnsi="Symbol" w:cs="Symbol" w:hint="default"/>
        <w:w w:val="100"/>
        <w:sz w:val="24"/>
        <w:szCs w:val="24"/>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9">
    <w:nsid w:val="5A7C1BD6"/>
    <w:multiLevelType w:val="hybridMultilevel"/>
    <w:tmpl w:val="BF5CC0DA"/>
    <w:lvl w:ilvl="0">
      <w:start w:val="1"/>
      <w:numFmt w:val="lowerLetter"/>
      <w:pStyle w:val="Heading3"/>
      <w:lvlText w:val="%1."/>
      <w:lvlJc w:val="left"/>
      <w:pPr>
        <w:ind w:left="1170" w:hanging="360"/>
      </w:pPr>
      <w:rPr>
        <w:rFonts w:hint="default"/>
      </w:r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30">
    <w:nsid w:val="61234256"/>
    <w:multiLevelType w:val="hybridMultilevel"/>
    <w:tmpl w:val="4094F54C"/>
    <w:lvl w:ilvl="0">
      <w:start w:val="0"/>
      <w:numFmt w:val="bullet"/>
      <w:lvlText w:val=""/>
      <w:lvlJc w:val="left"/>
      <w:pPr>
        <w:ind w:left="384" w:hanging="360"/>
      </w:pPr>
      <w:rPr>
        <w:rFonts w:ascii="Symbol" w:eastAsia="Symbol" w:hAnsi="Symbol" w:cs="Symbol" w:hint="default"/>
        <w:w w:val="100"/>
        <w:sz w:val="24"/>
        <w:szCs w:val="24"/>
      </w:rPr>
    </w:lvl>
    <w:lvl w:ilvl="1">
      <w:start w:val="0"/>
      <w:numFmt w:val="bullet"/>
      <w:lvlText w:val="o"/>
      <w:lvlJc w:val="left"/>
      <w:pPr>
        <w:ind w:left="1464" w:hanging="360"/>
      </w:pPr>
      <w:rPr>
        <w:rFonts w:ascii="Courier New" w:eastAsia="Courier New" w:hAnsi="Courier New" w:cs="Courier New" w:hint="default"/>
        <w:w w:val="99"/>
        <w:sz w:val="24"/>
        <w:szCs w:val="24"/>
      </w:rPr>
    </w:lvl>
    <w:lvl w:ilvl="2">
      <w:start w:val="0"/>
      <w:numFmt w:val="bullet"/>
      <w:lvlText w:val="•"/>
      <w:lvlJc w:val="left"/>
      <w:pPr>
        <w:ind w:left="1464" w:hanging="360"/>
      </w:pPr>
      <w:rPr>
        <w:rFonts w:hint="default"/>
      </w:rPr>
    </w:lvl>
    <w:lvl w:ilvl="3">
      <w:start w:val="0"/>
      <w:numFmt w:val="bullet"/>
      <w:lvlText w:val="•"/>
      <w:lvlJc w:val="left"/>
      <w:pPr>
        <w:ind w:left="2466" w:hanging="360"/>
      </w:pPr>
      <w:rPr>
        <w:rFonts w:hint="default"/>
      </w:rPr>
    </w:lvl>
    <w:lvl w:ilvl="4">
      <w:start w:val="0"/>
      <w:numFmt w:val="bullet"/>
      <w:lvlText w:val="•"/>
      <w:lvlJc w:val="left"/>
      <w:pPr>
        <w:ind w:left="3469"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474"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479" w:hanging="360"/>
      </w:pPr>
      <w:rPr>
        <w:rFonts w:hint="default"/>
      </w:rPr>
    </w:lvl>
  </w:abstractNum>
  <w:abstractNum w:abstractNumId="31">
    <w:nsid w:val="614EDE74"/>
    <w:multiLevelType w:val="hybridMultilevel"/>
    <w:tmpl w:val="2518543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2">
    <w:nsid w:val="615C5770"/>
    <w:multiLevelType w:val="hybridMultilevel"/>
    <w:tmpl w:val="3AC630B0"/>
    <w:lvl w:ilvl="0">
      <w:start w:val="1"/>
      <w:numFmt w:val="decimal"/>
      <w:pStyle w:val="Heading2"/>
      <w:lvlText w:val="%1."/>
      <w:lvlJc w:val="left"/>
      <w:pPr>
        <w:ind w:left="360"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33">
    <w:nsid w:val="64571F17"/>
    <w:multiLevelType w:val="hybridMultilevel"/>
    <w:tmpl w:val="6498B3F4"/>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34">
    <w:nsid w:val="68AC66AD"/>
    <w:multiLevelType w:val="hybridMultilevel"/>
    <w:tmpl w:val="744E49F6"/>
    <w:lvl w:ilvl="0">
      <w:start w:val="0"/>
      <w:numFmt w:val="bullet"/>
      <w:lvlText w:val=""/>
      <w:lvlJc w:val="left"/>
      <w:pPr>
        <w:ind w:left="840" w:hanging="360"/>
      </w:pPr>
      <w:rPr>
        <w:rFonts w:ascii="Symbol" w:eastAsia="Symbol" w:hAnsi="Symbol" w:cs="Symbol" w:hint="default"/>
        <w:w w:val="100"/>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35">
    <w:nsid w:val="708A20C1"/>
    <w:multiLevelType w:val="hybridMultilevel"/>
    <w:tmpl w:val="A27A9CD4"/>
    <w:lvl w:ilvl="0">
      <w:start w:val="0"/>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3E26CD"/>
    <w:multiLevelType w:val="hybridMultilevel"/>
    <w:tmpl w:val="97180CD0"/>
    <w:lvl w:ilvl="0">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37">
    <w:nsid w:val="73317159"/>
    <w:multiLevelType w:val="hybridMultilevel"/>
    <w:tmpl w:val="8FA417DE"/>
    <w:lvl w:ilvl="0">
      <w:start w:val="1"/>
      <w:numFmt w:val="bullet"/>
      <w:lvlText w:val=""/>
      <w:lvlJc w:val="left"/>
      <w:pPr>
        <w:ind w:left="475" w:hanging="360"/>
      </w:pPr>
      <w:rPr>
        <w:rFonts w:ascii="Symbol" w:eastAsia="Times New Roman" w:hAnsi="Symbol" w:cs="Times New Roman" w:hint="default"/>
      </w:rPr>
    </w:lvl>
    <w:lvl w:ilvl="1" w:tentative="1">
      <w:start w:val="1"/>
      <w:numFmt w:val="bullet"/>
      <w:lvlText w:val="o"/>
      <w:lvlJc w:val="left"/>
      <w:pPr>
        <w:ind w:left="1195" w:hanging="360"/>
      </w:pPr>
      <w:rPr>
        <w:rFonts w:ascii="Courier New" w:hAnsi="Courier New" w:cs="Courier New" w:hint="default"/>
      </w:rPr>
    </w:lvl>
    <w:lvl w:ilvl="2" w:tentative="1">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38">
    <w:nsid w:val="73C64344"/>
    <w:multiLevelType w:val="hybridMultilevel"/>
    <w:tmpl w:val="915E445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5F443A"/>
    <w:multiLevelType w:val="hybridMultilevel"/>
    <w:tmpl w:val="65AE47EA"/>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num w:numId="1" w16cid:durableId="1883249779">
    <w:abstractNumId w:val="4"/>
  </w:num>
  <w:num w:numId="2" w16cid:durableId="1507092879">
    <w:abstractNumId w:val="36"/>
  </w:num>
  <w:num w:numId="3" w16cid:durableId="1581602731">
    <w:abstractNumId w:val="5"/>
  </w:num>
  <w:num w:numId="4" w16cid:durableId="1140919691">
    <w:abstractNumId w:val="2"/>
  </w:num>
  <w:num w:numId="5" w16cid:durableId="278033860">
    <w:abstractNumId w:val="34"/>
  </w:num>
  <w:num w:numId="6" w16cid:durableId="2019966971">
    <w:abstractNumId w:val="11"/>
  </w:num>
  <w:num w:numId="7" w16cid:durableId="1078093976">
    <w:abstractNumId w:val="30"/>
  </w:num>
  <w:num w:numId="8" w16cid:durableId="1877161060">
    <w:abstractNumId w:val="24"/>
  </w:num>
  <w:num w:numId="9" w16cid:durableId="1279295224">
    <w:abstractNumId w:val="38"/>
  </w:num>
  <w:num w:numId="10" w16cid:durableId="1679506193">
    <w:abstractNumId w:val="14"/>
  </w:num>
  <w:num w:numId="11" w16cid:durableId="1385524455">
    <w:abstractNumId w:val="0"/>
  </w:num>
  <w:num w:numId="12" w16cid:durableId="127862939">
    <w:abstractNumId w:val="16"/>
  </w:num>
  <w:num w:numId="13" w16cid:durableId="498237040">
    <w:abstractNumId w:val="23"/>
  </w:num>
  <w:num w:numId="14" w16cid:durableId="306712628">
    <w:abstractNumId w:val="18"/>
  </w:num>
  <w:num w:numId="15" w16cid:durableId="645940981">
    <w:abstractNumId w:val="33"/>
  </w:num>
  <w:num w:numId="16" w16cid:durableId="158621263">
    <w:abstractNumId w:val="21"/>
  </w:num>
  <w:num w:numId="17" w16cid:durableId="707754824">
    <w:abstractNumId w:val="39"/>
  </w:num>
  <w:num w:numId="18" w16cid:durableId="1319920650">
    <w:abstractNumId w:val="7"/>
  </w:num>
  <w:num w:numId="19" w16cid:durableId="1414354418">
    <w:abstractNumId w:val="20"/>
  </w:num>
  <w:num w:numId="20" w16cid:durableId="563222335">
    <w:abstractNumId w:val="26"/>
  </w:num>
  <w:num w:numId="21" w16cid:durableId="1766343876">
    <w:abstractNumId w:val="28"/>
  </w:num>
  <w:num w:numId="22" w16cid:durableId="2144227844">
    <w:abstractNumId w:val="25"/>
  </w:num>
  <w:num w:numId="23" w16cid:durableId="1979140319">
    <w:abstractNumId w:val="10"/>
  </w:num>
  <w:num w:numId="24" w16cid:durableId="1453746277">
    <w:abstractNumId w:val="15"/>
  </w:num>
  <w:num w:numId="25" w16cid:durableId="110707871">
    <w:abstractNumId w:val="17"/>
  </w:num>
  <w:num w:numId="26" w16cid:durableId="177813362">
    <w:abstractNumId w:val="32"/>
  </w:num>
  <w:num w:numId="27" w16cid:durableId="1976376303">
    <w:abstractNumId w:val="22"/>
  </w:num>
  <w:num w:numId="28" w16cid:durableId="928268612">
    <w:abstractNumId w:val="32"/>
  </w:num>
  <w:num w:numId="29" w16cid:durableId="2103064688">
    <w:abstractNumId w:val="6"/>
  </w:num>
  <w:num w:numId="30" w16cid:durableId="1946184602">
    <w:abstractNumId w:val="22"/>
  </w:num>
  <w:num w:numId="31" w16cid:durableId="1411537091">
    <w:abstractNumId w:val="1"/>
  </w:num>
  <w:num w:numId="32" w16cid:durableId="1357537775">
    <w:abstractNumId w:val="29"/>
  </w:num>
  <w:num w:numId="33" w16cid:durableId="1457143833">
    <w:abstractNumId w:val="37"/>
  </w:num>
  <w:num w:numId="34" w16cid:durableId="268976781">
    <w:abstractNumId w:val="27"/>
  </w:num>
  <w:num w:numId="35" w16cid:durableId="1310285275">
    <w:abstractNumId w:val="3"/>
  </w:num>
  <w:num w:numId="36" w16cid:durableId="1863008352">
    <w:abstractNumId w:val="29"/>
    <w:lvlOverride w:ilvl="0">
      <w:startOverride w:val="1"/>
    </w:lvlOverride>
  </w:num>
  <w:num w:numId="37" w16cid:durableId="827479226">
    <w:abstractNumId w:val="32"/>
  </w:num>
  <w:num w:numId="38" w16cid:durableId="810974484">
    <w:abstractNumId w:val="29"/>
    <w:lvlOverride w:ilvl="0">
      <w:startOverride w:val="1"/>
    </w:lvlOverride>
  </w:num>
  <w:num w:numId="39" w16cid:durableId="1008947270">
    <w:abstractNumId w:val="29"/>
  </w:num>
  <w:num w:numId="40" w16cid:durableId="534270881">
    <w:abstractNumId w:val="29"/>
    <w:lvlOverride w:ilvl="0">
      <w:startOverride w:val="1"/>
    </w:lvlOverride>
  </w:num>
  <w:num w:numId="41" w16cid:durableId="326597647">
    <w:abstractNumId w:val="29"/>
    <w:lvlOverride w:ilvl="0">
      <w:startOverride w:val="1"/>
    </w:lvlOverride>
  </w:num>
  <w:num w:numId="42" w16cid:durableId="1865438788">
    <w:abstractNumId w:val="29"/>
    <w:lvlOverride w:ilvl="0">
      <w:startOverride w:val="1"/>
    </w:lvlOverride>
  </w:num>
  <w:num w:numId="43" w16cid:durableId="1334450134">
    <w:abstractNumId w:val="29"/>
  </w:num>
  <w:num w:numId="44" w16cid:durableId="870458301">
    <w:abstractNumId w:val="29"/>
  </w:num>
  <w:num w:numId="45" w16cid:durableId="113912509">
    <w:abstractNumId w:val="29"/>
    <w:lvlOverride w:ilvl="0">
      <w:startOverride w:val="1"/>
    </w:lvlOverride>
  </w:num>
  <w:num w:numId="46" w16cid:durableId="1149861243">
    <w:abstractNumId w:val="29"/>
    <w:lvlOverride w:ilvl="0">
      <w:startOverride w:val="1"/>
    </w:lvlOverride>
  </w:num>
  <w:num w:numId="47" w16cid:durableId="764419611">
    <w:abstractNumId w:val="29"/>
    <w:lvlOverride w:ilvl="0">
      <w:startOverride w:val="1"/>
    </w:lvlOverride>
  </w:num>
  <w:num w:numId="48" w16cid:durableId="1431778296">
    <w:abstractNumId w:val="29"/>
  </w:num>
  <w:num w:numId="49" w16cid:durableId="468986112">
    <w:abstractNumId w:val="29"/>
  </w:num>
  <w:num w:numId="50" w16cid:durableId="504323402">
    <w:abstractNumId w:val="29"/>
    <w:lvlOverride w:ilvl="0">
      <w:startOverride w:val="1"/>
    </w:lvlOverride>
  </w:num>
  <w:num w:numId="51" w16cid:durableId="383795479">
    <w:abstractNumId w:val="9"/>
  </w:num>
  <w:num w:numId="52" w16cid:durableId="614095164">
    <w:abstractNumId w:val="19"/>
  </w:num>
  <w:num w:numId="53" w16cid:durableId="1502701785">
    <w:abstractNumId w:val="12"/>
  </w:num>
  <w:num w:numId="54" w16cid:durableId="697973864">
    <w:abstractNumId w:val="13"/>
  </w:num>
  <w:num w:numId="55" w16cid:durableId="666591957">
    <w:abstractNumId w:val="13"/>
  </w:num>
  <w:num w:numId="56" w16cid:durableId="1351029026">
    <w:abstractNumId w:val="13"/>
  </w:num>
  <w:num w:numId="57" w16cid:durableId="417021075">
    <w:abstractNumId w:val="8"/>
  </w:num>
  <w:num w:numId="58" w16cid:durableId="1746494147">
    <w:abstractNumId w:val="31"/>
  </w:num>
  <w:num w:numId="59" w16cid:durableId="1173379273">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8"/>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F1"/>
    <w:rsid w:val="00001030"/>
    <w:rsid w:val="00006FAD"/>
    <w:rsid w:val="0000789E"/>
    <w:rsid w:val="00010AC2"/>
    <w:rsid w:val="0001225A"/>
    <w:rsid w:val="00014AEA"/>
    <w:rsid w:val="0001718E"/>
    <w:rsid w:val="0001750E"/>
    <w:rsid w:val="000205C8"/>
    <w:rsid w:val="00021D76"/>
    <w:rsid w:val="00022DCC"/>
    <w:rsid w:val="000242C3"/>
    <w:rsid w:val="00026258"/>
    <w:rsid w:val="0002669A"/>
    <w:rsid w:val="00026CE8"/>
    <w:rsid w:val="00030D32"/>
    <w:rsid w:val="00037334"/>
    <w:rsid w:val="000405BB"/>
    <w:rsid w:val="000405F2"/>
    <w:rsid w:val="00040D11"/>
    <w:rsid w:val="00040F76"/>
    <w:rsid w:val="00040FEA"/>
    <w:rsid w:val="0004211F"/>
    <w:rsid w:val="000431EC"/>
    <w:rsid w:val="00043AFF"/>
    <w:rsid w:val="00043BAD"/>
    <w:rsid w:val="00043C6D"/>
    <w:rsid w:val="000442B1"/>
    <w:rsid w:val="00044BE3"/>
    <w:rsid w:val="00046B3D"/>
    <w:rsid w:val="000473E9"/>
    <w:rsid w:val="000545F2"/>
    <w:rsid w:val="00054913"/>
    <w:rsid w:val="00054D84"/>
    <w:rsid w:val="000631F4"/>
    <w:rsid w:val="0006456B"/>
    <w:rsid w:val="00064E6B"/>
    <w:rsid w:val="000657A2"/>
    <w:rsid w:val="000707A3"/>
    <w:rsid w:val="00072102"/>
    <w:rsid w:val="000722B0"/>
    <w:rsid w:val="00072EC9"/>
    <w:rsid w:val="00075F4B"/>
    <w:rsid w:val="00076170"/>
    <w:rsid w:val="0008047F"/>
    <w:rsid w:val="00080557"/>
    <w:rsid w:val="00081D2A"/>
    <w:rsid w:val="0008224D"/>
    <w:rsid w:val="000825CE"/>
    <w:rsid w:val="00083328"/>
    <w:rsid w:val="00083AF7"/>
    <w:rsid w:val="00085F3F"/>
    <w:rsid w:val="0008627D"/>
    <w:rsid w:val="00086DAC"/>
    <w:rsid w:val="000906C0"/>
    <w:rsid w:val="00094335"/>
    <w:rsid w:val="000944FC"/>
    <w:rsid w:val="00096586"/>
    <w:rsid w:val="000A075F"/>
    <w:rsid w:val="000A1DDA"/>
    <w:rsid w:val="000A5448"/>
    <w:rsid w:val="000A5719"/>
    <w:rsid w:val="000A5886"/>
    <w:rsid w:val="000A5A53"/>
    <w:rsid w:val="000A5AD1"/>
    <w:rsid w:val="000A7908"/>
    <w:rsid w:val="000A7F24"/>
    <w:rsid w:val="000B0C70"/>
    <w:rsid w:val="000B2EA2"/>
    <w:rsid w:val="000B2EC1"/>
    <w:rsid w:val="000B35F0"/>
    <w:rsid w:val="000B5117"/>
    <w:rsid w:val="000B5411"/>
    <w:rsid w:val="000B6ACC"/>
    <w:rsid w:val="000B6AEA"/>
    <w:rsid w:val="000B7BEF"/>
    <w:rsid w:val="000C0A72"/>
    <w:rsid w:val="000C1401"/>
    <w:rsid w:val="000C240B"/>
    <w:rsid w:val="000C2A3A"/>
    <w:rsid w:val="000C3EC9"/>
    <w:rsid w:val="000C4B7A"/>
    <w:rsid w:val="000C6938"/>
    <w:rsid w:val="000C715F"/>
    <w:rsid w:val="000D086D"/>
    <w:rsid w:val="000D08D3"/>
    <w:rsid w:val="000D0B4E"/>
    <w:rsid w:val="000D13FD"/>
    <w:rsid w:val="000D2A1C"/>
    <w:rsid w:val="000D3F85"/>
    <w:rsid w:val="000D463D"/>
    <w:rsid w:val="000D4AE9"/>
    <w:rsid w:val="000E22C4"/>
    <w:rsid w:val="000E586B"/>
    <w:rsid w:val="000E7234"/>
    <w:rsid w:val="000F0450"/>
    <w:rsid w:val="000F0A30"/>
    <w:rsid w:val="000F1CD9"/>
    <w:rsid w:val="000F217E"/>
    <w:rsid w:val="000F222B"/>
    <w:rsid w:val="000F279D"/>
    <w:rsid w:val="000F4172"/>
    <w:rsid w:val="000F6B12"/>
    <w:rsid w:val="000F7607"/>
    <w:rsid w:val="000F7911"/>
    <w:rsid w:val="000F7D92"/>
    <w:rsid w:val="000F7E4A"/>
    <w:rsid w:val="000F7EA2"/>
    <w:rsid w:val="000F7FC7"/>
    <w:rsid w:val="00100D89"/>
    <w:rsid w:val="00100EE9"/>
    <w:rsid w:val="00102484"/>
    <w:rsid w:val="00102874"/>
    <w:rsid w:val="00102A85"/>
    <w:rsid w:val="00102C9F"/>
    <w:rsid w:val="00102FD4"/>
    <w:rsid w:val="00103229"/>
    <w:rsid w:val="00106169"/>
    <w:rsid w:val="00106DB4"/>
    <w:rsid w:val="001079FD"/>
    <w:rsid w:val="001126C2"/>
    <w:rsid w:val="00113DDF"/>
    <w:rsid w:val="00115F24"/>
    <w:rsid w:val="00116196"/>
    <w:rsid w:val="00116C0D"/>
    <w:rsid w:val="00120D88"/>
    <w:rsid w:val="00121AC6"/>
    <w:rsid w:val="001221E9"/>
    <w:rsid w:val="00122969"/>
    <w:rsid w:val="001250DC"/>
    <w:rsid w:val="00125B69"/>
    <w:rsid w:val="0012731A"/>
    <w:rsid w:val="00127CB8"/>
    <w:rsid w:val="00130643"/>
    <w:rsid w:val="00130AB1"/>
    <w:rsid w:val="001310AA"/>
    <w:rsid w:val="00131575"/>
    <w:rsid w:val="001323D2"/>
    <w:rsid w:val="00132701"/>
    <w:rsid w:val="0013308E"/>
    <w:rsid w:val="00133C0E"/>
    <w:rsid w:val="00135CF0"/>
    <w:rsid w:val="00135F07"/>
    <w:rsid w:val="001374FA"/>
    <w:rsid w:val="00141205"/>
    <w:rsid w:val="00141C55"/>
    <w:rsid w:val="0014444B"/>
    <w:rsid w:val="0014473B"/>
    <w:rsid w:val="00144FED"/>
    <w:rsid w:val="00145161"/>
    <w:rsid w:val="00146881"/>
    <w:rsid w:val="00146AE2"/>
    <w:rsid w:val="00147ACB"/>
    <w:rsid w:val="00152121"/>
    <w:rsid w:val="00153425"/>
    <w:rsid w:val="0015373F"/>
    <w:rsid w:val="0016041C"/>
    <w:rsid w:val="00161CBA"/>
    <w:rsid w:val="001625A7"/>
    <w:rsid w:val="00164F4D"/>
    <w:rsid w:val="00165042"/>
    <w:rsid w:val="0016688D"/>
    <w:rsid w:val="0017069A"/>
    <w:rsid w:val="00171499"/>
    <w:rsid w:val="00173F34"/>
    <w:rsid w:val="00174D87"/>
    <w:rsid w:val="00174D97"/>
    <w:rsid w:val="00175254"/>
    <w:rsid w:val="00176F8D"/>
    <w:rsid w:val="001770BC"/>
    <w:rsid w:val="001771B7"/>
    <w:rsid w:val="0017725B"/>
    <w:rsid w:val="0017727B"/>
    <w:rsid w:val="001774CD"/>
    <w:rsid w:val="001813E1"/>
    <w:rsid w:val="001845F2"/>
    <w:rsid w:val="00184614"/>
    <w:rsid w:val="001849A4"/>
    <w:rsid w:val="001864D3"/>
    <w:rsid w:val="00186DF9"/>
    <w:rsid w:val="00187100"/>
    <w:rsid w:val="001906A9"/>
    <w:rsid w:val="0019079B"/>
    <w:rsid w:val="00190A86"/>
    <w:rsid w:val="0019303C"/>
    <w:rsid w:val="0019321E"/>
    <w:rsid w:val="00194051"/>
    <w:rsid w:val="001940F0"/>
    <w:rsid w:val="00196F8A"/>
    <w:rsid w:val="001A0AB5"/>
    <w:rsid w:val="001A2DBB"/>
    <w:rsid w:val="001A3263"/>
    <w:rsid w:val="001A3D43"/>
    <w:rsid w:val="001A6814"/>
    <w:rsid w:val="001A6E4F"/>
    <w:rsid w:val="001A70B7"/>
    <w:rsid w:val="001A7B3B"/>
    <w:rsid w:val="001A7FED"/>
    <w:rsid w:val="001B0591"/>
    <w:rsid w:val="001B05E3"/>
    <w:rsid w:val="001B0992"/>
    <w:rsid w:val="001B09DA"/>
    <w:rsid w:val="001B1CF2"/>
    <w:rsid w:val="001B420C"/>
    <w:rsid w:val="001B48D9"/>
    <w:rsid w:val="001B5450"/>
    <w:rsid w:val="001B56B4"/>
    <w:rsid w:val="001B5F05"/>
    <w:rsid w:val="001B636D"/>
    <w:rsid w:val="001B6D32"/>
    <w:rsid w:val="001B761E"/>
    <w:rsid w:val="001C00DC"/>
    <w:rsid w:val="001C2958"/>
    <w:rsid w:val="001C4CA6"/>
    <w:rsid w:val="001C7654"/>
    <w:rsid w:val="001C7993"/>
    <w:rsid w:val="001D02C7"/>
    <w:rsid w:val="001D0AC4"/>
    <w:rsid w:val="001D367A"/>
    <w:rsid w:val="001D4A96"/>
    <w:rsid w:val="001D678A"/>
    <w:rsid w:val="001E04FF"/>
    <w:rsid w:val="001E0898"/>
    <w:rsid w:val="001E1B89"/>
    <w:rsid w:val="001E26F8"/>
    <w:rsid w:val="001E427F"/>
    <w:rsid w:val="001E4C9F"/>
    <w:rsid w:val="001E582A"/>
    <w:rsid w:val="001E7068"/>
    <w:rsid w:val="001F03E0"/>
    <w:rsid w:val="001F05EC"/>
    <w:rsid w:val="001F1416"/>
    <w:rsid w:val="001F16C7"/>
    <w:rsid w:val="001F17AA"/>
    <w:rsid w:val="001F1DB6"/>
    <w:rsid w:val="001F215B"/>
    <w:rsid w:val="001F2804"/>
    <w:rsid w:val="001F3522"/>
    <w:rsid w:val="001F3F1E"/>
    <w:rsid w:val="001F4A47"/>
    <w:rsid w:val="001F4FF1"/>
    <w:rsid w:val="001F6412"/>
    <w:rsid w:val="00200C1A"/>
    <w:rsid w:val="00201F2B"/>
    <w:rsid w:val="00201F9C"/>
    <w:rsid w:val="00202477"/>
    <w:rsid w:val="00203600"/>
    <w:rsid w:val="002039DF"/>
    <w:rsid w:val="00203EB3"/>
    <w:rsid w:val="002050FA"/>
    <w:rsid w:val="002058DA"/>
    <w:rsid w:val="002069D5"/>
    <w:rsid w:val="00210174"/>
    <w:rsid w:val="00212CF6"/>
    <w:rsid w:val="0021380B"/>
    <w:rsid w:val="002143E8"/>
    <w:rsid w:val="00214A72"/>
    <w:rsid w:val="00214B19"/>
    <w:rsid w:val="00215201"/>
    <w:rsid w:val="00215937"/>
    <w:rsid w:val="00217BBB"/>
    <w:rsid w:val="002202B3"/>
    <w:rsid w:val="0022101E"/>
    <w:rsid w:val="00222939"/>
    <w:rsid w:val="00223ADF"/>
    <w:rsid w:val="00223CF0"/>
    <w:rsid w:val="00226870"/>
    <w:rsid w:val="00226D38"/>
    <w:rsid w:val="00231548"/>
    <w:rsid w:val="002335E7"/>
    <w:rsid w:val="002339B2"/>
    <w:rsid w:val="00234B36"/>
    <w:rsid w:val="00234F5C"/>
    <w:rsid w:val="00236008"/>
    <w:rsid w:val="002360C5"/>
    <w:rsid w:val="00241FBC"/>
    <w:rsid w:val="00242E34"/>
    <w:rsid w:val="00243EFE"/>
    <w:rsid w:val="002444A9"/>
    <w:rsid w:val="00250097"/>
    <w:rsid w:val="002512AF"/>
    <w:rsid w:val="00251464"/>
    <w:rsid w:val="00251BF9"/>
    <w:rsid w:val="002535E1"/>
    <w:rsid w:val="002557D8"/>
    <w:rsid w:val="00262277"/>
    <w:rsid w:val="00262440"/>
    <w:rsid w:val="00262D05"/>
    <w:rsid w:val="00263554"/>
    <w:rsid w:val="00263989"/>
    <w:rsid w:val="002641C1"/>
    <w:rsid w:val="0026433D"/>
    <w:rsid w:val="002656C3"/>
    <w:rsid w:val="002658BB"/>
    <w:rsid w:val="00266F30"/>
    <w:rsid w:val="002700C7"/>
    <w:rsid w:val="002709D1"/>
    <w:rsid w:val="0027128F"/>
    <w:rsid w:val="002748C8"/>
    <w:rsid w:val="00274A3A"/>
    <w:rsid w:val="00276C9F"/>
    <w:rsid w:val="00276D64"/>
    <w:rsid w:val="00280FBE"/>
    <w:rsid w:val="00280FFE"/>
    <w:rsid w:val="002814BB"/>
    <w:rsid w:val="002821A9"/>
    <w:rsid w:val="00282F6C"/>
    <w:rsid w:val="00283A3A"/>
    <w:rsid w:val="00284CB5"/>
    <w:rsid w:val="0028539F"/>
    <w:rsid w:val="002868ED"/>
    <w:rsid w:val="00290269"/>
    <w:rsid w:val="0029054B"/>
    <w:rsid w:val="00290FBD"/>
    <w:rsid w:val="0029168B"/>
    <w:rsid w:val="00293A2A"/>
    <w:rsid w:val="00295A03"/>
    <w:rsid w:val="002960F0"/>
    <w:rsid w:val="00297247"/>
    <w:rsid w:val="00297A83"/>
    <w:rsid w:val="002A1C52"/>
    <w:rsid w:val="002A3543"/>
    <w:rsid w:val="002A3DDA"/>
    <w:rsid w:val="002A5156"/>
    <w:rsid w:val="002A5C53"/>
    <w:rsid w:val="002A6470"/>
    <w:rsid w:val="002B0D3A"/>
    <w:rsid w:val="002B2318"/>
    <w:rsid w:val="002B3C92"/>
    <w:rsid w:val="002B3D1A"/>
    <w:rsid w:val="002B432D"/>
    <w:rsid w:val="002B648C"/>
    <w:rsid w:val="002B70ED"/>
    <w:rsid w:val="002B75E4"/>
    <w:rsid w:val="002B7651"/>
    <w:rsid w:val="002B7C7D"/>
    <w:rsid w:val="002B7F87"/>
    <w:rsid w:val="002C0DE7"/>
    <w:rsid w:val="002C106E"/>
    <w:rsid w:val="002C2686"/>
    <w:rsid w:val="002C31A3"/>
    <w:rsid w:val="002C3DD9"/>
    <w:rsid w:val="002C40EF"/>
    <w:rsid w:val="002C7138"/>
    <w:rsid w:val="002C7687"/>
    <w:rsid w:val="002C76DA"/>
    <w:rsid w:val="002D206D"/>
    <w:rsid w:val="002D2E19"/>
    <w:rsid w:val="002D34A3"/>
    <w:rsid w:val="002D4511"/>
    <w:rsid w:val="002D48A9"/>
    <w:rsid w:val="002D4BD4"/>
    <w:rsid w:val="002D7B22"/>
    <w:rsid w:val="002E213E"/>
    <w:rsid w:val="002E2FD8"/>
    <w:rsid w:val="002E3733"/>
    <w:rsid w:val="002E70B5"/>
    <w:rsid w:val="002E7943"/>
    <w:rsid w:val="002E7D98"/>
    <w:rsid w:val="002F022B"/>
    <w:rsid w:val="002F1B24"/>
    <w:rsid w:val="002F20CE"/>
    <w:rsid w:val="002F21B2"/>
    <w:rsid w:val="002F3F12"/>
    <w:rsid w:val="002F500F"/>
    <w:rsid w:val="002F560A"/>
    <w:rsid w:val="00301A36"/>
    <w:rsid w:val="003021AE"/>
    <w:rsid w:val="003023A2"/>
    <w:rsid w:val="00304EA4"/>
    <w:rsid w:val="00306906"/>
    <w:rsid w:val="00306975"/>
    <w:rsid w:val="003108A1"/>
    <w:rsid w:val="003109A2"/>
    <w:rsid w:val="00311EB4"/>
    <w:rsid w:val="00312090"/>
    <w:rsid w:val="00313CF1"/>
    <w:rsid w:val="00317CB8"/>
    <w:rsid w:val="003211FF"/>
    <w:rsid w:val="00322E08"/>
    <w:rsid w:val="00324508"/>
    <w:rsid w:val="0032611A"/>
    <w:rsid w:val="0032661A"/>
    <w:rsid w:val="0033001B"/>
    <w:rsid w:val="00334060"/>
    <w:rsid w:val="00334311"/>
    <w:rsid w:val="00334673"/>
    <w:rsid w:val="00334D51"/>
    <w:rsid w:val="00340474"/>
    <w:rsid w:val="003404B0"/>
    <w:rsid w:val="0034254F"/>
    <w:rsid w:val="00342B8F"/>
    <w:rsid w:val="00342CD3"/>
    <w:rsid w:val="0034303F"/>
    <w:rsid w:val="00345F14"/>
    <w:rsid w:val="003503A6"/>
    <w:rsid w:val="00352B96"/>
    <w:rsid w:val="00353B6F"/>
    <w:rsid w:val="003563D0"/>
    <w:rsid w:val="00356DDB"/>
    <w:rsid w:val="00357DDE"/>
    <w:rsid w:val="0036026B"/>
    <w:rsid w:val="00361B35"/>
    <w:rsid w:val="003626B2"/>
    <w:rsid w:val="00362CCC"/>
    <w:rsid w:val="00362E1E"/>
    <w:rsid w:val="0036506A"/>
    <w:rsid w:val="00366EB8"/>
    <w:rsid w:val="00367BC7"/>
    <w:rsid w:val="00370E54"/>
    <w:rsid w:val="003717A6"/>
    <w:rsid w:val="0037260A"/>
    <w:rsid w:val="003726AC"/>
    <w:rsid w:val="003736B5"/>
    <w:rsid w:val="003741A3"/>
    <w:rsid w:val="003745F5"/>
    <w:rsid w:val="00375331"/>
    <w:rsid w:val="00375B15"/>
    <w:rsid w:val="00376D3A"/>
    <w:rsid w:val="00377E6C"/>
    <w:rsid w:val="0038064D"/>
    <w:rsid w:val="00380812"/>
    <w:rsid w:val="00382ABB"/>
    <w:rsid w:val="00383209"/>
    <w:rsid w:val="00384221"/>
    <w:rsid w:val="00384D83"/>
    <w:rsid w:val="00385A6E"/>
    <w:rsid w:val="00386276"/>
    <w:rsid w:val="00387811"/>
    <w:rsid w:val="0039295E"/>
    <w:rsid w:val="00392976"/>
    <w:rsid w:val="00393D14"/>
    <w:rsid w:val="00394357"/>
    <w:rsid w:val="00394986"/>
    <w:rsid w:val="003949E3"/>
    <w:rsid w:val="00394ECA"/>
    <w:rsid w:val="00396542"/>
    <w:rsid w:val="003A12DE"/>
    <w:rsid w:val="003A2D27"/>
    <w:rsid w:val="003A3033"/>
    <w:rsid w:val="003A6430"/>
    <w:rsid w:val="003A6D9B"/>
    <w:rsid w:val="003A7E8D"/>
    <w:rsid w:val="003B021B"/>
    <w:rsid w:val="003B09E5"/>
    <w:rsid w:val="003B1C75"/>
    <w:rsid w:val="003B2BA9"/>
    <w:rsid w:val="003B3135"/>
    <w:rsid w:val="003B3A39"/>
    <w:rsid w:val="003B5AAD"/>
    <w:rsid w:val="003B6555"/>
    <w:rsid w:val="003B6FF9"/>
    <w:rsid w:val="003B7337"/>
    <w:rsid w:val="003B79D4"/>
    <w:rsid w:val="003C10D3"/>
    <w:rsid w:val="003C1ED6"/>
    <w:rsid w:val="003C2305"/>
    <w:rsid w:val="003C4EC7"/>
    <w:rsid w:val="003C52E1"/>
    <w:rsid w:val="003C7B24"/>
    <w:rsid w:val="003C7B88"/>
    <w:rsid w:val="003D0217"/>
    <w:rsid w:val="003D1ADD"/>
    <w:rsid w:val="003D3285"/>
    <w:rsid w:val="003D4015"/>
    <w:rsid w:val="003D480B"/>
    <w:rsid w:val="003D7A70"/>
    <w:rsid w:val="003E29CC"/>
    <w:rsid w:val="003E39D0"/>
    <w:rsid w:val="003E4C89"/>
    <w:rsid w:val="003E5C8F"/>
    <w:rsid w:val="003E6120"/>
    <w:rsid w:val="003E753F"/>
    <w:rsid w:val="003E7FDB"/>
    <w:rsid w:val="003F110B"/>
    <w:rsid w:val="003F1A37"/>
    <w:rsid w:val="003F26BF"/>
    <w:rsid w:val="003F3411"/>
    <w:rsid w:val="003F433F"/>
    <w:rsid w:val="003F434A"/>
    <w:rsid w:val="003F6604"/>
    <w:rsid w:val="003F77C7"/>
    <w:rsid w:val="004035C3"/>
    <w:rsid w:val="00404B6A"/>
    <w:rsid w:val="00404BE5"/>
    <w:rsid w:val="00405556"/>
    <w:rsid w:val="00405DD1"/>
    <w:rsid w:val="00406187"/>
    <w:rsid w:val="00406EDE"/>
    <w:rsid w:val="00406F98"/>
    <w:rsid w:val="00407006"/>
    <w:rsid w:val="00407A76"/>
    <w:rsid w:val="00407B56"/>
    <w:rsid w:val="00407D0D"/>
    <w:rsid w:val="00411068"/>
    <w:rsid w:val="004111F3"/>
    <w:rsid w:val="004112BC"/>
    <w:rsid w:val="004126E7"/>
    <w:rsid w:val="004151EC"/>
    <w:rsid w:val="004154B0"/>
    <w:rsid w:val="0041578D"/>
    <w:rsid w:val="00415DC1"/>
    <w:rsid w:val="00416783"/>
    <w:rsid w:val="00417905"/>
    <w:rsid w:val="00420889"/>
    <w:rsid w:val="004216F0"/>
    <w:rsid w:val="004222E0"/>
    <w:rsid w:val="00422FA1"/>
    <w:rsid w:val="00423408"/>
    <w:rsid w:val="00424F5C"/>
    <w:rsid w:val="004260E2"/>
    <w:rsid w:val="004266D0"/>
    <w:rsid w:val="00426AE2"/>
    <w:rsid w:val="0042769F"/>
    <w:rsid w:val="0043121C"/>
    <w:rsid w:val="004325A8"/>
    <w:rsid w:val="00433A6C"/>
    <w:rsid w:val="00434D5E"/>
    <w:rsid w:val="00435DA1"/>
    <w:rsid w:val="00437241"/>
    <w:rsid w:val="0044155B"/>
    <w:rsid w:val="00441756"/>
    <w:rsid w:val="004425E8"/>
    <w:rsid w:val="004431B7"/>
    <w:rsid w:val="00443519"/>
    <w:rsid w:val="00445E95"/>
    <w:rsid w:val="00446357"/>
    <w:rsid w:val="004504D7"/>
    <w:rsid w:val="00450E41"/>
    <w:rsid w:val="0045122A"/>
    <w:rsid w:val="004512E3"/>
    <w:rsid w:val="004519DE"/>
    <w:rsid w:val="00451FF0"/>
    <w:rsid w:val="00452681"/>
    <w:rsid w:val="00454F74"/>
    <w:rsid w:val="004561C9"/>
    <w:rsid w:val="004579EC"/>
    <w:rsid w:val="00460A60"/>
    <w:rsid w:val="00460B9E"/>
    <w:rsid w:val="00461DA0"/>
    <w:rsid w:val="0046338E"/>
    <w:rsid w:val="0046389A"/>
    <w:rsid w:val="00464C40"/>
    <w:rsid w:val="00464CB1"/>
    <w:rsid w:val="004651FD"/>
    <w:rsid w:val="004652C2"/>
    <w:rsid w:val="00467150"/>
    <w:rsid w:val="00467C56"/>
    <w:rsid w:val="00473846"/>
    <w:rsid w:val="00474170"/>
    <w:rsid w:val="00476498"/>
    <w:rsid w:val="004765AA"/>
    <w:rsid w:val="0047739C"/>
    <w:rsid w:val="0047756E"/>
    <w:rsid w:val="00482510"/>
    <w:rsid w:val="00482AA4"/>
    <w:rsid w:val="00483163"/>
    <w:rsid w:val="00483822"/>
    <w:rsid w:val="00483B14"/>
    <w:rsid w:val="0048525E"/>
    <w:rsid w:val="004871E1"/>
    <w:rsid w:val="004876CC"/>
    <w:rsid w:val="00491847"/>
    <w:rsid w:val="004959DD"/>
    <w:rsid w:val="00495F2B"/>
    <w:rsid w:val="004961F9"/>
    <w:rsid w:val="004962A5"/>
    <w:rsid w:val="0049644F"/>
    <w:rsid w:val="00496812"/>
    <w:rsid w:val="0049761E"/>
    <w:rsid w:val="004A07FA"/>
    <w:rsid w:val="004A34D0"/>
    <w:rsid w:val="004A421C"/>
    <w:rsid w:val="004A5E2D"/>
    <w:rsid w:val="004A5F5B"/>
    <w:rsid w:val="004A7090"/>
    <w:rsid w:val="004A7179"/>
    <w:rsid w:val="004B2D81"/>
    <w:rsid w:val="004B2E59"/>
    <w:rsid w:val="004B2F97"/>
    <w:rsid w:val="004B2FCA"/>
    <w:rsid w:val="004B305C"/>
    <w:rsid w:val="004B30E3"/>
    <w:rsid w:val="004B3306"/>
    <w:rsid w:val="004B3D09"/>
    <w:rsid w:val="004B3E9A"/>
    <w:rsid w:val="004B3FF6"/>
    <w:rsid w:val="004B4911"/>
    <w:rsid w:val="004B4D5B"/>
    <w:rsid w:val="004B5E89"/>
    <w:rsid w:val="004B6A17"/>
    <w:rsid w:val="004B6BAB"/>
    <w:rsid w:val="004C0A91"/>
    <w:rsid w:val="004C38E8"/>
    <w:rsid w:val="004C4DF3"/>
    <w:rsid w:val="004C6498"/>
    <w:rsid w:val="004C6D8F"/>
    <w:rsid w:val="004C737C"/>
    <w:rsid w:val="004C7DF0"/>
    <w:rsid w:val="004D344B"/>
    <w:rsid w:val="004D3C99"/>
    <w:rsid w:val="004D4D33"/>
    <w:rsid w:val="004D710F"/>
    <w:rsid w:val="004D7C3D"/>
    <w:rsid w:val="004E1B63"/>
    <w:rsid w:val="004E3265"/>
    <w:rsid w:val="004E33F7"/>
    <w:rsid w:val="004E3493"/>
    <w:rsid w:val="004E35AB"/>
    <w:rsid w:val="004E450B"/>
    <w:rsid w:val="004E4A9F"/>
    <w:rsid w:val="004E52B1"/>
    <w:rsid w:val="004E62F0"/>
    <w:rsid w:val="004F3F19"/>
    <w:rsid w:val="004F409E"/>
    <w:rsid w:val="004F43FC"/>
    <w:rsid w:val="004F5FF6"/>
    <w:rsid w:val="004F69C3"/>
    <w:rsid w:val="004F7F12"/>
    <w:rsid w:val="00500036"/>
    <w:rsid w:val="00500CCA"/>
    <w:rsid w:val="00500FFC"/>
    <w:rsid w:val="005013E3"/>
    <w:rsid w:val="005027CB"/>
    <w:rsid w:val="005028BF"/>
    <w:rsid w:val="00502DAA"/>
    <w:rsid w:val="0050379D"/>
    <w:rsid w:val="00503864"/>
    <w:rsid w:val="00505185"/>
    <w:rsid w:val="005062D9"/>
    <w:rsid w:val="005068CB"/>
    <w:rsid w:val="0051024F"/>
    <w:rsid w:val="00510692"/>
    <w:rsid w:val="00512229"/>
    <w:rsid w:val="00513AD5"/>
    <w:rsid w:val="00514FD8"/>
    <w:rsid w:val="00515CDD"/>
    <w:rsid w:val="00515E0E"/>
    <w:rsid w:val="00516910"/>
    <w:rsid w:val="005172EC"/>
    <w:rsid w:val="00520174"/>
    <w:rsid w:val="00522227"/>
    <w:rsid w:val="00522D68"/>
    <w:rsid w:val="00523EB9"/>
    <w:rsid w:val="005243C6"/>
    <w:rsid w:val="005260C1"/>
    <w:rsid w:val="00526C6E"/>
    <w:rsid w:val="00527457"/>
    <w:rsid w:val="00527F8D"/>
    <w:rsid w:val="0053045A"/>
    <w:rsid w:val="00531989"/>
    <w:rsid w:val="00532C73"/>
    <w:rsid w:val="00533296"/>
    <w:rsid w:val="00534BE1"/>
    <w:rsid w:val="00535F46"/>
    <w:rsid w:val="00540348"/>
    <w:rsid w:val="00542C96"/>
    <w:rsid w:val="00543AA3"/>
    <w:rsid w:val="00543EFD"/>
    <w:rsid w:val="00544B50"/>
    <w:rsid w:val="00552B77"/>
    <w:rsid w:val="00553998"/>
    <w:rsid w:val="00554CC2"/>
    <w:rsid w:val="00554F27"/>
    <w:rsid w:val="00556974"/>
    <w:rsid w:val="005573AC"/>
    <w:rsid w:val="005611B4"/>
    <w:rsid w:val="005615AA"/>
    <w:rsid w:val="005620DC"/>
    <w:rsid w:val="00562D64"/>
    <w:rsid w:val="005637B0"/>
    <w:rsid w:val="005669DF"/>
    <w:rsid w:val="00571E27"/>
    <w:rsid w:val="0057212D"/>
    <w:rsid w:val="0057355D"/>
    <w:rsid w:val="00574AE3"/>
    <w:rsid w:val="00575713"/>
    <w:rsid w:val="00575EA2"/>
    <w:rsid w:val="00576BFD"/>
    <w:rsid w:val="00577071"/>
    <w:rsid w:val="00580001"/>
    <w:rsid w:val="00580DB2"/>
    <w:rsid w:val="00581749"/>
    <w:rsid w:val="00582B93"/>
    <w:rsid w:val="00583048"/>
    <w:rsid w:val="005836C7"/>
    <w:rsid w:val="00583BED"/>
    <w:rsid w:val="005846D4"/>
    <w:rsid w:val="00587A7B"/>
    <w:rsid w:val="00590EE4"/>
    <w:rsid w:val="005914A2"/>
    <w:rsid w:val="0059196A"/>
    <w:rsid w:val="00592048"/>
    <w:rsid w:val="005934E2"/>
    <w:rsid w:val="005954EB"/>
    <w:rsid w:val="005962D5"/>
    <w:rsid w:val="00596892"/>
    <w:rsid w:val="005A00B2"/>
    <w:rsid w:val="005A0236"/>
    <w:rsid w:val="005A0368"/>
    <w:rsid w:val="005A0912"/>
    <w:rsid w:val="005A104E"/>
    <w:rsid w:val="005A1BBA"/>
    <w:rsid w:val="005A1F0B"/>
    <w:rsid w:val="005A2380"/>
    <w:rsid w:val="005A3DD1"/>
    <w:rsid w:val="005A4ACA"/>
    <w:rsid w:val="005A601B"/>
    <w:rsid w:val="005A6DCC"/>
    <w:rsid w:val="005A767B"/>
    <w:rsid w:val="005B3029"/>
    <w:rsid w:val="005B4A04"/>
    <w:rsid w:val="005B6E5A"/>
    <w:rsid w:val="005B73B4"/>
    <w:rsid w:val="005B7758"/>
    <w:rsid w:val="005B781C"/>
    <w:rsid w:val="005C0798"/>
    <w:rsid w:val="005C3301"/>
    <w:rsid w:val="005C428C"/>
    <w:rsid w:val="005C45D2"/>
    <w:rsid w:val="005C5940"/>
    <w:rsid w:val="005C59AD"/>
    <w:rsid w:val="005C6ACB"/>
    <w:rsid w:val="005C6B91"/>
    <w:rsid w:val="005C73B8"/>
    <w:rsid w:val="005C7AFB"/>
    <w:rsid w:val="005D09DA"/>
    <w:rsid w:val="005D0F4D"/>
    <w:rsid w:val="005D12E8"/>
    <w:rsid w:val="005D1946"/>
    <w:rsid w:val="005D240A"/>
    <w:rsid w:val="005D24BF"/>
    <w:rsid w:val="005D5052"/>
    <w:rsid w:val="005D6747"/>
    <w:rsid w:val="005D6AB2"/>
    <w:rsid w:val="005E090D"/>
    <w:rsid w:val="005E1DFD"/>
    <w:rsid w:val="005E3641"/>
    <w:rsid w:val="005E3897"/>
    <w:rsid w:val="005E3D02"/>
    <w:rsid w:val="005E41F1"/>
    <w:rsid w:val="005E46FE"/>
    <w:rsid w:val="005E53F5"/>
    <w:rsid w:val="005E600B"/>
    <w:rsid w:val="005E6CE6"/>
    <w:rsid w:val="005F1F42"/>
    <w:rsid w:val="005F3A61"/>
    <w:rsid w:val="005F4087"/>
    <w:rsid w:val="005F655C"/>
    <w:rsid w:val="005F6F50"/>
    <w:rsid w:val="005F75FB"/>
    <w:rsid w:val="00600DD8"/>
    <w:rsid w:val="0060158B"/>
    <w:rsid w:val="00601852"/>
    <w:rsid w:val="006019D8"/>
    <w:rsid w:val="006059E5"/>
    <w:rsid w:val="00607EAE"/>
    <w:rsid w:val="00610991"/>
    <w:rsid w:val="006126C3"/>
    <w:rsid w:val="006132B1"/>
    <w:rsid w:val="006134BD"/>
    <w:rsid w:val="00614A02"/>
    <w:rsid w:val="00615ABE"/>
    <w:rsid w:val="00615FC3"/>
    <w:rsid w:val="00620149"/>
    <w:rsid w:val="00622125"/>
    <w:rsid w:val="006226C5"/>
    <w:rsid w:val="00623660"/>
    <w:rsid w:val="0062391B"/>
    <w:rsid w:val="0062421C"/>
    <w:rsid w:val="0062543B"/>
    <w:rsid w:val="00625840"/>
    <w:rsid w:val="00626E59"/>
    <w:rsid w:val="00627115"/>
    <w:rsid w:val="00627CE6"/>
    <w:rsid w:val="0063097A"/>
    <w:rsid w:val="00632828"/>
    <w:rsid w:val="006348D2"/>
    <w:rsid w:val="0063632C"/>
    <w:rsid w:val="006372D3"/>
    <w:rsid w:val="0064029A"/>
    <w:rsid w:val="00641CA3"/>
    <w:rsid w:val="00642203"/>
    <w:rsid w:val="0064291F"/>
    <w:rsid w:val="0064293A"/>
    <w:rsid w:val="00643724"/>
    <w:rsid w:val="00645BF5"/>
    <w:rsid w:val="006500CE"/>
    <w:rsid w:val="00652C0A"/>
    <w:rsid w:val="006536CE"/>
    <w:rsid w:val="00660465"/>
    <w:rsid w:val="00660F47"/>
    <w:rsid w:val="00660FC7"/>
    <w:rsid w:val="00662527"/>
    <w:rsid w:val="006634BD"/>
    <w:rsid w:val="00664BAF"/>
    <w:rsid w:val="006657E4"/>
    <w:rsid w:val="006659E2"/>
    <w:rsid w:val="00666E91"/>
    <w:rsid w:val="006677F6"/>
    <w:rsid w:val="006707FC"/>
    <w:rsid w:val="00671D96"/>
    <w:rsid w:val="006730E8"/>
    <w:rsid w:val="00673D9E"/>
    <w:rsid w:val="00674AB7"/>
    <w:rsid w:val="0067591E"/>
    <w:rsid w:val="00681346"/>
    <w:rsid w:val="00682D31"/>
    <w:rsid w:val="00683775"/>
    <w:rsid w:val="006839E2"/>
    <w:rsid w:val="00683A5A"/>
    <w:rsid w:val="006869B8"/>
    <w:rsid w:val="00687E98"/>
    <w:rsid w:val="00690A46"/>
    <w:rsid w:val="00690B27"/>
    <w:rsid w:val="0069211B"/>
    <w:rsid w:val="006921E9"/>
    <w:rsid w:val="00692EE1"/>
    <w:rsid w:val="0069357B"/>
    <w:rsid w:val="006945F1"/>
    <w:rsid w:val="00695843"/>
    <w:rsid w:val="00695862"/>
    <w:rsid w:val="006962EE"/>
    <w:rsid w:val="006965B1"/>
    <w:rsid w:val="006A04A2"/>
    <w:rsid w:val="006A0EC3"/>
    <w:rsid w:val="006A3FDB"/>
    <w:rsid w:val="006B084A"/>
    <w:rsid w:val="006B3002"/>
    <w:rsid w:val="006B35B7"/>
    <w:rsid w:val="006B3D14"/>
    <w:rsid w:val="006B4D42"/>
    <w:rsid w:val="006B7459"/>
    <w:rsid w:val="006B7E04"/>
    <w:rsid w:val="006C248E"/>
    <w:rsid w:val="006C3877"/>
    <w:rsid w:val="006C545A"/>
    <w:rsid w:val="006C55AC"/>
    <w:rsid w:val="006C562B"/>
    <w:rsid w:val="006C57A1"/>
    <w:rsid w:val="006D0A41"/>
    <w:rsid w:val="006D126E"/>
    <w:rsid w:val="006D328A"/>
    <w:rsid w:val="006D32D4"/>
    <w:rsid w:val="006D364B"/>
    <w:rsid w:val="006D3CF9"/>
    <w:rsid w:val="006D4E3B"/>
    <w:rsid w:val="006D5DC7"/>
    <w:rsid w:val="006E18E2"/>
    <w:rsid w:val="006E29F2"/>
    <w:rsid w:val="006E3DFC"/>
    <w:rsid w:val="006F0468"/>
    <w:rsid w:val="006F18D4"/>
    <w:rsid w:val="006F18EF"/>
    <w:rsid w:val="006F4002"/>
    <w:rsid w:val="006F5D93"/>
    <w:rsid w:val="006F6102"/>
    <w:rsid w:val="006F6990"/>
    <w:rsid w:val="0070013D"/>
    <w:rsid w:val="0070088B"/>
    <w:rsid w:val="007017F7"/>
    <w:rsid w:val="00702819"/>
    <w:rsid w:val="00702916"/>
    <w:rsid w:val="007037DD"/>
    <w:rsid w:val="00704977"/>
    <w:rsid w:val="007120DC"/>
    <w:rsid w:val="0071391F"/>
    <w:rsid w:val="0071402C"/>
    <w:rsid w:val="00714923"/>
    <w:rsid w:val="00714E1F"/>
    <w:rsid w:val="007152E0"/>
    <w:rsid w:val="0071624F"/>
    <w:rsid w:val="00717CC2"/>
    <w:rsid w:val="00722111"/>
    <w:rsid w:val="00722542"/>
    <w:rsid w:val="00723493"/>
    <w:rsid w:val="007246F6"/>
    <w:rsid w:val="00725063"/>
    <w:rsid w:val="00725633"/>
    <w:rsid w:val="00725B57"/>
    <w:rsid w:val="00730EC1"/>
    <w:rsid w:val="00731548"/>
    <w:rsid w:val="00731AF5"/>
    <w:rsid w:val="00731E29"/>
    <w:rsid w:val="00733D0C"/>
    <w:rsid w:val="00733DC2"/>
    <w:rsid w:val="007348C3"/>
    <w:rsid w:val="00734ABC"/>
    <w:rsid w:val="0074008B"/>
    <w:rsid w:val="00740DA6"/>
    <w:rsid w:val="00744A08"/>
    <w:rsid w:val="00745479"/>
    <w:rsid w:val="007508CB"/>
    <w:rsid w:val="00750D3C"/>
    <w:rsid w:val="00753B81"/>
    <w:rsid w:val="0076119F"/>
    <w:rsid w:val="007625D2"/>
    <w:rsid w:val="00765493"/>
    <w:rsid w:val="007660E1"/>
    <w:rsid w:val="0076711C"/>
    <w:rsid w:val="0076792E"/>
    <w:rsid w:val="007707CE"/>
    <w:rsid w:val="00770FF9"/>
    <w:rsid w:val="007738B4"/>
    <w:rsid w:val="007745EC"/>
    <w:rsid w:val="007768B3"/>
    <w:rsid w:val="00776B6A"/>
    <w:rsid w:val="0077779F"/>
    <w:rsid w:val="0078128F"/>
    <w:rsid w:val="0078134D"/>
    <w:rsid w:val="007818AE"/>
    <w:rsid w:val="00781AC7"/>
    <w:rsid w:val="00781C86"/>
    <w:rsid w:val="00784BD5"/>
    <w:rsid w:val="0078532E"/>
    <w:rsid w:val="00786A54"/>
    <w:rsid w:val="00787098"/>
    <w:rsid w:val="00791672"/>
    <w:rsid w:val="00791950"/>
    <w:rsid w:val="00791E46"/>
    <w:rsid w:val="00792D0B"/>
    <w:rsid w:val="00792E7E"/>
    <w:rsid w:val="00794FF6"/>
    <w:rsid w:val="00796523"/>
    <w:rsid w:val="00797B11"/>
    <w:rsid w:val="007A1BA1"/>
    <w:rsid w:val="007A428C"/>
    <w:rsid w:val="007A4437"/>
    <w:rsid w:val="007A5678"/>
    <w:rsid w:val="007A6843"/>
    <w:rsid w:val="007A709F"/>
    <w:rsid w:val="007B0249"/>
    <w:rsid w:val="007B09CF"/>
    <w:rsid w:val="007B0F78"/>
    <w:rsid w:val="007B1E4F"/>
    <w:rsid w:val="007B6BF9"/>
    <w:rsid w:val="007B7252"/>
    <w:rsid w:val="007B79BB"/>
    <w:rsid w:val="007B7EFC"/>
    <w:rsid w:val="007B7F9D"/>
    <w:rsid w:val="007C1759"/>
    <w:rsid w:val="007C1F48"/>
    <w:rsid w:val="007C2C78"/>
    <w:rsid w:val="007C46A2"/>
    <w:rsid w:val="007C4807"/>
    <w:rsid w:val="007C4862"/>
    <w:rsid w:val="007C4EAB"/>
    <w:rsid w:val="007C6E08"/>
    <w:rsid w:val="007C73B5"/>
    <w:rsid w:val="007D16A3"/>
    <w:rsid w:val="007D17B7"/>
    <w:rsid w:val="007D2CA3"/>
    <w:rsid w:val="007D5197"/>
    <w:rsid w:val="007D5BF0"/>
    <w:rsid w:val="007E08AE"/>
    <w:rsid w:val="007E0EC2"/>
    <w:rsid w:val="007E1318"/>
    <w:rsid w:val="007E283A"/>
    <w:rsid w:val="007E29FC"/>
    <w:rsid w:val="007E2F80"/>
    <w:rsid w:val="007E413C"/>
    <w:rsid w:val="007E443A"/>
    <w:rsid w:val="007E546A"/>
    <w:rsid w:val="007E6421"/>
    <w:rsid w:val="007E6FB6"/>
    <w:rsid w:val="007F0AEE"/>
    <w:rsid w:val="007F1857"/>
    <w:rsid w:val="007F3575"/>
    <w:rsid w:val="007F3F11"/>
    <w:rsid w:val="007F4E97"/>
    <w:rsid w:val="00800008"/>
    <w:rsid w:val="00800947"/>
    <w:rsid w:val="00800BA9"/>
    <w:rsid w:val="00800EB9"/>
    <w:rsid w:val="00802487"/>
    <w:rsid w:val="00802DC2"/>
    <w:rsid w:val="0080366B"/>
    <w:rsid w:val="008060D7"/>
    <w:rsid w:val="00806747"/>
    <w:rsid w:val="0080693F"/>
    <w:rsid w:val="0080738F"/>
    <w:rsid w:val="0080773A"/>
    <w:rsid w:val="00807E24"/>
    <w:rsid w:val="008102FF"/>
    <w:rsid w:val="008103F0"/>
    <w:rsid w:val="00810F70"/>
    <w:rsid w:val="008112E6"/>
    <w:rsid w:val="00811814"/>
    <w:rsid w:val="00812A50"/>
    <w:rsid w:val="00813D50"/>
    <w:rsid w:val="00815C69"/>
    <w:rsid w:val="00817301"/>
    <w:rsid w:val="00817A97"/>
    <w:rsid w:val="00820222"/>
    <w:rsid w:val="00821736"/>
    <w:rsid w:val="00821ED3"/>
    <w:rsid w:val="0082212F"/>
    <w:rsid w:val="0082248D"/>
    <w:rsid w:val="008234DE"/>
    <w:rsid w:val="008253AD"/>
    <w:rsid w:val="00825974"/>
    <w:rsid w:val="008268DB"/>
    <w:rsid w:val="00826D9E"/>
    <w:rsid w:val="00827448"/>
    <w:rsid w:val="008317AB"/>
    <w:rsid w:val="008319D9"/>
    <w:rsid w:val="00831BC7"/>
    <w:rsid w:val="00833139"/>
    <w:rsid w:val="00834061"/>
    <w:rsid w:val="00835CFD"/>
    <w:rsid w:val="00836A72"/>
    <w:rsid w:val="00837844"/>
    <w:rsid w:val="00840F35"/>
    <w:rsid w:val="00841137"/>
    <w:rsid w:val="008416E6"/>
    <w:rsid w:val="008422EC"/>
    <w:rsid w:val="00842338"/>
    <w:rsid w:val="0084280D"/>
    <w:rsid w:val="0084359B"/>
    <w:rsid w:val="008440B5"/>
    <w:rsid w:val="00844753"/>
    <w:rsid w:val="00844E18"/>
    <w:rsid w:val="00846468"/>
    <w:rsid w:val="00847EBF"/>
    <w:rsid w:val="0085282C"/>
    <w:rsid w:val="00852D65"/>
    <w:rsid w:val="00853676"/>
    <w:rsid w:val="00855EF7"/>
    <w:rsid w:val="00855EF9"/>
    <w:rsid w:val="00857AD4"/>
    <w:rsid w:val="00860D25"/>
    <w:rsid w:val="00861AD9"/>
    <w:rsid w:val="00862B85"/>
    <w:rsid w:val="00863220"/>
    <w:rsid w:val="00863803"/>
    <w:rsid w:val="0086470E"/>
    <w:rsid w:val="00866803"/>
    <w:rsid w:val="00866EAF"/>
    <w:rsid w:val="00867C55"/>
    <w:rsid w:val="00872B82"/>
    <w:rsid w:val="008748B0"/>
    <w:rsid w:val="00874A60"/>
    <w:rsid w:val="00874F7A"/>
    <w:rsid w:val="00877B93"/>
    <w:rsid w:val="00877FB1"/>
    <w:rsid w:val="00880408"/>
    <w:rsid w:val="008836C1"/>
    <w:rsid w:val="0088435B"/>
    <w:rsid w:val="00884B48"/>
    <w:rsid w:val="00885927"/>
    <w:rsid w:val="00885FCD"/>
    <w:rsid w:val="008872C9"/>
    <w:rsid w:val="00892792"/>
    <w:rsid w:val="0089387D"/>
    <w:rsid w:val="00894555"/>
    <w:rsid w:val="00895D3A"/>
    <w:rsid w:val="00896243"/>
    <w:rsid w:val="008968F8"/>
    <w:rsid w:val="00896B6B"/>
    <w:rsid w:val="008A13EB"/>
    <w:rsid w:val="008A1D8D"/>
    <w:rsid w:val="008A3BB1"/>
    <w:rsid w:val="008A4233"/>
    <w:rsid w:val="008A6634"/>
    <w:rsid w:val="008A76C9"/>
    <w:rsid w:val="008A77F1"/>
    <w:rsid w:val="008A79A2"/>
    <w:rsid w:val="008B0AE4"/>
    <w:rsid w:val="008B0CF0"/>
    <w:rsid w:val="008B14D9"/>
    <w:rsid w:val="008B586C"/>
    <w:rsid w:val="008B6453"/>
    <w:rsid w:val="008B69BA"/>
    <w:rsid w:val="008B6B5E"/>
    <w:rsid w:val="008C03C1"/>
    <w:rsid w:val="008C0403"/>
    <w:rsid w:val="008C1F6A"/>
    <w:rsid w:val="008C21A1"/>
    <w:rsid w:val="008C340B"/>
    <w:rsid w:val="008C4154"/>
    <w:rsid w:val="008C55E2"/>
    <w:rsid w:val="008C5A4F"/>
    <w:rsid w:val="008C5DF2"/>
    <w:rsid w:val="008C6B04"/>
    <w:rsid w:val="008D0074"/>
    <w:rsid w:val="008D0373"/>
    <w:rsid w:val="008D1C41"/>
    <w:rsid w:val="008D1F48"/>
    <w:rsid w:val="008D2BB9"/>
    <w:rsid w:val="008D493E"/>
    <w:rsid w:val="008D57FB"/>
    <w:rsid w:val="008D6709"/>
    <w:rsid w:val="008D6CF0"/>
    <w:rsid w:val="008E0252"/>
    <w:rsid w:val="008E1E1E"/>
    <w:rsid w:val="008E224A"/>
    <w:rsid w:val="008E370B"/>
    <w:rsid w:val="008E524B"/>
    <w:rsid w:val="008E5921"/>
    <w:rsid w:val="008E6F19"/>
    <w:rsid w:val="008E71C5"/>
    <w:rsid w:val="008E72EB"/>
    <w:rsid w:val="008F02A6"/>
    <w:rsid w:val="008F0D98"/>
    <w:rsid w:val="008F1214"/>
    <w:rsid w:val="008F1EFE"/>
    <w:rsid w:val="008F34E8"/>
    <w:rsid w:val="008F6A94"/>
    <w:rsid w:val="008F6EEA"/>
    <w:rsid w:val="00900075"/>
    <w:rsid w:val="00902AA9"/>
    <w:rsid w:val="00904F30"/>
    <w:rsid w:val="00911023"/>
    <w:rsid w:val="00911F61"/>
    <w:rsid w:val="00914F19"/>
    <w:rsid w:val="00917694"/>
    <w:rsid w:val="00917F86"/>
    <w:rsid w:val="00920A58"/>
    <w:rsid w:val="00921190"/>
    <w:rsid w:val="00921344"/>
    <w:rsid w:val="009218C3"/>
    <w:rsid w:val="009228FF"/>
    <w:rsid w:val="009259F8"/>
    <w:rsid w:val="00926AE5"/>
    <w:rsid w:val="00926FF7"/>
    <w:rsid w:val="00931138"/>
    <w:rsid w:val="009311AB"/>
    <w:rsid w:val="009317B0"/>
    <w:rsid w:val="00932C9E"/>
    <w:rsid w:val="00932E64"/>
    <w:rsid w:val="00933596"/>
    <w:rsid w:val="009339F3"/>
    <w:rsid w:val="00933C36"/>
    <w:rsid w:val="00934F5E"/>
    <w:rsid w:val="00936272"/>
    <w:rsid w:val="00941194"/>
    <w:rsid w:val="009423A8"/>
    <w:rsid w:val="00942EF4"/>
    <w:rsid w:val="00943340"/>
    <w:rsid w:val="009449D5"/>
    <w:rsid w:val="00945156"/>
    <w:rsid w:val="00946D42"/>
    <w:rsid w:val="00947C12"/>
    <w:rsid w:val="009506EB"/>
    <w:rsid w:val="00950889"/>
    <w:rsid w:val="00950D03"/>
    <w:rsid w:val="009512CB"/>
    <w:rsid w:val="009520F9"/>
    <w:rsid w:val="00952363"/>
    <w:rsid w:val="00952A36"/>
    <w:rsid w:val="00954710"/>
    <w:rsid w:val="00956811"/>
    <w:rsid w:val="0095758F"/>
    <w:rsid w:val="0096092A"/>
    <w:rsid w:val="00960DCF"/>
    <w:rsid w:val="00960EBE"/>
    <w:rsid w:val="00964F7D"/>
    <w:rsid w:val="009652C2"/>
    <w:rsid w:val="00965B33"/>
    <w:rsid w:val="00967F55"/>
    <w:rsid w:val="00967FB3"/>
    <w:rsid w:val="00970C7D"/>
    <w:rsid w:val="00971638"/>
    <w:rsid w:val="009723FE"/>
    <w:rsid w:val="00972443"/>
    <w:rsid w:val="00973621"/>
    <w:rsid w:val="00974AE9"/>
    <w:rsid w:val="00975C08"/>
    <w:rsid w:val="00975E49"/>
    <w:rsid w:val="00981565"/>
    <w:rsid w:val="0098314B"/>
    <w:rsid w:val="00983329"/>
    <w:rsid w:val="009841BB"/>
    <w:rsid w:val="00984C5D"/>
    <w:rsid w:val="0098567A"/>
    <w:rsid w:val="00985A3D"/>
    <w:rsid w:val="00986E3A"/>
    <w:rsid w:val="00987F1D"/>
    <w:rsid w:val="009903E7"/>
    <w:rsid w:val="009912D2"/>
    <w:rsid w:val="009915FC"/>
    <w:rsid w:val="00991EA3"/>
    <w:rsid w:val="009920FC"/>
    <w:rsid w:val="00992C70"/>
    <w:rsid w:val="009946ED"/>
    <w:rsid w:val="00994D55"/>
    <w:rsid w:val="00994FDE"/>
    <w:rsid w:val="00995385"/>
    <w:rsid w:val="00995558"/>
    <w:rsid w:val="00996E5B"/>
    <w:rsid w:val="009976EA"/>
    <w:rsid w:val="009A05E5"/>
    <w:rsid w:val="009A07EA"/>
    <w:rsid w:val="009A194C"/>
    <w:rsid w:val="009A1E22"/>
    <w:rsid w:val="009A2996"/>
    <w:rsid w:val="009A3054"/>
    <w:rsid w:val="009A3785"/>
    <w:rsid w:val="009A43A2"/>
    <w:rsid w:val="009A45D4"/>
    <w:rsid w:val="009A5335"/>
    <w:rsid w:val="009A65A1"/>
    <w:rsid w:val="009B3F9F"/>
    <w:rsid w:val="009B4B26"/>
    <w:rsid w:val="009B5B60"/>
    <w:rsid w:val="009B63FC"/>
    <w:rsid w:val="009C0D99"/>
    <w:rsid w:val="009C1B6B"/>
    <w:rsid w:val="009C59F6"/>
    <w:rsid w:val="009C75BD"/>
    <w:rsid w:val="009C7B05"/>
    <w:rsid w:val="009D095E"/>
    <w:rsid w:val="009D2718"/>
    <w:rsid w:val="009D276A"/>
    <w:rsid w:val="009D2F69"/>
    <w:rsid w:val="009D3813"/>
    <w:rsid w:val="009D56DB"/>
    <w:rsid w:val="009D5D2B"/>
    <w:rsid w:val="009D60E4"/>
    <w:rsid w:val="009E27BE"/>
    <w:rsid w:val="009E2CA9"/>
    <w:rsid w:val="009E445B"/>
    <w:rsid w:val="009F0340"/>
    <w:rsid w:val="009F2184"/>
    <w:rsid w:val="009F2559"/>
    <w:rsid w:val="009F2FAE"/>
    <w:rsid w:val="009F39C8"/>
    <w:rsid w:val="009F64C0"/>
    <w:rsid w:val="00A0183B"/>
    <w:rsid w:val="00A01AD2"/>
    <w:rsid w:val="00A01F30"/>
    <w:rsid w:val="00A022B1"/>
    <w:rsid w:val="00A04DD8"/>
    <w:rsid w:val="00A06421"/>
    <w:rsid w:val="00A06847"/>
    <w:rsid w:val="00A07506"/>
    <w:rsid w:val="00A11971"/>
    <w:rsid w:val="00A13297"/>
    <w:rsid w:val="00A134CB"/>
    <w:rsid w:val="00A156F2"/>
    <w:rsid w:val="00A17720"/>
    <w:rsid w:val="00A21D9C"/>
    <w:rsid w:val="00A2205C"/>
    <w:rsid w:val="00A26FE2"/>
    <w:rsid w:val="00A27090"/>
    <w:rsid w:val="00A30BE1"/>
    <w:rsid w:val="00A30E99"/>
    <w:rsid w:val="00A31665"/>
    <w:rsid w:val="00A31CE4"/>
    <w:rsid w:val="00A35E4D"/>
    <w:rsid w:val="00A4252F"/>
    <w:rsid w:val="00A439C7"/>
    <w:rsid w:val="00A44C0F"/>
    <w:rsid w:val="00A45243"/>
    <w:rsid w:val="00A45850"/>
    <w:rsid w:val="00A50385"/>
    <w:rsid w:val="00A507E2"/>
    <w:rsid w:val="00A50F50"/>
    <w:rsid w:val="00A51460"/>
    <w:rsid w:val="00A514F3"/>
    <w:rsid w:val="00A52C31"/>
    <w:rsid w:val="00A56521"/>
    <w:rsid w:val="00A60407"/>
    <w:rsid w:val="00A605CF"/>
    <w:rsid w:val="00A60711"/>
    <w:rsid w:val="00A62007"/>
    <w:rsid w:val="00A62F0E"/>
    <w:rsid w:val="00A63741"/>
    <w:rsid w:val="00A63E03"/>
    <w:rsid w:val="00A642B8"/>
    <w:rsid w:val="00A70047"/>
    <w:rsid w:val="00A70246"/>
    <w:rsid w:val="00A70BE2"/>
    <w:rsid w:val="00A71703"/>
    <w:rsid w:val="00A7404B"/>
    <w:rsid w:val="00A74CFF"/>
    <w:rsid w:val="00A75D64"/>
    <w:rsid w:val="00A75E42"/>
    <w:rsid w:val="00A76BBF"/>
    <w:rsid w:val="00A80A9B"/>
    <w:rsid w:val="00A83CD5"/>
    <w:rsid w:val="00A83FDB"/>
    <w:rsid w:val="00A84F06"/>
    <w:rsid w:val="00A85F31"/>
    <w:rsid w:val="00A878E8"/>
    <w:rsid w:val="00A9026B"/>
    <w:rsid w:val="00A90A4F"/>
    <w:rsid w:val="00A91BE1"/>
    <w:rsid w:val="00A921E1"/>
    <w:rsid w:val="00A93821"/>
    <w:rsid w:val="00A9420C"/>
    <w:rsid w:val="00A9500A"/>
    <w:rsid w:val="00A956FD"/>
    <w:rsid w:val="00AA050B"/>
    <w:rsid w:val="00AA0656"/>
    <w:rsid w:val="00AA1F1C"/>
    <w:rsid w:val="00AA20C1"/>
    <w:rsid w:val="00AA347E"/>
    <w:rsid w:val="00AA3A72"/>
    <w:rsid w:val="00AA40C6"/>
    <w:rsid w:val="00AA4E9F"/>
    <w:rsid w:val="00AA5221"/>
    <w:rsid w:val="00AA6BC7"/>
    <w:rsid w:val="00AA7000"/>
    <w:rsid w:val="00AB235A"/>
    <w:rsid w:val="00AB2C05"/>
    <w:rsid w:val="00AB33F4"/>
    <w:rsid w:val="00AB40FF"/>
    <w:rsid w:val="00AB4C43"/>
    <w:rsid w:val="00AB4F47"/>
    <w:rsid w:val="00AC0A4E"/>
    <w:rsid w:val="00AC37A9"/>
    <w:rsid w:val="00AC4B9B"/>
    <w:rsid w:val="00AC5380"/>
    <w:rsid w:val="00AC608F"/>
    <w:rsid w:val="00AC65B5"/>
    <w:rsid w:val="00AC7070"/>
    <w:rsid w:val="00AC72E2"/>
    <w:rsid w:val="00AD237D"/>
    <w:rsid w:val="00AD23E0"/>
    <w:rsid w:val="00AD67C4"/>
    <w:rsid w:val="00AD7104"/>
    <w:rsid w:val="00AD7B44"/>
    <w:rsid w:val="00AD7E36"/>
    <w:rsid w:val="00AE0831"/>
    <w:rsid w:val="00AE098B"/>
    <w:rsid w:val="00AE14A9"/>
    <w:rsid w:val="00AE2644"/>
    <w:rsid w:val="00AE2BDC"/>
    <w:rsid w:val="00AE318E"/>
    <w:rsid w:val="00AE38FB"/>
    <w:rsid w:val="00AE42BC"/>
    <w:rsid w:val="00AE483E"/>
    <w:rsid w:val="00AE52D5"/>
    <w:rsid w:val="00AE564D"/>
    <w:rsid w:val="00AE5742"/>
    <w:rsid w:val="00AE5C2B"/>
    <w:rsid w:val="00AE78BC"/>
    <w:rsid w:val="00AF04E4"/>
    <w:rsid w:val="00AF082D"/>
    <w:rsid w:val="00AF0D78"/>
    <w:rsid w:val="00AF16ED"/>
    <w:rsid w:val="00AF2F83"/>
    <w:rsid w:val="00AF31BB"/>
    <w:rsid w:val="00AF421B"/>
    <w:rsid w:val="00AF6631"/>
    <w:rsid w:val="00AF67DA"/>
    <w:rsid w:val="00AF69E4"/>
    <w:rsid w:val="00AF73B7"/>
    <w:rsid w:val="00AF763F"/>
    <w:rsid w:val="00B01B41"/>
    <w:rsid w:val="00B0269B"/>
    <w:rsid w:val="00B031A3"/>
    <w:rsid w:val="00B04864"/>
    <w:rsid w:val="00B04ACB"/>
    <w:rsid w:val="00B06F48"/>
    <w:rsid w:val="00B07355"/>
    <w:rsid w:val="00B077A0"/>
    <w:rsid w:val="00B0790F"/>
    <w:rsid w:val="00B1026F"/>
    <w:rsid w:val="00B10F6D"/>
    <w:rsid w:val="00B12D6A"/>
    <w:rsid w:val="00B16985"/>
    <w:rsid w:val="00B16F1A"/>
    <w:rsid w:val="00B177AF"/>
    <w:rsid w:val="00B17EE5"/>
    <w:rsid w:val="00B20719"/>
    <w:rsid w:val="00B2111A"/>
    <w:rsid w:val="00B22C64"/>
    <w:rsid w:val="00B2315A"/>
    <w:rsid w:val="00B231FB"/>
    <w:rsid w:val="00B2386D"/>
    <w:rsid w:val="00B2469A"/>
    <w:rsid w:val="00B2491B"/>
    <w:rsid w:val="00B24CC9"/>
    <w:rsid w:val="00B26E11"/>
    <w:rsid w:val="00B27D2F"/>
    <w:rsid w:val="00B27E1B"/>
    <w:rsid w:val="00B304B2"/>
    <w:rsid w:val="00B30A57"/>
    <w:rsid w:val="00B3110A"/>
    <w:rsid w:val="00B31AAE"/>
    <w:rsid w:val="00B333F4"/>
    <w:rsid w:val="00B35C6B"/>
    <w:rsid w:val="00B424C3"/>
    <w:rsid w:val="00B43B6B"/>
    <w:rsid w:val="00B44697"/>
    <w:rsid w:val="00B449F0"/>
    <w:rsid w:val="00B45BC5"/>
    <w:rsid w:val="00B46243"/>
    <w:rsid w:val="00B46E6A"/>
    <w:rsid w:val="00B47CE8"/>
    <w:rsid w:val="00B50380"/>
    <w:rsid w:val="00B51104"/>
    <w:rsid w:val="00B514F2"/>
    <w:rsid w:val="00B51A23"/>
    <w:rsid w:val="00B51A4D"/>
    <w:rsid w:val="00B524BE"/>
    <w:rsid w:val="00B57F5C"/>
    <w:rsid w:val="00B62A55"/>
    <w:rsid w:val="00B62F49"/>
    <w:rsid w:val="00B636DC"/>
    <w:rsid w:val="00B647AD"/>
    <w:rsid w:val="00B67A5C"/>
    <w:rsid w:val="00B70D9D"/>
    <w:rsid w:val="00B7469F"/>
    <w:rsid w:val="00B75405"/>
    <w:rsid w:val="00B75D44"/>
    <w:rsid w:val="00B763A1"/>
    <w:rsid w:val="00B763DE"/>
    <w:rsid w:val="00B77BB1"/>
    <w:rsid w:val="00B77C0C"/>
    <w:rsid w:val="00B80B5B"/>
    <w:rsid w:val="00B80D5D"/>
    <w:rsid w:val="00B81228"/>
    <w:rsid w:val="00B81795"/>
    <w:rsid w:val="00B82F92"/>
    <w:rsid w:val="00B83150"/>
    <w:rsid w:val="00B83836"/>
    <w:rsid w:val="00B83947"/>
    <w:rsid w:val="00B84288"/>
    <w:rsid w:val="00B84C69"/>
    <w:rsid w:val="00B85350"/>
    <w:rsid w:val="00B86EC4"/>
    <w:rsid w:val="00B9353A"/>
    <w:rsid w:val="00B94BFA"/>
    <w:rsid w:val="00B972F5"/>
    <w:rsid w:val="00B97F5B"/>
    <w:rsid w:val="00BA001E"/>
    <w:rsid w:val="00BA0353"/>
    <w:rsid w:val="00BA16AF"/>
    <w:rsid w:val="00BA170B"/>
    <w:rsid w:val="00BA287D"/>
    <w:rsid w:val="00BA3440"/>
    <w:rsid w:val="00BA42D2"/>
    <w:rsid w:val="00BA4AFD"/>
    <w:rsid w:val="00BA6AF3"/>
    <w:rsid w:val="00BA6CF9"/>
    <w:rsid w:val="00BB0FA5"/>
    <w:rsid w:val="00BB17EA"/>
    <w:rsid w:val="00BB18D8"/>
    <w:rsid w:val="00BB4193"/>
    <w:rsid w:val="00BB495C"/>
    <w:rsid w:val="00BB518D"/>
    <w:rsid w:val="00BB6D35"/>
    <w:rsid w:val="00BC08F3"/>
    <w:rsid w:val="00BC272F"/>
    <w:rsid w:val="00BC2905"/>
    <w:rsid w:val="00BC33E8"/>
    <w:rsid w:val="00BC37EB"/>
    <w:rsid w:val="00BC3921"/>
    <w:rsid w:val="00BC42AF"/>
    <w:rsid w:val="00BC4354"/>
    <w:rsid w:val="00BC4741"/>
    <w:rsid w:val="00BC4CD2"/>
    <w:rsid w:val="00BC4DC9"/>
    <w:rsid w:val="00BC57C0"/>
    <w:rsid w:val="00BC5A4F"/>
    <w:rsid w:val="00BC5C06"/>
    <w:rsid w:val="00BC6FD7"/>
    <w:rsid w:val="00BC7087"/>
    <w:rsid w:val="00BC7408"/>
    <w:rsid w:val="00BC7B28"/>
    <w:rsid w:val="00BD0E13"/>
    <w:rsid w:val="00BD148C"/>
    <w:rsid w:val="00BD436A"/>
    <w:rsid w:val="00BD436C"/>
    <w:rsid w:val="00BD4929"/>
    <w:rsid w:val="00BD5432"/>
    <w:rsid w:val="00BD5E44"/>
    <w:rsid w:val="00BD7F39"/>
    <w:rsid w:val="00BE258B"/>
    <w:rsid w:val="00BE3231"/>
    <w:rsid w:val="00BE63B7"/>
    <w:rsid w:val="00BE6928"/>
    <w:rsid w:val="00BF191B"/>
    <w:rsid w:val="00BF20C9"/>
    <w:rsid w:val="00BF25FD"/>
    <w:rsid w:val="00BF2D67"/>
    <w:rsid w:val="00BF2F5E"/>
    <w:rsid w:val="00BF3301"/>
    <w:rsid w:val="00BF3F28"/>
    <w:rsid w:val="00BF402E"/>
    <w:rsid w:val="00BF4492"/>
    <w:rsid w:val="00BF4E40"/>
    <w:rsid w:val="00BF5B60"/>
    <w:rsid w:val="00BF6294"/>
    <w:rsid w:val="00BF7533"/>
    <w:rsid w:val="00BF78D2"/>
    <w:rsid w:val="00C00F73"/>
    <w:rsid w:val="00C01618"/>
    <w:rsid w:val="00C01AB9"/>
    <w:rsid w:val="00C02E39"/>
    <w:rsid w:val="00C02F1E"/>
    <w:rsid w:val="00C031B7"/>
    <w:rsid w:val="00C037D5"/>
    <w:rsid w:val="00C06847"/>
    <w:rsid w:val="00C06AFA"/>
    <w:rsid w:val="00C10297"/>
    <w:rsid w:val="00C1094E"/>
    <w:rsid w:val="00C10F96"/>
    <w:rsid w:val="00C111F8"/>
    <w:rsid w:val="00C13129"/>
    <w:rsid w:val="00C144A7"/>
    <w:rsid w:val="00C14BB0"/>
    <w:rsid w:val="00C1542F"/>
    <w:rsid w:val="00C168FB"/>
    <w:rsid w:val="00C21B5C"/>
    <w:rsid w:val="00C21FBE"/>
    <w:rsid w:val="00C220EE"/>
    <w:rsid w:val="00C25323"/>
    <w:rsid w:val="00C25604"/>
    <w:rsid w:val="00C26CD6"/>
    <w:rsid w:val="00C2758D"/>
    <w:rsid w:val="00C31CC3"/>
    <w:rsid w:val="00C31E71"/>
    <w:rsid w:val="00C34B71"/>
    <w:rsid w:val="00C34BD1"/>
    <w:rsid w:val="00C3693E"/>
    <w:rsid w:val="00C37136"/>
    <w:rsid w:val="00C374EB"/>
    <w:rsid w:val="00C40ADC"/>
    <w:rsid w:val="00C40C3E"/>
    <w:rsid w:val="00C41766"/>
    <w:rsid w:val="00C417BA"/>
    <w:rsid w:val="00C4337C"/>
    <w:rsid w:val="00C43644"/>
    <w:rsid w:val="00C44AEF"/>
    <w:rsid w:val="00C4509D"/>
    <w:rsid w:val="00C45481"/>
    <w:rsid w:val="00C47C9B"/>
    <w:rsid w:val="00C51319"/>
    <w:rsid w:val="00C513D4"/>
    <w:rsid w:val="00C5306A"/>
    <w:rsid w:val="00C54742"/>
    <w:rsid w:val="00C55319"/>
    <w:rsid w:val="00C57685"/>
    <w:rsid w:val="00C61F99"/>
    <w:rsid w:val="00C625C5"/>
    <w:rsid w:val="00C63F24"/>
    <w:rsid w:val="00C66C39"/>
    <w:rsid w:val="00C676E4"/>
    <w:rsid w:val="00C70630"/>
    <w:rsid w:val="00C71326"/>
    <w:rsid w:val="00C716A1"/>
    <w:rsid w:val="00C77F65"/>
    <w:rsid w:val="00C77F92"/>
    <w:rsid w:val="00C8074E"/>
    <w:rsid w:val="00C81803"/>
    <w:rsid w:val="00C828FB"/>
    <w:rsid w:val="00C8542B"/>
    <w:rsid w:val="00C8568C"/>
    <w:rsid w:val="00C90BAB"/>
    <w:rsid w:val="00C918F8"/>
    <w:rsid w:val="00C934E6"/>
    <w:rsid w:val="00C93776"/>
    <w:rsid w:val="00C93E69"/>
    <w:rsid w:val="00C95672"/>
    <w:rsid w:val="00C95FAC"/>
    <w:rsid w:val="00CA0440"/>
    <w:rsid w:val="00CA2676"/>
    <w:rsid w:val="00CA3119"/>
    <w:rsid w:val="00CA3477"/>
    <w:rsid w:val="00CA395C"/>
    <w:rsid w:val="00CA4070"/>
    <w:rsid w:val="00CB04DC"/>
    <w:rsid w:val="00CB4BA6"/>
    <w:rsid w:val="00CB57F3"/>
    <w:rsid w:val="00CB5F74"/>
    <w:rsid w:val="00CB76CC"/>
    <w:rsid w:val="00CC0309"/>
    <w:rsid w:val="00CC1FF0"/>
    <w:rsid w:val="00CC6018"/>
    <w:rsid w:val="00CC6BEF"/>
    <w:rsid w:val="00CC7B3E"/>
    <w:rsid w:val="00CD1A47"/>
    <w:rsid w:val="00CD1D92"/>
    <w:rsid w:val="00CD30E6"/>
    <w:rsid w:val="00CD4F1F"/>
    <w:rsid w:val="00CD6549"/>
    <w:rsid w:val="00CD78D9"/>
    <w:rsid w:val="00CE1BDE"/>
    <w:rsid w:val="00CE2742"/>
    <w:rsid w:val="00CE2F6C"/>
    <w:rsid w:val="00CE2F8D"/>
    <w:rsid w:val="00CE338F"/>
    <w:rsid w:val="00CE595B"/>
    <w:rsid w:val="00CE6144"/>
    <w:rsid w:val="00CE62EF"/>
    <w:rsid w:val="00CE6879"/>
    <w:rsid w:val="00CE690F"/>
    <w:rsid w:val="00CE691C"/>
    <w:rsid w:val="00CF2BAE"/>
    <w:rsid w:val="00CF3DE1"/>
    <w:rsid w:val="00CF488C"/>
    <w:rsid w:val="00CF5A8F"/>
    <w:rsid w:val="00CF6315"/>
    <w:rsid w:val="00CF714F"/>
    <w:rsid w:val="00CF7247"/>
    <w:rsid w:val="00CF7A2A"/>
    <w:rsid w:val="00D00345"/>
    <w:rsid w:val="00D006F5"/>
    <w:rsid w:val="00D00D40"/>
    <w:rsid w:val="00D035AA"/>
    <w:rsid w:val="00D111D0"/>
    <w:rsid w:val="00D11331"/>
    <w:rsid w:val="00D132D9"/>
    <w:rsid w:val="00D135D2"/>
    <w:rsid w:val="00D1405B"/>
    <w:rsid w:val="00D147B6"/>
    <w:rsid w:val="00D14A73"/>
    <w:rsid w:val="00D14B8B"/>
    <w:rsid w:val="00D1592C"/>
    <w:rsid w:val="00D15E83"/>
    <w:rsid w:val="00D167A4"/>
    <w:rsid w:val="00D21EB4"/>
    <w:rsid w:val="00D21F33"/>
    <w:rsid w:val="00D21FA5"/>
    <w:rsid w:val="00D232C2"/>
    <w:rsid w:val="00D24DAC"/>
    <w:rsid w:val="00D24DB3"/>
    <w:rsid w:val="00D25362"/>
    <w:rsid w:val="00D25521"/>
    <w:rsid w:val="00D268D7"/>
    <w:rsid w:val="00D271D5"/>
    <w:rsid w:val="00D3050B"/>
    <w:rsid w:val="00D30CA5"/>
    <w:rsid w:val="00D31432"/>
    <w:rsid w:val="00D31EC8"/>
    <w:rsid w:val="00D33159"/>
    <w:rsid w:val="00D33613"/>
    <w:rsid w:val="00D36BE3"/>
    <w:rsid w:val="00D37BC2"/>
    <w:rsid w:val="00D41A27"/>
    <w:rsid w:val="00D43394"/>
    <w:rsid w:val="00D4691A"/>
    <w:rsid w:val="00D51F09"/>
    <w:rsid w:val="00D520F2"/>
    <w:rsid w:val="00D5338B"/>
    <w:rsid w:val="00D53B47"/>
    <w:rsid w:val="00D53D51"/>
    <w:rsid w:val="00D53E44"/>
    <w:rsid w:val="00D544BD"/>
    <w:rsid w:val="00D55008"/>
    <w:rsid w:val="00D56CC2"/>
    <w:rsid w:val="00D601DE"/>
    <w:rsid w:val="00D60DEF"/>
    <w:rsid w:val="00D61E1C"/>
    <w:rsid w:val="00D62129"/>
    <w:rsid w:val="00D62602"/>
    <w:rsid w:val="00D62818"/>
    <w:rsid w:val="00D62BBE"/>
    <w:rsid w:val="00D63B5A"/>
    <w:rsid w:val="00D640B5"/>
    <w:rsid w:val="00D64966"/>
    <w:rsid w:val="00D64D8E"/>
    <w:rsid w:val="00D66670"/>
    <w:rsid w:val="00D67DC6"/>
    <w:rsid w:val="00D7026E"/>
    <w:rsid w:val="00D70D41"/>
    <w:rsid w:val="00D71650"/>
    <w:rsid w:val="00D71B94"/>
    <w:rsid w:val="00D71F71"/>
    <w:rsid w:val="00D776C8"/>
    <w:rsid w:val="00D800B1"/>
    <w:rsid w:val="00D83797"/>
    <w:rsid w:val="00D83DA6"/>
    <w:rsid w:val="00D84126"/>
    <w:rsid w:val="00D8418A"/>
    <w:rsid w:val="00D85470"/>
    <w:rsid w:val="00D856D1"/>
    <w:rsid w:val="00D85E82"/>
    <w:rsid w:val="00D86377"/>
    <w:rsid w:val="00D86E44"/>
    <w:rsid w:val="00D87110"/>
    <w:rsid w:val="00D87EC3"/>
    <w:rsid w:val="00D904AD"/>
    <w:rsid w:val="00D91B15"/>
    <w:rsid w:val="00D92534"/>
    <w:rsid w:val="00D92987"/>
    <w:rsid w:val="00D95BDD"/>
    <w:rsid w:val="00D973A9"/>
    <w:rsid w:val="00D9771F"/>
    <w:rsid w:val="00DA007B"/>
    <w:rsid w:val="00DA0260"/>
    <w:rsid w:val="00DA26DD"/>
    <w:rsid w:val="00DA30E2"/>
    <w:rsid w:val="00DA3308"/>
    <w:rsid w:val="00DA38AD"/>
    <w:rsid w:val="00DA4DE2"/>
    <w:rsid w:val="00DA658A"/>
    <w:rsid w:val="00DB0C45"/>
    <w:rsid w:val="00DB12AE"/>
    <w:rsid w:val="00DB267D"/>
    <w:rsid w:val="00DB293C"/>
    <w:rsid w:val="00DB2C52"/>
    <w:rsid w:val="00DB4070"/>
    <w:rsid w:val="00DB43BB"/>
    <w:rsid w:val="00DB5D01"/>
    <w:rsid w:val="00DB6C62"/>
    <w:rsid w:val="00DB71A0"/>
    <w:rsid w:val="00DC0E5C"/>
    <w:rsid w:val="00DC3650"/>
    <w:rsid w:val="00DC381F"/>
    <w:rsid w:val="00DC38DB"/>
    <w:rsid w:val="00DC4092"/>
    <w:rsid w:val="00DC4255"/>
    <w:rsid w:val="00DC4A49"/>
    <w:rsid w:val="00DC6BD3"/>
    <w:rsid w:val="00DC744E"/>
    <w:rsid w:val="00DC75E6"/>
    <w:rsid w:val="00DC7F2A"/>
    <w:rsid w:val="00DD04EB"/>
    <w:rsid w:val="00DD073A"/>
    <w:rsid w:val="00DD12BE"/>
    <w:rsid w:val="00DD1941"/>
    <w:rsid w:val="00DD1B29"/>
    <w:rsid w:val="00DD2457"/>
    <w:rsid w:val="00DD38A5"/>
    <w:rsid w:val="00DD622B"/>
    <w:rsid w:val="00DD6722"/>
    <w:rsid w:val="00DD7460"/>
    <w:rsid w:val="00DD79CA"/>
    <w:rsid w:val="00DE04C0"/>
    <w:rsid w:val="00DE228E"/>
    <w:rsid w:val="00DE376F"/>
    <w:rsid w:val="00DE3D74"/>
    <w:rsid w:val="00DE4D04"/>
    <w:rsid w:val="00DE513E"/>
    <w:rsid w:val="00DF0C01"/>
    <w:rsid w:val="00DF0ED2"/>
    <w:rsid w:val="00DF234A"/>
    <w:rsid w:val="00DF29E5"/>
    <w:rsid w:val="00DF3060"/>
    <w:rsid w:val="00DF449C"/>
    <w:rsid w:val="00DF5221"/>
    <w:rsid w:val="00DF711A"/>
    <w:rsid w:val="00DF73A8"/>
    <w:rsid w:val="00DF7590"/>
    <w:rsid w:val="00E01D08"/>
    <w:rsid w:val="00E0444F"/>
    <w:rsid w:val="00E0520A"/>
    <w:rsid w:val="00E05F0C"/>
    <w:rsid w:val="00E071AA"/>
    <w:rsid w:val="00E12283"/>
    <w:rsid w:val="00E1256C"/>
    <w:rsid w:val="00E12B1B"/>
    <w:rsid w:val="00E15F95"/>
    <w:rsid w:val="00E16D7B"/>
    <w:rsid w:val="00E2026C"/>
    <w:rsid w:val="00E21120"/>
    <w:rsid w:val="00E21C60"/>
    <w:rsid w:val="00E22119"/>
    <w:rsid w:val="00E226BB"/>
    <w:rsid w:val="00E22DF5"/>
    <w:rsid w:val="00E2413C"/>
    <w:rsid w:val="00E26D42"/>
    <w:rsid w:val="00E27E3C"/>
    <w:rsid w:val="00E301E6"/>
    <w:rsid w:val="00E32112"/>
    <w:rsid w:val="00E35467"/>
    <w:rsid w:val="00E3749E"/>
    <w:rsid w:val="00E40135"/>
    <w:rsid w:val="00E43994"/>
    <w:rsid w:val="00E4682A"/>
    <w:rsid w:val="00E477C0"/>
    <w:rsid w:val="00E50AE5"/>
    <w:rsid w:val="00E519FF"/>
    <w:rsid w:val="00E51C11"/>
    <w:rsid w:val="00E52E01"/>
    <w:rsid w:val="00E54969"/>
    <w:rsid w:val="00E55501"/>
    <w:rsid w:val="00E55DED"/>
    <w:rsid w:val="00E56192"/>
    <w:rsid w:val="00E564A2"/>
    <w:rsid w:val="00E57168"/>
    <w:rsid w:val="00E5759C"/>
    <w:rsid w:val="00E621C7"/>
    <w:rsid w:val="00E6303F"/>
    <w:rsid w:val="00E631F6"/>
    <w:rsid w:val="00E66325"/>
    <w:rsid w:val="00E66DCF"/>
    <w:rsid w:val="00E71BEE"/>
    <w:rsid w:val="00E71F4B"/>
    <w:rsid w:val="00E72B3D"/>
    <w:rsid w:val="00E76DAA"/>
    <w:rsid w:val="00E80E77"/>
    <w:rsid w:val="00E816BB"/>
    <w:rsid w:val="00E8183E"/>
    <w:rsid w:val="00E819A7"/>
    <w:rsid w:val="00E81B04"/>
    <w:rsid w:val="00E81EA0"/>
    <w:rsid w:val="00E81ED0"/>
    <w:rsid w:val="00E85204"/>
    <w:rsid w:val="00E87200"/>
    <w:rsid w:val="00E873C8"/>
    <w:rsid w:val="00E90F5B"/>
    <w:rsid w:val="00E913AE"/>
    <w:rsid w:val="00E9146E"/>
    <w:rsid w:val="00E9156C"/>
    <w:rsid w:val="00E92994"/>
    <w:rsid w:val="00E938E6"/>
    <w:rsid w:val="00E94353"/>
    <w:rsid w:val="00E9454E"/>
    <w:rsid w:val="00E94B66"/>
    <w:rsid w:val="00E95C52"/>
    <w:rsid w:val="00E96B09"/>
    <w:rsid w:val="00E96EEA"/>
    <w:rsid w:val="00E975F9"/>
    <w:rsid w:val="00EA0BEE"/>
    <w:rsid w:val="00EA3190"/>
    <w:rsid w:val="00EA32FD"/>
    <w:rsid w:val="00EA3671"/>
    <w:rsid w:val="00EA36AC"/>
    <w:rsid w:val="00EA5ABC"/>
    <w:rsid w:val="00EA6A81"/>
    <w:rsid w:val="00EA748B"/>
    <w:rsid w:val="00EA7DED"/>
    <w:rsid w:val="00EB2F96"/>
    <w:rsid w:val="00EB3BCC"/>
    <w:rsid w:val="00EB3C19"/>
    <w:rsid w:val="00EB3C4D"/>
    <w:rsid w:val="00EB718A"/>
    <w:rsid w:val="00EB7608"/>
    <w:rsid w:val="00EB79A6"/>
    <w:rsid w:val="00EC021F"/>
    <w:rsid w:val="00EC0E59"/>
    <w:rsid w:val="00EC1BE9"/>
    <w:rsid w:val="00EC2EA1"/>
    <w:rsid w:val="00EC5786"/>
    <w:rsid w:val="00EC5827"/>
    <w:rsid w:val="00ED18F3"/>
    <w:rsid w:val="00ED1B8F"/>
    <w:rsid w:val="00ED1E12"/>
    <w:rsid w:val="00ED26AE"/>
    <w:rsid w:val="00ED62C9"/>
    <w:rsid w:val="00ED6302"/>
    <w:rsid w:val="00ED68DF"/>
    <w:rsid w:val="00ED797B"/>
    <w:rsid w:val="00EE4103"/>
    <w:rsid w:val="00EE4E0C"/>
    <w:rsid w:val="00EE5A90"/>
    <w:rsid w:val="00EE7868"/>
    <w:rsid w:val="00EE7A46"/>
    <w:rsid w:val="00EE7C83"/>
    <w:rsid w:val="00EE7CA3"/>
    <w:rsid w:val="00EF0034"/>
    <w:rsid w:val="00EF2FA4"/>
    <w:rsid w:val="00EF678A"/>
    <w:rsid w:val="00EF68B3"/>
    <w:rsid w:val="00F0193D"/>
    <w:rsid w:val="00F02C01"/>
    <w:rsid w:val="00F0344F"/>
    <w:rsid w:val="00F03911"/>
    <w:rsid w:val="00F03E41"/>
    <w:rsid w:val="00F06C1F"/>
    <w:rsid w:val="00F109F4"/>
    <w:rsid w:val="00F12832"/>
    <w:rsid w:val="00F13362"/>
    <w:rsid w:val="00F1338A"/>
    <w:rsid w:val="00F133EF"/>
    <w:rsid w:val="00F15C05"/>
    <w:rsid w:val="00F16402"/>
    <w:rsid w:val="00F169E5"/>
    <w:rsid w:val="00F1741F"/>
    <w:rsid w:val="00F1742C"/>
    <w:rsid w:val="00F17FDC"/>
    <w:rsid w:val="00F210D1"/>
    <w:rsid w:val="00F21E11"/>
    <w:rsid w:val="00F22209"/>
    <w:rsid w:val="00F23FB8"/>
    <w:rsid w:val="00F246E4"/>
    <w:rsid w:val="00F2532B"/>
    <w:rsid w:val="00F2771D"/>
    <w:rsid w:val="00F277E9"/>
    <w:rsid w:val="00F30A1F"/>
    <w:rsid w:val="00F32C38"/>
    <w:rsid w:val="00F32DAC"/>
    <w:rsid w:val="00F346EE"/>
    <w:rsid w:val="00F3641B"/>
    <w:rsid w:val="00F3714D"/>
    <w:rsid w:val="00F40431"/>
    <w:rsid w:val="00F42762"/>
    <w:rsid w:val="00F437AA"/>
    <w:rsid w:val="00F470FA"/>
    <w:rsid w:val="00F47EB2"/>
    <w:rsid w:val="00F50FAB"/>
    <w:rsid w:val="00F51287"/>
    <w:rsid w:val="00F51E07"/>
    <w:rsid w:val="00F534CA"/>
    <w:rsid w:val="00F55CAF"/>
    <w:rsid w:val="00F55DAB"/>
    <w:rsid w:val="00F56074"/>
    <w:rsid w:val="00F5639E"/>
    <w:rsid w:val="00F57E65"/>
    <w:rsid w:val="00F612BC"/>
    <w:rsid w:val="00F61526"/>
    <w:rsid w:val="00F6422F"/>
    <w:rsid w:val="00F65E60"/>
    <w:rsid w:val="00F67FD9"/>
    <w:rsid w:val="00F72525"/>
    <w:rsid w:val="00F7344D"/>
    <w:rsid w:val="00F74651"/>
    <w:rsid w:val="00F7758F"/>
    <w:rsid w:val="00F82A15"/>
    <w:rsid w:val="00F82CBE"/>
    <w:rsid w:val="00F83FD0"/>
    <w:rsid w:val="00F84D53"/>
    <w:rsid w:val="00F87E3D"/>
    <w:rsid w:val="00F909BA"/>
    <w:rsid w:val="00F93AD2"/>
    <w:rsid w:val="00F93DE3"/>
    <w:rsid w:val="00F941F1"/>
    <w:rsid w:val="00F94983"/>
    <w:rsid w:val="00F94B53"/>
    <w:rsid w:val="00F971B6"/>
    <w:rsid w:val="00F9747F"/>
    <w:rsid w:val="00FA00DD"/>
    <w:rsid w:val="00FA01F7"/>
    <w:rsid w:val="00FA18CB"/>
    <w:rsid w:val="00FA35B5"/>
    <w:rsid w:val="00FA3B56"/>
    <w:rsid w:val="00FA4166"/>
    <w:rsid w:val="00FA4D1A"/>
    <w:rsid w:val="00FA4E7A"/>
    <w:rsid w:val="00FA68AD"/>
    <w:rsid w:val="00FA7300"/>
    <w:rsid w:val="00FA7AFE"/>
    <w:rsid w:val="00FB1162"/>
    <w:rsid w:val="00FB332C"/>
    <w:rsid w:val="00FB38E2"/>
    <w:rsid w:val="00FB3F8E"/>
    <w:rsid w:val="00FB4479"/>
    <w:rsid w:val="00FB4716"/>
    <w:rsid w:val="00FB48D2"/>
    <w:rsid w:val="00FB71A5"/>
    <w:rsid w:val="00FB7EF6"/>
    <w:rsid w:val="00FC0104"/>
    <w:rsid w:val="00FC0CA8"/>
    <w:rsid w:val="00FC0F2B"/>
    <w:rsid w:val="00FC237B"/>
    <w:rsid w:val="00FC268C"/>
    <w:rsid w:val="00FC2B0B"/>
    <w:rsid w:val="00FC362F"/>
    <w:rsid w:val="00FC4575"/>
    <w:rsid w:val="00FC5969"/>
    <w:rsid w:val="00FC6932"/>
    <w:rsid w:val="00FD0520"/>
    <w:rsid w:val="00FD1212"/>
    <w:rsid w:val="00FD385A"/>
    <w:rsid w:val="00FD4D05"/>
    <w:rsid w:val="00FD543E"/>
    <w:rsid w:val="00FD5B48"/>
    <w:rsid w:val="00FD6D0D"/>
    <w:rsid w:val="00FD7293"/>
    <w:rsid w:val="00FE11A2"/>
    <w:rsid w:val="00FE37C2"/>
    <w:rsid w:val="00FE3A62"/>
    <w:rsid w:val="00FE46A0"/>
    <w:rsid w:val="00FE7949"/>
    <w:rsid w:val="00FE7B6F"/>
    <w:rsid w:val="00FF0E4B"/>
    <w:rsid w:val="00FF136F"/>
    <w:rsid w:val="00FF1796"/>
    <w:rsid w:val="00FF33BA"/>
    <w:rsid w:val="00FF33BE"/>
    <w:rsid w:val="00FF35BD"/>
    <w:rsid w:val="00FF361C"/>
    <w:rsid w:val="00FF4A92"/>
    <w:rsid w:val="00FF4CF4"/>
    <w:rsid w:val="00FF5CB7"/>
    <w:rsid w:val="00FF5CFC"/>
    <w:rsid w:val="00FF754E"/>
    <w:rsid w:val="2C300046"/>
    <w:rsid w:val="507E33CC"/>
    <w:rsid w:val="5D98F005"/>
    <w:rsid w:val="761CACA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C6D89D9"/>
  <w15:docId w15:val="{8A055FF0-8CCC-4914-99FD-33EF0A78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Heading2"/>
    <w:uiPriority w:val="1"/>
    <w:qFormat/>
    <w:rsid w:val="00C06847"/>
    <w:pPr>
      <w:numPr>
        <w:numId w:val="27"/>
      </w:numPr>
      <w:outlineLvl w:val="0"/>
    </w:pPr>
    <w:rPr>
      <w:i/>
      <w:iCs/>
      <w:sz w:val="28"/>
      <w:szCs w:val="28"/>
    </w:rPr>
  </w:style>
  <w:style w:type="paragraph" w:styleId="Heading2">
    <w:name w:val="heading 2"/>
    <w:basedOn w:val="ListParagraph"/>
    <w:next w:val="Normal"/>
    <w:link w:val="Heading2Char"/>
    <w:uiPriority w:val="9"/>
    <w:unhideWhenUsed/>
    <w:qFormat/>
    <w:rsid w:val="00643724"/>
    <w:pPr>
      <w:numPr>
        <w:numId w:val="26"/>
      </w:numPr>
      <w:tabs>
        <w:tab w:val="left" w:pos="481"/>
      </w:tabs>
      <w:spacing w:after="240"/>
      <w:outlineLvl w:val="1"/>
    </w:pPr>
    <w:rPr>
      <w:b/>
      <w:sz w:val="24"/>
      <w:szCs w:val="24"/>
    </w:rPr>
  </w:style>
  <w:style w:type="paragraph" w:styleId="Heading3">
    <w:name w:val="heading 3"/>
    <w:basedOn w:val="BodyText"/>
    <w:next w:val="Normal"/>
    <w:link w:val="Heading3Char"/>
    <w:uiPriority w:val="9"/>
    <w:unhideWhenUsed/>
    <w:qFormat/>
    <w:rsid w:val="001A3D43"/>
    <w:pPr>
      <w:numPr>
        <w:numId w:val="32"/>
      </w:numPr>
      <w:ind w:right="190"/>
      <w:outlineLvl w:val="2"/>
    </w:pPr>
    <w:rPr>
      <w:i/>
    </w:rPr>
  </w:style>
  <w:style w:type="paragraph" w:styleId="Heading4">
    <w:name w:val="heading 4"/>
    <w:basedOn w:val="Normal"/>
    <w:next w:val="Normal"/>
    <w:link w:val="Heading4Char"/>
    <w:unhideWhenUsed/>
    <w:qFormat/>
    <w:rsid w:val="00CF7A2A"/>
    <w:pPr>
      <w:keepNext/>
      <w:keepLines/>
      <w:widowControl/>
      <w:numPr>
        <w:numId w:val="54"/>
      </w:numPr>
      <w:autoSpaceDE/>
      <w:autoSpaceDN/>
      <w:spacing w:before="40" w:line="259" w:lineRule="auto"/>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146E"/>
    <w:pPr>
      <w:spacing w:after="240"/>
      <w:ind w:left="115" w:right="461"/>
    </w:pPr>
    <w:rPr>
      <w:sz w:val="24"/>
      <w:szCs w:val="24"/>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aliases w:val="Times New Roman,t"/>
    <w:basedOn w:val="Normal"/>
    <w:link w:val="CommentTextChar"/>
    <w:uiPriority w:val="99"/>
    <w:unhideWhenUsed/>
    <w:qFormat/>
    <w:rsid w:val="001A3D43"/>
    <w:rPr>
      <w:rFonts w:eastAsia="Calibri"/>
      <w:b/>
      <w:bCs/>
      <w:sz w:val="20"/>
      <w:szCs w:val="20"/>
    </w:rPr>
  </w:style>
  <w:style w:type="character" w:customStyle="1" w:styleId="CommentTextChar">
    <w:name w:val="Comment Text Char"/>
    <w:aliases w:val="Times New Roman Char,t Char"/>
    <w:basedOn w:val="DefaultParagraphFont"/>
    <w:link w:val="CommentText"/>
    <w:uiPriority w:val="99"/>
    <w:rsid w:val="001A3D43"/>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85FCD"/>
    <w:rPr>
      <w:b w:val="0"/>
      <w:bCs w:val="0"/>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val="0"/>
      <w:bCs w:val="0"/>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aliases w:val="Acumen,Table Grid-A"/>
    <w:basedOn w:val="TableNormal"/>
    <w:uiPriority w:val="5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CF7A2A"/>
    <w:rPr>
      <w:rFonts w:ascii="Times New Roman" w:hAnsi="Times New Roman" w:eastAsiaTheme="majorEastAsia" w:cs="Times New Roman"/>
      <w:i/>
      <w:iCs/>
      <w:color w:val="365F91" w:themeColor="accent1" w:themeShade="BF"/>
    </w:rPr>
  </w:style>
  <w:style w:type="table" w:customStyle="1" w:styleId="TableGrid1">
    <w:name w:val="Table Grid1"/>
    <w:basedOn w:val="TableNormal"/>
    <w:next w:val="TableGrid"/>
    <w:uiPriority w:val="5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E914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87"/>
    <w:rPr>
      <w:color w:val="605E5C"/>
      <w:shd w:val="clear" w:color="auto" w:fill="E1DFDD"/>
    </w:rPr>
  </w:style>
  <w:style w:type="character" w:customStyle="1" w:styleId="Heading2Char">
    <w:name w:val="Heading 2 Char"/>
    <w:basedOn w:val="DefaultParagraphFont"/>
    <w:link w:val="Heading2"/>
    <w:uiPriority w:val="9"/>
    <w:rsid w:val="00643724"/>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E12283"/>
    <w:rPr>
      <w:rFonts w:ascii="Times New Roman" w:eastAsia="Times New Roman" w:hAnsi="Times New Roman" w:cs="Times New Roman"/>
      <w:i/>
      <w:sz w:val="24"/>
      <w:szCs w:val="24"/>
    </w:rPr>
  </w:style>
  <w:style w:type="paragraph" w:styleId="Caption">
    <w:name w:val="caption"/>
    <w:basedOn w:val="Normal"/>
    <w:next w:val="Normal"/>
    <w:uiPriority w:val="35"/>
    <w:unhideWhenUsed/>
    <w:qFormat/>
    <w:rsid w:val="00C513D4"/>
    <w:pPr>
      <w:keepNext/>
    </w:pPr>
    <w:rPr>
      <w:b/>
      <w:bCs/>
      <w:sz w:val="20"/>
      <w:szCs w:val="20"/>
    </w:rPr>
  </w:style>
  <w:style w:type="character" w:styleId="Emphasis">
    <w:name w:val="Emphasis"/>
    <w:basedOn w:val="DefaultParagraphFont"/>
    <w:uiPriority w:val="20"/>
    <w:qFormat/>
    <w:rsid w:val="00E9146E"/>
    <w:rPr>
      <w:i/>
      <w:iCs/>
    </w:rPr>
  </w:style>
  <w:style w:type="table" w:customStyle="1" w:styleId="TableGrid2">
    <w:name w:val="Table Grid2"/>
    <w:basedOn w:val="TableNormal"/>
    <w:next w:val="TableGrid"/>
    <w:uiPriority w:val="59"/>
    <w:rsid w:val="009449D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k">
    <w:name w:val="Link"/>
    <w:basedOn w:val="BodyText"/>
    <w:uiPriority w:val="1"/>
    <w:rsid w:val="00E5759C"/>
    <w:pPr>
      <w:numPr>
        <w:numId w:val="21"/>
      </w:numPr>
    </w:pPr>
    <w:rPr>
      <w:color w:val="0070C0"/>
      <w:u w:val="single"/>
    </w:rPr>
  </w:style>
  <w:style w:type="paragraph" w:customStyle="1" w:styleId="Default">
    <w:name w:val="Default"/>
    <w:rsid w:val="00D21F33"/>
    <w:pPr>
      <w:widowControl/>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data.cms.gov/provider-data/" TargetMode="External" /><Relationship Id="rId12" Type="http://schemas.openxmlformats.org/officeDocument/2006/relationships/hyperlink" Target="https://qualitynet.cms.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9A1C8480353042A2E61E9ECD0D985B" ma:contentTypeVersion="4" ma:contentTypeDescription="Create a new document." ma:contentTypeScope="" ma:versionID="4a958a834188a2bbb4b8f47fa8db72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8C9C5-FB0F-49A7-9F35-B61B223D1382}">
  <ds:schemaRefs>
    <ds:schemaRef ds:uri="http://schemas.microsoft.com/sharepoint/v3/contenttype/forms"/>
  </ds:schemaRefs>
</ds:datastoreItem>
</file>

<file path=customXml/itemProps2.xml><?xml version="1.0" encoding="utf-8"?>
<ds:datastoreItem xmlns:ds="http://schemas.openxmlformats.org/officeDocument/2006/customXml" ds:itemID="{669BDD91-92A5-4C32-84B9-72DA0DDDF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6A0B0B-8A0F-4AE8-A78E-8C31DC84B60F}">
  <ds:schemaRefs>
    <ds:schemaRef ds:uri="http://schemas.openxmlformats.org/officeDocument/2006/bibliography"/>
  </ds:schemaRefs>
</ds:datastoreItem>
</file>

<file path=customXml/itemProps4.xml><?xml version="1.0" encoding="utf-8"?>
<ds:datastoreItem xmlns:ds="http://schemas.openxmlformats.org/officeDocument/2006/customXml" ds:itemID="{379336D6-B8F7-43B8-91B8-DBAD71D51D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16</Pages>
  <Words>6176</Words>
  <Characters>35143</Characters>
  <Application>Microsoft Office Word</Application>
  <DocSecurity>0</DocSecurity>
  <Lines>798</Lines>
  <Paragraphs>188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McKenzie, Stephan (CMS/OSORA)</cp:lastModifiedBy>
  <cp:revision>50</cp:revision>
  <cp:lastPrinted>2019-01-17T18:36:00Z</cp:lastPrinted>
  <dcterms:created xsi:type="dcterms:W3CDTF">2025-04-08T20:24:00Z</dcterms:created>
  <dcterms:modified xsi:type="dcterms:W3CDTF">2025-05-21T15:18:00Z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0x010100309A1C8480353042A2E61E9ECD0D985B</vt:lpwstr>
  </property>
  <property fmtid="{D5CDD505-2E9C-101B-9397-08002B2CF9AE}" pid="3" name="Created">
    <vt:filetime>2018-08-09T00:00:00Z</vt:filetime>
  </property>
  <property fmtid="{D5CDD505-2E9C-101B-9397-08002B2CF9AE}" pid="4" name="Creator">
    <vt:lpwstr>Acrobat PDFMaker 15 for Word</vt:lpwstr>
  </property>
  <property fmtid="{D5CDD505-2E9C-101B-9397-08002B2CF9AE}" pid="5" name="LastSaved">
    <vt:filetime>2018-08-23T00:00:00Z</vt:filetime>
  </property>
  <property fmtid="{D5CDD505-2E9C-101B-9397-08002B2CF9AE}" pid="6" name="MediaServiceImageTags">
    <vt:lpwstr/>
  </property>
  <property fmtid="{D5CDD505-2E9C-101B-9397-08002B2CF9AE}" pid="7" name="_NewReviewCycle">
    <vt:lpwstr/>
  </property>
</Properties>
</file>