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210" w:rsidRPr="00FB7D99" w:rsidP="00FB7D99" w14:paraId="4DBF13E5" w14:textId="64E8EA2B">
      <w:pPr>
        <w:rPr>
          <w:b/>
          <w:bCs/>
        </w:rPr>
      </w:pPr>
      <w:r w:rsidRPr="00273548">
        <w:rPr>
          <w:b/>
          <w:bCs/>
        </w:rPr>
        <w:t>FY 202</w:t>
      </w:r>
      <w:r w:rsidR="00D40D85">
        <w:rPr>
          <w:b/>
          <w:bCs/>
        </w:rPr>
        <w:t>6</w:t>
      </w:r>
      <w:r w:rsidRPr="00273548">
        <w:rPr>
          <w:b/>
          <w:bCs/>
        </w:rPr>
        <w:t xml:space="preserve"> </w:t>
      </w:r>
      <w:r w:rsidR="005D455B">
        <w:rPr>
          <w:b/>
          <w:bCs/>
        </w:rPr>
        <w:t xml:space="preserve">Inpatient Psychiatric Facilities Prospective Payment System </w:t>
      </w:r>
      <w:r w:rsidR="00FB7D99">
        <w:rPr>
          <w:b/>
          <w:bCs/>
        </w:rPr>
        <w:t>P</w:t>
      </w:r>
      <w:r w:rsidR="005D455B">
        <w:rPr>
          <w:b/>
          <w:bCs/>
        </w:rPr>
        <w:t xml:space="preserve">roposed </w:t>
      </w:r>
      <w:r w:rsidR="00FB7D99">
        <w:rPr>
          <w:b/>
          <w:bCs/>
        </w:rPr>
        <w:t>R</w:t>
      </w:r>
      <w:r w:rsidR="005D455B">
        <w:rPr>
          <w:b/>
          <w:bCs/>
        </w:rPr>
        <w:t>ul</w:t>
      </w:r>
      <w:r w:rsidR="00FB7D99">
        <w:rPr>
          <w:b/>
          <w:bCs/>
        </w:rPr>
        <w:t>e</w:t>
      </w:r>
      <w:r w:rsidR="00A56186">
        <w:rPr>
          <w:b/>
          <w:bCs/>
        </w:rPr>
        <w:t xml:space="preserve">: </w:t>
      </w:r>
      <w:r w:rsidRPr="00FB7D99">
        <w:rPr>
          <w:b/>
          <w:bCs/>
        </w:rPr>
        <w:t xml:space="preserve">Summary of Updates </w:t>
      </w:r>
      <w:r w:rsidRPr="00FB7D99" w:rsidR="00273548">
        <w:rPr>
          <w:b/>
          <w:bCs/>
        </w:rPr>
        <w:t>on</w:t>
      </w:r>
      <w:r w:rsidRPr="00FB7D99">
        <w:rPr>
          <w:b/>
          <w:bCs/>
        </w:rPr>
        <w:t xml:space="preserve"> </w:t>
      </w:r>
      <w:r w:rsidRPr="00FB7D99" w:rsidR="005D455B">
        <w:rPr>
          <w:b/>
          <w:bCs/>
        </w:rPr>
        <w:t>IPFQR</w:t>
      </w:r>
      <w:r w:rsidRPr="00FB7D99">
        <w:rPr>
          <w:b/>
          <w:bCs/>
        </w:rPr>
        <w:t xml:space="preserve"> Program </w:t>
      </w:r>
      <w:r w:rsidRPr="00FB7D99" w:rsidR="00273548">
        <w:rPr>
          <w:b/>
          <w:bCs/>
        </w:rPr>
        <w:t>PRA Package forms</w:t>
      </w:r>
      <w:r w:rsidRPr="00FB7D99">
        <w:rPr>
          <w:b/>
          <w:bCs/>
        </w:rPr>
        <w:t xml:space="preserve"> </w:t>
      </w:r>
    </w:p>
    <w:tbl>
      <w:tblPr>
        <w:tblStyle w:val="TableGrid"/>
        <w:tblW w:w="0" w:type="auto"/>
        <w:tblLook w:val="04A0"/>
      </w:tblPr>
      <w:tblGrid>
        <w:gridCol w:w="2425"/>
        <w:gridCol w:w="6925"/>
      </w:tblGrid>
      <w:tr w14:paraId="2CADCFDE" w14:textId="77777777" w:rsidTr="6A500A01">
        <w:tblPrEx>
          <w:tblW w:w="0" w:type="auto"/>
          <w:tblLook w:val="04A0"/>
        </w:tblPrEx>
        <w:tc>
          <w:tcPr>
            <w:tcW w:w="2425" w:type="dxa"/>
            <w:shd w:val="clear" w:color="auto" w:fill="E7E6E6" w:themeFill="background2"/>
          </w:tcPr>
          <w:p w:rsidR="00B50210" w:rsidRPr="00C42168" w:rsidP="00B50210" w14:paraId="45DBB216" w14:textId="7AC50007">
            <w:pPr>
              <w:jc w:val="center"/>
              <w:rPr>
                <w:rFonts w:cstheme="minorHAnsi"/>
                <w:b/>
                <w:bCs/>
              </w:rPr>
            </w:pPr>
            <w:r w:rsidRPr="00C42168">
              <w:rPr>
                <w:rFonts w:cstheme="minorHAnsi"/>
                <w:b/>
                <w:bCs/>
              </w:rPr>
              <w:t>Form</w:t>
            </w:r>
          </w:p>
        </w:tc>
        <w:tc>
          <w:tcPr>
            <w:tcW w:w="6925" w:type="dxa"/>
            <w:shd w:val="clear" w:color="auto" w:fill="E7E6E6" w:themeFill="background2"/>
          </w:tcPr>
          <w:p w:rsidR="00B50210" w:rsidRPr="00C42168" w:rsidP="00B50210" w14:paraId="184BBD67" w14:textId="55768008">
            <w:pPr>
              <w:jc w:val="center"/>
              <w:rPr>
                <w:rFonts w:cstheme="minorHAnsi"/>
                <w:b/>
                <w:bCs/>
              </w:rPr>
            </w:pPr>
            <w:r w:rsidRPr="00C42168">
              <w:rPr>
                <w:rFonts w:cstheme="minorHAnsi"/>
                <w:b/>
                <w:bCs/>
              </w:rPr>
              <w:t>Notes on Updates</w:t>
            </w:r>
          </w:p>
        </w:tc>
      </w:tr>
      <w:tr w14:paraId="482330B0" w14:textId="77777777" w:rsidTr="6A500A01">
        <w:tblPrEx>
          <w:tblW w:w="0" w:type="auto"/>
          <w:tblLook w:val="04A0"/>
        </w:tblPrEx>
        <w:trPr>
          <w:trHeight w:val="20"/>
        </w:trPr>
        <w:tc>
          <w:tcPr>
            <w:tcW w:w="2425" w:type="dxa"/>
          </w:tcPr>
          <w:p w:rsidR="006135B2" w:rsidP="00C42168" w14:paraId="1DE7703A" w14:textId="77777777">
            <w:pPr>
              <w:spacing w:before="40" w:after="40"/>
            </w:pPr>
            <w:r>
              <w:t>Data Accuracy and Completeness Acknowledgement</w:t>
            </w:r>
          </w:p>
          <w:p w:rsidR="00B50210" w:rsidP="00C42168" w14:paraId="4FDC5F1D" w14:textId="52C92E52">
            <w:pPr>
              <w:spacing w:before="40" w:after="40"/>
            </w:pPr>
            <w:r>
              <w:br/>
            </w:r>
            <w:r w:rsidR="001A534E">
              <w:t>(Word document)</w:t>
            </w:r>
          </w:p>
        </w:tc>
        <w:tc>
          <w:tcPr>
            <w:tcW w:w="6925" w:type="dxa"/>
          </w:tcPr>
          <w:p w:rsidR="00D3189F" w:rsidP="005D455B" w14:paraId="33C19734" w14:textId="77777777">
            <w:pPr>
              <w:pStyle w:val="ListParagraph"/>
              <w:numPr>
                <w:ilvl w:val="0"/>
                <w:numId w:val="3"/>
              </w:numPr>
              <w:spacing w:before="40" w:after="40"/>
            </w:pPr>
            <w:r>
              <w:t>Updated date</w:t>
            </w:r>
          </w:p>
          <w:p w:rsidR="005D455B" w:rsidP="005D455B" w14:paraId="5439CABA" w14:textId="472F6731">
            <w:pPr>
              <w:pStyle w:val="ListParagraph"/>
              <w:numPr>
                <w:ilvl w:val="0"/>
                <w:numId w:val="3"/>
              </w:numPr>
              <w:spacing w:before="40" w:after="40"/>
            </w:pPr>
            <w:r>
              <w:t>Removed PRA disclaimer statement as this statement is now located in HQR to cover all forms</w:t>
            </w:r>
          </w:p>
        </w:tc>
      </w:tr>
      <w:tr w14:paraId="73022F1D" w14:textId="77777777" w:rsidTr="6A500A01">
        <w:tblPrEx>
          <w:tblW w:w="0" w:type="auto"/>
          <w:tblLook w:val="04A0"/>
        </w:tblPrEx>
        <w:trPr>
          <w:trHeight w:val="20"/>
        </w:trPr>
        <w:tc>
          <w:tcPr>
            <w:tcW w:w="2425" w:type="dxa"/>
          </w:tcPr>
          <w:p w:rsidR="006135B2" w:rsidP="00C42168" w14:paraId="08F35530" w14:textId="2266C9D8">
            <w:pPr>
              <w:spacing w:before="40" w:after="40"/>
            </w:pPr>
            <w:r>
              <w:t xml:space="preserve">Web-Based Data Submission </w:t>
            </w:r>
            <w:r w:rsidR="00B1018D">
              <w:t>screen shots</w:t>
            </w:r>
          </w:p>
          <w:p w:rsidR="006135B2" w:rsidP="00C42168" w14:paraId="7D63CFED" w14:textId="77777777">
            <w:pPr>
              <w:spacing w:before="40" w:after="40"/>
            </w:pPr>
          </w:p>
          <w:p w:rsidR="001A534E" w:rsidP="00C42168" w14:paraId="3D9A23EE" w14:textId="7A17C815">
            <w:pPr>
              <w:spacing w:before="40" w:after="40"/>
            </w:pPr>
            <w:r>
              <w:t>(IPFQR Program HQR Secure Portal Images pdf</w:t>
            </w:r>
            <w:r w:rsidR="00791055">
              <w:t xml:space="preserve"> document</w:t>
            </w:r>
            <w:r>
              <w:t>)</w:t>
            </w:r>
          </w:p>
        </w:tc>
        <w:tc>
          <w:tcPr>
            <w:tcW w:w="6925" w:type="dxa"/>
          </w:tcPr>
          <w:p w:rsidR="001A534E" w:rsidP="005D455B" w14:paraId="5D61262B" w14:textId="3B830738">
            <w:pPr>
              <w:pStyle w:val="ListParagraph"/>
              <w:numPr>
                <w:ilvl w:val="0"/>
                <w:numId w:val="3"/>
              </w:numPr>
              <w:spacing w:before="40" w:after="40"/>
            </w:pPr>
            <w:r>
              <w:t>Removed reference to measures that are proposed for removal</w:t>
            </w:r>
            <w:r w:rsidR="003215B3">
              <w:t xml:space="preserve"> in the FY 2026 proposed rule</w:t>
            </w:r>
          </w:p>
        </w:tc>
      </w:tr>
      <w:tr w14:paraId="2E5709D4" w14:textId="77777777" w:rsidTr="6A500A01">
        <w:tblPrEx>
          <w:tblW w:w="0" w:type="auto"/>
          <w:tblLook w:val="04A0"/>
        </w:tblPrEx>
        <w:trPr>
          <w:trHeight w:val="20"/>
        </w:trPr>
        <w:tc>
          <w:tcPr>
            <w:tcW w:w="2425" w:type="dxa"/>
          </w:tcPr>
          <w:p w:rsidR="002152D9" w:rsidP="00C42168" w14:paraId="0E51451C" w14:textId="5D6CA9B4">
            <w:pPr>
              <w:spacing w:before="40" w:after="40"/>
            </w:pPr>
            <w:r>
              <w:t>Psychiatric Inpatient Experience (PIX) Survey</w:t>
            </w:r>
          </w:p>
        </w:tc>
        <w:tc>
          <w:tcPr>
            <w:tcW w:w="6925" w:type="dxa"/>
          </w:tcPr>
          <w:p w:rsidR="002152D9" w:rsidP="005D455B" w14:paraId="5ED50CC0" w14:textId="3B2BA63D">
            <w:pPr>
              <w:pStyle w:val="ListParagraph"/>
              <w:numPr>
                <w:ilvl w:val="0"/>
                <w:numId w:val="3"/>
              </w:numPr>
              <w:spacing w:before="40" w:after="40"/>
            </w:pPr>
            <w:r>
              <w:t>No changes made</w:t>
            </w:r>
          </w:p>
        </w:tc>
      </w:tr>
    </w:tbl>
    <w:p w:rsidR="00B50210" w14:paraId="46F293CF" w14:textId="77777777"/>
    <w:p w:rsidR="00FB7D99" w14:paraId="56A7DF4C" w14:textId="77777777"/>
    <w:p w:rsidR="00FB7D99" w14:paraId="0B45F0FF" w14:textId="77777777"/>
    <w:p w:rsidR="00A56186" w14:paraId="548E1ABD" w14:textId="77777777"/>
    <w:p w:rsidR="00A56186" w14:paraId="4A1C1241" w14:textId="77777777"/>
    <w:p w:rsidR="00A56186" w14:paraId="26A09354" w14:textId="77777777"/>
    <w:p w:rsidR="00A56186" w14:paraId="44ACF119" w14:textId="77777777"/>
    <w:p w:rsidR="00A56186" w14:paraId="4DC8B410" w14:textId="77777777"/>
    <w:p w:rsidR="00A56186" w14:paraId="4054BA64" w14:textId="77777777"/>
    <w:p w:rsidR="00A56186" w14:paraId="696AA6B5" w14:textId="77777777"/>
    <w:p w:rsidR="00A56186" w14:paraId="474A7174" w14:textId="77777777"/>
    <w:p w:rsidR="00A56186" w14:paraId="305990A6" w14:textId="77777777"/>
    <w:p w:rsidR="00A56186" w14:paraId="160DCA3D" w14:textId="77777777"/>
    <w:p w:rsidR="00A56186" w14:paraId="664164E2" w14:textId="77777777"/>
    <w:p w:rsidR="00A56186" w14:paraId="19870B4F" w14:textId="77777777"/>
    <w:p w:rsidR="00A56186" w14:paraId="0A89560F" w14:textId="77777777"/>
    <w:p w:rsidR="00A56186" w14:paraId="7B024F98" w14:textId="77777777"/>
    <w:p w:rsidR="00FB7D99" w:rsidRPr="00FB7D99" w14:paraId="330DECB9" w14:textId="1817892D">
      <w:pPr>
        <w:rPr>
          <w:b/>
          <w:bCs/>
        </w:rPr>
      </w:pPr>
      <w:r w:rsidRPr="00273548">
        <w:rPr>
          <w:b/>
          <w:bCs/>
        </w:rPr>
        <w:t>FY 202</w:t>
      </w:r>
      <w:r>
        <w:rPr>
          <w:b/>
          <w:bCs/>
        </w:rPr>
        <w:t>6</w:t>
      </w:r>
      <w:r w:rsidRPr="00273548">
        <w:rPr>
          <w:b/>
          <w:bCs/>
        </w:rPr>
        <w:t xml:space="preserve"> </w:t>
      </w:r>
      <w:r>
        <w:rPr>
          <w:b/>
          <w:bCs/>
        </w:rPr>
        <w:t xml:space="preserve">Inpatient Psychiatric Facilities Prospective Payment System Proposed Rule: </w:t>
      </w:r>
      <w:r w:rsidRPr="00FB7D99">
        <w:rPr>
          <w:b/>
          <w:bCs/>
        </w:rPr>
        <w:t>Technical Corrections</w:t>
      </w:r>
    </w:p>
    <w:tbl>
      <w:tblPr>
        <w:tblStyle w:val="TableGrid"/>
        <w:tblW w:w="0" w:type="auto"/>
        <w:tblLook w:val="04A0"/>
      </w:tblPr>
      <w:tblGrid>
        <w:gridCol w:w="4405"/>
        <w:gridCol w:w="4945"/>
      </w:tblGrid>
      <w:tr w14:paraId="59AAAAC9" w14:textId="77777777" w:rsidTr="000C6CA9">
        <w:tblPrEx>
          <w:tblW w:w="0" w:type="auto"/>
          <w:tblLook w:val="04A0"/>
        </w:tblPrEx>
        <w:tc>
          <w:tcPr>
            <w:tcW w:w="4405" w:type="dxa"/>
            <w:shd w:val="clear" w:color="auto" w:fill="E7E6E6" w:themeFill="background2"/>
          </w:tcPr>
          <w:p w:rsidR="00FB7D99" w:rsidRPr="00C42168" w:rsidP="00912C8B" w14:paraId="32627BB1" w14:textId="075D7C32">
            <w:pPr>
              <w:jc w:val="center"/>
              <w:rPr>
                <w:rFonts w:cstheme="minorHAnsi"/>
                <w:b/>
                <w:bCs/>
              </w:rPr>
            </w:pPr>
            <w:r>
              <w:rPr>
                <w:rFonts w:cstheme="minorHAnsi"/>
                <w:b/>
                <w:bCs/>
              </w:rPr>
              <w:t>Original</w:t>
            </w:r>
          </w:p>
        </w:tc>
        <w:tc>
          <w:tcPr>
            <w:tcW w:w="4945" w:type="dxa"/>
            <w:shd w:val="clear" w:color="auto" w:fill="E7E6E6" w:themeFill="background2"/>
          </w:tcPr>
          <w:p w:rsidR="00FB7D99" w:rsidRPr="00C42168" w:rsidP="00912C8B" w14:paraId="07300E8B" w14:textId="42DBFD74">
            <w:pPr>
              <w:jc w:val="center"/>
              <w:rPr>
                <w:rFonts w:cstheme="minorHAnsi"/>
                <w:b/>
                <w:bCs/>
              </w:rPr>
            </w:pPr>
            <w:r>
              <w:rPr>
                <w:rFonts w:cstheme="minorHAnsi"/>
                <w:b/>
                <w:bCs/>
              </w:rPr>
              <w:t>Correction</w:t>
            </w:r>
          </w:p>
        </w:tc>
      </w:tr>
      <w:tr w14:paraId="20DFC1AD" w14:textId="77777777" w:rsidTr="000C6CA9">
        <w:tblPrEx>
          <w:tblW w:w="0" w:type="auto"/>
          <w:tblLook w:val="04A0"/>
        </w:tblPrEx>
        <w:trPr>
          <w:trHeight w:val="20"/>
        </w:trPr>
        <w:tc>
          <w:tcPr>
            <w:tcW w:w="4405" w:type="dxa"/>
          </w:tcPr>
          <w:p w:rsidR="00FB7D99" w:rsidRPr="00B330BD" w:rsidP="00912C8B" w14:paraId="163B25AF" w14:textId="40BC1CAE">
            <w:pPr>
              <w:spacing w:before="40" w:after="40"/>
            </w:pPr>
            <w:r w:rsidRPr="00B330BD">
              <w:rPr>
                <w:rStyle w:val="normaltextrun"/>
              </w:rPr>
              <w:t>P</w:t>
            </w:r>
            <w:r w:rsidRPr="00B330BD">
              <w:rPr>
                <w:rStyle w:val="normaltextrun"/>
              </w:rPr>
              <w:t>age 18516, second column, first paragraph</w:t>
            </w:r>
            <w:r w:rsidRPr="00B330BD">
              <w:rPr>
                <w:rStyle w:val="normaltextrun"/>
              </w:rPr>
              <w:t>:</w:t>
            </w:r>
            <w:r w:rsidRPr="00B330BD">
              <w:rPr>
                <w:rStyle w:val="normaltextrun"/>
              </w:rPr>
              <w:br/>
            </w:r>
            <w:r w:rsidRPr="00B330BD">
              <w:rPr>
                <w:rStyle w:val="normaltextrun"/>
              </w:rPr>
              <w:t>“Removal of this measure would alleviate an estimated annual burden of approximately 267 hours, at a cost of $11,978,</w:t>
            </w:r>
            <w:r w:rsidRPr="00B330BD">
              <w:t xml:space="preserve"> </w:t>
            </w:r>
            <w:r w:rsidRPr="00B330BD">
              <w:rPr>
                <w:rStyle w:val="normaltextrun"/>
              </w:rPr>
              <w:t>across all participating IPFs (88 FR 51151).”</w:t>
            </w:r>
          </w:p>
        </w:tc>
        <w:tc>
          <w:tcPr>
            <w:tcW w:w="4945" w:type="dxa"/>
          </w:tcPr>
          <w:p w:rsidR="00FB7D99" w:rsidRPr="00B330BD" w:rsidP="00A56186" w14:paraId="74A84693" w14:textId="77777777">
            <w:pPr>
              <w:spacing w:before="40" w:after="40"/>
              <w:rPr>
                <w:rStyle w:val="normaltextrun"/>
              </w:rPr>
            </w:pPr>
            <w:r w:rsidRPr="00B330BD">
              <w:rPr>
                <w:rStyle w:val="normaltextrun"/>
              </w:rPr>
              <w:br/>
            </w:r>
            <w:r w:rsidRPr="00B330BD">
              <w:rPr>
                <w:rStyle w:val="normaltextrun"/>
              </w:rPr>
              <w:t>“As stated in section V.B.3, removal of this measure would alleviate an estimated annual burden of approximately 267 hours, at a cost of $14,761, across all participating IPFs.”</w:t>
            </w:r>
          </w:p>
          <w:p w:rsidR="001C329B" w:rsidRPr="00B330BD" w:rsidP="00A56186" w14:paraId="33AF7B5B" w14:textId="77777777">
            <w:pPr>
              <w:spacing w:before="40" w:after="40"/>
              <w:rPr>
                <w:rStyle w:val="normaltextrun"/>
              </w:rPr>
            </w:pPr>
          </w:p>
          <w:p w:rsidR="001C329B" w:rsidRPr="00B330BD" w:rsidP="00A56186" w14:paraId="7B3E5214" w14:textId="08A968A3">
            <w:pPr>
              <w:spacing w:before="40" w:after="40"/>
              <w:rPr>
                <w:i/>
                <w:iCs/>
              </w:rPr>
            </w:pPr>
            <w:r w:rsidRPr="00B330BD">
              <w:rPr>
                <w:rStyle w:val="normaltextrun"/>
                <w:i/>
                <w:iCs/>
              </w:rPr>
              <w:t>Corrects burden estimate to more recent approved values, which were used in the COI section.</w:t>
            </w:r>
          </w:p>
        </w:tc>
      </w:tr>
      <w:tr w14:paraId="29234233" w14:textId="77777777" w:rsidTr="000C6CA9">
        <w:tblPrEx>
          <w:tblW w:w="0" w:type="auto"/>
          <w:tblLook w:val="04A0"/>
        </w:tblPrEx>
        <w:trPr>
          <w:trHeight w:val="20"/>
        </w:trPr>
        <w:tc>
          <w:tcPr>
            <w:tcW w:w="4405" w:type="dxa"/>
          </w:tcPr>
          <w:p w:rsidR="00A56186" w:rsidRPr="00B330BD" w:rsidP="00912C8B" w14:paraId="30CC0AAB" w14:textId="77777777">
            <w:pPr>
              <w:spacing w:before="40" w:after="40"/>
              <w:rPr>
                <w:rStyle w:val="normaltextrun"/>
                <w:rFonts w:eastAsiaTheme="majorEastAsia"/>
              </w:rPr>
            </w:pPr>
            <w:r w:rsidRPr="00B330BD">
              <w:rPr>
                <w:rStyle w:val="normaltextrun"/>
              </w:rPr>
              <w:t>P</w:t>
            </w:r>
            <w:r w:rsidRPr="00B330BD">
              <w:rPr>
                <w:rStyle w:val="normaltextrun"/>
              </w:rPr>
              <w:t xml:space="preserve">age 18516, third column, </w:t>
            </w:r>
            <w:r w:rsidRPr="00B330BD">
              <w:rPr>
                <w:rStyle w:val="normaltextrun"/>
                <w:rFonts w:eastAsiaTheme="majorEastAsia"/>
              </w:rPr>
              <w:t>first paragraph</w:t>
            </w:r>
            <w:r w:rsidRPr="00B330BD">
              <w:rPr>
                <w:rStyle w:val="normaltextrun"/>
                <w:rFonts w:eastAsiaTheme="majorEastAsia"/>
              </w:rPr>
              <w:t>:</w:t>
            </w:r>
          </w:p>
          <w:p w:rsidR="00FB7D99" w:rsidRPr="00B330BD" w:rsidP="00912C8B" w14:paraId="151FBFC0" w14:textId="19C835FE">
            <w:pPr>
              <w:spacing w:before="40" w:after="40"/>
            </w:pPr>
            <w:r w:rsidRPr="00B330BD">
              <w:rPr>
                <w:rStyle w:val="normaltextrun"/>
                <w:rFonts w:eastAsiaTheme="majorEastAsia"/>
              </w:rPr>
              <w:t>“in section IV.E. for more information regarding our areas of focus for new measures”</w:t>
            </w:r>
          </w:p>
        </w:tc>
        <w:tc>
          <w:tcPr>
            <w:tcW w:w="4945" w:type="dxa"/>
          </w:tcPr>
          <w:p w:rsidR="00FB7D99" w:rsidP="00A56186" w14:paraId="46B3DF60" w14:textId="77777777">
            <w:pPr>
              <w:spacing w:before="40" w:after="40"/>
            </w:pPr>
            <w:r w:rsidRPr="00B330BD">
              <w:br/>
            </w:r>
            <w:r w:rsidRPr="00B330BD">
              <w:t>“in section IV.H.2. for more information regarding our areas of focus for new measures”.</w:t>
            </w:r>
          </w:p>
          <w:p w:rsidR="008520A9" w:rsidP="00A56186" w14:paraId="2D0635D9" w14:textId="77777777">
            <w:pPr>
              <w:spacing w:before="40" w:after="40"/>
            </w:pPr>
          </w:p>
          <w:p w:rsidR="008520A9" w:rsidRPr="008520A9" w:rsidP="00A56186" w14:paraId="7E0BE37E" w14:textId="6F09AE9F">
            <w:pPr>
              <w:spacing w:before="40" w:after="40"/>
              <w:rPr>
                <w:i/>
                <w:iCs/>
              </w:rPr>
            </w:pPr>
            <w:r>
              <w:rPr>
                <w:i/>
                <w:iCs/>
              </w:rPr>
              <w:t>Corrects section reference</w:t>
            </w:r>
            <w:r w:rsidR="000C6CA9">
              <w:rPr>
                <w:i/>
                <w:iCs/>
              </w:rPr>
              <w:t>.</w:t>
            </w:r>
          </w:p>
        </w:tc>
      </w:tr>
      <w:tr w14:paraId="531674BB" w14:textId="77777777" w:rsidTr="000C6CA9">
        <w:tblPrEx>
          <w:tblW w:w="0" w:type="auto"/>
          <w:tblLook w:val="04A0"/>
        </w:tblPrEx>
        <w:trPr>
          <w:trHeight w:val="20"/>
        </w:trPr>
        <w:tc>
          <w:tcPr>
            <w:tcW w:w="4405" w:type="dxa"/>
          </w:tcPr>
          <w:p w:rsidR="00FB7D99" w:rsidRPr="00B330BD" w:rsidP="00912C8B" w14:paraId="48AF67E2" w14:textId="089A86BB">
            <w:pPr>
              <w:spacing w:before="40" w:after="40"/>
            </w:pPr>
            <w:r w:rsidRPr="00B330BD">
              <w:rPr>
                <w:rStyle w:val="normaltextrun"/>
              </w:rPr>
              <w:t>P</w:t>
            </w:r>
            <w:r w:rsidRPr="00B330BD">
              <w:rPr>
                <w:rStyle w:val="normaltextrun"/>
              </w:rPr>
              <w:t xml:space="preserve">age 18517, second column, </w:t>
            </w:r>
            <w:r w:rsidRPr="00B330BD">
              <w:rPr>
                <w:rStyle w:val="normaltextrun"/>
                <w:rFonts w:eastAsiaTheme="majorEastAsia"/>
              </w:rPr>
              <w:t>second paragraph</w:t>
            </w:r>
            <w:r w:rsidRPr="00B330BD">
              <w:rPr>
                <w:rStyle w:val="normaltextrun"/>
                <w:rFonts w:eastAsiaTheme="majorEastAsia"/>
              </w:rPr>
              <w:t>:</w:t>
            </w:r>
            <w:r w:rsidRPr="00B330BD">
              <w:rPr>
                <w:rStyle w:val="normaltextrun"/>
                <w:rFonts w:eastAsiaTheme="majorEastAsia"/>
              </w:rPr>
              <w:br/>
            </w:r>
            <w:r w:rsidRPr="00B330BD">
              <w:rPr>
                <w:rStyle w:val="normaltextrun"/>
                <w:rFonts w:eastAsiaTheme="majorEastAsia"/>
              </w:rPr>
              <w:t>“</w:t>
            </w:r>
            <w:r w:rsidRPr="00B330BD">
              <w:rPr>
                <w:rStyle w:val="normaltextrun"/>
                <w:rFonts w:eastAsiaTheme="majorEastAsia"/>
                <w:color w:val="000000" w:themeColor="text1"/>
              </w:rPr>
              <w:t>In the FY 2024 IPF PPS final rule we estimated a total annual burden of surveying IPF patients for health-related social needs under the Screening for Social Drivers of Health measures will be 66,414 hours (1,596 facilities × 1,261 patients per facility × 0.033 hr) at a cost of $1,375,434 (66,414 hour × $20.71/hour) across all patients (88 FR 51152). We estimated that the submission of the Screen Positive measure to CMS would have incurred an additional 266 hours across all IPFs, at a cost of $11,933 (88 FR 51152 through 51153).</w:t>
            </w:r>
            <w:r w:rsidRPr="00B330BD">
              <w:rPr>
                <w:rStyle w:val="normaltextrun"/>
                <w:rFonts w:eastAsiaTheme="majorEastAsia"/>
              </w:rPr>
              <w:t>”</w:t>
            </w:r>
          </w:p>
        </w:tc>
        <w:tc>
          <w:tcPr>
            <w:tcW w:w="4945" w:type="dxa"/>
          </w:tcPr>
          <w:p w:rsidR="00FB7D99" w:rsidRPr="00B330BD" w:rsidP="00A56186" w14:paraId="76BB674B" w14:textId="77777777">
            <w:pPr>
              <w:spacing w:before="40" w:after="40"/>
              <w:rPr>
                <w:rStyle w:val="normaltextrun"/>
                <w:rFonts w:eastAsiaTheme="majorEastAsia"/>
              </w:rPr>
            </w:pPr>
            <w:r w:rsidRPr="00B330BD">
              <w:rPr>
                <w:rStyle w:val="normaltextrun"/>
                <w:rFonts w:eastAsiaTheme="majorEastAsia"/>
              </w:rPr>
              <w:br/>
            </w:r>
            <w:r w:rsidRPr="00B330BD">
              <w:rPr>
                <w:rStyle w:val="normaltextrun"/>
                <w:rFonts w:eastAsiaTheme="majorEastAsia"/>
              </w:rPr>
              <w:br/>
            </w:r>
            <w:r w:rsidRPr="00B330BD">
              <w:rPr>
                <w:rStyle w:val="normaltextrun"/>
                <w:rFonts w:eastAsiaTheme="majorEastAsia"/>
              </w:rPr>
              <w:t>“</w:t>
            </w:r>
            <w:r w:rsidRPr="00B330BD" w:rsidR="00955432">
              <w:rPr>
                <w:rStyle w:val="normaltextrun"/>
                <w:rFonts w:eastAsiaTheme="majorEastAsia"/>
              </w:rPr>
              <w:t xml:space="preserve">As stated in section V.B.3. and shown in Tables 8 through 10, </w:t>
            </w:r>
            <w:r w:rsidRPr="00B330BD">
              <w:rPr>
                <w:rStyle w:val="normaltextrun"/>
                <w:rFonts w:eastAsiaTheme="majorEastAsia"/>
              </w:rPr>
              <w:t>removal of the Screening for Social Drivers of Health measure would alleviate an estimated annual burden for patients of 66,414</w:t>
            </w:r>
            <w:r w:rsidRPr="00B330BD" w:rsidR="00955432">
              <w:rPr>
                <w:rStyle w:val="normaltextrun"/>
                <w:rFonts w:eastAsiaTheme="majorEastAsia"/>
              </w:rPr>
              <w:t xml:space="preserve"> hours</w:t>
            </w:r>
            <w:r w:rsidRPr="00B330BD">
              <w:rPr>
                <w:rStyle w:val="normaltextrun"/>
                <w:rFonts w:eastAsiaTheme="majorEastAsia"/>
              </w:rPr>
              <w:t>, at a cost of $1</w:t>
            </w:r>
            <w:r w:rsidRPr="00B330BD">
              <w:rPr>
                <w:rFonts w:eastAsiaTheme="majorEastAsia"/>
              </w:rPr>
              <w:t xml:space="preserve">,702,191.  </w:t>
            </w:r>
            <w:r w:rsidRPr="00B330BD">
              <w:rPr>
                <w:rStyle w:val="normaltextrun"/>
                <w:rFonts w:eastAsiaTheme="majorEastAsia"/>
              </w:rPr>
              <w:t xml:space="preserve">Also, as stated in section V.B.3., removal of </w:t>
            </w:r>
            <w:r w:rsidRPr="00B330BD">
              <w:rPr>
                <w:rFonts w:eastAsiaTheme="majorEastAsia"/>
              </w:rPr>
              <w:t xml:space="preserve">both Social Drivers of Health measures would alleviate an estimated of </w:t>
            </w:r>
            <w:r w:rsidRPr="00B330BD">
              <w:rPr>
                <w:rStyle w:val="normaltextrun"/>
                <w:rFonts w:eastAsiaTheme="majorEastAsia"/>
              </w:rPr>
              <w:t>532 hours for IPFs to report these measures, at a cost of $29,520</w:t>
            </w:r>
            <w:r w:rsidRPr="00B330BD">
              <w:rPr>
                <w:rFonts w:eastAsiaTheme="majorEastAsia"/>
              </w:rPr>
              <w:t>, for the FY 2027 payment determination, when these measures would become mandatory.</w:t>
            </w:r>
            <w:r w:rsidRPr="00B330BD">
              <w:rPr>
                <w:rStyle w:val="normaltextrun"/>
                <w:rFonts w:eastAsiaTheme="majorEastAsia"/>
              </w:rPr>
              <w:t>”</w:t>
            </w:r>
          </w:p>
          <w:p w:rsidR="0027721B" w:rsidRPr="00B330BD" w:rsidP="00A56186" w14:paraId="779F4750" w14:textId="77777777">
            <w:pPr>
              <w:spacing w:before="40" w:after="40"/>
            </w:pPr>
          </w:p>
          <w:p w:rsidR="0027721B" w:rsidRPr="00B330BD" w:rsidP="00A56186" w14:paraId="0C311C47" w14:textId="46F71A4C">
            <w:pPr>
              <w:spacing w:before="40" w:after="40"/>
              <w:rPr>
                <w:i/>
                <w:iCs/>
              </w:rPr>
            </w:pPr>
            <w:r w:rsidRPr="00B330BD">
              <w:rPr>
                <w:i/>
                <w:iCs/>
              </w:rPr>
              <w:t>Corrects burden estimate to mirror COI section.</w:t>
            </w:r>
          </w:p>
        </w:tc>
      </w:tr>
      <w:tr w14:paraId="63A87485" w14:textId="77777777" w:rsidTr="000C6CA9">
        <w:tblPrEx>
          <w:tblW w:w="0" w:type="auto"/>
          <w:tblLook w:val="04A0"/>
        </w:tblPrEx>
        <w:trPr>
          <w:trHeight w:val="20"/>
        </w:trPr>
        <w:tc>
          <w:tcPr>
            <w:tcW w:w="4405" w:type="dxa"/>
          </w:tcPr>
          <w:p w:rsidR="00A56186" w:rsidRPr="00B330BD" w:rsidP="00912C8B" w14:paraId="64F5FB97" w14:textId="54D8A2D0">
            <w:pPr>
              <w:spacing w:before="40" w:after="40"/>
            </w:pPr>
            <w:r w:rsidRPr="00B330BD">
              <w:t>P</w:t>
            </w:r>
            <w:r w:rsidRPr="00B330BD">
              <w:t>age 18519, first column</w:t>
            </w:r>
            <w:r w:rsidRPr="00B330BD">
              <w:t>:</w:t>
            </w:r>
            <w:r w:rsidRPr="00B330BD">
              <w:br/>
            </w:r>
            <w:r w:rsidRPr="00B330BD">
              <w:t>“At 42 CFR 412.433(f)(4), we state that CMS’ evaluation of an extraordinary circumstance will include, but is not limited to whether the extraordinary circumstance was beyond the control of the IPF, and affected the ability of the IPF to provide high-quality healthcare and report required measure data by specified deadlines. At 42 CFR 412.433(f)(5) we state that CMS will notify the IPF of a denial of an ECE in writing, via email.”</w:t>
            </w:r>
          </w:p>
        </w:tc>
        <w:tc>
          <w:tcPr>
            <w:tcW w:w="4945" w:type="dxa"/>
          </w:tcPr>
          <w:p w:rsidR="00A56186" w:rsidRPr="00B330BD" w:rsidP="00A56186" w14:paraId="72AA885C" w14:textId="77777777">
            <w:pPr>
              <w:spacing w:before="40" w:after="40"/>
            </w:pPr>
          </w:p>
          <w:p w:rsidR="0027721B" w:rsidRPr="00B330BD" w:rsidP="00A56186" w14:paraId="4BC1C4D1" w14:textId="2E8B767A">
            <w:pPr>
              <w:spacing w:before="40" w:after="40"/>
              <w:rPr>
                <w:i/>
                <w:iCs/>
              </w:rPr>
            </w:pPr>
            <w:r w:rsidRPr="00B330BD">
              <w:rPr>
                <w:i/>
                <w:iCs/>
              </w:rPr>
              <w:t>Paragraph should be remove</w:t>
            </w:r>
            <w:r w:rsidRPr="00B330BD" w:rsidR="001C329B">
              <w:rPr>
                <w:i/>
                <w:iCs/>
              </w:rPr>
              <w:t>d for alignment with IPPS rule language.</w:t>
            </w:r>
          </w:p>
        </w:tc>
      </w:tr>
      <w:tr w14:paraId="7871D269" w14:textId="77777777" w:rsidTr="000C6CA9">
        <w:tblPrEx>
          <w:tblW w:w="0" w:type="auto"/>
          <w:tblLook w:val="04A0"/>
        </w:tblPrEx>
        <w:trPr>
          <w:trHeight w:val="20"/>
        </w:trPr>
        <w:tc>
          <w:tcPr>
            <w:tcW w:w="4405" w:type="dxa"/>
          </w:tcPr>
          <w:p w:rsidR="00A56186" w:rsidRPr="00B330BD" w:rsidP="00912C8B" w14:paraId="03670299" w14:textId="185ED891">
            <w:pPr>
              <w:spacing w:before="40" w:after="40"/>
            </w:pPr>
            <w:r w:rsidRPr="00B330BD">
              <w:t>P</w:t>
            </w:r>
            <w:r w:rsidRPr="00B330BD">
              <w:t>age 18522, first column, last paragraph</w:t>
            </w:r>
            <w:r w:rsidRPr="00B330BD">
              <w:t>:</w:t>
            </w:r>
            <w:r w:rsidRPr="00B330BD">
              <w:t xml:space="preserve"> </w:t>
            </w:r>
            <w:r w:rsidRPr="00B330BD">
              <w:br/>
            </w:r>
            <w:r w:rsidRPr="00B330BD">
              <w:t xml:space="preserve">“We are soliciting public comment (see section V.E. of this proposed rule) on” </w:t>
            </w:r>
          </w:p>
        </w:tc>
        <w:tc>
          <w:tcPr>
            <w:tcW w:w="4945" w:type="dxa"/>
          </w:tcPr>
          <w:p w:rsidR="00A56186" w:rsidP="00A56186" w14:paraId="2A05864F" w14:textId="77777777">
            <w:pPr>
              <w:spacing w:before="40" w:after="40"/>
            </w:pPr>
            <w:r w:rsidRPr="00B330BD">
              <w:br/>
            </w:r>
            <w:r w:rsidRPr="00B330BD">
              <w:t>“We are soliciting public comment on”</w:t>
            </w:r>
          </w:p>
          <w:p w:rsidR="008520A9" w:rsidP="00A56186" w14:paraId="272200F7" w14:textId="77777777">
            <w:pPr>
              <w:spacing w:before="40" w:after="40"/>
            </w:pPr>
          </w:p>
          <w:p w:rsidR="008520A9" w:rsidRPr="008520A9" w:rsidP="00A56186" w14:paraId="21DB6301" w14:textId="11ECC6A7">
            <w:pPr>
              <w:spacing w:before="40" w:after="40"/>
              <w:rPr>
                <w:i/>
                <w:iCs/>
              </w:rPr>
            </w:pPr>
            <w:r w:rsidRPr="008520A9">
              <w:rPr>
                <w:i/>
                <w:iCs/>
              </w:rPr>
              <w:t xml:space="preserve">Removes section reference that does not exist in </w:t>
            </w:r>
            <w:r>
              <w:rPr>
                <w:i/>
                <w:iCs/>
              </w:rPr>
              <w:t xml:space="preserve">IPF PPS </w:t>
            </w:r>
            <w:r w:rsidRPr="008520A9">
              <w:rPr>
                <w:i/>
                <w:iCs/>
              </w:rPr>
              <w:t>proposed rule.</w:t>
            </w:r>
          </w:p>
        </w:tc>
      </w:tr>
      <w:tr w14:paraId="1608BBEE" w14:textId="77777777" w:rsidTr="000C6CA9">
        <w:tblPrEx>
          <w:tblW w:w="0" w:type="auto"/>
          <w:tblLook w:val="04A0"/>
        </w:tblPrEx>
        <w:trPr>
          <w:trHeight w:val="20"/>
        </w:trPr>
        <w:tc>
          <w:tcPr>
            <w:tcW w:w="4405" w:type="dxa"/>
          </w:tcPr>
          <w:p w:rsidR="00A56186" w:rsidRPr="00B330BD" w:rsidP="00912C8B" w14:paraId="41A1F710" w14:textId="2A673CE4">
            <w:pPr>
              <w:spacing w:before="40" w:after="40"/>
            </w:pPr>
            <w:r w:rsidRPr="00B330BD">
              <w:t>P</w:t>
            </w:r>
            <w:r w:rsidRPr="00B330BD">
              <w:t>age 18522, second column, third paragraph</w:t>
            </w:r>
            <w:r w:rsidRPr="00B330BD">
              <w:t>:</w:t>
            </w:r>
            <w:r w:rsidRPr="00B330BD">
              <w:br/>
            </w:r>
            <w:r w:rsidRPr="00B330BD">
              <w:t xml:space="preserve">“In section V.C. of this proposed rule, we estimate the changes in burden associated with the update to more recent wage rates. Then in section V.D. of this proposed rule, we discuss the policies proposed in this proposed rule.” </w:t>
            </w:r>
          </w:p>
        </w:tc>
        <w:tc>
          <w:tcPr>
            <w:tcW w:w="4945" w:type="dxa"/>
          </w:tcPr>
          <w:p w:rsidR="00A56186" w:rsidP="00A56186" w14:paraId="2D361C94" w14:textId="77777777">
            <w:pPr>
              <w:spacing w:before="40" w:after="40"/>
            </w:pPr>
            <w:r w:rsidRPr="00B330BD">
              <w:br/>
            </w:r>
            <w:r w:rsidRPr="00B330BD">
              <w:t>“In section V.B.2. of this proposed rule, we estimate the changes in burden associated with the update to more recent wage rates. Then in section V.B.3. of this proposed rule, we discuss the policies proposed in this proposed rule.”</w:t>
            </w:r>
          </w:p>
          <w:p w:rsidR="008520A9" w:rsidP="00A56186" w14:paraId="7F7A19B4" w14:textId="77777777">
            <w:pPr>
              <w:spacing w:before="40" w:after="40"/>
            </w:pPr>
          </w:p>
          <w:p w:rsidR="008520A9" w:rsidRPr="008520A9" w:rsidP="00A56186" w14:paraId="7D8FF075" w14:textId="22D52389">
            <w:pPr>
              <w:spacing w:before="40" w:after="40"/>
              <w:rPr>
                <w:i/>
                <w:iCs/>
              </w:rPr>
            </w:pPr>
            <w:r w:rsidRPr="008520A9">
              <w:rPr>
                <w:i/>
                <w:iCs/>
              </w:rPr>
              <w:t>Corrects section reference.</w:t>
            </w:r>
          </w:p>
        </w:tc>
      </w:tr>
    </w:tbl>
    <w:p w:rsidR="00FB7D99" w14:paraId="6CA934FB" w14:textId="77777777"/>
    <w:p w:rsidR="00FB7D99" w14:paraId="6638FFAC" w14:textId="77777777"/>
    <w:p w:rsidR="00FB7D99" w14:paraId="505CB0D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D2F32"/>
    <w:multiLevelType w:val="hybridMultilevel"/>
    <w:tmpl w:val="41829C34"/>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3C393A"/>
    <w:multiLevelType w:val="hybridMultilevel"/>
    <w:tmpl w:val="4316F1CE"/>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211B3DD8"/>
    <w:multiLevelType w:val="hybridMultilevel"/>
    <w:tmpl w:val="793A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AC6688"/>
    <w:multiLevelType w:val="hybridMultilevel"/>
    <w:tmpl w:val="8B220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4010252">
    <w:abstractNumId w:val="3"/>
  </w:num>
  <w:num w:numId="2" w16cid:durableId="127936031">
    <w:abstractNumId w:val="2"/>
  </w:num>
  <w:num w:numId="3" w16cid:durableId="1218007656">
    <w:abstractNumId w:val="1"/>
  </w:num>
  <w:num w:numId="4" w16cid:durableId="5967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10"/>
    <w:rsid w:val="00015A7A"/>
    <w:rsid w:val="0002030B"/>
    <w:rsid w:val="000477BF"/>
    <w:rsid w:val="000C4DA6"/>
    <w:rsid w:val="000C6CA9"/>
    <w:rsid w:val="000E2364"/>
    <w:rsid w:val="001A534E"/>
    <w:rsid w:val="001C329B"/>
    <w:rsid w:val="002152D9"/>
    <w:rsid w:val="00242ACA"/>
    <w:rsid w:val="002604BF"/>
    <w:rsid w:val="0027198A"/>
    <w:rsid w:val="00273548"/>
    <w:rsid w:val="0027721B"/>
    <w:rsid w:val="00287057"/>
    <w:rsid w:val="002A5CBE"/>
    <w:rsid w:val="002C1DF0"/>
    <w:rsid w:val="002C4BC2"/>
    <w:rsid w:val="002F138D"/>
    <w:rsid w:val="00303FD9"/>
    <w:rsid w:val="003211F9"/>
    <w:rsid w:val="003215B3"/>
    <w:rsid w:val="00342F1C"/>
    <w:rsid w:val="00385DDE"/>
    <w:rsid w:val="003A2F64"/>
    <w:rsid w:val="003B367D"/>
    <w:rsid w:val="003F7CAF"/>
    <w:rsid w:val="004006AF"/>
    <w:rsid w:val="00411BF5"/>
    <w:rsid w:val="00423210"/>
    <w:rsid w:val="004525EB"/>
    <w:rsid w:val="00452BC1"/>
    <w:rsid w:val="00462B9B"/>
    <w:rsid w:val="00483327"/>
    <w:rsid w:val="004C238D"/>
    <w:rsid w:val="004F1499"/>
    <w:rsid w:val="00543EFD"/>
    <w:rsid w:val="005A088B"/>
    <w:rsid w:val="005D455B"/>
    <w:rsid w:val="006135B2"/>
    <w:rsid w:val="006138AD"/>
    <w:rsid w:val="0063412D"/>
    <w:rsid w:val="006446FD"/>
    <w:rsid w:val="00651306"/>
    <w:rsid w:val="00671820"/>
    <w:rsid w:val="006B1C5F"/>
    <w:rsid w:val="006B4B6F"/>
    <w:rsid w:val="006B645E"/>
    <w:rsid w:val="006D568E"/>
    <w:rsid w:val="006D6849"/>
    <w:rsid w:val="006D7A5A"/>
    <w:rsid w:val="006E1599"/>
    <w:rsid w:val="006F3D29"/>
    <w:rsid w:val="007256C7"/>
    <w:rsid w:val="00791055"/>
    <w:rsid w:val="007B5E02"/>
    <w:rsid w:val="007D6ABB"/>
    <w:rsid w:val="007F159A"/>
    <w:rsid w:val="00814842"/>
    <w:rsid w:val="008352EA"/>
    <w:rsid w:val="00844C63"/>
    <w:rsid w:val="00846A08"/>
    <w:rsid w:val="008520A9"/>
    <w:rsid w:val="00867780"/>
    <w:rsid w:val="0089607D"/>
    <w:rsid w:val="008C203D"/>
    <w:rsid w:val="008E4D48"/>
    <w:rsid w:val="00912C8B"/>
    <w:rsid w:val="00944015"/>
    <w:rsid w:val="00955432"/>
    <w:rsid w:val="009A35C0"/>
    <w:rsid w:val="009C21F2"/>
    <w:rsid w:val="00A07C6C"/>
    <w:rsid w:val="00A522BE"/>
    <w:rsid w:val="00A56186"/>
    <w:rsid w:val="00A575AB"/>
    <w:rsid w:val="00A747E3"/>
    <w:rsid w:val="00AA6702"/>
    <w:rsid w:val="00B1018D"/>
    <w:rsid w:val="00B20518"/>
    <w:rsid w:val="00B330BD"/>
    <w:rsid w:val="00B3576C"/>
    <w:rsid w:val="00B42C98"/>
    <w:rsid w:val="00B46D18"/>
    <w:rsid w:val="00B50210"/>
    <w:rsid w:val="00B5023D"/>
    <w:rsid w:val="00BA0A90"/>
    <w:rsid w:val="00BC6544"/>
    <w:rsid w:val="00BE6B5F"/>
    <w:rsid w:val="00C35481"/>
    <w:rsid w:val="00C42168"/>
    <w:rsid w:val="00C44D76"/>
    <w:rsid w:val="00C80198"/>
    <w:rsid w:val="00C9065C"/>
    <w:rsid w:val="00CB0314"/>
    <w:rsid w:val="00CB6255"/>
    <w:rsid w:val="00D07DC3"/>
    <w:rsid w:val="00D105CF"/>
    <w:rsid w:val="00D3189F"/>
    <w:rsid w:val="00D322AE"/>
    <w:rsid w:val="00D35EF9"/>
    <w:rsid w:val="00D40D85"/>
    <w:rsid w:val="00D973D2"/>
    <w:rsid w:val="00DA362D"/>
    <w:rsid w:val="00DD170A"/>
    <w:rsid w:val="00DD6D24"/>
    <w:rsid w:val="00E065E7"/>
    <w:rsid w:val="00E571DA"/>
    <w:rsid w:val="00E57EB0"/>
    <w:rsid w:val="00E7024E"/>
    <w:rsid w:val="00E861C2"/>
    <w:rsid w:val="00EB76D1"/>
    <w:rsid w:val="00EF1359"/>
    <w:rsid w:val="00F45C7B"/>
    <w:rsid w:val="00F72A03"/>
    <w:rsid w:val="00FA0189"/>
    <w:rsid w:val="00FB7D99"/>
    <w:rsid w:val="00FC6583"/>
    <w:rsid w:val="00FF3694"/>
    <w:rsid w:val="15A97A36"/>
    <w:rsid w:val="53A436CE"/>
    <w:rsid w:val="5A1BECC2"/>
    <w:rsid w:val="60C90B57"/>
    <w:rsid w:val="6A500A01"/>
    <w:rsid w:val="6A5A4C6B"/>
    <w:rsid w:val="73089396"/>
    <w:rsid w:val="75E343FC"/>
    <w:rsid w:val="7846BF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259A5"/>
  <w15:chartTrackingRefBased/>
  <w15:docId w15:val="{C511100F-3DC1-4B06-BABC-3BCD2E28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210"/>
    <w:pPr>
      <w:ind w:left="720"/>
      <w:contextualSpacing/>
    </w:pPr>
  </w:style>
  <w:style w:type="character" w:styleId="CommentReference">
    <w:name w:val="annotation reference"/>
    <w:basedOn w:val="DefaultParagraphFont"/>
    <w:uiPriority w:val="99"/>
    <w:semiHidden/>
    <w:unhideWhenUsed/>
    <w:rsid w:val="003A2F64"/>
    <w:rPr>
      <w:sz w:val="16"/>
      <w:szCs w:val="16"/>
    </w:rPr>
  </w:style>
  <w:style w:type="paragraph" w:styleId="CommentText">
    <w:name w:val="annotation text"/>
    <w:basedOn w:val="Normal"/>
    <w:link w:val="CommentTextChar"/>
    <w:uiPriority w:val="99"/>
    <w:unhideWhenUsed/>
    <w:rsid w:val="003A2F64"/>
    <w:pPr>
      <w:spacing w:line="240" w:lineRule="auto"/>
    </w:pPr>
    <w:rPr>
      <w:sz w:val="20"/>
      <w:szCs w:val="20"/>
    </w:rPr>
  </w:style>
  <w:style w:type="character" w:customStyle="1" w:styleId="CommentTextChar">
    <w:name w:val="Comment Text Char"/>
    <w:basedOn w:val="DefaultParagraphFont"/>
    <w:link w:val="CommentText"/>
    <w:uiPriority w:val="99"/>
    <w:rsid w:val="003A2F64"/>
    <w:rPr>
      <w:sz w:val="20"/>
      <w:szCs w:val="20"/>
    </w:rPr>
  </w:style>
  <w:style w:type="paragraph" w:styleId="CommentSubject">
    <w:name w:val="annotation subject"/>
    <w:basedOn w:val="CommentText"/>
    <w:next w:val="CommentText"/>
    <w:link w:val="CommentSubjectChar"/>
    <w:uiPriority w:val="99"/>
    <w:semiHidden/>
    <w:unhideWhenUsed/>
    <w:rsid w:val="003A2F64"/>
    <w:rPr>
      <w:b/>
      <w:bCs/>
    </w:rPr>
  </w:style>
  <w:style w:type="character" w:customStyle="1" w:styleId="CommentSubjectChar">
    <w:name w:val="Comment Subject Char"/>
    <w:basedOn w:val="CommentTextChar"/>
    <w:link w:val="CommentSubject"/>
    <w:uiPriority w:val="99"/>
    <w:semiHidden/>
    <w:rsid w:val="003A2F64"/>
    <w:rPr>
      <w:b/>
      <w:bCs/>
      <w:sz w:val="20"/>
      <w:szCs w:val="20"/>
    </w:rPr>
  </w:style>
  <w:style w:type="paragraph" w:styleId="Revision">
    <w:name w:val="Revision"/>
    <w:hidden/>
    <w:uiPriority w:val="99"/>
    <w:semiHidden/>
    <w:rsid w:val="00FF3694"/>
    <w:pPr>
      <w:spacing w:after="0" w:line="240" w:lineRule="auto"/>
    </w:pPr>
  </w:style>
  <w:style w:type="character" w:customStyle="1" w:styleId="normaltextrun">
    <w:name w:val="normaltextrun"/>
    <w:basedOn w:val="DefaultParagraphFont"/>
    <w:rsid w:val="00A5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9A1C8480353042A2E61E9ECD0D985B" ma:contentTypeVersion="4" ma:contentTypeDescription="Create a new document." ma:contentTypeScope="" ma:versionID="4a958a834188a2bbb4b8f47fa8db72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ECAC-DEC2-43BE-91E2-D54B891741D2}">
  <ds:schemaRefs>
    <ds:schemaRef ds:uri="http://schemas.microsoft.com/sharepoint/v3/contenttype/forms"/>
  </ds:schemaRefs>
</ds:datastoreItem>
</file>

<file path=customXml/itemProps2.xml><?xml version="1.0" encoding="utf-8"?>
<ds:datastoreItem xmlns:ds="http://schemas.openxmlformats.org/officeDocument/2006/customXml" ds:itemID="{8E5DFBA6-F873-4BE3-995A-3A69648880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F6129-4928-4B62-BE73-8C2A91235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5F0F93-522F-4DA0-A8CC-570FC405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579</Words>
  <Characters>3306</Characters>
  <Application>Microsoft Office Word</Application>
  <DocSecurity>0</DocSecurity>
  <Lines>27</Lines>
  <Paragraphs>7</Paragraphs>
  <ScaleCrop>false</ScaleCrop>
  <Company>Mathematica</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HAC Reduction Program PRA Package Summary of Updates</dc:title>
  <dc:subject>Summary of Updates to the FY 2025 Hospital-Acquired Condition (HAC) Reduction Program PRA Package</dc:subject>
  <dc:creator>Centers for Medicare &amp; Medicaid Services</dc:creator>
  <cp:keywords>"PRA; PRA Package; IPPS Measure Exception Form; Validation Reconsideration Request Form; Validation Templates; Hospital-Acquired Condition Reduction Program; HAC Reduction Program; HACRP; FY 2025; 2025; IPPS; proposed rule; FY 2025 IPPS proposed rule"</cp:keywords>
  <cp:lastModifiedBy>Emerson, Kaleigh (CMS/CCSQ)</cp:lastModifiedBy>
  <cp:revision>18</cp:revision>
  <dcterms:created xsi:type="dcterms:W3CDTF">2025-04-28T21:38:00Z</dcterms:created>
  <dcterms:modified xsi:type="dcterms:W3CDTF">2025-05-14T21:01:00Z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0x010100309A1C8480353042A2E61E9ECD0D985B</vt:lpwstr>
  </property>
  <property fmtid="{D5CDD505-2E9C-101B-9397-08002B2CF9AE}" pid="3" name="MediaServiceImageTags">
    <vt:lpwstr/>
  </property>
</Properties>
</file>