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7ECE" w:rsidRPr="007A1181" w:rsidP="00977ECE" w14:paraId="7C24C4EF" w14:textId="77777777">
      <w:pPr>
        <w:tabs>
          <w:tab w:val="left" w:pos="1080"/>
        </w:tabs>
        <w:ind w:left="1080" w:hanging="1080"/>
        <w:rPr>
          <w:b/>
          <w:bCs/>
        </w:rPr>
      </w:pPr>
    </w:p>
    <w:p w:rsidR="00631913" w:rsidRPr="007A1181" w:rsidP="00631913" w14:paraId="29A40E78" w14:textId="3345521C">
      <w:pPr>
        <w:tabs>
          <w:tab w:val="left" w:pos="1080"/>
        </w:tabs>
        <w:ind w:left="1080" w:hanging="1080"/>
      </w:pPr>
      <w:r w:rsidRPr="007A1181">
        <w:rPr>
          <w:b/>
          <w:bCs/>
        </w:rPr>
        <w:t>To:</w:t>
      </w:r>
      <w:r w:rsidRPr="007A1181">
        <w:tab/>
      </w:r>
      <w:r w:rsidR="00DE5ABE">
        <w:t xml:space="preserve">Jamie Wilson </w:t>
      </w:r>
      <w:r w:rsidRPr="007A1181">
        <w:t xml:space="preserve"> </w:t>
      </w:r>
    </w:p>
    <w:p w:rsidR="00977ECE" w:rsidRPr="007A1181" w:rsidP="00631913" w14:paraId="15CBDEFF" w14:textId="77777777">
      <w:pPr>
        <w:tabs>
          <w:tab w:val="left" w:pos="1080"/>
        </w:tabs>
        <w:ind w:left="1080" w:hanging="1080"/>
      </w:pPr>
      <w:r w:rsidRPr="007A1181">
        <w:rPr>
          <w:b/>
          <w:bCs/>
        </w:rPr>
        <w:tab/>
      </w:r>
      <w:r w:rsidRPr="007A1181">
        <w:t>Office of Information and Regulatory Affairs (OIRA)</w:t>
      </w:r>
    </w:p>
    <w:p w:rsidR="00977ECE" w:rsidRPr="007A1181" w:rsidP="00977ECE" w14:paraId="4936A877" w14:textId="77777777">
      <w:pPr>
        <w:tabs>
          <w:tab w:val="left" w:pos="1080"/>
        </w:tabs>
        <w:ind w:left="1080" w:hanging="1080"/>
      </w:pPr>
      <w:r w:rsidRPr="007A1181">
        <w:tab/>
        <w:t>Office of Management and Budget (OMB)</w:t>
      </w:r>
    </w:p>
    <w:p w:rsidR="00977ECE" w:rsidRPr="007A1181" w:rsidP="00977ECE" w14:paraId="50E9B02D" w14:textId="77777777">
      <w:pPr>
        <w:tabs>
          <w:tab w:val="left" w:pos="1080"/>
        </w:tabs>
        <w:ind w:left="1080" w:hanging="1080"/>
      </w:pPr>
    </w:p>
    <w:p w:rsidR="00977ECE" w:rsidRPr="007A1181" w:rsidP="00977ECE" w14:paraId="30188B1C" w14:textId="32852CCF">
      <w:pPr>
        <w:tabs>
          <w:tab w:val="left" w:pos="1080"/>
        </w:tabs>
        <w:ind w:left="1080" w:hanging="1080"/>
      </w:pPr>
      <w:r w:rsidRPr="007A1181">
        <w:rPr>
          <w:b/>
          <w:bCs/>
        </w:rPr>
        <w:t>From:</w:t>
      </w:r>
      <w:r w:rsidRPr="007A1181">
        <w:tab/>
      </w:r>
      <w:r w:rsidRPr="00DE5ABE" w:rsidR="00DE5ABE">
        <w:t>AnhViet</w:t>
      </w:r>
      <w:r w:rsidR="00DE5ABE">
        <w:t xml:space="preserve"> </w:t>
      </w:r>
      <w:r w:rsidRPr="00DE5ABE" w:rsidR="00DE5ABE">
        <w:t>Nguyen</w:t>
      </w:r>
    </w:p>
    <w:p w:rsidR="00977ECE" w:rsidRPr="007A1181" w:rsidP="00977ECE" w14:paraId="389D8611" w14:textId="77777777">
      <w:pPr>
        <w:tabs>
          <w:tab w:val="left" w:pos="1080"/>
        </w:tabs>
        <w:ind w:left="1080" w:hanging="1080"/>
        <w:rPr>
          <w:bCs/>
        </w:rPr>
      </w:pPr>
      <w:r w:rsidRPr="007A1181">
        <w:rPr>
          <w:b/>
          <w:bCs/>
        </w:rPr>
        <w:tab/>
      </w:r>
      <w:r w:rsidRPr="007A1181">
        <w:rPr>
          <w:bCs/>
        </w:rPr>
        <w:t>Centers for Medicare Services (CMS)</w:t>
      </w:r>
    </w:p>
    <w:p w:rsidR="00977ECE" w:rsidRPr="007A1181" w:rsidP="00977ECE" w14:paraId="0E2D0C4D" w14:textId="77777777">
      <w:pPr>
        <w:tabs>
          <w:tab w:val="left" w:pos="1080"/>
        </w:tabs>
        <w:ind w:left="1080" w:hanging="1080"/>
      </w:pPr>
      <w:r w:rsidRPr="007A1181">
        <w:tab/>
        <w:t xml:space="preserve">Medicare Enrollment and Appeals Group (MEAG/Division of Eligibility and Enrollment (DEEP) </w:t>
      </w:r>
      <w:r w:rsidRPr="007A1181">
        <w:tab/>
      </w:r>
    </w:p>
    <w:p w:rsidR="00977ECE" w:rsidRPr="007A1181" w:rsidP="00977ECE" w14:paraId="713D9C71" w14:textId="77777777">
      <w:pPr>
        <w:tabs>
          <w:tab w:val="left" w:pos="1080"/>
        </w:tabs>
        <w:ind w:left="1080" w:hanging="1080"/>
      </w:pPr>
    </w:p>
    <w:p w:rsidR="00977ECE" w:rsidRPr="007A1181" w:rsidP="00977ECE" w14:paraId="63A79D46" w14:textId="3D1A4293">
      <w:pPr>
        <w:tabs>
          <w:tab w:val="left" w:pos="1080"/>
        </w:tabs>
      </w:pPr>
      <w:r w:rsidRPr="007A1181">
        <w:rPr>
          <w:b/>
          <w:bCs/>
        </w:rPr>
        <w:t>Date:</w:t>
      </w:r>
      <w:r w:rsidRPr="007A1181">
        <w:tab/>
      </w:r>
      <w:r w:rsidRPr="007A1181" w:rsidR="009B55DA">
        <w:t>May</w:t>
      </w:r>
      <w:r w:rsidRPr="007A1181" w:rsidR="006C0A1D">
        <w:t xml:space="preserve"> </w:t>
      </w:r>
      <w:r w:rsidR="00DE5ABE">
        <w:t>29</w:t>
      </w:r>
      <w:r w:rsidRPr="007A1181">
        <w:t>, 202</w:t>
      </w:r>
      <w:r w:rsidRPr="007A1181" w:rsidR="00EA3807">
        <w:t>5</w:t>
      </w:r>
    </w:p>
    <w:p w:rsidR="00977ECE" w:rsidRPr="007A1181" w:rsidP="00977ECE" w14:paraId="30497AF2" w14:textId="77777777">
      <w:pPr>
        <w:tabs>
          <w:tab w:val="left" w:pos="1080"/>
        </w:tabs>
      </w:pPr>
    </w:p>
    <w:p w:rsidR="00977ECE" w:rsidRPr="007A1181" w:rsidP="009173C6" w14:paraId="0DFE5AB4" w14:textId="72B98C1D">
      <w:pPr>
        <w:pBdr>
          <w:bottom w:val="single" w:sz="12" w:space="1" w:color="auto"/>
        </w:pBdr>
        <w:tabs>
          <w:tab w:val="left" w:pos="1080"/>
        </w:tabs>
        <w:ind w:left="1080" w:hanging="1080"/>
      </w:pPr>
      <w:r w:rsidRPr="007A1181">
        <w:rPr>
          <w:b/>
          <w:bCs/>
        </w:rPr>
        <w:t>Subject:</w:t>
      </w:r>
      <w:r w:rsidRPr="007A1181">
        <w:tab/>
        <w:t xml:space="preserve">Non-substantive Change Request – </w:t>
      </w:r>
      <w:bookmarkStart w:id="0" w:name="_Hlk134795973"/>
      <w:r w:rsidRPr="007A1181" w:rsidR="009173C6">
        <w:t>Model Medicare Advantage and Medicare Prescription Drug Plan Individual Enrollment Request Form (CMS-10718, OMB 0938-1378)</w:t>
      </w:r>
      <w:r w:rsidRPr="007A1181" w:rsidR="00D0476E">
        <w:t xml:space="preserve"> </w:t>
      </w:r>
    </w:p>
    <w:p w:rsidR="001A7925" w:rsidRPr="007A1181" w:rsidP="009173C6" w14:paraId="6F25835A" w14:textId="77777777">
      <w:pPr>
        <w:pBdr>
          <w:bottom w:val="single" w:sz="12" w:space="1" w:color="auto"/>
        </w:pBdr>
        <w:tabs>
          <w:tab w:val="left" w:pos="1080"/>
        </w:tabs>
        <w:ind w:left="1080" w:hanging="1080"/>
      </w:pPr>
    </w:p>
    <w:bookmarkEnd w:id="0"/>
    <w:p w:rsidR="00977ECE" w:rsidRPr="007A1181" w:rsidP="00977ECE" w14:paraId="71EA551F" w14:textId="77777777">
      <w:pPr>
        <w:tabs>
          <w:tab w:val="left" w:pos="1080"/>
        </w:tabs>
        <w:ind w:left="1080" w:hanging="1080"/>
      </w:pPr>
    </w:p>
    <w:p w:rsidR="00977ECE" w:rsidRPr="007A1181" w:rsidP="00977ECE" w14:paraId="45D08D22" w14:textId="239847BD">
      <w:r w:rsidRPr="007A1181">
        <w:t xml:space="preserve">This memo </w:t>
      </w:r>
      <w:bookmarkStart w:id="1" w:name="_Hlk198636837"/>
      <w:r w:rsidRPr="007A1181">
        <w:t xml:space="preserve">requests approval of </w:t>
      </w:r>
      <w:r w:rsidR="00D515DB">
        <w:t>changes to cost and burden estimates</w:t>
      </w:r>
      <w:r w:rsidRPr="007A1181">
        <w:t xml:space="preserve"> </w:t>
      </w:r>
      <w:r w:rsidR="00D515DB">
        <w:t>in</w:t>
      </w:r>
      <w:r w:rsidRPr="007A1181">
        <w:t xml:space="preserve"> the approved information collection</w:t>
      </w:r>
      <w:bookmarkEnd w:id="1"/>
      <w:r w:rsidRPr="007A1181">
        <w:t xml:space="preserve">, </w:t>
      </w:r>
      <w:r w:rsidRPr="007A1181" w:rsidR="009173C6">
        <w:t xml:space="preserve">Model Medicare Advantage </w:t>
      </w:r>
      <w:r w:rsidRPr="007A1181" w:rsidR="0069555F">
        <w:t xml:space="preserve">(MA) </w:t>
      </w:r>
      <w:r w:rsidRPr="007A1181" w:rsidR="009173C6">
        <w:t xml:space="preserve">and Medicare Prescription Drug Plan </w:t>
      </w:r>
      <w:r w:rsidRPr="007A1181" w:rsidR="0069555F">
        <w:t xml:space="preserve">(Part D) </w:t>
      </w:r>
      <w:r w:rsidRPr="007A1181" w:rsidR="009173C6">
        <w:t>Individual Enrollment Request Form (CMS-10718, OMB 0938-1378)</w:t>
      </w:r>
      <w:r w:rsidRPr="007A1181">
        <w:t xml:space="preserve">. </w:t>
      </w:r>
      <w:r w:rsidR="008278E6">
        <w:t>This iteration does not propose changes to the collection instrument.</w:t>
      </w:r>
    </w:p>
    <w:p w:rsidR="00977ECE" w:rsidRPr="007A1181" w:rsidP="00977ECE" w14:paraId="6CC32964" w14:textId="77777777"/>
    <w:p w:rsidR="00A13916" w:rsidRPr="007A1181" w:rsidP="00D52B6E" w14:paraId="6E8585BB" w14:textId="74E9A4A2">
      <w:pPr>
        <w:spacing w:after="120"/>
      </w:pPr>
      <w:r w:rsidRPr="007A1181">
        <w:rPr>
          <w:b/>
          <w:i/>
        </w:rPr>
        <w:t>Background</w:t>
      </w:r>
    </w:p>
    <w:p w:rsidR="00A95425" w:rsidRPr="007A1181" w:rsidP="005D1680" w14:paraId="365A6F8E" w14:textId="56CE996E">
      <w:pPr>
        <w:spacing w:line="237" w:lineRule="auto"/>
        <w:ind w:left="-5" w:right="-2"/>
      </w:pPr>
      <w:r w:rsidRPr="007A1181">
        <w:t xml:space="preserve">OMB approved the revised collection of information on </w:t>
      </w:r>
      <w:r w:rsidRPr="007A1181" w:rsidR="009B55DA">
        <w:t xml:space="preserve">April 9, </w:t>
      </w:r>
      <w:r w:rsidRPr="007A1181" w:rsidR="009B55DA">
        <w:t>2025</w:t>
      </w:r>
      <w:r w:rsidRPr="007A1181">
        <w:t xml:space="preserve"> to </w:t>
      </w:r>
      <w:r w:rsidRPr="007A1181" w:rsidR="009B55DA">
        <w:t>remove</w:t>
      </w:r>
      <w:r w:rsidRPr="007A1181">
        <w:t xml:space="preserve"> voluntary </w:t>
      </w:r>
      <w:r w:rsidRPr="007A1181" w:rsidR="009B55DA">
        <w:t xml:space="preserve">race, ethnicity, </w:t>
      </w:r>
      <w:r w:rsidRPr="007A1181">
        <w:t>sexual orientation</w:t>
      </w:r>
      <w:r w:rsidRPr="007A1181" w:rsidR="009B55DA">
        <w:t>,</w:t>
      </w:r>
      <w:r w:rsidRPr="007A1181">
        <w:t xml:space="preserve"> and gender identity questions </w:t>
      </w:r>
      <w:r w:rsidRPr="007A1181" w:rsidR="009B55DA">
        <w:t>from</w:t>
      </w:r>
      <w:r w:rsidRPr="007A1181">
        <w:t xml:space="preserve"> the model MA and Part D enrollment form</w:t>
      </w:r>
      <w:r w:rsidRPr="007A1181" w:rsidR="0069555F">
        <w:t xml:space="preserve"> (CMS-10718)</w:t>
      </w:r>
      <w:r w:rsidRPr="007A1181">
        <w:t>.</w:t>
      </w:r>
      <w:r>
        <w:rPr>
          <w:rStyle w:val="FootnoteReference"/>
        </w:rPr>
        <w:footnoteReference w:id="2"/>
      </w:r>
      <w:r w:rsidRPr="007A1181">
        <w:t xml:space="preserve"> </w:t>
      </w:r>
    </w:p>
    <w:p w:rsidR="005D1680" w:rsidRPr="007A1181" w:rsidP="005D1680" w14:paraId="50F5CA55" w14:textId="77777777">
      <w:pPr>
        <w:spacing w:line="237" w:lineRule="auto"/>
        <w:ind w:left="-5" w:right="-2"/>
      </w:pPr>
    </w:p>
    <w:p w:rsidR="009B55DA" w:rsidRPr="007A1181" w:rsidP="009B55DA" w14:paraId="439A4CCE" w14:textId="24E0F86A">
      <w:pPr>
        <w:widowControl/>
        <w:suppressAutoHyphens w:val="0"/>
        <w:spacing w:after="160" w:line="259" w:lineRule="auto"/>
      </w:pPr>
      <w:r w:rsidRPr="007A1181">
        <w:rPr>
          <w:b/>
          <w:i/>
        </w:rPr>
        <w:t>Overview of Requested Changes</w:t>
      </w:r>
    </w:p>
    <w:p w:rsidR="009B55DA" w:rsidRPr="007A1181" w:rsidP="0069555F" w14:paraId="2BDC1962" w14:textId="51A34473">
      <w:pPr>
        <w:widowControl/>
        <w:suppressAutoHyphens w:val="0"/>
        <w:contextualSpacing/>
        <w:rPr>
          <w:rFonts w:eastAsia="Times New Roman"/>
          <w:kern w:val="0"/>
        </w:rPr>
      </w:pPr>
      <w:r w:rsidRPr="007A1181">
        <w:rPr>
          <w:rFonts w:eastAsia="Times New Roman"/>
          <w:kern w:val="0"/>
        </w:rPr>
        <w:t xml:space="preserve">Pursuant to </w:t>
      </w:r>
      <w:hyperlink r:id="rId10" w:history="1">
        <w:r w:rsidRPr="00C47A73">
          <w:rPr>
            <w:rStyle w:val="Hyperlink"/>
            <w:rFonts w:eastAsia="Times New Roman"/>
            <w:kern w:val="0"/>
          </w:rPr>
          <w:t>Executive Order (EO) 14192</w:t>
        </w:r>
      </w:hyperlink>
      <w:r w:rsidRPr="007A1181">
        <w:rPr>
          <w:rFonts w:eastAsia="Times New Roman"/>
          <w:kern w:val="0"/>
        </w:rPr>
        <w:t xml:space="preserve">, “Unleashing Prosperity Through Deregulation,” </w:t>
      </w:r>
      <w:bookmarkStart w:id="2" w:name="_Hlk198638687"/>
      <w:r w:rsidRPr="007A1181">
        <w:rPr>
          <w:rFonts w:eastAsia="Times New Roman"/>
          <w:kern w:val="0"/>
        </w:rPr>
        <w:t>CMS is proposing reduced cost and burden estimates</w:t>
      </w:r>
      <w:r w:rsidR="004438AB">
        <w:rPr>
          <w:rFonts w:eastAsia="Times New Roman"/>
          <w:kern w:val="0"/>
        </w:rPr>
        <w:t xml:space="preserve"> to more accurately reflect changes</w:t>
      </w:r>
      <w:r w:rsidRPr="007A1181">
        <w:rPr>
          <w:rFonts w:eastAsia="Times New Roman"/>
          <w:kern w:val="0"/>
        </w:rPr>
        <w:t xml:space="preserve"> </w:t>
      </w:r>
      <w:r w:rsidR="00C47A73">
        <w:rPr>
          <w:rFonts w:eastAsia="Times New Roman"/>
          <w:kern w:val="0"/>
        </w:rPr>
        <w:t>resulting from</w:t>
      </w:r>
      <w:r w:rsidRPr="007A1181">
        <w:rPr>
          <w:rFonts w:eastAsia="Times New Roman"/>
          <w:kern w:val="0"/>
        </w:rPr>
        <w:t xml:space="preserve"> the</w:t>
      </w:r>
      <w:r w:rsidRPr="007A1181" w:rsidR="007A1181">
        <w:rPr>
          <w:rFonts w:eastAsia="Times New Roman"/>
          <w:kern w:val="0"/>
        </w:rPr>
        <w:t xml:space="preserve"> recent</w:t>
      </w:r>
      <w:r w:rsidRPr="007A1181">
        <w:rPr>
          <w:rFonts w:eastAsia="Times New Roman"/>
          <w:kern w:val="0"/>
        </w:rPr>
        <w:t xml:space="preserve"> removal of </w:t>
      </w:r>
      <w:r w:rsidRPr="007A1181">
        <w:t>voluntary race, ethnicity, sexual orientation, and gender identity questions from the model MA and Part D enrollment form</w:t>
      </w:r>
      <w:r w:rsidRPr="007A1181">
        <w:rPr>
          <w:rFonts w:eastAsia="Times New Roman"/>
          <w:kern w:val="0"/>
        </w:rPr>
        <w:t>.</w:t>
      </w:r>
      <w:r w:rsidRPr="00CE6588" w:rsidR="00CE6588">
        <w:t xml:space="preserve"> </w:t>
      </w:r>
      <w:bookmarkStart w:id="3" w:name="_Hlk198637778"/>
      <w:r w:rsidRPr="00066971" w:rsidR="00CE6588">
        <w:t>These savings stem directly from the streamlined form that reduces completion time benefiting both beneficiaries and administrative processes across the</w:t>
      </w:r>
      <w:r w:rsidR="00CE6588">
        <w:t xml:space="preserve"> MA and Part D</w:t>
      </w:r>
      <w:r w:rsidRPr="00066971" w:rsidR="00CE6588">
        <w:t xml:space="preserve"> programs.</w:t>
      </w:r>
      <w:bookmarkEnd w:id="3"/>
    </w:p>
    <w:p w:rsidR="009B55DA" w:rsidRPr="007A1181" w:rsidP="009B55DA" w14:paraId="2744AEE2" w14:textId="77777777">
      <w:pPr>
        <w:rPr>
          <w:rFonts w:eastAsia="Times New Roman"/>
          <w:kern w:val="0"/>
        </w:rPr>
      </w:pPr>
    </w:p>
    <w:p w:rsidR="009B55DA" w:rsidRPr="009B55DA" w:rsidP="009B55DA" w14:paraId="4EECFE86" w14:textId="76E15BA9">
      <w:r w:rsidRPr="007A1181">
        <w:rPr>
          <w:rFonts w:eastAsia="Times New Roman"/>
          <w:kern w:val="0"/>
        </w:rPr>
        <w:t xml:space="preserve">CMS </w:t>
      </w:r>
      <w:r w:rsidR="00C47A73">
        <w:rPr>
          <w:rFonts w:eastAsia="Times New Roman"/>
          <w:kern w:val="0"/>
        </w:rPr>
        <w:t xml:space="preserve">is </w:t>
      </w:r>
      <w:r w:rsidRPr="009B55DA">
        <w:t>removing fields related to sexual orientation</w:t>
      </w:r>
      <w:r w:rsidR="00C47A73">
        <w:t xml:space="preserve">, </w:t>
      </w:r>
      <w:r w:rsidRPr="009B55DA">
        <w:t>gender identity</w:t>
      </w:r>
      <w:r w:rsidR="00C47A73">
        <w:t xml:space="preserve">, </w:t>
      </w:r>
      <w:r w:rsidRPr="009B55DA">
        <w:t>race</w:t>
      </w:r>
      <w:r w:rsidR="00C47A73">
        <w:t>,</w:t>
      </w:r>
      <w:r w:rsidRPr="009B55DA">
        <w:t xml:space="preserve"> and ethnicity from the MA and PDP model enrollment form to align with recent EOs. The updated form removes multiple fields that reduces the form from 4 pages to 3 pages and removes multiple fields that </w:t>
      </w:r>
      <w:r w:rsidRPr="009B55DA">
        <w:t xml:space="preserve">plans, and their agents, would collect from </w:t>
      </w:r>
      <w:r w:rsidRPr="007A1181">
        <w:t>applicants</w:t>
      </w:r>
      <w:r w:rsidRPr="009B55DA">
        <w:t xml:space="preserve"> and </w:t>
      </w:r>
      <w:r w:rsidRPr="007A1181">
        <w:t>submit</w:t>
      </w:r>
      <w:r w:rsidRPr="009B55DA">
        <w:t xml:space="preserve"> to CMS. Conservatively, we estimate that this will reduce the time burden </w:t>
      </w:r>
      <w:r w:rsidRPr="007A1181">
        <w:t xml:space="preserve">for applicants </w:t>
      </w:r>
      <w:r w:rsidRPr="009B55DA">
        <w:t>to fill out the form by 10% or 2 minutes</w:t>
      </w:r>
      <w:r w:rsidRPr="007A1181">
        <w:t>. B</w:t>
      </w:r>
      <w:r w:rsidRPr="009B55DA">
        <w:t xml:space="preserve">ased on </w:t>
      </w:r>
      <w:r w:rsidRPr="005401D3" w:rsidR="00B12416">
        <w:t>19,815,897</w:t>
      </w:r>
      <w:r w:rsidRPr="007A1181">
        <w:t xml:space="preserve"> total MA and Part D</w:t>
      </w:r>
      <w:r w:rsidRPr="009B55DA">
        <w:t xml:space="preserve"> enrollments </w:t>
      </w:r>
      <w:r w:rsidRPr="007A1181">
        <w:t xml:space="preserve">processed </w:t>
      </w:r>
      <w:r w:rsidR="00111D91">
        <w:t>annually</w:t>
      </w:r>
      <w:r w:rsidRPr="009B55DA">
        <w:t xml:space="preserve"> and </w:t>
      </w:r>
      <w:r w:rsidR="007A1181">
        <w:t>mean</w:t>
      </w:r>
      <w:r w:rsidRPr="009B55DA">
        <w:t xml:space="preserve"> wage rate</w:t>
      </w:r>
      <w:r w:rsidRPr="007A1181" w:rsidR="007A1181">
        <w:t xml:space="preserve"> at $3</w:t>
      </w:r>
      <w:r w:rsidR="00B12416">
        <w:t>1.48</w:t>
      </w:r>
      <w:r w:rsidRPr="007A1181" w:rsidR="007A1181">
        <w:t>/</w:t>
      </w:r>
      <w:r w:rsidRPr="007A1181" w:rsidR="007A1181">
        <w:t>hr</w:t>
      </w:r>
      <w:r>
        <w:rPr>
          <w:rStyle w:val="FootnoteReference"/>
        </w:rPr>
        <w:footnoteReference w:id="3"/>
      </w:r>
      <w:r w:rsidRPr="009B55DA">
        <w:t xml:space="preserve">, </w:t>
      </w:r>
      <w:r w:rsidRPr="007A1181" w:rsidR="007A1181">
        <w:t xml:space="preserve">we estimate that </w:t>
      </w:r>
      <w:r w:rsidRPr="009B55DA">
        <w:t>this will yield a total cost savings of approximately $</w:t>
      </w:r>
      <w:r w:rsidRPr="005401D3" w:rsidR="00B12416">
        <w:t>20</w:t>
      </w:r>
      <w:r w:rsidR="00B12416">
        <w:t>.5</w:t>
      </w:r>
      <w:r w:rsidRPr="009B55DA">
        <w:t xml:space="preserve"> million annually for completing these enrollments. </w:t>
      </w:r>
    </w:p>
    <w:p w:rsidR="00A5543F" w:rsidRPr="009B55DA" w:rsidP="009B55DA" w14:paraId="69B4A8BD" w14:textId="77777777"/>
    <w:p w:rsidR="009B55DA" w:rsidP="009B55DA" w14:paraId="4A948908" w14:textId="587630B8">
      <w:r w:rsidRPr="009B55DA">
        <w:t>Effectively, removing these fields will reduce time and burden it takes to enroll individuals in an MA</w:t>
      </w:r>
      <w:r w:rsidRPr="007A1181">
        <w:t xml:space="preserve"> or Part D</w:t>
      </w:r>
      <w:r w:rsidRPr="009B55DA">
        <w:t xml:space="preserve"> plan.  The form has now been approved by OMB via the PRA process, so we can rescind the prior guidance that included the additional fields on the form.</w:t>
      </w:r>
    </w:p>
    <w:bookmarkEnd w:id="2"/>
    <w:p w:rsidR="00A5543F" w:rsidP="009B55DA" w14:paraId="42D90973" w14:textId="77777777"/>
    <w:p w:rsidR="00A5543F" w:rsidP="009B55DA" w14:paraId="5C48850B" w14:textId="61B61DED">
      <w:pPr>
        <w:rPr>
          <w:i/>
          <w:iCs/>
        </w:rPr>
      </w:pPr>
      <w:r>
        <w:rPr>
          <w:i/>
          <w:iCs/>
        </w:rPr>
        <w:t xml:space="preserve">Cost and Burden Estimate </w:t>
      </w:r>
      <w:r>
        <w:rPr>
          <w:i/>
          <w:iCs/>
        </w:rPr>
        <w:t>Calculations</w:t>
      </w:r>
    </w:p>
    <w:p w:rsidR="00DA6459" w:rsidP="00DA6459" w14:paraId="52259D10" w14:textId="77777777">
      <w:bookmarkStart w:id="4" w:name="_Hlk89695226"/>
    </w:p>
    <w:p w:rsidR="00A5543F" w:rsidP="00DA6459" w14:paraId="78EFD935" w14:textId="13854920">
      <w:r>
        <w:t xml:space="preserve">Currently, for individuals to complete/submit the MA and Part D enrollment form, we estimate a combined annual aggregate burden of </w:t>
      </w:r>
      <w:r w:rsidRPr="00DA6459">
        <w:rPr>
          <w:b/>
        </w:rPr>
        <w:t>6,598,694</w:t>
      </w:r>
      <w:r>
        <w:rPr>
          <w:b/>
        </w:rPr>
        <w:t xml:space="preserve"> hours</w:t>
      </w:r>
      <w:r>
        <w:t xml:space="preserve"> (</w:t>
      </w:r>
      <w:r w:rsidRPr="00DA6459">
        <w:t>19,815,897</w:t>
      </w:r>
      <w:r>
        <w:t xml:space="preserve"> x 0.333 </w:t>
      </w:r>
      <w:r>
        <w:t>hr</w:t>
      </w:r>
      <w:r>
        <w:t xml:space="preserve">) at a cost of </w:t>
      </w:r>
      <w:r w:rsidRPr="0068281B">
        <w:rPr>
          <w:b/>
          <w:bCs/>
        </w:rPr>
        <w:t>$</w:t>
      </w:r>
      <w:r w:rsidRPr="00DA6459">
        <w:rPr>
          <w:b/>
          <w:bCs/>
        </w:rPr>
        <w:t>207,774,099</w:t>
      </w:r>
      <w:r>
        <w:t xml:space="preserve"> (</w:t>
      </w:r>
      <w:r w:rsidRPr="00DA6459">
        <w:t>6,598,694</w:t>
      </w:r>
      <w:r>
        <w:t xml:space="preserve"> </w:t>
      </w:r>
      <w:r>
        <w:t>hr</w:t>
      </w:r>
      <w:r>
        <w:t xml:space="preserve"> x $31.48/</w:t>
      </w:r>
      <w:r>
        <w:t>hr</w:t>
      </w:r>
      <w:r>
        <w:t xml:space="preserve">). </w:t>
      </w:r>
      <w:r w:rsidR="003F61D5">
        <w:t>In 2022, t</w:t>
      </w:r>
      <w:r w:rsidRPr="009078E9">
        <w:t xml:space="preserve">here </w:t>
      </w:r>
      <w:r>
        <w:t>were</w:t>
      </w:r>
      <w:r w:rsidRPr="009078E9">
        <w:t xml:space="preserve"> </w:t>
      </w:r>
      <w:r w:rsidRPr="0068281B">
        <w:t>11,697,487</w:t>
      </w:r>
      <w:r>
        <w:t xml:space="preserve"> enrollments processed by MA and MA-PDs, and </w:t>
      </w:r>
      <w:r w:rsidRPr="0068281B">
        <w:rPr>
          <w:bCs/>
        </w:rPr>
        <w:t>8,118,410</w:t>
      </w:r>
      <w:r w:rsidRPr="007122C3">
        <w:rPr>
          <w:bCs/>
        </w:rPr>
        <w:t xml:space="preserve"> </w:t>
      </w:r>
      <w:r>
        <w:t xml:space="preserve">enrollments processed by standalone PDPs. Based on the information requested for completion by the applicant on the enrollment form, we currently estimate it takes an enrollee 20 minutes (0.333 </w:t>
      </w:r>
      <w:r>
        <w:t>hr</w:t>
      </w:r>
      <w:r>
        <w:t xml:space="preserve">) to complete. </w:t>
      </w:r>
    </w:p>
    <w:p w:rsidR="00DA6459" w:rsidP="00DA6459" w14:paraId="46BFC981" w14:textId="77777777"/>
    <w:p w:rsidR="00A02407" w:rsidP="00DA6459" w14:paraId="64BD9280" w14:textId="119DC342">
      <w:bookmarkStart w:id="5" w:name="_Hlk198637823"/>
      <w:r w:rsidRPr="00DA6459">
        <w:t xml:space="preserve">With the removal of fields related to sexual orientation, gender identity, race, and ethnicity from the MA and Part D enrollment form, we project a </w:t>
      </w:r>
      <w:r>
        <w:t>2 minute</w:t>
      </w:r>
      <w:r>
        <w:t xml:space="preserve"> </w:t>
      </w:r>
      <w:r w:rsidR="003F61D5">
        <w:t>(</w:t>
      </w:r>
      <w:r>
        <w:t xml:space="preserve">or </w:t>
      </w:r>
      <w:r w:rsidRPr="00DA6459">
        <w:t>10%</w:t>
      </w:r>
      <w:r w:rsidR="003F61D5">
        <w:t>)</w:t>
      </w:r>
      <w:r w:rsidRPr="00DA6459">
        <w:t xml:space="preserve"> </w:t>
      </w:r>
      <w:r w:rsidR="003F61D5">
        <w:t xml:space="preserve">reduction </w:t>
      </w:r>
      <w:r w:rsidRPr="00DA6459">
        <w:t>in</w:t>
      </w:r>
      <w:r>
        <w:t xml:space="preserve"> time to complete the</w:t>
      </w:r>
      <w:r w:rsidRPr="00DA6459">
        <w:t xml:space="preserve"> </w:t>
      </w:r>
      <w:r>
        <w:t>enrollment form</w:t>
      </w:r>
      <w:r w:rsidRPr="00DA6459">
        <w:t>. </w:t>
      </w:r>
      <w:r>
        <w:t xml:space="preserve">Using the </w:t>
      </w:r>
      <w:r w:rsidR="003F61D5">
        <w:t>reduced</w:t>
      </w:r>
      <w:r>
        <w:t xml:space="preserve"> time </w:t>
      </w:r>
      <w:r w:rsidR="00066971">
        <w:t xml:space="preserve">that it takes for an individual to complete an enrollment form (18 minutes or 0.3 </w:t>
      </w:r>
      <w:r w:rsidR="00066971">
        <w:t>hr</w:t>
      </w:r>
      <w:r w:rsidR="00066971">
        <w:t>)</w:t>
      </w:r>
      <w:bookmarkEnd w:id="5"/>
      <w:r>
        <w:t xml:space="preserve">, we estimate a combined annual aggregate burden of </w:t>
      </w:r>
      <w:r w:rsidRPr="00A02407">
        <w:rPr>
          <w:b/>
        </w:rPr>
        <w:t>5,944,769</w:t>
      </w:r>
      <w:r>
        <w:rPr>
          <w:b/>
        </w:rPr>
        <w:t xml:space="preserve"> hours</w:t>
      </w:r>
      <w:r>
        <w:t xml:space="preserve"> (</w:t>
      </w:r>
      <w:r w:rsidRPr="00DA6459">
        <w:t>19,815,897</w:t>
      </w:r>
      <w:r>
        <w:t xml:space="preserve"> x 0.3 </w:t>
      </w:r>
      <w:r>
        <w:t>hr</w:t>
      </w:r>
      <w:r>
        <w:t xml:space="preserve">) at a cost of </w:t>
      </w:r>
      <w:r w:rsidRPr="00A02407">
        <w:rPr>
          <w:b/>
          <w:bCs/>
        </w:rPr>
        <w:t>$187,229,099</w:t>
      </w:r>
      <w:r>
        <w:t xml:space="preserve"> (</w:t>
      </w:r>
      <w:r w:rsidRPr="00A02407">
        <w:t>5,944,769</w:t>
      </w:r>
      <w:r>
        <w:t xml:space="preserve"> </w:t>
      </w:r>
      <w:r>
        <w:t>hr</w:t>
      </w:r>
      <w:r>
        <w:t xml:space="preserve"> x $31.48/</w:t>
      </w:r>
      <w:r>
        <w:t>hr</w:t>
      </w:r>
      <w:r>
        <w:t>)</w:t>
      </w:r>
      <w:r w:rsidR="003371AE">
        <w:t xml:space="preserve"> for individuals completing the form</w:t>
      </w:r>
      <w:r>
        <w:t>.</w:t>
      </w:r>
    </w:p>
    <w:p w:rsidR="00DA6459" w:rsidP="00A5543F" w14:paraId="1B66B5BD" w14:textId="77777777"/>
    <w:p w:rsidR="002E5B43" w:rsidP="00A5543F" w14:paraId="48E12CF7" w14:textId="2E46503F">
      <w:r>
        <w:t>The updated form results in</w:t>
      </w:r>
      <w:r w:rsidRPr="00066971">
        <w:t xml:space="preserve"> a total of </w:t>
      </w:r>
      <w:r w:rsidRPr="003F61D5">
        <w:rPr>
          <w:b/>
          <w:bCs/>
        </w:rPr>
        <w:t>653,925 hours</w:t>
      </w:r>
      <w:r w:rsidRPr="00066971">
        <w:t xml:space="preserve"> saved annually, </w:t>
      </w:r>
      <w:r w:rsidR="003F61D5">
        <w:t>resulting in</w:t>
      </w:r>
      <w:r w:rsidRPr="00066971">
        <w:t xml:space="preserve"> </w:t>
      </w:r>
      <w:r w:rsidR="003F61D5">
        <w:t xml:space="preserve">estimated </w:t>
      </w:r>
      <w:r w:rsidRPr="00066971">
        <w:t xml:space="preserve">cost savings of </w:t>
      </w:r>
      <w:r w:rsidRPr="003F61D5">
        <w:rPr>
          <w:b/>
          <w:bCs/>
        </w:rPr>
        <w:t>$20,545,000</w:t>
      </w:r>
      <w:r w:rsidR="003F61D5">
        <w:t xml:space="preserve"> annually</w:t>
      </w:r>
      <w:r w:rsidRPr="00066971">
        <w:t xml:space="preserve">. </w:t>
      </w:r>
    </w:p>
    <w:bookmarkEnd w:id="4"/>
    <w:p w:rsidR="00A5543F" w:rsidRPr="009B55DA" w:rsidP="009B55DA" w14:paraId="10B55F2D" w14:textId="77777777">
      <w:pPr>
        <w:rPr>
          <w:i/>
          <w:iCs/>
        </w:rPr>
      </w:pPr>
    </w:p>
    <w:p w:rsidR="009B55DA" w:rsidRPr="007A1181" w:rsidP="00977ECE" w14:paraId="10D88152" w14:textId="77777777"/>
    <w:p w:rsidR="004D4996" w14:paraId="57333588" w14:textId="77777777">
      <w:r>
        <w:br w:type="page"/>
      </w:r>
    </w:p>
    <w:tbl>
      <w:tblPr>
        <w:tblW w:w="9630" w:type="dxa"/>
        <w:shd w:val="clear" w:color="auto" w:fill="FFFFFF"/>
        <w:tblCellMar>
          <w:top w:w="15" w:type="dxa"/>
          <w:left w:w="15" w:type="dxa"/>
          <w:bottom w:w="15" w:type="dxa"/>
          <w:right w:w="15" w:type="dxa"/>
        </w:tblCellMar>
        <w:tblLook w:val="04A0"/>
      </w:tblPr>
      <w:tblGrid>
        <w:gridCol w:w="2430"/>
        <w:gridCol w:w="3048"/>
        <w:gridCol w:w="1932"/>
        <w:gridCol w:w="2220"/>
      </w:tblGrid>
      <w:tr w14:paraId="2C85E42D" w14:textId="77777777" w:rsidTr="004D4996">
        <w:tblPrEx>
          <w:tblW w:w="9630" w:type="dxa"/>
          <w:shd w:val="clear" w:color="auto" w:fill="FFFFFF"/>
          <w:tblCellMar>
            <w:top w:w="15" w:type="dxa"/>
            <w:left w:w="15" w:type="dxa"/>
            <w:bottom w:w="15" w:type="dxa"/>
            <w:right w:w="15" w:type="dxa"/>
          </w:tblCellMar>
          <w:tblLook w:val="04A0"/>
        </w:tblPrEx>
        <w:trPr>
          <w:tblHeader/>
        </w:trPr>
        <w:tc>
          <w:tcPr>
            <w:tcW w:w="2430" w:type="dxa"/>
            <w:shd w:val="clear" w:color="auto" w:fill="A6A6A6" w:themeFill="background1" w:themeFillShade="A6"/>
            <w:tcMar>
              <w:top w:w="120" w:type="dxa"/>
              <w:left w:w="120" w:type="dxa"/>
              <w:bottom w:w="120" w:type="dxa"/>
              <w:right w:w="120" w:type="dxa"/>
            </w:tcMar>
            <w:vAlign w:val="center"/>
            <w:hideMark/>
          </w:tcPr>
          <w:p w:rsidR="00BB6698" w:rsidRPr="005401D3" w:rsidP="00FD3C86" w14:paraId="01F0CAD3" w14:textId="123004C2">
            <w:pPr>
              <w:spacing w:after="160" w:line="278" w:lineRule="auto"/>
            </w:pPr>
          </w:p>
        </w:tc>
        <w:tc>
          <w:tcPr>
            <w:tcW w:w="3048" w:type="dxa"/>
            <w:shd w:val="clear" w:color="auto" w:fill="A6A6A6" w:themeFill="background1" w:themeFillShade="A6"/>
            <w:tcMar>
              <w:top w:w="120" w:type="dxa"/>
              <w:left w:w="120" w:type="dxa"/>
              <w:bottom w:w="120" w:type="dxa"/>
              <w:right w:w="120" w:type="dxa"/>
            </w:tcMar>
            <w:vAlign w:val="center"/>
            <w:hideMark/>
          </w:tcPr>
          <w:p w:rsidR="00BB6698" w:rsidRPr="005401D3" w:rsidP="00FD3C86" w14:paraId="0DA1AF90" w14:textId="77777777">
            <w:pPr>
              <w:spacing w:after="160" w:line="278" w:lineRule="auto"/>
              <w:rPr>
                <w:b/>
                <w:bCs/>
              </w:rPr>
            </w:pPr>
            <w:r w:rsidRPr="005401D3">
              <w:rPr>
                <w:b/>
                <w:bCs/>
              </w:rPr>
              <w:t>Currently approved estimates</w:t>
            </w:r>
          </w:p>
        </w:tc>
        <w:tc>
          <w:tcPr>
            <w:tcW w:w="0" w:type="auto"/>
            <w:shd w:val="clear" w:color="auto" w:fill="A6A6A6" w:themeFill="background1" w:themeFillShade="A6"/>
            <w:tcMar>
              <w:top w:w="120" w:type="dxa"/>
              <w:left w:w="120" w:type="dxa"/>
              <w:bottom w:w="120" w:type="dxa"/>
              <w:right w:w="120" w:type="dxa"/>
            </w:tcMar>
            <w:vAlign w:val="center"/>
            <w:hideMark/>
          </w:tcPr>
          <w:p w:rsidR="00BB6698" w:rsidRPr="005401D3" w:rsidP="00FD3C86" w14:paraId="0ED8CF8E" w14:textId="77777777">
            <w:pPr>
              <w:spacing w:after="160" w:line="278" w:lineRule="auto"/>
              <w:rPr>
                <w:b/>
                <w:bCs/>
              </w:rPr>
            </w:pPr>
            <w:r w:rsidRPr="005401D3">
              <w:rPr>
                <w:b/>
                <w:bCs/>
              </w:rPr>
              <w:t>Proposed estimates</w:t>
            </w:r>
          </w:p>
        </w:tc>
        <w:tc>
          <w:tcPr>
            <w:tcW w:w="2220" w:type="dxa"/>
            <w:shd w:val="clear" w:color="auto" w:fill="A6A6A6" w:themeFill="background1" w:themeFillShade="A6"/>
            <w:tcMar>
              <w:top w:w="120" w:type="dxa"/>
              <w:left w:w="120" w:type="dxa"/>
              <w:bottom w:w="120" w:type="dxa"/>
              <w:right w:w="120" w:type="dxa"/>
            </w:tcMar>
            <w:vAlign w:val="center"/>
            <w:hideMark/>
          </w:tcPr>
          <w:p w:rsidR="00BB6698" w:rsidRPr="005401D3" w:rsidP="00FD3C86" w14:paraId="2E9F3375" w14:textId="77777777">
            <w:pPr>
              <w:spacing w:after="160" w:line="278" w:lineRule="auto"/>
              <w:rPr>
                <w:b/>
                <w:bCs/>
              </w:rPr>
            </w:pPr>
            <w:r w:rsidRPr="005401D3">
              <w:rPr>
                <w:b/>
                <w:bCs/>
              </w:rPr>
              <w:t>Difference</w:t>
            </w:r>
          </w:p>
        </w:tc>
      </w:tr>
      <w:tr w14:paraId="5AF192ED" w14:textId="77777777" w:rsidTr="003F61D5">
        <w:tblPrEx>
          <w:tblW w:w="9630" w:type="dxa"/>
          <w:shd w:val="clear" w:color="auto" w:fill="FFFFFF"/>
          <w:tblCellMar>
            <w:top w:w="15" w:type="dxa"/>
            <w:left w:w="15" w:type="dxa"/>
            <w:bottom w:w="15" w:type="dxa"/>
            <w:right w:w="15" w:type="dxa"/>
          </w:tblCellMar>
          <w:tblLook w:val="04A0"/>
        </w:tblPrEx>
        <w:tc>
          <w:tcPr>
            <w:tcW w:w="2430" w:type="dxa"/>
            <w:tcBorders>
              <w:bottom w:val="single" w:sz="4" w:space="0" w:color="D9D9D9"/>
            </w:tcBorders>
            <w:shd w:val="clear" w:color="auto" w:fill="FFFFFF"/>
            <w:tcMar>
              <w:top w:w="120" w:type="dxa"/>
              <w:left w:w="120" w:type="dxa"/>
              <w:bottom w:w="120" w:type="dxa"/>
              <w:right w:w="120" w:type="dxa"/>
            </w:tcMar>
            <w:vAlign w:val="center"/>
            <w:hideMark/>
          </w:tcPr>
          <w:p w:rsidR="00BB6698" w:rsidRPr="005401D3" w:rsidP="00FD3C86" w14:paraId="278F4F91" w14:textId="6524D0C2">
            <w:pPr>
              <w:spacing w:after="160" w:line="278" w:lineRule="auto"/>
              <w:rPr>
                <w:b/>
                <w:bCs/>
              </w:rPr>
            </w:pPr>
            <w:r w:rsidRPr="005401D3">
              <w:rPr>
                <w:b/>
                <w:bCs/>
              </w:rPr>
              <w:t>Time to Complete</w:t>
            </w:r>
            <w:r w:rsidR="003F61D5">
              <w:rPr>
                <w:b/>
                <w:bCs/>
              </w:rPr>
              <w:t xml:space="preserve"> Enrollment Form</w:t>
            </w:r>
          </w:p>
        </w:tc>
        <w:tc>
          <w:tcPr>
            <w:tcW w:w="3048" w:type="dxa"/>
            <w:tcBorders>
              <w:bottom w:val="single" w:sz="4" w:space="0" w:color="D9D9D9"/>
            </w:tcBorders>
            <w:shd w:val="clear" w:color="auto" w:fill="FFFFFF"/>
            <w:tcMar>
              <w:top w:w="120" w:type="dxa"/>
              <w:left w:w="120" w:type="dxa"/>
              <w:bottom w:w="120" w:type="dxa"/>
              <w:right w:w="120" w:type="dxa"/>
            </w:tcMar>
            <w:vAlign w:val="center"/>
            <w:hideMark/>
          </w:tcPr>
          <w:p w:rsidR="00BB6698" w:rsidRPr="005401D3" w:rsidP="00FD3C86" w14:paraId="3FEC3083" w14:textId="77777777">
            <w:pPr>
              <w:spacing w:after="160" w:line="278" w:lineRule="auto"/>
            </w:pPr>
            <w:r w:rsidRPr="005401D3">
              <w:t xml:space="preserve">20 minutes (0.333 </w:t>
            </w:r>
            <w:r w:rsidRPr="005401D3">
              <w:t>hr</w:t>
            </w:r>
            <w:r w:rsidRPr="005401D3">
              <w:t>)</w:t>
            </w:r>
          </w:p>
        </w:tc>
        <w:tc>
          <w:tcPr>
            <w:tcW w:w="0" w:type="auto"/>
            <w:tcBorders>
              <w:bottom w:val="single" w:sz="4" w:space="0" w:color="D9D9D9"/>
            </w:tcBorders>
            <w:shd w:val="clear" w:color="auto" w:fill="FFFFFF"/>
            <w:tcMar>
              <w:top w:w="120" w:type="dxa"/>
              <w:left w:w="120" w:type="dxa"/>
              <w:bottom w:w="120" w:type="dxa"/>
              <w:right w:w="120" w:type="dxa"/>
            </w:tcMar>
            <w:vAlign w:val="center"/>
            <w:hideMark/>
          </w:tcPr>
          <w:p w:rsidR="00BB6698" w:rsidRPr="005401D3" w:rsidP="00FD3C86" w14:paraId="630DEC54" w14:textId="77777777">
            <w:pPr>
              <w:spacing w:after="160" w:line="278" w:lineRule="auto"/>
            </w:pPr>
            <w:r w:rsidRPr="005401D3">
              <w:t xml:space="preserve">18 minutes (0.3 </w:t>
            </w:r>
            <w:r w:rsidRPr="005401D3">
              <w:t>hr</w:t>
            </w:r>
            <w:r w:rsidRPr="005401D3">
              <w:t>)</w:t>
            </w:r>
          </w:p>
        </w:tc>
        <w:tc>
          <w:tcPr>
            <w:tcW w:w="2220" w:type="dxa"/>
            <w:tcBorders>
              <w:bottom w:val="single" w:sz="4" w:space="0" w:color="D9D9D9"/>
            </w:tcBorders>
            <w:shd w:val="clear" w:color="auto" w:fill="FFFFFF"/>
            <w:tcMar>
              <w:top w:w="120" w:type="dxa"/>
              <w:left w:w="120" w:type="dxa"/>
              <w:bottom w:w="120" w:type="dxa"/>
              <w:right w:w="120" w:type="dxa"/>
            </w:tcMar>
            <w:vAlign w:val="center"/>
            <w:hideMark/>
          </w:tcPr>
          <w:p w:rsidR="00BB6698" w:rsidRPr="005401D3" w:rsidP="00FD3C86" w14:paraId="28302B15" w14:textId="77777777">
            <w:pPr>
              <w:spacing w:after="160" w:line="278" w:lineRule="auto"/>
            </w:pPr>
            <w:r w:rsidRPr="005401D3">
              <w:t>-2 minutes (-10%)</w:t>
            </w:r>
          </w:p>
        </w:tc>
      </w:tr>
      <w:tr w14:paraId="212F56B9" w14:textId="77777777" w:rsidTr="003F61D5">
        <w:tblPrEx>
          <w:tblW w:w="9630" w:type="dxa"/>
          <w:shd w:val="clear" w:color="auto" w:fill="FFFFFF"/>
          <w:tblCellMar>
            <w:top w:w="15" w:type="dxa"/>
            <w:left w:w="15" w:type="dxa"/>
            <w:bottom w:w="15" w:type="dxa"/>
            <w:right w:w="15" w:type="dxa"/>
          </w:tblCellMar>
          <w:tblLook w:val="04A0"/>
        </w:tblPrEx>
        <w:tc>
          <w:tcPr>
            <w:tcW w:w="2430" w:type="dxa"/>
            <w:tcBorders>
              <w:bottom w:val="single" w:sz="4" w:space="0" w:color="D9D9D9"/>
            </w:tcBorders>
            <w:shd w:val="clear" w:color="auto" w:fill="FFFFFF"/>
            <w:tcMar>
              <w:top w:w="120" w:type="dxa"/>
              <w:left w:w="120" w:type="dxa"/>
              <w:bottom w:w="120" w:type="dxa"/>
              <w:right w:w="120" w:type="dxa"/>
            </w:tcMar>
            <w:vAlign w:val="center"/>
            <w:hideMark/>
          </w:tcPr>
          <w:p w:rsidR="00BB6698" w:rsidRPr="005401D3" w:rsidP="00FD3C86" w14:paraId="009E8730" w14:textId="222EECED">
            <w:pPr>
              <w:spacing w:after="160" w:line="278" w:lineRule="auto"/>
              <w:rPr>
                <w:b/>
                <w:bCs/>
              </w:rPr>
            </w:pPr>
            <w:r w:rsidRPr="005401D3">
              <w:rPr>
                <w:b/>
                <w:bCs/>
              </w:rPr>
              <w:t>Annual Enrollments</w:t>
            </w:r>
            <w:r w:rsidR="003F61D5">
              <w:rPr>
                <w:b/>
                <w:bCs/>
              </w:rPr>
              <w:t xml:space="preserve"> Processed </w:t>
            </w:r>
          </w:p>
        </w:tc>
        <w:tc>
          <w:tcPr>
            <w:tcW w:w="3048" w:type="dxa"/>
            <w:tcBorders>
              <w:bottom w:val="single" w:sz="4" w:space="0" w:color="D9D9D9"/>
            </w:tcBorders>
            <w:shd w:val="clear" w:color="auto" w:fill="FFFFFF"/>
            <w:tcMar>
              <w:top w:w="120" w:type="dxa"/>
              <w:left w:w="120" w:type="dxa"/>
              <w:bottom w:w="120" w:type="dxa"/>
              <w:right w:w="120" w:type="dxa"/>
            </w:tcMar>
            <w:vAlign w:val="center"/>
            <w:hideMark/>
          </w:tcPr>
          <w:p w:rsidR="00BB6698" w:rsidRPr="005401D3" w:rsidP="00FD3C86" w14:paraId="5CB4DDEE" w14:textId="77777777">
            <w:pPr>
              <w:spacing w:after="160" w:line="278" w:lineRule="auto"/>
            </w:pPr>
            <w:r w:rsidRPr="005401D3">
              <w:t>19,815,897</w:t>
            </w:r>
          </w:p>
        </w:tc>
        <w:tc>
          <w:tcPr>
            <w:tcW w:w="0" w:type="auto"/>
            <w:tcBorders>
              <w:bottom w:val="single" w:sz="4" w:space="0" w:color="D9D9D9"/>
            </w:tcBorders>
            <w:shd w:val="clear" w:color="auto" w:fill="FFFFFF"/>
            <w:tcMar>
              <w:top w:w="120" w:type="dxa"/>
              <w:left w:w="120" w:type="dxa"/>
              <w:bottom w:w="120" w:type="dxa"/>
              <w:right w:w="120" w:type="dxa"/>
            </w:tcMar>
            <w:vAlign w:val="center"/>
            <w:hideMark/>
          </w:tcPr>
          <w:p w:rsidR="00BB6698" w:rsidRPr="005401D3" w:rsidP="00FD3C86" w14:paraId="21B2D4B9" w14:textId="77777777">
            <w:pPr>
              <w:spacing w:after="160" w:line="278" w:lineRule="auto"/>
            </w:pPr>
            <w:r w:rsidRPr="005401D3">
              <w:t>19,815,897</w:t>
            </w:r>
          </w:p>
        </w:tc>
        <w:tc>
          <w:tcPr>
            <w:tcW w:w="2220" w:type="dxa"/>
            <w:tcBorders>
              <w:bottom w:val="single" w:sz="4" w:space="0" w:color="D9D9D9"/>
            </w:tcBorders>
            <w:shd w:val="clear" w:color="auto" w:fill="FFFFFF"/>
            <w:tcMar>
              <w:top w:w="120" w:type="dxa"/>
              <w:left w:w="120" w:type="dxa"/>
              <w:bottom w:w="120" w:type="dxa"/>
              <w:right w:w="120" w:type="dxa"/>
            </w:tcMar>
            <w:vAlign w:val="center"/>
            <w:hideMark/>
          </w:tcPr>
          <w:p w:rsidR="00BB6698" w:rsidRPr="005401D3" w:rsidP="00FD3C86" w14:paraId="6497734E" w14:textId="77777777">
            <w:pPr>
              <w:spacing w:after="160" w:line="278" w:lineRule="auto"/>
            </w:pPr>
            <w:r w:rsidRPr="005401D3">
              <w:t>No change</w:t>
            </w:r>
          </w:p>
        </w:tc>
      </w:tr>
      <w:tr w14:paraId="5CEC7ED1" w14:textId="77777777" w:rsidTr="003F61D5">
        <w:tblPrEx>
          <w:tblW w:w="9630" w:type="dxa"/>
          <w:shd w:val="clear" w:color="auto" w:fill="FFFFFF"/>
          <w:tblCellMar>
            <w:top w:w="15" w:type="dxa"/>
            <w:left w:w="15" w:type="dxa"/>
            <w:bottom w:w="15" w:type="dxa"/>
            <w:right w:w="15" w:type="dxa"/>
          </w:tblCellMar>
          <w:tblLook w:val="04A0"/>
        </w:tblPrEx>
        <w:tc>
          <w:tcPr>
            <w:tcW w:w="2430" w:type="dxa"/>
            <w:tcBorders>
              <w:bottom w:val="single" w:sz="4" w:space="0" w:color="D9D9D9"/>
            </w:tcBorders>
            <w:shd w:val="clear" w:color="auto" w:fill="FFFFFF"/>
            <w:tcMar>
              <w:top w:w="120" w:type="dxa"/>
              <w:left w:w="120" w:type="dxa"/>
              <w:bottom w:w="120" w:type="dxa"/>
              <w:right w:w="120" w:type="dxa"/>
            </w:tcMar>
            <w:vAlign w:val="center"/>
            <w:hideMark/>
          </w:tcPr>
          <w:p w:rsidR="00BB6698" w:rsidRPr="005401D3" w:rsidP="00FD3C86" w14:paraId="301EB373" w14:textId="1148DCDB">
            <w:pPr>
              <w:spacing w:after="160" w:line="278" w:lineRule="auto"/>
              <w:rPr>
                <w:b/>
                <w:bCs/>
              </w:rPr>
            </w:pPr>
            <w:r w:rsidRPr="005401D3">
              <w:rPr>
                <w:b/>
                <w:bCs/>
              </w:rPr>
              <w:t>Annual Burden Hours</w:t>
            </w:r>
            <w:r w:rsidRPr="004D4996" w:rsidR="005C27D5">
              <w:rPr>
                <w:b/>
                <w:bCs/>
              </w:rPr>
              <w:t xml:space="preserve"> </w:t>
            </w:r>
            <w:r w:rsidRPr="004D4996" w:rsidR="004D4996">
              <w:rPr>
                <w:b/>
                <w:bCs/>
              </w:rPr>
              <w:t>(Beneficiaries (§§ 422.60 and 423.32)</w:t>
            </w:r>
          </w:p>
        </w:tc>
        <w:tc>
          <w:tcPr>
            <w:tcW w:w="3048" w:type="dxa"/>
            <w:tcBorders>
              <w:bottom w:val="single" w:sz="4" w:space="0" w:color="D9D9D9"/>
            </w:tcBorders>
            <w:shd w:val="clear" w:color="auto" w:fill="FFFFFF"/>
            <w:tcMar>
              <w:top w:w="120" w:type="dxa"/>
              <w:left w:w="120" w:type="dxa"/>
              <w:bottom w:w="120" w:type="dxa"/>
              <w:right w:w="120" w:type="dxa"/>
            </w:tcMar>
            <w:vAlign w:val="center"/>
            <w:hideMark/>
          </w:tcPr>
          <w:p w:rsidR="00BB6698" w:rsidRPr="005401D3" w:rsidP="00FD3C86" w14:paraId="24D71E1E" w14:textId="77777777">
            <w:pPr>
              <w:spacing w:after="160" w:line="278" w:lineRule="auto"/>
            </w:pPr>
            <w:r w:rsidRPr="005401D3">
              <w:t>6,598,694</w:t>
            </w:r>
          </w:p>
        </w:tc>
        <w:tc>
          <w:tcPr>
            <w:tcW w:w="0" w:type="auto"/>
            <w:tcBorders>
              <w:bottom w:val="single" w:sz="4" w:space="0" w:color="D9D9D9"/>
            </w:tcBorders>
            <w:shd w:val="clear" w:color="auto" w:fill="FFFFFF"/>
            <w:tcMar>
              <w:top w:w="120" w:type="dxa"/>
              <w:left w:w="120" w:type="dxa"/>
              <w:bottom w:w="120" w:type="dxa"/>
              <w:right w:w="120" w:type="dxa"/>
            </w:tcMar>
            <w:vAlign w:val="center"/>
            <w:hideMark/>
          </w:tcPr>
          <w:p w:rsidR="00BB6698" w:rsidRPr="005401D3" w:rsidP="00FD3C86" w14:paraId="6BAB287B" w14:textId="77777777">
            <w:pPr>
              <w:spacing w:after="160" w:line="278" w:lineRule="auto"/>
            </w:pPr>
            <w:r w:rsidRPr="005401D3">
              <w:t>5,944,769</w:t>
            </w:r>
          </w:p>
        </w:tc>
        <w:tc>
          <w:tcPr>
            <w:tcW w:w="2220" w:type="dxa"/>
            <w:tcBorders>
              <w:bottom w:val="single" w:sz="4" w:space="0" w:color="D9D9D9"/>
            </w:tcBorders>
            <w:shd w:val="clear" w:color="auto" w:fill="FFFFFF"/>
            <w:tcMar>
              <w:top w:w="120" w:type="dxa"/>
              <w:left w:w="120" w:type="dxa"/>
              <w:bottom w:w="120" w:type="dxa"/>
              <w:right w:w="120" w:type="dxa"/>
            </w:tcMar>
            <w:vAlign w:val="center"/>
            <w:hideMark/>
          </w:tcPr>
          <w:p w:rsidR="00BB6698" w:rsidRPr="005401D3" w:rsidP="00FD3C86" w14:paraId="203CF0BE" w14:textId="77777777">
            <w:pPr>
              <w:spacing w:after="160" w:line="278" w:lineRule="auto"/>
            </w:pPr>
            <w:r w:rsidRPr="005401D3">
              <w:t>-653,925</w:t>
            </w:r>
          </w:p>
        </w:tc>
      </w:tr>
      <w:tr w14:paraId="4C55B4B2" w14:textId="77777777" w:rsidTr="003F61D5">
        <w:tblPrEx>
          <w:tblW w:w="9630" w:type="dxa"/>
          <w:shd w:val="clear" w:color="auto" w:fill="FFFFFF"/>
          <w:tblCellMar>
            <w:top w:w="15" w:type="dxa"/>
            <w:left w:w="15" w:type="dxa"/>
            <w:bottom w:w="15" w:type="dxa"/>
            <w:right w:w="15" w:type="dxa"/>
          </w:tblCellMar>
          <w:tblLook w:val="04A0"/>
        </w:tblPrEx>
        <w:tc>
          <w:tcPr>
            <w:tcW w:w="2430" w:type="dxa"/>
            <w:tcBorders>
              <w:bottom w:val="single" w:sz="4" w:space="0" w:color="D9D9D9"/>
            </w:tcBorders>
            <w:shd w:val="clear" w:color="auto" w:fill="FFFFFF"/>
            <w:tcMar>
              <w:top w:w="120" w:type="dxa"/>
              <w:left w:w="120" w:type="dxa"/>
              <w:bottom w:w="120" w:type="dxa"/>
              <w:right w:w="120" w:type="dxa"/>
            </w:tcMar>
            <w:vAlign w:val="center"/>
            <w:hideMark/>
          </w:tcPr>
          <w:p w:rsidR="00BB6698" w:rsidRPr="005401D3" w:rsidP="00FD3C86" w14:paraId="77C9F0F0" w14:textId="547ABF91">
            <w:pPr>
              <w:spacing w:after="160" w:line="278" w:lineRule="auto"/>
              <w:rPr>
                <w:b/>
                <w:bCs/>
              </w:rPr>
            </w:pPr>
            <w:r>
              <w:rPr>
                <w:b/>
                <w:bCs/>
              </w:rPr>
              <w:t>Labor Rate ($/</w:t>
            </w:r>
            <w:r>
              <w:rPr>
                <w:b/>
                <w:bCs/>
              </w:rPr>
              <w:t>hr</w:t>
            </w:r>
            <w:r>
              <w:rPr>
                <w:b/>
                <w:bCs/>
              </w:rPr>
              <w:t>)</w:t>
            </w:r>
          </w:p>
        </w:tc>
        <w:tc>
          <w:tcPr>
            <w:tcW w:w="3048" w:type="dxa"/>
            <w:tcBorders>
              <w:bottom w:val="single" w:sz="4" w:space="0" w:color="D9D9D9"/>
            </w:tcBorders>
            <w:shd w:val="clear" w:color="auto" w:fill="FFFFFF"/>
            <w:tcMar>
              <w:top w:w="120" w:type="dxa"/>
              <w:left w:w="120" w:type="dxa"/>
              <w:bottom w:w="120" w:type="dxa"/>
              <w:right w:w="120" w:type="dxa"/>
            </w:tcMar>
            <w:vAlign w:val="center"/>
            <w:hideMark/>
          </w:tcPr>
          <w:p w:rsidR="00BB6698" w:rsidRPr="005401D3" w:rsidP="00FD3C86" w14:paraId="192D1F4D" w14:textId="77777777">
            <w:pPr>
              <w:spacing w:after="160" w:line="278" w:lineRule="auto"/>
            </w:pPr>
            <w:r w:rsidRPr="005401D3">
              <w:t>$31.48</w:t>
            </w:r>
          </w:p>
        </w:tc>
        <w:tc>
          <w:tcPr>
            <w:tcW w:w="0" w:type="auto"/>
            <w:tcBorders>
              <w:bottom w:val="single" w:sz="4" w:space="0" w:color="D9D9D9"/>
            </w:tcBorders>
            <w:shd w:val="clear" w:color="auto" w:fill="FFFFFF"/>
            <w:tcMar>
              <w:top w:w="120" w:type="dxa"/>
              <w:left w:w="120" w:type="dxa"/>
              <w:bottom w:w="120" w:type="dxa"/>
              <w:right w:w="120" w:type="dxa"/>
            </w:tcMar>
            <w:vAlign w:val="center"/>
            <w:hideMark/>
          </w:tcPr>
          <w:p w:rsidR="00BB6698" w:rsidRPr="005401D3" w:rsidP="00FD3C86" w14:paraId="7316870A" w14:textId="77777777">
            <w:pPr>
              <w:spacing w:after="160" w:line="278" w:lineRule="auto"/>
            </w:pPr>
            <w:r w:rsidRPr="005401D3">
              <w:t>$31.48</w:t>
            </w:r>
          </w:p>
        </w:tc>
        <w:tc>
          <w:tcPr>
            <w:tcW w:w="2220" w:type="dxa"/>
            <w:tcBorders>
              <w:bottom w:val="single" w:sz="4" w:space="0" w:color="D9D9D9"/>
            </w:tcBorders>
            <w:shd w:val="clear" w:color="auto" w:fill="FFFFFF"/>
            <w:tcMar>
              <w:top w:w="120" w:type="dxa"/>
              <w:left w:w="120" w:type="dxa"/>
              <w:bottom w:w="120" w:type="dxa"/>
              <w:right w:w="120" w:type="dxa"/>
            </w:tcMar>
            <w:vAlign w:val="center"/>
            <w:hideMark/>
          </w:tcPr>
          <w:p w:rsidR="00BB6698" w:rsidRPr="005401D3" w:rsidP="00FD3C86" w14:paraId="42478212" w14:textId="77777777">
            <w:pPr>
              <w:spacing w:after="160" w:line="278" w:lineRule="auto"/>
            </w:pPr>
            <w:r w:rsidRPr="005401D3">
              <w:t>No change</w:t>
            </w:r>
          </w:p>
        </w:tc>
      </w:tr>
      <w:tr w14:paraId="3F1C2AE3" w14:textId="77777777" w:rsidTr="004D4996">
        <w:tblPrEx>
          <w:tblW w:w="9630" w:type="dxa"/>
          <w:shd w:val="clear" w:color="auto" w:fill="FFFFFF"/>
          <w:tblCellMar>
            <w:top w:w="15" w:type="dxa"/>
            <w:left w:w="15" w:type="dxa"/>
            <w:bottom w:w="15" w:type="dxa"/>
            <w:right w:w="15" w:type="dxa"/>
          </w:tblCellMar>
          <w:tblLook w:val="04A0"/>
        </w:tblPrEx>
        <w:tc>
          <w:tcPr>
            <w:tcW w:w="2430" w:type="dxa"/>
            <w:shd w:val="clear" w:color="auto" w:fill="D9D9D9" w:themeFill="background1" w:themeFillShade="D9"/>
            <w:tcMar>
              <w:top w:w="120" w:type="dxa"/>
              <w:left w:w="120" w:type="dxa"/>
              <w:bottom w:w="120" w:type="dxa"/>
              <w:right w:w="120" w:type="dxa"/>
            </w:tcMar>
            <w:vAlign w:val="center"/>
            <w:hideMark/>
          </w:tcPr>
          <w:p w:rsidR="00BB6698" w:rsidRPr="005401D3" w:rsidP="00FD3C86" w14:paraId="0F01E76F" w14:textId="1C32F2BF">
            <w:pPr>
              <w:spacing w:after="160" w:line="278" w:lineRule="auto"/>
              <w:rPr>
                <w:b/>
                <w:bCs/>
              </w:rPr>
            </w:pPr>
            <w:r w:rsidRPr="005401D3">
              <w:rPr>
                <w:b/>
                <w:bCs/>
              </w:rPr>
              <w:t>Total Annual Cost</w:t>
            </w:r>
            <w:r w:rsidRPr="004D4996" w:rsidR="004D4996">
              <w:rPr>
                <w:b/>
                <w:bCs/>
              </w:rPr>
              <w:t xml:space="preserve"> for Information Collection Request</w:t>
            </w:r>
          </w:p>
        </w:tc>
        <w:tc>
          <w:tcPr>
            <w:tcW w:w="3048" w:type="dxa"/>
            <w:shd w:val="clear" w:color="auto" w:fill="D9D9D9" w:themeFill="background1" w:themeFillShade="D9"/>
            <w:tcMar>
              <w:top w:w="120" w:type="dxa"/>
              <w:left w:w="120" w:type="dxa"/>
              <w:bottom w:w="120" w:type="dxa"/>
              <w:right w:w="120" w:type="dxa"/>
            </w:tcMar>
            <w:vAlign w:val="center"/>
            <w:hideMark/>
          </w:tcPr>
          <w:p w:rsidR="00BB6698" w:rsidRPr="005401D3" w:rsidP="00FD3C86" w14:paraId="57184DD6" w14:textId="77777777">
            <w:pPr>
              <w:spacing w:after="160" w:line="278" w:lineRule="auto"/>
              <w:rPr>
                <w:b/>
                <w:bCs/>
              </w:rPr>
            </w:pPr>
            <w:r w:rsidRPr="005401D3">
              <w:rPr>
                <w:b/>
                <w:bCs/>
              </w:rPr>
              <w:t>$207,774,099</w:t>
            </w:r>
          </w:p>
        </w:tc>
        <w:tc>
          <w:tcPr>
            <w:tcW w:w="0" w:type="auto"/>
            <w:shd w:val="clear" w:color="auto" w:fill="D9D9D9" w:themeFill="background1" w:themeFillShade="D9"/>
            <w:tcMar>
              <w:top w:w="120" w:type="dxa"/>
              <w:left w:w="120" w:type="dxa"/>
              <w:bottom w:w="120" w:type="dxa"/>
              <w:right w:w="120" w:type="dxa"/>
            </w:tcMar>
            <w:vAlign w:val="center"/>
            <w:hideMark/>
          </w:tcPr>
          <w:p w:rsidR="00BB6698" w:rsidRPr="005401D3" w:rsidP="00FD3C86" w14:paraId="5A6EF3A4" w14:textId="77777777">
            <w:pPr>
              <w:spacing w:after="160" w:line="278" w:lineRule="auto"/>
              <w:rPr>
                <w:b/>
                <w:bCs/>
              </w:rPr>
            </w:pPr>
            <w:r w:rsidRPr="005401D3">
              <w:rPr>
                <w:b/>
                <w:bCs/>
              </w:rPr>
              <w:t>$187,229,099</w:t>
            </w:r>
          </w:p>
        </w:tc>
        <w:tc>
          <w:tcPr>
            <w:tcW w:w="2220" w:type="dxa"/>
            <w:shd w:val="clear" w:color="auto" w:fill="D9D9D9" w:themeFill="background1" w:themeFillShade="D9"/>
            <w:tcMar>
              <w:top w:w="120" w:type="dxa"/>
              <w:left w:w="120" w:type="dxa"/>
              <w:bottom w:w="120" w:type="dxa"/>
              <w:right w:w="120" w:type="dxa"/>
            </w:tcMar>
            <w:vAlign w:val="center"/>
            <w:hideMark/>
          </w:tcPr>
          <w:p w:rsidR="00BB6698" w:rsidRPr="005401D3" w:rsidP="00FD3C86" w14:paraId="6D85BFCE" w14:textId="77777777">
            <w:pPr>
              <w:spacing w:after="160" w:line="278" w:lineRule="auto"/>
              <w:rPr>
                <w:b/>
                <w:bCs/>
              </w:rPr>
            </w:pPr>
            <w:r w:rsidRPr="005401D3">
              <w:rPr>
                <w:b/>
                <w:bCs/>
              </w:rPr>
              <w:t>-$20,545,000</w:t>
            </w:r>
          </w:p>
        </w:tc>
      </w:tr>
      <w:tr w14:paraId="5E45CB79" w14:textId="77777777" w:rsidTr="004D4996">
        <w:tblPrEx>
          <w:tblW w:w="9630" w:type="dxa"/>
          <w:shd w:val="clear" w:color="auto" w:fill="FFFFFF"/>
          <w:tblCellMar>
            <w:top w:w="15" w:type="dxa"/>
            <w:left w:w="15" w:type="dxa"/>
            <w:bottom w:w="15" w:type="dxa"/>
            <w:right w:w="15" w:type="dxa"/>
          </w:tblCellMar>
          <w:tblLook w:val="04A0"/>
        </w:tblPrEx>
        <w:tc>
          <w:tcPr>
            <w:tcW w:w="2430" w:type="dxa"/>
            <w:tcBorders>
              <w:bottom w:val="single" w:sz="4" w:space="0" w:color="D9D9D9"/>
            </w:tcBorders>
            <w:shd w:val="clear" w:color="auto" w:fill="D9D9D9" w:themeFill="background1" w:themeFillShade="D9"/>
            <w:tcMar>
              <w:top w:w="120" w:type="dxa"/>
              <w:left w:w="120" w:type="dxa"/>
              <w:bottom w:w="120" w:type="dxa"/>
              <w:right w:w="120" w:type="dxa"/>
            </w:tcMar>
            <w:vAlign w:val="center"/>
          </w:tcPr>
          <w:p w:rsidR="004D4996" w:rsidRPr="004D4996" w:rsidP="004D4996" w14:paraId="4D68F099" w14:textId="4EB951E2">
            <w:pPr>
              <w:spacing w:after="160" w:line="278" w:lineRule="auto"/>
              <w:rPr>
                <w:b/>
                <w:bCs/>
              </w:rPr>
            </w:pPr>
            <w:r w:rsidRPr="005401D3">
              <w:rPr>
                <w:b/>
                <w:bCs/>
              </w:rPr>
              <w:t xml:space="preserve">Total </w:t>
            </w:r>
            <w:r w:rsidRPr="004D4996">
              <w:rPr>
                <w:b/>
                <w:bCs/>
              </w:rPr>
              <w:t>Time Burden</w:t>
            </w:r>
            <w:r w:rsidRPr="005401D3">
              <w:rPr>
                <w:b/>
                <w:bCs/>
              </w:rPr>
              <w:t xml:space="preserve"> </w:t>
            </w:r>
            <w:r w:rsidRPr="004D4996">
              <w:rPr>
                <w:b/>
                <w:bCs/>
              </w:rPr>
              <w:t>for Information Collection Request (hours)</w:t>
            </w:r>
          </w:p>
        </w:tc>
        <w:tc>
          <w:tcPr>
            <w:tcW w:w="3048" w:type="dxa"/>
            <w:tcBorders>
              <w:bottom w:val="single" w:sz="4" w:space="0" w:color="D9D9D9"/>
            </w:tcBorders>
            <w:shd w:val="clear" w:color="auto" w:fill="D9D9D9" w:themeFill="background1" w:themeFillShade="D9"/>
            <w:tcMar>
              <w:top w:w="120" w:type="dxa"/>
              <w:left w:w="120" w:type="dxa"/>
              <w:bottom w:w="120" w:type="dxa"/>
              <w:right w:w="120" w:type="dxa"/>
            </w:tcMar>
            <w:vAlign w:val="center"/>
          </w:tcPr>
          <w:p w:rsidR="004D4996" w:rsidRPr="004D4996" w:rsidP="004D4996" w14:paraId="4DE30150" w14:textId="470868B7">
            <w:pPr>
              <w:spacing w:after="160" w:line="278" w:lineRule="auto"/>
              <w:rPr>
                <w:b/>
                <w:bCs/>
              </w:rPr>
            </w:pPr>
            <w:r w:rsidRPr="004D4996">
              <w:rPr>
                <w:b/>
                <w:bCs/>
              </w:rPr>
              <w:t>10,570,530</w:t>
            </w:r>
          </w:p>
        </w:tc>
        <w:tc>
          <w:tcPr>
            <w:tcW w:w="0" w:type="auto"/>
            <w:tcBorders>
              <w:bottom w:val="single" w:sz="4" w:space="0" w:color="D9D9D9"/>
            </w:tcBorders>
            <w:shd w:val="clear" w:color="auto" w:fill="D9D9D9" w:themeFill="background1" w:themeFillShade="D9"/>
            <w:tcMar>
              <w:top w:w="120" w:type="dxa"/>
              <w:left w:w="120" w:type="dxa"/>
              <w:bottom w:w="120" w:type="dxa"/>
              <w:right w:w="120" w:type="dxa"/>
            </w:tcMar>
            <w:vAlign w:val="center"/>
          </w:tcPr>
          <w:p w:rsidR="004D4996" w:rsidRPr="004D4996" w:rsidP="004D4996" w14:paraId="18B62AD7" w14:textId="01E71867">
            <w:pPr>
              <w:spacing w:after="160" w:line="278" w:lineRule="auto"/>
              <w:rPr>
                <w:b/>
                <w:bCs/>
              </w:rPr>
            </w:pPr>
            <w:r w:rsidRPr="004D4996">
              <w:rPr>
                <w:b/>
                <w:bCs/>
              </w:rPr>
              <w:t>9,916,605</w:t>
            </w:r>
          </w:p>
        </w:tc>
        <w:tc>
          <w:tcPr>
            <w:tcW w:w="2220" w:type="dxa"/>
            <w:tcBorders>
              <w:bottom w:val="single" w:sz="4" w:space="0" w:color="D9D9D9"/>
            </w:tcBorders>
            <w:shd w:val="clear" w:color="auto" w:fill="D9D9D9" w:themeFill="background1" w:themeFillShade="D9"/>
            <w:tcMar>
              <w:top w:w="120" w:type="dxa"/>
              <w:left w:w="120" w:type="dxa"/>
              <w:bottom w:w="120" w:type="dxa"/>
              <w:right w:w="120" w:type="dxa"/>
            </w:tcMar>
            <w:vAlign w:val="center"/>
          </w:tcPr>
          <w:p w:rsidR="004D4996" w:rsidRPr="004D4996" w:rsidP="004D4996" w14:paraId="1F96263E" w14:textId="548F229F">
            <w:pPr>
              <w:spacing w:after="160" w:line="278" w:lineRule="auto"/>
              <w:rPr>
                <w:b/>
                <w:bCs/>
              </w:rPr>
            </w:pPr>
            <w:r w:rsidRPr="004D4996">
              <w:rPr>
                <w:b/>
                <w:bCs/>
              </w:rPr>
              <w:t>-653,925</w:t>
            </w:r>
          </w:p>
        </w:tc>
      </w:tr>
    </w:tbl>
    <w:p w:rsidR="00EC484A" w:rsidRPr="007A1181" w14:paraId="27C1C621" w14:textId="5EF63F68"/>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1E83" w:rsidP="00891A1E" w14:paraId="35D734C0" w14:textId="77777777">
      <w:r>
        <w:separator/>
      </w:r>
    </w:p>
  </w:footnote>
  <w:footnote w:type="continuationSeparator" w:id="1">
    <w:p w:rsidR="00151E83" w:rsidP="00891A1E" w14:paraId="194F3401" w14:textId="77777777">
      <w:r>
        <w:continuationSeparator/>
      </w:r>
    </w:p>
  </w:footnote>
  <w:footnote w:id="2">
    <w:p w:rsidR="00891A1E" w14:paraId="6E6498C1" w14:textId="4D8B21AD">
      <w:pPr>
        <w:pStyle w:val="FootnoteText"/>
      </w:pPr>
      <w:r>
        <w:rPr>
          <w:rStyle w:val="FootnoteReference"/>
        </w:rPr>
        <w:footnoteRef/>
      </w:r>
      <w:r>
        <w:t xml:space="preserve"> As required by 42 CFR 422.50(a)(5), an MA eligible </w:t>
      </w:r>
      <w:r w:rsidRPr="00281A4C">
        <w:t>individual who meets the eligibility requirements for enrollment into an MA or MA-PD plan may enroll during the enrollment periods specified in §422.62, by completing an enrollment form with the MA organization or enrolling through other mechanisms that the Centers for Medicare &amp; Medicaid Services (CMS) determines are appropriate.</w:t>
      </w:r>
      <w:r>
        <w:t xml:space="preserve"> </w:t>
      </w:r>
      <w:r w:rsidRPr="00281A4C">
        <w:t>As required by 42 CFR 423.32(a) and (b), a Part D-eligible individual who wishes to enroll in a Medicare prescription drug plan (PDP) may enroll during the enrollment periods specified in §423.38, by completing an enrollment form with the PDP, or enrolling through other mechanisms CMS determines are appropriate.</w:t>
      </w:r>
    </w:p>
  </w:footnote>
  <w:footnote w:id="3">
    <w:p w:rsidR="00A5543F" w14:paraId="7B90875A" w14:textId="24853F10">
      <w:pPr>
        <w:pStyle w:val="FootnoteText"/>
      </w:pPr>
      <w:r>
        <w:rPr>
          <w:rStyle w:val="FootnoteReference"/>
        </w:rPr>
        <w:footnoteRef/>
      </w:r>
      <w:r>
        <w:t xml:space="preserve"> </w:t>
      </w:r>
      <w:r w:rsidR="00C22F0D">
        <w:t xml:space="preserve">We are using </w:t>
      </w:r>
      <w:r>
        <w:t>U.S. Bureau of Labor Statistics’ (BLS’) May 202</w:t>
      </w:r>
      <w:r w:rsidR="00111D91">
        <w:t>3</w:t>
      </w:r>
      <w:r>
        <w:t xml:space="preserve"> National Occupational Employment and Wage Estimates</w:t>
      </w:r>
      <w:r w:rsidR="00C22F0D">
        <w:t xml:space="preserve"> to allow for a consistent analysis of the effect of reducing form completion times on cost estimates</w:t>
      </w:r>
      <w:r>
        <w:t>.</w:t>
      </w:r>
      <w:r w:rsidR="00C22F0D">
        <w:t xml:space="preserve"> The current OMB-approved cost estimate used May 2023 wage estimates.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35918"/>
    <w:multiLevelType w:val="hybridMultilevel"/>
    <w:tmpl w:val="633A0D7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nsid w:val="4B5E1A9D"/>
    <w:multiLevelType w:val="hybridMultilevel"/>
    <w:tmpl w:val="81CAC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93953177">
    <w:abstractNumId w:val="0"/>
  </w:num>
  <w:num w:numId="2" w16cid:durableId="996374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33"/>
    <w:rsid w:val="00066971"/>
    <w:rsid w:val="000D7F5F"/>
    <w:rsid w:val="000F74A4"/>
    <w:rsid w:val="001108D6"/>
    <w:rsid w:val="00111D91"/>
    <w:rsid w:val="00151E83"/>
    <w:rsid w:val="001907DE"/>
    <w:rsid w:val="00195E22"/>
    <w:rsid w:val="001A7925"/>
    <w:rsid w:val="001F0E4D"/>
    <w:rsid w:val="00204E9F"/>
    <w:rsid w:val="00257D33"/>
    <w:rsid w:val="00281A4C"/>
    <w:rsid w:val="002D34E0"/>
    <w:rsid w:val="002E5B43"/>
    <w:rsid w:val="00321880"/>
    <w:rsid w:val="00333816"/>
    <w:rsid w:val="003371AE"/>
    <w:rsid w:val="0034415C"/>
    <w:rsid w:val="003B513B"/>
    <w:rsid w:val="003D344F"/>
    <w:rsid w:val="003E1E54"/>
    <w:rsid w:val="003F4757"/>
    <w:rsid w:val="003F61D5"/>
    <w:rsid w:val="0043686E"/>
    <w:rsid w:val="004438AB"/>
    <w:rsid w:val="004738F2"/>
    <w:rsid w:val="0048238D"/>
    <w:rsid w:val="00486066"/>
    <w:rsid w:val="004A1BC3"/>
    <w:rsid w:val="004A628A"/>
    <w:rsid w:val="004D4996"/>
    <w:rsid w:val="004F2731"/>
    <w:rsid w:val="00505835"/>
    <w:rsid w:val="005401D3"/>
    <w:rsid w:val="00546FB8"/>
    <w:rsid w:val="0056688F"/>
    <w:rsid w:val="005A5468"/>
    <w:rsid w:val="005C27D5"/>
    <w:rsid w:val="005D1680"/>
    <w:rsid w:val="005E26C2"/>
    <w:rsid w:val="005E554C"/>
    <w:rsid w:val="00600876"/>
    <w:rsid w:val="00631913"/>
    <w:rsid w:val="00634DFB"/>
    <w:rsid w:val="00637DD3"/>
    <w:rsid w:val="006816A3"/>
    <w:rsid w:val="0068281B"/>
    <w:rsid w:val="0069555F"/>
    <w:rsid w:val="006A0BCE"/>
    <w:rsid w:val="006C09AB"/>
    <w:rsid w:val="006C0A1D"/>
    <w:rsid w:val="006C4292"/>
    <w:rsid w:val="007122C3"/>
    <w:rsid w:val="00737BE7"/>
    <w:rsid w:val="007A1181"/>
    <w:rsid w:val="007A221F"/>
    <w:rsid w:val="007A7488"/>
    <w:rsid w:val="007C0BD2"/>
    <w:rsid w:val="007C79FD"/>
    <w:rsid w:val="007D682A"/>
    <w:rsid w:val="00827184"/>
    <w:rsid w:val="008278E6"/>
    <w:rsid w:val="00835271"/>
    <w:rsid w:val="00856C36"/>
    <w:rsid w:val="00856DE9"/>
    <w:rsid w:val="00882AEB"/>
    <w:rsid w:val="00891A1E"/>
    <w:rsid w:val="009078E9"/>
    <w:rsid w:val="00915F44"/>
    <w:rsid w:val="009167DB"/>
    <w:rsid w:val="009173C6"/>
    <w:rsid w:val="00931385"/>
    <w:rsid w:val="00966D93"/>
    <w:rsid w:val="00967543"/>
    <w:rsid w:val="00977ECE"/>
    <w:rsid w:val="00982B77"/>
    <w:rsid w:val="00991371"/>
    <w:rsid w:val="009B55DA"/>
    <w:rsid w:val="009B5E16"/>
    <w:rsid w:val="009E7939"/>
    <w:rsid w:val="009F5DB5"/>
    <w:rsid w:val="00A02407"/>
    <w:rsid w:val="00A13916"/>
    <w:rsid w:val="00A22613"/>
    <w:rsid w:val="00A45B71"/>
    <w:rsid w:val="00A46AC1"/>
    <w:rsid w:val="00A55320"/>
    <w:rsid w:val="00A5543F"/>
    <w:rsid w:val="00A61C3E"/>
    <w:rsid w:val="00A7331B"/>
    <w:rsid w:val="00A82F86"/>
    <w:rsid w:val="00A95425"/>
    <w:rsid w:val="00AC7056"/>
    <w:rsid w:val="00AE489F"/>
    <w:rsid w:val="00AF457D"/>
    <w:rsid w:val="00AF4BF3"/>
    <w:rsid w:val="00B12416"/>
    <w:rsid w:val="00B237FF"/>
    <w:rsid w:val="00B24B0B"/>
    <w:rsid w:val="00B535D7"/>
    <w:rsid w:val="00B964C1"/>
    <w:rsid w:val="00BB6698"/>
    <w:rsid w:val="00C13187"/>
    <w:rsid w:val="00C14FCF"/>
    <w:rsid w:val="00C22F0D"/>
    <w:rsid w:val="00C45790"/>
    <w:rsid w:val="00C4794D"/>
    <w:rsid w:val="00C47A73"/>
    <w:rsid w:val="00C734D6"/>
    <w:rsid w:val="00C91D2A"/>
    <w:rsid w:val="00C9762C"/>
    <w:rsid w:val="00CB50EF"/>
    <w:rsid w:val="00CD3CB4"/>
    <w:rsid w:val="00CE6588"/>
    <w:rsid w:val="00D0476E"/>
    <w:rsid w:val="00D515DB"/>
    <w:rsid w:val="00D52B6E"/>
    <w:rsid w:val="00D8205C"/>
    <w:rsid w:val="00D8507F"/>
    <w:rsid w:val="00DA112F"/>
    <w:rsid w:val="00DA23D1"/>
    <w:rsid w:val="00DA2ED0"/>
    <w:rsid w:val="00DA6459"/>
    <w:rsid w:val="00DE5ABE"/>
    <w:rsid w:val="00E07756"/>
    <w:rsid w:val="00EA3807"/>
    <w:rsid w:val="00EC484A"/>
    <w:rsid w:val="00EC4A24"/>
    <w:rsid w:val="00EF0471"/>
    <w:rsid w:val="00F506F6"/>
    <w:rsid w:val="00F61DA8"/>
    <w:rsid w:val="00F744A3"/>
    <w:rsid w:val="00F83CBF"/>
    <w:rsid w:val="00FC1BFC"/>
    <w:rsid w:val="00FD13DF"/>
    <w:rsid w:val="00FD3C86"/>
    <w:rsid w:val="00FD4F70"/>
    <w:rsid w:val="00FE10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01B2E0"/>
  <w15:chartTrackingRefBased/>
  <w15:docId w15:val="{8A1B87C1-6503-4F99-81CF-B124D0DF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ECE"/>
    <w:pPr>
      <w:widowControl w:val="0"/>
      <w:suppressAutoHyphens/>
      <w:spacing w:after="0" w:line="240" w:lineRule="auto"/>
    </w:pPr>
    <w:rPr>
      <w:rFonts w:ascii="Times New Roman" w:eastAsia="Tahoma" w:hAnsi="Times New Roman"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ECE"/>
    <w:rPr>
      <w:color w:val="0563C1" w:themeColor="hyperlink"/>
      <w:u w:val="single"/>
    </w:rPr>
  </w:style>
  <w:style w:type="paragraph" w:styleId="ListParagraph">
    <w:name w:val="List Paragraph"/>
    <w:basedOn w:val="Normal"/>
    <w:uiPriority w:val="34"/>
    <w:qFormat/>
    <w:rsid w:val="00977ECE"/>
    <w:pPr>
      <w:ind w:left="720"/>
      <w:contextualSpacing/>
    </w:pPr>
  </w:style>
  <w:style w:type="paragraph" w:styleId="Revision">
    <w:name w:val="Revision"/>
    <w:hidden/>
    <w:uiPriority w:val="99"/>
    <w:semiHidden/>
    <w:rsid w:val="000D7F5F"/>
    <w:pPr>
      <w:spacing w:after="0" w:line="240" w:lineRule="auto"/>
    </w:pPr>
    <w:rPr>
      <w:rFonts w:ascii="Times New Roman" w:eastAsia="Tahoma" w:hAnsi="Times New Roman" w:cs="Times New Roman"/>
      <w:kern w:val="2"/>
      <w:sz w:val="24"/>
      <w:szCs w:val="24"/>
    </w:rPr>
  </w:style>
  <w:style w:type="character" w:styleId="UnresolvedMention">
    <w:name w:val="Unresolved Mention"/>
    <w:basedOn w:val="DefaultParagraphFont"/>
    <w:uiPriority w:val="99"/>
    <w:semiHidden/>
    <w:unhideWhenUsed/>
    <w:rsid w:val="00D0476E"/>
    <w:rPr>
      <w:color w:val="605E5C"/>
      <w:shd w:val="clear" w:color="auto" w:fill="E1DFDD"/>
    </w:rPr>
  </w:style>
  <w:style w:type="character" w:styleId="CommentReference">
    <w:name w:val="annotation reference"/>
    <w:basedOn w:val="DefaultParagraphFont"/>
    <w:uiPriority w:val="99"/>
    <w:semiHidden/>
    <w:unhideWhenUsed/>
    <w:rsid w:val="0069555F"/>
    <w:rPr>
      <w:sz w:val="16"/>
      <w:szCs w:val="16"/>
    </w:rPr>
  </w:style>
  <w:style w:type="paragraph" w:styleId="CommentText">
    <w:name w:val="annotation text"/>
    <w:basedOn w:val="Normal"/>
    <w:link w:val="CommentTextChar"/>
    <w:uiPriority w:val="99"/>
    <w:unhideWhenUsed/>
    <w:rsid w:val="0069555F"/>
    <w:rPr>
      <w:sz w:val="20"/>
      <w:szCs w:val="20"/>
    </w:rPr>
  </w:style>
  <w:style w:type="character" w:customStyle="1" w:styleId="CommentTextChar">
    <w:name w:val="Comment Text Char"/>
    <w:basedOn w:val="DefaultParagraphFont"/>
    <w:link w:val="CommentText"/>
    <w:uiPriority w:val="99"/>
    <w:rsid w:val="0069555F"/>
    <w:rPr>
      <w:rFonts w:ascii="Times New Roman" w:eastAsia="Tahoma" w:hAnsi="Times New Roman" w:cs="Times New Roman"/>
      <w:kern w:val="2"/>
      <w:sz w:val="20"/>
      <w:szCs w:val="20"/>
    </w:rPr>
  </w:style>
  <w:style w:type="paragraph" w:styleId="CommentSubject">
    <w:name w:val="annotation subject"/>
    <w:basedOn w:val="CommentText"/>
    <w:next w:val="CommentText"/>
    <w:link w:val="CommentSubjectChar"/>
    <w:uiPriority w:val="99"/>
    <w:semiHidden/>
    <w:unhideWhenUsed/>
    <w:rsid w:val="0069555F"/>
    <w:rPr>
      <w:b/>
      <w:bCs/>
    </w:rPr>
  </w:style>
  <w:style w:type="character" w:customStyle="1" w:styleId="CommentSubjectChar">
    <w:name w:val="Comment Subject Char"/>
    <w:basedOn w:val="CommentTextChar"/>
    <w:link w:val="CommentSubject"/>
    <w:uiPriority w:val="99"/>
    <w:semiHidden/>
    <w:rsid w:val="0069555F"/>
    <w:rPr>
      <w:rFonts w:ascii="Times New Roman" w:eastAsia="Tahoma" w:hAnsi="Times New Roman" w:cs="Times New Roman"/>
      <w:b/>
      <w:bCs/>
      <w:kern w:val="2"/>
      <w:sz w:val="20"/>
      <w:szCs w:val="20"/>
    </w:rPr>
  </w:style>
  <w:style w:type="character" w:styleId="FollowedHyperlink">
    <w:name w:val="FollowedHyperlink"/>
    <w:basedOn w:val="DefaultParagraphFont"/>
    <w:uiPriority w:val="99"/>
    <w:semiHidden/>
    <w:unhideWhenUsed/>
    <w:rsid w:val="00891A1E"/>
    <w:rPr>
      <w:color w:val="954F72" w:themeColor="followedHyperlink"/>
      <w:u w:val="single"/>
    </w:rPr>
  </w:style>
  <w:style w:type="paragraph" w:styleId="FootnoteText">
    <w:name w:val="footnote text"/>
    <w:basedOn w:val="Normal"/>
    <w:link w:val="FootnoteTextChar"/>
    <w:uiPriority w:val="99"/>
    <w:semiHidden/>
    <w:unhideWhenUsed/>
    <w:rsid w:val="00891A1E"/>
    <w:rPr>
      <w:sz w:val="20"/>
      <w:szCs w:val="20"/>
    </w:rPr>
  </w:style>
  <w:style w:type="character" w:customStyle="1" w:styleId="FootnoteTextChar">
    <w:name w:val="Footnote Text Char"/>
    <w:basedOn w:val="DefaultParagraphFont"/>
    <w:link w:val="FootnoteText"/>
    <w:uiPriority w:val="99"/>
    <w:semiHidden/>
    <w:rsid w:val="00891A1E"/>
    <w:rPr>
      <w:rFonts w:ascii="Times New Roman" w:eastAsia="Tahoma" w:hAnsi="Times New Roman" w:cs="Times New Roman"/>
      <w:kern w:val="2"/>
      <w:sz w:val="20"/>
      <w:szCs w:val="20"/>
    </w:rPr>
  </w:style>
  <w:style w:type="character" w:styleId="FootnoteReference">
    <w:name w:val="footnote reference"/>
    <w:basedOn w:val="DefaultParagraphFont"/>
    <w:uiPriority w:val="99"/>
    <w:semiHidden/>
    <w:unhideWhenUsed/>
    <w:rsid w:val="00891A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5/02/06/2025-02345/unleashing-prosperity-through-deregulation"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Categories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F24159F5916904C85BE49E2335AFF2D" ma:contentTypeVersion="11" ma:contentTypeDescription="Create a new document." ma:contentTypeScope="" ma:versionID="45e687c464d4616a1f9f75decab8ee51">
  <xsd:schema xmlns:xsd="http://www.w3.org/2001/XMLSchema" xmlns:xs="http://www.w3.org/2001/XMLSchema" xmlns:p="http://schemas.microsoft.com/office/2006/metadata/properties" xmlns:ns1="http://schemas.microsoft.com/sharepoint/v3" xmlns:ns2="http://schemas.microsoft.com/sharepoint/v4" xmlns:ns3="54baccf4-4c35-44a6-8f6d-1270e04b5db9" targetNamespace="http://schemas.microsoft.com/office/2006/metadata/properties" ma:root="true" ma:fieldsID="48dc7e4ecf6a3f2d6ac51c54c729facc" ns1:_="" ns2:_="" ns3:_="">
    <xsd:import namespace="http://schemas.microsoft.com/sharepoint/v3"/>
    <xsd:import namespace="http://schemas.microsoft.com/sharepoint/v4"/>
    <xsd:import namespace="54baccf4-4c35-44a6-8f6d-1270e04b5db9"/>
    <xsd:element name="properties">
      <xsd:complexType>
        <xsd:sequence>
          <xsd:element name="documentManagement">
            <xsd:complexType>
              <xsd:all>
                <xsd:element ref="ns1:Categories" minOccurs="0"/>
                <xsd:element ref="ns1:EmailSender" minOccurs="0"/>
                <xsd:element ref="ns1:EmailTo" minOccurs="0"/>
                <xsd:element ref="ns1:EmailCc" minOccurs="0"/>
                <xsd:element ref="ns1:EmailFrom" minOccurs="0"/>
                <xsd:element ref="ns1:EmailSubject" minOccurs="0"/>
                <xsd:element ref="ns2:EmailHead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8" nillable="true" ma:displayName="Categories" ma:internalName="Categories">
      <xsd:simpleType>
        <xsd:restriction base="dms:Text"/>
      </xsd:simpleType>
    </xsd:element>
    <xsd:element name="EmailSender" ma:index="9" nillable="true" ma:displayName="E-Mail Sender" ma:hidden="true" ma:internalName="EmailSender">
      <xsd:simpleType>
        <xsd:restriction base="dms:Note">
          <xsd:maxLength value="255"/>
        </xsd:restriction>
      </xsd:simpleType>
    </xsd:element>
    <xsd:element name="EmailTo" ma:index="10" nillable="true" ma:displayName="E-Mail To" ma:hidden="true" ma:internalName="EmailTo">
      <xsd:simpleType>
        <xsd:restriction base="dms:Note">
          <xsd:maxLength value="255"/>
        </xsd:restriction>
      </xsd:simpleType>
    </xsd:element>
    <xsd:element name="EmailCc" ma:index="11" nillable="true" ma:displayName="E-Mail Cc" ma:hidden="true" ma:internalName="EmailCc">
      <xsd:simpleType>
        <xsd:restriction base="dms:Note">
          <xsd:maxLength value="255"/>
        </xsd:restriction>
      </xsd:simpleType>
    </xsd:element>
    <xsd:element name="EmailFrom" ma:index="12" nillable="true" ma:displayName="E-Mail From" ma:hidden="true" ma:internalName="EmailFrom">
      <xsd:simpleType>
        <xsd:restriction base="dms:Text"/>
      </xsd:simpleType>
    </xsd:element>
    <xsd:element name="EmailSubject" ma:index="13"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90D8F-451D-462D-A972-CF15ED0F1A50}">
  <ds:schemaRefs>
    <ds:schemaRef ds:uri="http://schemas.openxmlformats.org/officeDocument/2006/bibliography"/>
  </ds:schemaRefs>
</ds:datastoreItem>
</file>

<file path=customXml/itemProps2.xml><?xml version="1.0" encoding="utf-8"?>
<ds:datastoreItem xmlns:ds="http://schemas.openxmlformats.org/officeDocument/2006/customXml" ds:itemID="{B8D5CFE2-7CC7-4629-A0B2-F3FE4C3FAA78}">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EA59D2A1-E564-4818-89CE-9562AF38B79D}">
  <ds:schemaRefs>
    <ds:schemaRef ds:uri="http://schemas.microsoft.com/sharepoint/v3/contenttype/forms"/>
  </ds:schemaRefs>
</ds:datastoreItem>
</file>

<file path=customXml/itemProps4.xml><?xml version="1.0" encoding="utf-8"?>
<ds:datastoreItem xmlns:ds="http://schemas.openxmlformats.org/officeDocument/2006/customXml" ds:itemID="{5D8FE65C-3928-4C8A-87DD-D6DDE0C79546}">
  <ds:schemaRefs>
    <ds:schemaRef ds:uri="Microsoft.SharePoint.Taxonomy.ContentTypeSync"/>
  </ds:schemaRefs>
</ds:datastoreItem>
</file>

<file path=customXml/itemProps5.xml><?xml version="1.0" encoding="utf-8"?>
<ds:datastoreItem xmlns:ds="http://schemas.openxmlformats.org/officeDocument/2006/customXml" ds:itemID="{D96C3B8A-8FDB-44E9-9A89-D30EA3CCB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696</Words>
  <Characters>3678</Characters>
  <Application>Microsoft Office Word</Application>
  <DocSecurity>0</DocSecurity>
  <Lines>111</Lines>
  <Paragraphs>60</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AnhViet Nguyen</dc:creator>
  <cp:lastModifiedBy>McKenzie, Stephan (CMS/OSORA)</cp:lastModifiedBy>
  <cp:revision>5</cp:revision>
  <dcterms:created xsi:type="dcterms:W3CDTF">2025-05-20T21:42:00Z</dcterms:created>
  <dcterms:modified xsi:type="dcterms:W3CDTF">2025-05-29T18:39:00Z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0x010100CF24159F5916904C85BE49E2335AFF2D</vt:lpwstr>
  </property>
</Properties>
</file>