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5E3F" w:rsidRPr="003C5E3F" w:rsidP="003C5E3F" w14:paraId="3D86C007" w14:textId="5E04103A">
      <w:pPr>
        <w:jc w:val="center"/>
        <w:rPr>
          <w:rFonts w:ascii="Arial" w:hAnsi="Arial" w:cs="Arial"/>
          <w:b/>
          <w:u w:val="single"/>
        </w:rPr>
      </w:pPr>
      <w:r w:rsidRPr="003C5E3F">
        <w:rPr>
          <w:rFonts w:ascii="Arial" w:hAnsi="Arial" w:cs="Arial"/>
          <w:b/>
          <w:u w:val="single"/>
        </w:rPr>
        <w:t>eCBSV: Online Registration and Enrollment Instructions</w:t>
      </w:r>
    </w:p>
    <w:p w:rsidR="003C5E3F" w:rsidP="003C5E3F" w14:paraId="7581B30B" w14:textId="77777777">
      <w:pPr>
        <w:rPr>
          <w:rFonts w:ascii="Arial" w:hAnsi="Arial" w:cs="Arial"/>
        </w:rPr>
      </w:pPr>
    </w:p>
    <w:p w:rsidR="003C5E3F" w:rsidP="003C5E3F" w14:paraId="0BBE996C" w14:textId="77777777">
      <w:pPr>
        <w:rPr>
          <w:rFonts w:ascii="Arial" w:hAnsi="Arial" w:cs="Arial"/>
        </w:rPr>
      </w:pPr>
    </w:p>
    <w:p w:rsidR="003C5E3F" w:rsidP="003C5E3F" w14:paraId="34D329F5" w14:textId="1A83AE46">
      <w:pPr>
        <w:rPr>
          <w:rFonts w:ascii="Arial" w:hAnsi="Arial" w:cs="Arial"/>
          <w:b/>
          <w:bCs/>
        </w:rPr>
      </w:pPr>
      <w:r>
        <w:rPr>
          <w:rFonts w:ascii="Arial" w:hAnsi="Arial" w:cs="Arial"/>
          <w:b/>
          <w:bCs/>
        </w:rPr>
        <w:t xml:space="preserve">Please review the steps below for registering and enrolling in </w:t>
      </w:r>
      <w:r w:rsidR="00564A1B">
        <w:rPr>
          <w:rFonts w:ascii="Arial" w:hAnsi="Arial" w:cs="Arial"/>
          <w:b/>
          <w:bCs/>
        </w:rPr>
        <w:t>eCBSV</w:t>
      </w:r>
      <w:r>
        <w:rPr>
          <w:rFonts w:ascii="Arial" w:hAnsi="Arial" w:cs="Arial"/>
          <w:b/>
          <w:bCs/>
        </w:rPr>
        <w:t xml:space="preserve">.   </w:t>
      </w:r>
    </w:p>
    <w:p w:rsidR="003C5E3F" w:rsidP="003C5E3F" w14:paraId="23FD7120" w14:textId="77777777">
      <w:pPr>
        <w:rPr>
          <w:rFonts w:ascii="Arial" w:hAnsi="Arial" w:cs="Arial"/>
          <w:color w:val="0000CC"/>
          <w:u w:val="single"/>
        </w:rPr>
      </w:pPr>
      <w:r>
        <w:rPr>
          <w:rFonts w:ascii="Arial" w:hAnsi="Arial" w:cs="Arial"/>
        </w:rPr>
        <w:t xml:space="preserve">Additional details are on the </w:t>
      </w:r>
      <w:hyperlink r:id="rId4" w:history="1">
        <w:r>
          <w:rPr>
            <w:rStyle w:val="Hyperlink"/>
            <w:rFonts w:ascii="Arial" w:hAnsi="Arial" w:cs="Arial"/>
            <w:color w:val="0000CC"/>
          </w:rPr>
          <w:t>eCBSV Webpage</w:t>
        </w:r>
      </w:hyperlink>
      <w:r>
        <w:rPr>
          <w:rFonts w:ascii="Arial" w:hAnsi="Arial" w:cs="Arial"/>
          <w:color w:val="002060"/>
        </w:rPr>
        <w:t xml:space="preserve"> </w:t>
      </w:r>
      <w:r>
        <w:rPr>
          <w:rFonts w:ascii="Arial" w:hAnsi="Arial" w:cs="Arial"/>
        </w:rPr>
        <w:t xml:space="preserve">and in the </w:t>
      </w:r>
      <w:hyperlink r:id="rId5" w:history="1">
        <w:r>
          <w:rPr>
            <w:rStyle w:val="Hyperlink"/>
            <w:rFonts w:ascii="Arial" w:hAnsi="Arial" w:cs="Arial"/>
            <w:color w:val="0000CC"/>
          </w:rPr>
          <w:t>eCBSV Technical Information Document</w:t>
        </w:r>
      </w:hyperlink>
      <w:r>
        <w:rPr>
          <w:rFonts w:ascii="Arial" w:hAnsi="Arial" w:cs="Arial"/>
          <w:color w:val="0000CC"/>
        </w:rPr>
        <w:t xml:space="preserve">.  </w:t>
      </w:r>
    </w:p>
    <w:p w:rsidR="003C5E3F" w:rsidP="003C5E3F" w14:paraId="4CE9994A" w14:textId="77777777">
      <w:pPr>
        <w:rPr>
          <w:rFonts w:ascii="Arial" w:hAnsi="Arial" w:cs="Arial"/>
        </w:rPr>
      </w:pPr>
    </w:p>
    <w:p w:rsidR="003C5E3F" w:rsidP="003C5E3F" w14:paraId="38AA7C5B" w14:textId="77777777">
      <w:pPr>
        <w:numPr>
          <w:ilvl w:val="0"/>
          <w:numId w:val="1"/>
        </w:numPr>
        <w:rPr>
          <w:rFonts w:ascii="Arial" w:hAnsi="Arial" w:cs="Arial"/>
          <w:i/>
          <w:iCs/>
        </w:rPr>
      </w:pPr>
      <w:r>
        <w:rPr>
          <w:rFonts w:ascii="Arial" w:hAnsi="Arial" w:cs="Arial"/>
          <w:b/>
          <w:bCs/>
        </w:rPr>
        <w:t>Registration Testing:</w:t>
      </w:r>
      <w:r>
        <w:rPr>
          <w:rFonts w:ascii="Arial" w:hAnsi="Arial" w:cs="Arial"/>
        </w:rPr>
        <w:t xml:space="preserve">  You may test your Open ID Connect (OIDC) configuration anytime using the OIDC Validation tool.  Instructions and the link for using the OIDC </w:t>
      </w:r>
      <w:r>
        <w:rPr>
          <w:rFonts w:ascii="Arial" w:hAnsi="Arial" w:cs="Arial"/>
          <w:i/>
          <w:iCs/>
        </w:rPr>
        <w:t>Validation</w:t>
      </w:r>
      <w:r>
        <w:rPr>
          <w:rFonts w:ascii="Arial" w:hAnsi="Arial" w:cs="Arial"/>
        </w:rPr>
        <w:t xml:space="preserve"> Tool is in the Technical Information Document.  </w:t>
      </w:r>
      <w:r>
        <w:rPr>
          <w:rFonts w:ascii="Arial" w:hAnsi="Arial" w:cs="Arial"/>
          <w:b/>
          <w:bCs/>
          <w:i/>
          <w:iCs/>
        </w:rPr>
        <w:t xml:space="preserve">You are highly encouraged to test your OIDC configuration prior to attempting to register in production.  </w:t>
      </w:r>
      <w:r>
        <w:rPr>
          <w:rFonts w:ascii="Arial" w:hAnsi="Arial" w:cs="Arial"/>
          <w:i/>
          <w:iCs/>
        </w:rPr>
        <w:t> </w:t>
      </w:r>
    </w:p>
    <w:p w:rsidR="003C5E3F" w:rsidP="003C5E3F" w14:paraId="7F718C0B" w14:textId="77777777">
      <w:pPr>
        <w:ind w:left="780"/>
        <w:rPr>
          <w:rFonts w:ascii="Arial" w:hAnsi="Arial" w:cs="Arial"/>
        </w:rPr>
      </w:pPr>
    </w:p>
    <w:p w:rsidR="003C5E3F" w:rsidP="003C5E3F" w14:paraId="42166BCC" w14:textId="77777777">
      <w:pPr>
        <w:rPr>
          <w:rFonts w:ascii="Arial" w:hAnsi="Arial" w:cs="Arial"/>
        </w:rPr>
      </w:pPr>
    </w:p>
    <w:p w:rsidR="003C5E3F" w:rsidP="003C5E3F" w14:paraId="713236DD" w14:textId="06AD7638">
      <w:pPr>
        <w:numPr>
          <w:ilvl w:val="0"/>
          <w:numId w:val="1"/>
        </w:numPr>
        <w:rPr>
          <w:rFonts w:ascii="Arial" w:hAnsi="Arial" w:cs="Arial"/>
          <w:color w:val="FF0000"/>
        </w:rPr>
      </w:pPr>
      <w:r>
        <w:rPr>
          <w:rFonts w:ascii="Arial" w:hAnsi="Arial" w:cs="Arial"/>
          <w:b/>
          <w:bCs/>
        </w:rPr>
        <w:t>eCBSV Entity Registration:</w:t>
      </w:r>
      <w:r>
        <w:rPr>
          <w:rFonts w:ascii="Arial" w:hAnsi="Arial" w:cs="Arial"/>
        </w:rPr>
        <w:t xml:space="preserve">  </w:t>
      </w:r>
      <w:r w:rsidR="00564A1B">
        <w:rPr>
          <w:rFonts w:ascii="Arial" w:hAnsi="Arial" w:cs="Arial"/>
        </w:rPr>
        <w:t>Y</w:t>
      </w:r>
      <w:r>
        <w:rPr>
          <w:rFonts w:ascii="Arial" w:hAnsi="Arial" w:cs="Arial"/>
        </w:rPr>
        <w:t>ou may register your entity in production</w:t>
      </w:r>
      <w:r w:rsidR="00564A1B">
        <w:rPr>
          <w:rFonts w:ascii="Arial" w:hAnsi="Arial" w:cs="Arial"/>
        </w:rPr>
        <w:t xml:space="preserve"> at any time</w:t>
      </w:r>
      <w:r>
        <w:rPr>
          <w:rFonts w:ascii="Arial" w:hAnsi="Arial" w:cs="Arial"/>
        </w:rPr>
        <w:t xml:space="preserve">.  Upon successful registration, you will receive your production </w:t>
      </w:r>
      <w:r>
        <w:rPr>
          <w:rFonts w:ascii="Arial" w:hAnsi="Arial" w:cs="Arial"/>
          <w:b/>
          <w:bCs/>
        </w:rPr>
        <w:t>OAuth Client ID.</w:t>
      </w:r>
      <w:r>
        <w:rPr>
          <w:rFonts w:ascii="Arial" w:hAnsi="Arial" w:cs="Arial"/>
        </w:rPr>
        <w:t xml:space="preserve">   This OAuth Client ID is required to access the eCBSV Customer Connection and the eCBSV Verification Service.  </w:t>
      </w:r>
    </w:p>
    <w:p w:rsidR="003C5E3F" w:rsidP="003C5E3F" w14:paraId="2E6FC09C" w14:textId="77777777">
      <w:pPr>
        <w:ind w:left="780"/>
        <w:rPr>
          <w:rFonts w:ascii="Arial" w:hAnsi="Arial" w:cs="Arial"/>
          <w:color w:val="FF0000"/>
        </w:rPr>
      </w:pPr>
    </w:p>
    <w:tbl>
      <w:tblPr>
        <w:tblW w:w="0" w:type="auto"/>
        <w:tblInd w:w="980" w:type="dxa"/>
        <w:shd w:val="clear" w:color="auto" w:fill="E7E6E6"/>
        <w:tblCellMar>
          <w:left w:w="0" w:type="dxa"/>
          <w:right w:w="0" w:type="dxa"/>
        </w:tblCellMar>
        <w:tblLook w:val="04A0"/>
      </w:tblPr>
      <w:tblGrid>
        <w:gridCol w:w="8360"/>
      </w:tblGrid>
      <w:tr w14:paraId="5296A0F9" w14:textId="77777777" w:rsidTr="003C5E3F">
        <w:tblPrEx>
          <w:tblW w:w="0" w:type="auto"/>
          <w:tblInd w:w="980" w:type="dxa"/>
          <w:shd w:val="clear" w:color="auto" w:fill="E7E6E6"/>
          <w:tblCellMar>
            <w:left w:w="0" w:type="dxa"/>
            <w:right w:w="0" w:type="dxa"/>
          </w:tblCellMar>
          <w:tblLook w:val="04A0"/>
        </w:tblPrEx>
        <w:tc>
          <w:tcPr>
            <w:tcW w:w="8010" w:type="dxa"/>
            <w:tcBorders>
              <w:top w:val="single" w:sz="8" w:space="0" w:color="auto"/>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3C5E3F" w14:paraId="103CF21F" w14:textId="77777777">
            <w:pPr>
              <w:jc w:val="center"/>
              <w:rPr>
                <w:rFonts w:ascii="Verdana" w:hAnsi="Verdana"/>
                <w:color w:val="0000CC"/>
              </w:rPr>
            </w:pPr>
            <w:r>
              <w:rPr>
                <w:rFonts w:ascii="Arial" w:hAnsi="Arial" w:cs="Arial"/>
                <w:b/>
                <w:bCs/>
              </w:rPr>
              <w:t xml:space="preserve">The link to the eCBSV Entity Registration is as follows:   </w:t>
            </w:r>
            <w:hyperlink r:id="rId6" w:history="1">
              <w:r>
                <w:rPr>
                  <w:rStyle w:val="Hyperlink"/>
                  <w:rFonts w:ascii="Verdana" w:hAnsi="Verdana"/>
                  <w:color w:val="0000CC"/>
                </w:rPr>
                <w:t>https://www.ssa.gov/dataexchange/eCBSV/entity_registration.html</w:t>
              </w:r>
            </w:hyperlink>
          </w:p>
          <w:p w:rsidR="003C5E3F" w14:paraId="0D2153C0" w14:textId="77777777">
            <w:pPr>
              <w:jc w:val="center"/>
              <w:rPr>
                <w:rFonts w:ascii="Arial" w:hAnsi="Arial" w:cs="Arial"/>
                <w:b/>
                <w:bCs/>
                <w:color w:val="FF0000"/>
              </w:rPr>
            </w:pPr>
          </w:p>
        </w:tc>
      </w:tr>
    </w:tbl>
    <w:p w:rsidR="003C5E3F" w:rsidP="003C5E3F" w14:paraId="77AA6172" w14:textId="77777777">
      <w:pPr>
        <w:ind w:left="720"/>
        <w:rPr>
          <w:rFonts w:ascii="Arial" w:hAnsi="Arial" w:cs="Arial"/>
        </w:rPr>
      </w:pPr>
    </w:p>
    <w:p w:rsidR="003C5E3F" w:rsidP="003C5E3F" w14:paraId="5E694F51" w14:textId="77777777">
      <w:pPr>
        <w:numPr>
          <w:ilvl w:val="0"/>
          <w:numId w:val="1"/>
        </w:numPr>
        <w:rPr>
          <w:rFonts w:ascii="Arial" w:hAnsi="Arial" w:cs="Arial"/>
        </w:rPr>
      </w:pPr>
      <w:r>
        <w:rPr>
          <w:rFonts w:ascii="Arial" w:hAnsi="Arial" w:cs="Arial"/>
          <w:b/>
          <w:bCs/>
        </w:rPr>
        <w:t>eCBSV Customer Connection:</w:t>
      </w:r>
      <w:r>
        <w:rPr>
          <w:rFonts w:ascii="Arial" w:hAnsi="Arial" w:cs="Arial"/>
        </w:rPr>
        <w:t xml:space="preserve">   After successfully registering in Production and applying the OAuth Client ID as directed in the technical guidance, you will use the eCBSV Customer Connection to register for testing in the External Testing Environment (ETE), to complete your eCBSV Enrollment, and to manage your account.  </w:t>
      </w:r>
    </w:p>
    <w:p w:rsidR="003C5E3F" w:rsidP="003C5E3F" w14:paraId="0914CED7" w14:textId="77777777">
      <w:pPr>
        <w:ind w:left="780"/>
        <w:rPr>
          <w:rFonts w:ascii="Arial" w:hAnsi="Arial" w:cs="Arial"/>
        </w:rPr>
      </w:pPr>
    </w:p>
    <w:p w:rsidR="003C5E3F" w:rsidP="003C5E3F" w14:paraId="7E4FBD9B" w14:textId="77777777">
      <w:pPr>
        <w:numPr>
          <w:ilvl w:val="0"/>
          <w:numId w:val="2"/>
        </w:numPr>
        <w:rPr>
          <w:rFonts w:ascii="Arial" w:hAnsi="Arial" w:cs="Arial"/>
          <w:i/>
          <w:iCs/>
        </w:rPr>
      </w:pPr>
      <w:r>
        <w:rPr>
          <w:rFonts w:ascii="Arial" w:hAnsi="Arial" w:cs="Arial"/>
          <w:b/>
          <w:bCs/>
          <w:i/>
          <w:iCs/>
        </w:rPr>
        <w:t>ETE Registration:</w:t>
      </w:r>
      <w:r>
        <w:rPr>
          <w:rFonts w:ascii="Arial" w:hAnsi="Arial" w:cs="Arial"/>
          <w:b/>
          <w:bCs/>
        </w:rPr>
        <w:t xml:space="preserve">  You may complete </w:t>
      </w:r>
      <w:r>
        <w:rPr>
          <w:rFonts w:ascii="Arial" w:hAnsi="Arial" w:cs="Arial"/>
        </w:rPr>
        <w:t xml:space="preserve">the ETE Registration at any time in the eCBSV Customer Connection.  The instructions and links for testing in the ETE are in the Technical Information Document.  </w:t>
      </w:r>
      <w:r>
        <w:rPr>
          <w:rFonts w:ascii="Arial" w:hAnsi="Arial" w:cs="Arial"/>
          <w:b/>
          <w:bCs/>
          <w:i/>
          <w:iCs/>
        </w:rPr>
        <w:t xml:space="preserve">You are highly encouraged to test your verification software in the ETE prior to attempting to submit transactions in production.       </w:t>
      </w:r>
    </w:p>
    <w:p w:rsidR="003C5E3F" w:rsidP="003C5E3F" w14:paraId="5429E9A7" w14:textId="77777777">
      <w:pPr>
        <w:ind w:left="1500"/>
        <w:rPr>
          <w:rFonts w:ascii="Arial" w:hAnsi="Arial" w:cs="Arial"/>
        </w:rPr>
      </w:pPr>
    </w:p>
    <w:p w:rsidR="003C5E3F" w:rsidP="003C5E3F" w14:paraId="66F59FBB" w14:textId="77777777">
      <w:pPr>
        <w:numPr>
          <w:ilvl w:val="0"/>
          <w:numId w:val="2"/>
        </w:numPr>
        <w:rPr>
          <w:rFonts w:ascii="Arial" w:hAnsi="Arial" w:cs="Arial"/>
        </w:rPr>
      </w:pPr>
      <w:r>
        <w:rPr>
          <w:rFonts w:ascii="Arial" w:hAnsi="Arial" w:cs="Arial"/>
          <w:b/>
          <w:bCs/>
          <w:i/>
          <w:iCs/>
        </w:rPr>
        <w:t>Entity Enrollment:</w:t>
      </w:r>
      <w:r>
        <w:rPr>
          <w:rFonts w:ascii="Arial" w:hAnsi="Arial" w:cs="Arial"/>
        </w:rPr>
        <w:t>  The eCBSV Customer Connection will guide you through the automated enrollment process to sign the Permitted Entity Certification, sign the User Agreement, and purchase your Tier through Pay.Gov.  Upon completion of the enrollment workflow, please note the following:</w:t>
      </w:r>
    </w:p>
    <w:p w:rsidR="003C5E3F" w:rsidP="003C5E3F" w14:paraId="77FDB0A2" w14:textId="77777777">
      <w:pPr>
        <w:ind w:left="780"/>
        <w:rPr>
          <w:rFonts w:ascii="Arial" w:hAnsi="Arial" w:cs="Arial"/>
        </w:rPr>
      </w:pPr>
    </w:p>
    <w:p w:rsidR="003C5E3F" w:rsidP="003C5E3F" w14:paraId="5A6E1FAD" w14:textId="77777777">
      <w:pPr>
        <w:numPr>
          <w:ilvl w:val="0"/>
          <w:numId w:val="3"/>
        </w:numPr>
        <w:rPr>
          <w:rFonts w:ascii="Arial" w:hAnsi="Arial" w:cs="Arial"/>
        </w:rPr>
      </w:pPr>
      <w:r>
        <w:rPr>
          <w:rFonts w:ascii="Arial" w:hAnsi="Arial" w:cs="Arial"/>
        </w:rPr>
        <w:t xml:space="preserve">You will receive your Production </w:t>
      </w:r>
      <w:r>
        <w:rPr>
          <w:rFonts w:ascii="Arial" w:hAnsi="Arial" w:cs="Arial"/>
          <w:b/>
          <w:bCs/>
        </w:rPr>
        <w:t>Exchange ID</w:t>
      </w:r>
      <w:r>
        <w:rPr>
          <w:rFonts w:ascii="Arial" w:hAnsi="Arial" w:cs="Arial"/>
        </w:rPr>
        <w:t xml:space="preserve">.  This Exchange ID is required for accessing the eCBSV Verification Service in Production. </w:t>
      </w:r>
    </w:p>
    <w:p w:rsidR="003C5E3F" w:rsidP="003C5E3F" w14:paraId="4DC20E2F" w14:textId="77777777">
      <w:pPr>
        <w:rPr>
          <w:rFonts w:ascii="Arial" w:hAnsi="Arial" w:cs="Arial"/>
        </w:rPr>
      </w:pPr>
    </w:p>
    <w:p w:rsidR="003C5E3F" w:rsidP="003C5E3F" w14:paraId="28A6EEDA" w14:textId="77777777">
      <w:pPr>
        <w:numPr>
          <w:ilvl w:val="0"/>
          <w:numId w:val="3"/>
        </w:numPr>
        <w:rPr>
          <w:rFonts w:ascii="Arial" w:hAnsi="Arial" w:cs="Arial"/>
        </w:rPr>
      </w:pPr>
      <w:r>
        <w:rPr>
          <w:rFonts w:ascii="Arial" w:hAnsi="Arial" w:cs="Arial"/>
        </w:rPr>
        <w:t xml:space="preserve">Your annual tier subscription will be effective immediately.  Please keep this in mind when determining internal timeframes for testing in the ETE and moving into production. </w:t>
      </w:r>
    </w:p>
    <w:p w:rsidR="003C5E3F" w:rsidP="003C5E3F" w14:paraId="2725E981" w14:textId="77777777">
      <w:pPr>
        <w:ind w:left="720"/>
        <w:rPr>
          <w:rFonts w:ascii="Arial" w:hAnsi="Arial" w:cs="Arial"/>
        </w:rPr>
      </w:pPr>
    </w:p>
    <w:p w:rsidR="003C5E3F" w:rsidP="003C5E3F" w14:paraId="747BB833" w14:textId="77777777">
      <w:pPr>
        <w:numPr>
          <w:ilvl w:val="0"/>
          <w:numId w:val="3"/>
        </w:numPr>
        <w:rPr>
          <w:rFonts w:ascii="Arial" w:hAnsi="Arial" w:cs="Arial"/>
        </w:rPr>
      </w:pPr>
      <w:r>
        <w:rPr>
          <w:rFonts w:ascii="Arial" w:hAnsi="Arial" w:cs="Arial"/>
        </w:rPr>
        <w:t>You may continue to use the eCBSV Customer Connection to manage your account and to view your transaction tier balance.</w:t>
      </w:r>
    </w:p>
    <w:p w:rsidR="003C5E3F" w:rsidP="003C5E3F" w14:paraId="49568186" w14:textId="77777777">
      <w:pPr>
        <w:ind w:left="1740"/>
        <w:rPr>
          <w:rFonts w:ascii="Arial" w:hAnsi="Arial" w:cs="Arial"/>
        </w:rPr>
      </w:pPr>
      <w:r>
        <w:rPr>
          <w:rFonts w:ascii="Arial" w:hAnsi="Arial" w:cs="Arial"/>
        </w:rPr>
        <w:t xml:space="preserve">  </w:t>
      </w:r>
    </w:p>
    <w:p w:rsidR="003C5E3F" w:rsidP="003C5E3F" w14:paraId="16B3DB68" w14:textId="77777777">
      <w:pPr>
        <w:ind w:left="1380"/>
        <w:rPr>
          <w:rFonts w:ascii="Arial" w:hAnsi="Arial" w:cs="Arial"/>
        </w:rPr>
      </w:pPr>
    </w:p>
    <w:tbl>
      <w:tblPr>
        <w:tblW w:w="0" w:type="auto"/>
        <w:tblInd w:w="688" w:type="dxa"/>
        <w:shd w:val="clear" w:color="auto" w:fill="FFE599"/>
        <w:tblCellMar>
          <w:left w:w="0" w:type="dxa"/>
          <w:right w:w="0" w:type="dxa"/>
        </w:tblCellMar>
        <w:tblLook w:val="04A0"/>
      </w:tblPr>
      <w:tblGrid>
        <w:gridCol w:w="7960"/>
      </w:tblGrid>
      <w:tr w14:paraId="7481882E" w14:textId="77777777" w:rsidTr="003C5E3F">
        <w:tblPrEx>
          <w:tblW w:w="0" w:type="auto"/>
          <w:tblInd w:w="688" w:type="dxa"/>
          <w:shd w:val="clear" w:color="auto" w:fill="FFE599"/>
          <w:tblCellMar>
            <w:left w:w="0" w:type="dxa"/>
            <w:right w:w="0" w:type="dxa"/>
          </w:tblCellMar>
          <w:tblLook w:val="04A0"/>
        </w:tblPrEx>
        <w:tc>
          <w:tcPr>
            <w:tcW w:w="7960" w:type="dxa"/>
            <w:tcBorders>
              <w:top w:val="single" w:sz="8" w:space="0" w:color="auto"/>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3C5E3F" w14:paraId="0CF4E393" w14:textId="77777777">
            <w:pPr>
              <w:jc w:val="center"/>
              <w:rPr>
                <w:rFonts w:ascii="Arial" w:hAnsi="Arial" w:cs="Arial"/>
                <w:color w:val="0000CC"/>
              </w:rPr>
            </w:pPr>
            <w:r>
              <w:rPr>
                <w:rFonts w:ascii="Arial" w:hAnsi="Arial" w:cs="Arial"/>
                <w:b/>
                <w:bCs/>
              </w:rPr>
              <w:t xml:space="preserve">The link to the eCBSV Customer Connection is as follows:  </w:t>
            </w:r>
            <w:hyperlink r:id="rId7" w:history="1">
              <w:r>
                <w:rPr>
                  <w:rStyle w:val="Hyperlink"/>
                  <w:rFonts w:ascii="Verdana" w:hAnsi="Verdana"/>
                  <w:color w:val="0000CC"/>
                </w:rPr>
                <w:t>https://apiauth.ssa.gov/entityLogin.html</w:t>
              </w:r>
            </w:hyperlink>
          </w:p>
          <w:p w:rsidR="003C5E3F" w14:paraId="29CB3A1F" w14:textId="77777777">
            <w:pPr>
              <w:jc w:val="center"/>
              <w:rPr>
                <w:rFonts w:ascii="Arial" w:hAnsi="Arial" w:cs="Arial"/>
                <w:b/>
                <w:bCs/>
                <w:sz w:val="24"/>
                <w:szCs w:val="24"/>
              </w:rPr>
            </w:pPr>
          </w:p>
        </w:tc>
      </w:tr>
    </w:tbl>
    <w:p w:rsidR="003C5E3F" w:rsidP="003C5E3F" w14:paraId="28525382" w14:textId="77777777">
      <w:pPr>
        <w:rPr>
          <w:rFonts w:ascii="Arial" w:hAnsi="Arial" w:cs="Arial"/>
        </w:rPr>
      </w:pPr>
    </w:p>
    <w:p w:rsidR="003C5E3F" w:rsidP="003C5E3F" w14:paraId="795A735F" w14:textId="77777777">
      <w:pPr>
        <w:ind w:left="1740"/>
        <w:rPr>
          <w:rFonts w:ascii="Arial" w:hAnsi="Arial" w:cs="Arial"/>
        </w:rPr>
      </w:pPr>
    </w:p>
    <w:p w:rsidR="003C5E3F" w:rsidP="003C5E3F" w14:paraId="1E08F8DA" w14:textId="77777777">
      <w:pPr>
        <w:numPr>
          <w:ilvl w:val="0"/>
          <w:numId w:val="1"/>
        </w:numPr>
        <w:rPr>
          <w:rFonts w:ascii="Arial" w:hAnsi="Arial" w:cs="Arial"/>
        </w:rPr>
      </w:pPr>
      <w:r>
        <w:rPr>
          <w:rFonts w:ascii="Arial" w:hAnsi="Arial" w:cs="Arial"/>
          <w:b/>
          <w:bCs/>
        </w:rPr>
        <w:t>Adding Financial Institutions (Service Providers only</w:t>
      </w:r>
      <w:r>
        <w:rPr>
          <w:rFonts w:ascii="Arial" w:hAnsi="Arial" w:cs="Arial"/>
        </w:rPr>
        <w:t>): Each Financial Institution must complete a registration process prior to submitting verification transactions through a service provider.  Financial Institutions only need to register once; they do not need to register separately for each service provider they use or if they switch providers.  Service providers should direct their customers to the Financial Institution Registration web page.</w:t>
      </w:r>
    </w:p>
    <w:p w:rsidR="003C5E3F" w:rsidP="003C5E3F" w14:paraId="593F880E" w14:textId="77777777">
      <w:pPr>
        <w:ind w:left="420"/>
        <w:rPr>
          <w:rFonts w:ascii="Arial" w:hAnsi="Arial" w:cs="Arial"/>
          <w:highlight w:val="cyan"/>
        </w:rPr>
      </w:pPr>
    </w:p>
    <w:tbl>
      <w:tblPr>
        <w:tblW w:w="9232" w:type="dxa"/>
        <w:tblInd w:w="689" w:type="dxa"/>
        <w:shd w:val="clear" w:color="auto" w:fill="E7E6E6"/>
        <w:tblCellMar>
          <w:left w:w="0" w:type="dxa"/>
          <w:right w:w="0" w:type="dxa"/>
        </w:tblCellMar>
        <w:tblLook w:val="04A0"/>
      </w:tblPr>
      <w:tblGrid>
        <w:gridCol w:w="9232"/>
      </w:tblGrid>
      <w:tr w14:paraId="060D9C15" w14:textId="77777777" w:rsidTr="003C5E3F">
        <w:tblPrEx>
          <w:tblW w:w="9232" w:type="dxa"/>
          <w:tblInd w:w="689" w:type="dxa"/>
          <w:shd w:val="clear" w:color="auto" w:fill="E7E6E6"/>
          <w:tblCellMar>
            <w:left w:w="0" w:type="dxa"/>
            <w:right w:w="0" w:type="dxa"/>
          </w:tblCellMar>
          <w:tblLook w:val="04A0"/>
        </w:tblPrEx>
        <w:tc>
          <w:tcPr>
            <w:tcW w:w="9232" w:type="dxa"/>
            <w:tcBorders>
              <w:top w:val="single" w:sz="8" w:space="0" w:color="auto"/>
              <w:left w:val="single" w:sz="8" w:space="0" w:color="auto"/>
              <w:bottom w:val="single" w:sz="8" w:space="0" w:color="auto"/>
              <w:right w:val="single" w:sz="8" w:space="0" w:color="auto"/>
            </w:tcBorders>
            <w:shd w:val="clear" w:color="auto" w:fill="FFE599"/>
            <w:tcMar>
              <w:top w:w="0" w:type="dxa"/>
              <w:left w:w="108" w:type="dxa"/>
              <w:bottom w:w="0" w:type="dxa"/>
              <w:right w:w="108" w:type="dxa"/>
            </w:tcMar>
          </w:tcPr>
          <w:p w:rsidR="003C5E3F" w14:paraId="75535826" w14:textId="77777777">
            <w:pPr>
              <w:jc w:val="center"/>
              <w:rPr>
                <w:rFonts w:ascii="Verdana" w:hAnsi="Verdana"/>
                <w:color w:val="0000CC"/>
              </w:rPr>
            </w:pPr>
            <w:r>
              <w:rPr>
                <w:rFonts w:ascii="Arial" w:hAnsi="Arial" w:cs="Arial"/>
                <w:b/>
                <w:bCs/>
              </w:rPr>
              <w:t xml:space="preserve">The link to Financial Institution Registration is as follows:   </w:t>
            </w:r>
            <w:hyperlink r:id="rId8" w:history="1">
              <w:r>
                <w:rPr>
                  <w:rStyle w:val="Hyperlink"/>
                  <w:rFonts w:ascii="Verdana" w:hAnsi="Verdana"/>
                </w:rPr>
                <w:t>https://www.ssa.gov/dataexchange/eCBSV/institution_registration.html</w:t>
              </w:r>
            </w:hyperlink>
          </w:p>
          <w:p w:rsidR="003C5E3F" w14:paraId="1969AC8F" w14:textId="77777777">
            <w:pPr>
              <w:jc w:val="center"/>
              <w:rPr>
                <w:rFonts w:ascii="Arial" w:hAnsi="Arial" w:cs="Arial"/>
                <w:b/>
                <w:bCs/>
                <w:color w:val="FF0000"/>
              </w:rPr>
            </w:pPr>
          </w:p>
        </w:tc>
      </w:tr>
    </w:tbl>
    <w:p w:rsidR="003C5E3F" w:rsidP="003C5E3F" w14:paraId="53297299" w14:textId="77777777">
      <w:pPr>
        <w:ind w:left="780"/>
      </w:pPr>
    </w:p>
    <w:p w:rsidR="00DB29E0" w14:paraId="781E2E6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1D30B5"/>
    <w:multiLevelType w:val="hybridMultilevel"/>
    <w:tmpl w:val="A1FE2BF0"/>
    <w:lvl w:ilvl="0">
      <w:start w:val="1"/>
      <w:numFmt w:val="decimal"/>
      <w:lvlText w:val="%1."/>
      <w:lvlJc w:val="left"/>
      <w:pPr>
        <w:ind w:left="780" w:hanging="360"/>
      </w:pPr>
      <w:rPr>
        <w:b/>
        <w:color w:val="auto"/>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nsid w:val="632B2307"/>
    <w:multiLevelType w:val="hybridMultilevel"/>
    <w:tmpl w:val="501224F0"/>
    <w:lvl w:ilvl="0">
      <w:start w:val="1"/>
      <w:numFmt w:val="bullet"/>
      <w:lvlText w:val="-"/>
      <w:lvlJc w:val="left"/>
      <w:pPr>
        <w:ind w:left="1140" w:hanging="360"/>
      </w:pPr>
      <w:rPr>
        <w:rFonts w:ascii="Arial" w:eastAsia="Calibri" w:hAnsi="Arial" w:cs="Aria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
    <w:nsid w:val="7AEE5606"/>
    <w:multiLevelType w:val="hybridMultilevel"/>
    <w:tmpl w:val="E3CEFD7E"/>
    <w:lvl w:ilvl="0">
      <w:start w:val="1"/>
      <w:numFmt w:val="bullet"/>
      <w:lvlText w:val="-"/>
      <w:lvlJc w:val="left"/>
      <w:pPr>
        <w:ind w:left="1740" w:hanging="360"/>
      </w:pPr>
      <w:rPr>
        <w:rFonts w:ascii="Arial" w:eastAsia="Calibri" w:hAnsi="Arial" w:cs="Arial" w:hint="default"/>
      </w:rPr>
    </w:lvl>
    <w:lvl w:ilvl="1">
      <w:start w:val="1"/>
      <w:numFmt w:val="bullet"/>
      <w:lvlText w:val="o"/>
      <w:lvlJc w:val="left"/>
      <w:pPr>
        <w:ind w:left="660" w:hanging="360"/>
      </w:pPr>
      <w:rPr>
        <w:rFonts w:ascii="Courier New" w:hAnsi="Courier New" w:cs="Courier New" w:hint="default"/>
      </w:rPr>
    </w:lvl>
    <w:lvl w:ilvl="2">
      <w:start w:val="1"/>
      <w:numFmt w:val="bullet"/>
      <w:lvlText w:val=""/>
      <w:lvlJc w:val="left"/>
      <w:pPr>
        <w:ind w:left="1380" w:hanging="360"/>
      </w:pPr>
      <w:rPr>
        <w:rFonts w:ascii="Wingdings" w:hAnsi="Wingdings" w:hint="default"/>
      </w:rPr>
    </w:lvl>
    <w:lvl w:ilvl="3">
      <w:start w:val="1"/>
      <w:numFmt w:val="bullet"/>
      <w:lvlText w:val=""/>
      <w:lvlJc w:val="left"/>
      <w:pPr>
        <w:ind w:left="2100" w:hanging="360"/>
      </w:pPr>
      <w:rPr>
        <w:rFonts w:ascii="Symbol" w:hAnsi="Symbol" w:hint="default"/>
      </w:rPr>
    </w:lvl>
    <w:lvl w:ilvl="4">
      <w:start w:val="1"/>
      <w:numFmt w:val="bullet"/>
      <w:lvlText w:val="o"/>
      <w:lvlJc w:val="left"/>
      <w:pPr>
        <w:ind w:left="2820" w:hanging="360"/>
      </w:pPr>
      <w:rPr>
        <w:rFonts w:ascii="Courier New" w:hAnsi="Courier New" w:cs="Courier New" w:hint="default"/>
      </w:rPr>
    </w:lvl>
    <w:lvl w:ilvl="5">
      <w:start w:val="1"/>
      <w:numFmt w:val="bullet"/>
      <w:lvlText w:val=""/>
      <w:lvlJc w:val="left"/>
      <w:pPr>
        <w:ind w:left="3540" w:hanging="360"/>
      </w:pPr>
      <w:rPr>
        <w:rFonts w:ascii="Wingdings" w:hAnsi="Wingdings" w:hint="default"/>
      </w:rPr>
    </w:lvl>
    <w:lvl w:ilvl="6">
      <w:start w:val="1"/>
      <w:numFmt w:val="bullet"/>
      <w:lvlText w:val=""/>
      <w:lvlJc w:val="left"/>
      <w:pPr>
        <w:ind w:left="4260" w:hanging="360"/>
      </w:pPr>
      <w:rPr>
        <w:rFonts w:ascii="Symbol" w:hAnsi="Symbol" w:hint="default"/>
      </w:rPr>
    </w:lvl>
    <w:lvl w:ilvl="7">
      <w:start w:val="1"/>
      <w:numFmt w:val="bullet"/>
      <w:lvlText w:val="o"/>
      <w:lvlJc w:val="left"/>
      <w:pPr>
        <w:ind w:left="4980" w:hanging="360"/>
      </w:pPr>
      <w:rPr>
        <w:rFonts w:ascii="Courier New" w:hAnsi="Courier New" w:cs="Courier New" w:hint="default"/>
      </w:rPr>
    </w:lvl>
    <w:lvl w:ilvl="8">
      <w:start w:val="1"/>
      <w:numFmt w:val="bullet"/>
      <w:lvlText w:val=""/>
      <w:lvlJc w:val="left"/>
      <w:pPr>
        <w:ind w:left="5700" w:hanging="360"/>
      </w:pPr>
      <w:rPr>
        <w:rFonts w:ascii="Wingdings" w:hAnsi="Wingdings" w:hint="default"/>
      </w:rPr>
    </w:lvl>
  </w:abstractNum>
  <w:num w:numId="1" w16cid:durableId="1939634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5449517">
    <w:abstractNumId w:val="1"/>
  </w:num>
  <w:num w:numId="3" w16cid:durableId="150346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3F"/>
    <w:rsid w:val="002B0561"/>
    <w:rsid w:val="00303F68"/>
    <w:rsid w:val="003C5E3F"/>
    <w:rsid w:val="00564A1B"/>
    <w:rsid w:val="00AB0C46"/>
    <w:rsid w:val="00DB29E0"/>
    <w:rsid w:val="00E135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98B32"/>
  <w15:chartTrackingRefBased/>
  <w15:docId w15:val="{E040EAAE-0C40-4410-B5C5-CAA798D2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E3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E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dataexchange/eCBSV/" TargetMode="External" /><Relationship Id="rId5" Type="http://schemas.openxmlformats.org/officeDocument/2006/relationships/hyperlink" Target="https://www.ssa.gov/dataexchange/eCBSV/documents/eCBSV%20Technical%20Information%20Document.pdf" TargetMode="External" /><Relationship Id="rId6" Type="http://schemas.openxmlformats.org/officeDocument/2006/relationships/hyperlink" Target="https://www.ssa.gov/dataexchange/eCBSV/entity_registration.html" TargetMode="External" /><Relationship Id="rId7" Type="http://schemas.openxmlformats.org/officeDocument/2006/relationships/hyperlink" Target="https://apiauth.ssa.gov/entityLogin.html" TargetMode="External" /><Relationship Id="rId8" Type="http://schemas.openxmlformats.org/officeDocument/2006/relationships/hyperlink" Target="https://www.ssa.gov/dataexchange/eCBSV/institution_registration.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Crystal R.</dc:creator>
  <cp:lastModifiedBy>David, Christopher</cp:lastModifiedBy>
  <cp:revision>2</cp:revision>
  <dcterms:created xsi:type="dcterms:W3CDTF">2024-02-13T13:17:00Z</dcterms:created>
  <dcterms:modified xsi:type="dcterms:W3CDTF">2024-02-13T13:17:00Z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751748998</vt:i4>
  </property>
  <property fmtid="{D5CDD505-2E9C-101B-9397-08002B2CF9AE}" pid="3" name="_AuthorEmail">
    <vt:lpwstr>Christopher.David@ssa.gov</vt:lpwstr>
  </property>
  <property fmtid="{D5CDD505-2E9C-101B-9397-08002B2CF9AE}" pid="4" name="_AuthorEmailDisplayName">
    <vt:lpwstr>David, Christopher</vt:lpwstr>
  </property>
  <property fmtid="{D5CDD505-2E9C-101B-9397-08002B2CF9AE}" pid="5" name="_EmailSubject">
    <vt:lpwstr>OMB Expiration Notice:  0960-0817 eCBSV</vt:lpwstr>
  </property>
  <property fmtid="{D5CDD505-2E9C-101B-9397-08002B2CF9AE}" pid="6" name="_NewReviewCycle">
    <vt:lpwstr/>
  </property>
</Properties>
</file>