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85FF2" w:rsidRPr="009A7226" w:rsidP="00B40F7F" w14:paraId="2439A3CB" w14:textId="161C9CA7">
      <w:pPr>
        <w:jc w:val="center"/>
        <w:rPr>
          <w:b/>
          <w:sz w:val="28"/>
          <w:szCs w:val="28"/>
        </w:rPr>
      </w:pPr>
      <w:r w:rsidRPr="009A7226">
        <w:rPr>
          <w:b/>
          <w:bCs/>
          <w:sz w:val="28"/>
          <w:szCs w:val="28"/>
        </w:rPr>
        <w:t xml:space="preserve">Supporting Statement for the Department of Health and Human Services </w:t>
      </w:r>
      <w:r w:rsidRPr="009A7226" w:rsidR="002A33DB">
        <w:rPr>
          <w:b/>
          <w:bCs/>
          <w:sz w:val="28"/>
          <w:szCs w:val="28"/>
        </w:rPr>
        <w:t xml:space="preserve">(HHS) </w:t>
      </w:r>
      <w:r w:rsidRPr="009A7226">
        <w:rPr>
          <w:b/>
          <w:bCs/>
          <w:sz w:val="28"/>
          <w:szCs w:val="28"/>
        </w:rPr>
        <w:t>Institutional Review Board (IRB)</w:t>
      </w:r>
      <w:r w:rsidRPr="009A7226" w:rsidR="00B40F7F">
        <w:rPr>
          <w:b/>
          <w:bCs/>
          <w:sz w:val="28"/>
          <w:szCs w:val="28"/>
        </w:rPr>
        <w:t xml:space="preserve"> </w:t>
      </w:r>
      <w:r w:rsidRPr="009A7226">
        <w:rPr>
          <w:b/>
          <w:bCs/>
          <w:sz w:val="28"/>
          <w:szCs w:val="28"/>
        </w:rPr>
        <w:t>Registration Form</w:t>
      </w:r>
    </w:p>
    <w:p w:rsidR="00785FF2" w14:paraId="524D74CB" w14:textId="77777777">
      <w:pPr>
        <w:tabs>
          <w:tab w:val="center" w:pos="4680"/>
        </w:tabs>
        <w:jc w:val="center"/>
        <w:rPr>
          <w:b/>
          <w:bCs/>
          <w:sz w:val="28"/>
        </w:rPr>
      </w:pPr>
    </w:p>
    <w:p w:rsidR="00785FF2" w14:paraId="0086659E" w14:textId="77777777">
      <w:pPr>
        <w:tabs>
          <w:tab w:val="center" w:pos="4680"/>
        </w:tabs>
        <w:rPr>
          <w:sz w:val="24"/>
        </w:rPr>
      </w:pPr>
      <w:r>
        <w:rPr>
          <w:b/>
          <w:bCs/>
          <w:sz w:val="28"/>
        </w:rPr>
        <w:tab/>
      </w:r>
    </w:p>
    <w:p w:rsidR="00785FF2" w14:paraId="3EF51805" w14:textId="77777777">
      <w:pPr>
        <w:tabs>
          <w:tab w:val="left" w:pos="-1080"/>
          <w:tab w:val="left" w:pos="720"/>
          <w:tab w:val="left" w:pos="2160"/>
        </w:tabs>
        <w:rPr>
          <w:b/>
          <w:bCs/>
          <w:sz w:val="28"/>
          <w:szCs w:val="28"/>
        </w:rPr>
      </w:pPr>
      <w:r>
        <w:rPr>
          <w:b/>
          <w:bCs/>
          <w:sz w:val="28"/>
          <w:szCs w:val="28"/>
        </w:rPr>
        <w:t>Background</w:t>
      </w:r>
    </w:p>
    <w:p w:rsidR="000F10B3" w14:paraId="0CD2353B" w14:textId="77777777">
      <w:pPr>
        <w:tabs>
          <w:tab w:val="left" w:pos="-1080"/>
          <w:tab w:val="left" w:pos="720"/>
          <w:tab w:val="left" w:pos="2160"/>
        </w:tabs>
        <w:rPr>
          <w:b/>
          <w:bCs/>
          <w:sz w:val="28"/>
          <w:szCs w:val="28"/>
        </w:rPr>
      </w:pPr>
    </w:p>
    <w:p w:rsidR="00A00C61" w:rsidRPr="001630F1" w:rsidP="00C03F6B" w14:paraId="7F19BA7A" w14:textId="76E9554E">
      <w:pPr>
        <w:rPr>
          <w:color w:val="000000" w:themeColor="text1"/>
          <w:sz w:val="24"/>
        </w:rPr>
      </w:pPr>
      <w:bookmarkStart w:id="0" w:name="_Hlk182822188"/>
      <w:bookmarkStart w:id="1" w:name="_Hlk191644915"/>
      <w:r w:rsidRPr="001630F1">
        <w:rPr>
          <w:color w:val="000000" w:themeColor="text1"/>
          <w:sz w:val="24"/>
        </w:rPr>
        <w:t xml:space="preserve">The Office for Human Research Protections (OHRP) and the Food and Drug Administration (FDA) </w:t>
      </w:r>
      <w:r w:rsidRPr="001630F1" w:rsidR="0015684E">
        <w:rPr>
          <w:color w:val="000000" w:themeColor="text1"/>
          <w:sz w:val="24"/>
        </w:rPr>
        <w:t xml:space="preserve">are </w:t>
      </w:r>
      <w:r w:rsidRPr="001630F1">
        <w:rPr>
          <w:color w:val="000000" w:themeColor="text1"/>
          <w:sz w:val="24"/>
        </w:rPr>
        <w:t>requesting</w:t>
      </w:r>
      <w:r w:rsidRPr="00C66469" w:rsidR="001630F1">
        <w:rPr>
          <w:color w:val="000000" w:themeColor="text1"/>
          <w:sz w:val="24"/>
        </w:rPr>
        <w:t xml:space="preserve"> reinstat</w:t>
      </w:r>
      <w:r w:rsidRPr="001630F1" w:rsidR="001630F1">
        <w:rPr>
          <w:color w:val="000000" w:themeColor="text1"/>
          <w:sz w:val="24"/>
        </w:rPr>
        <w:t>ement with change</w:t>
      </w:r>
      <w:r w:rsidRPr="001630F1" w:rsidR="000B7B95">
        <w:rPr>
          <w:color w:val="000000" w:themeColor="text1"/>
          <w:sz w:val="24"/>
        </w:rPr>
        <w:t xml:space="preserve"> for the</w:t>
      </w:r>
      <w:r w:rsidRPr="001630F1">
        <w:rPr>
          <w:color w:val="000000" w:themeColor="text1"/>
          <w:sz w:val="24"/>
        </w:rPr>
        <w:t xml:space="preserve"> Office of Management and Budget (OMB) No. 0990-0279, Department of Health and Human Services (HHS) Institutional Review Board (IRB) Registration Form</w:t>
      </w:r>
      <w:r w:rsidRPr="001630F1" w:rsidR="00177B03">
        <w:rPr>
          <w:color w:val="000000" w:themeColor="text1"/>
          <w:sz w:val="24"/>
        </w:rPr>
        <w:t>.</w:t>
      </w:r>
      <w:r w:rsidRPr="001630F1" w:rsidR="001630F1">
        <w:rPr>
          <w:color w:val="000000" w:themeColor="text1"/>
          <w:sz w:val="24"/>
        </w:rPr>
        <w:t xml:space="preserve"> </w:t>
      </w:r>
      <w:r w:rsidRPr="003F220D" w:rsidR="001630F1">
        <w:rPr>
          <w:sz w:val="24"/>
        </w:rPr>
        <w:t>The previous information collection was approved by OMB on June 27, 2022, and expired on June 30, 2025.</w:t>
      </w:r>
      <w:r w:rsidRPr="003F220D" w:rsidR="001630F1">
        <w:rPr>
          <w:color w:val="000000"/>
          <w:sz w:val="24"/>
        </w:rPr>
        <w:t xml:space="preserve"> </w:t>
      </w:r>
      <w:r w:rsidRPr="001630F1" w:rsidR="00177B03">
        <w:rPr>
          <w:color w:val="000000" w:themeColor="text1"/>
          <w:sz w:val="24"/>
        </w:rPr>
        <w:t xml:space="preserve"> </w:t>
      </w:r>
      <w:r w:rsidRPr="001630F1" w:rsidR="00E93DA4">
        <w:rPr>
          <w:color w:val="000000" w:themeColor="text1"/>
          <w:sz w:val="24"/>
        </w:rPr>
        <w:t xml:space="preserve">The </w:t>
      </w:r>
      <w:r w:rsidRPr="001630F1" w:rsidR="001630F1">
        <w:rPr>
          <w:color w:val="000000" w:themeColor="text1"/>
          <w:sz w:val="24"/>
        </w:rPr>
        <w:t>reinstatement with change</w:t>
      </w:r>
      <w:r w:rsidRPr="001630F1" w:rsidR="00E93DA4">
        <w:rPr>
          <w:color w:val="000000" w:themeColor="text1"/>
          <w:sz w:val="24"/>
        </w:rPr>
        <w:t xml:space="preserve"> request involves implementing a burden reducing change in the 2018 Requirements at 45 CFR 46.103</w:t>
      </w:r>
      <w:r w:rsidRPr="001630F1" w:rsidR="00FF248C">
        <w:rPr>
          <w:color w:val="000000" w:themeColor="text1"/>
          <w:sz w:val="24"/>
        </w:rPr>
        <w:t>, eliminati</w:t>
      </w:r>
      <w:r w:rsidRPr="001630F1" w:rsidR="00EE27CE">
        <w:rPr>
          <w:color w:val="000000" w:themeColor="text1"/>
          <w:sz w:val="24"/>
        </w:rPr>
        <w:t>ng</w:t>
      </w:r>
      <w:r w:rsidRPr="001630F1" w:rsidR="00FF248C">
        <w:rPr>
          <w:color w:val="000000" w:themeColor="text1"/>
          <w:sz w:val="24"/>
        </w:rPr>
        <w:t xml:space="preserve"> the requirement to provide a list of IRB members to HHS. This change is anticipated to</w:t>
      </w:r>
      <w:r w:rsidRPr="001630F1" w:rsidR="00E93DA4">
        <w:rPr>
          <w:color w:val="000000" w:themeColor="text1"/>
          <w:sz w:val="24"/>
        </w:rPr>
        <w:t xml:space="preserve"> result in a shorter, simplified IRB registration process for respondents. </w:t>
      </w:r>
    </w:p>
    <w:p w:rsidR="00A00C61" w:rsidP="00C03F6B" w14:paraId="44DD6642" w14:textId="77777777">
      <w:pPr>
        <w:rPr>
          <w:color w:val="000000" w:themeColor="text1"/>
          <w:sz w:val="24"/>
        </w:rPr>
      </w:pPr>
    </w:p>
    <w:bookmarkEnd w:id="0"/>
    <w:p w:rsidR="00C03F6B" w:rsidP="00C03F6B" w14:paraId="4D4B6E54" w14:textId="7854F127">
      <w:pPr>
        <w:rPr>
          <w:color w:val="000000" w:themeColor="text1"/>
          <w:sz w:val="24"/>
        </w:rPr>
      </w:pPr>
      <w:r w:rsidRPr="00BF270A">
        <w:rPr>
          <w:color w:val="000000" w:themeColor="text1"/>
          <w:sz w:val="24"/>
        </w:rPr>
        <w:t>Th</w:t>
      </w:r>
      <w:r w:rsidR="00A44839">
        <w:rPr>
          <w:color w:val="000000" w:themeColor="text1"/>
          <w:sz w:val="24"/>
        </w:rPr>
        <w:t>e</w:t>
      </w:r>
      <w:r w:rsidRPr="00BF270A">
        <w:rPr>
          <w:color w:val="000000" w:themeColor="text1"/>
          <w:sz w:val="24"/>
        </w:rPr>
        <w:t xml:space="preserve"> form was modified in 2009 to be consistent with IRB registration requirements that were adopted in July 2009 by the Office for Human Research Protections (OHRP) and the Food and Drug Administration (FDA), respectively. At that time</w:t>
      </w:r>
      <w:r w:rsidR="00A44839">
        <w:rPr>
          <w:color w:val="000000" w:themeColor="text1"/>
          <w:sz w:val="24"/>
        </w:rPr>
        <w:t>,</w:t>
      </w:r>
      <w:r w:rsidRPr="00BF270A">
        <w:rPr>
          <w:color w:val="000000" w:themeColor="text1"/>
          <w:sz w:val="24"/>
        </w:rPr>
        <w:t xml:space="preserve"> OMB recommended that the information collection request required by OHRP’s and FDA’s IRB </w:t>
      </w:r>
      <w:r w:rsidR="000D45C2">
        <w:rPr>
          <w:color w:val="000000" w:themeColor="text1"/>
          <w:sz w:val="24"/>
        </w:rPr>
        <w:t>r</w:t>
      </w:r>
      <w:r w:rsidRPr="00BF270A">
        <w:rPr>
          <w:color w:val="000000" w:themeColor="text1"/>
          <w:sz w:val="24"/>
        </w:rPr>
        <w:t xml:space="preserve">egistration </w:t>
      </w:r>
      <w:r>
        <w:rPr>
          <w:color w:val="000000" w:themeColor="text1"/>
          <w:sz w:val="24"/>
        </w:rPr>
        <w:t>requirements</w:t>
      </w:r>
      <w:r w:rsidRPr="00BF270A">
        <w:rPr>
          <w:color w:val="000000" w:themeColor="text1"/>
          <w:sz w:val="24"/>
        </w:rPr>
        <w:t xml:space="preserve"> be combined because the information would be submitted using the same form. </w:t>
      </w:r>
      <w:r w:rsidRPr="003B5B0E">
        <w:rPr>
          <w:color w:val="000000" w:themeColor="text1"/>
          <w:sz w:val="24"/>
        </w:rPr>
        <w:t xml:space="preserve">A similar mechanism </w:t>
      </w:r>
      <w:r>
        <w:rPr>
          <w:color w:val="000000" w:themeColor="text1"/>
          <w:sz w:val="24"/>
        </w:rPr>
        <w:t>has been used since then</w:t>
      </w:r>
      <w:r w:rsidRPr="003B5B0E">
        <w:rPr>
          <w:color w:val="000000" w:themeColor="text1"/>
          <w:sz w:val="24"/>
        </w:rPr>
        <w:t xml:space="preserve"> and </w:t>
      </w:r>
      <w:r w:rsidR="00FA3034">
        <w:rPr>
          <w:color w:val="000000" w:themeColor="text1"/>
          <w:sz w:val="24"/>
        </w:rPr>
        <w:t xml:space="preserve">is proposed to </w:t>
      </w:r>
      <w:r w:rsidR="006E73BB">
        <w:rPr>
          <w:color w:val="000000" w:themeColor="text1"/>
          <w:sz w:val="24"/>
        </w:rPr>
        <w:t>continue</w:t>
      </w:r>
      <w:r w:rsidR="009517C7">
        <w:rPr>
          <w:color w:val="000000" w:themeColor="text1"/>
          <w:sz w:val="24"/>
        </w:rPr>
        <w:t xml:space="preserve"> </w:t>
      </w:r>
      <w:r w:rsidR="0017784C">
        <w:rPr>
          <w:color w:val="000000" w:themeColor="text1"/>
          <w:sz w:val="24"/>
        </w:rPr>
        <w:t xml:space="preserve">with this </w:t>
      </w:r>
      <w:r w:rsidR="0087091E">
        <w:rPr>
          <w:color w:val="000000" w:themeColor="text1"/>
          <w:sz w:val="24"/>
        </w:rPr>
        <w:t>revision request</w:t>
      </w:r>
      <w:r w:rsidR="009517C7">
        <w:rPr>
          <w:color w:val="000000" w:themeColor="text1"/>
          <w:sz w:val="24"/>
        </w:rPr>
        <w:t xml:space="preserve"> </w:t>
      </w:r>
      <w:r w:rsidR="0087091E">
        <w:rPr>
          <w:color w:val="000000" w:themeColor="text1"/>
          <w:sz w:val="24"/>
        </w:rPr>
        <w:t>for</w:t>
      </w:r>
      <w:r w:rsidRPr="003B5B0E">
        <w:rPr>
          <w:color w:val="000000" w:themeColor="text1"/>
          <w:sz w:val="24"/>
        </w:rPr>
        <w:t xml:space="preserve"> OMB form No. 0990-0279.</w:t>
      </w:r>
      <w:r>
        <w:rPr>
          <w:color w:val="000000" w:themeColor="text1"/>
          <w:sz w:val="24"/>
        </w:rPr>
        <w:t xml:space="preserve"> </w:t>
      </w:r>
    </w:p>
    <w:p w:rsidR="002263A9" w:rsidP="00C03F6B" w14:paraId="4BD8A584" w14:textId="77777777">
      <w:pPr>
        <w:rPr>
          <w:color w:val="000000" w:themeColor="text1"/>
          <w:sz w:val="24"/>
        </w:rPr>
      </w:pPr>
    </w:p>
    <w:p w:rsidR="002263A9" w:rsidP="002263A9" w14:paraId="04A8BCCC" w14:textId="77777777">
      <w:pPr>
        <w:rPr>
          <w:color w:val="000000" w:themeColor="text1"/>
          <w:sz w:val="24"/>
        </w:rPr>
      </w:pPr>
      <w:r w:rsidRPr="002263A9">
        <w:rPr>
          <w:color w:val="000000" w:themeColor="text1"/>
          <w:sz w:val="24"/>
        </w:rPr>
        <w:t xml:space="preserve">The purpose of the form is to provide a simplified procedure for: (1) IRBs to satisfy the requirements for IRB registration at 45 CFR part 46, subpart E; and (2) IRBs in the United States (US) to satisfy the FDA requirements for IRB registration at 21 CFR 56.106. </w:t>
      </w:r>
    </w:p>
    <w:bookmarkEnd w:id="1"/>
    <w:p w:rsidR="004663B8" w:rsidRPr="002263A9" w:rsidP="002263A9" w14:paraId="42F1B056" w14:textId="77777777">
      <w:pPr>
        <w:rPr>
          <w:color w:val="000000" w:themeColor="text1"/>
          <w:sz w:val="24"/>
        </w:rPr>
      </w:pPr>
    </w:p>
    <w:p w:rsidR="002263A9" w:rsidP="002263A9" w14:paraId="4C5B53FB" w14:textId="3A125CBF">
      <w:pPr>
        <w:rPr>
          <w:color w:val="000000" w:themeColor="text1"/>
          <w:sz w:val="24"/>
        </w:rPr>
      </w:pPr>
      <w:r w:rsidRPr="002263A9">
        <w:rPr>
          <w:color w:val="000000" w:themeColor="text1"/>
          <w:sz w:val="24"/>
        </w:rPr>
        <w:t xml:space="preserve">Institutions engaged in nonexempt human </w:t>
      </w:r>
      <w:r w:rsidRPr="002263A9">
        <w:rPr>
          <w:color w:val="000000" w:themeColor="text1"/>
          <w:sz w:val="24"/>
        </w:rPr>
        <w:t>subjects</w:t>
      </w:r>
      <w:r w:rsidRPr="002263A9">
        <w:rPr>
          <w:color w:val="000000" w:themeColor="text1"/>
          <w:sz w:val="24"/>
        </w:rPr>
        <w:t xml:space="preserve"> research conducted or supported by HHS, or another Common Rule department or agency, are required by the terms of the </w:t>
      </w:r>
      <w:r w:rsidRPr="002263A9">
        <w:rPr>
          <w:color w:val="000000" w:themeColor="text1"/>
          <w:sz w:val="24"/>
        </w:rPr>
        <w:t>Federalwide</w:t>
      </w:r>
      <w:r w:rsidRPr="002263A9">
        <w:rPr>
          <w:color w:val="000000" w:themeColor="text1"/>
          <w:sz w:val="24"/>
        </w:rPr>
        <w:t xml:space="preserve"> Assurance (FWA) to rely upon only IRBs registered with OHRP for review of research to which the FWA applies. In this way, OHRP’s FWA process, established pursuant to the requirements for assurances at 45 CFR 46.103, is linked to the regulatory requirements for IRB registration.</w:t>
      </w:r>
    </w:p>
    <w:p w:rsidR="00306554" w14:paraId="6F3DA48A" w14:textId="4F7A5B5B">
      <w:pPr>
        <w:rPr>
          <w:color w:val="000000" w:themeColor="text1"/>
          <w:sz w:val="24"/>
        </w:rPr>
      </w:pPr>
      <w:r>
        <w:rPr>
          <w:color w:val="000000" w:themeColor="text1"/>
          <w:sz w:val="24"/>
        </w:rPr>
        <w:t xml:space="preserve"> </w:t>
      </w:r>
      <w:bookmarkStart w:id="2" w:name="_Hlk100154576"/>
      <w:bookmarkStart w:id="3" w:name="_Hlk182822214"/>
    </w:p>
    <w:p w:rsidR="00785FF2" w:rsidRPr="00BF270A" w14:paraId="54334C1A" w14:textId="6F8407BD">
      <w:pPr>
        <w:rPr>
          <w:color w:val="000000" w:themeColor="text1"/>
          <w:sz w:val="24"/>
        </w:rPr>
      </w:pPr>
      <w:bookmarkStart w:id="4" w:name="_Hlk100154665"/>
      <w:bookmarkEnd w:id="2"/>
      <w:r w:rsidRPr="00BF270A">
        <w:rPr>
          <w:color w:val="000000" w:themeColor="text1"/>
          <w:sz w:val="24"/>
        </w:rPr>
        <w:t xml:space="preserve">The respondents for this </w:t>
      </w:r>
      <w:r w:rsidR="002E0FF6">
        <w:rPr>
          <w:color w:val="000000" w:themeColor="text1"/>
          <w:sz w:val="24"/>
        </w:rPr>
        <w:t xml:space="preserve">information </w:t>
      </w:r>
      <w:r w:rsidRPr="00BF270A">
        <w:rPr>
          <w:color w:val="000000" w:themeColor="text1"/>
          <w:sz w:val="24"/>
        </w:rPr>
        <w:t>collection are institutions or organizations operating IRBs that review human subjects research conducted or supported by HHS</w:t>
      </w:r>
      <w:r w:rsidR="00F54C2B">
        <w:rPr>
          <w:color w:val="000000" w:themeColor="text1"/>
          <w:sz w:val="24"/>
        </w:rPr>
        <w:t>;</w:t>
      </w:r>
      <w:r w:rsidRPr="00BF270A">
        <w:rPr>
          <w:color w:val="000000" w:themeColor="text1"/>
          <w:sz w:val="24"/>
        </w:rPr>
        <w:t xml:space="preserve"> or,</w:t>
      </w:r>
      <w:r w:rsidRPr="00BF270A" w:rsidR="00F15EE0">
        <w:rPr>
          <w:color w:val="000000" w:themeColor="text1"/>
          <w:sz w:val="24"/>
        </w:rPr>
        <w:t xml:space="preserve"> in the case of FDA’s requirements</w:t>
      </w:r>
      <w:r w:rsidRPr="00BF270A">
        <w:rPr>
          <w:color w:val="000000" w:themeColor="text1"/>
          <w:sz w:val="24"/>
        </w:rPr>
        <w:t>, each IRB in the United States that reviews clinical investigations regulated by FDA under sections 505(i) or 520(g) of the Federal Food, Drug and Cosmetic Act; and each IRB in the United States that reviews clinical investigations that are intended to support applications for research or marketing permits for FDA-regulated products.</w:t>
      </w:r>
      <w:bookmarkEnd w:id="4"/>
      <w:r w:rsidR="00B66EB7">
        <w:rPr>
          <w:color w:val="000000" w:themeColor="text1"/>
          <w:sz w:val="24"/>
        </w:rPr>
        <w:t xml:space="preserve"> </w:t>
      </w:r>
      <w:r w:rsidR="00B129C5">
        <w:rPr>
          <w:color w:val="000000" w:themeColor="text1"/>
          <w:sz w:val="24"/>
        </w:rPr>
        <w:t>Many of the IRBs also</w:t>
      </w:r>
      <w:r w:rsidR="00B66EB7">
        <w:rPr>
          <w:color w:val="000000" w:themeColor="text1"/>
          <w:sz w:val="24"/>
        </w:rPr>
        <w:t xml:space="preserve"> review research conducted or supported by other </w:t>
      </w:r>
      <w:r w:rsidR="00EE40FF">
        <w:rPr>
          <w:color w:val="000000" w:themeColor="text1"/>
          <w:sz w:val="24"/>
        </w:rPr>
        <w:t xml:space="preserve">Federal departments and agencies that have adopted the Federal Policy for the Protection of Human Subjects (the </w:t>
      </w:r>
      <w:r w:rsidR="00B66EB7">
        <w:rPr>
          <w:color w:val="000000" w:themeColor="text1"/>
          <w:sz w:val="24"/>
        </w:rPr>
        <w:t>Common Rule</w:t>
      </w:r>
      <w:r w:rsidR="00EE40FF">
        <w:rPr>
          <w:color w:val="000000" w:themeColor="text1"/>
          <w:sz w:val="24"/>
        </w:rPr>
        <w:t>).</w:t>
      </w:r>
      <w:r w:rsidR="00B66EB7">
        <w:rPr>
          <w:color w:val="000000" w:themeColor="text1"/>
          <w:sz w:val="24"/>
        </w:rPr>
        <w:t xml:space="preserve"> </w:t>
      </w:r>
    </w:p>
    <w:bookmarkEnd w:id="3"/>
    <w:p w:rsidR="00785FF2" w14:paraId="4EFB5EBB" w14:textId="77777777">
      <w:pPr>
        <w:ind w:firstLine="720"/>
        <w:rPr>
          <w:sz w:val="24"/>
        </w:rPr>
      </w:pPr>
    </w:p>
    <w:p w:rsidR="00785FF2" w14:paraId="1C6E0B3F" w14:textId="77777777">
      <w:pPr>
        <w:rPr>
          <w:sz w:val="24"/>
        </w:rPr>
      </w:pPr>
    </w:p>
    <w:p w:rsidR="00785FF2" w14:paraId="44B22529" w14:textId="1E7AE977">
      <w:pPr>
        <w:widowControl/>
        <w:tabs>
          <w:tab w:val="left" w:pos="0"/>
          <w:tab w:val="left" w:pos="720"/>
          <w:tab w:val="left" w:pos="2160"/>
        </w:tabs>
        <w:rPr>
          <w:b/>
          <w:bCs/>
          <w:sz w:val="28"/>
          <w:szCs w:val="28"/>
        </w:rPr>
      </w:pPr>
      <w:r>
        <w:rPr>
          <w:b/>
          <w:bCs/>
          <w:sz w:val="28"/>
          <w:szCs w:val="28"/>
        </w:rPr>
        <w:t>A</w:t>
      </w:r>
      <w:r>
        <w:rPr>
          <w:b/>
          <w:bCs/>
          <w:sz w:val="28"/>
          <w:szCs w:val="28"/>
        </w:rPr>
        <w:t>.</w:t>
      </w:r>
      <w:r>
        <w:rPr>
          <w:b/>
          <w:bCs/>
          <w:sz w:val="28"/>
          <w:szCs w:val="28"/>
        </w:rPr>
        <w:tab/>
        <w:t>Justification</w:t>
      </w:r>
    </w:p>
    <w:p w:rsidR="001D63A8" w14:paraId="3036D409" w14:textId="77777777">
      <w:pPr>
        <w:widowControl/>
        <w:tabs>
          <w:tab w:val="left" w:pos="0"/>
          <w:tab w:val="left" w:pos="720"/>
          <w:tab w:val="left" w:pos="2160"/>
        </w:tabs>
        <w:rPr>
          <w:b/>
          <w:bCs/>
          <w:sz w:val="28"/>
          <w:szCs w:val="28"/>
        </w:rPr>
      </w:pPr>
    </w:p>
    <w:p w:rsidR="009A6AA3" w:rsidP="009A6AA3" w14:paraId="253F9581" w14:textId="751AD3D5">
      <w:pPr>
        <w:numPr>
          <w:ilvl w:val="0"/>
          <w:numId w:val="1"/>
        </w:numPr>
        <w:tabs>
          <w:tab w:val="num" w:pos="-3960"/>
          <w:tab w:val="clear" w:pos="720"/>
        </w:tabs>
        <w:ind w:left="1080"/>
        <w:rPr>
          <w:sz w:val="24"/>
        </w:rPr>
      </w:pPr>
      <w:r>
        <w:rPr>
          <w:sz w:val="24"/>
          <w:u w:val="single"/>
        </w:rPr>
        <w:t>Need and Legal Basis</w:t>
      </w:r>
    </w:p>
    <w:p w:rsidR="00785FF2" w14:paraId="0148755B" w14:textId="319AE915">
      <w:pPr>
        <w:ind w:left="-360"/>
        <w:rPr>
          <w:b/>
          <w:bCs/>
          <w:sz w:val="24"/>
        </w:rPr>
      </w:pPr>
    </w:p>
    <w:p w:rsidR="00785FF2" w14:paraId="53CAE745" w14:textId="77777777">
      <w:pPr>
        <w:ind w:firstLine="720"/>
        <w:rPr>
          <w:b/>
          <w:sz w:val="24"/>
        </w:rPr>
      </w:pPr>
      <w:r>
        <w:rPr>
          <w:b/>
          <w:sz w:val="24"/>
        </w:rPr>
        <w:t>OHRP:</w:t>
      </w:r>
    </w:p>
    <w:p w:rsidR="00785FF2" w14:paraId="2A171949" w14:textId="40FFE9B0">
      <w:pPr>
        <w:ind w:firstLine="720"/>
        <w:rPr>
          <w:b/>
          <w:sz w:val="24"/>
        </w:rPr>
      </w:pPr>
    </w:p>
    <w:p w:rsidR="00443F06" w:rsidP="00B20BFB" w14:paraId="5AD5B8ED" w14:textId="51F4FD79">
      <w:pPr>
        <w:pStyle w:val="BodyTextIndent2"/>
        <w:ind w:left="720"/>
      </w:pPr>
      <w:r>
        <w:t xml:space="preserve">OHRP is the HHS component charged with fulfilling the statutory mandates of the </w:t>
      </w:r>
      <w:r w:rsidR="00374400">
        <w:t>Public Health Service Act, as amended (</w:t>
      </w:r>
      <w:r>
        <w:t>PHS Act</w:t>
      </w:r>
      <w:r w:rsidR="00374400">
        <w:t>)</w:t>
      </w:r>
      <w:r>
        <w:t xml:space="preserve"> and enforcing HHS regulations at 45 CFR part 46.  </w:t>
      </w:r>
    </w:p>
    <w:p w:rsidR="00785FF2" w14:paraId="39C31012" w14:textId="77777777">
      <w:pPr>
        <w:ind w:left="1080"/>
        <w:rPr>
          <w:sz w:val="24"/>
        </w:rPr>
      </w:pPr>
    </w:p>
    <w:p w:rsidR="009A6AA3" w:rsidP="00E53E93" w14:paraId="6DF8B63F" w14:textId="77777777">
      <w:pPr>
        <w:ind w:left="1080"/>
        <w:rPr>
          <w:sz w:val="24"/>
        </w:rPr>
      </w:pPr>
      <w:r>
        <w:rPr>
          <w:sz w:val="24"/>
        </w:rPr>
        <w:t>Section 491</w:t>
      </w:r>
      <w:r>
        <w:rPr>
          <w:sz w:val="24"/>
        </w:rPr>
        <w:t xml:space="preserve"> [</w:t>
      </w:r>
      <w:r>
        <w:rPr>
          <w:sz w:val="24"/>
        </w:rPr>
        <w:t>289]</w:t>
      </w:r>
      <w:r>
        <w:rPr>
          <w:sz w:val="24"/>
        </w:rPr>
        <w:t>(</w:t>
      </w:r>
      <w:r>
        <w:rPr>
          <w:sz w:val="24"/>
        </w:rPr>
        <w:t>a) of the PHS Act states</w:t>
      </w:r>
      <w:r>
        <w:rPr>
          <w:sz w:val="24"/>
        </w:rPr>
        <w:t>:</w:t>
      </w:r>
    </w:p>
    <w:p w:rsidR="009A6AA3" w:rsidP="00E53E93" w14:paraId="52BD7A4D" w14:textId="14090631">
      <w:pPr>
        <w:ind w:left="1080"/>
        <w:rPr>
          <w:sz w:val="24"/>
        </w:rPr>
      </w:pPr>
      <w:r>
        <w:rPr>
          <w:sz w:val="24"/>
        </w:rPr>
        <w:t>“</w:t>
      </w:r>
      <w:r>
        <w:rPr>
          <w:sz w:val="24"/>
        </w:rPr>
        <w:t>T</w:t>
      </w:r>
      <w:r w:rsidR="00785FF2">
        <w:rPr>
          <w:sz w:val="24"/>
        </w:rPr>
        <w:t>he Secretary shall by regulation require that each entity</w:t>
      </w:r>
      <w:r>
        <w:rPr>
          <w:sz w:val="24"/>
        </w:rPr>
        <w:t xml:space="preserve"> </w:t>
      </w:r>
      <w:r w:rsidRPr="009A6AA3">
        <w:rPr>
          <w:sz w:val="24"/>
        </w:rPr>
        <w:t xml:space="preserve">which applies for a </w:t>
      </w:r>
      <w:r w:rsidRPr="00B20BFB">
        <w:rPr>
          <w:iCs/>
          <w:sz w:val="24"/>
        </w:rPr>
        <w:t>grant, contract, or cooperative agreement under this Act for any project or program which involves the conduct of biomedical or behavioral research involving human subjects submit in or with its application for such grant, contract, or cooperative agreement assurances satisfactory to the Secretary that it has established (in accordance with regulations which the Secretary shall prescribe) a board (to be known as an Institutional Review Board) to review biomedical and behavioral research involving human subjects conducted at or supported by such entity in order to protect the rights of the human subjects of such research.</w:t>
      </w:r>
      <w:r>
        <w:rPr>
          <w:iCs/>
          <w:sz w:val="24"/>
        </w:rPr>
        <w:t>”</w:t>
      </w:r>
    </w:p>
    <w:p w:rsidR="00785FF2" w:rsidP="00C3526A" w14:paraId="5F90F92E" w14:textId="77777777">
      <w:pPr>
        <w:ind w:left="2160"/>
        <w:rPr>
          <w:sz w:val="24"/>
        </w:rPr>
      </w:pPr>
    </w:p>
    <w:p w:rsidR="00785FF2" w:rsidP="00B20BFB" w14:paraId="57B442C2" w14:textId="2E6D6E4F">
      <w:pPr>
        <w:ind w:left="1080"/>
        <w:rPr>
          <w:sz w:val="24"/>
        </w:rPr>
      </w:pPr>
      <w:r>
        <w:rPr>
          <w:sz w:val="24"/>
        </w:rPr>
        <w:t xml:space="preserve">Pursuant to the requirements of the PHS Act, HHS has promulgated regulations for the protection of human subjects at 45 CFR part 46.  </w:t>
      </w:r>
      <w:r w:rsidR="00D90FDC">
        <w:rPr>
          <w:sz w:val="24"/>
        </w:rPr>
        <w:t>These</w:t>
      </w:r>
      <w:r>
        <w:rPr>
          <w:sz w:val="24"/>
        </w:rPr>
        <w:t xml:space="preserve"> regulations </w:t>
      </w:r>
      <w:r w:rsidR="00D90FDC">
        <w:rPr>
          <w:sz w:val="24"/>
        </w:rPr>
        <w:t>require that</w:t>
      </w:r>
      <w:r w:rsidR="00481710">
        <w:rPr>
          <w:sz w:val="24"/>
        </w:rPr>
        <w:t xml:space="preserve"> each institution engaged in research covered by the policy shall provide written assurance satisfactory to the department or agency head that it will comply with the requirements of 45 CFR part 46</w:t>
      </w:r>
      <w:r w:rsidR="00752284">
        <w:rPr>
          <w:sz w:val="24"/>
        </w:rPr>
        <w:t>, including the requirement</w:t>
      </w:r>
      <w:r w:rsidR="00DF0C02">
        <w:rPr>
          <w:sz w:val="24"/>
        </w:rPr>
        <w:t xml:space="preserve"> that </w:t>
      </w:r>
      <w:r w:rsidR="00A84555">
        <w:rPr>
          <w:sz w:val="24"/>
        </w:rPr>
        <w:t xml:space="preserve">an </w:t>
      </w:r>
      <w:r w:rsidR="00682DFF">
        <w:rPr>
          <w:sz w:val="24"/>
        </w:rPr>
        <w:t xml:space="preserve">institution certify to the department or agency head that the </w:t>
      </w:r>
      <w:r w:rsidR="00C16641">
        <w:rPr>
          <w:sz w:val="24"/>
        </w:rPr>
        <w:t>research has been reviewed and approved by an IRB (</w:t>
      </w:r>
      <w:r w:rsidR="00647A90">
        <w:rPr>
          <w:sz w:val="24"/>
        </w:rPr>
        <w:t>if such certification is required</w:t>
      </w:r>
      <w:r w:rsidR="000F6E89">
        <w:rPr>
          <w:sz w:val="24"/>
        </w:rPr>
        <w:t>). [45 CFR 46.103(a) and (d)].</w:t>
      </w:r>
    </w:p>
    <w:p w:rsidR="00690AC6" w:rsidP="00B20BFB" w14:paraId="727A000A" w14:textId="77777777">
      <w:pPr>
        <w:ind w:left="1080"/>
        <w:rPr>
          <w:sz w:val="24"/>
        </w:rPr>
      </w:pPr>
    </w:p>
    <w:p w:rsidR="00785FF2" w:rsidP="009734E4" w14:paraId="60D3CAF3" w14:textId="0C08E0EF">
      <w:pPr>
        <w:ind w:left="1080"/>
        <w:rPr>
          <w:sz w:val="24"/>
        </w:rPr>
      </w:pPr>
      <w:r>
        <w:rPr>
          <w:color w:val="000000" w:themeColor="text1"/>
          <w:sz w:val="24"/>
        </w:rPr>
        <w:t xml:space="preserve">OHRP’s 2009 IRB Registration requirements are included in subpart E of 45 CFR part 46.  </w:t>
      </w:r>
      <w:r w:rsidR="008503C3">
        <w:rPr>
          <w:color w:val="000000" w:themeColor="text1"/>
          <w:sz w:val="24"/>
        </w:rPr>
        <w:t>T</w:t>
      </w:r>
      <w:r>
        <w:rPr>
          <w:color w:val="000000" w:themeColor="text1"/>
          <w:sz w:val="24"/>
        </w:rPr>
        <w:t>he requirement for a list of IRB members to be provided to OHRP is included in the pre-2018 Common Rule, or the “pre-2018 Requirements”</w:t>
      </w:r>
      <w:r w:rsidRPr="00CE3479">
        <w:rPr>
          <w:rStyle w:val="FootnoteReference"/>
          <w:color w:val="000000" w:themeColor="text1"/>
          <w:sz w:val="24"/>
        </w:rPr>
        <w:t xml:space="preserve"> </w:t>
      </w:r>
      <w:r>
        <w:rPr>
          <w:rStyle w:val="FootnoteReference"/>
          <w:color w:val="000000" w:themeColor="text1"/>
          <w:sz w:val="24"/>
        </w:rPr>
        <w:footnoteReference w:id="3"/>
      </w:r>
      <w:r w:rsidR="006F2E92">
        <w:rPr>
          <w:color w:val="000000" w:themeColor="text1"/>
          <w:sz w:val="24"/>
        </w:rPr>
        <w:t xml:space="preserve"> at 45 CFR 46.103(b)(3). However, t</w:t>
      </w:r>
      <w:r>
        <w:rPr>
          <w:color w:val="000000" w:themeColor="text1"/>
          <w:sz w:val="24"/>
        </w:rPr>
        <w:t>he 2018 Requirements</w:t>
      </w:r>
      <w:r>
        <w:rPr>
          <w:rStyle w:val="FootnoteReference"/>
          <w:color w:val="000000" w:themeColor="text1"/>
          <w:sz w:val="24"/>
        </w:rPr>
        <w:footnoteReference w:id="4"/>
      </w:r>
      <w:r>
        <w:rPr>
          <w:color w:val="000000" w:themeColor="text1"/>
          <w:sz w:val="24"/>
        </w:rPr>
        <w:t xml:space="preserve"> at 45 CFR 46.103 do not include</w:t>
      </w:r>
      <w:r w:rsidRPr="00FE6B0C">
        <w:rPr>
          <w:color w:val="000000" w:themeColor="text1"/>
          <w:sz w:val="24"/>
        </w:rPr>
        <w:t xml:space="preserve"> the requirement that appear</w:t>
      </w:r>
      <w:r>
        <w:rPr>
          <w:color w:val="000000" w:themeColor="text1"/>
          <w:sz w:val="24"/>
        </w:rPr>
        <w:t>s</w:t>
      </w:r>
      <w:r w:rsidRPr="00FE6B0C">
        <w:rPr>
          <w:color w:val="000000" w:themeColor="text1"/>
          <w:sz w:val="24"/>
        </w:rPr>
        <w:t xml:space="preserve"> in the pre-2018 </w:t>
      </w:r>
      <w:r>
        <w:rPr>
          <w:color w:val="000000" w:themeColor="text1"/>
          <w:sz w:val="24"/>
        </w:rPr>
        <w:t>Common R</w:t>
      </w:r>
      <w:r w:rsidRPr="00FE6B0C">
        <w:rPr>
          <w:color w:val="000000" w:themeColor="text1"/>
          <w:sz w:val="24"/>
        </w:rPr>
        <w:t>ule</w:t>
      </w:r>
      <w:r>
        <w:rPr>
          <w:color w:val="000000" w:themeColor="text1"/>
          <w:sz w:val="24"/>
        </w:rPr>
        <w:t xml:space="preserve"> at 45 CFR 46.103(b)(3)</w:t>
      </w:r>
      <w:r w:rsidRPr="00FE6B0C">
        <w:rPr>
          <w:color w:val="000000" w:themeColor="text1"/>
          <w:sz w:val="24"/>
        </w:rPr>
        <w:t xml:space="preserve"> that </w:t>
      </w:r>
      <w:r>
        <w:rPr>
          <w:color w:val="000000" w:themeColor="text1"/>
          <w:sz w:val="24"/>
        </w:rPr>
        <w:t>a</w:t>
      </w:r>
      <w:r w:rsidRPr="00FE6B0C">
        <w:rPr>
          <w:color w:val="000000" w:themeColor="text1"/>
          <w:sz w:val="24"/>
        </w:rPr>
        <w:t xml:space="preserve"> list of the IRB members and their qualifications be included in an institution’s assurance</w:t>
      </w:r>
      <w:r>
        <w:rPr>
          <w:color w:val="000000" w:themeColor="text1"/>
          <w:sz w:val="24"/>
        </w:rPr>
        <w:t xml:space="preserve">. Instead, the 2018 Requirements at 45 CFR 46.108(a)(2) </w:t>
      </w:r>
      <w:r w:rsidR="00E8485D">
        <w:rPr>
          <w:color w:val="000000" w:themeColor="text1"/>
          <w:sz w:val="24"/>
        </w:rPr>
        <w:t xml:space="preserve">require </w:t>
      </w:r>
      <w:r>
        <w:rPr>
          <w:color w:val="000000" w:themeColor="text1"/>
          <w:sz w:val="24"/>
        </w:rPr>
        <w:t>that</w:t>
      </w:r>
      <w:r w:rsidR="00E8485D">
        <w:rPr>
          <w:color w:val="000000" w:themeColor="text1"/>
          <w:sz w:val="24"/>
        </w:rPr>
        <w:t xml:space="preserve"> the </w:t>
      </w:r>
      <w:r w:rsidR="00E8485D">
        <w:rPr>
          <w:color w:val="000000" w:themeColor="text1"/>
          <w:sz w:val="24"/>
        </w:rPr>
        <w:t>IRB prepare and maintain a current</w:t>
      </w:r>
      <w:r>
        <w:rPr>
          <w:color w:val="000000" w:themeColor="text1"/>
          <w:sz w:val="24"/>
        </w:rPr>
        <w:t xml:space="preserve"> list</w:t>
      </w:r>
      <w:r w:rsidR="00E8485D">
        <w:rPr>
          <w:color w:val="000000" w:themeColor="text1"/>
          <w:sz w:val="24"/>
        </w:rPr>
        <w:t xml:space="preserve"> of</w:t>
      </w:r>
      <w:r>
        <w:rPr>
          <w:color w:val="000000" w:themeColor="text1"/>
          <w:sz w:val="24"/>
        </w:rPr>
        <w:t xml:space="preserve"> IRB members internally. </w:t>
      </w:r>
      <w:r w:rsidR="00510789">
        <w:rPr>
          <w:color w:val="000000" w:themeColor="text1"/>
          <w:sz w:val="24"/>
        </w:rPr>
        <w:t xml:space="preserve">With this revision, </w:t>
      </w:r>
      <w:r>
        <w:rPr>
          <w:color w:val="000000" w:themeColor="text1"/>
          <w:sz w:val="24"/>
        </w:rPr>
        <w:t xml:space="preserve">OHRP is </w:t>
      </w:r>
      <w:r w:rsidR="00615D9B">
        <w:rPr>
          <w:color w:val="000000" w:themeColor="text1"/>
          <w:sz w:val="24"/>
        </w:rPr>
        <w:t>requesting</w:t>
      </w:r>
      <w:r>
        <w:rPr>
          <w:color w:val="000000" w:themeColor="text1"/>
          <w:sz w:val="24"/>
        </w:rPr>
        <w:t xml:space="preserve"> t</w:t>
      </w:r>
      <w:r w:rsidR="00615D9B">
        <w:rPr>
          <w:color w:val="000000" w:themeColor="text1"/>
          <w:sz w:val="24"/>
        </w:rPr>
        <w:t>hat</w:t>
      </w:r>
      <w:r>
        <w:rPr>
          <w:color w:val="000000" w:themeColor="text1"/>
          <w:sz w:val="24"/>
        </w:rPr>
        <w:t xml:space="preserve"> </w:t>
      </w:r>
      <w:r w:rsidR="00510789">
        <w:rPr>
          <w:color w:val="000000" w:themeColor="text1"/>
          <w:sz w:val="24"/>
        </w:rPr>
        <w:t xml:space="preserve">IRB </w:t>
      </w:r>
      <w:r w:rsidR="009B3233">
        <w:rPr>
          <w:color w:val="000000" w:themeColor="text1"/>
          <w:sz w:val="24"/>
        </w:rPr>
        <w:t xml:space="preserve">roster </w:t>
      </w:r>
      <w:r w:rsidR="00510789">
        <w:rPr>
          <w:color w:val="000000" w:themeColor="text1"/>
          <w:sz w:val="24"/>
        </w:rPr>
        <w:t>member</w:t>
      </w:r>
      <w:r>
        <w:rPr>
          <w:color w:val="000000" w:themeColor="text1"/>
          <w:sz w:val="24"/>
        </w:rPr>
        <w:t xml:space="preserve"> information</w:t>
      </w:r>
      <w:r w:rsidR="00615D9B">
        <w:rPr>
          <w:color w:val="000000" w:themeColor="text1"/>
          <w:sz w:val="24"/>
        </w:rPr>
        <w:t xml:space="preserve"> no longer be collected on the</w:t>
      </w:r>
      <w:r w:rsidR="004200D5">
        <w:rPr>
          <w:color w:val="000000" w:themeColor="text1"/>
          <w:sz w:val="24"/>
        </w:rPr>
        <w:t xml:space="preserve"> </w:t>
      </w:r>
      <w:r>
        <w:rPr>
          <w:color w:val="000000" w:themeColor="text1"/>
          <w:sz w:val="24"/>
        </w:rPr>
        <w:t xml:space="preserve">IRB </w:t>
      </w:r>
      <w:r w:rsidR="00615D9B">
        <w:rPr>
          <w:color w:val="000000" w:themeColor="text1"/>
          <w:sz w:val="24"/>
        </w:rPr>
        <w:t>r</w:t>
      </w:r>
      <w:r>
        <w:rPr>
          <w:color w:val="000000" w:themeColor="text1"/>
          <w:sz w:val="24"/>
        </w:rPr>
        <w:t xml:space="preserve">egistration </w:t>
      </w:r>
      <w:r w:rsidR="00615D9B">
        <w:rPr>
          <w:color w:val="000000" w:themeColor="text1"/>
          <w:sz w:val="24"/>
        </w:rPr>
        <w:t>f</w:t>
      </w:r>
      <w:r>
        <w:rPr>
          <w:color w:val="000000" w:themeColor="text1"/>
          <w:sz w:val="24"/>
        </w:rPr>
        <w:t>orm to</w:t>
      </w:r>
      <w:r w:rsidR="005532D6">
        <w:rPr>
          <w:color w:val="000000" w:themeColor="text1"/>
          <w:sz w:val="24"/>
        </w:rPr>
        <w:t xml:space="preserve"> </w:t>
      </w:r>
      <w:r w:rsidR="0007668A">
        <w:rPr>
          <w:color w:val="000000" w:themeColor="text1"/>
          <w:sz w:val="24"/>
        </w:rPr>
        <w:t xml:space="preserve">reflect </w:t>
      </w:r>
      <w:r>
        <w:rPr>
          <w:color w:val="000000" w:themeColor="text1"/>
          <w:sz w:val="24"/>
        </w:rPr>
        <w:t>2018 Requirements</w:t>
      </w:r>
      <w:r w:rsidR="00615D9B">
        <w:rPr>
          <w:color w:val="000000" w:themeColor="text1"/>
          <w:sz w:val="24"/>
        </w:rPr>
        <w:t xml:space="preserve"> </w:t>
      </w:r>
      <w:r>
        <w:rPr>
          <w:color w:val="000000" w:themeColor="text1"/>
          <w:sz w:val="24"/>
        </w:rPr>
        <w:t xml:space="preserve">and reduce burden on respondents. Updates to the software applications OHRP uses to manage the IRB registration process will be deployed to enable such changes. </w:t>
      </w:r>
    </w:p>
    <w:p w:rsidR="00F27054" w:rsidP="00C3526A" w14:paraId="381DAD3C" w14:textId="77777777">
      <w:pPr>
        <w:ind w:left="2520"/>
        <w:rPr>
          <w:sz w:val="24"/>
        </w:rPr>
      </w:pPr>
    </w:p>
    <w:p w:rsidR="00785FF2" w:rsidP="00B20BFB" w14:paraId="76CEEB3E" w14:textId="544E9183">
      <w:pPr>
        <w:pStyle w:val="BodyTextIndent2"/>
      </w:pPr>
      <w:r>
        <w:t>HHS regulations at 45 CFR 46, subpart E, req</w:t>
      </w:r>
      <w:r w:rsidR="004245C8">
        <w:t>uire, among other things, e</w:t>
      </w:r>
      <w:r>
        <w:t xml:space="preserve">ach IRB that reviews research involving human subjects conducted or supported by HHS </w:t>
      </w:r>
      <w:r w:rsidR="006B184D">
        <w:t xml:space="preserve">to </w:t>
      </w:r>
      <w:r>
        <w:t>be registered with HHS.</w:t>
      </w:r>
    </w:p>
    <w:p w:rsidR="00785FF2" w14:paraId="2ED2371B" w14:textId="11192AAC">
      <w:pPr>
        <w:pStyle w:val="BodyTextIndent2"/>
        <w:rPr>
          <w:b/>
        </w:rPr>
      </w:pPr>
    </w:p>
    <w:p w:rsidR="00785FF2" w14:paraId="5198C3F3" w14:textId="3402CF5F">
      <w:pPr>
        <w:pStyle w:val="BodyTextIndent2"/>
      </w:pPr>
      <w:r>
        <w:t xml:space="preserve">The </w:t>
      </w:r>
      <w:r w:rsidR="00A47346">
        <w:t xml:space="preserve">OHRP </w:t>
      </w:r>
      <w:r>
        <w:t xml:space="preserve">final </w:t>
      </w:r>
      <w:r w:rsidR="009549F4">
        <w:t>IRB Registration R</w:t>
      </w:r>
      <w:r>
        <w:t xml:space="preserve">ule </w:t>
      </w:r>
      <w:r w:rsidR="00CF436E">
        <w:t>that was published in the Federal Register</w:t>
      </w:r>
      <w:r w:rsidR="009F7DE7">
        <w:t xml:space="preserve"> on January 15</w:t>
      </w:r>
      <w:r w:rsidR="00AC36EF">
        <w:t>, 2009</w:t>
      </w:r>
      <w:r w:rsidR="00DC17B5">
        <w:t xml:space="preserve"> (74 FR 2399</w:t>
      </w:r>
      <w:r w:rsidR="00CF436E">
        <w:t xml:space="preserve">) and </w:t>
      </w:r>
      <w:r w:rsidR="00A47346">
        <w:t>became effective on July 14, 2009</w:t>
      </w:r>
      <w:r w:rsidR="00443F06">
        <w:t>, 45 CFR 46, subpart E – Registration of Institutional Review Boards,</w:t>
      </w:r>
      <w:r w:rsidR="00A47346">
        <w:t xml:space="preserve"> </w:t>
      </w:r>
      <w:r>
        <w:t xml:space="preserve">requires </w:t>
      </w:r>
      <w:r w:rsidR="00BC05D3">
        <w:t xml:space="preserve">organizations and institutions to submit </w:t>
      </w:r>
      <w:r>
        <w:t>the following information to HHS when registering an IRB:</w:t>
      </w:r>
      <w:r w:rsidR="00AC36EF">
        <w:t xml:space="preserve"> </w:t>
      </w:r>
      <w:r>
        <w:t xml:space="preserve">  </w:t>
      </w:r>
    </w:p>
    <w:p w:rsidR="00785FF2" w:rsidP="00B20BFB" w14:paraId="23391116" w14:textId="6ADA4AD9">
      <w:pPr>
        <w:pStyle w:val="BodyTextIndent2"/>
        <w:numPr>
          <w:ilvl w:val="0"/>
          <w:numId w:val="14"/>
        </w:numPr>
        <w:tabs>
          <w:tab w:val="num" w:pos="-720"/>
          <w:tab w:val="clear" w:pos="1800"/>
        </w:tabs>
      </w:pPr>
      <w:r>
        <w:t>name, mailing address, and street address (if dif</w:t>
      </w:r>
      <w:r w:rsidR="004F5BED">
        <w:t xml:space="preserve">ferent from the mailing address) </w:t>
      </w:r>
      <w:r>
        <w:t>of the institution or organization operating the IRB(s); and the name, mailing address, phone number, facsimile number</w:t>
      </w:r>
      <w:r w:rsidR="00D16A4C">
        <w:t xml:space="preserve">, </w:t>
      </w:r>
      <w:r>
        <w:t xml:space="preserve">and email address of the senior officer or head official </w:t>
      </w:r>
      <w:r w:rsidR="001069A9">
        <w:t xml:space="preserve">of that institution or organization </w:t>
      </w:r>
      <w:r>
        <w:t>who is responsible for overseeing activities performed by the IRB</w:t>
      </w:r>
      <w:r w:rsidR="00B66A6C">
        <w:t xml:space="preserve"> [45 CFR 46.502(</w:t>
      </w:r>
      <w:r w:rsidR="00B20BFB">
        <w:t>a</w:t>
      </w:r>
      <w:r w:rsidR="00631E95">
        <w:t>)]</w:t>
      </w:r>
      <w:r w:rsidR="005B4431">
        <w:t>;</w:t>
      </w:r>
      <w:r>
        <w:t xml:space="preserve"> </w:t>
      </w:r>
    </w:p>
    <w:p w:rsidR="001069A9" w:rsidP="00C3526A" w14:paraId="4B4F23BD" w14:textId="5977066D">
      <w:pPr>
        <w:pStyle w:val="BodyTextIndent2"/>
        <w:numPr>
          <w:ilvl w:val="0"/>
          <w:numId w:val="14"/>
        </w:numPr>
        <w:tabs>
          <w:tab w:val="num" w:pos="-360"/>
          <w:tab w:val="clear" w:pos="1800"/>
        </w:tabs>
      </w:pPr>
      <w:r>
        <w:t>name, mailing address, phone number, facsimile number, and electronic mail address of the contact person providing the registration information</w:t>
      </w:r>
      <w:r w:rsidR="00B66A6C">
        <w:t xml:space="preserve"> [45 CFR 46.502(b)]</w:t>
      </w:r>
      <w:r>
        <w:t>;</w:t>
      </w:r>
    </w:p>
    <w:p w:rsidR="00785FF2" w:rsidP="00C3526A" w14:paraId="5F515155" w14:textId="5C1C0437">
      <w:pPr>
        <w:pStyle w:val="BodyTextIndent2"/>
        <w:numPr>
          <w:ilvl w:val="0"/>
          <w:numId w:val="14"/>
        </w:numPr>
        <w:tabs>
          <w:tab w:val="num" w:pos="-360"/>
          <w:tab w:val="clear" w:pos="1800"/>
        </w:tabs>
      </w:pPr>
      <w:r>
        <w:t>name, if any</w:t>
      </w:r>
      <w:r w:rsidR="001069A9">
        <w:t>,</w:t>
      </w:r>
      <w:r>
        <w:t xml:space="preserve"> assigned to the IRB by the institution or organization, and the IRB’s mailing address, street address (if different from the mailing address), phone </w:t>
      </w:r>
      <w:r w:rsidR="001069A9">
        <w:t>number, facsimile number,</w:t>
      </w:r>
      <w:r>
        <w:t xml:space="preserve"> and electronic mail address</w:t>
      </w:r>
      <w:r w:rsidR="00B66A6C">
        <w:t xml:space="preserve"> [45 CFR 46.502(c)]</w:t>
      </w:r>
      <w:r>
        <w:t xml:space="preserve">; </w:t>
      </w:r>
    </w:p>
    <w:p w:rsidR="00785FF2" w:rsidP="00C3526A" w14:paraId="4DAA09A3" w14:textId="087BB8EF">
      <w:pPr>
        <w:pStyle w:val="BodyTextIndent2"/>
        <w:numPr>
          <w:ilvl w:val="0"/>
          <w:numId w:val="14"/>
        </w:numPr>
        <w:tabs>
          <w:tab w:val="num" w:pos="-360"/>
          <w:tab w:val="clear" w:pos="1800"/>
        </w:tabs>
      </w:pPr>
      <w:r>
        <w:t>name, phone number</w:t>
      </w:r>
      <w:r w:rsidR="001069A9">
        <w:t>,</w:t>
      </w:r>
      <w:r>
        <w:t xml:space="preserve"> and electronic mail address of the IRB chairperson</w:t>
      </w:r>
      <w:r w:rsidR="00B66A6C">
        <w:t xml:space="preserve"> [45 CFR 46.502(d)]</w:t>
      </w:r>
      <w:r>
        <w:t xml:space="preserve">;  </w:t>
      </w:r>
    </w:p>
    <w:p w:rsidR="00785FF2" w:rsidP="00C3526A" w14:paraId="0F40914D" w14:textId="00106A5C">
      <w:pPr>
        <w:pStyle w:val="BodyTextIndent2"/>
        <w:numPr>
          <w:ilvl w:val="0"/>
          <w:numId w:val="14"/>
        </w:numPr>
        <w:tabs>
          <w:tab w:val="num" w:pos="0"/>
          <w:tab w:val="clear" w:pos="1800"/>
        </w:tabs>
      </w:pPr>
      <w:r>
        <w:t>approximate number</w:t>
      </w:r>
      <w:r w:rsidR="001069A9">
        <w:t>s</w:t>
      </w:r>
      <w:r>
        <w:t xml:space="preserve"> of</w:t>
      </w:r>
      <w:r w:rsidR="008D0A59">
        <w:t>:</w:t>
      </w:r>
      <w:r>
        <w:t xml:space="preserve"> </w:t>
      </w:r>
      <w:r w:rsidR="008D0A59">
        <w:t xml:space="preserve">(i) </w:t>
      </w:r>
      <w:r>
        <w:t>all active protocols</w:t>
      </w:r>
      <w:r w:rsidR="008D0A59">
        <w:t xml:space="preserve">; </w:t>
      </w:r>
      <w:r>
        <w:t>and</w:t>
      </w:r>
      <w:r w:rsidR="008D0A59">
        <w:t xml:space="preserve"> (ii) </w:t>
      </w:r>
      <w:r>
        <w:t>active</w:t>
      </w:r>
      <w:r w:rsidR="00AC36EF">
        <w:t xml:space="preserve"> p</w:t>
      </w:r>
      <w:r>
        <w:t>rotocols conducted or supported by HHS</w:t>
      </w:r>
      <w:r w:rsidR="008D0A59">
        <w:t xml:space="preserve">.  </w:t>
      </w:r>
      <w:r w:rsidR="008D0A59">
        <w:t>For the purpose of</w:t>
      </w:r>
      <w:r w:rsidR="008D0A59">
        <w:t xml:space="preserve"> the regulation, an “active protocol” is any protocol for which the IRB conducted an initial review or continuing review at a convened meeting or under an expedited review procedure during the preceding twelve months</w:t>
      </w:r>
      <w:r w:rsidR="00B66A6C">
        <w:t xml:space="preserve"> [45 CFR 46.502(e)]</w:t>
      </w:r>
      <w:r>
        <w:t>; and</w:t>
      </w:r>
      <w:r w:rsidR="008D0A59">
        <w:t>,</w:t>
      </w:r>
      <w:r>
        <w:t xml:space="preserve"> </w:t>
      </w:r>
    </w:p>
    <w:p w:rsidR="00785FF2" w:rsidP="00C3526A" w14:paraId="3B12FDB5" w14:textId="61C56A4C">
      <w:pPr>
        <w:pStyle w:val="BodyTextIndent2"/>
        <w:numPr>
          <w:ilvl w:val="0"/>
          <w:numId w:val="14"/>
        </w:numPr>
        <w:tabs>
          <w:tab w:val="num" w:pos="360"/>
          <w:tab w:val="clear" w:pos="1800"/>
        </w:tabs>
      </w:pPr>
      <w:r>
        <w:t>approximate number of full-time equivalent positions devoted to the IRB’s administrative activities</w:t>
      </w:r>
      <w:r w:rsidR="00B66A6C">
        <w:t xml:space="preserve"> [45 CFR 46.502(f)]</w:t>
      </w:r>
      <w:r>
        <w:t>.</w:t>
      </w:r>
    </w:p>
    <w:p w:rsidR="00892011" w:rsidP="00892011" w14:paraId="252D0FDD" w14:textId="77777777">
      <w:pPr>
        <w:rPr>
          <w:sz w:val="24"/>
        </w:rPr>
      </w:pPr>
    </w:p>
    <w:p w:rsidR="00892011" w:rsidP="009734E4" w14:paraId="03AE5C7C" w14:textId="59080ECF">
      <w:pPr>
        <w:ind w:left="1080"/>
      </w:pPr>
      <w:r w:rsidRPr="0038741B">
        <w:rPr>
          <w:sz w:val="24"/>
        </w:rPr>
        <w:t>Subpart E regulations at 45 CFR 45.505 provide requirements for when an IRB registration must be updated or renewed</w:t>
      </w:r>
      <w:r>
        <w:rPr>
          <w:sz w:val="24"/>
        </w:rPr>
        <w:t xml:space="preserve">. OHRP collects information for IRB registration updates or renewals using the IRB Registration Form, </w:t>
      </w:r>
      <w:r>
        <w:rPr>
          <w:color w:val="000000" w:themeColor="text1"/>
          <w:sz w:val="24"/>
        </w:rPr>
        <w:t>(</w:t>
      </w:r>
      <w:r w:rsidRPr="00BF270A">
        <w:rPr>
          <w:color w:val="000000" w:themeColor="text1"/>
          <w:sz w:val="24"/>
        </w:rPr>
        <w:t>OMB</w:t>
      </w:r>
      <w:r>
        <w:rPr>
          <w:color w:val="000000" w:themeColor="text1"/>
          <w:sz w:val="24"/>
        </w:rPr>
        <w:t>)</w:t>
      </w:r>
      <w:r w:rsidRPr="00BF270A">
        <w:rPr>
          <w:color w:val="000000" w:themeColor="text1"/>
          <w:sz w:val="24"/>
        </w:rPr>
        <w:t xml:space="preserve"> No. 0990-0279</w:t>
      </w:r>
      <w:r>
        <w:rPr>
          <w:color w:val="000000" w:themeColor="text1"/>
          <w:sz w:val="24"/>
        </w:rPr>
        <w:t>.</w:t>
      </w:r>
    </w:p>
    <w:p w:rsidR="00785FF2" w:rsidP="00E53E93" w14:paraId="629BCE36" w14:textId="77777777">
      <w:pPr>
        <w:pStyle w:val="BodyTextIndent2"/>
      </w:pPr>
    </w:p>
    <w:p w:rsidR="00785FF2" w14:paraId="0E42D612" w14:textId="21075EAC">
      <w:pPr>
        <w:pStyle w:val="Heading2"/>
        <w:ind w:left="1080"/>
        <w:rPr>
          <w:b/>
        </w:rPr>
      </w:pPr>
      <w:r>
        <w:rPr>
          <w:b/>
        </w:rPr>
        <w:t xml:space="preserve">FDA: </w:t>
      </w:r>
    </w:p>
    <w:p w:rsidR="0014204E" w:rsidRPr="0014204E" w:rsidP="0014204E" w14:paraId="065E42BE" w14:textId="77777777"/>
    <w:p w:rsidR="00785FF2" w:rsidP="0014204E" w14:paraId="6E72316A" w14:textId="1E8CBD32">
      <w:pPr>
        <w:ind w:left="1080"/>
        <w:rPr>
          <w:sz w:val="24"/>
        </w:rPr>
      </w:pPr>
      <w:r>
        <w:rPr>
          <w:sz w:val="24"/>
        </w:rPr>
        <w:t xml:space="preserve">The Food and Drug Administration (FDA) </w:t>
      </w:r>
      <w:r w:rsidR="000803EE">
        <w:rPr>
          <w:sz w:val="24"/>
        </w:rPr>
        <w:t xml:space="preserve">in 2009 </w:t>
      </w:r>
      <w:r w:rsidR="00120FFD">
        <w:rPr>
          <w:sz w:val="24"/>
        </w:rPr>
        <w:t xml:space="preserve">requested </w:t>
      </w:r>
      <w:r>
        <w:rPr>
          <w:sz w:val="24"/>
        </w:rPr>
        <w:t xml:space="preserve">OMB approval for two collections of information associated with IRB registration.  The first collection of information </w:t>
      </w:r>
      <w:r w:rsidR="000803EE">
        <w:rPr>
          <w:sz w:val="24"/>
        </w:rPr>
        <w:t>was</w:t>
      </w:r>
      <w:r>
        <w:rPr>
          <w:sz w:val="24"/>
        </w:rPr>
        <w:t xml:space="preserve"> represented by the </w:t>
      </w:r>
      <w:r w:rsidR="000803EE">
        <w:rPr>
          <w:sz w:val="24"/>
        </w:rPr>
        <w:t xml:space="preserve">OMB </w:t>
      </w:r>
      <w:r>
        <w:rPr>
          <w:sz w:val="24"/>
        </w:rPr>
        <w:t xml:space="preserve">form </w:t>
      </w:r>
      <w:r w:rsidR="000803EE">
        <w:rPr>
          <w:sz w:val="24"/>
        </w:rPr>
        <w:t xml:space="preserve">0990-0279 </w:t>
      </w:r>
      <w:r>
        <w:rPr>
          <w:sz w:val="24"/>
        </w:rPr>
        <w:t>developed jointly by OHRP and by FDA</w:t>
      </w:r>
      <w:r w:rsidR="00357036">
        <w:rPr>
          <w:sz w:val="24"/>
        </w:rPr>
        <w:t>,</w:t>
      </w:r>
      <w:r>
        <w:rPr>
          <w:sz w:val="24"/>
        </w:rPr>
        <w:t xml:space="preserve"> </w:t>
      </w:r>
      <w:r w:rsidR="000803EE">
        <w:rPr>
          <w:sz w:val="24"/>
        </w:rPr>
        <w:t xml:space="preserve">which was approved by OMB for use through June 30, </w:t>
      </w:r>
      <w:r w:rsidR="000803EE">
        <w:rPr>
          <w:sz w:val="24"/>
        </w:rPr>
        <w:t>2012</w:t>
      </w:r>
      <w:r w:rsidR="00727F6A">
        <w:rPr>
          <w:sz w:val="24"/>
        </w:rPr>
        <w:t xml:space="preserve"> and again through June 30, 2015</w:t>
      </w:r>
      <w:r w:rsidR="00BA5EB9">
        <w:rPr>
          <w:sz w:val="24"/>
        </w:rPr>
        <w:t xml:space="preserve">, </w:t>
      </w:r>
      <w:r w:rsidR="00797D89">
        <w:rPr>
          <w:sz w:val="24"/>
        </w:rPr>
        <w:t xml:space="preserve">October 31, </w:t>
      </w:r>
      <w:r w:rsidR="00797D89">
        <w:rPr>
          <w:sz w:val="24"/>
        </w:rPr>
        <w:t>2018</w:t>
      </w:r>
      <w:r w:rsidR="00BA5EB9">
        <w:rPr>
          <w:sz w:val="24"/>
        </w:rPr>
        <w:t xml:space="preserve"> and February 28, 2022</w:t>
      </w:r>
      <w:r w:rsidR="000803EE">
        <w:rPr>
          <w:sz w:val="24"/>
        </w:rPr>
        <w:t>.</w:t>
      </w:r>
      <w:r>
        <w:rPr>
          <w:sz w:val="24"/>
        </w:rPr>
        <w:t xml:space="preserve">  </w:t>
      </w:r>
    </w:p>
    <w:p w:rsidR="00785FF2" w14:paraId="2DDEA06D" w14:textId="77777777">
      <w:pPr>
        <w:ind w:left="1080"/>
        <w:rPr>
          <w:sz w:val="24"/>
        </w:rPr>
      </w:pPr>
    </w:p>
    <w:p w:rsidR="00785FF2" w:rsidRPr="00CF436E" w14:paraId="50BD453F" w14:textId="4368ED50">
      <w:pPr>
        <w:ind w:left="1080"/>
        <w:rPr>
          <w:sz w:val="24"/>
        </w:rPr>
      </w:pPr>
      <w:r>
        <w:rPr>
          <w:sz w:val="24"/>
        </w:rPr>
        <w:t>Additionally, FDA proposed</w:t>
      </w:r>
      <w:r>
        <w:rPr>
          <w:sz w:val="24"/>
        </w:rPr>
        <w:t xml:space="preserve"> to amend its regulations pert</w:t>
      </w:r>
      <w:r w:rsidR="00120FFD">
        <w:rPr>
          <w:sz w:val="24"/>
        </w:rPr>
        <w:t xml:space="preserve">aining to IRBs.  The final rule </w:t>
      </w:r>
      <w:r w:rsidR="00847FB7">
        <w:rPr>
          <w:sz w:val="24"/>
        </w:rPr>
        <w:t xml:space="preserve">was </w:t>
      </w:r>
      <w:r>
        <w:rPr>
          <w:sz w:val="24"/>
        </w:rPr>
        <w:t xml:space="preserve">published in the </w:t>
      </w:r>
      <w:r w:rsidRPr="005069FB">
        <w:rPr>
          <w:sz w:val="24"/>
          <w:u w:val="single"/>
        </w:rPr>
        <w:t>Federal Register</w:t>
      </w:r>
      <w:r>
        <w:rPr>
          <w:sz w:val="24"/>
        </w:rPr>
        <w:t xml:space="preserve"> </w:t>
      </w:r>
      <w:r w:rsidR="008D0A59">
        <w:rPr>
          <w:sz w:val="24"/>
        </w:rPr>
        <w:t>(74 FR 2358</w:t>
      </w:r>
      <w:r w:rsidR="00847FB7">
        <w:rPr>
          <w:sz w:val="24"/>
        </w:rPr>
        <w:t xml:space="preserve">) on January </w:t>
      </w:r>
      <w:r w:rsidRPr="00CF436E" w:rsidR="00847FB7">
        <w:rPr>
          <w:sz w:val="24"/>
        </w:rPr>
        <w:t xml:space="preserve">15, </w:t>
      </w:r>
      <w:r w:rsidRPr="00CF436E" w:rsidR="00847FB7">
        <w:rPr>
          <w:sz w:val="24"/>
        </w:rPr>
        <w:t>2009</w:t>
      </w:r>
      <w:r w:rsidRPr="00CF436E" w:rsidR="00847FB7">
        <w:rPr>
          <w:sz w:val="24"/>
        </w:rPr>
        <w:t xml:space="preserve"> and became effective on July 14</w:t>
      </w:r>
      <w:r w:rsidR="00AC36EF">
        <w:rPr>
          <w:sz w:val="24"/>
        </w:rPr>
        <w:t>,</w:t>
      </w:r>
      <w:r w:rsidRPr="00CF436E" w:rsidR="00847FB7">
        <w:rPr>
          <w:sz w:val="24"/>
        </w:rPr>
        <w:t xml:space="preserve"> 2009</w:t>
      </w:r>
      <w:r w:rsidRPr="00CF436E" w:rsidR="00120FFD">
        <w:rPr>
          <w:sz w:val="24"/>
        </w:rPr>
        <w:t>; it</w:t>
      </w:r>
      <w:r w:rsidRPr="00CF436E" w:rsidR="00847FB7">
        <w:rPr>
          <w:sz w:val="24"/>
        </w:rPr>
        <w:t xml:space="preserve"> </w:t>
      </w:r>
      <w:r w:rsidRPr="00CF436E">
        <w:rPr>
          <w:sz w:val="24"/>
        </w:rPr>
        <w:t>require</w:t>
      </w:r>
      <w:r w:rsidRPr="00CF436E" w:rsidR="00120FFD">
        <w:rPr>
          <w:sz w:val="24"/>
        </w:rPr>
        <w:t>s</w:t>
      </w:r>
      <w:r w:rsidRPr="00CF436E">
        <w:rPr>
          <w:sz w:val="24"/>
        </w:rPr>
        <w:t xml:space="preserve"> IRBs to register at a website </w:t>
      </w:r>
      <w:r w:rsidRPr="00CF436E" w:rsidR="00CF436E">
        <w:rPr>
          <w:sz w:val="24"/>
        </w:rPr>
        <w:t>accessible on the OHRP website</w:t>
      </w:r>
      <w:r w:rsidR="00CF436E">
        <w:rPr>
          <w:sz w:val="24"/>
        </w:rPr>
        <w:t xml:space="preserve"> and maintained by OHRP</w:t>
      </w:r>
      <w:r w:rsidRPr="00CF436E">
        <w:rPr>
          <w:sz w:val="24"/>
        </w:rPr>
        <w:t xml:space="preserve">.  </w:t>
      </w:r>
    </w:p>
    <w:p w:rsidR="00785FF2" w14:paraId="08165EF4" w14:textId="77777777">
      <w:pPr>
        <w:ind w:left="1080"/>
        <w:rPr>
          <w:sz w:val="24"/>
        </w:rPr>
      </w:pPr>
    </w:p>
    <w:p w:rsidR="00785FF2" w14:paraId="5D455AAE" w14:textId="77777777">
      <w:pPr>
        <w:ind w:left="1080"/>
        <w:rPr>
          <w:sz w:val="24"/>
        </w:rPr>
      </w:pPr>
      <w:r>
        <w:rPr>
          <w:sz w:val="24"/>
        </w:rPr>
        <w:t xml:space="preserve">FDA took </w:t>
      </w:r>
      <w:r>
        <w:rPr>
          <w:sz w:val="24"/>
        </w:rPr>
        <w:t>this action pursuant to a recommendation from the Office of the Inspector General, Department of Health and Human Services, to require all IRBs to register with the federal government to develop a more streamlined, coordinated, and probing means of assessing IRB performance and to enhance the government’s ability to identify and respond to emerging problems.  Info</w:t>
      </w:r>
      <w:r w:rsidR="005069FB">
        <w:rPr>
          <w:sz w:val="24"/>
        </w:rPr>
        <w:t xml:space="preserve">rmation on registered IRBs </w:t>
      </w:r>
      <w:r>
        <w:rPr>
          <w:sz w:val="24"/>
        </w:rPr>
        <w:t>make</w:t>
      </w:r>
      <w:r w:rsidR="005069FB">
        <w:rPr>
          <w:sz w:val="24"/>
        </w:rPr>
        <w:t>s</w:t>
      </w:r>
      <w:r>
        <w:rPr>
          <w:sz w:val="24"/>
        </w:rPr>
        <w:t xml:space="preserve"> it easier for FDA to send educational information to IRBs and to identify IRBs for inspection.  </w:t>
      </w:r>
    </w:p>
    <w:p w:rsidR="00785FF2" w:rsidP="00C3526A" w14:paraId="48B4AD36" w14:textId="77777777">
      <w:pPr>
        <w:ind w:left="1080"/>
        <w:rPr>
          <w:sz w:val="24"/>
        </w:rPr>
      </w:pPr>
    </w:p>
    <w:p w:rsidR="00785FF2" w:rsidP="00E53E93" w14:paraId="5665CEF3" w14:textId="7D05DC7F">
      <w:pPr>
        <w:ind w:left="1080"/>
        <w:rPr>
          <w:sz w:val="24"/>
        </w:rPr>
      </w:pPr>
      <w:r>
        <w:rPr>
          <w:sz w:val="24"/>
        </w:rPr>
        <w:t xml:space="preserve">Insofar as its </w:t>
      </w:r>
      <w:r w:rsidR="00120FFD">
        <w:rPr>
          <w:sz w:val="24"/>
        </w:rPr>
        <w:t>final rule is concerned, FDA requested</w:t>
      </w:r>
      <w:r>
        <w:rPr>
          <w:sz w:val="24"/>
        </w:rPr>
        <w:t xml:space="preserve"> approval from OMB of a collection of information requirement in "Institutional Review Boards; Registration and Use Requirements” codified at 21 CFR 56.106.  The collection of information associated with the rule </w:t>
      </w:r>
      <w:r w:rsidR="005069FB">
        <w:rPr>
          <w:sz w:val="24"/>
        </w:rPr>
        <w:t xml:space="preserve">was projected to </w:t>
      </w:r>
      <w:r>
        <w:rPr>
          <w:sz w:val="24"/>
        </w:rPr>
        <w:t xml:space="preserve">be </w:t>
      </w:r>
      <w:r w:rsidRPr="001C7326">
        <w:rPr>
          <w:sz w:val="24"/>
        </w:rPr>
        <w:t>8,750 hours.</w:t>
      </w:r>
    </w:p>
    <w:p w:rsidR="00785FF2" w14:paraId="1AC1346B" w14:textId="77777777">
      <w:pPr>
        <w:ind w:left="1080"/>
        <w:rPr>
          <w:sz w:val="24"/>
        </w:rPr>
      </w:pPr>
    </w:p>
    <w:p w:rsidR="00785FF2" w14:paraId="0104B52E" w14:textId="77777777">
      <w:pPr>
        <w:ind w:left="1080"/>
        <w:rPr>
          <w:sz w:val="24"/>
        </w:rPr>
      </w:pPr>
      <w:r>
        <w:rPr>
          <w:sz w:val="24"/>
        </w:rPr>
        <w:t xml:space="preserve">21 CFR 56.106(c) - Reporting </w:t>
      </w:r>
    </w:p>
    <w:p w:rsidR="00785FF2" w:rsidP="00C3526A" w14:paraId="2CA7640E" w14:textId="77777777">
      <w:pPr>
        <w:ind w:left="1080"/>
        <w:rPr>
          <w:sz w:val="24"/>
        </w:rPr>
      </w:pPr>
    </w:p>
    <w:p w:rsidR="001C7326" w:rsidP="00E53E93" w14:paraId="2CB6255C" w14:textId="77777777">
      <w:pPr>
        <w:ind w:left="1080"/>
        <w:rPr>
          <w:sz w:val="24"/>
        </w:rPr>
      </w:pPr>
      <w:r>
        <w:rPr>
          <w:sz w:val="24"/>
        </w:rPr>
        <w:t>This provision</w:t>
      </w:r>
      <w:r w:rsidR="00AC36EF">
        <w:rPr>
          <w:sz w:val="24"/>
        </w:rPr>
        <w:t xml:space="preserve"> r</w:t>
      </w:r>
      <w:r>
        <w:rPr>
          <w:sz w:val="24"/>
        </w:rPr>
        <w:t>equire</w:t>
      </w:r>
      <w:r>
        <w:rPr>
          <w:sz w:val="24"/>
        </w:rPr>
        <w:t>s</w:t>
      </w:r>
      <w:r>
        <w:rPr>
          <w:sz w:val="24"/>
        </w:rPr>
        <w:t xml:space="preserve"> an IRB to submit an initial registration to HHS.  The initial registration may occur at any time, but each IRB must renew its registration every 3 years.  </w:t>
      </w:r>
    </w:p>
    <w:p w:rsidR="000F1405" w14:paraId="041612D9" w14:textId="77777777">
      <w:pPr>
        <w:ind w:left="1080"/>
        <w:rPr>
          <w:sz w:val="24"/>
        </w:rPr>
      </w:pPr>
    </w:p>
    <w:p w:rsidR="00785FF2" w14:paraId="15A22317" w14:textId="64E8FE27">
      <w:pPr>
        <w:ind w:left="1080"/>
        <w:rPr>
          <w:sz w:val="24"/>
        </w:rPr>
      </w:pPr>
      <w:r>
        <w:rPr>
          <w:sz w:val="24"/>
        </w:rPr>
        <w:t xml:space="preserve">21 CFR </w:t>
      </w:r>
      <w:r>
        <w:rPr>
          <w:sz w:val="24"/>
        </w:rPr>
        <w:t>56.106(b) describe</w:t>
      </w:r>
      <w:r w:rsidR="00AC36EF">
        <w:rPr>
          <w:sz w:val="24"/>
        </w:rPr>
        <w:t>s</w:t>
      </w:r>
      <w:r>
        <w:rPr>
          <w:sz w:val="24"/>
        </w:rPr>
        <w:t xml:space="preserve"> the contents of the registration information, such as: </w:t>
      </w:r>
    </w:p>
    <w:p w:rsidR="00785FF2" w14:paraId="0828E9A6" w14:textId="77777777">
      <w:pPr>
        <w:tabs>
          <w:tab w:val="left" w:pos="-1440"/>
        </w:tabs>
        <w:ind w:left="1800" w:hanging="720"/>
        <w:rPr>
          <w:sz w:val="24"/>
        </w:rPr>
      </w:pPr>
    </w:p>
    <w:p w:rsidR="00785FF2" w:rsidP="00C3526A" w14:paraId="249832F0" w14:textId="77777777">
      <w:pPr>
        <w:numPr>
          <w:ilvl w:val="0"/>
          <w:numId w:val="11"/>
        </w:numPr>
        <w:tabs>
          <w:tab w:val="clear" w:pos="1800"/>
          <w:tab w:val="num" w:pos="2880"/>
        </w:tabs>
        <w:rPr>
          <w:sz w:val="24"/>
        </w:rPr>
      </w:pPr>
      <w:r>
        <w:rPr>
          <w:sz w:val="24"/>
        </w:rPr>
        <w:t>The name, mailing address, and street address (if different from the mailing address) of the institution operating the IRB and the name, mailing address, phone number, facsimile number, and electronic mail address of the senior officer of that institution who is responsible for overseeing activities performed by the IRB;</w:t>
      </w:r>
    </w:p>
    <w:p w:rsidR="00785FF2" w:rsidRPr="008D0A59" w:rsidP="00C3526A" w14:paraId="1F088670" w14:textId="709A2487">
      <w:pPr>
        <w:numPr>
          <w:ilvl w:val="0"/>
          <w:numId w:val="11"/>
        </w:numPr>
        <w:tabs>
          <w:tab w:val="left" w:pos="-1440"/>
          <w:tab w:val="clear" w:pos="1800"/>
          <w:tab w:val="num" w:pos="2520"/>
        </w:tabs>
        <w:rPr>
          <w:sz w:val="24"/>
        </w:rPr>
      </w:pPr>
      <w:r w:rsidRPr="008D0A59">
        <w:rPr>
          <w:sz w:val="24"/>
        </w:rPr>
        <w:t xml:space="preserve">The IRB’s name, mailing address, street address (if different from the mailing address), phone number, facsimile number, and electronic mail address; each IRB chairperson’s name, phone number, and electronic mail address; and the name, mailing address, phone number, facsimile number, and electronic mail address of the contact person providing the registration information.   </w:t>
      </w:r>
    </w:p>
    <w:p w:rsidR="00785FF2" w:rsidP="00C3526A" w14:paraId="251A27C4" w14:textId="77777777">
      <w:pPr>
        <w:numPr>
          <w:ilvl w:val="0"/>
          <w:numId w:val="11"/>
        </w:numPr>
        <w:tabs>
          <w:tab w:val="left" w:pos="-1440"/>
          <w:tab w:val="clear" w:pos="1800"/>
          <w:tab w:val="num" w:pos="2880"/>
        </w:tabs>
        <w:rPr>
          <w:sz w:val="24"/>
        </w:rPr>
      </w:pPr>
      <w:r>
        <w:rPr>
          <w:sz w:val="24"/>
        </w:rPr>
        <w:t xml:space="preserve">The approximate number of active protocols involving FDA-regulated products reviewed.  For purposes of this rule, an “active protocol” is any </w:t>
      </w:r>
      <w:r>
        <w:rPr>
          <w:sz w:val="24"/>
        </w:rPr>
        <w:t xml:space="preserve">protocol for which an IRB conducted an initial review or a continuing review at a convened meeting or under an expedited review procedure during the preceding 12 months; and </w:t>
      </w:r>
    </w:p>
    <w:p w:rsidR="00785FF2" w:rsidP="00C3526A" w14:paraId="77746311" w14:textId="77777777">
      <w:pPr>
        <w:numPr>
          <w:ilvl w:val="0"/>
          <w:numId w:val="11"/>
        </w:numPr>
        <w:tabs>
          <w:tab w:val="left" w:pos="-1440"/>
          <w:tab w:val="clear" w:pos="1800"/>
          <w:tab w:val="num" w:pos="2880"/>
        </w:tabs>
        <w:rPr>
          <w:sz w:val="24"/>
        </w:rPr>
      </w:pPr>
      <w:r>
        <w:rPr>
          <w:sz w:val="24"/>
        </w:rPr>
        <w:t xml:space="preserve">A description of the types of FDA-regulated products (such as biological products, color additives, food additives, human drugs, or medical devices) involved in the protocols that the IRB reviews. </w:t>
      </w:r>
    </w:p>
    <w:p w:rsidR="00785FF2" w:rsidP="00C3526A" w14:paraId="47096D59" w14:textId="77777777">
      <w:pPr>
        <w:ind w:left="1080"/>
        <w:rPr>
          <w:sz w:val="24"/>
        </w:rPr>
      </w:pPr>
    </w:p>
    <w:p w:rsidR="00785FF2" w:rsidP="00E53E93" w14:paraId="4FB4D802" w14:textId="77777777">
      <w:pPr>
        <w:ind w:left="1080"/>
        <w:rPr>
          <w:sz w:val="24"/>
        </w:rPr>
      </w:pPr>
      <w:r>
        <w:rPr>
          <w:sz w:val="24"/>
        </w:rPr>
        <w:t>21 CFR 56.106(e) - Reporting</w:t>
      </w:r>
    </w:p>
    <w:p w:rsidR="00785FF2" w:rsidP="00C3526A" w14:paraId="67CF950C" w14:textId="77777777">
      <w:pPr>
        <w:ind w:left="1080"/>
        <w:rPr>
          <w:sz w:val="24"/>
        </w:rPr>
      </w:pPr>
    </w:p>
    <w:p w:rsidR="00785FF2" w:rsidP="00E53E93" w14:paraId="2195E2C6" w14:textId="77777777">
      <w:pPr>
        <w:ind w:left="1080"/>
        <w:rPr>
          <w:sz w:val="24"/>
        </w:rPr>
      </w:pPr>
      <w:r>
        <w:rPr>
          <w:sz w:val="24"/>
        </w:rPr>
        <w:t>This provision</w:t>
      </w:r>
      <w:r w:rsidR="00797D89">
        <w:rPr>
          <w:sz w:val="24"/>
        </w:rPr>
        <w:t xml:space="preserve"> </w:t>
      </w:r>
      <w:r>
        <w:rPr>
          <w:sz w:val="24"/>
        </w:rPr>
        <w:t>require</w:t>
      </w:r>
      <w:r w:rsidR="001C7326">
        <w:rPr>
          <w:sz w:val="24"/>
        </w:rPr>
        <w:t>s</w:t>
      </w:r>
      <w:r>
        <w:rPr>
          <w:sz w:val="24"/>
        </w:rPr>
        <w:t xml:space="preserve"> IRBs to revise their registration information:</w:t>
      </w:r>
    </w:p>
    <w:p w:rsidR="00785FF2" w:rsidP="00C3526A" w14:paraId="0E29919C" w14:textId="77777777">
      <w:pPr>
        <w:numPr>
          <w:ilvl w:val="0"/>
          <w:numId w:val="11"/>
        </w:numPr>
        <w:tabs>
          <w:tab w:val="left" w:pos="-1440"/>
          <w:tab w:val="clear" w:pos="1800"/>
          <w:tab w:val="num" w:pos="3240"/>
        </w:tabs>
        <w:rPr>
          <w:sz w:val="24"/>
        </w:rPr>
      </w:pPr>
      <w:r>
        <w:rPr>
          <w:sz w:val="24"/>
        </w:rPr>
        <w:t>within 90 days if the IRB’s contact or chairperson information changes;</w:t>
      </w:r>
    </w:p>
    <w:p w:rsidR="00785FF2" w:rsidP="00C3526A" w14:paraId="6BC3D2AE" w14:textId="2E1F2D1D">
      <w:pPr>
        <w:numPr>
          <w:ilvl w:val="0"/>
          <w:numId w:val="11"/>
        </w:numPr>
        <w:tabs>
          <w:tab w:val="left" w:pos="-1440"/>
          <w:tab w:val="clear" w:pos="1800"/>
          <w:tab w:val="num" w:pos="3240"/>
        </w:tabs>
        <w:rPr>
          <w:sz w:val="24"/>
        </w:rPr>
      </w:pPr>
      <w:r>
        <w:rPr>
          <w:sz w:val="24"/>
        </w:rPr>
        <w:t xml:space="preserve">within 30 days if the IRB decides to </w:t>
      </w:r>
      <w:r w:rsidR="00B64F08">
        <w:rPr>
          <w:sz w:val="24"/>
        </w:rPr>
        <w:t xml:space="preserve">review new types of FDA-regulated products, </w:t>
      </w:r>
      <w:r>
        <w:rPr>
          <w:sz w:val="24"/>
        </w:rPr>
        <w:t>disband or discontinue reviewing clinical investigations regulated by FDA; or</w:t>
      </w:r>
    </w:p>
    <w:p w:rsidR="00785FF2" w:rsidP="00C3526A" w14:paraId="52764237" w14:textId="77777777">
      <w:pPr>
        <w:numPr>
          <w:ilvl w:val="0"/>
          <w:numId w:val="11"/>
        </w:numPr>
        <w:tabs>
          <w:tab w:val="left" w:pos="-1440"/>
          <w:tab w:val="clear" w:pos="1800"/>
          <w:tab w:val="num" w:pos="3240"/>
        </w:tabs>
        <w:rPr>
          <w:sz w:val="24"/>
        </w:rPr>
      </w:pPr>
      <w:r>
        <w:rPr>
          <w:sz w:val="24"/>
        </w:rPr>
        <w:t xml:space="preserve">for </w:t>
      </w:r>
      <w:r>
        <w:rPr>
          <w:sz w:val="24"/>
        </w:rPr>
        <w:t>all other information changes, when the IRB renews its registration.</w:t>
      </w:r>
    </w:p>
    <w:p w:rsidR="00785FF2" w:rsidP="00E53E93" w14:paraId="1DD70C21" w14:textId="77777777">
      <w:pPr>
        <w:ind w:left="1080"/>
        <w:rPr>
          <w:sz w:val="24"/>
        </w:rPr>
      </w:pPr>
    </w:p>
    <w:p w:rsidR="002B7AB4" w:rsidRPr="009734E4" w:rsidP="009734E4" w14:paraId="2F3012B3" w14:textId="7B178F99">
      <w:pPr>
        <w:ind w:left="720"/>
        <w:rPr>
          <w:bCs/>
          <w:sz w:val="24"/>
        </w:rPr>
      </w:pPr>
      <w:r>
        <w:rPr>
          <w:bCs/>
          <w:sz w:val="24"/>
        </w:rPr>
        <w:t>Th</w:t>
      </w:r>
      <w:r w:rsidR="006113DA">
        <w:rPr>
          <w:bCs/>
          <w:sz w:val="24"/>
        </w:rPr>
        <w:t>e</w:t>
      </w:r>
      <w:r>
        <w:rPr>
          <w:bCs/>
          <w:sz w:val="24"/>
        </w:rPr>
        <w:t xml:space="preserve"> re</w:t>
      </w:r>
      <w:r w:rsidR="00A5432E">
        <w:rPr>
          <w:bCs/>
          <w:sz w:val="24"/>
        </w:rPr>
        <w:t>quested revisions</w:t>
      </w:r>
      <w:r w:rsidR="00140586">
        <w:rPr>
          <w:bCs/>
          <w:sz w:val="24"/>
        </w:rPr>
        <w:t xml:space="preserve"> to the IRB </w:t>
      </w:r>
      <w:r w:rsidR="009C06FE">
        <w:rPr>
          <w:bCs/>
          <w:sz w:val="24"/>
        </w:rPr>
        <w:t>R</w:t>
      </w:r>
      <w:r w:rsidR="00140586">
        <w:rPr>
          <w:bCs/>
          <w:sz w:val="24"/>
        </w:rPr>
        <w:t xml:space="preserve">egistration </w:t>
      </w:r>
      <w:r w:rsidR="009C06FE">
        <w:rPr>
          <w:bCs/>
          <w:sz w:val="24"/>
        </w:rPr>
        <w:t>F</w:t>
      </w:r>
      <w:r w:rsidR="00140586">
        <w:rPr>
          <w:bCs/>
          <w:sz w:val="24"/>
        </w:rPr>
        <w:t>orm</w:t>
      </w:r>
      <w:r w:rsidR="00892011">
        <w:rPr>
          <w:bCs/>
          <w:sz w:val="24"/>
        </w:rPr>
        <w:t xml:space="preserve"> and inst</w:t>
      </w:r>
      <w:r w:rsidR="00632138">
        <w:rPr>
          <w:bCs/>
          <w:sz w:val="24"/>
        </w:rPr>
        <w:t>r</w:t>
      </w:r>
      <w:r w:rsidR="00892011">
        <w:rPr>
          <w:bCs/>
          <w:sz w:val="24"/>
        </w:rPr>
        <w:t>uctions</w:t>
      </w:r>
      <w:r w:rsidR="00A5432E">
        <w:rPr>
          <w:bCs/>
          <w:sz w:val="24"/>
        </w:rPr>
        <w:t xml:space="preserve"> </w:t>
      </w:r>
      <w:r>
        <w:rPr>
          <w:bCs/>
          <w:sz w:val="24"/>
        </w:rPr>
        <w:t>also in</w:t>
      </w:r>
      <w:r w:rsidR="00A5432E">
        <w:rPr>
          <w:bCs/>
          <w:sz w:val="24"/>
        </w:rPr>
        <w:t>clude</w:t>
      </w:r>
      <w:r>
        <w:rPr>
          <w:bCs/>
          <w:sz w:val="24"/>
        </w:rPr>
        <w:t xml:space="preserve"> updates</w:t>
      </w:r>
      <w:r w:rsidR="00607512">
        <w:rPr>
          <w:bCs/>
          <w:sz w:val="24"/>
        </w:rPr>
        <w:t xml:space="preserve"> to</w:t>
      </w:r>
      <w:r w:rsidR="00616BF1">
        <w:rPr>
          <w:bCs/>
          <w:sz w:val="24"/>
        </w:rPr>
        <w:t xml:space="preserve"> webpage links</w:t>
      </w:r>
      <w:r w:rsidR="00E574E0">
        <w:rPr>
          <w:bCs/>
          <w:sz w:val="24"/>
        </w:rPr>
        <w:t xml:space="preserve">, </w:t>
      </w:r>
      <w:r w:rsidR="0075672E">
        <w:rPr>
          <w:bCs/>
          <w:sz w:val="24"/>
        </w:rPr>
        <w:t xml:space="preserve">OHRP </w:t>
      </w:r>
      <w:r w:rsidR="00E574E0">
        <w:rPr>
          <w:bCs/>
          <w:sz w:val="24"/>
        </w:rPr>
        <w:t>contact information,</w:t>
      </w:r>
      <w:r w:rsidR="00A5432E">
        <w:rPr>
          <w:bCs/>
          <w:sz w:val="24"/>
        </w:rPr>
        <w:t xml:space="preserve"> and</w:t>
      </w:r>
      <w:r w:rsidR="00607512">
        <w:rPr>
          <w:bCs/>
          <w:sz w:val="24"/>
        </w:rPr>
        <w:t xml:space="preserve"> instructions for </w:t>
      </w:r>
      <w:r w:rsidR="00CF2764">
        <w:rPr>
          <w:bCs/>
          <w:sz w:val="24"/>
        </w:rPr>
        <w:t xml:space="preserve">accurately </w:t>
      </w:r>
      <w:r w:rsidR="00607512">
        <w:rPr>
          <w:bCs/>
          <w:sz w:val="24"/>
        </w:rPr>
        <w:t>completing</w:t>
      </w:r>
      <w:r w:rsidR="00CF2764">
        <w:rPr>
          <w:bCs/>
          <w:sz w:val="24"/>
        </w:rPr>
        <w:t xml:space="preserve"> </w:t>
      </w:r>
      <w:r w:rsidR="00455CBE">
        <w:rPr>
          <w:bCs/>
          <w:sz w:val="24"/>
        </w:rPr>
        <w:t>current application</w:t>
      </w:r>
      <w:r w:rsidR="00607512">
        <w:rPr>
          <w:bCs/>
          <w:sz w:val="24"/>
        </w:rPr>
        <w:t xml:space="preserve"> fields</w:t>
      </w:r>
      <w:r w:rsidR="00233466">
        <w:rPr>
          <w:bCs/>
          <w:sz w:val="24"/>
        </w:rPr>
        <w:t xml:space="preserve"> on the </w:t>
      </w:r>
      <w:r w:rsidR="0042245A">
        <w:rPr>
          <w:bCs/>
          <w:sz w:val="24"/>
        </w:rPr>
        <w:t xml:space="preserve">IRB registration </w:t>
      </w:r>
      <w:r w:rsidR="00233466">
        <w:rPr>
          <w:bCs/>
          <w:sz w:val="24"/>
        </w:rPr>
        <w:t>form</w:t>
      </w:r>
      <w:r w:rsidR="00607512">
        <w:rPr>
          <w:bCs/>
          <w:sz w:val="24"/>
        </w:rPr>
        <w:t>.</w:t>
      </w:r>
      <w:r>
        <w:rPr>
          <w:bCs/>
          <w:sz w:val="24"/>
        </w:rPr>
        <w:t xml:space="preserve"> </w:t>
      </w:r>
      <w:r w:rsidR="00A76A57">
        <w:rPr>
          <w:bCs/>
          <w:sz w:val="24"/>
        </w:rPr>
        <w:t>B</w:t>
      </w:r>
      <w:r>
        <w:rPr>
          <w:bCs/>
          <w:sz w:val="24"/>
        </w:rPr>
        <w:t>rief</w:t>
      </w:r>
      <w:r w:rsidR="00056366">
        <w:rPr>
          <w:bCs/>
          <w:sz w:val="24"/>
        </w:rPr>
        <w:t xml:space="preserve"> </w:t>
      </w:r>
      <w:r w:rsidR="003A0871">
        <w:rPr>
          <w:bCs/>
          <w:sz w:val="24"/>
        </w:rPr>
        <w:t xml:space="preserve">instructions </w:t>
      </w:r>
      <w:r w:rsidR="00056366">
        <w:rPr>
          <w:bCs/>
          <w:sz w:val="24"/>
        </w:rPr>
        <w:t>added</w:t>
      </w:r>
      <w:r w:rsidR="003A0871">
        <w:rPr>
          <w:bCs/>
          <w:sz w:val="24"/>
        </w:rPr>
        <w:t xml:space="preserve"> in parenthetical des</w:t>
      </w:r>
      <w:r w:rsidR="00FB3A9D">
        <w:rPr>
          <w:bCs/>
          <w:sz w:val="24"/>
        </w:rPr>
        <w:t>criptions</w:t>
      </w:r>
      <w:r w:rsidR="00A76A57">
        <w:rPr>
          <w:bCs/>
          <w:sz w:val="24"/>
        </w:rPr>
        <w:t xml:space="preserve"> </w:t>
      </w:r>
      <w:r w:rsidR="00921606">
        <w:rPr>
          <w:bCs/>
          <w:sz w:val="24"/>
        </w:rPr>
        <w:t xml:space="preserve">include </w:t>
      </w:r>
      <w:r w:rsidR="009C5446">
        <w:rPr>
          <w:bCs/>
          <w:sz w:val="24"/>
        </w:rPr>
        <w:t>instructions</w:t>
      </w:r>
      <w:r w:rsidR="00921606">
        <w:rPr>
          <w:bCs/>
          <w:sz w:val="24"/>
        </w:rPr>
        <w:t xml:space="preserve"> for</w:t>
      </w:r>
      <w:r w:rsidR="00607512">
        <w:rPr>
          <w:bCs/>
          <w:sz w:val="24"/>
        </w:rPr>
        <w:t xml:space="preserve"> providing accurate IRB information, such as the approximate number of protocols the IRB reviews</w:t>
      </w:r>
      <w:r w:rsidR="00921606">
        <w:rPr>
          <w:bCs/>
          <w:sz w:val="24"/>
        </w:rPr>
        <w:t xml:space="preserve">, and </w:t>
      </w:r>
      <w:r w:rsidR="00607512">
        <w:rPr>
          <w:bCs/>
          <w:sz w:val="24"/>
        </w:rPr>
        <w:t xml:space="preserve">for </w:t>
      </w:r>
      <w:r w:rsidR="0042245A">
        <w:rPr>
          <w:bCs/>
          <w:sz w:val="24"/>
        </w:rPr>
        <w:t>provid</w:t>
      </w:r>
      <w:r w:rsidR="00BF58B1">
        <w:rPr>
          <w:bCs/>
          <w:sz w:val="24"/>
        </w:rPr>
        <w:t>ing</w:t>
      </w:r>
      <w:r w:rsidR="0042245A">
        <w:rPr>
          <w:bCs/>
          <w:sz w:val="24"/>
        </w:rPr>
        <w:t xml:space="preserve"> accurate </w:t>
      </w:r>
      <w:r w:rsidR="00BF58B1">
        <w:rPr>
          <w:bCs/>
          <w:sz w:val="24"/>
        </w:rPr>
        <w:t>IORG and IRB</w:t>
      </w:r>
      <w:r w:rsidR="00AA3D97">
        <w:rPr>
          <w:bCs/>
          <w:sz w:val="24"/>
        </w:rPr>
        <w:t xml:space="preserve"> panel</w:t>
      </w:r>
      <w:r w:rsidR="0042245A">
        <w:rPr>
          <w:bCs/>
          <w:sz w:val="24"/>
        </w:rPr>
        <w:t xml:space="preserve"> names and addresses</w:t>
      </w:r>
      <w:r w:rsidR="00233466">
        <w:rPr>
          <w:bCs/>
          <w:sz w:val="24"/>
        </w:rPr>
        <w:t>.</w:t>
      </w:r>
      <w:r w:rsidR="006113DA">
        <w:rPr>
          <w:bCs/>
          <w:sz w:val="24"/>
        </w:rPr>
        <w:t xml:space="preserve"> </w:t>
      </w:r>
    </w:p>
    <w:p w:rsidR="002B7AB4" w:rsidP="00E53E93" w14:paraId="0666DA7C" w14:textId="77777777">
      <w:pPr>
        <w:ind w:left="1080"/>
        <w:rPr>
          <w:sz w:val="24"/>
        </w:rPr>
      </w:pPr>
    </w:p>
    <w:p w:rsidR="00785FF2" w14:paraId="5DF900CA" w14:textId="77777777">
      <w:pPr>
        <w:pStyle w:val="BodyTextIndent2"/>
      </w:pPr>
    </w:p>
    <w:p w:rsidR="00785FF2" w14:paraId="34A02511" w14:textId="058B7260">
      <w:pPr>
        <w:pStyle w:val="BodyTextIndent2"/>
      </w:pPr>
      <w:r>
        <w:t xml:space="preserve">2.   </w:t>
      </w:r>
      <w:r w:rsidR="009A6778">
        <w:rPr>
          <w:u w:val="single"/>
        </w:rPr>
        <w:t xml:space="preserve">Purpose and Use of </w:t>
      </w:r>
      <w:r w:rsidR="00DC499F">
        <w:rPr>
          <w:u w:val="single"/>
        </w:rPr>
        <w:t>Information</w:t>
      </w:r>
      <w:r w:rsidR="00F35733">
        <w:rPr>
          <w:u w:val="single"/>
        </w:rPr>
        <w:t xml:space="preserve"> Collection</w:t>
      </w:r>
    </w:p>
    <w:p w:rsidR="00785FF2" w14:paraId="7EBAD54A" w14:textId="77777777">
      <w:pPr>
        <w:ind w:left="1080"/>
        <w:rPr>
          <w:sz w:val="24"/>
        </w:rPr>
      </w:pPr>
    </w:p>
    <w:p w:rsidR="00785FF2" w14:paraId="60956919" w14:textId="77777777">
      <w:pPr>
        <w:ind w:left="1080"/>
        <w:rPr>
          <w:b/>
          <w:sz w:val="24"/>
        </w:rPr>
      </w:pPr>
      <w:r>
        <w:rPr>
          <w:b/>
          <w:sz w:val="24"/>
        </w:rPr>
        <w:t>OHRP:</w:t>
      </w:r>
    </w:p>
    <w:p w:rsidR="00785FF2" w14:paraId="5EEDCF9A" w14:textId="77777777">
      <w:pPr>
        <w:ind w:left="1080"/>
        <w:rPr>
          <w:b/>
          <w:sz w:val="24"/>
        </w:rPr>
      </w:pPr>
    </w:p>
    <w:p w:rsidR="00785FF2" w14:paraId="644239E2" w14:textId="0619A08C">
      <w:pPr>
        <w:ind w:left="1080"/>
        <w:rPr>
          <w:sz w:val="24"/>
        </w:rPr>
      </w:pPr>
      <w:r>
        <w:rPr>
          <w:sz w:val="24"/>
        </w:rPr>
        <w:t xml:space="preserve">The IRB Registration Form collects the following information from </w:t>
      </w:r>
      <w:r w:rsidR="00893A51">
        <w:rPr>
          <w:sz w:val="24"/>
        </w:rPr>
        <w:t>i</w:t>
      </w:r>
      <w:r>
        <w:rPr>
          <w:sz w:val="24"/>
        </w:rPr>
        <w:t xml:space="preserve">nstitutions or </w:t>
      </w:r>
      <w:r w:rsidR="00893A51">
        <w:rPr>
          <w:sz w:val="24"/>
        </w:rPr>
        <w:t>o</w:t>
      </w:r>
      <w:r>
        <w:rPr>
          <w:sz w:val="24"/>
        </w:rPr>
        <w:t>rganizations operating IRBs that are regulated by OHRP, for the following purposes:</w:t>
      </w:r>
    </w:p>
    <w:p w:rsidR="00785FF2" w14:paraId="5BB3855E" w14:textId="77777777">
      <w:pPr>
        <w:ind w:left="1080"/>
        <w:rPr>
          <w:sz w:val="24"/>
        </w:rPr>
      </w:pPr>
    </w:p>
    <w:p w:rsidR="00785FF2" w:rsidP="00C3526A" w14:paraId="11104111" w14:textId="016E5EFC">
      <w:pPr>
        <w:numPr>
          <w:ilvl w:val="0"/>
          <w:numId w:val="3"/>
        </w:numPr>
        <w:tabs>
          <w:tab w:val="clear" w:pos="1800"/>
          <w:tab w:val="num" w:pos="4680"/>
        </w:tabs>
        <w:rPr>
          <w:sz w:val="24"/>
        </w:rPr>
      </w:pPr>
      <w:r>
        <w:rPr>
          <w:sz w:val="24"/>
        </w:rPr>
        <w:t xml:space="preserve">The name, location, mailing address, street address (if different from the mailing address, and OHRP-assigned number (called an IORG number) of each institution or organization that has registered an IRB. The IORG number is a unique number assigned by OHRP to an institution or </w:t>
      </w:r>
      <w:r>
        <w:rPr>
          <w:sz w:val="24"/>
        </w:rPr>
        <w:t>organization</w:t>
      </w:r>
      <w:r>
        <w:rPr>
          <w:sz w:val="24"/>
        </w:rPr>
        <w:t xml:space="preserve"> the first time that it registers an IRB. This number is to be provided to OHRP whenever an institution or organization subsequently updates or renews the existing registration of any of its IRBs or registers a new IRB.</w:t>
      </w:r>
    </w:p>
    <w:p w:rsidR="00785FF2" w:rsidP="00E53E93" w14:paraId="379CDB74" w14:textId="77777777">
      <w:pPr>
        <w:ind w:left="1440"/>
        <w:rPr>
          <w:sz w:val="24"/>
        </w:rPr>
      </w:pPr>
      <w:r>
        <w:rPr>
          <w:sz w:val="24"/>
        </w:rPr>
        <w:t xml:space="preserve"> </w:t>
      </w:r>
    </w:p>
    <w:p w:rsidR="00FF2836" w14:paraId="195EA51F" w14:textId="023E9FE0">
      <w:pPr>
        <w:pStyle w:val="Heading2"/>
        <w:ind w:left="1800"/>
      </w:pPr>
      <w:r>
        <w:t>Purpose</w:t>
      </w:r>
      <w:r>
        <w:t>:  OHRP</w:t>
      </w:r>
      <w:r>
        <w:t xml:space="preserve"> uses this contact information to identify the institution or organization operating the IRB(s),</w:t>
      </w:r>
      <w:r w:rsidR="00E411F5">
        <w:t xml:space="preserve"> to conduct compliance </w:t>
      </w:r>
      <w:r w:rsidR="00B97DBB">
        <w:t>oversight activities,</w:t>
      </w:r>
      <w:r>
        <w:t xml:space="preserve"> and to provide educational information to that institution. Provision of the IORG number allows OHRP to efficiently track and organize all IRB </w:t>
      </w:r>
      <w:r>
        <w:t xml:space="preserve">registration information submitted by the same institution or organization. </w:t>
      </w:r>
    </w:p>
    <w:p w:rsidR="00FF2836" w14:paraId="391773AE" w14:textId="77777777">
      <w:pPr>
        <w:pStyle w:val="Heading2"/>
        <w:ind w:left="1800"/>
      </w:pPr>
    </w:p>
    <w:p w:rsidR="00785FF2" w:rsidP="00C3526A" w14:paraId="4E1778BE" w14:textId="2298F1BB">
      <w:pPr>
        <w:pStyle w:val="Heading2"/>
        <w:numPr>
          <w:ilvl w:val="0"/>
          <w:numId w:val="3"/>
        </w:numPr>
        <w:tabs>
          <w:tab w:val="clear" w:pos="1800"/>
          <w:tab w:val="num" w:pos="3960"/>
        </w:tabs>
      </w:pPr>
      <w:r>
        <w:t xml:space="preserve">The name, earned degree(s), title or position, mailing address, phone number, facsimile numbers, and electronic mail address of the </w:t>
      </w:r>
      <w:r>
        <w:t>institution’s</w:t>
      </w:r>
      <w:r>
        <w:t xml:space="preserve"> or organization’s senior officer or head official who is responsible for overseeing activities performed by the IRB.</w:t>
      </w:r>
    </w:p>
    <w:p w:rsidR="00785FF2" w:rsidP="00C3526A" w14:paraId="757FFF9D" w14:textId="77777777">
      <w:pPr>
        <w:ind w:left="1080"/>
      </w:pPr>
    </w:p>
    <w:p w:rsidR="00785FF2" w:rsidP="00E53E93" w14:paraId="4A7E2E22" w14:textId="766BB4DA">
      <w:pPr>
        <w:ind w:left="1800"/>
        <w:rPr>
          <w:sz w:val="24"/>
        </w:rPr>
      </w:pPr>
      <w:r>
        <w:rPr>
          <w:sz w:val="24"/>
        </w:rPr>
        <w:t>(Note: submitting the following inf</w:t>
      </w:r>
      <w:r w:rsidR="002138E4">
        <w:rPr>
          <w:sz w:val="24"/>
        </w:rPr>
        <w:t xml:space="preserve">ormation for the </w:t>
      </w:r>
      <w:r w:rsidR="002138E4">
        <w:rPr>
          <w:sz w:val="24"/>
        </w:rPr>
        <w:t>institution’s</w:t>
      </w:r>
      <w:r w:rsidR="002138E4">
        <w:rPr>
          <w:sz w:val="24"/>
        </w:rPr>
        <w:t xml:space="preserve"> </w:t>
      </w:r>
      <w:r>
        <w:rPr>
          <w:sz w:val="24"/>
        </w:rPr>
        <w:t xml:space="preserve">or organization’s senior officer or head officer </w:t>
      </w:r>
      <w:r w:rsidR="008E043E">
        <w:rPr>
          <w:sz w:val="24"/>
        </w:rPr>
        <w:t xml:space="preserve">is </w:t>
      </w:r>
      <w:r>
        <w:rPr>
          <w:sz w:val="24"/>
        </w:rPr>
        <w:t xml:space="preserve">optional: </w:t>
      </w:r>
      <w:r w:rsidR="00FF2836">
        <w:rPr>
          <w:sz w:val="24"/>
        </w:rPr>
        <w:t xml:space="preserve">middle initial, </w:t>
      </w:r>
      <w:r>
        <w:rPr>
          <w:sz w:val="24"/>
        </w:rPr>
        <w:t>earned degree(s), title or position</w:t>
      </w:r>
      <w:r w:rsidR="00EE40FF">
        <w:rPr>
          <w:sz w:val="24"/>
        </w:rPr>
        <w:t>.</w:t>
      </w:r>
      <w:r>
        <w:rPr>
          <w:sz w:val="24"/>
        </w:rPr>
        <w:t>)</w:t>
      </w:r>
    </w:p>
    <w:p w:rsidR="00785FF2" w14:paraId="65BCB12E" w14:textId="77777777">
      <w:pPr>
        <w:ind w:left="2880" w:hanging="1440"/>
        <w:rPr>
          <w:sz w:val="24"/>
        </w:rPr>
      </w:pPr>
    </w:p>
    <w:p w:rsidR="00785FF2" w14:paraId="12E621F5" w14:textId="3787FBF0">
      <w:pPr>
        <w:ind w:left="1800"/>
        <w:rPr>
          <w:sz w:val="24"/>
        </w:rPr>
      </w:pPr>
      <w:r>
        <w:rPr>
          <w:sz w:val="24"/>
        </w:rPr>
        <w:t xml:space="preserve">Purpose: This information is collected so that OHRP can contact that person directly if </w:t>
      </w:r>
      <w:r w:rsidR="00ED6A8E">
        <w:rPr>
          <w:sz w:val="24"/>
        </w:rPr>
        <w:t xml:space="preserve">human </w:t>
      </w:r>
      <w:r w:rsidR="00ED6A8E">
        <w:rPr>
          <w:sz w:val="24"/>
        </w:rPr>
        <w:t>subjects</w:t>
      </w:r>
      <w:r w:rsidR="00ED6A8E">
        <w:rPr>
          <w:sz w:val="24"/>
        </w:rPr>
        <w:t xml:space="preserve"> protections</w:t>
      </w:r>
      <w:r>
        <w:rPr>
          <w:sz w:val="24"/>
        </w:rPr>
        <w:t xml:space="preserve"> issues or problems arise that involve, or could involve, the institution</w:t>
      </w:r>
      <w:r w:rsidR="00DD2F19">
        <w:rPr>
          <w:sz w:val="24"/>
        </w:rPr>
        <w:t>,</w:t>
      </w:r>
      <w:r>
        <w:rPr>
          <w:sz w:val="24"/>
        </w:rPr>
        <w:t xml:space="preserve"> </w:t>
      </w:r>
      <w:r w:rsidR="00FF766F">
        <w:rPr>
          <w:sz w:val="24"/>
        </w:rPr>
        <w:t xml:space="preserve">to conduct compliance oversight activities, </w:t>
      </w:r>
      <w:r>
        <w:rPr>
          <w:sz w:val="24"/>
        </w:rPr>
        <w:t>and to forward educational information to that person.</w:t>
      </w:r>
    </w:p>
    <w:p w:rsidR="00785FF2" w14:paraId="21B16B3A" w14:textId="77777777">
      <w:pPr>
        <w:ind w:left="1440"/>
        <w:rPr>
          <w:sz w:val="24"/>
        </w:rPr>
      </w:pPr>
    </w:p>
    <w:p w:rsidR="00785FF2" w:rsidP="00C3526A" w14:paraId="2E6B64E4" w14:textId="77777777">
      <w:pPr>
        <w:pStyle w:val="Heading2"/>
        <w:numPr>
          <w:ilvl w:val="0"/>
          <w:numId w:val="3"/>
        </w:numPr>
        <w:tabs>
          <w:tab w:val="clear" w:pos="1800"/>
          <w:tab w:val="num" w:pos="4320"/>
        </w:tabs>
      </w:pPr>
      <w:r>
        <w:t xml:space="preserve">The name, earned degree(s), title or position, mailing address, phone number, facsimile number, and electronic mail address of the contact person providing the registration information.  </w:t>
      </w:r>
    </w:p>
    <w:p w:rsidR="00785FF2" w:rsidP="00E53E93" w14:paraId="690A49FB" w14:textId="77777777">
      <w:pPr>
        <w:ind w:left="1620"/>
        <w:rPr>
          <w:sz w:val="24"/>
        </w:rPr>
      </w:pPr>
    </w:p>
    <w:p w:rsidR="00785FF2" w14:paraId="4AC50324" w14:textId="283191DF">
      <w:pPr>
        <w:ind w:left="1800"/>
        <w:rPr>
          <w:sz w:val="24"/>
        </w:rPr>
      </w:pPr>
      <w:r>
        <w:rPr>
          <w:sz w:val="24"/>
        </w:rPr>
        <w:t xml:space="preserve">(Note: submitting the following information for the contact person </w:t>
      </w:r>
      <w:r w:rsidR="006438FB">
        <w:rPr>
          <w:sz w:val="24"/>
        </w:rPr>
        <w:t>is</w:t>
      </w:r>
      <w:r>
        <w:rPr>
          <w:sz w:val="24"/>
        </w:rPr>
        <w:t xml:space="preserve"> optional: </w:t>
      </w:r>
      <w:r w:rsidR="00FF2836">
        <w:rPr>
          <w:sz w:val="24"/>
        </w:rPr>
        <w:t xml:space="preserve">middle initial, </w:t>
      </w:r>
      <w:r>
        <w:rPr>
          <w:sz w:val="24"/>
        </w:rPr>
        <w:t>earned degree(s), title or position</w:t>
      </w:r>
      <w:r w:rsidR="00EE40FF">
        <w:rPr>
          <w:sz w:val="24"/>
        </w:rPr>
        <w:t>.</w:t>
      </w:r>
      <w:r>
        <w:rPr>
          <w:sz w:val="24"/>
        </w:rPr>
        <w:t>)</w:t>
      </w:r>
    </w:p>
    <w:p w:rsidR="00785FF2" w14:paraId="03165792" w14:textId="77777777">
      <w:pPr>
        <w:ind w:left="1620"/>
        <w:rPr>
          <w:sz w:val="24"/>
        </w:rPr>
      </w:pPr>
    </w:p>
    <w:p w:rsidR="00785FF2" w14:paraId="0B2A2734" w14:textId="77777777">
      <w:pPr>
        <w:pStyle w:val="Heading2"/>
        <w:ind w:left="1800"/>
      </w:pPr>
      <w:r>
        <w:t xml:space="preserve">Purpose: OHRP will use this information to communicate with that person directly on routine issues, forward information, and send electronic mail to that contact person. </w:t>
      </w:r>
    </w:p>
    <w:p w:rsidR="00785FF2" w14:paraId="6B2E9AFB" w14:textId="77777777">
      <w:pPr>
        <w:ind w:left="1440"/>
        <w:rPr>
          <w:sz w:val="24"/>
        </w:rPr>
      </w:pPr>
    </w:p>
    <w:p w:rsidR="00785FF2" w:rsidP="00C3526A" w14:paraId="75FC7CA4" w14:textId="1CD8849F">
      <w:pPr>
        <w:pStyle w:val="Heading2"/>
        <w:numPr>
          <w:ilvl w:val="0"/>
          <w:numId w:val="3"/>
        </w:numPr>
        <w:tabs>
          <w:tab w:val="clear" w:pos="1800"/>
          <w:tab w:val="num" w:pos="3600"/>
        </w:tabs>
      </w:pPr>
      <w:r>
        <w:t xml:space="preserve">The IRB Registration number, IRB name, if any, assigned to the IRB by </w:t>
      </w:r>
      <w:r w:rsidR="005F1FE6">
        <w:t xml:space="preserve">the </w:t>
      </w:r>
      <w:r>
        <w:t>institution or organization operating the IRB, the IRB mailing address</w:t>
      </w:r>
      <w:r w:rsidR="00FF2836">
        <w:t xml:space="preserve"> (if different from the mailing address of the institution or organization operating the IRB(s))</w:t>
      </w:r>
      <w:r>
        <w:t>, street address (if different from the mailing address</w:t>
      </w:r>
      <w:r w:rsidR="00FF2836">
        <w:t xml:space="preserve"> of the IRB</w:t>
      </w:r>
      <w:r>
        <w:t>), phone number, facsimile number, and electronic mail address.</w:t>
      </w:r>
    </w:p>
    <w:p w:rsidR="00785FF2" w:rsidP="00E53E93" w14:paraId="72469F07" w14:textId="77777777">
      <w:pPr>
        <w:pStyle w:val="Heading2"/>
        <w:ind w:left="1440"/>
      </w:pPr>
    </w:p>
    <w:p w:rsidR="00785FF2" w14:paraId="1A4FCEB3" w14:textId="30759300">
      <w:pPr>
        <w:ind w:left="1800"/>
        <w:rPr>
          <w:sz w:val="24"/>
        </w:rPr>
      </w:pPr>
      <w:r>
        <w:rPr>
          <w:sz w:val="24"/>
        </w:rPr>
        <w:t>Purpose</w:t>
      </w:r>
      <w:r>
        <w:rPr>
          <w:sz w:val="24"/>
        </w:rPr>
        <w:t>:  OHRP</w:t>
      </w:r>
      <w:r>
        <w:rPr>
          <w:sz w:val="24"/>
        </w:rPr>
        <w:t xml:space="preserve"> uses this information to identify the specific IRBs for which registration information is provided.  OHRP post</w:t>
      </w:r>
      <w:r w:rsidR="000D4580">
        <w:rPr>
          <w:sz w:val="24"/>
        </w:rPr>
        <w:t>s</w:t>
      </w:r>
      <w:r>
        <w:rPr>
          <w:sz w:val="24"/>
        </w:rPr>
        <w:t xml:space="preserve"> a list of registered IRBs on its website, including the name and location of each IRB and the name and location of the organization operating the IRB.  </w:t>
      </w:r>
    </w:p>
    <w:p w:rsidR="00785FF2" w14:paraId="02B965F3" w14:textId="77777777">
      <w:pPr>
        <w:pStyle w:val="Heading2"/>
        <w:ind w:left="1440"/>
      </w:pPr>
    </w:p>
    <w:p w:rsidR="00785FF2" w:rsidP="00C3526A" w14:paraId="1D88C23E" w14:textId="23313387">
      <w:pPr>
        <w:pStyle w:val="Heading2"/>
        <w:numPr>
          <w:ilvl w:val="0"/>
          <w:numId w:val="3"/>
        </w:numPr>
        <w:tabs>
          <w:tab w:val="clear" w:pos="1800"/>
          <w:tab w:val="num" w:pos="2520"/>
        </w:tabs>
      </w:pPr>
      <w:r>
        <w:t>The IRB chairperson’s name,</w:t>
      </w:r>
      <w:r>
        <w:t xml:space="preserve"> earned degree(s), title or position, </w:t>
      </w:r>
      <w:r w:rsidR="00FE2EE7">
        <w:t>name of institution or organization (if different from the institution or organization operating the IRB</w:t>
      </w:r>
      <w:r w:rsidR="00357036">
        <w:t>)</w:t>
      </w:r>
      <w:r w:rsidR="00FE2EE7">
        <w:t xml:space="preserve">, </w:t>
      </w:r>
      <w:r>
        <w:t>mailing address (if different from the mailing address of the institution or organization operating the IRB), phone number, facsimile number, and electronic email address.</w:t>
      </w:r>
    </w:p>
    <w:p w:rsidR="00E05EF0" w14:paraId="28682121" w14:textId="77777777">
      <w:pPr>
        <w:ind w:left="1800"/>
        <w:rPr>
          <w:sz w:val="24"/>
        </w:rPr>
      </w:pPr>
    </w:p>
    <w:p w:rsidR="00785FF2" w14:paraId="1DF362AC" w14:textId="37A7BDDF">
      <w:pPr>
        <w:ind w:left="1800"/>
        <w:rPr>
          <w:sz w:val="24"/>
        </w:rPr>
      </w:pPr>
      <w:r>
        <w:rPr>
          <w:sz w:val="24"/>
        </w:rPr>
        <w:t xml:space="preserve">(Note: submitting the following information for the IRB chairperson </w:t>
      </w:r>
      <w:r w:rsidR="006438FB">
        <w:rPr>
          <w:sz w:val="24"/>
        </w:rPr>
        <w:t>is</w:t>
      </w:r>
      <w:r>
        <w:rPr>
          <w:sz w:val="24"/>
        </w:rPr>
        <w:t xml:space="preserve"> optional: earned degree(s), title or position, </w:t>
      </w:r>
      <w:r w:rsidR="00FE2EE7">
        <w:rPr>
          <w:sz w:val="24"/>
        </w:rPr>
        <w:t xml:space="preserve">name of institution or organization, </w:t>
      </w:r>
      <w:r>
        <w:rPr>
          <w:sz w:val="24"/>
        </w:rPr>
        <w:t>mailing address, and facsimile number</w:t>
      </w:r>
      <w:r w:rsidR="00EE40FF">
        <w:rPr>
          <w:sz w:val="24"/>
        </w:rPr>
        <w:t>.</w:t>
      </w:r>
      <w:r>
        <w:rPr>
          <w:sz w:val="24"/>
        </w:rPr>
        <w:t>)</w:t>
      </w:r>
    </w:p>
    <w:p w:rsidR="000D4580" w14:paraId="1D1D33CF" w14:textId="77777777">
      <w:pPr>
        <w:pStyle w:val="Heading2"/>
        <w:ind w:left="1800"/>
      </w:pPr>
    </w:p>
    <w:p w:rsidR="00785FF2" w14:paraId="04593F14" w14:textId="7207588C">
      <w:pPr>
        <w:pStyle w:val="Heading2"/>
        <w:ind w:left="1800"/>
      </w:pPr>
      <w:r>
        <w:t>Purpose</w:t>
      </w:r>
      <w:r>
        <w:t>:  Collection</w:t>
      </w:r>
      <w:r>
        <w:t xml:space="preserve"> of this information will help OHRP to contact the IRB chairperson, if necessary, on </w:t>
      </w:r>
      <w:r w:rsidR="00AB4F1A">
        <w:t xml:space="preserve">human </w:t>
      </w:r>
      <w:r w:rsidR="00AB4F1A">
        <w:t>subjects</w:t>
      </w:r>
      <w:r w:rsidR="00AB4F1A">
        <w:t xml:space="preserve"> protections</w:t>
      </w:r>
      <w:r>
        <w:t xml:space="preserve"> issues, </w:t>
      </w:r>
      <w:r w:rsidR="00C4544A">
        <w:t>conduct compliance oversight activities, and</w:t>
      </w:r>
      <w:r>
        <w:t xml:space="preserve"> send educational material. </w:t>
      </w:r>
    </w:p>
    <w:p w:rsidR="00785FF2" w:rsidP="00C3526A" w14:paraId="6ED5A28D" w14:textId="77777777">
      <w:pPr>
        <w:ind w:left="1080"/>
        <w:rPr>
          <w:sz w:val="24"/>
        </w:rPr>
      </w:pPr>
    </w:p>
    <w:p w:rsidR="00785FF2" w:rsidP="00C3526A" w14:paraId="37CE1F1C" w14:textId="77777777">
      <w:pPr>
        <w:pStyle w:val="Heading2"/>
        <w:numPr>
          <w:ilvl w:val="0"/>
          <w:numId w:val="3"/>
        </w:numPr>
        <w:tabs>
          <w:tab w:val="clear" w:pos="1800"/>
          <w:tab w:val="num" w:pos="2160"/>
        </w:tabs>
      </w:pPr>
      <w:r>
        <w:t xml:space="preserve">The approximate number of all active research protocols and active protocols conducted or supported by HHS.  </w:t>
      </w:r>
    </w:p>
    <w:p w:rsidR="00785FF2" w:rsidP="00E53E93" w14:paraId="798C3994" w14:textId="77777777">
      <w:pPr>
        <w:pStyle w:val="Heading2"/>
        <w:ind w:left="1800"/>
      </w:pPr>
    </w:p>
    <w:p w:rsidR="00785FF2" w14:paraId="1389DCC0" w14:textId="2012284C">
      <w:pPr>
        <w:pStyle w:val="Heading2"/>
        <w:ind w:left="1800"/>
      </w:pPr>
      <w:r>
        <w:t>Purpose: OHRP use</w:t>
      </w:r>
      <w:r w:rsidR="000D4580">
        <w:t>s</w:t>
      </w:r>
      <w:r>
        <w:t xml:space="preserve"> this information to more effectively assign its educational and compliance oversight resources and </w:t>
      </w:r>
      <w:r w:rsidR="000217AE">
        <w:t xml:space="preserve">to </w:t>
      </w:r>
      <w:r>
        <w:t>obtain insight into an IRB’s activity level.  OHRP consider</w:t>
      </w:r>
      <w:r w:rsidR="00B832EC">
        <w:t>s</w:t>
      </w:r>
      <w:r>
        <w:t xml:space="preserve"> an active protocol to be any protocol for which an IRB conducted an initial or continuing review at a convened meeting or under an expedited review procedure during the preceding 12 months.</w:t>
      </w:r>
    </w:p>
    <w:p w:rsidR="00785FF2" w14:paraId="2AE68080" w14:textId="77777777">
      <w:pPr>
        <w:pStyle w:val="Heading2"/>
        <w:ind w:left="1800"/>
      </w:pPr>
    </w:p>
    <w:p w:rsidR="00785FF2" w:rsidP="00C3526A" w14:paraId="67DC84AA" w14:textId="77777777">
      <w:pPr>
        <w:pStyle w:val="BodyText"/>
        <w:numPr>
          <w:ilvl w:val="0"/>
          <w:numId w:val="3"/>
        </w:numPr>
        <w:tabs>
          <w:tab w:val="clear" w:pos="1800"/>
          <w:tab w:val="num" w:pos="2160"/>
        </w:tabs>
      </w:pPr>
      <w:r>
        <w:t>The approximate number of full-time equivalent (FTE) positions devoted to the IRB’s administrative activities.</w:t>
      </w:r>
    </w:p>
    <w:p w:rsidR="00785FF2" w:rsidP="00C3526A" w14:paraId="11DA699E" w14:textId="77777777">
      <w:pPr>
        <w:pStyle w:val="BodyText"/>
        <w:ind w:left="1080"/>
      </w:pPr>
    </w:p>
    <w:p w:rsidR="00785FF2" w:rsidP="00E53E93" w14:paraId="03128F8B" w14:textId="1FF82123">
      <w:pPr>
        <w:pStyle w:val="Heading2"/>
        <w:ind w:left="1800"/>
      </w:pPr>
      <w:r>
        <w:t xml:space="preserve">Purpose: This information </w:t>
      </w:r>
      <w:r w:rsidR="002E4C3C">
        <w:t xml:space="preserve">is collected to provide OHRP with information related to the institution’s fulfillment of </w:t>
      </w:r>
      <w:r w:rsidR="00A0745E">
        <w:t xml:space="preserve">45 CFR 46.108(a)(1) </w:t>
      </w:r>
      <w:r w:rsidR="00435569">
        <w:t>of the 2018 Requirements</w:t>
      </w:r>
      <w:r w:rsidR="002E4C3C">
        <w:t>,</w:t>
      </w:r>
      <w:r w:rsidR="00435569">
        <w:t xml:space="preserve"> </w:t>
      </w:r>
      <w:r w:rsidR="00B964D0">
        <w:t>which requires that</w:t>
      </w:r>
      <w:r w:rsidR="00A0745E">
        <w:t xml:space="preserve"> each IRB </w:t>
      </w:r>
      <w:r w:rsidR="00A0745E">
        <w:t>have</w:t>
      </w:r>
      <w:r w:rsidR="00A0745E">
        <w:t xml:space="preserve"> access to sufficient staff to support the IRB’s review and recordkeeping duties.  </w:t>
      </w:r>
    </w:p>
    <w:p w:rsidR="00D8202E" w:rsidRPr="0038741B" w:rsidP="009734E4" w14:paraId="02699B46" w14:textId="5F290860"/>
    <w:p w:rsidR="00785FF2" w14:paraId="7A19835C" w14:textId="77777777">
      <w:pPr>
        <w:pStyle w:val="BodyText"/>
        <w:ind w:left="1800"/>
      </w:pPr>
      <w:r>
        <w:t xml:space="preserve"> </w:t>
      </w:r>
    </w:p>
    <w:p w:rsidR="00785FF2" w14:paraId="1CD29958" w14:textId="77777777">
      <w:pPr>
        <w:pStyle w:val="Heading2"/>
        <w:ind w:left="1080"/>
        <w:rPr>
          <w:b/>
        </w:rPr>
      </w:pPr>
      <w:r>
        <w:rPr>
          <w:b/>
        </w:rPr>
        <w:t xml:space="preserve">FDA: </w:t>
      </w:r>
    </w:p>
    <w:p w:rsidR="00785FF2" w14:paraId="565182A2" w14:textId="77777777">
      <w:pPr>
        <w:pStyle w:val="Heading2"/>
        <w:ind w:left="1080"/>
        <w:rPr>
          <w:b/>
        </w:rPr>
      </w:pPr>
    </w:p>
    <w:p w:rsidR="00785FF2" w:rsidP="00C3526A" w14:paraId="6E2E8982" w14:textId="7B841616">
      <w:pPr>
        <w:ind w:left="1080"/>
      </w:pPr>
    </w:p>
    <w:p w:rsidR="00785FF2" w:rsidP="00E53E93" w14:paraId="0A5E4168" w14:textId="3648E0E7">
      <w:pPr>
        <w:ind w:left="1080"/>
        <w:rPr>
          <w:sz w:val="24"/>
        </w:rPr>
      </w:pPr>
      <w:r>
        <w:rPr>
          <w:sz w:val="24"/>
        </w:rPr>
        <w:t xml:space="preserve">In brief, the IRB Registration Form </w:t>
      </w:r>
      <w:r w:rsidR="008D512F">
        <w:rPr>
          <w:sz w:val="24"/>
        </w:rPr>
        <w:t xml:space="preserve">collects the following information from </w:t>
      </w:r>
      <w:r>
        <w:rPr>
          <w:sz w:val="24"/>
        </w:rPr>
        <w:t>FDA-regulated IRBs:</w:t>
      </w:r>
    </w:p>
    <w:p w:rsidR="000D4580" w14:paraId="5CFFEBF3" w14:textId="77777777">
      <w:pPr>
        <w:ind w:left="1080"/>
        <w:rPr>
          <w:sz w:val="24"/>
        </w:rPr>
      </w:pPr>
    </w:p>
    <w:p w:rsidR="00785FF2" w:rsidP="00C3526A" w14:paraId="610BB9D1" w14:textId="77777777">
      <w:pPr>
        <w:numPr>
          <w:ilvl w:val="0"/>
          <w:numId w:val="13"/>
        </w:numPr>
        <w:ind w:left="1440"/>
        <w:rPr>
          <w:sz w:val="24"/>
        </w:rPr>
      </w:pPr>
      <w:r>
        <w:rPr>
          <w:sz w:val="24"/>
        </w:rPr>
        <w:t>The name, mailing address, and street address (if different from the mailing address) of the institution operating the IRB and the name, mailing address, phone number, facsimile number, and electronic mail address of the senior officer of that institution who is responsible for overseeing activities performed by the IRB;</w:t>
      </w:r>
    </w:p>
    <w:p w:rsidR="00785FF2" w:rsidP="00C3526A" w14:paraId="19E48063" w14:textId="77777777">
      <w:pPr>
        <w:numPr>
          <w:ilvl w:val="0"/>
          <w:numId w:val="13"/>
        </w:numPr>
        <w:ind w:left="1440"/>
        <w:rPr>
          <w:sz w:val="24"/>
        </w:rPr>
      </w:pPr>
      <w:r>
        <w:rPr>
          <w:sz w:val="24"/>
        </w:rPr>
        <w:t xml:space="preserve">The IRB’s name, mailing address, street address (if different from the mailing address), phone number, facsimile number, and electronic mail address; each IRB chairperson’s name, phone number, and electronic mail address; and the name, mailing address, phone number, facsimile number, and electronic mail address of the contact person providing the registration information.   </w:t>
      </w:r>
    </w:p>
    <w:p w:rsidR="00785FF2" w:rsidP="00C3526A" w14:paraId="6E1E1A4C" w14:textId="77777777">
      <w:pPr>
        <w:numPr>
          <w:ilvl w:val="0"/>
          <w:numId w:val="13"/>
        </w:numPr>
        <w:ind w:left="1440"/>
        <w:rPr>
          <w:sz w:val="24"/>
        </w:rPr>
      </w:pPr>
      <w:r>
        <w:rPr>
          <w:sz w:val="24"/>
        </w:rPr>
        <w:t xml:space="preserve">The approximate number of active protocols involving FDA-regulated products reviewed.  For purposes of this rule, an “active protocol” is any protocol for </w:t>
      </w:r>
      <w:r>
        <w:rPr>
          <w:sz w:val="24"/>
        </w:rPr>
        <w:t xml:space="preserve">which an IRB conducted an initial review or a continuing review at a convened meeting or under an expedited review procedure during the preceding 12 months; and </w:t>
      </w:r>
    </w:p>
    <w:p w:rsidR="00785FF2" w:rsidP="00C3526A" w14:paraId="13E3C8A1" w14:textId="77777777">
      <w:pPr>
        <w:numPr>
          <w:ilvl w:val="0"/>
          <w:numId w:val="13"/>
        </w:numPr>
        <w:ind w:left="1440"/>
        <w:rPr>
          <w:sz w:val="24"/>
        </w:rPr>
      </w:pPr>
      <w:r>
        <w:rPr>
          <w:sz w:val="24"/>
        </w:rPr>
        <w:t xml:space="preserve">A description of the types of FDA-regulated products (such as biological products, color additives, food additives, human drugs, or medical devices) involved in the protocols that the IRB reviews. </w:t>
      </w:r>
    </w:p>
    <w:p w:rsidR="00785FF2" w:rsidP="00C3526A" w14:paraId="24947513" w14:textId="77777777">
      <w:pPr>
        <w:tabs>
          <w:tab w:val="left" w:pos="1080"/>
          <w:tab w:val="left" w:pos="1440"/>
        </w:tabs>
        <w:ind w:left="1080"/>
        <w:rPr>
          <w:sz w:val="24"/>
        </w:rPr>
      </w:pPr>
    </w:p>
    <w:p w:rsidR="00D95015" w:rsidP="00363DDD" w14:paraId="30702350" w14:textId="3F02E42A">
      <w:pPr>
        <w:ind w:left="1080"/>
        <w:rPr>
          <w:color w:val="000000" w:themeColor="text1"/>
          <w:sz w:val="24"/>
        </w:rPr>
      </w:pPr>
      <w:r>
        <w:rPr>
          <w:color w:val="000000" w:themeColor="text1"/>
          <w:sz w:val="24"/>
        </w:rPr>
        <w:t xml:space="preserve">FDA IRB regulations </w:t>
      </w:r>
      <w:r w:rsidRPr="00BF270A">
        <w:rPr>
          <w:color w:val="000000" w:themeColor="text1"/>
          <w:sz w:val="24"/>
        </w:rPr>
        <w:t>at 21 CFR 56.106</w:t>
      </w:r>
      <w:r w:rsidR="00044959">
        <w:rPr>
          <w:color w:val="000000" w:themeColor="text1"/>
          <w:sz w:val="24"/>
        </w:rPr>
        <w:t>(</w:t>
      </w:r>
      <w:r w:rsidR="005949AB">
        <w:rPr>
          <w:color w:val="000000" w:themeColor="text1"/>
          <w:sz w:val="24"/>
        </w:rPr>
        <w:t>c</w:t>
      </w:r>
      <w:r w:rsidR="00044959">
        <w:rPr>
          <w:color w:val="000000" w:themeColor="text1"/>
          <w:sz w:val="24"/>
        </w:rPr>
        <w:t>)</w:t>
      </w:r>
      <w:r>
        <w:rPr>
          <w:color w:val="000000" w:themeColor="text1"/>
          <w:sz w:val="24"/>
        </w:rPr>
        <w:t xml:space="preserve"> </w:t>
      </w:r>
      <w:r w:rsidR="00B5271E">
        <w:rPr>
          <w:color w:val="000000" w:themeColor="text1"/>
          <w:sz w:val="24"/>
        </w:rPr>
        <w:t xml:space="preserve">provide </w:t>
      </w:r>
      <w:r w:rsidR="00CE4D08">
        <w:rPr>
          <w:color w:val="000000" w:themeColor="text1"/>
          <w:sz w:val="24"/>
        </w:rPr>
        <w:t>that each</w:t>
      </w:r>
      <w:r w:rsidR="00765B83">
        <w:rPr>
          <w:color w:val="000000" w:themeColor="text1"/>
          <w:sz w:val="24"/>
        </w:rPr>
        <w:t xml:space="preserve"> IRB must renew its registration every 3 years. </w:t>
      </w:r>
      <w:r w:rsidR="00174061">
        <w:rPr>
          <w:color w:val="000000" w:themeColor="text1"/>
          <w:sz w:val="24"/>
        </w:rPr>
        <w:t>FDA regulations at 21 CFR 56.106(e)</w:t>
      </w:r>
      <w:r w:rsidR="00100291">
        <w:rPr>
          <w:color w:val="000000" w:themeColor="text1"/>
          <w:sz w:val="24"/>
        </w:rPr>
        <w:t xml:space="preserve"> </w:t>
      </w:r>
      <w:r w:rsidR="00537C80">
        <w:rPr>
          <w:color w:val="000000" w:themeColor="text1"/>
          <w:sz w:val="24"/>
        </w:rPr>
        <w:t xml:space="preserve">also </w:t>
      </w:r>
      <w:r w:rsidR="00100291">
        <w:rPr>
          <w:color w:val="000000" w:themeColor="text1"/>
          <w:sz w:val="24"/>
        </w:rPr>
        <w:t>provide</w:t>
      </w:r>
      <w:r w:rsidR="002D3ACA">
        <w:rPr>
          <w:color w:val="000000" w:themeColor="text1"/>
          <w:sz w:val="24"/>
        </w:rPr>
        <w:t xml:space="preserve"> </w:t>
      </w:r>
      <w:r w:rsidR="00792A1C">
        <w:rPr>
          <w:color w:val="000000" w:themeColor="text1"/>
          <w:sz w:val="24"/>
        </w:rPr>
        <w:t>requirements</w:t>
      </w:r>
      <w:r w:rsidR="00B5271E">
        <w:rPr>
          <w:color w:val="000000" w:themeColor="text1"/>
          <w:sz w:val="24"/>
        </w:rPr>
        <w:t xml:space="preserve"> for </w:t>
      </w:r>
      <w:r w:rsidR="00703E73">
        <w:rPr>
          <w:color w:val="000000" w:themeColor="text1"/>
          <w:sz w:val="24"/>
        </w:rPr>
        <w:t>how</w:t>
      </w:r>
      <w:r w:rsidR="00B5271E">
        <w:rPr>
          <w:color w:val="000000" w:themeColor="text1"/>
          <w:sz w:val="24"/>
        </w:rPr>
        <w:t xml:space="preserve"> an IRB re</w:t>
      </w:r>
      <w:r w:rsidR="00703E73">
        <w:rPr>
          <w:color w:val="000000" w:themeColor="text1"/>
          <w:sz w:val="24"/>
        </w:rPr>
        <w:t>vises</w:t>
      </w:r>
      <w:r w:rsidR="001B619B">
        <w:rPr>
          <w:color w:val="000000" w:themeColor="text1"/>
          <w:sz w:val="24"/>
        </w:rPr>
        <w:t xml:space="preserve"> it</w:t>
      </w:r>
      <w:r w:rsidR="00797BD1">
        <w:rPr>
          <w:color w:val="000000" w:themeColor="text1"/>
          <w:sz w:val="24"/>
        </w:rPr>
        <w:t>s</w:t>
      </w:r>
      <w:r w:rsidR="001B619B">
        <w:rPr>
          <w:color w:val="000000" w:themeColor="text1"/>
          <w:sz w:val="24"/>
        </w:rPr>
        <w:t xml:space="preserve"> registration information</w:t>
      </w:r>
      <w:r w:rsidR="00B5271E">
        <w:rPr>
          <w:color w:val="000000" w:themeColor="text1"/>
          <w:sz w:val="24"/>
        </w:rPr>
        <w:t xml:space="preserve">. </w:t>
      </w:r>
      <w:r w:rsidR="001B619B">
        <w:rPr>
          <w:color w:val="000000" w:themeColor="text1"/>
          <w:sz w:val="24"/>
        </w:rPr>
        <w:t>This information is collected</w:t>
      </w:r>
      <w:r>
        <w:rPr>
          <w:color w:val="000000" w:themeColor="text1"/>
          <w:sz w:val="24"/>
        </w:rPr>
        <w:t xml:space="preserve"> using </w:t>
      </w:r>
      <w:r>
        <w:rPr>
          <w:sz w:val="24"/>
        </w:rPr>
        <w:t xml:space="preserve">the IRB Registration Form, </w:t>
      </w:r>
      <w:r>
        <w:rPr>
          <w:color w:val="000000" w:themeColor="text1"/>
          <w:sz w:val="24"/>
        </w:rPr>
        <w:t>(</w:t>
      </w:r>
      <w:r w:rsidRPr="00BF270A">
        <w:rPr>
          <w:color w:val="000000" w:themeColor="text1"/>
          <w:sz w:val="24"/>
        </w:rPr>
        <w:t>OMB</w:t>
      </w:r>
      <w:r>
        <w:rPr>
          <w:color w:val="000000" w:themeColor="text1"/>
          <w:sz w:val="24"/>
        </w:rPr>
        <w:t>)</w:t>
      </w:r>
      <w:r w:rsidRPr="00BF270A">
        <w:rPr>
          <w:color w:val="000000" w:themeColor="text1"/>
          <w:sz w:val="24"/>
        </w:rPr>
        <w:t xml:space="preserve"> No. 0990-0279</w:t>
      </w:r>
      <w:r>
        <w:rPr>
          <w:color w:val="000000" w:themeColor="text1"/>
          <w:sz w:val="24"/>
        </w:rPr>
        <w:t>.</w:t>
      </w:r>
    </w:p>
    <w:p w:rsidR="008A54E7" w:rsidRPr="009E4093" w:rsidP="009734E4" w14:paraId="7941F0C0" w14:textId="77777777">
      <w:pPr>
        <w:ind w:left="1080"/>
        <w:rPr>
          <w:sz w:val="24"/>
        </w:rPr>
      </w:pPr>
    </w:p>
    <w:p w:rsidR="00785FF2" w:rsidP="00E53E93" w14:paraId="6E5C104C" w14:textId="59079219">
      <w:pPr>
        <w:ind w:left="1080"/>
        <w:rPr>
          <w:sz w:val="24"/>
        </w:rPr>
      </w:pPr>
      <w:r>
        <w:rPr>
          <w:color w:val="000000" w:themeColor="text1"/>
          <w:sz w:val="24"/>
        </w:rPr>
        <w:t xml:space="preserve"> </w:t>
      </w:r>
      <w:r w:rsidR="006438FB">
        <w:rPr>
          <w:sz w:val="24"/>
        </w:rPr>
        <w:t xml:space="preserve">FDA </w:t>
      </w:r>
      <w:r>
        <w:rPr>
          <w:sz w:val="24"/>
        </w:rPr>
        <w:t>use</w:t>
      </w:r>
      <w:r w:rsidR="000D4580">
        <w:rPr>
          <w:sz w:val="24"/>
        </w:rPr>
        <w:t>s</w:t>
      </w:r>
      <w:r>
        <w:rPr>
          <w:sz w:val="24"/>
        </w:rPr>
        <w:t xml:space="preserve"> </w:t>
      </w:r>
      <w:r>
        <w:rPr>
          <w:sz w:val="24"/>
        </w:rPr>
        <w:t>the registration</w:t>
      </w:r>
      <w:r>
        <w:rPr>
          <w:sz w:val="24"/>
        </w:rPr>
        <w:t xml:space="preserve"> information to identify IRBs for FDA inspection and to convey information to IRBs.  </w:t>
      </w:r>
    </w:p>
    <w:p w:rsidR="00785FF2" w14:paraId="5CEA2EDD" w14:textId="77777777">
      <w:pPr>
        <w:pStyle w:val="Heading2"/>
        <w:ind w:left="1080"/>
      </w:pPr>
      <w:r>
        <w:tab/>
      </w:r>
      <w:r>
        <w:tab/>
      </w:r>
    </w:p>
    <w:p w:rsidR="00785FF2" w:rsidP="00C3526A" w14:paraId="1F14CCD9" w14:textId="7E0BA1F7">
      <w:pPr>
        <w:numPr>
          <w:ilvl w:val="0"/>
          <w:numId w:val="8"/>
        </w:numPr>
        <w:tabs>
          <w:tab w:val="clear" w:pos="1080"/>
          <w:tab w:val="num" w:pos="1440"/>
        </w:tabs>
        <w:rPr>
          <w:sz w:val="24"/>
        </w:rPr>
      </w:pPr>
      <w:r>
        <w:rPr>
          <w:sz w:val="24"/>
        </w:rPr>
        <w:t xml:space="preserve"> </w:t>
      </w:r>
      <w:r>
        <w:rPr>
          <w:sz w:val="24"/>
          <w:u w:val="single"/>
        </w:rPr>
        <w:t>Improved Information Technology</w:t>
      </w:r>
      <w:r w:rsidR="00F35733">
        <w:rPr>
          <w:sz w:val="24"/>
          <w:u w:val="single"/>
        </w:rPr>
        <w:t xml:space="preserve"> and Burden Reduction</w:t>
      </w:r>
    </w:p>
    <w:p w:rsidR="00785FF2" w:rsidP="00E53E93" w14:paraId="7C035E45" w14:textId="77777777">
      <w:pPr>
        <w:ind w:left="1080"/>
        <w:rPr>
          <w:sz w:val="24"/>
        </w:rPr>
      </w:pPr>
    </w:p>
    <w:p w:rsidR="00785FF2" w:rsidP="004E53F1" w14:paraId="28447B2C" w14:textId="77777777">
      <w:pPr>
        <w:ind w:left="360" w:firstLine="720"/>
        <w:rPr>
          <w:b/>
          <w:sz w:val="24"/>
        </w:rPr>
      </w:pPr>
      <w:r>
        <w:rPr>
          <w:b/>
          <w:sz w:val="24"/>
        </w:rPr>
        <w:t>OHRP:</w:t>
      </w:r>
    </w:p>
    <w:p w:rsidR="00785FF2" w:rsidP="00C3526A" w14:paraId="6636156F" w14:textId="77777777">
      <w:pPr>
        <w:ind w:left="1080" w:firstLine="720"/>
        <w:rPr>
          <w:sz w:val="24"/>
        </w:rPr>
      </w:pPr>
    </w:p>
    <w:p w:rsidR="00DF418C" w:rsidP="00DF418C" w14:paraId="2859E3F5" w14:textId="24E8D00B">
      <w:pPr>
        <w:ind w:left="1080"/>
        <w:rPr>
          <w:sz w:val="24"/>
        </w:rPr>
      </w:pPr>
      <w:r>
        <w:rPr>
          <w:sz w:val="24"/>
        </w:rPr>
        <w:t xml:space="preserve">Institutions </w:t>
      </w:r>
      <w:r w:rsidR="00304292">
        <w:rPr>
          <w:sz w:val="24"/>
        </w:rPr>
        <w:t>or organizations that register one or more IRBs</w:t>
      </w:r>
      <w:r>
        <w:rPr>
          <w:sz w:val="24"/>
        </w:rPr>
        <w:t xml:space="preserve"> submit all information for initial </w:t>
      </w:r>
      <w:r w:rsidR="00804670">
        <w:rPr>
          <w:sz w:val="24"/>
        </w:rPr>
        <w:t>IRB registration</w:t>
      </w:r>
      <w:r>
        <w:rPr>
          <w:sz w:val="24"/>
        </w:rPr>
        <w:t xml:space="preserve">, or </w:t>
      </w:r>
      <w:r w:rsidR="0069406A">
        <w:rPr>
          <w:sz w:val="24"/>
        </w:rPr>
        <w:t xml:space="preserve">IRB registration </w:t>
      </w:r>
      <w:r>
        <w:rPr>
          <w:sz w:val="24"/>
        </w:rPr>
        <w:t xml:space="preserve">updates and renewals, via the </w:t>
      </w:r>
      <w:r>
        <w:rPr>
          <w:sz w:val="24"/>
        </w:rPr>
        <w:t>eFile</w:t>
      </w:r>
      <w:r>
        <w:rPr>
          <w:sz w:val="24"/>
        </w:rPr>
        <w:t xml:space="preserve"> web application on the OHRP website.</w:t>
      </w:r>
      <w:r w:rsidR="00B61921">
        <w:rPr>
          <w:sz w:val="24"/>
        </w:rPr>
        <w:t xml:space="preserve"> </w:t>
      </w:r>
      <w:r>
        <w:rPr>
          <w:sz w:val="24"/>
        </w:rPr>
        <w:t xml:space="preserve">This eliminates the need for submission of paperwork, except for rare institutions that lack the ability to submit their </w:t>
      </w:r>
      <w:r w:rsidR="000435A6">
        <w:rPr>
          <w:sz w:val="24"/>
        </w:rPr>
        <w:t>I</w:t>
      </w:r>
      <w:r w:rsidR="00B552DB">
        <w:rPr>
          <w:sz w:val="24"/>
        </w:rPr>
        <w:t>RB registration</w:t>
      </w:r>
      <w:r>
        <w:rPr>
          <w:sz w:val="24"/>
        </w:rPr>
        <w:t xml:space="preserve"> electronically. All </w:t>
      </w:r>
      <w:r w:rsidR="00B61921">
        <w:rPr>
          <w:sz w:val="24"/>
        </w:rPr>
        <w:t>I</w:t>
      </w:r>
      <w:r w:rsidR="006129A8">
        <w:rPr>
          <w:sz w:val="24"/>
        </w:rPr>
        <w:t>RB registration</w:t>
      </w:r>
      <w:r>
        <w:rPr>
          <w:sz w:val="24"/>
        </w:rPr>
        <w:t xml:space="preserve"> applications </w:t>
      </w:r>
      <w:r w:rsidR="00045362">
        <w:rPr>
          <w:sz w:val="24"/>
        </w:rPr>
        <w:t xml:space="preserve">were </w:t>
      </w:r>
      <w:r>
        <w:rPr>
          <w:sz w:val="24"/>
        </w:rPr>
        <w:t>submitted electronically for the current approved collection period and OHRP anticipates that all institutions will continue to submit information electronically.</w:t>
      </w:r>
    </w:p>
    <w:p w:rsidR="00785FF2" w:rsidP="00C3526A" w14:paraId="2F2E3A2A" w14:textId="77777777">
      <w:pPr>
        <w:ind w:left="1080"/>
        <w:rPr>
          <w:sz w:val="24"/>
        </w:rPr>
      </w:pPr>
    </w:p>
    <w:p w:rsidR="00785FF2" w:rsidP="00E53E93" w14:paraId="1B7A18E7" w14:textId="77777777">
      <w:pPr>
        <w:ind w:left="1080"/>
        <w:rPr>
          <w:b/>
          <w:sz w:val="24"/>
        </w:rPr>
      </w:pPr>
      <w:r>
        <w:rPr>
          <w:b/>
          <w:sz w:val="24"/>
        </w:rPr>
        <w:t xml:space="preserve">FDA:  </w:t>
      </w:r>
    </w:p>
    <w:p w:rsidR="00785FF2" w14:paraId="361A1FE0" w14:textId="77777777">
      <w:pPr>
        <w:ind w:left="1080"/>
        <w:rPr>
          <w:b/>
          <w:sz w:val="24"/>
        </w:rPr>
      </w:pPr>
    </w:p>
    <w:p w:rsidR="00785FF2" w14:paraId="23459291" w14:textId="0D1C1136">
      <w:pPr>
        <w:ind w:left="1080"/>
        <w:rPr>
          <w:sz w:val="24"/>
        </w:rPr>
      </w:pPr>
      <w:r w:rsidRPr="0014204E">
        <w:rPr>
          <w:sz w:val="24"/>
        </w:rPr>
        <w:t xml:space="preserve">The collection of information </w:t>
      </w:r>
      <w:r w:rsidRPr="0014204E" w:rsidR="006A0EC9">
        <w:rPr>
          <w:sz w:val="24"/>
        </w:rPr>
        <w:t>relies</w:t>
      </w:r>
      <w:r w:rsidRPr="0014204E">
        <w:rPr>
          <w:sz w:val="24"/>
        </w:rPr>
        <w:t xml:space="preserve"> primarily on the use of electronic collection techniques.</w:t>
      </w:r>
      <w:r w:rsidRPr="0014204E" w:rsidR="003D3546">
        <w:rPr>
          <w:sz w:val="24"/>
        </w:rPr>
        <w:t xml:space="preserve">  </w:t>
      </w:r>
      <w:r w:rsidRPr="0014204E">
        <w:rPr>
          <w:sz w:val="24"/>
        </w:rPr>
        <w:t xml:space="preserve">FDA’s </w:t>
      </w:r>
      <w:r w:rsidRPr="0014204E" w:rsidR="00D03653">
        <w:rPr>
          <w:sz w:val="24"/>
        </w:rPr>
        <w:t>IRB registration requirements</w:t>
      </w:r>
      <w:r w:rsidRPr="0014204E" w:rsidR="0061445D">
        <w:rPr>
          <w:sz w:val="24"/>
        </w:rPr>
        <w:t xml:space="preserve"> at 21 CFR 56.106(d)</w:t>
      </w:r>
      <w:r w:rsidRPr="0014204E" w:rsidR="00D03653">
        <w:rPr>
          <w:sz w:val="24"/>
        </w:rPr>
        <w:t xml:space="preserve"> </w:t>
      </w:r>
      <w:r w:rsidRPr="005A2974">
        <w:rPr>
          <w:sz w:val="24"/>
        </w:rPr>
        <w:t>allow IRBs to register in writing if they lack the ability to register electronically.</w:t>
      </w:r>
    </w:p>
    <w:p w:rsidR="00C70B23" w14:paraId="02CA5C59" w14:textId="77777777">
      <w:pPr>
        <w:ind w:left="1080"/>
        <w:rPr>
          <w:sz w:val="24"/>
        </w:rPr>
      </w:pPr>
    </w:p>
    <w:p w:rsidR="00785FF2" w:rsidP="00C3526A" w14:paraId="3F149560" w14:textId="432CFFE8">
      <w:pPr>
        <w:numPr>
          <w:ilvl w:val="0"/>
          <w:numId w:val="8"/>
        </w:numPr>
        <w:tabs>
          <w:tab w:val="clear" w:pos="1080"/>
          <w:tab w:val="num" w:pos="1440"/>
        </w:tabs>
        <w:rPr>
          <w:sz w:val="24"/>
        </w:rPr>
      </w:pPr>
      <w:r>
        <w:rPr>
          <w:sz w:val="24"/>
          <w:u w:val="single"/>
        </w:rPr>
        <w:t>Efforts to Identify Duplication</w:t>
      </w:r>
      <w:r w:rsidR="00F35733">
        <w:rPr>
          <w:sz w:val="24"/>
          <w:u w:val="single"/>
        </w:rPr>
        <w:t xml:space="preserve"> and Use of Similar Information</w:t>
      </w:r>
    </w:p>
    <w:p w:rsidR="00785FF2" w:rsidP="00E53E93" w14:paraId="13B34F68" w14:textId="77777777">
      <w:pPr>
        <w:ind w:left="1080"/>
        <w:rPr>
          <w:sz w:val="24"/>
        </w:rPr>
      </w:pPr>
    </w:p>
    <w:p w:rsidR="00785FF2" w:rsidP="00E53E93" w14:paraId="60F9FFDA" w14:textId="32FEAAD2">
      <w:pPr>
        <w:ind w:left="1080"/>
        <w:rPr>
          <w:sz w:val="24"/>
        </w:rPr>
      </w:pPr>
      <w:r>
        <w:rPr>
          <w:sz w:val="24"/>
        </w:rPr>
        <w:t>The IRB Registration Form does not duplicate any other information collection by OHRP or by FDA</w:t>
      </w:r>
      <w:r>
        <w:rPr>
          <w:b/>
          <w:sz w:val="24"/>
        </w:rPr>
        <w:t xml:space="preserve">.  </w:t>
      </w:r>
    </w:p>
    <w:p w:rsidR="00785FF2" w14:paraId="71D93B70" w14:textId="77777777">
      <w:pPr>
        <w:ind w:left="1080"/>
        <w:rPr>
          <w:sz w:val="24"/>
        </w:rPr>
      </w:pPr>
    </w:p>
    <w:p w:rsidR="00785FF2" w:rsidP="00C3526A" w14:paraId="35CA3172" w14:textId="39BE00F6">
      <w:pPr>
        <w:numPr>
          <w:ilvl w:val="0"/>
          <w:numId w:val="8"/>
        </w:numPr>
        <w:tabs>
          <w:tab w:val="clear" w:pos="1080"/>
          <w:tab w:val="num" w:pos="1440"/>
        </w:tabs>
        <w:rPr>
          <w:sz w:val="24"/>
        </w:rPr>
      </w:pPr>
      <w:r w:rsidRPr="009A6778">
        <w:rPr>
          <w:sz w:val="24"/>
          <w:u w:val="single"/>
        </w:rPr>
        <w:t xml:space="preserve">Impact on </w:t>
      </w:r>
      <w:r>
        <w:rPr>
          <w:sz w:val="24"/>
          <w:u w:val="single"/>
        </w:rPr>
        <w:t>Small Businesses</w:t>
      </w:r>
      <w:r>
        <w:rPr>
          <w:sz w:val="24"/>
          <w:u w:val="single"/>
        </w:rPr>
        <w:t xml:space="preserve"> or Other Small Entities</w:t>
      </w:r>
    </w:p>
    <w:p w:rsidR="00785FF2" w:rsidP="00E53E93" w14:paraId="28D7C2B3" w14:textId="77777777">
      <w:pPr>
        <w:ind w:left="1080"/>
        <w:rPr>
          <w:sz w:val="24"/>
        </w:rPr>
      </w:pPr>
    </w:p>
    <w:p w:rsidR="00785FF2" w14:paraId="78551029" w14:textId="0C6AD3B9">
      <w:pPr>
        <w:ind w:left="1080"/>
        <w:rPr>
          <w:sz w:val="24"/>
        </w:rPr>
      </w:pPr>
      <w:r>
        <w:rPr>
          <w:sz w:val="24"/>
        </w:rPr>
        <w:t xml:space="preserve">The information collection through the IRB Registration Form represents the minimum amount of information necessary to satisfy </w:t>
      </w:r>
      <w:r w:rsidR="003F2F51">
        <w:rPr>
          <w:sz w:val="24"/>
        </w:rPr>
        <w:t>OHRP</w:t>
      </w:r>
      <w:r w:rsidR="00460713">
        <w:rPr>
          <w:sz w:val="24"/>
        </w:rPr>
        <w:t xml:space="preserve"> and FDA</w:t>
      </w:r>
      <w:r w:rsidR="00E03637">
        <w:rPr>
          <w:sz w:val="24"/>
        </w:rPr>
        <w:t xml:space="preserve"> IRB</w:t>
      </w:r>
      <w:r w:rsidR="00460713">
        <w:rPr>
          <w:sz w:val="24"/>
        </w:rPr>
        <w:t xml:space="preserve"> </w:t>
      </w:r>
      <w:r w:rsidR="003F2F51">
        <w:rPr>
          <w:sz w:val="24"/>
        </w:rPr>
        <w:t>r</w:t>
      </w:r>
      <w:r w:rsidR="00460713">
        <w:rPr>
          <w:sz w:val="24"/>
        </w:rPr>
        <w:t xml:space="preserve">egistration </w:t>
      </w:r>
      <w:r w:rsidR="003F0C48">
        <w:rPr>
          <w:sz w:val="24"/>
        </w:rPr>
        <w:t>r</w:t>
      </w:r>
      <w:r w:rsidR="00460713">
        <w:rPr>
          <w:sz w:val="24"/>
        </w:rPr>
        <w:t>equirement</w:t>
      </w:r>
      <w:r w:rsidR="00A64BC9">
        <w:rPr>
          <w:sz w:val="24"/>
        </w:rPr>
        <w:t>s</w:t>
      </w:r>
      <w:r>
        <w:rPr>
          <w:sz w:val="24"/>
        </w:rPr>
        <w:t xml:space="preserve">. </w:t>
      </w:r>
      <w:r w:rsidR="00A64BC9">
        <w:rPr>
          <w:sz w:val="24"/>
        </w:rPr>
        <w:t>T</w:t>
      </w:r>
      <w:r>
        <w:rPr>
          <w:sz w:val="24"/>
        </w:rPr>
        <w:t>he information collection will not have a significant economic impact o</w:t>
      </w:r>
      <w:r w:rsidR="00493F12">
        <w:rPr>
          <w:sz w:val="24"/>
        </w:rPr>
        <w:t xml:space="preserve">n </w:t>
      </w:r>
      <w:r>
        <w:rPr>
          <w:sz w:val="24"/>
        </w:rPr>
        <w:t xml:space="preserve">small entities.  </w:t>
      </w:r>
    </w:p>
    <w:p w:rsidR="00785FF2" w14:paraId="7259EB81" w14:textId="77777777">
      <w:pPr>
        <w:ind w:left="1080"/>
        <w:rPr>
          <w:sz w:val="24"/>
        </w:rPr>
      </w:pPr>
    </w:p>
    <w:p w:rsidR="00785FF2" w:rsidP="00C3526A" w14:paraId="7EACA261" w14:textId="5D538059">
      <w:pPr>
        <w:numPr>
          <w:ilvl w:val="0"/>
          <w:numId w:val="8"/>
        </w:numPr>
        <w:tabs>
          <w:tab w:val="clear" w:pos="1080"/>
          <w:tab w:val="num" w:pos="1440"/>
        </w:tabs>
        <w:rPr>
          <w:sz w:val="24"/>
        </w:rPr>
      </w:pPr>
      <w:r>
        <w:rPr>
          <w:sz w:val="24"/>
          <w:u w:val="single"/>
        </w:rPr>
        <w:t xml:space="preserve">Consequences of Collecting </w:t>
      </w:r>
      <w:r>
        <w:rPr>
          <w:sz w:val="24"/>
          <w:u w:val="single"/>
        </w:rPr>
        <w:t>the Information</w:t>
      </w:r>
      <w:r w:rsidR="009A6778">
        <w:rPr>
          <w:sz w:val="24"/>
          <w:u w:val="single"/>
        </w:rPr>
        <w:t xml:space="preserve"> </w:t>
      </w:r>
      <w:r w:rsidR="00DC499F">
        <w:rPr>
          <w:sz w:val="24"/>
          <w:u w:val="single"/>
        </w:rPr>
        <w:t>Less Frequently</w:t>
      </w:r>
    </w:p>
    <w:p w:rsidR="00785FF2" w:rsidP="00E53E93" w14:paraId="3FDE6072" w14:textId="77777777">
      <w:pPr>
        <w:ind w:left="1080"/>
        <w:rPr>
          <w:sz w:val="24"/>
        </w:rPr>
      </w:pPr>
    </w:p>
    <w:p w:rsidR="00785FF2" w14:paraId="5126BCF8" w14:textId="77777777">
      <w:pPr>
        <w:ind w:left="1080"/>
        <w:rPr>
          <w:b/>
          <w:sz w:val="24"/>
        </w:rPr>
      </w:pPr>
      <w:r>
        <w:rPr>
          <w:b/>
          <w:sz w:val="24"/>
        </w:rPr>
        <w:t>OHRP:</w:t>
      </w:r>
    </w:p>
    <w:p w:rsidR="00785FF2" w14:paraId="562C61D7" w14:textId="77777777">
      <w:pPr>
        <w:ind w:left="1080"/>
        <w:rPr>
          <w:b/>
          <w:sz w:val="24"/>
        </w:rPr>
      </w:pPr>
    </w:p>
    <w:p w:rsidR="009210EF" w:rsidP="009210EF" w14:paraId="42B75758" w14:textId="0412CD58">
      <w:pPr>
        <w:ind w:left="1080"/>
        <w:rPr>
          <w:sz w:val="24"/>
        </w:rPr>
      </w:pPr>
      <w:r>
        <w:rPr>
          <w:sz w:val="24"/>
        </w:rPr>
        <w:t xml:space="preserve">The information collection schedule supports agency regulations pertaining to </w:t>
      </w:r>
      <w:r w:rsidR="000532ED">
        <w:rPr>
          <w:sz w:val="24"/>
        </w:rPr>
        <w:t>IRB registration</w:t>
      </w:r>
      <w:r>
        <w:rPr>
          <w:sz w:val="24"/>
        </w:rPr>
        <w:t xml:space="preserve"> requirements as set forth in</w:t>
      </w:r>
      <w:r w:rsidR="007252A4">
        <w:rPr>
          <w:sz w:val="24"/>
        </w:rPr>
        <w:t xml:space="preserve"> the HHS regulations at</w:t>
      </w:r>
      <w:r>
        <w:rPr>
          <w:sz w:val="24"/>
        </w:rPr>
        <w:t xml:space="preserve"> 45 CFR</w:t>
      </w:r>
      <w:r w:rsidR="007252A4">
        <w:rPr>
          <w:sz w:val="24"/>
        </w:rPr>
        <w:t xml:space="preserve"> part</w:t>
      </w:r>
      <w:r>
        <w:rPr>
          <w:sz w:val="24"/>
        </w:rPr>
        <w:t xml:space="preserve"> 46</w:t>
      </w:r>
      <w:r w:rsidR="007252A4">
        <w:rPr>
          <w:sz w:val="24"/>
        </w:rPr>
        <w:t xml:space="preserve">, </w:t>
      </w:r>
      <w:r w:rsidR="00F373DC">
        <w:rPr>
          <w:sz w:val="24"/>
        </w:rPr>
        <w:t>Subpart E</w:t>
      </w:r>
      <w:r>
        <w:rPr>
          <w:sz w:val="24"/>
        </w:rPr>
        <w:t xml:space="preserve">. </w:t>
      </w:r>
    </w:p>
    <w:p w:rsidR="00785FF2" w14:paraId="03CD12C9" w14:textId="77777777">
      <w:pPr>
        <w:ind w:left="1080"/>
        <w:rPr>
          <w:b/>
          <w:sz w:val="24"/>
        </w:rPr>
      </w:pPr>
    </w:p>
    <w:p w:rsidR="00785FF2" w14:paraId="6D566CFA" w14:textId="77777777">
      <w:pPr>
        <w:ind w:left="1080"/>
        <w:rPr>
          <w:b/>
          <w:sz w:val="24"/>
        </w:rPr>
      </w:pPr>
      <w:r>
        <w:rPr>
          <w:b/>
          <w:sz w:val="24"/>
        </w:rPr>
        <w:t xml:space="preserve">FDA: </w:t>
      </w:r>
    </w:p>
    <w:p w:rsidR="00785FF2" w14:paraId="279FA95C" w14:textId="77777777">
      <w:pPr>
        <w:ind w:left="1080"/>
        <w:rPr>
          <w:b/>
          <w:sz w:val="24"/>
        </w:rPr>
      </w:pPr>
    </w:p>
    <w:p w:rsidR="00785FF2" w14:paraId="3330EFAF" w14:textId="031E0A67">
      <w:pPr>
        <w:ind w:left="1080"/>
        <w:rPr>
          <w:sz w:val="24"/>
        </w:rPr>
      </w:pPr>
      <w:r>
        <w:rPr>
          <w:sz w:val="24"/>
        </w:rPr>
        <w:t xml:space="preserve">The information collection schedule supports agency regulations pertaining to IRB registration requirements as set forth in the FDA regulations at </w:t>
      </w:r>
      <w:r w:rsidR="00A61730">
        <w:rPr>
          <w:sz w:val="24"/>
        </w:rPr>
        <w:t>21 CFR 56.106.</w:t>
      </w:r>
    </w:p>
    <w:p w:rsidR="00785FF2" w14:paraId="7767EE6D" w14:textId="77777777">
      <w:pPr>
        <w:ind w:left="1080"/>
        <w:rPr>
          <w:b/>
          <w:sz w:val="24"/>
        </w:rPr>
      </w:pPr>
    </w:p>
    <w:p w:rsidR="00785FF2" w:rsidP="00C3526A" w14:paraId="6932D457" w14:textId="36A88648">
      <w:pPr>
        <w:numPr>
          <w:ilvl w:val="0"/>
          <w:numId w:val="8"/>
        </w:numPr>
        <w:tabs>
          <w:tab w:val="clear" w:pos="1080"/>
          <w:tab w:val="num" w:pos="1800"/>
        </w:tabs>
        <w:rPr>
          <w:sz w:val="24"/>
        </w:rPr>
      </w:pPr>
      <w:r>
        <w:rPr>
          <w:sz w:val="24"/>
          <w:u w:val="single"/>
        </w:rPr>
        <w:t>Special Circumstances</w:t>
      </w:r>
      <w:r w:rsidR="00F35733">
        <w:rPr>
          <w:sz w:val="24"/>
          <w:u w:val="single"/>
        </w:rPr>
        <w:t xml:space="preserve"> Relating to the Guidelines of 5 CFR 1320.5</w:t>
      </w:r>
    </w:p>
    <w:p w:rsidR="00785FF2" w:rsidP="00E53E93" w14:paraId="5E08FA7A" w14:textId="77777777">
      <w:pPr>
        <w:ind w:left="1080"/>
        <w:rPr>
          <w:sz w:val="24"/>
        </w:rPr>
      </w:pPr>
    </w:p>
    <w:p w:rsidR="00785FF2" w14:paraId="197DF13D" w14:textId="3AF8B5AC">
      <w:pPr>
        <w:ind w:left="1080"/>
        <w:rPr>
          <w:sz w:val="24"/>
        </w:rPr>
      </w:pPr>
      <w:r>
        <w:rPr>
          <w:sz w:val="24"/>
        </w:rPr>
        <w:t>There are no special circumstances</w:t>
      </w:r>
      <w:r w:rsidR="009A6778">
        <w:rPr>
          <w:sz w:val="24"/>
        </w:rPr>
        <w:t xml:space="preserve"> for this information collection</w:t>
      </w:r>
      <w:r>
        <w:rPr>
          <w:sz w:val="24"/>
        </w:rPr>
        <w:t>.</w:t>
      </w:r>
    </w:p>
    <w:p w:rsidR="00785FF2" w:rsidP="00C3526A" w14:paraId="0F9C7F9D" w14:textId="77777777">
      <w:pPr>
        <w:ind w:left="1080"/>
        <w:rPr>
          <w:sz w:val="24"/>
        </w:rPr>
      </w:pPr>
      <w:r>
        <w:rPr>
          <w:sz w:val="24"/>
        </w:rPr>
        <w:tab/>
      </w:r>
      <w:r>
        <w:rPr>
          <w:sz w:val="24"/>
        </w:rPr>
        <w:tab/>
      </w:r>
    </w:p>
    <w:p w:rsidR="00785FF2" w:rsidP="00C3526A" w14:paraId="01D86455" w14:textId="4F0B83BA">
      <w:pPr>
        <w:numPr>
          <w:ilvl w:val="0"/>
          <w:numId w:val="8"/>
        </w:numPr>
        <w:tabs>
          <w:tab w:val="clear" w:pos="1080"/>
          <w:tab w:val="num" w:pos="1800"/>
        </w:tabs>
        <w:rPr>
          <w:sz w:val="24"/>
        </w:rPr>
      </w:pPr>
      <w:r>
        <w:rPr>
          <w:iCs/>
          <w:sz w:val="24"/>
          <w:u w:val="single"/>
        </w:rPr>
        <w:t xml:space="preserve">Comments in Response to the </w:t>
      </w:r>
      <w:r>
        <w:rPr>
          <w:iCs/>
          <w:sz w:val="24"/>
          <w:u w:val="single"/>
        </w:rPr>
        <w:t>Federal Register</w:t>
      </w:r>
      <w:r>
        <w:rPr>
          <w:sz w:val="24"/>
          <w:u w:val="single"/>
        </w:rPr>
        <w:t xml:space="preserve"> Notice/Outside Consultation</w:t>
      </w:r>
    </w:p>
    <w:p w:rsidR="00785FF2" w:rsidP="00C3526A" w14:paraId="658DD07E" w14:textId="77777777">
      <w:pPr>
        <w:ind w:left="1080"/>
        <w:rPr>
          <w:sz w:val="24"/>
        </w:rPr>
      </w:pPr>
    </w:p>
    <w:p w:rsidR="00CE095D" w:rsidP="00E53E93" w14:paraId="0C8453C9" w14:textId="77777777">
      <w:pPr>
        <w:ind w:left="1080"/>
        <w:rPr>
          <w:b/>
          <w:sz w:val="24"/>
        </w:rPr>
      </w:pPr>
      <w:r>
        <w:rPr>
          <w:b/>
          <w:sz w:val="24"/>
        </w:rPr>
        <w:t>OHRP and FDA:</w:t>
      </w:r>
    </w:p>
    <w:p w:rsidR="00785FF2" w:rsidP="00C3526A" w14:paraId="4B8F009D" w14:textId="77777777">
      <w:pPr>
        <w:ind w:left="1080" w:firstLine="360"/>
        <w:rPr>
          <w:b/>
          <w:sz w:val="24"/>
        </w:rPr>
      </w:pPr>
    </w:p>
    <w:p w:rsidR="00B12E7D" w:rsidRPr="00CE73AA" w:rsidP="00CE73AA" w14:paraId="458D0AF4" w14:textId="6D15EA9A">
      <w:pPr>
        <w:pStyle w:val="BodyTextIndent2"/>
        <w:rPr>
          <w:i/>
          <w:iCs/>
        </w:rPr>
      </w:pPr>
      <w:r>
        <w:t xml:space="preserve">Comments on this information collection </w:t>
      </w:r>
      <w:r w:rsidR="005B2280">
        <w:t>were</w:t>
      </w:r>
      <w:r>
        <w:t xml:space="preserve"> solicited in the </w:t>
      </w:r>
      <w:r>
        <w:rPr>
          <w:i/>
          <w:iCs/>
        </w:rPr>
        <w:t>Federal Register</w:t>
      </w:r>
      <w:r w:rsidR="002064F2">
        <w:rPr>
          <w:i/>
          <w:iCs/>
        </w:rPr>
        <w:t xml:space="preserve"> </w:t>
      </w:r>
      <w:r w:rsidRPr="003F220D" w:rsidR="002064F2">
        <w:t>(90</w:t>
      </w:r>
      <w:r w:rsidR="002064F2">
        <w:t xml:space="preserve"> </w:t>
      </w:r>
      <w:r w:rsidRPr="003F220D" w:rsidR="002064F2">
        <w:t>FR</w:t>
      </w:r>
      <w:r w:rsidR="002064F2">
        <w:t xml:space="preserve"> </w:t>
      </w:r>
      <w:r w:rsidRPr="003F220D" w:rsidR="002064F2">
        <w:t>21784)</w:t>
      </w:r>
      <w:r>
        <w:rPr>
          <w:i/>
          <w:iCs/>
        </w:rPr>
        <w:t xml:space="preserve"> </w:t>
      </w:r>
      <w:r w:rsidRPr="00B802D6">
        <w:t xml:space="preserve">for a </w:t>
      </w:r>
      <w:r>
        <w:t>60-day period</w:t>
      </w:r>
      <w:r w:rsidR="005B2280">
        <w:t>, which ended on 07/21/202</w:t>
      </w:r>
      <w:r w:rsidR="002064F2">
        <w:t>5</w:t>
      </w:r>
      <w:r>
        <w:t>.</w:t>
      </w:r>
      <w:r w:rsidR="005B2280">
        <w:t xml:space="preserve"> </w:t>
      </w:r>
      <w:r w:rsidR="002064F2">
        <w:t>There were no comments submitted</w:t>
      </w:r>
      <w:r w:rsidR="005B2280">
        <w:t>.</w:t>
      </w:r>
    </w:p>
    <w:p w:rsidR="00F15545" w14:paraId="442B8034" w14:textId="4EEA08CF">
      <w:pPr>
        <w:ind w:left="1080"/>
        <w:rPr>
          <w:sz w:val="24"/>
        </w:rPr>
      </w:pPr>
    </w:p>
    <w:p w:rsidR="00785FF2" w:rsidP="00C3526A" w14:paraId="53E21658" w14:textId="086EFDC0">
      <w:pPr>
        <w:numPr>
          <w:ilvl w:val="0"/>
          <w:numId w:val="8"/>
        </w:numPr>
        <w:tabs>
          <w:tab w:val="clear" w:pos="1080"/>
          <w:tab w:val="num" w:pos="1800"/>
        </w:tabs>
        <w:rPr>
          <w:sz w:val="24"/>
        </w:rPr>
      </w:pPr>
      <w:r>
        <w:rPr>
          <w:sz w:val="24"/>
          <w:u w:val="single"/>
        </w:rPr>
        <w:t xml:space="preserve">Explanation of any </w:t>
      </w:r>
      <w:r>
        <w:rPr>
          <w:sz w:val="24"/>
          <w:u w:val="single"/>
        </w:rPr>
        <w:t>Payment/Gift to Respondent</w:t>
      </w:r>
      <w:r w:rsidR="00DC499F">
        <w:rPr>
          <w:sz w:val="24"/>
          <w:u w:val="single"/>
        </w:rPr>
        <w:t>s</w:t>
      </w:r>
    </w:p>
    <w:p w:rsidR="00785FF2" w:rsidP="00E53E93" w14:paraId="23800470" w14:textId="77777777">
      <w:pPr>
        <w:ind w:left="1080"/>
        <w:rPr>
          <w:sz w:val="24"/>
        </w:rPr>
      </w:pPr>
    </w:p>
    <w:p w:rsidR="00CE095D" w14:paraId="013707B2" w14:textId="77777777">
      <w:pPr>
        <w:ind w:left="1080"/>
        <w:rPr>
          <w:b/>
          <w:sz w:val="24"/>
        </w:rPr>
      </w:pPr>
      <w:r>
        <w:rPr>
          <w:b/>
          <w:sz w:val="24"/>
        </w:rPr>
        <w:t>OHRP and FDA:</w:t>
      </w:r>
    </w:p>
    <w:p w:rsidR="00CE095D" w14:paraId="372EE452" w14:textId="77777777">
      <w:pPr>
        <w:ind w:left="1080"/>
        <w:rPr>
          <w:sz w:val="24"/>
        </w:rPr>
      </w:pPr>
    </w:p>
    <w:p w:rsidR="00785FF2" w14:paraId="1CFA0186" w14:textId="77777777">
      <w:pPr>
        <w:pStyle w:val="BodyTextIndent2"/>
      </w:pPr>
      <w:r>
        <w:t>No payments or gifts are provided to the respondents.</w:t>
      </w:r>
    </w:p>
    <w:p w:rsidR="00785FF2" w:rsidP="00C3526A" w14:paraId="3E19278E" w14:textId="77777777">
      <w:pPr>
        <w:ind w:left="1080"/>
        <w:rPr>
          <w:sz w:val="24"/>
        </w:rPr>
      </w:pPr>
    </w:p>
    <w:p w:rsidR="00785FF2" w:rsidRPr="00CE095D" w:rsidP="00C3526A" w14:paraId="660F3D10" w14:textId="387992B1">
      <w:pPr>
        <w:numPr>
          <w:ilvl w:val="0"/>
          <w:numId w:val="8"/>
        </w:numPr>
        <w:tabs>
          <w:tab w:val="clear" w:pos="1080"/>
          <w:tab w:val="num" w:pos="2520"/>
        </w:tabs>
        <w:rPr>
          <w:sz w:val="24"/>
        </w:rPr>
      </w:pPr>
      <w:r>
        <w:rPr>
          <w:sz w:val="24"/>
          <w:u w:val="single"/>
        </w:rPr>
        <w:t>Confidentiality</w:t>
      </w:r>
    </w:p>
    <w:p w:rsidR="00CE095D" w:rsidP="00E53E93" w14:paraId="71A67DC7" w14:textId="77777777">
      <w:pPr>
        <w:ind w:left="1080"/>
        <w:rPr>
          <w:sz w:val="24"/>
          <w:u w:val="single"/>
        </w:rPr>
      </w:pPr>
    </w:p>
    <w:p w:rsidR="00CE095D" w14:paraId="1B343BDF" w14:textId="77777777">
      <w:pPr>
        <w:ind w:left="1080"/>
        <w:rPr>
          <w:b/>
          <w:sz w:val="24"/>
        </w:rPr>
      </w:pPr>
      <w:r>
        <w:rPr>
          <w:b/>
          <w:sz w:val="24"/>
        </w:rPr>
        <w:t>OHRP and FDA:</w:t>
      </w:r>
    </w:p>
    <w:p w:rsidR="00785FF2" w:rsidP="00C3526A" w14:paraId="3DE9A82A" w14:textId="77777777">
      <w:pPr>
        <w:ind w:left="1080"/>
        <w:rPr>
          <w:sz w:val="24"/>
        </w:rPr>
      </w:pPr>
    </w:p>
    <w:p w:rsidR="00DE2A52" w:rsidP="00E53E93" w14:paraId="126D2F3B" w14:textId="31B43D87">
      <w:pPr>
        <w:widowControl/>
        <w:autoSpaceDE/>
        <w:autoSpaceDN/>
        <w:adjustRightInd/>
        <w:ind w:left="1080"/>
        <w:rPr>
          <w:sz w:val="24"/>
        </w:rPr>
      </w:pPr>
      <w:r>
        <w:rPr>
          <w:sz w:val="24"/>
        </w:rPr>
        <w:t xml:space="preserve">The database used to </w:t>
      </w:r>
      <w:r w:rsidR="009B75F1">
        <w:rPr>
          <w:sz w:val="24"/>
        </w:rPr>
        <w:t xml:space="preserve">maintain </w:t>
      </w:r>
      <w:r w:rsidR="00884F61">
        <w:rPr>
          <w:sz w:val="24"/>
        </w:rPr>
        <w:t>and store IRB registration information, known as</w:t>
      </w:r>
      <w:r>
        <w:rPr>
          <w:sz w:val="24"/>
        </w:rPr>
        <w:t xml:space="preserve"> the Human Assurance Tracking System (HATS)</w:t>
      </w:r>
      <w:r w:rsidR="00884F61">
        <w:rPr>
          <w:sz w:val="24"/>
        </w:rPr>
        <w:t xml:space="preserve">, uses Microsoft SQL Server tables stored on a server that is hosted and maintained by the Center for Information Technology, National Institutes of Health.  </w:t>
      </w:r>
      <w:r>
        <w:rPr>
          <w:sz w:val="24"/>
        </w:rPr>
        <w:t xml:space="preserve">The HATS application screens and associated IRB registration tables/server utilize a username/password and appropriate session variables to access and </w:t>
      </w:r>
      <w:r w:rsidR="00884F61">
        <w:rPr>
          <w:sz w:val="24"/>
        </w:rPr>
        <w:t>modify the IRB registration information</w:t>
      </w:r>
      <w:r>
        <w:rPr>
          <w:sz w:val="24"/>
        </w:rPr>
        <w:t>. Without the appropriate username/password, unauthorized users will not gain access to the IRB registration database.</w:t>
      </w:r>
      <w:r>
        <w:rPr>
          <w:sz w:val="24"/>
        </w:rPr>
        <w:t xml:space="preserve">  </w:t>
      </w:r>
      <w:r w:rsidR="007E20B9">
        <w:rPr>
          <w:sz w:val="24"/>
        </w:rPr>
        <w:t>Requests f</w:t>
      </w:r>
      <w:r>
        <w:rPr>
          <w:sz w:val="24"/>
        </w:rPr>
        <w:t>o</w:t>
      </w:r>
      <w:r w:rsidR="007E20B9">
        <w:rPr>
          <w:sz w:val="24"/>
        </w:rPr>
        <w:t>r</w:t>
      </w:r>
      <w:r>
        <w:rPr>
          <w:sz w:val="24"/>
        </w:rPr>
        <w:t xml:space="preserve"> IRB Registration information</w:t>
      </w:r>
      <w:r w:rsidR="00A31741">
        <w:rPr>
          <w:sz w:val="24"/>
        </w:rPr>
        <w:t xml:space="preserve">, when provided, are </w:t>
      </w:r>
      <w:r w:rsidR="00A31741">
        <w:rPr>
          <w:sz w:val="24"/>
        </w:rPr>
        <w:t>present</w:t>
      </w:r>
      <w:r>
        <w:rPr>
          <w:sz w:val="24"/>
        </w:rPr>
        <w:t xml:space="preserve">ed via </w:t>
      </w:r>
      <w:r w:rsidR="00D64F54">
        <w:rPr>
          <w:sz w:val="24"/>
        </w:rPr>
        <w:t>spreadsheet</w:t>
      </w:r>
      <w:r>
        <w:rPr>
          <w:sz w:val="24"/>
        </w:rPr>
        <w:t xml:space="preserve"> </w:t>
      </w:r>
      <w:r w:rsidR="000217AE">
        <w:rPr>
          <w:sz w:val="24"/>
        </w:rPr>
        <w:t xml:space="preserve">or printed </w:t>
      </w:r>
      <w:r>
        <w:rPr>
          <w:sz w:val="24"/>
        </w:rPr>
        <w:t>reports or disk file</w:t>
      </w:r>
      <w:r w:rsidR="000D4580">
        <w:rPr>
          <w:sz w:val="24"/>
        </w:rPr>
        <w:t>s</w:t>
      </w:r>
      <w:r>
        <w:rPr>
          <w:sz w:val="24"/>
        </w:rPr>
        <w:t xml:space="preserve"> containing extracted information.</w:t>
      </w:r>
    </w:p>
    <w:p w:rsidR="00DE2A52" w14:paraId="01B99C1D" w14:textId="77777777">
      <w:pPr>
        <w:widowControl/>
        <w:autoSpaceDE/>
        <w:autoSpaceDN/>
        <w:adjustRightInd/>
        <w:ind w:left="1080"/>
        <w:rPr>
          <w:sz w:val="24"/>
        </w:rPr>
      </w:pPr>
    </w:p>
    <w:p w:rsidR="00785FF2" w14:paraId="48A6C86C" w14:textId="7B983D02">
      <w:pPr>
        <w:widowControl/>
        <w:autoSpaceDE/>
        <w:autoSpaceDN/>
        <w:adjustRightInd/>
        <w:ind w:left="1080"/>
        <w:rPr>
          <w:sz w:val="24"/>
        </w:rPr>
      </w:pPr>
      <w:r>
        <w:rPr>
          <w:sz w:val="24"/>
        </w:rPr>
        <w:t xml:space="preserve">The public can </w:t>
      </w:r>
      <w:r w:rsidR="00884F61">
        <w:rPr>
          <w:sz w:val="24"/>
        </w:rPr>
        <w:t>access some</w:t>
      </w:r>
      <w:r w:rsidR="007944BF">
        <w:rPr>
          <w:sz w:val="24"/>
        </w:rPr>
        <w:t xml:space="preserve"> IRB registration information from the internet </w:t>
      </w:r>
      <w:r w:rsidRPr="007E20B9" w:rsidR="007944BF">
        <w:rPr>
          <w:sz w:val="24"/>
        </w:rPr>
        <w:t xml:space="preserve">at </w:t>
      </w:r>
      <w:hyperlink r:id="rId9" w:history="1">
        <w:r w:rsidRPr="007E20B9" w:rsidR="007944BF">
          <w:rPr>
            <w:rStyle w:val="Hyperlink"/>
            <w:sz w:val="24"/>
          </w:rPr>
          <w:t>http://ohrp.cit.nih.gov/search/search.aspx?styp=bsc</w:t>
        </w:r>
      </w:hyperlink>
      <w:r w:rsidR="007944BF">
        <w:rPr>
          <w:sz w:val="24"/>
        </w:rPr>
        <w:t xml:space="preserve"> (e.g., </w:t>
      </w:r>
      <w:r w:rsidRPr="007E20B9" w:rsidR="007944BF">
        <w:rPr>
          <w:sz w:val="24"/>
        </w:rPr>
        <w:t>the name</w:t>
      </w:r>
      <w:r w:rsidR="007944BF">
        <w:rPr>
          <w:sz w:val="24"/>
        </w:rPr>
        <w:t xml:space="preserve"> and location of IRB organizations and their IRB(s) name, date of last IRB membership update, IRB organizations and their IRB(s) status (active or deactivated) and expiration date).  </w:t>
      </w:r>
      <w:r w:rsidRPr="007E20B9">
        <w:rPr>
          <w:sz w:val="24"/>
        </w:rPr>
        <w:t xml:space="preserve">  </w:t>
      </w:r>
      <w:r w:rsidR="007944BF">
        <w:rPr>
          <w:sz w:val="24"/>
        </w:rPr>
        <w:t xml:space="preserve">The public would need to contact OHRP to request non-public IRB registration information (e.g., the name or contact information of an </w:t>
      </w:r>
      <w:r w:rsidR="00DC499F">
        <w:rPr>
          <w:sz w:val="24"/>
        </w:rPr>
        <w:t>IRB o</w:t>
      </w:r>
      <w:r w:rsidR="007944BF">
        <w:rPr>
          <w:sz w:val="24"/>
        </w:rPr>
        <w:t>rganization’s s</w:t>
      </w:r>
      <w:r w:rsidR="00DE2A52">
        <w:rPr>
          <w:sz w:val="24"/>
        </w:rPr>
        <w:t xml:space="preserve">enior </w:t>
      </w:r>
      <w:r w:rsidR="007944BF">
        <w:rPr>
          <w:sz w:val="24"/>
        </w:rPr>
        <w:t>o</w:t>
      </w:r>
      <w:r w:rsidR="00DC499F">
        <w:rPr>
          <w:sz w:val="24"/>
        </w:rPr>
        <w:t>fficer, contact person or IRB chairperson)</w:t>
      </w:r>
      <w:r w:rsidR="00F5237D">
        <w:rPr>
          <w:sz w:val="24"/>
        </w:rPr>
        <w:t xml:space="preserve">. </w:t>
      </w:r>
    </w:p>
    <w:p w:rsidR="00AC1360" w14:paraId="02D56A8D" w14:textId="69520360">
      <w:pPr>
        <w:widowControl/>
        <w:autoSpaceDE/>
        <w:autoSpaceDN/>
        <w:adjustRightInd/>
        <w:ind w:left="1080"/>
        <w:rPr>
          <w:sz w:val="24"/>
        </w:rPr>
      </w:pPr>
    </w:p>
    <w:p w:rsidR="00785FF2" w:rsidP="00C3526A" w14:paraId="260EEB4A" w14:textId="53F25A60">
      <w:pPr>
        <w:numPr>
          <w:ilvl w:val="0"/>
          <w:numId w:val="8"/>
        </w:numPr>
        <w:tabs>
          <w:tab w:val="clear" w:pos="1080"/>
          <w:tab w:val="num" w:pos="2520"/>
        </w:tabs>
        <w:rPr>
          <w:sz w:val="24"/>
        </w:rPr>
      </w:pPr>
      <w:r>
        <w:rPr>
          <w:sz w:val="24"/>
          <w:u w:val="single"/>
        </w:rPr>
        <w:t>Sensitive Questions</w:t>
      </w:r>
    </w:p>
    <w:p w:rsidR="00785FF2" w:rsidP="00E53E93" w14:paraId="2565405D" w14:textId="77777777">
      <w:pPr>
        <w:ind w:left="1080"/>
        <w:rPr>
          <w:sz w:val="24"/>
        </w:rPr>
      </w:pPr>
    </w:p>
    <w:p w:rsidR="00CE095D" w14:paraId="3862F864" w14:textId="77777777">
      <w:pPr>
        <w:ind w:left="1080"/>
        <w:rPr>
          <w:b/>
          <w:sz w:val="24"/>
        </w:rPr>
      </w:pPr>
      <w:r>
        <w:rPr>
          <w:b/>
          <w:sz w:val="24"/>
        </w:rPr>
        <w:t>OHRP and FDA:</w:t>
      </w:r>
    </w:p>
    <w:p w:rsidR="00CE095D" w14:paraId="47DFEE8B" w14:textId="77777777">
      <w:pPr>
        <w:ind w:left="1080"/>
        <w:rPr>
          <w:sz w:val="24"/>
        </w:rPr>
      </w:pPr>
    </w:p>
    <w:p w:rsidR="00785FF2" w14:paraId="74CF18A5" w14:textId="77777777">
      <w:pPr>
        <w:ind w:left="1080"/>
        <w:rPr>
          <w:sz w:val="24"/>
        </w:rPr>
      </w:pPr>
      <w:r>
        <w:rPr>
          <w:sz w:val="24"/>
        </w:rPr>
        <w:t>No sensitive information is being collected by the IRB registration system.</w:t>
      </w:r>
    </w:p>
    <w:p w:rsidR="00565EA6" w14:paraId="47F15D17" w14:textId="77777777">
      <w:pPr>
        <w:ind w:left="1080"/>
        <w:rPr>
          <w:sz w:val="24"/>
        </w:rPr>
      </w:pPr>
    </w:p>
    <w:p w:rsidR="00785FF2" w:rsidP="00C3526A" w14:paraId="118D0B9B" w14:textId="16AF2BE1">
      <w:pPr>
        <w:numPr>
          <w:ilvl w:val="0"/>
          <w:numId w:val="8"/>
        </w:numPr>
        <w:tabs>
          <w:tab w:val="clear" w:pos="1080"/>
          <w:tab w:val="num" w:pos="2160"/>
        </w:tabs>
        <w:rPr>
          <w:sz w:val="24"/>
        </w:rPr>
      </w:pPr>
      <w:r>
        <w:rPr>
          <w:sz w:val="24"/>
          <w:u w:val="single"/>
        </w:rPr>
        <w:t xml:space="preserve">Estimates of Annualized </w:t>
      </w:r>
      <w:r w:rsidR="00F35733">
        <w:rPr>
          <w:sz w:val="24"/>
          <w:u w:val="single"/>
        </w:rPr>
        <w:t>Hour</w:t>
      </w:r>
      <w:r>
        <w:rPr>
          <w:sz w:val="24"/>
          <w:u w:val="single"/>
        </w:rPr>
        <w:t xml:space="preserve"> and Cost</w:t>
      </w:r>
      <w:r w:rsidR="00F35733">
        <w:rPr>
          <w:sz w:val="24"/>
          <w:u w:val="single"/>
        </w:rPr>
        <w:t xml:space="preserve"> Burden</w:t>
      </w:r>
    </w:p>
    <w:p w:rsidR="00785FF2" w:rsidP="00C3526A" w14:paraId="6B030163" w14:textId="77777777">
      <w:pPr>
        <w:ind w:left="1080"/>
        <w:rPr>
          <w:sz w:val="24"/>
        </w:rPr>
      </w:pPr>
    </w:p>
    <w:p w:rsidR="00785FF2" w:rsidP="00E53E93" w14:paraId="6D592920" w14:textId="77777777">
      <w:pPr>
        <w:ind w:left="1080"/>
        <w:rPr>
          <w:b/>
          <w:sz w:val="24"/>
        </w:rPr>
      </w:pPr>
      <w:r>
        <w:rPr>
          <w:b/>
          <w:sz w:val="24"/>
        </w:rPr>
        <w:t>OHRP and FDA:</w:t>
      </w:r>
    </w:p>
    <w:p w:rsidR="00785FF2" w14:paraId="108B9BB3" w14:textId="77777777">
      <w:pPr>
        <w:ind w:left="1080"/>
        <w:rPr>
          <w:sz w:val="24"/>
        </w:rPr>
      </w:pPr>
    </w:p>
    <w:p w:rsidR="00B12E7D" w14:paraId="764D8935" w14:textId="0E77E1B8">
      <w:pPr>
        <w:pStyle w:val="BodyTextIndent2"/>
        <w:rPr>
          <w:color w:val="000000" w:themeColor="text1"/>
        </w:rPr>
      </w:pPr>
      <w:r>
        <w:rPr>
          <w:color w:val="000000" w:themeColor="text1"/>
        </w:rPr>
        <w:t xml:space="preserve">The estimate of the number of respondents is based upon the current number of IRBs registered with HHS, approximately </w:t>
      </w:r>
      <w:r w:rsidR="00716FC3">
        <w:rPr>
          <w:color w:val="000000" w:themeColor="text1"/>
        </w:rPr>
        <w:t>4,988</w:t>
      </w:r>
      <w:r w:rsidR="004529FC">
        <w:rPr>
          <w:color w:val="000000" w:themeColor="text1"/>
        </w:rPr>
        <w:t xml:space="preserve"> (as of </w:t>
      </w:r>
      <w:r w:rsidR="00716FC3">
        <w:rPr>
          <w:color w:val="000000" w:themeColor="text1"/>
        </w:rPr>
        <w:t>July</w:t>
      </w:r>
      <w:r w:rsidR="005A2974">
        <w:rPr>
          <w:color w:val="000000" w:themeColor="text1"/>
        </w:rPr>
        <w:t xml:space="preserve"> </w:t>
      </w:r>
      <w:r w:rsidR="00716FC3">
        <w:rPr>
          <w:color w:val="000000" w:themeColor="text1"/>
        </w:rPr>
        <w:t>13</w:t>
      </w:r>
      <w:r w:rsidR="002E4C3C">
        <w:rPr>
          <w:color w:val="000000" w:themeColor="text1"/>
        </w:rPr>
        <w:t xml:space="preserve">, </w:t>
      </w:r>
      <w:r w:rsidR="004529FC">
        <w:rPr>
          <w:color w:val="000000" w:themeColor="text1"/>
        </w:rPr>
        <w:t>202</w:t>
      </w:r>
      <w:r w:rsidR="00716FC3">
        <w:rPr>
          <w:color w:val="000000" w:themeColor="text1"/>
        </w:rPr>
        <w:t>6</w:t>
      </w:r>
      <w:r w:rsidR="004529FC">
        <w:rPr>
          <w:color w:val="000000" w:themeColor="text1"/>
        </w:rPr>
        <w:t>)</w:t>
      </w:r>
      <w:r>
        <w:rPr>
          <w:color w:val="000000" w:themeColor="text1"/>
        </w:rPr>
        <w:t>, and projecting that the number of respondents may increas</w:t>
      </w:r>
      <w:r w:rsidR="00B114C0">
        <w:rPr>
          <w:color w:val="000000" w:themeColor="text1"/>
        </w:rPr>
        <w:t>e</w:t>
      </w:r>
      <w:r>
        <w:rPr>
          <w:color w:val="000000" w:themeColor="text1"/>
        </w:rPr>
        <w:t xml:space="preserve"> to </w:t>
      </w:r>
      <w:r w:rsidR="00AB0D80">
        <w:rPr>
          <w:color w:val="000000" w:themeColor="text1"/>
        </w:rPr>
        <w:t>5</w:t>
      </w:r>
      <w:r w:rsidR="006F5455">
        <w:rPr>
          <w:color w:val="000000" w:themeColor="text1"/>
        </w:rPr>
        <w:t>,</w:t>
      </w:r>
      <w:r w:rsidR="00716FC3">
        <w:rPr>
          <w:color w:val="000000" w:themeColor="text1"/>
        </w:rPr>
        <w:t>350</w:t>
      </w:r>
      <w:r>
        <w:rPr>
          <w:color w:val="000000" w:themeColor="text1"/>
        </w:rPr>
        <w:t xml:space="preserve">. Of the approximately </w:t>
      </w:r>
      <w:r w:rsidR="00716FC3">
        <w:rPr>
          <w:color w:val="000000" w:themeColor="text1"/>
        </w:rPr>
        <w:t>4,988</w:t>
      </w:r>
      <w:r>
        <w:rPr>
          <w:color w:val="000000" w:themeColor="text1"/>
        </w:rPr>
        <w:t xml:space="preserve"> registered IRBs, 100% submitted their registration information electronically.</w:t>
      </w:r>
    </w:p>
    <w:p w:rsidR="00B12E7D" w14:paraId="05605183" w14:textId="2D50D87B">
      <w:pPr>
        <w:pStyle w:val="BodyTextIndent2"/>
        <w:rPr>
          <w:color w:val="000000" w:themeColor="text1"/>
        </w:rPr>
      </w:pPr>
    </w:p>
    <w:p w:rsidR="00F272C9" w:rsidRPr="0042584E" w:rsidP="00851B62" w14:paraId="0E9D7D07" w14:textId="7FE43E77">
      <w:pPr>
        <w:pStyle w:val="BodyTextIndent2"/>
        <w:rPr>
          <w:color w:val="000000" w:themeColor="text1"/>
        </w:rPr>
      </w:pPr>
      <w:r>
        <w:rPr>
          <w:color w:val="000000" w:themeColor="text1"/>
        </w:rPr>
        <w:t xml:space="preserve">Of the </w:t>
      </w:r>
      <w:r w:rsidR="00AB0D80">
        <w:rPr>
          <w:color w:val="000000" w:themeColor="text1"/>
        </w:rPr>
        <w:t>5,</w:t>
      </w:r>
      <w:r w:rsidR="00716FC3">
        <w:rPr>
          <w:color w:val="000000" w:themeColor="text1"/>
        </w:rPr>
        <w:t>350</w:t>
      </w:r>
      <w:r>
        <w:rPr>
          <w:color w:val="000000" w:themeColor="text1"/>
        </w:rPr>
        <w:t xml:space="preserve"> </w:t>
      </w:r>
      <w:r>
        <w:rPr>
          <w:color w:val="000000" w:themeColor="text1"/>
        </w:rPr>
        <w:t>projected respondent</w:t>
      </w:r>
      <w:r>
        <w:rPr>
          <w:color w:val="000000" w:themeColor="text1"/>
        </w:rPr>
        <w:t xml:space="preserve"> IRBs, </w:t>
      </w:r>
      <w:r w:rsidR="00716FC3">
        <w:rPr>
          <w:color w:val="000000" w:themeColor="text1"/>
        </w:rPr>
        <w:t xml:space="preserve">approximately </w:t>
      </w:r>
      <w:r>
        <w:rPr>
          <w:color w:val="000000" w:themeColor="text1"/>
        </w:rPr>
        <w:t>350</w:t>
      </w:r>
      <w:r w:rsidR="00716FC3">
        <w:rPr>
          <w:color w:val="000000" w:themeColor="text1"/>
        </w:rPr>
        <w:t xml:space="preserve"> institutions or organizations</w:t>
      </w:r>
      <w:r>
        <w:rPr>
          <w:color w:val="000000" w:themeColor="text1"/>
        </w:rPr>
        <w:t xml:space="preserve"> are expected</w:t>
      </w:r>
      <w:r w:rsidR="00D3352B">
        <w:rPr>
          <w:color w:val="000000" w:themeColor="text1"/>
        </w:rPr>
        <w:t xml:space="preserve"> </w:t>
      </w:r>
      <w:r>
        <w:rPr>
          <w:color w:val="000000" w:themeColor="text1"/>
        </w:rPr>
        <w:t>submit</w:t>
      </w:r>
      <w:r>
        <w:rPr>
          <w:color w:val="000000" w:themeColor="text1"/>
        </w:rPr>
        <w:t xml:space="preserve"> </w:t>
      </w:r>
      <w:r w:rsidR="00716FC3">
        <w:rPr>
          <w:color w:val="000000" w:themeColor="text1"/>
        </w:rPr>
        <w:t>IRB registration information for the first time</w:t>
      </w:r>
      <w:r w:rsidR="00D3352B">
        <w:rPr>
          <w:color w:val="000000" w:themeColor="text1"/>
        </w:rPr>
        <w:t>,</w:t>
      </w:r>
      <w:r w:rsidR="0059477C">
        <w:rPr>
          <w:color w:val="000000" w:themeColor="text1"/>
        </w:rPr>
        <w:t xml:space="preserve"> </w:t>
      </w:r>
      <w:r>
        <w:rPr>
          <w:color w:val="000000" w:themeColor="text1"/>
        </w:rPr>
        <w:t>and up to 5,</w:t>
      </w:r>
      <w:r w:rsidR="00716FC3">
        <w:rPr>
          <w:color w:val="000000" w:themeColor="text1"/>
        </w:rPr>
        <w:t>000 institutions or organizations</w:t>
      </w:r>
      <w:r>
        <w:rPr>
          <w:color w:val="000000" w:themeColor="text1"/>
        </w:rPr>
        <w:t xml:space="preserve"> are expected to update or renew</w:t>
      </w:r>
      <w:r w:rsidR="00217FEE">
        <w:rPr>
          <w:color w:val="000000" w:themeColor="text1"/>
        </w:rPr>
        <w:t xml:space="preserve"> their</w:t>
      </w:r>
      <w:r w:rsidR="00716FC3">
        <w:rPr>
          <w:color w:val="000000" w:themeColor="text1"/>
        </w:rPr>
        <w:t xml:space="preserve"> existing</w:t>
      </w:r>
      <w:r>
        <w:rPr>
          <w:color w:val="000000" w:themeColor="text1"/>
        </w:rPr>
        <w:t xml:space="preserve"> IRB registration </w:t>
      </w:r>
      <w:r w:rsidR="00217FEE">
        <w:rPr>
          <w:color w:val="000000" w:themeColor="text1"/>
        </w:rPr>
        <w:t>on</w:t>
      </w:r>
      <w:r w:rsidR="006F5455">
        <w:rPr>
          <w:color w:val="000000" w:themeColor="text1"/>
        </w:rPr>
        <w:t xml:space="preserve">ce each </w:t>
      </w:r>
      <w:r>
        <w:rPr>
          <w:color w:val="000000" w:themeColor="text1"/>
        </w:rPr>
        <w:t xml:space="preserve">year.  The </w:t>
      </w:r>
      <w:r w:rsidRPr="0042584E" w:rsidR="00992968">
        <w:rPr>
          <w:color w:val="000000" w:themeColor="text1"/>
        </w:rPr>
        <w:t>burden</w:t>
      </w:r>
      <w:r w:rsidRPr="0042584E" w:rsidR="000D4580">
        <w:rPr>
          <w:color w:val="000000" w:themeColor="text1"/>
        </w:rPr>
        <w:t xml:space="preserve"> </w:t>
      </w:r>
      <w:r w:rsidRPr="0042584E" w:rsidR="003C0B6E">
        <w:rPr>
          <w:color w:val="000000" w:themeColor="text1"/>
          <w:lang w:val="en"/>
        </w:rPr>
        <w:t xml:space="preserve">is estimated to average </w:t>
      </w:r>
      <w:r w:rsidR="002001D2">
        <w:rPr>
          <w:color w:val="000000" w:themeColor="text1"/>
          <w:lang w:val="en"/>
        </w:rPr>
        <w:t>0.5</w:t>
      </w:r>
      <w:r w:rsidR="00377F75">
        <w:rPr>
          <w:color w:val="000000" w:themeColor="text1"/>
          <w:lang w:val="en"/>
        </w:rPr>
        <w:t xml:space="preserve"> </w:t>
      </w:r>
      <w:r w:rsidRPr="0042584E" w:rsidR="003C0B6E">
        <w:rPr>
          <w:color w:val="000000" w:themeColor="text1"/>
          <w:lang w:val="en"/>
        </w:rPr>
        <w:t>hour</w:t>
      </w:r>
      <w:r w:rsidR="002001D2">
        <w:rPr>
          <w:color w:val="000000" w:themeColor="text1"/>
          <w:lang w:val="en"/>
        </w:rPr>
        <w:t>s</w:t>
      </w:r>
      <w:r w:rsidRPr="0042584E" w:rsidR="003C0B6E">
        <w:rPr>
          <w:color w:val="000000" w:themeColor="text1"/>
          <w:lang w:val="en"/>
        </w:rPr>
        <w:t xml:space="preserve"> for an initial IRB registration, and for updating or renewing the registration of a previously registered IRB.  </w:t>
      </w:r>
      <w:r w:rsidRPr="0042584E">
        <w:rPr>
          <w:color w:val="000000" w:themeColor="text1"/>
        </w:rPr>
        <w:t xml:space="preserve">If on average </w:t>
      </w:r>
      <w:r w:rsidRPr="0042584E" w:rsidR="008E4DB0">
        <w:rPr>
          <w:color w:val="000000" w:themeColor="text1"/>
        </w:rPr>
        <w:t>5,</w:t>
      </w:r>
      <w:r w:rsidR="007B0346">
        <w:rPr>
          <w:color w:val="000000" w:themeColor="text1"/>
        </w:rPr>
        <w:t>000</w:t>
      </w:r>
      <w:r w:rsidRPr="0042584E">
        <w:rPr>
          <w:color w:val="000000" w:themeColor="text1"/>
        </w:rPr>
        <w:t xml:space="preserve"> </w:t>
      </w:r>
      <w:r>
        <w:rPr>
          <w:color w:val="000000" w:themeColor="text1"/>
        </w:rPr>
        <w:t xml:space="preserve">previous </w:t>
      </w:r>
      <w:r w:rsidRPr="0042584E">
        <w:rPr>
          <w:color w:val="000000" w:themeColor="text1"/>
        </w:rPr>
        <w:t xml:space="preserve">respondents submit information </w:t>
      </w:r>
      <w:r w:rsidR="00217FEE">
        <w:rPr>
          <w:color w:val="000000" w:themeColor="text1"/>
        </w:rPr>
        <w:t>once</w:t>
      </w:r>
      <w:r w:rsidRPr="0042584E">
        <w:rPr>
          <w:color w:val="000000" w:themeColor="text1"/>
        </w:rPr>
        <w:t xml:space="preserve"> each year</w:t>
      </w:r>
      <w:r w:rsidR="0088788F">
        <w:rPr>
          <w:color w:val="000000" w:themeColor="text1"/>
        </w:rPr>
        <w:t>,</w:t>
      </w:r>
      <w:r w:rsidRPr="0042584E">
        <w:rPr>
          <w:color w:val="000000" w:themeColor="text1"/>
        </w:rPr>
        <w:t xml:space="preserve"> </w:t>
      </w:r>
      <w:r w:rsidRPr="0042584E" w:rsidR="008E4DB0">
        <w:rPr>
          <w:color w:val="000000" w:themeColor="text1"/>
        </w:rPr>
        <w:t xml:space="preserve">and on average </w:t>
      </w:r>
      <w:r>
        <w:rPr>
          <w:color w:val="000000" w:themeColor="text1"/>
        </w:rPr>
        <w:t>35</w:t>
      </w:r>
      <w:r w:rsidRPr="0042584E" w:rsidR="00C05F55">
        <w:rPr>
          <w:color w:val="000000" w:themeColor="text1"/>
        </w:rPr>
        <w:t>0 submit new registration information one time a year,</w:t>
      </w:r>
      <w:r w:rsidRPr="0042584E">
        <w:rPr>
          <w:color w:val="000000" w:themeColor="text1"/>
        </w:rPr>
        <w:t xml:space="preserve"> the total annual burden hours are projected to be </w:t>
      </w:r>
      <w:r w:rsidR="004C32F6">
        <w:rPr>
          <w:color w:val="000000" w:themeColor="text1"/>
        </w:rPr>
        <w:t>2,</w:t>
      </w:r>
      <w:r w:rsidR="007B0346">
        <w:rPr>
          <w:color w:val="000000" w:themeColor="text1"/>
        </w:rPr>
        <w:t>675</w:t>
      </w:r>
      <w:r w:rsidR="004C32F6">
        <w:rPr>
          <w:color w:val="000000" w:themeColor="text1"/>
        </w:rPr>
        <w:t xml:space="preserve"> </w:t>
      </w:r>
      <w:r w:rsidRPr="0042584E" w:rsidR="001E5EAD">
        <w:rPr>
          <w:color w:val="000000" w:themeColor="text1"/>
        </w:rPr>
        <w:t>hours</w:t>
      </w:r>
      <w:r w:rsidRPr="0042584E">
        <w:rPr>
          <w:color w:val="000000" w:themeColor="text1"/>
        </w:rPr>
        <w:t xml:space="preserve">.  </w:t>
      </w:r>
    </w:p>
    <w:p w:rsidR="00F272C9" w:rsidRPr="002944B4" w14:paraId="4AD2245F" w14:textId="77777777">
      <w:pPr>
        <w:pStyle w:val="BodyTextIndent2"/>
        <w:rPr>
          <w:color w:val="000000"/>
        </w:rPr>
      </w:pPr>
    </w:p>
    <w:p w:rsidR="00785FF2" w:rsidRPr="00F35733" w14:paraId="7ACA3E81" w14:textId="134B3993">
      <w:pPr>
        <w:pStyle w:val="BodyTextIndent2"/>
        <w:rPr>
          <w:b/>
          <w:color w:val="000000"/>
        </w:rPr>
      </w:pPr>
    </w:p>
    <w:p w:rsidR="00785FF2" w:rsidP="00C3526A" w14:paraId="3BCCCD94" w14:textId="693C4044">
      <w:pPr>
        <w:ind w:left="1080"/>
        <w:rPr>
          <w:b/>
          <w:sz w:val="24"/>
        </w:rPr>
      </w:pPr>
      <w:r>
        <w:t xml:space="preserve"> </w:t>
      </w:r>
      <w:r w:rsidR="009D71D0">
        <w:t xml:space="preserve">       </w:t>
      </w:r>
      <w:r w:rsidRPr="0075580F">
        <w:rPr>
          <w:b/>
          <w:sz w:val="24"/>
        </w:rPr>
        <w:t>12A.</w:t>
      </w:r>
      <w:r>
        <w:rPr>
          <w:b/>
          <w:sz w:val="24"/>
        </w:rPr>
        <w:t xml:space="preserve">  </w:t>
      </w:r>
      <w:r w:rsidRPr="0075580F" w:rsidR="003625C7">
        <w:rPr>
          <w:b/>
          <w:sz w:val="24"/>
        </w:rPr>
        <w:t xml:space="preserve">Total </w:t>
      </w:r>
      <w:r w:rsidRPr="0075580F">
        <w:rPr>
          <w:b/>
          <w:sz w:val="24"/>
        </w:rPr>
        <w:t>Estimated Annualized Burden Table</w:t>
      </w:r>
    </w:p>
    <w:p w:rsidR="009D71D0" w:rsidRPr="0075580F" w:rsidP="00C3526A" w14:paraId="477A6E6F" w14:textId="77777777">
      <w:pPr>
        <w:ind w:left="1080"/>
        <w:rPr>
          <w:b/>
          <w:sz w:val="24"/>
        </w:rPr>
      </w:pPr>
    </w:p>
    <w:tbl>
      <w:tblPr>
        <w:tblW w:w="9743" w:type="dxa"/>
        <w:tblInd w:w="1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36"/>
        <w:gridCol w:w="1800"/>
        <w:gridCol w:w="1527"/>
        <w:gridCol w:w="1620"/>
        <w:gridCol w:w="1440"/>
        <w:gridCol w:w="1620"/>
      </w:tblGrid>
      <w:tr w14:paraId="6EE78ECC" w14:textId="77777777" w:rsidTr="00D722B7">
        <w:tblPrEx>
          <w:tblW w:w="9743" w:type="dxa"/>
          <w:tblInd w:w="1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1736" w:type="dxa"/>
          </w:tcPr>
          <w:p w:rsidR="007B0346" w:rsidRPr="002944B4" w:rsidP="00E53E93" w14:paraId="3AF78434" w14:textId="723D46D3">
            <w:pPr>
              <w:pStyle w:val="BodyTextIndent"/>
              <w:ind w:left="0"/>
              <w:jc w:val="center"/>
              <w:rPr>
                <w:rFonts w:ascii="Times New Roman" w:hAnsi="Times New Roman"/>
                <w:bCs/>
                <w:color w:val="000000"/>
              </w:rPr>
            </w:pPr>
            <w:r w:rsidRPr="002944B4">
              <w:rPr>
                <w:rFonts w:ascii="Times New Roman" w:hAnsi="Times New Roman"/>
                <w:bCs/>
                <w:color w:val="000000"/>
              </w:rPr>
              <w:t>Form</w:t>
            </w:r>
            <w:r w:rsidRPr="002944B4">
              <w:rPr>
                <w:rFonts w:ascii="Times New Roman" w:hAnsi="Times New Roman"/>
                <w:bCs/>
                <w:color w:val="000000"/>
              </w:rPr>
              <w:t xml:space="preserve"> </w:t>
            </w:r>
          </w:p>
          <w:p w:rsidR="007B0346" w:rsidRPr="002944B4" w:rsidP="00E53E93" w14:paraId="449785C6" w14:textId="77777777">
            <w:pPr>
              <w:pStyle w:val="BodyTextIndent"/>
              <w:ind w:left="0"/>
              <w:jc w:val="center"/>
              <w:rPr>
                <w:rFonts w:ascii="Times New Roman" w:hAnsi="Times New Roman"/>
                <w:bCs/>
                <w:color w:val="000000"/>
              </w:rPr>
            </w:pPr>
          </w:p>
        </w:tc>
        <w:tc>
          <w:tcPr>
            <w:tcW w:w="1800" w:type="dxa"/>
          </w:tcPr>
          <w:p w:rsidR="007B0346" w:rsidRPr="002944B4" w:rsidP="00E53E93" w14:paraId="314019AF" w14:textId="38CA5633">
            <w:pPr>
              <w:pStyle w:val="BodyTextIndent"/>
              <w:ind w:left="0"/>
              <w:jc w:val="center"/>
              <w:rPr>
                <w:rFonts w:ascii="Times New Roman" w:hAnsi="Times New Roman"/>
                <w:bCs/>
                <w:color w:val="000000"/>
              </w:rPr>
            </w:pPr>
            <w:r>
              <w:rPr>
                <w:rFonts w:ascii="Times New Roman" w:hAnsi="Times New Roman"/>
                <w:bCs/>
                <w:color w:val="000000"/>
              </w:rPr>
              <w:t>Respondents</w:t>
            </w:r>
          </w:p>
        </w:tc>
        <w:tc>
          <w:tcPr>
            <w:tcW w:w="1527" w:type="dxa"/>
          </w:tcPr>
          <w:p w:rsidR="007B0346" w:rsidRPr="002944B4" w:rsidP="00E53E93" w14:paraId="03F3D054" w14:textId="4DF0FDA9">
            <w:pPr>
              <w:pStyle w:val="BodyTextIndent"/>
              <w:ind w:left="0"/>
              <w:jc w:val="center"/>
              <w:rPr>
                <w:rFonts w:ascii="Times New Roman" w:hAnsi="Times New Roman"/>
                <w:bCs/>
                <w:color w:val="000000"/>
              </w:rPr>
            </w:pPr>
            <w:r w:rsidRPr="002944B4">
              <w:rPr>
                <w:rFonts w:ascii="Times New Roman" w:hAnsi="Times New Roman"/>
                <w:bCs/>
                <w:color w:val="000000"/>
              </w:rPr>
              <w:t>Number of Respondents</w:t>
            </w:r>
          </w:p>
        </w:tc>
        <w:tc>
          <w:tcPr>
            <w:tcW w:w="1620" w:type="dxa"/>
          </w:tcPr>
          <w:p w:rsidR="007B0346" w:rsidRPr="002944B4" w:rsidP="00E53E93" w14:paraId="3B8BE05C" w14:textId="77777777">
            <w:pPr>
              <w:pStyle w:val="BodyTextIndent"/>
              <w:ind w:left="0"/>
              <w:jc w:val="center"/>
              <w:rPr>
                <w:rFonts w:ascii="Times New Roman" w:hAnsi="Times New Roman"/>
                <w:bCs/>
                <w:color w:val="000000"/>
              </w:rPr>
            </w:pPr>
            <w:r w:rsidRPr="002944B4">
              <w:rPr>
                <w:rFonts w:ascii="Times New Roman" w:hAnsi="Times New Roman"/>
                <w:bCs/>
                <w:color w:val="000000"/>
              </w:rPr>
              <w:t>Number of responses per respondent</w:t>
            </w:r>
          </w:p>
        </w:tc>
        <w:tc>
          <w:tcPr>
            <w:tcW w:w="1440" w:type="dxa"/>
          </w:tcPr>
          <w:p w:rsidR="007B0346" w:rsidRPr="002944B4" w:rsidP="00E53E93" w14:paraId="002B0BF5" w14:textId="77777777">
            <w:pPr>
              <w:pStyle w:val="BodyTextIndent"/>
              <w:ind w:left="0"/>
              <w:jc w:val="center"/>
              <w:rPr>
                <w:rFonts w:ascii="Times New Roman" w:hAnsi="Times New Roman"/>
                <w:bCs/>
                <w:color w:val="000000"/>
              </w:rPr>
            </w:pPr>
            <w:r w:rsidRPr="002944B4">
              <w:rPr>
                <w:rFonts w:ascii="Times New Roman" w:hAnsi="Times New Roman"/>
                <w:bCs/>
                <w:color w:val="000000"/>
              </w:rPr>
              <w:t>Average burden per response (in hours)</w:t>
            </w:r>
          </w:p>
        </w:tc>
        <w:tc>
          <w:tcPr>
            <w:tcW w:w="1620" w:type="dxa"/>
          </w:tcPr>
          <w:p w:rsidR="007B0346" w:rsidRPr="002944B4" w14:paraId="0E766403" w14:textId="77777777">
            <w:pPr>
              <w:pStyle w:val="BodyTextIndent"/>
              <w:ind w:left="0"/>
              <w:jc w:val="center"/>
              <w:rPr>
                <w:rFonts w:ascii="Times New Roman" w:hAnsi="Times New Roman"/>
                <w:bCs/>
                <w:color w:val="000000"/>
              </w:rPr>
            </w:pPr>
            <w:r w:rsidRPr="002944B4">
              <w:rPr>
                <w:rFonts w:ascii="Times New Roman" w:hAnsi="Times New Roman"/>
                <w:bCs/>
                <w:color w:val="000000"/>
              </w:rPr>
              <w:t>Total Burden hours</w:t>
            </w:r>
          </w:p>
        </w:tc>
      </w:tr>
      <w:tr w14:paraId="59131CCA" w14:textId="77777777" w:rsidTr="00D722B7">
        <w:tblPrEx>
          <w:tblW w:w="9743" w:type="dxa"/>
          <w:tblInd w:w="1049" w:type="dxa"/>
          <w:tblLayout w:type="fixed"/>
          <w:tblLook w:val="0000"/>
        </w:tblPrEx>
        <w:tc>
          <w:tcPr>
            <w:tcW w:w="1736" w:type="dxa"/>
          </w:tcPr>
          <w:p w:rsidR="007B0346" w:rsidRPr="002944B4" w:rsidP="00E53E93" w14:paraId="445E09CC" w14:textId="2A59DB3D">
            <w:pPr>
              <w:pStyle w:val="BodyTextIndent"/>
              <w:ind w:left="0"/>
              <w:rPr>
                <w:rFonts w:ascii="Times New Roman" w:hAnsi="Times New Roman"/>
                <w:color w:val="000000"/>
              </w:rPr>
            </w:pPr>
            <w:r w:rsidRPr="002944B4">
              <w:rPr>
                <w:rFonts w:ascii="Times New Roman" w:hAnsi="Times New Roman"/>
                <w:color w:val="000000"/>
              </w:rPr>
              <w:t xml:space="preserve">IRB Registration </w:t>
            </w:r>
            <w:r>
              <w:rPr>
                <w:rFonts w:ascii="Times New Roman" w:hAnsi="Times New Roman"/>
                <w:color w:val="000000"/>
              </w:rPr>
              <w:t>Form</w:t>
            </w:r>
          </w:p>
          <w:p w:rsidR="007B0346" w:rsidRPr="002944B4" w:rsidP="00E53E93" w14:paraId="66AAB37E" w14:textId="33D30690">
            <w:pPr>
              <w:pStyle w:val="BodyTextIndent"/>
              <w:ind w:left="0"/>
              <w:rPr>
                <w:rFonts w:ascii="Times New Roman" w:hAnsi="Times New Roman"/>
                <w:color w:val="000000"/>
              </w:rPr>
            </w:pPr>
            <w:r w:rsidRPr="002944B4">
              <w:rPr>
                <w:rFonts w:ascii="Times New Roman" w:hAnsi="Times New Roman"/>
                <w:color w:val="000000"/>
              </w:rPr>
              <w:t>0990-0279</w:t>
            </w:r>
            <w:r>
              <w:rPr>
                <w:rFonts w:ascii="Times New Roman" w:hAnsi="Times New Roman"/>
                <w:color w:val="000000"/>
              </w:rPr>
              <w:t xml:space="preserve"> </w:t>
            </w:r>
          </w:p>
        </w:tc>
        <w:tc>
          <w:tcPr>
            <w:tcW w:w="1800" w:type="dxa"/>
          </w:tcPr>
          <w:p w:rsidR="007B0346" w:rsidRPr="002944B4" w:rsidP="00E53E93" w14:paraId="686DCD40" w14:textId="195C1209">
            <w:pPr>
              <w:pStyle w:val="BodyTextIndent"/>
              <w:ind w:left="0"/>
              <w:jc w:val="center"/>
              <w:rPr>
                <w:rFonts w:ascii="Times New Roman" w:hAnsi="Times New Roman"/>
                <w:color w:val="000000"/>
              </w:rPr>
            </w:pPr>
            <w:r>
              <w:rPr>
                <w:rFonts w:ascii="Times New Roman" w:hAnsi="Times New Roman"/>
                <w:color w:val="000000"/>
              </w:rPr>
              <w:t xml:space="preserve">Institutions or Organizations </w:t>
            </w:r>
            <w:r>
              <w:rPr>
                <w:rFonts w:ascii="Times New Roman" w:hAnsi="Times New Roman"/>
                <w:color w:val="000000"/>
              </w:rPr>
              <w:t>that operate IRBs</w:t>
            </w:r>
          </w:p>
        </w:tc>
        <w:tc>
          <w:tcPr>
            <w:tcW w:w="1527" w:type="dxa"/>
          </w:tcPr>
          <w:p w:rsidR="007B0346" w:rsidRPr="002944B4" w:rsidP="00E53E93" w14:paraId="3DB4E78D" w14:textId="03261E87">
            <w:pPr>
              <w:pStyle w:val="BodyTextIndent"/>
              <w:ind w:left="0"/>
              <w:jc w:val="center"/>
              <w:rPr>
                <w:rFonts w:ascii="Times New Roman" w:hAnsi="Times New Roman"/>
                <w:color w:val="000000"/>
              </w:rPr>
            </w:pPr>
            <w:r w:rsidRPr="002944B4">
              <w:rPr>
                <w:rFonts w:ascii="Times New Roman" w:hAnsi="Times New Roman"/>
                <w:color w:val="000000"/>
              </w:rPr>
              <w:t>5,</w:t>
            </w:r>
            <w:r>
              <w:rPr>
                <w:rFonts w:ascii="Times New Roman" w:hAnsi="Times New Roman"/>
                <w:color w:val="000000"/>
              </w:rPr>
              <w:t>350</w:t>
            </w:r>
          </w:p>
        </w:tc>
        <w:tc>
          <w:tcPr>
            <w:tcW w:w="1620" w:type="dxa"/>
          </w:tcPr>
          <w:p w:rsidR="007B0346" w:rsidRPr="002944B4" w:rsidP="00E53E93" w14:paraId="6023F2F3" w14:textId="79983FC3">
            <w:pPr>
              <w:pStyle w:val="BodyTextIndent"/>
              <w:ind w:left="0"/>
              <w:jc w:val="center"/>
              <w:rPr>
                <w:rFonts w:ascii="Times New Roman" w:hAnsi="Times New Roman"/>
                <w:color w:val="000000"/>
              </w:rPr>
            </w:pPr>
            <w:r>
              <w:rPr>
                <w:rFonts w:ascii="Times New Roman" w:hAnsi="Times New Roman"/>
                <w:color w:val="000000"/>
              </w:rPr>
              <w:t>1</w:t>
            </w:r>
          </w:p>
        </w:tc>
        <w:tc>
          <w:tcPr>
            <w:tcW w:w="1440" w:type="dxa"/>
          </w:tcPr>
          <w:p w:rsidR="007B0346" w:rsidRPr="002944B4" w:rsidP="00E53E93" w14:paraId="5E2C2F3D" w14:textId="41AF8A2B">
            <w:pPr>
              <w:pStyle w:val="BodyTextIndent"/>
              <w:ind w:left="0"/>
              <w:jc w:val="center"/>
              <w:rPr>
                <w:rFonts w:ascii="Times New Roman" w:hAnsi="Times New Roman"/>
                <w:color w:val="000000"/>
              </w:rPr>
            </w:pPr>
            <w:r>
              <w:rPr>
                <w:rFonts w:ascii="Times New Roman" w:hAnsi="Times New Roman"/>
                <w:color w:val="000000"/>
              </w:rPr>
              <w:t>0.5</w:t>
            </w:r>
          </w:p>
        </w:tc>
        <w:tc>
          <w:tcPr>
            <w:tcW w:w="1620" w:type="dxa"/>
          </w:tcPr>
          <w:p w:rsidR="007B0346" w:rsidRPr="002944B4" w14:paraId="601D24A1" w14:textId="065474E2">
            <w:pPr>
              <w:pStyle w:val="BodyTextIndent"/>
              <w:ind w:left="0"/>
              <w:jc w:val="center"/>
              <w:rPr>
                <w:rFonts w:ascii="Times New Roman" w:hAnsi="Times New Roman"/>
                <w:color w:val="000000"/>
              </w:rPr>
            </w:pPr>
            <w:r>
              <w:rPr>
                <w:rFonts w:ascii="Times New Roman" w:hAnsi="Times New Roman"/>
                <w:color w:val="000000"/>
              </w:rPr>
              <w:t>2,675</w:t>
            </w:r>
          </w:p>
        </w:tc>
      </w:tr>
      <w:tr w14:paraId="1C468F7B" w14:textId="77777777" w:rsidTr="00D722B7">
        <w:tblPrEx>
          <w:tblW w:w="9743" w:type="dxa"/>
          <w:tblInd w:w="1049" w:type="dxa"/>
          <w:tblLayout w:type="fixed"/>
          <w:tblLook w:val="0000"/>
        </w:tblPrEx>
        <w:tc>
          <w:tcPr>
            <w:tcW w:w="1736" w:type="dxa"/>
          </w:tcPr>
          <w:p w:rsidR="007B0346" w:rsidRPr="002944B4" w:rsidP="00E53E93" w14:paraId="72CC2F39" w14:textId="77777777">
            <w:pPr>
              <w:pStyle w:val="BodyTextIndent"/>
              <w:ind w:left="0"/>
              <w:jc w:val="center"/>
              <w:rPr>
                <w:rFonts w:ascii="Times New Roman" w:hAnsi="Times New Roman"/>
                <w:color w:val="000000"/>
              </w:rPr>
            </w:pPr>
            <w:r w:rsidRPr="002944B4">
              <w:rPr>
                <w:rFonts w:ascii="Times New Roman" w:hAnsi="Times New Roman"/>
                <w:color w:val="000000"/>
              </w:rPr>
              <w:t>Total</w:t>
            </w:r>
          </w:p>
        </w:tc>
        <w:tc>
          <w:tcPr>
            <w:tcW w:w="1800" w:type="dxa"/>
          </w:tcPr>
          <w:p w:rsidR="007B0346" w:rsidRPr="002944B4" w:rsidP="00E53E93" w14:paraId="70463475" w14:textId="77777777">
            <w:pPr>
              <w:pStyle w:val="BodyTextIndent"/>
              <w:ind w:left="0"/>
              <w:jc w:val="center"/>
              <w:rPr>
                <w:rFonts w:ascii="Times New Roman" w:hAnsi="Times New Roman"/>
                <w:color w:val="000000"/>
              </w:rPr>
            </w:pPr>
          </w:p>
        </w:tc>
        <w:tc>
          <w:tcPr>
            <w:tcW w:w="1527" w:type="dxa"/>
          </w:tcPr>
          <w:p w:rsidR="007B0346" w:rsidRPr="002944B4" w:rsidP="00E53E93" w14:paraId="1E3CA1E2" w14:textId="6A2BD0DD">
            <w:pPr>
              <w:pStyle w:val="BodyTextIndent"/>
              <w:ind w:left="0"/>
              <w:jc w:val="center"/>
              <w:rPr>
                <w:rFonts w:ascii="Times New Roman" w:hAnsi="Times New Roman"/>
                <w:color w:val="000000"/>
              </w:rPr>
            </w:pPr>
            <w:r>
              <w:rPr>
                <w:rFonts w:ascii="Times New Roman" w:hAnsi="Times New Roman"/>
                <w:color w:val="000000"/>
              </w:rPr>
              <w:t>5,350</w:t>
            </w:r>
          </w:p>
        </w:tc>
        <w:tc>
          <w:tcPr>
            <w:tcW w:w="1620" w:type="dxa"/>
          </w:tcPr>
          <w:p w:rsidR="007B0346" w:rsidRPr="002944B4" w:rsidP="00E53E93" w14:paraId="171B1E77" w14:textId="337391F3">
            <w:pPr>
              <w:pStyle w:val="BodyTextIndent"/>
              <w:ind w:left="0"/>
              <w:jc w:val="center"/>
              <w:rPr>
                <w:rFonts w:ascii="Times New Roman" w:hAnsi="Times New Roman"/>
                <w:color w:val="000000"/>
              </w:rPr>
            </w:pPr>
            <w:r>
              <w:rPr>
                <w:rFonts w:ascii="Times New Roman" w:hAnsi="Times New Roman"/>
                <w:color w:val="000000"/>
              </w:rPr>
              <w:t>1</w:t>
            </w:r>
          </w:p>
        </w:tc>
        <w:tc>
          <w:tcPr>
            <w:tcW w:w="1440" w:type="dxa"/>
          </w:tcPr>
          <w:p w:rsidR="007B0346" w:rsidRPr="002944B4" w:rsidP="00E53E93" w14:paraId="066C7A06" w14:textId="61D14F82">
            <w:pPr>
              <w:pStyle w:val="BodyTextIndent"/>
              <w:ind w:left="0"/>
              <w:jc w:val="center"/>
              <w:rPr>
                <w:rFonts w:ascii="Times New Roman" w:hAnsi="Times New Roman"/>
                <w:color w:val="000000"/>
              </w:rPr>
            </w:pPr>
            <w:r>
              <w:rPr>
                <w:rFonts w:ascii="Times New Roman" w:hAnsi="Times New Roman"/>
                <w:color w:val="000000"/>
              </w:rPr>
              <w:t>0.5</w:t>
            </w:r>
          </w:p>
        </w:tc>
        <w:tc>
          <w:tcPr>
            <w:tcW w:w="1620" w:type="dxa"/>
          </w:tcPr>
          <w:p w:rsidR="007B0346" w:rsidRPr="002944B4" w:rsidP="00E53E93" w14:paraId="0A91F3E7" w14:textId="7114ACBC">
            <w:pPr>
              <w:pStyle w:val="BodyTextIndent"/>
              <w:ind w:left="0"/>
              <w:jc w:val="center"/>
              <w:rPr>
                <w:rFonts w:ascii="Times New Roman" w:hAnsi="Times New Roman"/>
                <w:color w:val="000000"/>
              </w:rPr>
            </w:pPr>
            <w:r>
              <w:rPr>
                <w:rFonts w:ascii="Times New Roman" w:hAnsi="Times New Roman"/>
                <w:color w:val="000000"/>
              </w:rPr>
              <w:t>2,675</w:t>
            </w:r>
          </w:p>
        </w:tc>
      </w:tr>
    </w:tbl>
    <w:p w:rsidR="00785FF2" w:rsidRPr="002944B4" w:rsidP="00E53E93" w14:paraId="59FB1BC0" w14:textId="77777777">
      <w:pPr>
        <w:pStyle w:val="BodyTextIndent"/>
        <w:ind w:left="1080"/>
        <w:rPr>
          <w:rFonts w:ascii="Times New Roman" w:hAnsi="Times New Roman"/>
          <w:color w:val="000000"/>
        </w:rPr>
      </w:pPr>
    </w:p>
    <w:p w:rsidR="00785FF2" w:rsidRPr="002944B4" w14:paraId="11648C30" w14:textId="77777777">
      <w:pPr>
        <w:pStyle w:val="BodyTextIndent"/>
        <w:ind w:left="1080"/>
        <w:rPr>
          <w:rFonts w:ascii="Times New Roman" w:hAnsi="Times New Roman"/>
          <w:color w:val="000000"/>
        </w:rPr>
      </w:pPr>
    </w:p>
    <w:p w:rsidR="00F05D65" w:rsidP="00F05D65" w14:paraId="5BF62CDD" w14:textId="77777777">
      <w:pPr>
        <w:pStyle w:val="BodyTextIndent"/>
        <w:ind w:left="1080"/>
        <w:rPr>
          <w:rFonts w:ascii="Times New Roman" w:hAnsi="Times New Roman"/>
          <w:color w:val="000000"/>
        </w:rPr>
      </w:pPr>
      <w:r w:rsidRPr="006D325A">
        <w:rPr>
          <w:rFonts w:ascii="Times New Roman" w:hAnsi="Times New Roman"/>
          <w:color w:val="000000"/>
        </w:rPr>
        <w:t xml:space="preserve">The estimate of the hours per response assumes that </w:t>
      </w:r>
      <w:r w:rsidRPr="006D325A" w:rsidR="00E87CD8">
        <w:rPr>
          <w:rFonts w:ascii="Times New Roman" w:hAnsi="Times New Roman"/>
          <w:color w:val="000000"/>
        </w:rPr>
        <w:t>all</w:t>
      </w:r>
      <w:r w:rsidRPr="006D325A">
        <w:rPr>
          <w:rFonts w:ascii="Times New Roman" w:hAnsi="Times New Roman"/>
          <w:color w:val="000000"/>
        </w:rPr>
        <w:t xml:space="preserve"> respondents will complete the IRB Registration Form via internet on an interactive page on the OHRP website.  The time estimate includes an estimate of the time needed to (i) read and understand the instructions for completing the IRB Registration Form; (ii) collect the information to complete the form; and (iii) enter the information requested on the IRB Registration Form. </w:t>
      </w:r>
    </w:p>
    <w:p w:rsidR="00F05D65" w:rsidP="00F05D65" w14:paraId="614C9496" w14:textId="77777777">
      <w:pPr>
        <w:pStyle w:val="BodyTextIndent"/>
        <w:ind w:left="1080"/>
        <w:rPr>
          <w:rFonts w:ascii="Times New Roman" w:hAnsi="Times New Roman"/>
          <w:color w:val="000000"/>
        </w:rPr>
      </w:pPr>
    </w:p>
    <w:p w:rsidR="00F05D65" w:rsidP="00F05D65" w14:paraId="398B5D9A" w14:textId="64299918">
      <w:pPr>
        <w:pStyle w:val="BodyTextIndent"/>
        <w:ind w:left="1080"/>
        <w:rPr>
          <w:rFonts w:ascii="Times New Roman" w:hAnsi="Times New Roman"/>
        </w:rPr>
      </w:pPr>
      <w:r>
        <w:rPr>
          <w:rFonts w:ascii="Times New Roman" w:hAnsi="Times New Roman"/>
        </w:rPr>
        <w:t>OHRP estimates an average submitter’s hourly wage rate of $5</w:t>
      </w:r>
      <w:r w:rsidR="00130B90">
        <w:rPr>
          <w:rFonts w:ascii="Times New Roman" w:hAnsi="Times New Roman"/>
        </w:rPr>
        <w:t>5</w:t>
      </w:r>
      <w:r>
        <w:rPr>
          <w:rFonts w:ascii="Times New Roman" w:hAnsi="Times New Roman"/>
        </w:rPr>
        <w:t>.8</w:t>
      </w:r>
      <w:r w:rsidR="00130B90">
        <w:rPr>
          <w:rFonts w:ascii="Times New Roman" w:hAnsi="Times New Roman"/>
        </w:rPr>
        <w:t>0</w:t>
      </w:r>
      <w:r>
        <w:rPr>
          <w:rFonts w:ascii="Times New Roman" w:hAnsi="Times New Roman"/>
        </w:rPr>
        <w:t xml:space="preserve"> per hour (for institutional officials, administrators, administrative staff). </w:t>
      </w:r>
      <w:r w:rsidRPr="00DC0CCF">
        <w:rPr>
          <w:rFonts w:ascii="Times New Roman" w:hAnsi="Times New Roman"/>
        </w:rPr>
        <w:t>This is based on the 202</w:t>
      </w:r>
      <w:r w:rsidR="00130B90">
        <w:rPr>
          <w:rFonts w:ascii="Times New Roman" w:hAnsi="Times New Roman"/>
        </w:rPr>
        <w:t>6</w:t>
      </w:r>
      <w:r w:rsidRPr="00DC0CCF">
        <w:rPr>
          <w:rFonts w:ascii="Times New Roman" w:hAnsi="Times New Roman"/>
        </w:rPr>
        <w:t xml:space="preserve"> OPM hourly pay tables</w:t>
      </w:r>
      <w:r>
        <w:rPr>
          <w:rFonts w:ascii="Times New Roman" w:hAnsi="Times New Roman"/>
        </w:rPr>
        <w:t xml:space="preserve"> and</w:t>
      </w:r>
      <w:r w:rsidRPr="00DC0CCF">
        <w:rPr>
          <w:rFonts w:ascii="Times New Roman" w:hAnsi="Times New Roman"/>
        </w:rPr>
        <w:t xml:space="preserve"> is equivalent to a GS 12, step 5.</w:t>
      </w:r>
      <w:r>
        <w:t xml:space="preserve"> </w:t>
      </w:r>
      <w:r>
        <w:rPr>
          <w:rFonts w:ascii="Times New Roman" w:hAnsi="Times New Roman"/>
        </w:rPr>
        <w:t>The total annual costs for reading and understanding instructions and entering the information</w:t>
      </w:r>
      <w:r w:rsidR="00392315">
        <w:rPr>
          <w:rFonts w:ascii="Times New Roman" w:hAnsi="Times New Roman"/>
        </w:rPr>
        <w:t xml:space="preserve"> </w:t>
      </w:r>
      <w:r w:rsidR="005468C7">
        <w:rPr>
          <w:rFonts w:ascii="Times New Roman" w:hAnsi="Times New Roman"/>
        </w:rPr>
        <w:t>on the IRB Registration Form</w:t>
      </w:r>
      <w:r>
        <w:rPr>
          <w:rFonts w:ascii="Times New Roman" w:hAnsi="Times New Roman"/>
        </w:rPr>
        <w:t xml:space="preserve"> via the internet are estimated to be </w:t>
      </w:r>
      <w:r w:rsidR="004C32F6">
        <w:rPr>
          <w:rFonts w:ascii="Times New Roman" w:hAnsi="Times New Roman"/>
        </w:rPr>
        <w:t>2,</w:t>
      </w:r>
      <w:r w:rsidR="007B0346">
        <w:rPr>
          <w:rFonts w:ascii="Times New Roman" w:hAnsi="Times New Roman"/>
        </w:rPr>
        <w:t>675</w:t>
      </w:r>
      <w:r>
        <w:rPr>
          <w:rFonts w:ascii="Times New Roman" w:hAnsi="Times New Roman"/>
        </w:rPr>
        <w:t xml:space="preserve"> burden hours X $5</w:t>
      </w:r>
      <w:r w:rsidR="00130B90">
        <w:rPr>
          <w:rFonts w:ascii="Times New Roman" w:hAnsi="Times New Roman"/>
        </w:rPr>
        <w:t>5</w:t>
      </w:r>
      <w:r>
        <w:rPr>
          <w:rFonts w:ascii="Times New Roman" w:hAnsi="Times New Roman"/>
        </w:rPr>
        <w:t>.8</w:t>
      </w:r>
      <w:r w:rsidR="00130B90">
        <w:rPr>
          <w:rFonts w:ascii="Times New Roman" w:hAnsi="Times New Roman"/>
        </w:rPr>
        <w:t>0</w:t>
      </w:r>
      <w:r>
        <w:rPr>
          <w:rFonts w:ascii="Times New Roman" w:hAnsi="Times New Roman"/>
        </w:rPr>
        <w:t>/hour = $</w:t>
      </w:r>
      <w:r w:rsidR="00D03C06">
        <w:rPr>
          <w:rFonts w:ascii="Times New Roman" w:hAnsi="Times New Roman"/>
        </w:rPr>
        <w:t>1</w:t>
      </w:r>
      <w:r w:rsidR="007B0346">
        <w:rPr>
          <w:rFonts w:ascii="Times New Roman" w:hAnsi="Times New Roman"/>
        </w:rPr>
        <w:t>49</w:t>
      </w:r>
      <w:r w:rsidR="00130B90">
        <w:rPr>
          <w:rFonts w:ascii="Times New Roman" w:hAnsi="Times New Roman"/>
        </w:rPr>
        <w:t>,</w:t>
      </w:r>
      <w:r w:rsidR="007B0346">
        <w:rPr>
          <w:rFonts w:ascii="Times New Roman" w:hAnsi="Times New Roman"/>
        </w:rPr>
        <w:t>265</w:t>
      </w:r>
      <w:r w:rsidR="00130B90">
        <w:rPr>
          <w:rFonts w:ascii="Times New Roman" w:hAnsi="Times New Roman"/>
        </w:rPr>
        <w:t>, plus a 200% fully loaded rate of $2</w:t>
      </w:r>
      <w:r w:rsidR="007B0346">
        <w:rPr>
          <w:rFonts w:ascii="Times New Roman" w:hAnsi="Times New Roman"/>
        </w:rPr>
        <w:t>98</w:t>
      </w:r>
      <w:r w:rsidR="00130B90">
        <w:rPr>
          <w:rFonts w:ascii="Times New Roman" w:hAnsi="Times New Roman"/>
        </w:rPr>
        <w:t>,</w:t>
      </w:r>
      <w:r w:rsidR="007B0346">
        <w:rPr>
          <w:rFonts w:ascii="Times New Roman" w:hAnsi="Times New Roman"/>
        </w:rPr>
        <w:t>530</w:t>
      </w:r>
      <w:r w:rsidR="00130B90">
        <w:rPr>
          <w:rFonts w:ascii="Times New Roman" w:hAnsi="Times New Roman"/>
        </w:rPr>
        <w:t xml:space="preserve"> that accounts for benefits, etc</w:t>
      </w:r>
      <w:r>
        <w:rPr>
          <w:rFonts w:ascii="Times New Roman" w:hAnsi="Times New Roman"/>
        </w:rPr>
        <w:t xml:space="preserve">.    </w:t>
      </w:r>
    </w:p>
    <w:p w:rsidR="00130B90" w:rsidP="00F05D65" w14:paraId="04A0BA10" w14:textId="77777777">
      <w:pPr>
        <w:pStyle w:val="BodyTextIndent"/>
        <w:ind w:left="1080"/>
        <w:rPr>
          <w:rFonts w:ascii="Times New Roman" w:hAnsi="Times New Roman"/>
        </w:rPr>
      </w:pPr>
    </w:p>
    <w:p w:rsidR="00130B90" w:rsidRPr="002869B0" w:rsidP="00F05D65" w14:paraId="3E4F8D3F" w14:textId="137B3D37">
      <w:pPr>
        <w:pStyle w:val="BodyTextIndent"/>
        <w:ind w:left="1080"/>
        <w:rPr>
          <w:rFonts w:ascii="Times New Roman" w:hAnsi="Times New Roman"/>
        </w:rPr>
      </w:pPr>
      <w:r>
        <w:rPr>
          <w:rFonts w:ascii="Times New Roman" w:hAnsi="Times New Roman"/>
        </w:rPr>
        <w:t>($1</w:t>
      </w:r>
      <w:r w:rsidR="007B0346">
        <w:rPr>
          <w:rFonts w:ascii="Times New Roman" w:hAnsi="Times New Roman"/>
        </w:rPr>
        <w:t>49</w:t>
      </w:r>
      <w:r>
        <w:rPr>
          <w:rFonts w:ascii="Times New Roman" w:hAnsi="Times New Roman"/>
        </w:rPr>
        <w:t>,</w:t>
      </w:r>
      <w:r w:rsidR="007B0346">
        <w:rPr>
          <w:rFonts w:ascii="Times New Roman" w:hAnsi="Times New Roman"/>
        </w:rPr>
        <w:t>265</w:t>
      </w:r>
      <w:r>
        <w:rPr>
          <w:rFonts w:ascii="Times New Roman" w:hAnsi="Times New Roman"/>
        </w:rPr>
        <w:t>+$2</w:t>
      </w:r>
      <w:r w:rsidR="007B0346">
        <w:rPr>
          <w:rFonts w:ascii="Times New Roman" w:hAnsi="Times New Roman"/>
        </w:rPr>
        <w:t>98</w:t>
      </w:r>
      <w:r>
        <w:rPr>
          <w:rFonts w:ascii="Times New Roman" w:hAnsi="Times New Roman"/>
        </w:rPr>
        <w:t>,</w:t>
      </w:r>
      <w:r w:rsidR="007B0346">
        <w:rPr>
          <w:rFonts w:ascii="Times New Roman" w:hAnsi="Times New Roman"/>
        </w:rPr>
        <w:t>530</w:t>
      </w:r>
      <w:r>
        <w:rPr>
          <w:rFonts w:ascii="Times New Roman" w:hAnsi="Times New Roman"/>
        </w:rPr>
        <w:t xml:space="preserve">= </w:t>
      </w:r>
      <w:r w:rsidRPr="00130B90">
        <w:rPr>
          <w:rFonts w:ascii="Times New Roman" w:hAnsi="Times New Roman"/>
          <w:b/>
          <w:bCs/>
        </w:rPr>
        <w:t>$</w:t>
      </w:r>
      <w:r w:rsidR="007B0346">
        <w:rPr>
          <w:rFonts w:ascii="Times New Roman" w:hAnsi="Times New Roman"/>
          <w:b/>
          <w:bCs/>
        </w:rPr>
        <w:t>447</w:t>
      </w:r>
      <w:r w:rsidRPr="00130B90">
        <w:rPr>
          <w:rFonts w:ascii="Times New Roman" w:hAnsi="Times New Roman"/>
          <w:b/>
          <w:bCs/>
        </w:rPr>
        <w:t>,</w:t>
      </w:r>
      <w:r w:rsidR="007B0346">
        <w:rPr>
          <w:rFonts w:ascii="Times New Roman" w:hAnsi="Times New Roman"/>
          <w:b/>
          <w:bCs/>
        </w:rPr>
        <w:t>795</w:t>
      </w:r>
      <w:r w:rsidRPr="002869B0" w:rsidR="002869B0">
        <w:rPr>
          <w:rFonts w:ascii="Times New Roman" w:hAnsi="Times New Roman"/>
        </w:rPr>
        <w:t>)</w:t>
      </w:r>
    </w:p>
    <w:p w:rsidR="00785FF2" w:rsidRPr="006D325A" w14:paraId="5962D571" w14:textId="1C45827F">
      <w:pPr>
        <w:pStyle w:val="BodyTextIndent"/>
        <w:ind w:left="1080"/>
        <w:rPr>
          <w:rFonts w:ascii="Times New Roman" w:hAnsi="Times New Roman"/>
          <w:color w:val="000000"/>
        </w:rPr>
      </w:pPr>
    </w:p>
    <w:p w:rsidR="00785FF2" w:rsidRPr="006D325A" w14:paraId="3FA33F3F" w14:textId="77777777">
      <w:pPr>
        <w:pStyle w:val="BodyTextIndent"/>
        <w:ind w:left="1080"/>
        <w:rPr>
          <w:rFonts w:ascii="Times New Roman" w:hAnsi="Times New Roman"/>
          <w:color w:val="000000"/>
        </w:rPr>
      </w:pPr>
    </w:p>
    <w:p w:rsidR="00785FF2" w:rsidP="00C3526A" w14:paraId="74BE1CA4" w14:textId="2ACEF012">
      <w:pPr>
        <w:ind w:left="1080" w:firstLine="360"/>
        <w:rPr>
          <w:b/>
          <w:sz w:val="24"/>
        </w:rPr>
      </w:pPr>
      <w:r w:rsidRPr="0075580F">
        <w:rPr>
          <w:b/>
          <w:sz w:val="24"/>
        </w:rPr>
        <w:t>12B.</w:t>
      </w:r>
      <w:r>
        <w:rPr>
          <w:b/>
          <w:sz w:val="24"/>
        </w:rPr>
        <w:t xml:space="preserve">  </w:t>
      </w:r>
      <w:r w:rsidRPr="0075580F" w:rsidR="003625C7">
        <w:rPr>
          <w:b/>
          <w:sz w:val="24"/>
        </w:rPr>
        <w:t xml:space="preserve">Total </w:t>
      </w:r>
      <w:r w:rsidRPr="0075580F">
        <w:rPr>
          <w:b/>
          <w:sz w:val="24"/>
        </w:rPr>
        <w:t>Estimated Annualized Burden Table</w:t>
      </w:r>
    </w:p>
    <w:p w:rsidR="009D71D0" w:rsidRPr="0075580F" w:rsidP="00C3526A" w14:paraId="5FDCB52F" w14:textId="77777777">
      <w:pPr>
        <w:ind w:left="1080" w:firstLine="360"/>
        <w:rPr>
          <w:b/>
          <w:sz w:val="24"/>
        </w:rPr>
      </w:pPr>
    </w:p>
    <w:tbl>
      <w:tblPr>
        <w:tblW w:w="6841" w:type="dxa"/>
        <w:tblInd w:w="1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59"/>
        <w:gridCol w:w="1612"/>
        <w:gridCol w:w="1574"/>
        <w:gridCol w:w="1896"/>
      </w:tblGrid>
      <w:tr w14:paraId="5C81FEDC" w14:textId="77777777" w:rsidTr="00D722B7">
        <w:tblPrEx>
          <w:tblW w:w="6841" w:type="dxa"/>
          <w:tblInd w:w="1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85"/>
        </w:trPr>
        <w:tc>
          <w:tcPr>
            <w:tcW w:w="1759" w:type="dxa"/>
          </w:tcPr>
          <w:p w:rsidR="00F857FE" w:rsidRPr="002944B4" w:rsidP="00E53E93" w14:paraId="3C5DA7BB" w14:textId="79E82F48">
            <w:pPr>
              <w:rPr>
                <w:color w:val="000000"/>
                <w:sz w:val="24"/>
              </w:rPr>
            </w:pPr>
            <w:r w:rsidRPr="002944B4">
              <w:rPr>
                <w:color w:val="000000"/>
                <w:sz w:val="24"/>
              </w:rPr>
              <w:t>Form</w:t>
            </w:r>
            <w:r w:rsidRPr="002944B4">
              <w:rPr>
                <w:color w:val="000000"/>
                <w:sz w:val="24"/>
              </w:rPr>
              <w:t xml:space="preserve">  </w:t>
            </w:r>
          </w:p>
          <w:p w:rsidR="00F857FE" w:rsidRPr="002944B4" w:rsidP="00E53E93" w14:paraId="6FF876FD" w14:textId="77777777">
            <w:pPr>
              <w:rPr>
                <w:color w:val="000000"/>
                <w:sz w:val="24"/>
              </w:rPr>
            </w:pPr>
          </w:p>
        </w:tc>
        <w:tc>
          <w:tcPr>
            <w:tcW w:w="1612" w:type="dxa"/>
          </w:tcPr>
          <w:p w:rsidR="00F857FE" w:rsidRPr="002944B4" w:rsidP="00E53E93" w14:paraId="29F9C1BF" w14:textId="50590B19">
            <w:pPr>
              <w:jc w:val="center"/>
              <w:rPr>
                <w:color w:val="000000"/>
                <w:sz w:val="24"/>
              </w:rPr>
            </w:pPr>
            <w:r w:rsidRPr="002944B4">
              <w:rPr>
                <w:color w:val="000000"/>
                <w:sz w:val="24"/>
              </w:rPr>
              <w:t>Total Burden Hours</w:t>
            </w:r>
          </w:p>
        </w:tc>
        <w:tc>
          <w:tcPr>
            <w:tcW w:w="1574" w:type="dxa"/>
          </w:tcPr>
          <w:p w:rsidR="00F857FE" w:rsidRPr="002944B4" w:rsidP="00E53E93" w14:paraId="6D8A7D59" w14:textId="77777777">
            <w:pPr>
              <w:jc w:val="center"/>
              <w:rPr>
                <w:color w:val="000000"/>
                <w:sz w:val="24"/>
              </w:rPr>
            </w:pPr>
            <w:r w:rsidRPr="002944B4">
              <w:rPr>
                <w:color w:val="000000"/>
                <w:sz w:val="24"/>
              </w:rPr>
              <w:t>Hourly Wage Rate</w:t>
            </w:r>
          </w:p>
        </w:tc>
        <w:tc>
          <w:tcPr>
            <w:tcW w:w="1896" w:type="dxa"/>
          </w:tcPr>
          <w:p w:rsidR="00F857FE" w:rsidRPr="002944B4" w14:paraId="74F7ABAD" w14:textId="77777777">
            <w:pPr>
              <w:jc w:val="center"/>
              <w:rPr>
                <w:color w:val="000000"/>
                <w:sz w:val="24"/>
              </w:rPr>
            </w:pPr>
            <w:r w:rsidRPr="002944B4">
              <w:rPr>
                <w:color w:val="000000"/>
                <w:sz w:val="24"/>
              </w:rPr>
              <w:t xml:space="preserve">Total </w:t>
            </w:r>
            <w:r w:rsidRPr="002944B4">
              <w:rPr>
                <w:color w:val="000000"/>
                <w:sz w:val="24"/>
              </w:rPr>
              <w:t>Burden  Dollars</w:t>
            </w:r>
          </w:p>
        </w:tc>
      </w:tr>
      <w:tr w14:paraId="65A7C98A" w14:textId="77777777" w:rsidTr="00D722B7">
        <w:tblPrEx>
          <w:tblW w:w="6841" w:type="dxa"/>
          <w:tblInd w:w="1831" w:type="dxa"/>
          <w:tblLook w:val="01E0"/>
        </w:tblPrEx>
        <w:trPr>
          <w:trHeight w:val="285"/>
        </w:trPr>
        <w:tc>
          <w:tcPr>
            <w:tcW w:w="1759" w:type="dxa"/>
          </w:tcPr>
          <w:p w:rsidR="00F857FE" w:rsidRPr="002944B4" w:rsidP="00E53E93" w14:paraId="021B373C" w14:textId="086568E5">
            <w:pPr>
              <w:pStyle w:val="BodyTextIndent"/>
              <w:ind w:left="0"/>
              <w:rPr>
                <w:rFonts w:ascii="Times New Roman" w:hAnsi="Times New Roman"/>
                <w:color w:val="000000"/>
              </w:rPr>
            </w:pPr>
            <w:r w:rsidRPr="002944B4">
              <w:rPr>
                <w:rFonts w:ascii="Times New Roman" w:hAnsi="Times New Roman"/>
                <w:color w:val="000000"/>
              </w:rPr>
              <w:t>IRB Registration</w:t>
            </w:r>
            <w:r>
              <w:rPr>
                <w:rFonts w:ascii="Times New Roman" w:hAnsi="Times New Roman"/>
                <w:color w:val="000000"/>
              </w:rPr>
              <w:t xml:space="preserve"> Form</w:t>
            </w:r>
            <w:r w:rsidRPr="002944B4">
              <w:rPr>
                <w:rFonts w:ascii="Times New Roman" w:hAnsi="Times New Roman"/>
                <w:color w:val="000000"/>
              </w:rPr>
              <w:t xml:space="preserve"> </w:t>
            </w:r>
          </w:p>
          <w:p w:rsidR="00F857FE" w:rsidRPr="002944B4" w:rsidP="00E53E93" w14:paraId="6922AF31" w14:textId="77777777">
            <w:pPr>
              <w:spacing w:line="480" w:lineRule="auto"/>
              <w:rPr>
                <w:color w:val="000000"/>
                <w:sz w:val="24"/>
              </w:rPr>
            </w:pPr>
            <w:r w:rsidRPr="002944B4">
              <w:rPr>
                <w:color w:val="000000"/>
                <w:sz w:val="24"/>
              </w:rPr>
              <w:t>0990-0279</w:t>
            </w:r>
          </w:p>
        </w:tc>
        <w:tc>
          <w:tcPr>
            <w:tcW w:w="1612" w:type="dxa"/>
          </w:tcPr>
          <w:p w:rsidR="00F857FE" w:rsidRPr="002944B4" w:rsidP="00D722B7" w14:paraId="72A7E60F" w14:textId="5B6AE839">
            <w:pPr>
              <w:spacing w:line="480" w:lineRule="auto"/>
              <w:rPr>
                <w:color w:val="000000"/>
                <w:sz w:val="24"/>
              </w:rPr>
            </w:pPr>
            <w:r>
              <w:rPr>
                <w:color w:val="000000"/>
                <w:sz w:val="24"/>
              </w:rPr>
              <w:t>2,675</w:t>
            </w:r>
          </w:p>
        </w:tc>
        <w:tc>
          <w:tcPr>
            <w:tcW w:w="1574" w:type="dxa"/>
          </w:tcPr>
          <w:p w:rsidR="00F857FE" w:rsidRPr="002944B4" w:rsidP="00D722B7" w14:paraId="2E31B693" w14:textId="25150578">
            <w:pPr>
              <w:spacing w:line="480" w:lineRule="auto"/>
              <w:rPr>
                <w:color w:val="000000"/>
                <w:sz w:val="24"/>
              </w:rPr>
            </w:pPr>
            <w:r>
              <w:rPr>
                <w:color w:val="000000"/>
                <w:sz w:val="24"/>
              </w:rPr>
              <w:t>$55.80</w:t>
            </w:r>
          </w:p>
        </w:tc>
        <w:tc>
          <w:tcPr>
            <w:tcW w:w="1896" w:type="dxa"/>
          </w:tcPr>
          <w:p w:rsidR="00F857FE" w:rsidRPr="002944B4" w:rsidP="00D722B7" w14:paraId="4435F93F" w14:textId="2F5BB158">
            <w:pPr>
              <w:spacing w:line="480" w:lineRule="auto"/>
              <w:jc w:val="center"/>
              <w:rPr>
                <w:color w:val="000000"/>
                <w:sz w:val="24"/>
              </w:rPr>
            </w:pPr>
            <w:r w:rsidRPr="002944B4">
              <w:rPr>
                <w:color w:val="000000"/>
                <w:sz w:val="24"/>
              </w:rPr>
              <w:t>$</w:t>
            </w:r>
            <w:r>
              <w:rPr>
                <w:color w:val="000000"/>
                <w:sz w:val="24"/>
              </w:rPr>
              <w:t>149,265</w:t>
            </w:r>
          </w:p>
        </w:tc>
      </w:tr>
      <w:tr w14:paraId="18AE13CC" w14:textId="77777777" w:rsidTr="00D722B7">
        <w:tblPrEx>
          <w:tblW w:w="6841" w:type="dxa"/>
          <w:tblInd w:w="1831" w:type="dxa"/>
          <w:tblLook w:val="01E0"/>
        </w:tblPrEx>
        <w:trPr>
          <w:trHeight w:val="285"/>
        </w:trPr>
        <w:tc>
          <w:tcPr>
            <w:tcW w:w="1759" w:type="dxa"/>
          </w:tcPr>
          <w:p w:rsidR="00F857FE" w:rsidRPr="002944B4" w:rsidP="00E53E93" w14:paraId="04E2CA98" w14:textId="77777777">
            <w:pPr>
              <w:spacing w:line="480" w:lineRule="auto"/>
              <w:rPr>
                <w:color w:val="000000"/>
                <w:sz w:val="24"/>
              </w:rPr>
            </w:pPr>
            <w:r w:rsidRPr="002944B4">
              <w:rPr>
                <w:color w:val="000000"/>
                <w:sz w:val="24"/>
              </w:rPr>
              <w:t>Total</w:t>
            </w:r>
          </w:p>
        </w:tc>
        <w:tc>
          <w:tcPr>
            <w:tcW w:w="1612" w:type="dxa"/>
          </w:tcPr>
          <w:p w:rsidR="00F857FE" w:rsidRPr="002944B4" w:rsidP="00E53E93" w14:paraId="0B82DFEC" w14:textId="6BAF4041">
            <w:pPr>
              <w:spacing w:line="480" w:lineRule="auto"/>
              <w:rPr>
                <w:color w:val="000000"/>
                <w:sz w:val="24"/>
              </w:rPr>
            </w:pPr>
            <w:r>
              <w:rPr>
                <w:color w:val="000000"/>
                <w:sz w:val="24"/>
              </w:rPr>
              <w:t>2,675</w:t>
            </w:r>
          </w:p>
        </w:tc>
        <w:tc>
          <w:tcPr>
            <w:tcW w:w="1574" w:type="dxa"/>
          </w:tcPr>
          <w:p w:rsidR="00F857FE" w:rsidRPr="002944B4" w:rsidP="00E53E93" w14:paraId="36D504C7" w14:textId="23E63BDF">
            <w:pPr>
              <w:spacing w:line="480" w:lineRule="auto"/>
              <w:rPr>
                <w:color w:val="000000"/>
                <w:sz w:val="24"/>
              </w:rPr>
            </w:pPr>
            <w:r>
              <w:rPr>
                <w:color w:val="000000"/>
                <w:sz w:val="24"/>
              </w:rPr>
              <w:t>$55.80</w:t>
            </w:r>
          </w:p>
        </w:tc>
        <w:tc>
          <w:tcPr>
            <w:tcW w:w="1896" w:type="dxa"/>
          </w:tcPr>
          <w:p w:rsidR="00F857FE" w:rsidRPr="002944B4" w:rsidP="00D722B7" w14:paraId="252507EF" w14:textId="7C3D0762">
            <w:pPr>
              <w:spacing w:line="480" w:lineRule="auto"/>
              <w:jc w:val="center"/>
              <w:rPr>
                <w:color w:val="000000"/>
                <w:sz w:val="24"/>
              </w:rPr>
            </w:pPr>
            <w:r w:rsidRPr="002944B4">
              <w:rPr>
                <w:color w:val="000000"/>
                <w:sz w:val="24"/>
              </w:rPr>
              <w:t>$</w:t>
            </w:r>
            <w:r>
              <w:rPr>
                <w:color w:val="000000"/>
                <w:sz w:val="24"/>
              </w:rPr>
              <w:t>149,265</w:t>
            </w:r>
          </w:p>
        </w:tc>
      </w:tr>
    </w:tbl>
    <w:p w:rsidR="00785FF2" w:rsidRPr="002944B4" w:rsidP="00C3526A" w14:paraId="693A46E2" w14:textId="77777777">
      <w:pPr>
        <w:ind w:left="1080"/>
        <w:rPr>
          <w:color w:val="000000"/>
          <w:sz w:val="24"/>
        </w:rPr>
      </w:pPr>
      <w:r w:rsidRPr="002944B4">
        <w:rPr>
          <w:color w:val="000000"/>
          <w:sz w:val="24"/>
        </w:rPr>
        <w:tab/>
      </w:r>
    </w:p>
    <w:p w:rsidR="00785FF2" w:rsidRPr="002944B4" w:rsidP="00C3526A" w14:paraId="7BBE3AC4" w14:textId="77777777">
      <w:pPr>
        <w:ind w:left="1080"/>
        <w:rPr>
          <w:color w:val="000000"/>
        </w:rPr>
      </w:pPr>
    </w:p>
    <w:p w:rsidR="00785FF2" w:rsidRPr="002944B4" w:rsidP="00C3526A" w14:paraId="4BE17C45" w14:textId="37C93B05">
      <w:pPr>
        <w:numPr>
          <w:ilvl w:val="0"/>
          <w:numId w:val="8"/>
        </w:numPr>
        <w:tabs>
          <w:tab w:val="clear" w:pos="1080"/>
          <w:tab w:val="num" w:pos="2160"/>
        </w:tabs>
        <w:rPr>
          <w:color w:val="000000"/>
          <w:sz w:val="24"/>
        </w:rPr>
      </w:pPr>
      <w:r>
        <w:rPr>
          <w:color w:val="000000"/>
          <w:sz w:val="24"/>
          <w:u w:val="single"/>
        </w:rPr>
        <w:t>Estimates of Other Total Annual Cost Burden to Respondents or Recordkeepers/</w:t>
      </w:r>
      <w:r w:rsidRPr="002944B4">
        <w:rPr>
          <w:color w:val="000000"/>
          <w:sz w:val="24"/>
          <w:u w:val="single"/>
        </w:rPr>
        <w:t xml:space="preserve">Capital Costs </w:t>
      </w:r>
    </w:p>
    <w:p w:rsidR="00785FF2" w:rsidRPr="002944B4" w:rsidP="00E53E93" w14:paraId="246941B4" w14:textId="77777777">
      <w:pPr>
        <w:pStyle w:val="BodyTextIndent"/>
        <w:ind w:left="1080"/>
        <w:rPr>
          <w:rFonts w:ascii="Times New Roman" w:hAnsi="Times New Roman"/>
          <w:color w:val="000000"/>
        </w:rPr>
      </w:pPr>
    </w:p>
    <w:p w:rsidR="00785FF2" w:rsidRPr="002944B4" w:rsidP="00435569" w14:paraId="750A59AC" w14:textId="6D2D3A12">
      <w:pPr>
        <w:pStyle w:val="BodyTextIndent"/>
        <w:ind w:left="1080"/>
        <w:rPr>
          <w:rFonts w:ascii="Times New Roman" w:hAnsi="Times New Roman"/>
          <w:color w:val="000000"/>
        </w:rPr>
      </w:pPr>
      <w:r w:rsidRPr="002944B4">
        <w:rPr>
          <w:rFonts w:ascii="Times New Roman" w:hAnsi="Times New Roman"/>
          <w:color w:val="000000"/>
        </w:rPr>
        <w:t xml:space="preserve">There are no </w:t>
      </w:r>
      <w:r w:rsidR="00AE0577">
        <w:rPr>
          <w:rFonts w:ascii="Times New Roman" w:hAnsi="Times New Roman"/>
          <w:color w:val="000000"/>
        </w:rPr>
        <w:t>cost</w:t>
      </w:r>
      <w:r w:rsidR="0042584E">
        <w:rPr>
          <w:rFonts w:ascii="Times New Roman" w:hAnsi="Times New Roman"/>
          <w:color w:val="000000"/>
        </w:rPr>
        <w:t>s</w:t>
      </w:r>
      <w:r w:rsidR="00AE0577">
        <w:rPr>
          <w:rFonts w:ascii="Times New Roman" w:hAnsi="Times New Roman"/>
          <w:color w:val="000000"/>
        </w:rPr>
        <w:t xml:space="preserve"> </w:t>
      </w:r>
      <w:r w:rsidRPr="002944B4">
        <w:rPr>
          <w:rFonts w:ascii="Times New Roman" w:hAnsi="Times New Roman"/>
          <w:color w:val="000000"/>
        </w:rPr>
        <w:t>to respondents other than the time to review the instructions and to</w:t>
      </w:r>
      <w:r w:rsidR="00AE0577">
        <w:rPr>
          <w:rFonts w:ascii="Times New Roman" w:hAnsi="Times New Roman"/>
          <w:color w:val="000000"/>
        </w:rPr>
        <w:t xml:space="preserve"> complete the IRB Registration f</w:t>
      </w:r>
      <w:r w:rsidRPr="002944B4">
        <w:rPr>
          <w:rFonts w:ascii="Times New Roman" w:hAnsi="Times New Roman"/>
          <w:color w:val="000000"/>
        </w:rPr>
        <w:t>orm.</w:t>
      </w:r>
    </w:p>
    <w:p w:rsidR="00785FF2" w:rsidRPr="002944B4" w:rsidP="00C3526A" w14:paraId="291F2009" w14:textId="77777777">
      <w:pPr>
        <w:ind w:left="1080"/>
        <w:rPr>
          <w:color w:val="000000"/>
          <w:sz w:val="24"/>
        </w:rPr>
      </w:pPr>
    </w:p>
    <w:p w:rsidR="00785FF2" w:rsidRPr="002944B4" w:rsidP="00C3526A" w14:paraId="2A1CB92F" w14:textId="0F8FC1B4">
      <w:pPr>
        <w:numPr>
          <w:ilvl w:val="0"/>
          <w:numId w:val="8"/>
        </w:numPr>
        <w:tabs>
          <w:tab w:val="clear" w:pos="1080"/>
          <w:tab w:val="num" w:pos="2160"/>
        </w:tabs>
        <w:rPr>
          <w:color w:val="000000"/>
          <w:sz w:val="24"/>
        </w:rPr>
      </w:pPr>
      <w:r>
        <w:rPr>
          <w:color w:val="000000"/>
          <w:sz w:val="24"/>
          <w:u w:val="single"/>
        </w:rPr>
        <w:t xml:space="preserve">Annualized </w:t>
      </w:r>
      <w:r w:rsidRPr="002944B4">
        <w:rPr>
          <w:color w:val="000000"/>
          <w:sz w:val="24"/>
          <w:u w:val="single"/>
        </w:rPr>
        <w:t>Cost to Federal Government</w:t>
      </w:r>
    </w:p>
    <w:p w:rsidR="00785FF2" w:rsidRPr="002944B4" w:rsidP="00E53E93" w14:paraId="2AF91798" w14:textId="77777777">
      <w:pPr>
        <w:pStyle w:val="BodyTextIndent"/>
        <w:ind w:left="1080"/>
        <w:rPr>
          <w:rFonts w:ascii="Times New Roman" w:hAnsi="Times New Roman"/>
          <w:color w:val="000000"/>
        </w:rPr>
      </w:pPr>
    </w:p>
    <w:p w:rsidR="00785FF2" w:rsidRPr="002944B4" w:rsidP="00435569" w14:paraId="310ADBB1" w14:textId="21CC3CDC">
      <w:pPr>
        <w:pStyle w:val="BodyTextIndent"/>
        <w:ind w:left="1080"/>
        <w:rPr>
          <w:b/>
          <w:bCs/>
          <w:iCs/>
          <w:color w:val="000000"/>
        </w:rPr>
      </w:pPr>
      <w:r w:rsidRPr="002944B4">
        <w:rPr>
          <w:rFonts w:ascii="Times New Roman" w:hAnsi="Times New Roman"/>
          <w:color w:val="000000"/>
        </w:rPr>
        <w:t xml:space="preserve">The estimated annual Federal costs for reviewing </w:t>
      </w:r>
      <w:r w:rsidRPr="002944B4" w:rsidR="0033568C">
        <w:rPr>
          <w:rFonts w:ascii="Times New Roman" w:hAnsi="Times New Roman"/>
          <w:color w:val="000000"/>
        </w:rPr>
        <w:t>and accepting</w:t>
      </w:r>
      <w:r w:rsidRPr="002944B4">
        <w:rPr>
          <w:rFonts w:ascii="Times New Roman" w:hAnsi="Times New Roman"/>
          <w:color w:val="000000"/>
        </w:rPr>
        <w:t xml:space="preserve"> IRB </w:t>
      </w:r>
      <w:r w:rsidRPr="002944B4" w:rsidR="0033568C">
        <w:rPr>
          <w:rFonts w:ascii="Times New Roman" w:hAnsi="Times New Roman"/>
          <w:color w:val="000000"/>
        </w:rPr>
        <w:t xml:space="preserve">Registrations </w:t>
      </w:r>
      <w:r w:rsidRPr="002944B4" w:rsidR="0033568C">
        <w:rPr>
          <w:rFonts w:ascii="Times New Roman" w:hAnsi="Times New Roman"/>
          <w:color w:val="000000"/>
        </w:rPr>
        <w:t>is</w:t>
      </w:r>
      <w:r w:rsidRPr="002944B4" w:rsidR="0033568C">
        <w:rPr>
          <w:rFonts w:ascii="Times New Roman" w:hAnsi="Times New Roman"/>
          <w:color w:val="000000"/>
        </w:rPr>
        <w:t xml:space="preserve"> $</w:t>
      </w:r>
      <w:r w:rsidR="00A1312F">
        <w:rPr>
          <w:rFonts w:ascii="Times New Roman" w:hAnsi="Times New Roman"/>
          <w:color w:val="000000"/>
        </w:rPr>
        <w:t>3</w:t>
      </w:r>
      <w:r w:rsidR="007B3A2F">
        <w:rPr>
          <w:rFonts w:ascii="Times New Roman" w:hAnsi="Times New Roman"/>
          <w:color w:val="000000"/>
        </w:rPr>
        <w:t>5</w:t>
      </w:r>
      <w:r w:rsidR="00A1312F">
        <w:rPr>
          <w:rFonts w:ascii="Times New Roman" w:hAnsi="Times New Roman"/>
          <w:color w:val="000000"/>
        </w:rPr>
        <w:t>3,000</w:t>
      </w:r>
      <w:r w:rsidR="00BF270A">
        <w:rPr>
          <w:rFonts w:ascii="Times New Roman" w:hAnsi="Times New Roman"/>
          <w:color w:val="000000"/>
        </w:rPr>
        <w:t>.</w:t>
      </w:r>
    </w:p>
    <w:p w:rsidR="00785FF2" w:rsidRPr="002944B4" w:rsidP="00C3526A" w14:paraId="089AD4FE" w14:textId="77777777">
      <w:pPr>
        <w:ind w:left="1080"/>
        <w:rPr>
          <w:color w:val="000000"/>
          <w:sz w:val="24"/>
        </w:rPr>
      </w:pPr>
    </w:p>
    <w:p w:rsidR="00785FF2" w:rsidRPr="002944B4" w:rsidP="00C3526A" w14:paraId="36E9D6E3" w14:textId="4D899881">
      <w:pPr>
        <w:numPr>
          <w:ilvl w:val="0"/>
          <w:numId w:val="8"/>
        </w:numPr>
        <w:tabs>
          <w:tab w:val="clear" w:pos="1080"/>
          <w:tab w:val="num" w:pos="2160"/>
        </w:tabs>
        <w:rPr>
          <w:color w:val="000000"/>
          <w:sz w:val="24"/>
        </w:rPr>
      </w:pPr>
      <w:r>
        <w:rPr>
          <w:color w:val="000000"/>
          <w:sz w:val="24"/>
          <w:u w:val="single"/>
        </w:rPr>
        <w:t xml:space="preserve">Explanation for </w:t>
      </w:r>
      <w:r w:rsidRPr="002944B4">
        <w:rPr>
          <w:color w:val="000000"/>
          <w:sz w:val="24"/>
          <w:u w:val="single"/>
        </w:rPr>
        <w:t>Prog</w:t>
      </w:r>
      <w:r>
        <w:rPr>
          <w:color w:val="000000"/>
          <w:sz w:val="24"/>
          <w:u w:val="single"/>
        </w:rPr>
        <w:t xml:space="preserve">ram </w:t>
      </w:r>
      <w:r w:rsidRPr="002944B4">
        <w:rPr>
          <w:color w:val="000000"/>
          <w:sz w:val="24"/>
          <w:u w:val="single"/>
        </w:rPr>
        <w:t>Changes</w:t>
      </w:r>
      <w:r>
        <w:rPr>
          <w:color w:val="000000"/>
          <w:sz w:val="24"/>
          <w:u w:val="single"/>
        </w:rPr>
        <w:t xml:space="preserve"> or Adjustments</w:t>
      </w:r>
    </w:p>
    <w:p w:rsidR="00785FF2" w:rsidRPr="002944B4" w:rsidP="00E53E93" w14:paraId="43E5884C" w14:textId="77777777">
      <w:pPr>
        <w:pStyle w:val="BodyTextIndent"/>
        <w:ind w:left="1080"/>
        <w:rPr>
          <w:rFonts w:ascii="Times New Roman" w:hAnsi="Times New Roman"/>
          <w:b/>
          <w:color w:val="000000"/>
        </w:rPr>
      </w:pPr>
    </w:p>
    <w:p w:rsidR="004C591F" w:rsidRPr="00DC0CCF" w:rsidP="004C591F" w14:paraId="4B2503C3" w14:textId="247E255F">
      <w:pPr>
        <w:ind w:left="1080"/>
        <w:rPr>
          <w:color w:val="000000"/>
          <w:sz w:val="24"/>
        </w:rPr>
      </w:pPr>
      <w:r w:rsidRPr="00DC0CCF">
        <w:rPr>
          <w:color w:val="000000"/>
          <w:sz w:val="24"/>
        </w:rPr>
        <w:t xml:space="preserve">The burden calculation has been adjusted </w:t>
      </w:r>
      <w:r>
        <w:rPr>
          <w:color w:val="000000"/>
          <w:sz w:val="24"/>
        </w:rPr>
        <w:t xml:space="preserve">accounting for the number of </w:t>
      </w:r>
      <w:r w:rsidR="008D446C">
        <w:rPr>
          <w:color w:val="000000"/>
          <w:sz w:val="24"/>
        </w:rPr>
        <w:t>IRBs that register with HHS</w:t>
      </w:r>
      <w:r>
        <w:rPr>
          <w:color w:val="000000"/>
          <w:sz w:val="24"/>
        </w:rPr>
        <w:t xml:space="preserve">, </w:t>
      </w:r>
      <w:r w:rsidR="004F161A">
        <w:rPr>
          <w:color w:val="000000"/>
          <w:sz w:val="24"/>
        </w:rPr>
        <w:t xml:space="preserve">the </w:t>
      </w:r>
      <w:r>
        <w:rPr>
          <w:color w:val="000000"/>
          <w:sz w:val="24"/>
        </w:rPr>
        <w:t xml:space="preserve">average responses per </w:t>
      </w:r>
      <w:r w:rsidR="006C1BB3">
        <w:rPr>
          <w:color w:val="000000"/>
          <w:sz w:val="24"/>
        </w:rPr>
        <w:t xml:space="preserve">institution </w:t>
      </w:r>
      <w:r>
        <w:rPr>
          <w:color w:val="000000"/>
          <w:sz w:val="24"/>
        </w:rPr>
        <w:t>annually, and the time required to complete an application</w:t>
      </w:r>
      <w:r w:rsidR="002E4C3C">
        <w:rPr>
          <w:color w:val="000000"/>
          <w:sz w:val="24"/>
        </w:rPr>
        <w:t xml:space="preserve"> </w:t>
      </w:r>
      <w:r w:rsidR="002E4C3C">
        <w:rPr>
          <w:color w:val="000000"/>
          <w:sz w:val="24"/>
        </w:rPr>
        <w:t>in light of</w:t>
      </w:r>
      <w:r w:rsidR="002E4C3C">
        <w:rPr>
          <w:color w:val="000000"/>
          <w:sz w:val="24"/>
        </w:rPr>
        <w:t xml:space="preserve"> burden-reducing elimination of the IRB roster</w:t>
      </w:r>
      <w:r w:rsidRPr="00DC0CCF">
        <w:rPr>
          <w:color w:val="000000"/>
          <w:sz w:val="24"/>
        </w:rPr>
        <w:t>. We estimate that there will be</w:t>
      </w:r>
      <w:r w:rsidR="002A3714">
        <w:rPr>
          <w:color w:val="000000"/>
          <w:sz w:val="24"/>
        </w:rPr>
        <w:t xml:space="preserve"> </w:t>
      </w:r>
      <w:r w:rsidR="00452DD3">
        <w:rPr>
          <w:color w:val="000000"/>
          <w:sz w:val="24"/>
        </w:rPr>
        <w:t xml:space="preserve">an average of </w:t>
      </w:r>
      <w:r w:rsidR="00D03C06">
        <w:rPr>
          <w:color w:val="000000"/>
          <w:sz w:val="24"/>
        </w:rPr>
        <w:t>1</w:t>
      </w:r>
      <w:r w:rsidR="00452DD3">
        <w:rPr>
          <w:color w:val="000000"/>
          <w:sz w:val="24"/>
        </w:rPr>
        <w:t xml:space="preserve"> IRB registration update or renewal application sub</w:t>
      </w:r>
      <w:r w:rsidR="00A6332E">
        <w:rPr>
          <w:color w:val="000000"/>
          <w:sz w:val="24"/>
        </w:rPr>
        <w:t>missions annually</w:t>
      </w:r>
      <w:r w:rsidR="00452DD3">
        <w:rPr>
          <w:color w:val="000000"/>
          <w:sz w:val="24"/>
        </w:rPr>
        <w:t xml:space="preserve"> </w:t>
      </w:r>
      <w:r w:rsidR="005F5A30">
        <w:rPr>
          <w:color w:val="000000"/>
          <w:sz w:val="24"/>
        </w:rPr>
        <w:t>for IRBs currently registered with OHRP</w:t>
      </w:r>
      <w:r w:rsidR="00A6332E">
        <w:rPr>
          <w:color w:val="000000"/>
          <w:sz w:val="24"/>
        </w:rPr>
        <w:t xml:space="preserve"> (</w:t>
      </w:r>
      <w:r w:rsidR="004F6D5B">
        <w:rPr>
          <w:color w:val="000000"/>
          <w:sz w:val="24"/>
        </w:rPr>
        <w:t>5,</w:t>
      </w:r>
      <w:r w:rsidR="002A0228">
        <w:rPr>
          <w:color w:val="000000"/>
          <w:sz w:val="24"/>
        </w:rPr>
        <w:t>000</w:t>
      </w:r>
      <w:r w:rsidR="004F6D5B">
        <w:rPr>
          <w:color w:val="000000"/>
          <w:sz w:val="24"/>
        </w:rPr>
        <w:t>)</w:t>
      </w:r>
      <w:r w:rsidR="00832D2A">
        <w:rPr>
          <w:color w:val="000000"/>
          <w:sz w:val="24"/>
        </w:rPr>
        <w:t xml:space="preserve">. We also estimate </w:t>
      </w:r>
      <w:r w:rsidR="00334181">
        <w:rPr>
          <w:color w:val="000000"/>
          <w:sz w:val="24"/>
        </w:rPr>
        <w:t>350</w:t>
      </w:r>
      <w:r w:rsidR="002A0228">
        <w:rPr>
          <w:color w:val="000000"/>
          <w:sz w:val="24"/>
        </w:rPr>
        <w:t xml:space="preserve"> institutions will </w:t>
      </w:r>
      <w:r w:rsidR="00AF3483">
        <w:rPr>
          <w:color w:val="000000"/>
          <w:sz w:val="24"/>
        </w:rPr>
        <w:t>register for the first time.</w:t>
      </w:r>
      <w:r w:rsidR="002A0228">
        <w:rPr>
          <w:color w:val="000000"/>
          <w:sz w:val="24"/>
        </w:rPr>
        <w:t xml:space="preserve"> The IRB registration form </w:t>
      </w:r>
      <w:r w:rsidR="000D3D72">
        <w:rPr>
          <w:color w:val="000000"/>
          <w:sz w:val="24"/>
        </w:rPr>
        <w:t xml:space="preserve">will </w:t>
      </w:r>
      <w:r w:rsidR="00AF3483">
        <w:rPr>
          <w:color w:val="000000"/>
          <w:sz w:val="24"/>
        </w:rPr>
        <w:t>take</w:t>
      </w:r>
      <w:r w:rsidR="000D3D72">
        <w:rPr>
          <w:color w:val="000000"/>
          <w:sz w:val="24"/>
        </w:rPr>
        <w:t xml:space="preserve"> 30 minutes to complete</w:t>
      </w:r>
      <w:r w:rsidR="00AF3483">
        <w:rPr>
          <w:color w:val="000000"/>
          <w:sz w:val="24"/>
        </w:rPr>
        <w:t xml:space="preserve"> for</w:t>
      </w:r>
      <w:r w:rsidR="002A0228">
        <w:rPr>
          <w:color w:val="000000"/>
          <w:sz w:val="24"/>
        </w:rPr>
        <w:t xml:space="preserve"> institutions</w:t>
      </w:r>
      <w:r w:rsidR="00AF3483">
        <w:rPr>
          <w:color w:val="000000"/>
          <w:sz w:val="24"/>
        </w:rPr>
        <w:t xml:space="preserve"> registering for the first time (350)</w:t>
      </w:r>
      <w:r w:rsidR="002A0228">
        <w:rPr>
          <w:color w:val="000000"/>
          <w:sz w:val="24"/>
        </w:rPr>
        <w:t xml:space="preserve"> and </w:t>
      </w:r>
      <w:r w:rsidR="00AF3483">
        <w:rPr>
          <w:color w:val="000000"/>
          <w:sz w:val="24"/>
        </w:rPr>
        <w:t xml:space="preserve">for </w:t>
      </w:r>
      <w:r w:rsidR="002A0228">
        <w:rPr>
          <w:color w:val="000000"/>
          <w:sz w:val="24"/>
        </w:rPr>
        <w:t>institutions updating or renewing their existing registration</w:t>
      </w:r>
      <w:r w:rsidR="00AF3483">
        <w:rPr>
          <w:color w:val="000000"/>
          <w:sz w:val="24"/>
        </w:rPr>
        <w:t xml:space="preserve"> (5,000)</w:t>
      </w:r>
      <w:r w:rsidR="00152DA1">
        <w:rPr>
          <w:color w:val="000000"/>
          <w:sz w:val="24"/>
        </w:rPr>
        <w:t xml:space="preserve">, accounting for </w:t>
      </w:r>
      <w:r w:rsidR="00E51585">
        <w:rPr>
          <w:color w:val="000000"/>
          <w:sz w:val="24"/>
        </w:rPr>
        <w:t>the</w:t>
      </w:r>
      <w:r w:rsidR="00152DA1">
        <w:rPr>
          <w:color w:val="000000"/>
          <w:sz w:val="24"/>
        </w:rPr>
        <w:t xml:space="preserve"> estimated </w:t>
      </w:r>
      <w:r w:rsidR="009475A9">
        <w:rPr>
          <w:color w:val="000000"/>
          <w:sz w:val="24"/>
        </w:rPr>
        <w:t>2,</w:t>
      </w:r>
      <w:r w:rsidR="002A0228">
        <w:rPr>
          <w:color w:val="000000"/>
          <w:sz w:val="24"/>
        </w:rPr>
        <w:t>675</w:t>
      </w:r>
      <w:r w:rsidR="00766BB1">
        <w:rPr>
          <w:color w:val="000000"/>
          <w:sz w:val="24"/>
        </w:rPr>
        <w:t xml:space="preserve"> burden hours.</w:t>
      </w:r>
      <w:r w:rsidR="000C06B5">
        <w:rPr>
          <w:color w:val="000000"/>
          <w:sz w:val="24"/>
        </w:rPr>
        <w:t xml:space="preserve"> </w:t>
      </w:r>
      <w:r w:rsidRPr="00DC0CCF">
        <w:rPr>
          <w:color w:val="000000"/>
          <w:sz w:val="24"/>
        </w:rPr>
        <w:t>Th</w:t>
      </w:r>
      <w:r>
        <w:rPr>
          <w:color w:val="000000"/>
          <w:sz w:val="24"/>
        </w:rPr>
        <w:t>is represents a decrease</w:t>
      </w:r>
      <w:r w:rsidRPr="00DC0CCF">
        <w:rPr>
          <w:color w:val="000000"/>
          <w:sz w:val="24"/>
        </w:rPr>
        <w:t xml:space="preserve"> in annual burden hours</w:t>
      </w:r>
      <w:r>
        <w:rPr>
          <w:color w:val="000000"/>
          <w:sz w:val="24"/>
        </w:rPr>
        <w:t xml:space="preserve"> of </w:t>
      </w:r>
      <w:r w:rsidR="0005505D">
        <w:rPr>
          <w:color w:val="000000"/>
          <w:sz w:val="24"/>
        </w:rPr>
        <w:t>3,500</w:t>
      </w:r>
      <w:r>
        <w:rPr>
          <w:color w:val="000000"/>
          <w:sz w:val="24"/>
        </w:rPr>
        <w:t xml:space="preserve"> hours</w:t>
      </w:r>
      <w:r w:rsidRPr="00DC0CCF">
        <w:rPr>
          <w:color w:val="000000"/>
          <w:sz w:val="24"/>
        </w:rPr>
        <w:t xml:space="preserve"> compared to the previously approved burden. </w:t>
      </w:r>
      <w:r>
        <w:rPr>
          <w:color w:val="000000"/>
          <w:sz w:val="24"/>
        </w:rPr>
        <w:t>The change accounts for implementation of the 2018 Requirements</w:t>
      </w:r>
      <w:r w:rsidR="002A0A5C">
        <w:rPr>
          <w:color w:val="000000"/>
          <w:sz w:val="24"/>
        </w:rPr>
        <w:t xml:space="preserve"> </w:t>
      </w:r>
      <w:r w:rsidR="0058607B">
        <w:rPr>
          <w:color w:val="000000"/>
          <w:sz w:val="24"/>
        </w:rPr>
        <w:t xml:space="preserve">at </w:t>
      </w:r>
      <w:r w:rsidR="0044764D">
        <w:rPr>
          <w:color w:val="000000"/>
          <w:sz w:val="24"/>
        </w:rPr>
        <w:t>45 CFR 46.103</w:t>
      </w:r>
      <w:r w:rsidR="002A0A5C">
        <w:rPr>
          <w:color w:val="000000"/>
          <w:sz w:val="24"/>
        </w:rPr>
        <w:t xml:space="preserve">, </w:t>
      </w:r>
      <w:r w:rsidR="00992DDF">
        <w:rPr>
          <w:color w:val="000000"/>
          <w:sz w:val="24"/>
        </w:rPr>
        <w:t>thereby</w:t>
      </w:r>
      <w:r w:rsidR="002A0A5C">
        <w:rPr>
          <w:color w:val="000000"/>
          <w:sz w:val="24"/>
        </w:rPr>
        <w:t xml:space="preserve"> reduc</w:t>
      </w:r>
      <w:r w:rsidR="00992DDF">
        <w:rPr>
          <w:color w:val="000000"/>
          <w:sz w:val="24"/>
        </w:rPr>
        <w:t>ing</w:t>
      </w:r>
      <w:r w:rsidR="002A0A5C">
        <w:rPr>
          <w:color w:val="000000"/>
          <w:sz w:val="24"/>
        </w:rPr>
        <w:t xml:space="preserve"> the</w:t>
      </w:r>
      <w:r w:rsidR="009B1F36">
        <w:rPr>
          <w:color w:val="000000"/>
          <w:sz w:val="24"/>
        </w:rPr>
        <w:t xml:space="preserve"> burden of registering or updating</w:t>
      </w:r>
      <w:r w:rsidR="00AF3483">
        <w:rPr>
          <w:color w:val="000000"/>
          <w:sz w:val="24"/>
        </w:rPr>
        <w:t xml:space="preserve"> or renewing</w:t>
      </w:r>
      <w:r w:rsidR="009B1F36">
        <w:rPr>
          <w:color w:val="000000"/>
          <w:sz w:val="24"/>
        </w:rPr>
        <w:t xml:space="preserve"> an IRB</w:t>
      </w:r>
      <w:r w:rsidR="00645F98">
        <w:rPr>
          <w:color w:val="000000"/>
          <w:sz w:val="24"/>
        </w:rPr>
        <w:t>. The changes</w:t>
      </w:r>
      <w:r w:rsidR="00D03C06">
        <w:rPr>
          <w:color w:val="000000"/>
          <w:sz w:val="24"/>
        </w:rPr>
        <w:t xml:space="preserve"> also</w:t>
      </w:r>
      <w:r w:rsidR="00645F98">
        <w:rPr>
          <w:color w:val="000000"/>
          <w:sz w:val="24"/>
        </w:rPr>
        <w:t xml:space="preserve"> result in</w:t>
      </w:r>
      <w:r>
        <w:rPr>
          <w:color w:val="000000"/>
          <w:sz w:val="24"/>
        </w:rPr>
        <w:t xml:space="preserve"> a simplified, shorter application process</w:t>
      </w:r>
      <w:r w:rsidR="004B6304">
        <w:rPr>
          <w:color w:val="000000"/>
          <w:sz w:val="24"/>
        </w:rPr>
        <w:t xml:space="preserve"> and fewer registration updates</w:t>
      </w:r>
      <w:r>
        <w:rPr>
          <w:color w:val="000000"/>
          <w:sz w:val="24"/>
        </w:rPr>
        <w:t xml:space="preserve"> for respondents. </w:t>
      </w:r>
    </w:p>
    <w:p w:rsidR="00C203A7" w:rsidRPr="006C0A13" w14:paraId="57AAB089" w14:textId="15DF5B56">
      <w:pPr>
        <w:pStyle w:val="BodyTextIndent"/>
        <w:ind w:left="1080"/>
        <w:rPr>
          <w:rFonts w:ascii="Times New Roman" w:hAnsi="Times New Roman"/>
          <w:color w:val="000000"/>
        </w:rPr>
      </w:pPr>
      <w:r>
        <w:rPr>
          <w:rFonts w:ascii="Times New Roman" w:hAnsi="Times New Roman"/>
          <w:color w:val="000000"/>
        </w:rPr>
        <w:t xml:space="preserve"> </w:t>
      </w:r>
    </w:p>
    <w:p w:rsidR="00785FF2" w:rsidRPr="002944B4" w:rsidP="00C3526A" w14:paraId="4A436B4F" w14:textId="77777777">
      <w:pPr>
        <w:ind w:left="1080" w:firstLine="720"/>
        <w:rPr>
          <w:color w:val="000000"/>
          <w:sz w:val="24"/>
        </w:rPr>
      </w:pPr>
    </w:p>
    <w:p w:rsidR="00785FF2" w:rsidRPr="002944B4" w:rsidP="00C3526A" w14:paraId="177892FD" w14:textId="77777777">
      <w:pPr>
        <w:numPr>
          <w:ilvl w:val="0"/>
          <w:numId w:val="8"/>
        </w:numPr>
        <w:tabs>
          <w:tab w:val="clear" w:pos="1080"/>
          <w:tab w:val="num" w:pos="2160"/>
        </w:tabs>
        <w:rPr>
          <w:color w:val="000000"/>
          <w:sz w:val="24"/>
        </w:rPr>
      </w:pPr>
      <w:r w:rsidRPr="002944B4">
        <w:rPr>
          <w:color w:val="000000"/>
          <w:sz w:val="24"/>
          <w:u w:val="single"/>
        </w:rPr>
        <w:t>Plans for Tabulation and Publication and Project Time Schedule</w:t>
      </w:r>
    </w:p>
    <w:p w:rsidR="00785FF2" w:rsidRPr="002944B4" w:rsidP="00E53E93" w14:paraId="07ABACDC" w14:textId="77777777">
      <w:pPr>
        <w:ind w:left="1080"/>
        <w:rPr>
          <w:color w:val="000000"/>
          <w:sz w:val="24"/>
        </w:rPr>
      </w:pPr>
    </w:p>
    <w:p w:rsidR="00C203A7" w:rsidRPr="002944B4" w:rsidP="00C3526A" w14:paraId="60132932" w14:textId="77777777">
      <w:pPr>
        <w:ind w:left="1080" w:firstLine="360"/>
        <w:rPr>
          <w:color w:val="000000"/>
          <w:sz w:val="24"/>
        </w:rPr>
      </w:pPr>
      <w:r w:rsidRPr="002944B4">
        <w:rPr>
          <w:color w:val="000000"/>
          <w:sz w:val="24"/>
        </w:rPr>
        <w:t>There are no plans to publish or tabulate the information.</w:t>
      </w:r>
    </w:p>
    <w:p w:rsidR="00C203A7" w:rsidRPr="002944B4" w:rsidP="00C3526A" w14:paraId="5A20429F" w14:textId="77777777">
      <w:pPr>
        <w:ind w:left="1080"/>
        <w:rPr>
          <w:color w:val="000000"/>
          <w:sz w:val="24"/>
        </w:rPr>
      </w:pPr>
    </w:p>
    <w:p w:rsidR="00C203A7" w:rsidRPr="002944B4" w:rsidP="00C3526A" w14:paraId="22A8B756" w14:textId="77777777">
      <w:pPr>
        <w:numPr>
          <w:ilvl w:val="0"/>
          <w:numId w:val="8"/>
        </w:numPr>
        <w:tabs>
          <w:tab w:val="left" w:pos="-1440"/>
          <w:tab w:val="clear" w:pos="1080"/>
          <w:tab w:val="num" w:pos="2160"/>
        </w:tabs>
        <w:rPr>
          <w:color w:val="000000"/>
          <w:sz w:val="24"/>
        </w:rPr>
      </w:pPr>
      <w:r w:rsidRPr="002944B4">
        <w:rPr>
          <w:color w:val="000000"/>
          <w:sz w:val="24"/>
          <w:u w:val="single"/>
        </w:rPr>
        <w:t xml:space="preserve">Reason(s) Display of OMB Expiration Date is </w:t>
      </w:r>
      <w:r w:rsidRPr="002944B4">
        <w:rPr>
          <w:bCs/>
          <w:color w:val="000000"/>
          <w:sz w:val="24"/>
          <w:u w:val="single"/>
        </w:rPr>
        <w:t>Inappropriate</w:t>
      </w:r>
    </w:p>
    <w:p w:rsidR="00C203A7" w:rsidRPr="002944B4" w:rsidP="00C3526A" w14:paraId="3D8E3576" w14:textId="77777777">
      <w:pPr>
        <w:ind w:left="1080"/>
        <w:rPr>
          <w:color w:val="000000"/>
          <w:sz w:val="24"/>
        </w:rPr>
      </w:pPr>
    </w:p>
    <w:p w:rsidR="001B5C15" w:rsidP="001B5C15" w14:paraId="4FDAF0AF" w14:textId="55FBB98B">
      <w:pPr>
        <w:pStyle w:val="BodyTextIndent"/>
        <w:ind w:left="1080"/>
        <w:rPr>
          <w:rFonts w:ascii="Times New Roman" w:hAnsi="Times New Roman"/>
        </w:rPr>
      </w:pPr>
      <w:r>
        <w:rPr>
          <w:rFonts w:ascii="Times New Roman" w:hAnsi="Times New Roman"/>
        </w:rPr>
        <w:t xml:space="preserve">OHRP requests a waiver of the requirement to post the OMB expiration date on the IRB Registration Form. Institutions sometimes see the OMB expiration date on their completed, accepted IRB registration form and incorrectly believe that it is the date on which their </w:t>
      </w:r>
      <w:r w:rsidR="005A7ABA">
        <w:rPr>
          <w:rFonts w:ascii="Times New Roman" w:hAnsi="Times New Roman"/>
        </w:rPr>
        <w:t>IRB registration</w:t>
      </w:r>
      <w:r>
        <w:rPr>
          <w:rFonts w:ascii="Times New Roman" w:hAnsi="Times New Roman"/>
        </w:rPr>
        <w:t xml:space="preserve"> expires. In addition to confusion, this can lead to failure to renew the </w:t>
      </w:r>
      <w:r w:rsidR="005A7ABA">
        <w:rPr>
          <w:rFonts w:ascii="Times New Roman" w:hAnsi="Times New Roman"/>
        </w:rPr>
        <w:t>IRB registration</w:t>
      </w:r>
      <w:r>
        <w:rPr>
          <w:rFonts w:ascii="Times New Roman" w:hAnsi="Times New Roman"/>
        </w:rPr>
        <w:t xml:space="preserve"> on time and potential noncompliance with the Common Rule. For this reason, we request approval to not list OMB’s expiration date on the </w:t>
      </w:r>
      <w:r w:rsidR="00BE1212">
        <w:rPr>
          <w:rFonts w:ascii="Times New Roman" w:hAnsi="Times New Roman"/>
        </w:rPr>
        <w:t>IRB Registration</w:t>
      </w:r>
      <w:r>
        <w:rPr>
          <w:rFonts w:ascii="Times New Roman" w:hAnsi="Times New Roman"/>
        </w:rPr>
        <w:t xml:space="preserve"> </w:t>
      </w:r>
      <w:r w:rsidR="00BE1212">
        <w:rPr>
          <w:rFonts w:ascii="Times New Roman" w:hAnsi="Times New Roman"/>
        </w:rPr>
        <w:t>F</w:t>
      </w:r>
      <w:r>
        <w:rPr>
          <w:rFonts w:ascii="Times New Roman" w:hAnsi="Times New Roman"/>
        </w:rPr>
        <w:t xml:space="preserve">orm. </w:t>
      </w:r>
    </w:p>
    <w:p w:rsidR="00C203A7" w:rsidRPr="002944B4" w:rsidP="00C3526A" w14:paraId="13A5B3D5" w14:textId="3A72D0EB">
      <w:pPr>
        <w:ind w:left="1080" w:firstLine="360"/>
        <w:rPr>
          <w:color w:val="000000"/>
          <w:sz w:val="24"/>
        </w:rPr>
      </w:pPr>
    </w:p>
    <w:p w:rsidR="00C203A7" w:rsidRPr="002944B4" w:rsidP="00C3526A" w14:paraId="56F09C30" w14:textId="77777777">
      <w:pPr>
        <w:ind w:left="1080"/>
        <w:rPr>
          <w:color w:val="000000"/>
          <w:sz w:val="24"/>
        </w:rPr>
      </w:pPr>
    </w:p>
    <w:p w:rsidR="00C203A7" w:rsidRPr="002944B4" w:rsidP="00C3526A" w14:paraId="67A4C4E9" w14:textId="77777777">
      <w:pPr>
        <w:numPr>
          <w:ilvl w:val="0"/>
          <w:numId w:val="8"/>
        </w:numPr>
        <w:tabs>
          <w:tab w:val="clear" w:pos="1080"/>
          <w:tab w:val="num" w:pos="2160"/>
        </w:tabs>
        <w:rPr>
          <w:color w:val="000000"/>
          <w:sz w:val="24"/>
        </w:rPr>
      </w:pPr>
      <w:r w:rsidRPr="002944B4">
        <w:rPr>
          <w:bCs/>
          <w:color w:val="000000"/>
          <w:sz w:val="24"/>
          <w:u w:val="single"/>
        </w:rPr>
        <w:t>Exceptions to Certification for Paperwork Reduction Act Submissions</w:t>
      </w:r>
    </w:p>
    <w:p w:rsidR="00C203A7" w:rsidRPr="002944B4" w:rsidP="00C3526A" w14:paraId="372318EE" w14:textId="77777777">
      <w:pPr>
        <w:ind w:left="1080"/>
        <w:rPr>
          <w:color w:val="000000"/>
          <w:sz w:val="24"/>
        </w:rPr>
      </w:pPr>
    </w:p>
    <w:p w:rsidR="00C203A7" w:rsidRPr="002944B4" w:rsidP="00C3526A" w14:paraId="588026B8" w14:textId="77777777">
      <w:pPr>
        <w:ind w:left="1080" w:firstLine="360"/>
        <w:rPr>
          <w:color w:val="000000"/>
          <w:sz w:val="24"/>
        </w:rPr>
      </w:pPr>
      <w:r w:rsidRPr="002944B4">
        <w:rPr>
          <w:color w:val="000000"/>
          <w:sz w:val="24"/>
        </w:rPr>
        <w:t>No exception is requested.</w:t>
      </w:r>
    </w:p>
    <w:p w:rsidR="00785FF2" w:rsidRPr="002944B4" w:rsidP="00C3526A" w14:paraId="475A4CE4" w14:textId="77777777">
      <w:pPr>
        <w:pStyle w:val="BodyTextIndent"/>
        <w:ind w:left="0"/>
        <w:rPr>
          <w:rFonts w:ascii="Times New Roman" w:hAnsi="Times New Roman"/>
          <w:color w:val="000000"/>
        </w:rPr>
      </w:pPr>
    </w:p>
    <w:p w:rsidR="00785FF2" w:rsidRPr="002944B4" w:rsidP="00C3526A" w14:paraId="6E449DD1" w14:textId="77777777">
      <w:pPr>
        <w:pStyle w:val="BodyTextIndent"/>
        <w:ind w:left="0"/>
        <w:rPr>
          <w:rFonts w:ascii="Times New Roman" w:hAnsi="Times New Roman"/>
          <w:color w:val="000000"/>
        </w:rPr>
      </w:pPr>
    </w:p>
    <w:p w:rsidR="00785FF2" w:rsidRPr="002944B4" w:rsidP="00E53E93" w14:paraId="596756B5" w14:textId="77777777">
      <w:pPr>
        <w:pStyle w:val="Heading1"/>
        <w:rPr>
          <w:color w:val="000000"/>
          <w:sz w:val="28"/>
          <w:szCs w:val="28"/>
        </w:rPr>
      </w:pPr>
      <w:r w:rsidRPr="002944B4">
        <w:rPr>
          <w:bCs w:val="0"/>
          <w:color w:val="000000"/>
          <w:sz w:val="28"/>
          <w:szCs w:val="28"/>
        </w:rPr>
        <w:t>B. Justification of Information</w:t>
      </w:r>
      <w:r w:rsidRPr="002944B4">
        <w:rPr>
          <w:color w:val="000000"/>
          <w:sz w:val="28"/>
          <w:szCs w:val="28"/>
        </w:rPr>
        <w:t xml:space="preserve"> Employing Statistical Methods</w:t>
      </w:r>
    </w:p>
    <w:p w:rsidR="00785FF2" w:rsidRPr="002944B4" w14:paraId="6C763A4A" w14:textId="77777777">
      <w:pPr>
        <w:rPr>
          <w:color w:val="000000"/>
        </w:rPr>
      </w:pPr>
    </w:p>
    <w:p w:rsidR="00785FF2" w:rsidRPr="002944B4" w14:paraId="0EA70F3D" w14:textId="77777777">
      <w:pPr>
        <w:pStyle w:val="Heading3"/>
        <w:ind w:left="0" w:firstLine="0"/>
        <w:rPr>
          <w:color w:val="000000"/>
        </w:rPr>
      </w:pPr>
      <w:r w:rsidRPr="002944B4">
        <w:rPr>
          <w:color w:val="000000"/>
        </w:rPr>
        <w:t>Not Applicable</w:t>
      </w:r>
    </w:p>
    <w:p w:rsidR="00785FF2" w:rsidRPr="002944B4" w14:paraId="3A004F6F" w14:textId="77777777">
      <w:pPr>
        <w:rPr>
          <w:b/>
          <w:bCs/>
          <w:color w:val="000000"/>
          <w:sz w:val="24"/>
        </w:rPr>
      </w:pPr>
    </w:p>
    <w:p w:rsidR="00785FF2" w:rsidRPr="002944B4" w14:paraId="38F4189C" w14:textId="77777777">
      <w:pPr>
        <w:rPr>
          <w:b/>
          <w:bCs/>
          <w:color w:val="000000"/>
          <w:sz w:val="24"/>
        </w:rPr>
      </w:pPr>
    </w:p>
    <w:p w:rsidR="00785FF2" w:rsidRPr="002944B4" w14:paraId="0760F6DC" w14:textId="77777777">
      <w:pPr>
        <w:rPr>
          <w:b/>
          <w:bCs/>
          <w:color w:val="000000"/>
          <w:sz w:val="24"/>
        </w:rPr>
      </w:pPr>
      <w:r w:rsidRPr="002944B4">
        <w:rPr>
          <w:b/>
          <w:bCs/>
          <w:color w:val="000000"/>
          <w:sz w:val="24"/>
        </w:rPr>
        <w:t>LIST OF ATTACHMENTS</w:t>
      </w:r>
    </w:p>
    <w:p w:rsidR="00785FF2" w:rsidRPr="002944B4" w14:paraId="2DEB15C3" w14:textId="77777777">
      <w:pPr>
        <w:rPr>
          <w:b/>
          <w:bCs/>
          <w:color w:val="000000"/>
          <w:sz w:val="24"/>
        </w:rPr>
      </w:pPr>
    </w:p>
    <w:p w:rsidR="00785FF2" w:rsidRPr="0042584E" w14:paraId="2EAEAA64" w14:textId="77777777">
      <w:pPr>
        <w:pStyle w:val="Heading4"/>
        <w:rPr>
          <w:color w:val="000000" w:themeColor="text1"/>
        </w:rPr>
      </w:pPr>
      <w:r w:rsidRPr="0042584E">
        <w:rPr>
          <w:color w:val="000000" w:themeColor="text1"/>
        </w:rPr>
        <w:t xml:space="preserve">Attachment 1 – Legal Authorities </w:t>
      </w:r>
    </w:p>
    <w:p w:rsidR="00785FF2" w:rsidRPr="0042584E" w14:paraId="7DCB7BEA" w14:textId="77777777">
      <w:pPr>
        <w:ind w:left="720"/>
        <w:rPr>
          <w:color w:val="000000" w:themeColor="text1"/>
          <w:sz w:val="24"/>
        </w:rPr>
      </w:pPr>
      <w:r w:rsidRPr="0042584E">
        <w:rPr>
          <w:color w:val="000000" w:themeColor="text1"/>
          <w:sz w:val="24"/>
        </w:rPr>
        <w:t>a.   Section 491 of the Public Health Service Act</w:t>
      </w:r>
    </w:p>
    <w:p w:rsidR="003625C7" w:rsidRPr="0042584E" w14:paraId="6369D4EE" w14:textId="1F7AA5C8">
      <w:pPr>
        <w:numPr>
          <w:ilvl w:val="0"/>
          <w:numId w:val="4"/>
        </w:numPr>
        <w:rPr>
          <w:color w:val="000000" w:themeColor="text1"/>
          <w:sz w:val="24"/>
        </w:rPr>
      </w:pPr>
      <w:r w:rsidRPr="0042584E">
        <w:rPr>
          <w:color w:val="000000" w:themeColor="text1"/>
          <w:sz w:val="24"/>
        </w:rPr>
        <w:t>Title 45 Code of Federal Regulations Part 46</w:t>
      </w:r>
      <w:r w:rsidRPr="0042584E" w:rsidR="00AE0577">
        <w:rPr>
          <w:color w:val="000000" w:themeColor="text1"/>
          <w:sz w:val="24"/>
        </w:rPr>
        <w:t xml:space="preserve"> and </w:t>
      </w:r>
      <w:r w:rsidRPr="0042584E">
        <w:rPr>
          <w:color w:val="000000" w:themeColor="text1"/>
          <w:sz w:val="24"/>
        </w:rPr>
        <w:t>Title 21 Code of Federal Regulations Part 56</w:t>
      </w:r>
    </w:p>
    <w:p w:rsidR="00785FF2" w:rsidRPr="0042584E" w14:paraId="6E1A8FDE" w14:textId="77777777">
      <w:pPr>
        <w:ind w:left="720"/>
        <w:rPr>
          <w:b/>
          <w:color w:val="000000" w:themeColor="text1"/>
          <w:sz w:val="24"/>
        </w:rPr>
      </w:pPr>
      <w:r w:rsidRPr="0042584E">
        <w:rPr>
          <w:b/>
          <w:color w:val="000000" w:themeColor="text1"/>
          <w:sz w:val="24"/>
        </w:rPr>
        <w:tab/>
      </w:r>
    </w:p>
    <w:p w:rsidR="00785FF2" w:rsidRPr="0042584E" w:rsidP="00AE0577" w14:paraId="16F7A9BD" w14:textId="09CDBF2B">
      <w:pPr>
        <w:rPr>
          <w:color w:val="000000" w:themeColor="text1"/>
          <w:sz w:val="24"/>
        </w:rPr>
      </w:pPr>
      <w:r w:rsidRPr="0042584E">
        <w:rPr>
          <w:color w:val="000000" w:themeColor="text1"/>
          <w:sz w:val="24"/>
        </w:rPr>
        <w:t xml:space="preserve">Attachment 2 – </w:t>
      </w:r>
      <w:r w:rsidRPr="0042584E" w:rsidR="0042584E">
        <w:rPr>
          <w:color w:val="000000" w:themeColor="text1"/>
          <w:sz w:val="24"/>
        </w:rPr>
        <w:t xml:space="preserve">IRB Registration Form </w:t>
      </w:r>
    </w:p>
    <w:p w:rsidR="00785FF2" w:rsidRPr="0042584E" w14:paraId="36376DC2" w14:textId="77777777">
      <w:pPr>
        <w:rPr>
          <w:color w:val="000000" w:themeColor="text1"/>
          <w:sz w:val="24"/>
        </w:rPr>
      </w:pPr>
    </w:p>
    <w:p w:rsidR="00622AE2" w:rsidRPr="0042584E" w:rsidP="00AE0577" w14:paraId="032DFC88" w14:textId="65769E6B">
      <w:pPr>
        <w:rPr>
          <w:color w:val="000000" w:themeColor="text1"/>
          <w:sz w:val="24"/>
        </w:rPr>
      </w:pPr>
      <w:r w:rsidRPr="0042584E">
        <w:rPr>
          <w:color w:val="000000" w:themeColor="text1"/>
          <w:sz w:val="24"/>
        </w:rPr>
        <w:t>Atta</w:t>
      </w:r>
      <w:r w:rsidRPr="0042584E" w:rsidR="0042584E">
        <w:rPr>
          <w:color w:val="000000" w:themeColor="text1"/>
          <w:sz w:val="24"/>
        </w:rPr>
        <w:t>chment 3 - Instructions for completing the IRB Registration Form</w:t>
      </w:r>
    </w:p>
    <w:p w:rsidR="00785FF2" w:rsidP="00622AE2" w14:paraId="163DA262" w14:textId="77777777">
      <w:pPr>
        <w:rPr>
          <w:sz w:val="24"/>
        </w:rPr>
      </w:pPr>
    </w:p>
    <w:p w:rsidR="00785FF2" w14:paraId="558B4D30" w14:textId="77777777">
      <w:pPr>
        <w:rPr>
          <w:sz w:val="24"/>
        </w:rPr>
      </w:pPr>
    </w:p>
    <w:sectPr w:rsidSect="000F10B3">
      <w:headerReference w:type="even" r:id="rId10"/>
      <w:headerReference w:type="default" r:id="rId11"/>
      <w:footerReference w:type="even" r:id="rId12"/>
      <w:footerReference w:type="default" r:id="rId13"/>
      <w:headerReference w:type="first" r:id="rId14"/>
      <w:footerReference w:type="first" r:id="rId15"/>
      <w:endnotePr>
        <w:numFmt w:val="decimal"/>
      </w:endnotePr>
      <w:type w:val="continuous"/>
      <w:pgSz w:w="12240" w:h="15840"/>
      <w:pgMar w:top="1260" w:right="1440" w:bottom="990" w:left="1440" w:header="1440" w:footer="144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P TypographicSymbols">
    <w:altName w:val="Calibri"/>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5FF2" w14:paraId="5C1D152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85FF2" w14:paraId="62C0AC5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3546" w14:paraId="0EAD469D" w14:textId="41C6981A">
    <w:pPr>
      <w:pStyle w:val="Footer"/>
      <w:jc w:val="center"/>
    </w:pPr>
    <w:r>
      <w:fldChar w:fldCharType="begin"/>
    </w:r>
    <w:r>
      <w:instrText xml:space="preserve"> PAGE   \* MERGEFORMAT </w:instrText>
    </w:r>
    <w:r>
      <w:fldChar w:fldCharType="separate"/>
    </w:r>
    <w:r w:rsidR="001D63A8">
      <w:rPr>
        <w:noProof/>
      </w:rPr>
      <w:t>3</w:t>
    </w:r>
    <w:r>
      <w:fldChar w:fldCharType="end"/>
    </w:r>
  </w:p>
  <w:p w:rsidR="00785FF2" w14:paraId="287AA7B0" w14:textId="77777777">
    <w:pPr>
      <w:rPr>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7642" w14:paraId="31F3EC1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24750" w14:paraId="0CE57E83" w14:textId="77777777">
      <w:r>
        <w:separator/>
      </w:r>
    </w:p>
  </w:footnote>
  <w:footnote w:type="continuationSeparator" w:id="1">
    <w:p w:rsidR="00D24750" w14:paraId="53E9DE1B" w14:textId="77777777">
      <w:r>
        <w:continuationSeparator/>
      </w:r>
    </w:p>
  </w:footnote>
  <w:footnote w:type="continuationNotice" w:id="2">
    <w:p w:rsidR="00D24750" w14:paraId="1E50C20D" w14:textId="77777777"/>
  </w:footnote>
  <w:footnote w:id="3">
    <w:p w:rsidR="00690AC6" w:rsidP="00690AC6" w14:paraId="509767AF" w14:textId="77777777">
      <w:pPr>
        <w:pStyle w:val="FootnoteText"/>
      </w:pPr>
      <w:r>
        <w:rPr>
          <w:rStyle w:val="FootnoteReference"/>
        </w:rPr>
        <w:footnoteRef/>
      </w:r>
      <w:r>
        <w:t xml:space="preserve"> The pre-2018 Requirements was originally promulgated in 1991 (56 FR 28012, 28022) and amended on June 23, 2005 (70 FR 36325).  The 2018 Protection of Human Subjects Regulations (or 2018 Requirements), codified at </w:t>
      </w:r>
      <w:r w:rsidRPr="000C6510">
        <w:t>subpart A,</w:t>
      </w:r>
      <w:r>
        <w:t xml:space="preserve"> 45 CFR part 46 (as amended), was originally published on January 19, 2017 (82 FR 7149), and amended on January 22, 2018 (83 FR 2885) and June 19, 2018 (83 FR 28497).  </w:t>
      </w:r>
    </w:p>
  </w:footnote>
  <w:footnote w:id="4">
    <w:p w:rsidR="00690AC6" w:rsidP="00690AC6" w14:paraId="5B71750C" w14:textId="77777777">
      <w:pPr>
        <w:pStyle w:val="FootnoteText"/>
      </w:pPr>
      <w:r>
        <w:rPr>
          <w:rStyle w:val="FootnoteReference"/>
        </w:rPr>
        <w:footnoteRef/>
      </w:r>
      <w:r>
        <w:t xml:space="preserve"> The revised Common Rule (also referred to as the “2018 Requirements”), codified at </w:t>
      </w:r>
      <w:r w:rsidRPr="000C6510">
        <w:t>subpart A,</w:t>
      </w:r>
      <w:r>
        <w:t xml:space="preserve"> 45 CFR part 46 (as amended), was originally published on January 19, 2017 (82 FR 7149), and amended on January 22, 2018 (83 FR 2885) and June 19, 2018 (83 FR 28497). In this supporting statement, 45 CFR part 46 citations are to the 2018 Requirements unless specified otherwise.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7642" w14:paraId="137229E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7642" w14:paraId="68D431F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7642" w14:paraId="43D291F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BB1E3E"/>
    <w:multiLevelType w:val="hybridMultilevel"/>
    <w:tmpl w:val="85FA5364"/>
    <w:lvl w:ilvl="0">
      <w:start w:val="1"/>
      <w:numFmt w:val="lowerLetter"/>
      <w:lvlText w:val="(%1)"/>
      <w:lvlJc w:val="left"/>
      <w:pPr>
        <w:tabs>
          <w:tab w:val="num" w:pos="1800"/>
        </w:tabs>
        <w:ind w:left="1800" w:hanging="360"/>
      </w:pPr>
      <w:rPr>
        <w:rFonts w:cs="Times New Roman" w:hint="default"/>
      </w:rPr>
    </w:lvl>
    <w:lvl w:ilvl="1" w:tentative="1">
      <w:start w:val="1"/>
      <w:numFmt w:val="lowerLetter"/>
      <w:lvlText w:val="%2."/>
      <w:lvlJc w:val="left"/>
      <w:pPr>
        <w:tabs>
          <w:tab w:val="num" w:pos="2520"/>
        </w:tabs>
        <w:ind w:left="2520" w:hanging="360"/>
      </w:pPr>
      <w:rPr>
        <w:rFonts w:cs="Times New Roman"/>
      </w:rPr>
    </w:lvl>
    <w:lvl w:ilvl="2" w:tentative="1">
      <w:start w:val="1"/>
      <w:numFmt w:val="lowerRoman"/>
      <w:lvlText w:val="%3."/>
      <w:lvlJc w:val="right"/>
      <w:pPr>
        <w:tabs>
          <w:tab w:val="num" w:pos="3240"/>
        </w:tabs>
        <w:ind w:left="3240" w:hanging="180"/>
      </w:pPr>
      <w:rPr>
        <w:rFonts w:cs="Times New Roman"/>
      </w:rPr>
    </w:lvl>
    <w:lvl w:ilvl="3" w:tentative="1">
      <w:start w:val="1"/>
      <w:numFmt w:val="decimal"/>
      <w:lvlText w:val="%4."/>
      <w:lvlJc w:val="left"/>
      <w:pPr>
        <w:tabs>
          <w:tab w:val="num" w:pos="3960"/>
        </w:tabs>
        <w:ind w:left="3960" w:hanging="360"/>
      </w:pPr>
      <w:rPr>
        <w:rFonts w:cs="Times New Roman"/>
      </w:rPr>
    </w:lvl>
    <w:lvl w:ilvl="4" w:tentative="1">
      <w:start w:val="1"/>
      <w:numFmt w:val="lowerLetter"/>
      <w:lvlText w:val="%5."/>
      <w:lvlJc w:val="left"/>
      <w:pPr>
        <w:tabs>
          <w:tab w:val="num" w:pos="4680"/>
        </w:tabs>
        <w:ind w:left="4680" w:hanging="360"/>
      </w:pPr>
      <w:rPr>
        <w:rFonts w:cs="Times New Roman"/>
      </w:rPr>
    </w:lvl>
    <w:lvl w:ilvl="5" w:tentative="1">
      <w:start w:val="1"/>
      <w:numFmt w:val="lowerRoman"/>
      <w:lvlText w:val="%6."/>
      <w:lvlJc w:val="right"/>
      <w:pPr>
        <w:tabs>
          <w:tab w:val="num" w:pos="5400"/>
        </w:tabs>
        <w:ind w:left="5400" w:hanging="180"/>
      </w:pPr>
      <w:rPr>
        <w:rFonts w:cs="Times New Roman"/>
      </w:rPr>
    </w:lvl>
    <w:lvl w:ilvl="6" w:tentative="1">
      <w:start w:val="1"/>
      <w:numFmt w:val="decimal"/>
      <w:lvlText w:val="%7."/>
      <w:lvlJc w:val="left"/>
      <w:pPr>
        <w:tabs>
          <w:tab w:val="num" w:pos="6120"/>
        </w:tabs>
        <w:ind w:left="6120" w:hanging="360"/>
      </w:pPr>
      <w:rPr>
        <w:rFonts w:cs="Times New Roman"/>
      </w:rPr>
    </w:lvl>
    <w:lvl w:ilvl="7" w:tentative="1">
      <w:start w:val="1"/>
      <w:numFmt w:val="lowerLetter"/>
      <w:lvlText w:val="%8."/>
      <w:lvlJc w:val="left"/>
      <w:pPr>
        <w:tabs>
          <w:tab w:val="num" w:pos="6840"/>
        </w:tabs>
        <w:ind w:left="6840" w:hanging="360"/>
      </w:pPr>
      <w:rPr>
        <w:rFonts w:cs="Times New Roman"/>
      </w:rPr>
    </w:lvl>
    <w:lvl w:ilvl="8" w:tentative="1">
      <w:start w:val="1"/>
      <w:numFmt w:val="lowerRoman"/>
      <w:lvlText w:val="%9."/>
      <w:lvlJc w:val="right"/>
      <w:pPr>
        <w:tabs>
          <w:tab w:val="num" w:pos="7560"/>
        </w:tabs>
        <w:ind w:left="7560" w:hanging="180"/>
      </w:pPr>
      <w:rPr>
        <w:rFonts w:cs="Times New Roman"/>
      </w:rPr>
    </w:lvl>
  </w:abstractNum>
  <w:abstractNum w:abstractNumId="1">
    <w:nsid w:val="1095667C"/>
    <w:multiLevelType w:val="hybridMultilevel"/>
    <w:tmpl w:val="FF7836AA"/>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233E2958"/>
    <w:multiLevelType w:val="hybridMultilevel"/>
    <w:tmpl w:val="5120C910"/>
    <w:lvl w:ilvl="0">
      <w:start w:val="0"/>
      <w:numFmt w:val="bullet"/>
      <w:lvlText w:val="!"/>
      <w:lvlJc w:val="left"/>
      <w:pPr>
        <w:tabs>
          <w:tab w:val="num" w:pos="720"/>
        </w:tabs>
        <w:ind w:left="1368" w:hanging="288"/>
      </w:pPr>
      <w:rPr>
        <w:rFonts w:ascii="WP TypographicSymbols" w:hAnsi="WP TypographicSymbols"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3">
    <w:nsid w:val="370B53A1"/>
    <w:multiLevelType w:val="hybridMultilevel"/>
    <w:tmpl w:val="5F525456"/>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3C00077A"/>
    <w:multiLevelType w:val="hybridMultilevel"/>
    <w:tmpl w:val="031E04E2"/>
    <w:lvl w:ilvl="0">
      <w:start w:val="3"/>
      <w:numFmt w:val="decimal"/>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40F41E13"/>
    <w:multiLevelType w:val="hybridMultilevel"/>
    <w:tmpl w:val="345E693A"/>
    <w:lvl w:ilvl="0">
      <w:start w:val="1"/>
      <w:numFmt w:val="lowerLetter"/>
      <w:lvlText w:val="(%1)"/>
      <w:lvlJc w:val="left"/>
      <w:pPr>
        <w:tabs>
          <w:tab w:val="num" w:pos="1800"/>
        </w:tabs>
        <w:ind w:left="1800" w:hanging="360"/>
      </w:pPr>
      <w:rPr>
        <w:rFonts w:cs="Times New Roman" w:hint="default"/>
      </w:rPr>
    </w:lvl>
    <w:lvl w:ilvl="1">
      <w:start w:val="1"/>
      <w:numFmt w:val="decimal"/>
      <w:lvlText w:val="%2."/>
      <w:lvlJc w:val="left"/>
      <w:pPr>
        <w:tabs>
          <w:tab w:val="num" w:pos="2520"/>
        </w:tabs>
        <w:ind w:left="2520" w:hanging="360"/>
      </w:pPr>
      <w:rPr>
        <w:rFonts w:hint="default"/>
      </w:rPr>
    </w:lvl>
    <w:lvl w:ilvl="2" w:tentative="1">
      <w:start w:val="1"/>
      <w:numFmt w:val="lowerRoman"/>
      <w:lvlText w:val="%3."/>
      <w:lvlJc w:val="right"/>
      <w:pPr>
        <w:tabs>
          <w:tab w:val="num" w:pos="3240"/>
        </w:tabs>
        <w:ind w:left="3240" w:hanging="180"/>
      </w:pPr>
      <w:rPr>
        <w:rFonts w:cs="Times New Roman"/>
      </w:rPr>
    </w:lvl>
    <w:lvl w:ilvl="3" w:tentative="1">
      <w:start w:val="1"/>
      <w:numFmt w:val="decimal"/>
      <w:lvlText w:val="%4."/>
      <w:lvlJc w:val="left"/>
      <w:pPr>
        <w:tabs>
          <w:tab w:val="num" w:pos="3960"/>
        </w:tabs>
        <w:ind w:left="3960" w:hanging="360"/>
      </w:pPr>
      <w:rPr>
        <w:rFonts w:cs="Times New Roman"/>
      </w:rPr>
    </w:lvl>
    <w:lvl w:ilvl="4" w:tentative="1">
      <w:start w:val="1"/>
      <w:numFmt w:val="lowerLetter"/>
      <w:lvlText w:val="%5."/>
      <w:lvlJc w:val="left"/>
      <w:pPr>
        <w:tabs>
          <w:tab w:val="num" w:pos="4680"/>
        </w:tabs>
        <w:ind w:left="4680" w:hanging="360"/>
      </w:pPr>
      <w:rPr>
        <w:rFonts w:cs="Times New Roman"/>
      </w:rPr>
    </w:lvl>
    <w:lvl w:ilvl="5" w:tentative="1">
      <w:start w:val="1"/>
      <w:numFmt w:val="lowerRoman"/>
      <w:lvlText w:val="%6."/>
      <w:lvlJc w:val="right"/>
      <w:pPr>
        <w:tabs>
          <w:tab w:val="num" w:pos="5400"/>
        </w:tabs>
        <w:ind w:left="5400" w:hanging="180"/>
      </w:pPr>
      <w:rPr>
        <w:rFonts w:cs="Times New Roman"/>
      </w:rPr>
    </w:lvl>
    <w:lvl w:ilvl="6" w:tentative="1">
      <w:start w:val="1"/>
      <w:numFmt w:val="decimal"/>
      <w:lvlText w:val="%7."/>
      <w:lvlJc w:val="left"/>
      <w:pPr>
        <w:tabs>
          <w:tab w:val="num" w:pos="6120"/>
        </w:tabs>
        <w:ind w:left="6120" w:hanging="360"/>
      </w:pPr>
      <w:rPr>
        <w:rFonts w:cs="Times New Roman"/>
      </w:rPr>
    </w:lvl>
    <w:lvl w:ilvl="7" w:tentative="1">
      <w:start w:val="1"/>
      <w:numFmt w:val="lowerLetter"/>
      <w:lvlText w:val="%8."/>
      <w:lvlJc w:val="left"/>
      <w:pPr>
        <w:tabs>
          <w:tab w:val="num" w:pos="6840"/>
        </w:tabs>
        <w:ind w:left="6840" w:hanging="360"/>
      </w:pPr>
      <w:rPr>
        <w:rFonts w:cs="Times New Roman"/>
      </w:rPr>
    </w:lvl>
    <w:lvl w:ilvl="8" w:tentative="1">
      <w:start w:val="1"/>
      <w:numFmt w:val="lowerRoman"/>
      <w:lvlText w:val="%9."/>
      <w:lvlJc w:val="right"/>
      <w:pPr>
        <w:tabs>
          <w:tab w:val="num" w:pos="7560"/>
        </w:tabs>
        <w:ind w:left="7560" w:hanging="180"/>
      </w:pPr>
      <w:rPr>
        <w:rFonts w:cs="Times New Roman"/>
      </w:rPr>
    </w:lvl>
  </w:abstractNum>
  <w:abstractNum w:abstractNumId="6">
    <w:nsid w:val="4277081B"/>
    <w:multiLevelType w:val="hybridMultilevel"/>
    <w:tmpl w:val="4052EEB2"/>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7">
    <w:nsid w:val="45397151"/>
    <w:multiLevelType w:val="hybridMultilevel"/>
    <w:tmpl w:val="1E7CBFF2"/>
    <w:lvl w:ilvl="0">
      <w:start w:val="2"/>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8">
    <w:nsid w:val="49D523D1"/>
    <w:multiLevelType w:val="hybridMultilevel"/>
    <w:tmpl w:val="D0A8487A"/>
    <w:lvl w:ilvl="0">
      <w:start w:val="2"/>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nsid w:val="4A1D7109"/>
    <w:multiLevelType w:val="hybridMultilevel"/>
    <w:tmpl w:val="FE7A17BA"/>
    <w:lvl w:ilvl="0">
      <w:start w:val="1"/>
      <w:numFmt w:val="decimal"/>
      <w:lvlText w:val="%1."/>
      <w:lvlJc w:val="left"/>
      <w:pPr>
        <w:tabs>
          <w:tab w:val="num" w:pos="720"/>
        </w:tabs>
        <w:ind w:left="720" w:hanging="360"/>
      </w:pPr>
      <w:rPr>
        <w:rFonts w:cs="Times New Roman"/>
      </w:rPr>
    </w:lvl>
    <w:lvl w:ilvl="1">
      <w:start w:val="3"/>
      <w:numFmt w:val="upperLetter"/>
      <w:lvlText w:val="%2."/>
      <w:lvlJc w:val="left"/>
      <w:pPr>
        <w:tabs>
          <w:tab w:val="num" w:pos="1800"/>
        </w:tabs>
        <w:ind w:left="1800" w:hanging="72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nsid w:val="4FEE2184"/>
    <w:multiLevelType w:val="hybridMultilevel"/>
    <w:tmpl w:val="0F6E4F84"/>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1">
    <w:nsid w:val="564B3665"/>
    <w:multiLevelType w:val="hybridMultilevel"/>
    <w:tmpl w:val="F954C81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5F686688"/>
    <w:multiLevelType w:val="hybridMultilevel"/>
    <w:tmpl w:val="9566F8B4"/>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3">
    <w:nsid w:val="649619F0"/>
    <w:multiLevelType w:val="hybridMultilevel"/>
    <w:tmpl w:val="A7B0A0EE"/>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4">
    <w:nsid w:val="65FB12CB"/>
    <w:multiLevelType w:val="hybridMultilevel"/>
    <w:tmpl w:val="BEFEC9DC"/>
    <w:lvl w:ilvl="0">
      <w:start w:val="1"/>
      <w:numFmt w:val="lowerLetter"/>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5">
    <w:nsid w:val="66812E62"/>
    <w:multiLevelType w:val="hybridMultilevel"/>
    <w:tmpl w:val="A574D644"/>
    <w:lvl w:ilvl="0">
      <w:start w:val="1"/>
      <w:numFmt w:val="lowerLetter"/>
      <w:lvlText w:val="(%1)"/>
      <w:lvlJc w:val="left"/>
      <w:pPr>
        <w:ind w:left="1800" w:hanging="360"/>
      </w:pPr>
      <w:rPr>
        <w:rFonts w:ascii="Times New Roman" w:eastAsia="Times New Roman" w:hAnsi="Times New Roman" w:cs="Times New Roman"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6">
    <w:nsid w:val="6E987F38"/>
    <w:multiLevelType w:val="hybridMultilevel"/>
    <w:tmpl w:val="4210DBF4"/>
    <w:lvl w:ilvl="0">
      <w:start w:val="2"/>
      <w:numFmt w:val="lowerLetter"/>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17">
    <w:nsid w:val="790515FE"/>
    <w:multiLevelType w:val="hybridMultilevel"/>
    <w:tmpl w:val="7B5AD030"/>
    <w:lvl w:ilvl="0">
      <w:start w:val="1"/>
      <w:numFmt w:val="upp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8">
    <w:nsid w:val="7D9C23CC"/>
    <w:multiLevelType w:val="hybridMultilevel"/>
    <w:tmpl w:val="3C8E5E84"/>
    <w:lvl w:ilvl="0">
      <w:start w:val="1"/>
      <w:numFmt w:val="bullet"/>
      <w:lvlText w:val=""/>
      <w:lvlJc w:val="left"/>
      <w:pPr>
        <w:tabs>
          <w:tab w:val="num" w:pos="1860"/>
        </w:tabs>
        <w:ind w:left="1860" w:hanging="360"/>
      </w:pPr>
      <w:rPr>
        <w:rFonts w:ascii="Symbol" w:hAnsi="Symbol" w:hint="default"/>
      </w:rPr>
    </w:lvl>
    <w:lvl w:ilvl="1" w:tentative="1">
      <w:start w:val="1"/>
      <w:numFmt w:val="bullet"/>
      <w:lvlText w:val="o"/>
      <w:lvlJc w:val="left"/>
      <w:pPr>
        <w:tabs>
          <w:tab w:val="num" w:pos="2580"/>
        </w:tabs>
        <w:ind w:left="2580" w:hanging="360"/>
      </w:pPr>
      <w:rPr>
        <w:rFonts w:ascii="Courier New" w:hAnsi="Courier New" w:cs="Courier New" w:hint="default"/>
      </w:rPr>
    </w:lvl>
    <w:lvl w:ilvl="2" w:tentative="1">
      <w:start w:val="1"/>
      <w:numFmt w:val="bullet"/>
      <w:lvlText w:val=""/>
      <w:lvlJc w:val="left"/>
      <w:pPr>
        <w:tabs>
          <w:tab w:val="num" w:pos="3300"/>
        </w:tabs>
        <w:ind w:left="3300" w:hanging="360"/>
      </w:pPr>
      <w:rPr>
        <w:rFonts w:ascii="Wingdings" w:hAnsi="Wingdings" w:hint="default"/>
      </w:rPr>
    </w:lvl>
    <w:lvl w:ilvl="3" w:tentative="1">
      <w:start w:val="1"/>
      <w:numFmt w:val="bullet"/>
      <w:lvlText w:val=""/>
      <w:lvlJc w:val="left"/>
      <w:pPr>
        <w:tabs>
          <w:tab w:val="num" w:pos="4020"/>
        </w:tabs>
        <w:ind w:left="4020" w:hanging="360"/>
      </w:pPr>
      <w:rPr>
        <w:rFonts w:ascii="Symbol" w:hAnsi="Symbol" w:hint="default"/>
      </w:rPr>
    </w:lvl>
    <w:lvl w:ilvl="4" w:tentative="1">
      <w:start w:val="1"/>
      <w:numFmt w:val="bullet"/>
      <w:lvlText w:val="o"/>
      <w:lvlJc w:val="left"/>
      <w:pPr>
        <w:tabs>
          <w:tab w:val="num" w:pos="4740"/>
        </w:tabs>
        <w:ind w:left="4740" w:hanging="360"/>
      </w:pPr>
      <w:rPr>
        <w:rFonts w:ascii="Courier New" w:hAnsi="Courier New" w:cs="Courier New" w:hint="default"/>
      </w:rPr>
    </w:lvl>
    <w:lvl w:ilvl="5" w:tentative="1">
      <w:start w:val="1"/>
      <w:numFmt w:val="bullet"/>
      <w:lvlText w:val=""/>
      <w:lvlJc w:val="left"/>
      <w:pPr>
        <w:tabs>
          <w:tab w:val="num" w:pos="5460"/>
        </w:tabs>
        <w:ind w:left="5460" w:hanging="360"/>
      </w:pPr>
      <w:rPr>
        <w:rFonts w:ascii="Wingdings" w:hAnsi="Wingdings" w:hint="default"/>
      </w:rPr>
    </w:lvl>
    <w:lvl w:ilvl="6" w:tentative="1">
      <w:start w:val="1"/>
      <w:numFmt w:val="bullet"/>
      <w:lvlText w:val=""/>
      <w:lvlJc w:val="left"/>
      <w:pPr>
        <w:tabs>
          <w:tab w:val="num" w:pos="6180"/>
        </w:tabs>
        <w:ind w:left="6180" w:hanging="360"/>
      </w:pPr>
      <w:rPr>
        <w:rFonts w:ascii="Symbol" w:hAnsi="Symbol" w:hint="default"/>
      </w:rPr>
    </w:lvl>
    <w:lvl w:ilvl="7" w:tentative="1">
      <w:start w:val="1"/>
      <w:numFmt w:val="bullet"/>
      <w:lvlText w:val="o"/>
      <w:lvlJc w:val="left"/>
      <w:pPr>
        <w:tabs>
          <w:tab w:val="num" w:pos="6900"/>
        </w:tabs>
        <w:ind w:left="6900" w:hanging="360"/>
      </w:pPr>
      <w:rPr>
        <w:rFonts w:ascii="Courier New" w:hAnsi="Courier New" w:cs="Courier New" w:hint="default"/>
      </w:rPr>
    </w:lvl>
    <w:lvl w:ilvl="8" w:tentative="1">
      <w:start w:val="1"/>
      <w:numFmt w:val="bullet"/>
      <w:lvlText w:val=""/>
      <w:lvlJc w:val="left"/>
      <w:pPr>
        <w:tabs>
          <w:tab w:val="num" w:pos="7620"/>
        </w:tabs>
        <w:ind w:left="7620" w:hanging="360"/>
      </w:pPr>
      <w:rPr>
        <w:rFonts w:ascii="Wingdings" w:hAnsi="Wingdings" w:hint="default"/>
      </w:rPr>
    </w:lvl>
  </w:abstractNum>
  <w:num w:numId="1" w16cid:durableId="1437753423">
    <w:abstractNumId w:val="9"/>
  </w:num>
  <w:num w:numId="2" w16cid:durableId="1192762747">
    <w:abstractNumId w:val="0"/>
  </w:num>
  <w:num w:numId="3" w16cid:durableId="887490477">
    <w:abstractNumId w:val="5"/>
  </w:num>
  <w:num w:numId="4" w16cid:durableId="1782451273">
    <w:abstractNumId w:val="16"/>
  </w:num>
  <w:num w:numId="5" w16cid:durableId="1562904109">
    <w:abstractNumId w:val="7"/>
  </w:num>
  <w:num w:numId="6" w16cid:durableId="212810919">
    <w:abstractNumId w:val="8"/>
  </w:num>
  <w:num w:numId="7" w16cid:durableId="1832134635">
    <w:abstractNumId w:val="2"/>
  </w:num>
  <w:num w:numId="8" w16cid:durableId="964699932">
    <w:abstractNumId w:val="4"/>
  </w:num>
  <w:num w:numId="9" w16cid:durableId="1149204546">
    <w:abstractNumId w:val="3"/>
  </w:num>
  <w:num w:numId="10" w16cid:durableId="1413746377">
    <w:abstractNumId w:val="18"/>
  </w:num>
  <w:num w:numId="11" w16cid:durableId="1489830227">
    <w:abstractNumId w:val="12"/>
  </w:num>
  <w:num w:numId="12" w16cid:durableId="1961105850">
    <w:abstractNumId w:val="10"/>
  </w:num>
  <w:num w:numId="13" w16cid:durableId="902836502">
    <w:abstractNumId w:val="13"/>
  </w:num>
  <w:num w:numId="14" w16cid:durableId="1397512459">
    <w:abstractNumId w:val="6"/>
  </w:num>
  <w:num w:numId="15" w16cid:durableId="821704139">
    <w:abstractNumId w:val="14"/>
  </w:num>
  <w:num w:numId="16" w16cid:durableId="1346321016">
    <w:abstractNumId w:val="11"/>
  </w:num>
  <w:num w:numId="17" w16cid:durableId="786003619">
    <w:abstractNumId w:val="17"/>
  </w:num>
  <w:num w:numId="18" w16cid:durableId="2137139474">
    <w:abstractNumId w:val="1"/>
  </w:num>
  <w:num w:numId="19" w16cid:durableId="4252001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5D6"/>
    <w:rsid w:val="00001BBD"/>
    <w:rsid w:val="00004625"/>
    <w:rsid w:val="00006E8B"/>
    <w:rsid w:val="000101EE"/>
    <w:rsid w:val="000114BE"/>
    <w:rsid w:val="000146DB"/>
    <w:rsid w:val="000217AE"/>
    <w:rsid w:val="00026824"/>
    <w:rsid w:val="0002760F"/>
    <w:rsid w:val="00030EB0"/>
    <w:rsid w:val="00031B1C"/>
    <w:rsid w:val="00033426"/>
    <w:rsid w:val="00037DAD"/>
    <w:rsid w:val="000406B5"/>
    <w:rsid w:val="0004316F"/>
    <w:rsid w:val="000435A6"/>
    <w:rsid w:val="00044959"/>
    <w:rsid w:val="00045362"/>
    <w:rsid w:val="00045946"/>
    <w:rsid w:val="00050183"/>
    <w:rsid w:val="000507D6"/>
    <w:rsid w:val="00050ABF"/>
    <w:rsid w:val="00050C5E"/>
    <w:rsid w:val="00050C96"/>
    <w:rsid w:val="00050EB9"/>
    <w:rsid w:val="00050FA8"/>
    <w:rsid w:val="000532ED"/>
    <w:rsid w:val="0005505D"/>
    <w:rsid w:val="000552D6"/>
    <w:rsid w:val="000560FD"/>
    <w:rsid w:val="00056366"/>
    <w:rsid w:val="00057AC7"/>
    <w:rsid w:val="00057E59"/>
    <w:rsid w:val="000716C7"/>
    <w:rsid w:val="00072B33"/>
    <w:rsid w:val="000754C6"/>
    <w:rsid w:val="0007668A"/>
    <w:rsid w:val="000803EE"/>
    <w:rsid w:val="00086C45"/>
    <w:rsid w:val="00087CA4"/>
    <w:rsid w:val="00092F7A"/>
    <w:rsid w:val="0009336F"/>
    <w:rsid w:val="0009361E"/>
    <w:rsid w:val="00095689"/>
    <w:rsid w:val="00095A1B"/>
    <w:rsid w:val="00097F4E"/>
    <w:rsid w:val="000A3BC3"/>
    <w:rsid w:val="000B1AA0"/>
    <w:rsid w:val="000B5345"/>
    <w:rsid w:val="000B7B95"/>
    <w:rsid w:val="000C06B5"/>
    <w:rsid w:val="000C4572"/>
    <w:rsid w:val="000C6510"/>
    <w:rsid w:val="000D2BF5"/>
    <w:rsid w:val="000D3D72"/>
    <w:rsid w:val="000D4390"/>
    <w:rsid w:val="000D4580"/>
    <w:rsid w:val="000D45C2"/>
    <w:rsid w:val="000E0231"/>
    <w:rsid w:val="000E0DD0"/>
    <w:rsid w:val="000E15D6"/>
    <w:rsid w:val="000E1CD2"/>
    <w:rsid w:val="000F10B3"/>
    <w:rsid w:val="000F1405"/>
    <w:rsid w:val="000F43B0"/>
    <w:rsid w:val="000F4583"/>
    <w:rsid w:val="000F6E89"/>
    <w:rsid w:val="00100291"/>
    <w:rsid w:val="00104C8B"/>
    <w:rsid w:val="00105B43"/>
    <w:rsid w:val="001069A9"/>
    <w:rsid w:val="00120FFD"/>
    <w:rsid w:val="00130B90"/>
    <w:rsid w:val="00131641"/>
    <w:rsid w:val="00140586"/>
    <w:rsid w:val="0014204E"/>
    <w:rsid w:val="001423D5"/>
    <w:rsid w:val="0014432E"/>
    <w:rsid w:val="001450C9"/>
    <w:rsid w:val="00151158"/>
    <w:rsid w:val="0015161E"/>
    <w:rsid w:val="00152DA1"/>
    <w:rsid w:val="00154129"/>
    <w:rsid w:val="0015684E"/>
    <w:rsid w:val="001577A1"/>
    <w:rsid w:val="001630F1"/>
    <w:rsid w:val="0016696B"/>
    <w:rsid w:val="00172B17"/>
    <w:rsid w:val="00172E3B"/>
    <w:rsid w:val="00174061"/>
    <w:rsid w:val="00175338"/>
    <w:rsid w:val="00177418"/>
    <w:rsid w:val="0017784C"/>
    <w:rsid w:val="00177B03"/>
    <w:rsid w:val="0018115E"/>
    <w:rsid w:val="001928BE"/>
    <w:rsid w:val="00193E57"/>
    <w:rsid w:val="00195A2F"/>
    <w:rsid w:val="001A15DC"/>
    <w:rsid w:val="001A2DC7"/>
    <w:rsid w:val="001A4858"/>
    <w:rsid w:val="001A5F9C"/>
    <w:rsid w:val="001B03EC"/>
    <w:rsid w:val="001B0A16"/>
    <w:rsid w:val="001B5C15"/>
    <w:rsid w:val="001B619B"/>
    <w:rsid w:val="001C7326"/>
    <w:rsid w:val="001D0DF0"/>
    <w:rsid w:val="001D1931"/>
    <w:rsid w:val="001D27FF"/>
    <w:rsid w:val="001D5750"/>
    <w:rsid w:val="001D5ACD"/>
    <w:rsid w:val="001D63A8"/>
    <w:rsid w:val="001D6938"/>
    <w:rsid w:val="001D6CE5"/>
    <w:rsid w:val="001E1721"/>
    <w:rsid w:val="001E5EAD"/>
    <w:rsid w:val="001E6117"/>
    <w:rsid w:val="001E7064"/>
    <w:rsid w:val="001F4A91"/>
    <w:rsid w:val="001F5070"/>
    <w:rsid w:val="002001D2"/>
    <w:rsid w:val="002019BB"/>
    <w:rsid w:val="00204615"/>
    <w:rsid w:val="00204A31"/>
    <w:rsid w:val="002064F2"/>
    <w:rsid w:val="002138E4"/>
    <w:rsid w:val="002145D4"/>
    <w:rsid w:val="0021529C"/>
    <w:rsid w:val="00216993"/>
    <w:rsid w:val="00217FEE"/>
    <w:rsid w:val="0022267F"/>
    <w:rsid w:val="002263A9"/>
    <w:rsid w:val="00226DD5"/>
    <w:rsid w:val="00233466"/>
    <w:rsid w:val="00237C9E"/>
    <w:rsid w:val="0024047F"/>
    <w:rsid w:val="002406A0"/>
    <w:rsid w:val="00243122"/>
    <w:rsid w:val="00244E3B"/>
    <w:rsid w:val="00245825"/>
    <w:rsid w:val="00247F81"/>
    <w:rsid w:val="00251AB7"/>
    <w:rsid w:val="0025349D"/>
    <w:rsid w:val="002534DC"/>
    <w:rsid w:val="00254117"/>
    <w:rsid w:val="002634F2"/>
    <w:rsid w:val="00270482"/>
    <w:rsid w:val="00273B37"/>
    <w:rsid w:val="002757AE"/>
    <w:rsid w:val="00277AF1"/>
    <w:rsid w:val="00280146"/>
    <w:rsid w:val="002806D6"/>
    <w:rsid w:val="002826AA"/>
    <w:rsid w:val="002841AF"/>
    <w:rsid w:val="002869B0"/>
    <w:rsid w:val="002944B4"/>
    <w:rsid w:val="00294B76"/>
    <w:rsid w:val="002A0228"/>
    <w:rsid w:val="002A0A5C"/>
    <w:rsid w:val="002A1AD6"/>
    <w:rsid w:val="002A33DB"/>
    <w:rsid w:val="002A3714"/>
    <w:rsid w:val="002B0567"/>
    <w:rsid w:val="002B09A8"/>
    <w:rsid w:val="002B1A20"/>
    <w:rsid w:val="002B1B5A"/>
    <w:rsid w:val="002B3170"/>
    <w:rsid w:val="002B4BF1"/>
    <w:rsid w:val="002B5DF0"/>
    <w:rsid w:val="002B7AB4"/>
    <w:rsid w:val="002B7B52"/>
    <w:rsid w:val="002C133E"/>
    <w:rsid w:val="002C13A4"/>
    <w:rsid w:val="002C4C54"/>
    <w:rsid w:val="002D03B9"/>
    <w:rsid w:val="002D34AD"/>
    <w:rsid w:val="002D3ACA"/>
    <w:rsid w:val="002D5C0A"/>
    <w:rsid w:val="002D601D"/>
    <w:rsid w:val="002D6D8F"/>
    <w:rsid w:val="002E0296"/>
    <w:rsid w:val="002E0FF6"/>
    <w:rsid w:val="002E21B5"/>
    <w:rsid w:val="002E3337"/>
    <w:rsid w:val="002E4C3C"/>
    <w:rsid w:val="002E66DD"/>
    <w:rsid w:val="002E6A62"/>
    <w:rsid w:val="002F0434"/>
    <w:rsid w:val="002F3AF8"/>
    <w:rsid w:val="002F6EFD"/>
    <w:rsid w:val="002F7FDD"/>
    <w:rsid w:val="00304292"/>
    <w:rsid w:val="00305C3A"/>
    <w:rsid w:val="00306554"/>
    <w:rsid w:val="003141AE"/>
    <w:rsid w:val="0032677D"/>
    <w:rsid w:val="00333130"/>
    <w:rsid w:val="00334181"/>
    <w:rsid w:val="0033568C"/>
    <w:rsid w:val="00353BDA"/>
    <w:rsid w:val="00357036"/>
    <w:rsid w:val="00361F7D"/>
    <w:rsid w:val="003625C7"/>
    <w:rsid w:val="00363DDD"/>
    <w:rsid w:val="00370A7A"/>
    <w:rsid w:val="00373304"/>
    <w:rsid w:val="00374400"/>
    <w:rsid w:val="00377F75"/>
    <w:rsid w:val="00380187"/>
    <w:rsid w:val="0038642D"/>
    <w:rsid w:val="0038741B"/>
    <w:rsid w:val="0039029B"/>
    <w:rsid w:val="00392315"/>
    <w:rsid w:val="003A0871"/>
    <w:rsid w:val="003A28BB"/>
    <w:rsid w:val="003A301B"/>
    <w:rsid w:val="003A39EF"/>
    <w:rsid w:val="003A487D"/>
    <w:rsid w:val="003A6C3B"/>
    <w:rsid w:val="003B5B0E"/>
    <w:rsid w:val="003C0B6E"/>
    <w:rsid w:val="003C237B"/>
    <w:rsid w:val="003C3168"/>
    <w:rsid w:val="003C5286"/>
    <w:rsid w:val="003C591C"/>
    <w:rsid w:val="003D2F9B"/>
    <w:rsid w:val="003D3546"/>
    <w:rsid w:val="003E26DD"/>
    <w:rsid w:val="003F0C48"/>
    <w:rsid w:val="003F149D"/>
    <w:rsid w:val="003F178E"/>
    <w:rsid w:val="003F220D"/>
    <w:rsid w:val="003F2F51"/>
    <w:rsid w:val="003F3A72"/>
    <w:rsid w:val="003F6DE2"/>
    <w:rsid w:val="00401381"/>
    <w:rsid w:val="00411D3B"/>
    <w:rsid w:val="004123F8"/>
    <w:rsid w:val="00412906"/>
    <w:rsid w:val="004131CC"/>
    <w:rsid w:val="004141E5"/>
    <w:rsid w:val="004146E7"/>
    <w:rsid w:val="0041516C"/>
    <w:rsid w:val="00416E9A"/>
    <w:rsid w:val="004172E6"/>
    <w:rsid w:val="004200D5"/>
    <w:rsid w:val="0042245A"/>
    <w:rsid w:val="00424539"/>
    <w:rsid w:val="004245C8"/>
    <w:rsid w:val="0042584E"/>
    <w:rsid w:val="00426C7C"/>
    <w:rsid w:val="00427CDC"/>
    <w:rsid w:val="0043051C"/>
    <w:rsid w:val="004321BC"/>
    <w:rsid w:val="0043450F"/>
    <w:rsid w:val="00435569"/>
    <w:rsid w:val="0043687C"/>
    <w:rsid w:val="00436C4E"/>
    <w:rsid w:val="0043758C"/>
    <w:rsid w:val="004419DD"/>
    <w:rsid w:val="00443F06"/>
    <w:rsid w:val="00444C8B"/>
    <w:rsid w:val="00445B93"/>
    <w:rsid w:val="0044764D"/>
    <w:rsid w:val="00447F7B"/>
    <w:rsid w:val="00450828"/>
    <w:rsid w:val="004513A6"/>
    <w:rsid w:val="004529FC"/>
    <w:rsid w:val="00452DD3"/>
    <w:rsid w:val="00454585"/>
    <w:rsid w:val="00455CBE"/>
    <w:rsid w:val="00460713"/>
    <w:rsid w:val="004663B8"/>
    <w:rsid w:val="00467063"/>
    <w:rsid w:val="00470892"/>
    <w:rsid w:val="00473C41"/>
    <w:rsid w:val="00476234"/>
    <w:rsid w:val="00481710"/>
    <w:rsid w:val="004825A3"/>
    <w:rsid w:val="00484F4B"/>
    <w:rsid w:val="00485795"/>
    <w:rsid w:val="00487612"/>
    <w:rsid w:val="00493F12"/>
    <w:rsid w:val="004A52EA"/>
    <w:rsid w:val="004A748F"/>
    <w:rsid w:val="004B6304"/>
    <w:rsid w:val="004C0BC7"/>
    <w:rsid w:val="004C26BF"/>
    <w:rsid w:val="004C2D5D"/>
    <w:rsid w:val="004C32F6"/>
    <w:rsid w:val="004C453F"/>
    <w:rsid w:val="004C591F"/>
    <w:rsid w:val="004D0CD7"/>
    <w:rsid w:val="004D3EA6"/>
    <w:rsid w:val="004D63B0"/>
    <w:rsid w:val="004E4EAE"/>
    <w:rsid w:val="004E53F1"/>
    <w:rsid w:val="004F0287"/>
    <w:rsid w:val="004F10DE"/>
    <w:rsid w:val="004F161A"/>
    <w:rsid w:val="004F21B5"/>
    <w:rsid w:val="004F5BED"/>
    <w:rsid w:val="004F6D5B"/>
    <w:rsid w:val="00502A6B"/>
    <w:rsid w:val="00502CA4"/>
    <w:rsid w:val="005069FB"/>
    <w:rsid w:val="00510789"/>
    <w:rsid w:val="0051129A"/>
    <w:rsid w:val="00522F60"/>
    <w:rsid w:val="00523587"/>
    <w:rsid w:val="005250A0"/>
    <w:rsid w:val="005250E4"/>
    <w:rsid w:val="00527040"/>
    <w:rsid w:val="00531DFD"/>
    <w:rsid w:val="00531E30"/>
    <w:rsid w:val="005348AA"/>
    <w:rsid w:val="00536185"/>
    <w:rsid w:val="00537481"/>
    <w:rsid w:val="00537BC8"/>
    <w:rsid w:val="00537C80"/>
    <w:rsid w:val="005440F4"/>
    <w:rsid w:val="005468C7"/>
    <w:rsid w:val="00552383"/>
    <w:rsid w:val="005532D6"/>
    <w:rsid w:val="00553C62"/>
    <w:rsid w:val="00556EF9"/>
    <w:rsid w:val="00561AC9"/>
    <w:rsid w:val="00562090"/>
    <w:rsid w:val="00565EA6"/>
    <w:rsid w:val="0056717D"/>
    <w:rsid w:val="005715E3"/>
    <w:rsid w:val="00572620"/>
    <w:rsid w:val="00574AEF"/>
    <w:rsid w:val="00582255"/>
    <w:rsid w:val="0058607B"/>
    <w:rsid w:val="00590C91"/>
    <w:rsid w:val="00591638"/>
    <w:rsid w:val="0059477C"/>
    <w:rsid w:val="005949AB"/>
    <w:rsid w:val="00594F9B"/>
    <w:rsid w:val="005960DC"/>
    <w:rsid w:val="005A25F9"/>
    <w:rsid w:val="005A2974"/>
    <w:rsid w:val="005A6901"/>
    <w:rsid w:val="005A761C"/>
    <w:rsid w:val="005A7ABA"/>
    <w:rsid w:val="005B2280"/>
    <w:rsid w:val="005B4431"/>
    <w:rsid w:val="005B6956"/>
    <w:rsid w:val="005C12DE"/>
    <w:rsid w:val="005C6A42"/>
    <w:rsid w:val="005D1BCE"/>
    <w:rsid w:val="005D2983"/>
    <w:rsid w:val="005D353D"/>
    <w:rsid w:val="005D57D9"/>
    <w:rsid w:val="005D665A"/>
    <w:rsid w:val="005E203D"/>
    <w:rsid w:val="005E321F"/>
    <w:rsid w:val="005F0786"/>
    <w:rsid w:val="005F1C90"/>
    <w:rsid w:val="005F1FE6"/>
    <w:rsid w:val="005F45E4"/>
    <w:rsid w:val="005F5A30"/>
    <w:rsid w:val="005F718D"/>
    <w:rsid w:val="0060358B"/>
    <w:rsid w:val="00607083"/>
    <w:rsid w:val="00607512"/>
    <w:rsid w:val="00607F07"/>
    <w:rsid w:val="006113DA"/>
    <w:rsid w:val="006129A8"/>
    <w:rsid w:val="0061445D"/>
    <w:rsid w:val="00615D9B"/>
    <w:rsid w:val="00616A01"/>
    <w:rsid w:val="00616B4C"/>
    <w:rsid w:val="00616BF1"/>
    <w:rsid w:val="006222AA"/>
    <w:rsid w:val="00622AE2"/>
    <w:rsid w:val="00626B17"/>
    <w:rsid w:val="006314CA"/>
    <w:rsid w:val="00631E95"/>
    <w:rsid w:val="00632138"/>
    <w:rsid w:val="00636DD1"/>
    <w:rsid w:val="00637D9A"/>
    <w:rsid w:val="006438FB"/>
    <w:rsid w:val="00643CA2"/>
    <w:rsid w:val="00645F98"/>
    <w:rsid w:val="00647A90"/>
    <w:rsid w:val="00650218"/>
    <w:rsid w:val="00650B34"/>
    <w:rsid w:val="00655B07"/>
    <w:rsid w:val="00657552"/>
    <w:rsid w:val="00657EAA"/>
    <w:rsid w:val="0066417F"/>
    <w:rsid w:val="00665378"/>
    <w:rsid w:val="006716FA"/>
    <w:rsid w:val="006718EB"/>
    <w:rsid w:val="00673A02"/>
    <w:rsid w:val="00677069"/>
    <w:rsid w:val="00681983"/>
    <w:rsid w:val="00681A5B"/>
    <w:rsid w:val="00681FB2"/>
    <w:rsid w:val="00682DFF"/>
    <w:rsid w:val="00690AC6"/>
    <w:rsid w:val="006937B8"/>
    <w:rsid w:val="0069406A"/>
    <w:rsid w:val="0069623F"/>
    <w:rsid w:val="006965AE"/>
    <w:rsid w:val="006A0EC9"/>
    <w:rsid w:val="006A1B8F"/>
    <w:rsid w:val="006A6EF2"/>
    <w:rsid w:val="006B184D"/>
    <w:rsid w:val="006B26B8"/>
    <w:rsid w:val="006B27D1"/>
    <w:rsid w:val="006B752B"/>
    <w:rsid w:val="006B7D71"/>
    <w:rsid w:val="006C0A13"/>
    <w:rsid w:val="006C1BB3"/>
    <w:rsid w:val="006C2D3C"/>
    <w:rsid w:val="006C4584"/>
    <w:rsid w:val="006C6104"/>
    <w:rsid w:val="006C62DF"/>
    <w:rsid w:val="006C7F64"/>
    <w:rsid w:val="006D18BF"/>
    <w:rsid w:val="006D325A"/>
    <w:rsid w:val="006D39F0"/>
    <w:rsid w:val="006D4F36"/>
    <w:rsid w:val="006D7FB5"/>
    <w:rsid w:val="006E0985"/>
    <w:rsid w:val="006E0BAF"/>
    <w:rsid w:val="006E73BB"/>
    <w:rsid w:val="006E7C8C"/>
    <w:rsid w:val="006F2E92"/>
    <w:rsid w:val="006F4624"/>
    <w:rsid w:val="006F5455"/>
    <w:rsid w:val="00700E90"/>
    <w:rsid w:val="00701A7E"/>
    <w:rsid w:val="00703E73"/>
    <w:rsid w:val="00706AC9"/>
    <w:rsid w:val="00706E24"/>
    <w:rsid w:val="00710D32"/>
    <w:rsid w:val="00711302"/>
    <w:rsid w:val="00711394"/>
    <w:rsid w:val="0071344E"/>
    <w:rsid w:val="00716FC3"/>
    <w:rsid w:val="00717B7B"/>
    <w:rsid w:val="007238F5"/>
    <w:rsid w:val="00723B39"/>
    <w:rsid w:val="00723C71"/>
    <w:rsid w:val="00724185"/>
    <w:rsid w:val="007252A4"/>
    <w:rsid w:val="00726F41"/>
    <w:rsid w:val="00727E9D"/>
    <w:rsid w:val="00727F6A"/>
    <w:rsid w:val="0073019E"/>
    <w:rsid w:val="00730F0F"/>
    <w:rsid w:val="00732E9F"/>
    <w:rsid w:val="00746790"/>
    <w:rsid w:val="00747521"/>
    <w:rsid w:val="00751BB1"/>
    <w:rsid w:val="00752284"/>
    <w:rsid w:val="0075580F"/>
    <w:rsid w:val="00756378"/>
    <w:rsid w:val="0075672E"/>
    <w:rsid w:val="00764BEF"/>
    <w:rsid w:val="00765B83"/>
    <w:rsid w:val="00766BB1"/>
    <w:rsid w:val="00771836"/>
    <w:rsid w:val="00775DAC"/>
    <w:rsid w:val="007808B9"/>
    <w:rsid w:val="00780A82"/>
    <w:rsid w:val="007847D4"/>
    <w:rsid w:val="0078552A"/>
    <w:rsid w:val="00785FF2"/>
    <w:rsid w:val="00787B0B"/>
    <w:rsid w:val="007907F7"/>
    <w:rsid w:val="00792575"/>
    <w:rsid w:val="00792A1C"/>
    <w:rsid w:val="007942E6"/>
    <w:rsid w:val="007944BF"/>
    <w:rsid w:val="00797BD1"/>
    <w:rsid w:val="00797D89"/>
    <w:rsid w:val="007A747D"/>
    <w:rsid w:val="007A7CF9"/>
    <w:rsid w:val="007B0346"/>
    <w:rsid w:val="007B1CAA"/>
    <w:rsid w:val="007B270C"/>
    <w:rsid w:val="007B3A2F"/>
    <w:rsid w:val="007B658B"/>
    <w:rsid w:val="007C1958"/>
    <w:rsid w:val="007C2711"/>
    <w:rsid w:val="007C6DAD"/>
    <w:rsid w:val="007C71FB"/>
    <w:rsid w:val="007D30FD"/>
    <w:rsid w:val="007D3B61"/>
    <w:rsid w:val="007D45DD"/>
    <w:rsid w:val="007E0ABF"/>
    <w:rsid w:val="007E20B9"/>
    <w:rsid w:val="007F2331"/>
    <w:rsid w:val="007F27BD"/>
    <w:rsid w:val="007F6D07"/>
    <w:rsid w:val="007F7F61"/>
    <w:rsid w:val="00801189"/>
    <w:rsid w:val="008014E8"/>
    <w:rsid w:val="00804670"/>
    <w:rsid w:val="008067FD"/>
    <w:rsid w:val="00813AFC"/>
    <w:rsid w:val="00816192"/>
    <w:rsid w:val="00824499"/>
    <w:rsid w:val="008278EC"/>
    <w:rsid w:val="00830305"/>
    <w:rsid w:val="00832D2A"/>
    <w:rsid w:val="00833420"/>
    <w:rsid w:val="0083675C"/>
    <w:rsid w:val="00843906"/>
    <w:rsid w:val="00846FA6"/>
    <w:rsid w:val="00847FB7"/>
    <w:rsid w:val="008503C3"/>
    <w:rsid w:val="00851B62"/>
    <w:rsid w:val="00855FC2"/>
    <w:rsid w:val="008573A4"/>
    <w:rsid w:val="00860590"/>
    <w:rsid w:val="0086195B"/>
    <w:rsid w:val="0086279B"/>
    <w:rsid w:val="0086600D"/>
    <w:rsid w:val="0087035A"/>
    <w:rsid w:val="0087091E"/>
    <w:rsid w:val="0087144E"/>
    <w:rsid w:val="0088098C"/>
    <w:rsid w:val="00883CA4"/>
    <w:rsid w:val="00884F61"/>
    <w:rsid w:val="0088788F"/>
    <w:rsid w:val="00892011"/>
    <w:rsid w:val="00892781"/>
    <w:rsid w:val="00893A51"/>
    <w:rsid w:val="00893EC8"/>
    <w:rsid w:val="00896E61"/>
    <w:rsid w:val="008A08BF"/>
    <w:rsid w:val="008A2FFF"/>
    <w:rsid w:val="008A415A"/>
    <w:rsid w:val="008A4A43"/>
    <w:rsid w:val="008A54E7"/>
    <w:rsid w:val="008B2424"/>
    <w:rsid w:val="008B3278"/>
    <w:rsid w:val="008C1922"/>
    <w:rsid w:val="008C6FFB"/>
    <w:rsid w:val="008C7441"/>
    <w:rsid w:val="008C7560"/>
    <w:rsid w:val="008D0A59"/>
    <w:rsid w:val="008D379F"/>
    <w:rsid w:val="008D446C"/>
    <w:rsid w:val="008D512F"/>
    <w:rsid w:val="008E043E"/>
    <w:rsid w:val="008E4DB0"/>
    <w:rsid w:val="008E6084"/>
    <w:rsid w:val="008E76CF"/>
    <w:rsid w:val="008F6DBF"/>
    <w:rsid w:val="00902CE6"/>
    <w:rsid w:val="0090378B"/>
    <w:rsid w:val="009045DF"/>
    <w:rsid w:val="00904DA3"/>
    <w:rsid w:val="00905C2A"/>
    <w:rsid w:val="00911BA9"/>
    <w:rsid w:val="00914E32"/>
    <w:rsid w:val="009210EF"/>
    <w:rsid w:val="00921606"/>
    <w:rsid w:val="009319A6"/>
    <w:rsid w:val="009345FE"/>
    <w:rsid w:val="00942770"/>
    <w:rsid w:val="00945C50"/>
    <w:rsid w:val="009475A9"/>
    <w:rsid w:val="009505F2"/>
    <w:rsid w:val="009517C7"/>
    <w:rsid w:val="00952DFE"/>
    <w:rsid w:val="00954200"/>
    <w:rsid w:val="00954768"/>
    <w:rsid w:val="009549F4"/>
    <w:rsid w:val="009555B1"/>
    <w:rsid w:val="0095654D"/>
    <w:rsid w:val="0096354B"/>
    <w:rsid w:val="00963E74"/>
    <w:rsid w:val="00971C90"/>
    <w:rsid w:val="009734E4"/>
    <w:rsid w:val="0097606E"/>
    <w:rsid w:val="00976674"/>
    <w:rsid w:val="00983960"/>
    <w:rsid w:val="00984A3D"/>
    <w:rsid w:val="00985D25"/>
    <w:rsid w:val="00986D5B"/>
    <w:rsid w:val="00991955"/>
    <w:rsid w:val="00992968"/>
    <w:rsid w:val="00992DDF"/>
    <w:rsid w:val="00994CD5"/>
    <w:rsid w:val="009960F7"/>
    <w:rsid w:val="00996E4B"/>
    <w:rsid w:val="009A09BE"/>
    <w:rsid w:val="009A33B2"/>
    <w:rsid w:val="009A6778"/>
    <w:rsid w:val="009A6AA3"/>
    <w:rsid w:val="009A6E26"/>
    <w:rsid w:val="009A7226"/>
    <w:rsid w:val="009B11AD"/>
    <w:rsid w:val="009B1F36"/>
    <w:rsid w:val="009B1F83"/>
    <w:rsid w:val="009B3233"/>
    <w:rsid w:val="009B75F1"/>
    <w:rsid w:val="009C06FE"/>
    <w:rsid w:val="009C3858"/>
    <w:rsid w:val="009C5446"/>
    <w:rsid w:val="009D49C9"/>
    <w:rsid w:val="009D4D94"/>
    <w:rsid w:val="009D71D0"/>
    <w:rsid w:val="009E2ECA"/>
    <w:rsid w:val="009E334F"/>
    <w:rsid w:val="009E4093"/>
    <w:rsid w:val="009E577D"/>
    <w:rsid w:val="009E7057"/>
    <w:rsid w:val="009F0B3F"/>
    <w:rsid w:val="009F4179"/>
    <w:rsid w:val="009F577F"/>
    <w:rsid w:val="009F7DE7"/>
    <w:rsid w:val="00A00C61"/>
    <w:rsid w:val="00A0692A"/>
    <w:rsid w:val="00A0745E"/>
    <w:rsid w:val="00A07BFB"/>
    <w:rsid w:val="00A10471"/>
    <w:rsid w:val="00A1312F"/>
    <w:rsid w:val="00A15B5C"/>
    <w:rsid w:val="00A21187"/>
    <w:rsid w:val="00A22737"/>
    <w:rsid w:val="00A2299A"/>
    <w:rsid w:val="00A238CE"/>
    <w:rsid w:val="00A25123"/>
    <w:rsid w:val="00A27E84"/>
    <w:rsid w:val="00A308AB"/>
    <w:rsid w:val="00A3171C"/>
    <w:rsid w:val="00A31741"/>
    <w:rsid w:val="00A32924"/>
    <w:rsid w:val="00A333F0"/>
    <w:rsid w:val="00A35496"/>
    <w:rsid w:val="00A35987"/>
    <w:rsid w:val="00A40337"/>
    <w:rsid w:val="00A44839"/>
    <w:rsid w:val="00A47346"/>
    <w:rsid w:val="00A478F8"/>
    <w:rsid w:val="00A50C93"/>
    <w:rsid w:val="00A5432E"/>
    <w:rsid w:val="00A57BDF"/>
    <w:rsid w:val="00A615A7"/>
    <w:rsid w:val="00A61730"/>
    <w:rsid w:val="00A6332E"/>
    <w:rsid w:val="00A64BC9"/>
    <w:rsid w:val="00A65483"/>
    <w:rsid w:val="00A676B9"/>
    <w:rsid w:val="00A709A6"/>
    <w:rsid w:val="00A742F9"/>
    <w:rsid w:val="00A76A57"/>
    <w:rsid w:val="00A77939"/>
    <w:rsid w:val="00A80225"/>
    <w:rsid w:val="00A818A4"/>
    <w:rsid w:val="00A83EC2"/>
    <w:rsid w:val="00A84555"/>
    <w:rsid w:val="00A90C41"/>
    <w:rsid w:val="00AA31F0"/>
    <w:rsid w:val="00AA3D97"/>
    <w:rsid w:val="00AA40B7"/>
    <w:rsid w:val="00AB0D80"/>
    <w:rsid w:val="00AB4F1A"/>
    <w:rsid w:val="00AC1360"/>
    <w:rsid w:val="00AC2564"/>
    <w:rsid w:val="00AC276B"/>
    <w:rsid w:val="00AC36EF"/>
    <w:rsid w:val="00AC47F8"/>
    <w:rsid w:val="00AD699F"/>
    <w:rsid w:val="00AD7919"/>
    <w:rsid w:val="00AE0577"/>
    <w:rsid w:val="00AE6A11"/>
    <w:rsid w:val="00AE6DC7"/>
    <w:rsid w:val="00AF0579"/>
    <w:rsid w:val="00AF0C27"/>
    <w:rsid w:val="00AF1795"/>
    <w:rsid w:val="00AF3483"/>
    <w:rsid w:val="00AF614E"/>
    <w:rsid w:val="00AF7C5C"/>
    <w:rsid w:val="00B109F7"/>
    <w:rsid w:val="00B114C0"/>
    <w:rsid w:val="00B129C5"/>
    <w:rsid w:val="00B12E7D"/>
    <w:rsid w:val="00B150BF"/>
    <w:rsid w:val="00B16DF7"/>
    <w:rsid w:val="00B20BFB"/>
    <w:rsid w:val="00B21243"/>
    <w:rsid w:val="00B23B1F"/>
    <w:rsid w:val="00B269BE"/>
    <w:rsid w:val="00B35C0D"/>
    <w:rsid w:val="00B35C3A"/>
    <w:rsid w:val="00B40F7F"/>
    <w:rsid w:val="00B43312"/>
    <w:rsid w:val="00B47BBE"/>
    <w:rsid w:val="00B50E88"/>
    <w:rsid w:val="00B51326"/>
    <w:rsid w:val="00B5271E"/>
    <w:rsid w:val="00B53A12"/>
    <w:rsid w:val="00B552DB"/>
    <w:rsid w:val="00B61921"/>
    <w:rsid w:val="00B61AC9"/>
    <w:rsid w:val="00B63CA6"/>
    <w:rsid w:val="00B640EB"/>
    <w:rsid w:val="00B64F08"/>
    <w:rsid w:val="00B656ED"/>
    <w:rsid w:val="00B66A6C"/>
    <w:rsid w:val="00B66EB7"/>
    <w:rsid w:val="00B73F71"/>
    <w:rsid w:val="00B802D6"/>
    <w:rsid w:val="00B803E3"/>
    <w:rsid w:val="00B832EC"/>
    <w:rsid w:val="00B84DEC"/>
    <w:rsid w:val="00B85A7F"/>
    <w:rsid w:val="00B86296"/>
    <w:rsid w:val="00B87655"/>
    <w:rsid w:val="00B9381A"/>
    <w:rsid w:val="00B93FAE"/>
    <w:rsid w:val="00B948DE"/>
    <w:rsid w:val="00B95290"/>
    <w:rsid w:val="00B957A8"/>
    <w:rsid w:val="00B9590D"/>
    <w:rsid w:val="00B964D0"/>
    <w:rsid w:val="00B97DBB"/>
    <w:rsid w:val="00BA0392"/>
    <w:rsid w:val="00BA40EF"/>
    <w:rsid w:val="00BA5EB9"/>
    <w:rsid w:val="00BB0A7C"/>
    <w:rsid w:val="00BB2BD3"/>
    <w:rsid w:val="00BB2E20"/>
    <w:rsid w:val="00BB477A"/>
    <w:rsid w:val="00BB4DD8"/>
    <w:rsid w:val="00BB7056"/>
    <w:rsid w:val="00BC05D3"/>
    <w:rsid w:val="00BC45C6"/>
    <w:rsid w:val="00BC74CC"/>
    <w:rsid w:val="00BD0C98"/>
    <w:rsid w:val="00BD313A"/>
    <w:rsid w:val="00BD4095"/>
    <w:rsid w:val="00BD6FF0"/>
    <w:rsid w:val="00BE1212"/>
    <w:rsid w:val="00BE239F"/>
    <w:rsid w:val="00BE4256"/>
    <w:rsid w:val="00BE52C9"/>
    <w:rsid w:val="00BE6850"/>
    <w:rsid w:val="00BF1491"/>
    <w:rsid w:val="00BF1B80"/>
    <w:rsid w:val="00BF270A"/>
    <w:rsid w:val="00BF58B1"/>
    <w:rsid w:val="00BF5B50"/>
    <w:rsid w:val="00C03F6B"/>
    <w:rsid w:val="00C05F55"/>
    <w:rsid w:val="00C10F38"/>
    <w:rsid w:val="00C16641"/>
    <w:rsid w:val="00C17F76"/>
    <w:rsid w:val="00C203A7"/>
    <w:rsid w:val="00C22E50"/>
    <w:rsid w:val="00C259BE"/>
    <w:rsid w:val="00C25CA0"/>
    <w:rsid w:val="00C272C6"/>
    <w:rsid w:val="00C3526A"/>
    <w:rsid w:val="00C3557B"/>
    <w:rsid w:val="00C35631"/>
    <w:rsid w:val="00C42A30"/>
    <w:rsid w:val="00C4316C"/>
    <w:rsid w:val="00C43DCA"/>
    <w:rsid w:val="00C4544A"/>
    <w:rsid w:val="00C502F1"/>
    <w:rsid w:val="00C566EA"/>
    <w:rsid w:val="00C614A0"/>
    <w:rsid w:val="00C64210"/>
    <w:rsid w:val="00C64498"/>
    <w:rsid w:val="00C64FA2"/>
    <w:rsid w:val="00C64FF4"/>
    <w:rsid w:val="00C66469"/>
    <w:rsid w:val="00C66957"/>
    <w:rsid w:val="00C66B69"/>
    <w:rsid w:val="00C67AE2"/>
    <w:rsid w:val="00C70B23"/>
    <w:rsid w:val="00C74B2B"/>
    <w:rsid w:val="00C83F11"/>
    <w:rsid w:val="00C847B1"/>
    <w:rsid w:val="00C95AD1"/>
    <w:rsid w:val="00C973DB"/>
    <w:rsid w:val="00CA0D91"/>
    <w:rsid w:val="00CA2617"/>
    <w:rsid w:val="00CA2FBE"/>
    <w:rsid w:val="00CA7BB1"/>
    <w:rsid w:val="00CB7FEE"/>
    <w:rsid w:val="00CC2998"/>
    <w:rsid w:val="00CC359D"/>
    <w:rsid w:val="00CC4480"/>
    <w:rsid w:val="00CC744F"/>
    <w:rsid w:val="00CE095D"/>
    <w:rsid w:val="00CE1B22"/>
    <w:rsid w:val="00CE2015"/>
    <w:rsid w:val="00CE3479"/>
    <w:rsid w:val="00CE4D08"/>
    <w:rsid w:val="00CE73AA"/>
    <w:rsid w:val="00CF0F6C"/>
    <w:rsid w:val="00CF2764"/>
    <w:rsid w:val="00CF436E"/>
    <w:rsid w:val="00CF4CF1"/>
    <w:rsid w:val="00CF5886"/>
    <w:rsid w:val="00D006BF"/>
    <w:rsid w:val="00D00769"/>
    <w:rsid w:val="00D023C4"/>
    <w:rsid w:val="00D03401"/>
    <w:rsid w:val="00D03653"/>
    <w:rsid w:val="00D03C06"/>
    <w:rsid w:val="00D0412B"/>
    <w:rsid w:val="00D04656"/>
    <w:rsid w:val="00D0503C"/>
    <w:rsid w:val="00D05E2D"/>
    <w:rsid w:val="00D10139"/>
    <w:rsid w:val="00D16A4C"/>
    <w:rsid w:val="00D17626"/>
    <w:rsid w:val="00D22760"/>
    <w:rsid w:val="00D24750"/>
    <w:rsid w:val="00D2596D"/>
    <w:rsid w:val="00D27247"/>
    <w:rsid w:val="00D3352B"/>
    <w:rsid w:val="00D3445B"/>
    <w:rsid w:val="00D47642"/>
    <w:rsid w:val="00D4764E"/>
    <w:rsid w:val="00D52C85"/>
    <w:rsid w:val="00D539E5"/>
    <w:rsid w:val="00D5441E"/>
    <w:rsid w:val="00D54633"/>
    <w:rsid w:val="00D60158"/>
    <w:rsid w:val="00D644C0"/>
    <w:rsid w:val="00D64F2B"/>
    <w:rsid w:val="00D64F54"/>
    <w:rsid w:val="00D714AC"/>
    <w:rsid w:val="00D722B7"/>
    <w:rsid w:val="00D76623"/>
    <w:rsid w:val="00D76E61"/>
    <w:rsid w:val="00D8202E"/>
    <w:rsid w:val="00D83C67"/>
    <w:rsid w:val="00D84663"/>
    <w:rsid w:val="00D85B59"/>
    <w:rsid w:val="00D90A0C"/>
    <w:rsid w:val="00D90FDC"/>
    <w:rsid w:val="00D9419B"/>
    <w:rsid w:val="00D95015"/>
    <w:rsid w:val="00D9509D"/>
    <w:rsid w:val="00D95519"/>
    <w:rsid w:val="00D97338"/>
    <w:rsid w:val="00D9749B"/>
    <w:rsid w:val="00DA0685"/>
    <w:rsid w:val="00DA3DE0"/>
    <w:rsid w:val="00DB6670"/>
    <w:rsid w:val="00DB7A20"/>
    <w:rsid w:val="00DC0CCF"/>
    <w:rsid w:val="00DC17B5"/>
    <w:rsid w:val="00DC3F6C"/>
    <w:rsid w:val="00DC499F"/>
    <w:rsid w:val="00DD2C81"/>
    <w:rsid w:val="00DD2F19"/>
    <w:rsid w:val="00DD44F7"/>
    <w:rsid w:val="00DD61FA"/>
    <w:rsid w:val="00DD6247"/>
    <w:rsid w:val="00DE2A52"/>
    <w:rsid w:val="00DF0259"/>
    <w:rsid w:val="00DF0C02"/>
    <w:rsid w:val="00DF2462"/>
    <w:rsid w:val="00DF418C"/>
    <w:rsid w:val="00E03637"/>
    <w:rsid w:val="00E05EF0"/>
    <w:rsid w:val="00E108D3"/>
    <w:rsid w:val="00E1206E"/>
    <w:rsid w:val="00E140AC"/>
    <w:rsid w:val="00E1532C"/>
    <w:rsid w:val="00E15D51"/>
    <w:rsid w:val="00E200AB"/>
    <w:rsid w:val="00E22645"/>
    <w:rsid w:val="00E2273E"/>
    <w:rsid w:val="00E242C4"/>
    <w:rsid w:val="00E3015B"/>
    <w:rsid w:val="00E303B0"/>
    <w:rsid w:val="00E303D0"/>
    <w:rsid w:val="00E3636D"/>
    <w:rsid w:val="00E411F5"/>
    <w:rsid w:val="00E426BC"/>
    <w:rsid w:val="00E5089A"/>
    <w:rsid w:val="00E51585"/>
    <w:rsid w:val="00E529A8"/>
    <w:rsid w:val="00E53E93"/>
    <w:rsid w:val="00E574E0"/>
    <w:rsid w:val="00E617B8"/>
    <w:rsid w:val="00E67CCA"/>
    <w:rsid w:val="00E736AD"/>
    <w:rsid w:val="00E75535"/>
    <w:rsid w:val="00E75CEF"/>
    <w:rsid w:val="00E810C8"/>
    <w:rsid w:val="00E8485D"/>
    <w:rsid w:val="00E87CD8"/>
    <w:rsid w:val="00E90DEF"/>
    <w:rsid w:val="00E93DA4"/>
    <w:rsid w:val="00E96966"/>
    <w:rsid w:val="00EC2E24"/>
    <w:rsid w:val="00ED0249"/>
    <w:rsid w:val="00ED4379"/>
    <w:rsid w:val="00ED4406"/>
    <w:rsid w:val="00ED5B7B"/>
    <w:rsid w:val="00ED6A8E"/>
    <w:rsid w:val="00EE27CE"/>
    <w:rsid w:val="00EE40FF"/>
    <w:rsid w:val="00EE4FB8"/>
    <w:rsid w:val="00EE7B66"/>
    <w:rsid w:val="00EF197B"/>
    <w:rsid w:val="00EF1D72"/>
    <w:rsid w:val="00EF32AF"/>
    <w:rsid w:val="00EF674A"/>
    <w:rsid w:val="00EF784F"/>
    <w:rsid w:val="00F007E6"/>
    <w:rsid w:val="00F05D65"/>
    <w:rsid w:val="00F07331"/>
    <w:rsid w:val="00F11DAB"/>
    <w:rsid w:val="00F13626"/>
    <w:rsid w:val="00F13B6F"/>
    <w:rsid w:val="00F13D48"/>
    <w:rsid w:val="00F1454E"/>
    <w:rsid w:val="00F15545"/>
    <w:rsid w:val="00F15EE0"/>
    <w:rsid w:val="00F269AB"/>
    <w:rsid w:val="00F27054"/>
    <w:rsid w:val="00F272C9"/>
    <w:rsid w:val="00F33DFC"/>
    <w:rsid w:val="00F33F2A"/>
    <w:rsid w:val="00F35733"/>
    <w:rsid w:val="00F36140"/>
    <w:rsid w:val="00F373DC"/>
    <w:rsid w:val="00F45CD8"/>
    <w:rsid w:val="00F46522"/>
    <w:rsid w:val="00F470D9"/>
    <w:rsid w:val="00F5237D"/>
    <w:rsid w:val="00F54C2B"/>
    <w:rsid w:val="00F54DC2"/>
    <w:rsid w:val="00F61C69"/>
    <w:rsid w:val="00F6231B"/>
    <w:rsid w:val="00F62C91"/>
    <w:rsid w:val="00F6736D"/>
    <w:rsid w:val="00F70857"/>
    <w:rsid w:val="00F819AA"/>
    <w:rsid w:val="00F852FE"/>
    <w:rsid w:val="00F857FE"/>
    <w:rsid w:val="00F87D94"/>
    <w:rsid w:val="00F97B3A"/>
    <w:rsid w:val="00FA3034"/>
    <w:rsid w:val="00FA3BC5"/>
    <w:rsid w:val="00FA6180"/>
    <w:rsid w:val="00FA6749"/>
    <w:rsid w:val="00FA750A"/>
    <w:rsid w:val="00FB3A9D"/>
    <w:rsid w:val="00FB6574"/>
    <w:rsid w:val="00FB7821"/>
    <w:rsid w:val="00FC52EA"/>
    <w:rsid w:val="00FD27EF"/>
    <w:rsid w:val="00FD4437"/>
    <w:rsid w:val="00FE2EE7"/>
    <w:rsid w:val="00FE4B3B"/>
    <w:rsid w:val="00FE6B0C"/>
    <w:rsid w:val="00FF248C"/>
    <w:rsid w:val="00FF26FE"/>
    <w:rsid w:val="00FF2836"/>
    <w:rsid w:val="00FF5180"/>
    <w:rsid w:val="00FF53EC"/>
    <w:rsid w:val="00FF68BF"/>
    <w:rsid w:val="00FF766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2A299B8"/>
  <w15:chartTrackingRefBased/>
  <w15:docId w15:val="{9DE77281-98C7-4698-9E29-FA6BE6D03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link w:val="Heading1Char"/>
    <w:qFormat/>
    <w:pPr>
      <w:keepNext/>
      <w:outlineLvl w:val="0"/>
    </w:pPr>
    <w:rPr>
      <w:b/>
      <w:bCs/>
      <w:sz w:val="24"/>
    </w:rPr>
  </w:style>
  <w:style w:type="paragraph" w:styleId="Heading2">
    <w:name w:val="heading 2"/>
    <w:basedOn w:val="Normal"/>
    <w:next w:val="Normal"/>
    <w:link w:val="Heading2Char"/>
    <w:qFormat/>
    <w:pPr>
      <w:keepNext/>
      <w:ind w:left="2160"/>
      <w:outlineLvl w:val="1"/>
    </w:pPr>
    <w:rPr>
      <w:sz w:val="24"/>
    </w:rPr>
  </w:style>
  <w:style w:type="paragraph" w:styleId="Heading3">
    <w:name w:val="heading 3"/>
    <w:basedOn w:val="Normal"/>
    <w:next w:val="Normal"/>
    <w:link w:val="Heading3Char"/>
    <w:qFormat/>
    <w:pPr>
      <w:keepNext/>
      <w:ind w:left="1440" w:hanging="360"/>
      <w:outlineLvl w:val="2"/>
    </w:pPr>
    <w:rPr>
      <w:sz w:val="24"/>
    </w:rPr>
  </w:style>
  <w:style w:type="paragraph" w:styleId="Heading4">
    <w:name w:val="heading 4"/>
    <w:basedOn w:val="Normal"/>
    <w:next w:val="Normal"/>
    <w:link w:val="Heading4Char"/>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b/>
      <w:bCs/>
      <w:sz w:val="24"/>
      <w:szCs w:val="24"/>
      <w:lang w:val="en-US" w:eastAsia="en-US" w:bidi="ar-SA"/>
    </w:rPr>
  </w:style>
  <w:style w:type="character" w:customStyle="1" w:styleId="Heading2Char">
    <w:name w:val="Heading 2 Char"/>
    <w:link w:val="Heading2"/>
    <w:semiHidden/>
    <w:locked/>
    <w:rPr>
      <w:sz w:val="24"/>
      <w:szCs w:val="24"/>
      <w:lang w:val="en-US" w:eastAsia="en-US" w:bidi="ar-SA"/>
    </w:rPr>
  </w:style>
  <w:style w:type="character" w:customStyle="1" w:styleId="Heading3Char">
    <w:name w:val="Heading 3 Char"/>
    <w:link w:val="Heading3"/>
    <w:semiHidden/>
    <w:locked/>
    <w:rPr>
      <w:sz w:val="24"/>
      <w:szCs w:val="24"/>
      <w:lang w:val="en-US" w:eastAsia="en-US" w:bidi="ar-SA"/>
    </w:rPr>
  </w:style>
  <w:style w:type="character" w:customStyle="1" w:styleId="Heading4Char">
    <w:name w:val="Heading 4 Char"/>
    <w:link w:val="Heading4"/>
    <w:semiHidden/>
    <w:locked/>
    <w:rPr>
      <w:sz w:val="24"/>
      <w:szCs w:val="24"/>
      <w:lang w:val="en-US" w:eastAsia="en-US" w:bidi="ar-SA"/>
    </w:rPr>
  </w:style>
  <w:style w:type="paragraph" w:styleId="BodyTextIndent">
    <w:name w:val="Body Text Indent"/>
    <w:aliases w:val=" Char"/>
    <w:basedOn w:val="Normal"/>
    <w:link w:val="BodyTextIndentChar"/>
    <w:pPr>
      <w:ind w:left="720"/>
    </w:pPr>
    <w:rPr>
      <w:rFonts w:ascii="Baskerville Old Face" w:hAnsi="Baskerville Old Face"/>
      <w:sz w:val="24"/>
    </w:rPr>
  </w:style>
  <w:style w:type="character" w:customStyle="1" w:styleId="BodyTextIndentChar">
    <w:name w:val="Body Text Indent Char"/>
    <w:aliases w:val=" Char Char3"/>
    <w:link w:val="BodyTextIndent"/>
    <w:semiHidden/>
    <w:locked/>
    <w:rPr>
      <w:rFonts w:ascii="Baskerville Old Face" w:hAnsi="Baskerville Old Face"/>
      <w:sz w:val="24"/>
      <w:szCs w:val="24"/>
      <w:lang w:val="en-US" w:eastAsia="en-US" w:bidi="ar-SA"/>
    </w:rPr>
  </w:style>
  <w:style w:type="paragraph" w:styleId="BodyTextIndent2">
    <w:name w:val="Body Text Indent 2"/>
    <w:aliases w:val=" Char_0"/>
    <w:basedOn w:val="Normal"/>
    <w:link w:val="BodyTextIndent2Char"/>
    <w:pPr>
      <w:ind w:left="1080"/>
    </w:pPr>
    <w:rPr>
      <w:sz w:val="24"/>
    </w:rPr>
  </w:style>
  <w:style w:type="character" w:customStyle="1" w:styleId="BodyTextIndent2Char">
    <w:name w:val="Body Text Indent 2 Char"/>
    <w:aliases w:val=" Char Char2"/>
    <w:link w:val="BodyTextIndent2"/>
    <w:semiHidden/>
    <w:locked/>
    <w:rPr>
      <w:sz w:val="24"/>
      <w:szCs w:val="24"/>
      <w:lang w:val="en-US" w:eastAsia="en-US" w:bidi="ar-SA"/>
    </w:rPr>
  </w:style>
  <w:style w:type="paragraph" w:styleId="BodyText">
    <w:name w:val="Body Text"/>
    <w:aliases w:val=" Char_1"/>
    <w:basedOn w:val="Normal"/>
    <w:link w:val="BodyTextChar"/>
    <w:rPr>
      <w:sz w:val="24"/>
    </w:rPr>
  </w:style>
  <w:style w:type="character" w:customStyle="1" w:styleId="BodyTextChar">
    <w:name w:val="Body Text Char"/>
    <w:aliases w:val=" Char Char1"/>
    <w:link w:val="BodyText"/>
    <w:semiHidden/>
    <w:locked/>
    <w:rPr>
      <w:sz w:val="24"/>
      <w:szCs w:val="24"/>
      <w:lang w:val="en-US" w:eastAsia="en-US" w:bidi="ar-SA"/>
    </w:rPr>
  </w:style>
  <w:style w:type="character" w:styleId="Hyperlink">
    <w:name w:val="Hyperlink"/>
    <w:rPr>
      <w:rFonts w:cs="Times New Roman"/>
      <w:color w:val="0000FF"/>
      <w:u w:val="single"/>
    </w:rPr>
  </w:style>
  <w:style w:type="paragraph" w:styleId="Footer">
    <w:name w:val="footer"/>
    <w:aliases w:val=" Char_2"/>
    <w:basedOn w:val="Normal"/>
    <w:link w:val="FooterChar"/>
    <w:uiPriority w:val="99"/>
    <w:pPr>
      <w:tabs>
        <w:tab w:val="center" w:pos="4320"/>
        <w:tab w:val="right" w:pos="8640"/>
      </w:tabs>
    </w:pPr>
  </w:style>
  <w:style w:type="character" w:customStyle="1" w:styleId="FooterChar">
    <w:name w:val="Footer Char"/>
    <w:aliases w:val=" Char Char"/>
    <w:link w:val="Footer"/>
    <w:uiPriority w:val="99"/>
    <w:locked/>
    <w:rPr>
      <w:szCs w:val="24"/>
      <w:lang w:val="en-US" w:eastAsia="en-US" w:bidi="ar-SA"/>
    </w:rPr>
  </w:style>
  <w:style w:type="character" w:styleId="PageNumber">
    <w:name w:val="page number"/>
    <w:rPr>
      <w:rFonts w:cs="Times New Roman"/>
    </w:rPr>
  </w:style>
  <w:style w:type="character" w:styleId="CommentReference">
    <w:name w:val="annotation reference"/>
    <w:semiHidden/>
    <w:rPr>
      <w:sz w:val="16"/>
      <w:szCs w:val="16"/>
    </w:rPr>
  </w:style>
  <w:style w:type="paragraph" w:styleId="CommentText">
    <w:name w:val="annotation text"/>
    <w:basedOn w:val="Normal"/>
    <w:semiHidden/>
    <w:rPr>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rsid w:val="003D3546"/>
    <w:pPr>
      <w:tabs>
        <w:tab w:val="center" w:pos="4680"/>
        <w:tab w:val="right" w:pos="9360"/>
      </w:tabs>
    </w:pPr>
  </w:style>
  <w:style w:type="character" w:customStyle="1" w:styleId="HeaderChar">
    <w:name w:val="Header Char"/>
    <w:link w:val="Header"/>
    <w:uiPriority w:val="99"/>
    <w:rsid w:val="003D3546"/>
    <w:rPr>
      <w:szCs w:val="24"/>
    </w:rPr>
  </w:style>
  <w:style w:type="character" w:styleId="FollowedHyperlink">
    <w:name w:val="FollowedHyperlink"/>
    <w:rsid w:val="00444C8B"/>
    <w:rPr>
      <w:color w:val="954F72"/>
      <w:u w:val="single"/>
    </w:rPr>
  </w:style>
  <w:style w:type="paragraph" w:styleId="Revision">
    <w:name w:val="Revision"/>
    <w:hidden/>
    <w:uiPriority w:val="99"/>
    <w:semiHidden/>
    <w:rsid w:val="00D47642"/>
    <w:rPr>
      <w:szCs w:val="24"/>
    </w:rPr>
  </w:style>
  <w:style w:type="paragraph" w:styleId="ListParagraph">
    <w:name w:val="List Paragraph"/>
    <w:basedOn w:val="Normal"/>
    <w:uiPriority w:val="34"/>
    <w:qFormat/>
    <w:rsid w:val="00AC1360"/>
    <w:pPr>
      <w:widowControl/>
      <w:autoSpaceDE/>
      <w:autoSpaceDN/>
      <w:adjustRightInd/>
      <w:spacing w:after="160" w:line="259" w:lineRule="auto"/>
      <w:ind w:left="720"/>
      <w:contextualSpacing/>
    </w:pPr>
    <w:rPr>
      <w:rFonts w:asciiTheme="minorHAnsi" w:eastAsiaTheme="minorHAnsi" w:hAnsiTheme="minorHAnsi" w:cstheme="minorBidi"/>
      <w:sz w:val="22"/>
      <w:szCs w:val="22"/>
    </w:rPr>
  </w:style>
  <w:style w:type="paragraph" w:styleId="EndnoteText">
    <w:name w:val="endnote text"/>
    <w:basedOn w:val="Normal"/>
    <w:link w:val="EndnoteTextChar"/>
    <w:rsid w:val="00594F9B"/>
    <w:rPr>
      <w:szCs w:val="20"/>
    </w:rPr>
  </w:style>
  <w:style w:type="character" w:customStyle="1" w:styleId="EndnoteTextChar">
    <w:name w:val="Endnote Text Char"/>
    <w:basedOn w:val="DefaultParagraphFont"/>
    <w:link w:val="EndnoteText"/>
    <w:rsid w:val="00594F9B"/>
  </w:style>
  <w:style w:type="character" w:styleId="EndnoteReference">
    <w:name w:val="endnote reference"/>
    <w:basedOn w:val="DefaultParagraphFont"/>
    <w:rsid w:val="00594F9B"/>
    <w:rPr>
      <w:vertAlign w:val="superscript"/>
    </w:rPr>
  </w:style>
  <w:style w:type="paragraph" w:styleId="FootnoteText">
    <w:name w:val="footnote text"/>
    <w:basedOn w:val="Normal"/>
    <w:link w:val="FootnoteTextChar"/>
    <w:rsid w:val="00594F9B"/>
    <w:rPr>
      <w:szCs w:val="20"/>
    </w:rPr>
  </w:style>
  <w:style w:type="character" w:customStyle="1" w:styleId="FootnoteTextChar">
    <w:name w:val="Footnote Text Char"/>
    <w:basedOn w:val="DefaultParagraphFont"/>
    <w:link w:val="FootnoteText"/>
    <w:rsid w:val="00594F9B"/>
  </w:style>
  <w:style w:type="character" w:styleId="FootnoteReference">
    <w:name w:val="footnote reference"/>
    <w:basedOn w:val="DefaultParagraphFont"/>
    <w:rsid w:val="00594F9B"/>
    <w:rPr>
      <w:vertAlign w:val="superscript"/>
    </w:rPr>
  </w:style>
  <w:style w:type="character" w:styleId="Emphasis">
    <w:name w:val="Emphasis"/>
    <w:basedOn w:val="DefaultParagraphFont"/>
    <w:qFormat/>
    <w:rsid w:val="008A4A43"/>
    <w:rPr>
      <w:i/>
      <w:iCs/>
    </w:rPr>
  </w:style>
  <w:style w:type="paragraph" w:styleId="NormalWeb">
    <w:name w:val="Normal (Web)"/>
    <w:basedOn w:val="Normal"/>
    <w:rsid w:val="009A6AA3"/>
    <w:pPr>
      <w:widowControl/>
      <w:autoSpaceDE/>
      <w:autoSpaceDN/>
      <w:adjustRightInd/>
      <w:spacing w:before="100" w:beforeAutospacing="1" w:after="100" w:afterAutospacing="1"/>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ohrp.cit.nih.gov/search/search.aspx?styp=bsc"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FF7ABD5889DB40ABE1E94CBDE11FCA" ma:contentTypeVersion="14" ma:contentTypeDescription="Create a new document." ma:contentTypeScope="" ma:versionID="4ac270c982889ded655267b3f8b09127">
  <xsd:schema xmlns:xsd="http://www.w3.org/2001/XMLSchema" xmlns:xs="http://www.w3.org/2001/XMLSchema" xmlns:p="http://schemas.microsoft.com/office/2006/metadata/properties" xmlns:ns2="37985b96-cfc3-4df9-88cc-8acb6f1ff2d3" xmlns:ns3="005c7616-ae63-4067-a993-1e0971f19fc0" targetNamespace="http://schemas.microsoft.com/office/2006/metadata/properties" ma:root="true" ma:fieldsID="c4274a99c4db1f76b7df9da93737f685" ns2:_="" ns3:_="">
    <xsd:import namespace="37985b96-cfc3-4df9-88cc-8acb6f1ff2d3"/>
    <xsd:import namespace="005c7616-ae63-4067-a993-1e0971f19fc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985b96-cfc3-4df9-88cc-8acb6f1ff2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da272cd-f9ca-4ad6-a26d-f1d654a28d01}" ma:internalName="TaxCatchAll" ma:showField="CatchAllData" ma:web="37985b96-cfc3-4df9-88cc-8acb6f1ff2d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05c7616-ae63-4067-a993-1e0971f19fc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7985b96-cfc3-4df9-88cc-8acb6f1ff2d3" xsi:nil="true"/>
    <lcf76f155ced4ddcb4097134ff3c332f xmlns="005c7616-ae63-4067-a993-1e0971f19fc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AD041F-718F-4107-AAA1-8B26AB7EC7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985b96-cfc3-4df9-88cc-8acb6f1ff2d3"/>
    <ds:schemaRef ds:uri="005c7616-ae63-4067-a993-1e0971f19f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7F5E03-0CC4-4F8A-B30B-62BF67AE874B}">
  <ds:schemaRefs>
    <ds:schemaRef ds:uri="http://schemas.microsoft.com/office/2006/metadata/properties"/>
    <ds:schemaRef ds:uri="http://schemas.microsoft.com/office/infopath/2007/PartnerControls"/>
    <ds:schemaRef ds:uri="37985b96-cfc3-4df9-88cc-8acb6f1ff2d3"/>
    <ds:schemaRef ds:uri="005c7616-ae63-4067-a993-1e0971f19fc0"/>
  </ds:schemaRefs>
</ds:datastoreItem>
</file>

<file path=customXml/itemProps3.xml><?xml version="1.0" encoding="utf-8"?>
<ds:datastoreItem xmlns:ds="http://schemas.openxmlformats.org/officeDocument/2006/customXml" ds:itemID="{81A57B98-E127-4ACE-8698-019A7710159F}">
  <ds:schemaRefs>
    <ds:schemaRef ds:uri="http://schemas.openxmlformats.org/officeDocument/2006/bibliography"/>
  </ds:schemaRefs>
</ds:datastoreItem>
</file>

<file path=customXml/itemProps4.xml><?xml version="1.0" encoding="utf-8"?>
<ds:datastoreItem xmlns:ds="http://schemas.openxmlformats.org/officeDocument/2006/customXml" ds:itemID="{2E0AFD8D-5B44-47EC-AD3E-A099C00E530A}">
  <ds:schemaRefs>
    <ds:schemaRef ds:uri="http://schemas.microsoft.com/sharepoint/v3/contenttype/form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88</TotalTime>
  <Pages>13</Pages>
  <Words>4042</Words>
  <Characters>22760</Characters>
  <Application>Microsoft Office Word</Application>
  <DocSecurity>0</DocSecurity>
  <Lines>569</Lines>
  <Paragraphs>188</Paragraphs>
  <ScaleCrop>false</ScaleCrop>
  <HeadingPairs>
    <vt:vector size="2" baseType="variant">
      <vt:variant>
        <vt:lpstr>Title</vt:lpstr>
      </vt:variant>
      <vt:variant>
        <vt:i4>1</vt:i4>
      </vt:variant>
    </vt:vector>
  </HeadingPairs>
  <TitlesOfParts>
    <vt:vector size="1" baseType="lpstr">
      <vt:lpstr>Supporting Statement for the Institutional Review Board (IRB) Registration Form and for Institutional Review Boards: Registration Requirements, FDA Final Rule</vt:lpstr>
    </vt:vector>
  </TitlesOfParts>
  <Company>DHHS</Company>
  <LinksUpToDate>false</LinksUpToDate>
  <CharactersWithSpaces>26614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Institutional Review Board (IRB) Registration Form and for Institutional Review Boards: Registration Requirements, FDA Final Rule</dc:title>
  <dc:creator>istithco</dc:creator>
  <cp:lastModifiedBy>Stidham, Michael (HHS/OASH)</cp:lastModifiedBy>
  <cp:revision>13</cp:revision>
  <cp:lastPrinted>2018-08-01T15:39:00Z</cp:lastPrinted>
  <dcterms:created xsi:type="dcterms:W3CDTF">2025-07-22T16:27:00Z</dcterms:created>
  <dcterms:modified xsi:type="dcterms:W3CDTF">2026-07-16T20:48:00Z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0x01010009FF7ABD5889DB40ABE1E94CBDE11FCA</vt:lpwstr>
  </property>
  <property fmtid="{D5CDD505-2E9C-101B-9397-08002B2CF9AE}" pid="3" name="MediaServiceImageTags">
    <vt:lpwstr/>
  </property>
</Properties>
</file>