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525FB" w:rsidP="008525FB" w14:paraId="386857EF" w14:textId="4654F934">
      <w:pPr>
        <w:pBdr>
          <w:bottom w:val="single" w:sz="6"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p>
    <w:p w:rsidR="008525FB" w:rsidP="008525FB" w14:paraId="02AD1D9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p>
    <w:p w:rsidR="008525FB" w:rsidRPr="00CB0B94" w:rsidP="008525FB" w14:paraId="2CEDA0AC" w14:textId="45D5DC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r w:rsidRPr="00CB0B94">
        <w:rPr>
          <w:b/>
          <w:bCs/>
          <w:sz w:val="20"/>
          <w:szCs w:val="20"/>
        </w:rPr>
        <w:t>U.S. DEPARTMENT OF THE INTERIOR</w:t>
      </w:r>
    </w:p>
    <w:p w:rsidR="008525FB" w:rsidRPr="00CB0B94" w:rsidP="008525FB" w14:paraId="3339BA1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r w:rsidRPr="00CB0B94">
        <w:rPr>
          <w:b/>
          <w:bCs/>
          <w:sz w:val="20"/>
          <w:szCs w:val="20"/>
        </w:rPr>
        <w:t xml:space="preserve">BUREAU OF LAND MANAGEMENT </w:t>
      </w:r>
    </w:p>
    <w:p w:rsidR="008525FB" w:rsidRPr="00CB0B94" w:rsidP="008525FB" w14:paraId="48A56C8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p>
    <w:p w:rsidR="008525FB" w:rsidP="008525FB" w14:paraId="4B39D464" w14:textId="0F1223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r>
        <w:rPr>
          <w:b/>
          <w:bCs/>
          <w:sz w:val="20"/>
          <w:szCs w:val="20"/>
        </w:rPr>
        <w:t>JUSTIFICATION FOR A NON-SUBSTANTIVE CHANGE REQUEST</w:t>
      </w:r>
    </w:p>
    <w:p w:rsidR="008525FB" w:rsidP="008525FB" w14:paraId="0495E3D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8525FB" w:rsidRPr="00563250" w:rsidP="008525FB" w14:paraId="0552449D" w14:textId="77777777">
      <w:pPr>
        <w:jc w:val="center"/>
        <w:rPr>
          <w:b/>
          <w:caps/>
          <w:sz w:val="20"/>
          <w:szCs w:val="20"/>
        </w:rPr>
      </w:pPr>
      <w:r w:rsidRPr="00563250">
        <w:rPr>
          <w:b/>
          <w:caps/>
          <w:sz w:val="20"/>
          <w:szCs w:val="20"/>
        </w:rPr>
        <w:t>Permits for Recreation on Public Lands</w:t>
      </w:r>
    </w:p>
    <w:p w:rsidR="008525FB" w:rsidRPr="00563250" w:rsidP="008525FB" w14:paraId="401EF388" w14:textId="77777777">
      <w:pPr>
        <w:jc w:val="center"/>
        <w:rPr>
          <w:b/>
          <w:caps/>
          <w:sz w:val="20"/>
          <w:szCs w:val="20"/>
        </w:rPr>
      </w:pPr>
      <w:r w:rsidRPr="00563250">
        <w:rPr>
          <w:b/>
          <w:caps/>
          <w:sz w:val="20"/>
          <w:szCs w:val="20"/>
        </w:rPr>
        <w:t>(43 CFR Part 2930)</w:t>
      </w:r>
    </w:p>
    <w:p w:rsidR="008525FB" w:rsidRPr="00563250" w:rsidP="008525FB" w14:paraId="7E718098" w14:textId="77777777">
      <w:pPr>
        <w:jc w:val="center"/>
        <w:rPr>
          <w:b/>
          <w:caps/>
          <w:sz w:val="20"/>
          <w:szCs w:val="20"/>
        </w:rPr>
      </w:pPr>
    </w:p>
    <w:p w:rsidR="008525FB" w:rsidP="008525FB" w14:paraId="635F3F67" w14:textId="77777777">
      <w:pPr>
        <w:pBdr>
          <w:bottom w:val="single" w:sz="6"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aps/>
          <w:sz w:val="20"/>
          <w:szCs w:val="20"/>
        </w:rPr>
      </w:pPr>
      <w:r w:rsidRPr="00563250">
        <w:rPr>
          <w:b/>
          <w:bCs/>
          <w:caps/>
          <w:sz w:val="20"/>
          <w:szCs w:val="20"/>
        </w:rPr>
        <w:t>OMB Control Number 1004-0119</w:t>
      </w:r>
    </w:p>
    <w:p w:rsidR="002C2D17" w14:paraId="0A0992F8" w14:textId="718D1F91"/>
    <w:p w:rsidR="008525FB" w:rsidP="008525FB" w14:paraId="010272CF" w14:textId="77777777"/>
    <w:p w:rsidR="008525FB" w:rsidRPr="008525FB" w:rsidP="008525FB" w14:paraId="0C8C9A45" w14:textId="1051C303">
      <w:pPr>
        <w:rPr>
          <w:sz w:val="20"/>
          <w:szCs w:val="20"/>
        </w:rPr>
      </w:pPr>
      <w:r w:rsidRPr="008525FB">
        <w:rPr>
          <w:sz w:val="20"/>
          <w:szCs w:val="20"/>
        </w:rPr>
        <w:t xml:space="preserve">The EXPLORE Act </w:t>
      </w:r>
      <w:r w:rsidRPr="00E44462" w:rsidR="00E44462">
        <w:rPr>
          <w:sz w:val="20"/>
          <w:szCs w:val="20"/>
        </w:rPr>
        <w:t xml:space="preserve">(Pub. L. 18–234) </w:t>
      </w:r>
      <w:r w:rsidRPr="008525FB">
        <w:rPr>
          <w:sz w:val="20"/>
          <w:szCs w:val="20"/>
        </w:rPr>
        <w:t xml:space="preserve">was signed into law on January 4, 2025. The </w:t>
      </w:r>
      <w:r w:rsidRPr="00E44462">
        <w:rPr>
          <w:sz w:val="20"/>
          <w:szCs w:val="20"/>
        </w:rPr>
        <w:t>A</w:t>
      </w:r>
      <w:r w:rsidRPr="008525FB">
        <w:rPr>
          <w:sz w:val="20"/>
          <w:szCs w:val="20"/>
        </w:rPr>
        <w:t xml:space="preserve">ct </w:t>
      </w:r>
      <w:r w:rsidRPr="002D2445" w:rsidR="002D2445">
        <w:rPr>
          <w:i/>
          <w:iCs/>
          <w:sz w:val="20"/>
          <w:szCs w:val="20"/>
        </w:rPr>
        <w:t>inter alia</w:t>
      </w:r>
      <w:r w:rsidR="002D2445">
        <w:rPr>
          <w:sz w:val="20"/>
          <w:szCs w:val="20"/>
        </w:rPr>
        <w:t xml:space="preserve"> </w:t>
      </w:r>
      <w:r w:rsidRPr="008525FB">
        <w:rPr>
          <w:sz w:val="20"/>
          <w:szCs w:val="20"/>
        </w:rPr>
        <w:t xml:space="preserve">changed the definitions of the types of Special Recreation Permits. The Bureau of Land Management is proposing to remove one question and the associated definitions from the </w:t>
      </w:r>
      <w:r w:rsidRPr="00E44462">
        <w:rPr>
          <w:sz w:val="20"/>
          <w:szCs w:val="20"/>
        </w:rPr>
        <w:t xml:space="preserve">Form </w:t>
      </w:r>
      <w:r w:rsidRPr="008525FB">
        <w:rPr>
          <w:sz w:val="20"/>
          <w:szCs w:val="20"/>
        </w:rPr>
        <w:t xml:space="preserve">2930-1 to comply with the </w:t>
      </w:r>
      <w:r w:rsidRPr="00E44462">
        <w:rPr>
          <w:sz w:val="20"/>
          <w:szCs w:val="20"/>
        </w:rPr>
        <w:t xml:space="preserve">new </w:t>
      </w:r>
      <w:r w:rsidRPr="008525FB">
        <w:rPr>
          <w:sz w:val="20"/>
          <w:szCs w:val="20"/>
        </w:rPr>
        <w:t xml:space="preserve">law. </w:t>
      </w:r>
    </w:p>
    <w:p w:rsidR="008525FB" w:rsidRPr="008525FB" w:rsidP="008525FB" w14:paraId="0906EFF5" w14:textId="77777777">
      <w:pPr>
        <w:rPr>
          <w:sz w:val="20"/>
          <w:szCs w:val="20"/>
        </w:rPr>
      </w:pPr>
    </w:p>
    <w:p w:rsidR="008525FB" w:rsidRPr="008525FB" w:rsidP="008525FB" w14:paraId="5EACE77F" w14:textId="2E484C6D">
      <w:pPr>
        <w:rPr>
          <w:sz w:val="20"/>
          <w:szCs w:val="20"/>
        </w:rPr>
      </w:pPr>
      <w:r w:rsidRPr="008525FB">
        <w:rPr>
          <w:sz w:val="20"/>
          <w:szCs w:val="20"/>
        </w:rPr>
        <w:t>The EXPLORE Act introduced statutory changes that impact how we define and administer Special Recreation Permits, including refined definitions for permit types, which was Commercial, Competitive, Organized Group, and Vending. These changes aim to improve consistency and better reflect the range of recreational activities occurring on public lands.</w:t>
      </w:r>
    </w:p>
    <w:p w:rsidR="008525FB" w:rsidRPr="008525FB" w:rsidP="008525FB" w14:paraId="2A39E15C" w14:textId="77777777">
      <w:pPr>
        <w:rPr>
          <w:sz w:val="20"/>
          <w:szCs w:val="20"/>
        </w:rPr>
      </w:pPr>
    </w:p>
    <w:p w:rsidR="008525FB" w:rsidRPr="008525FB" w:rsidP="008525FB" w14:paraId="09874152" w14:textId="0EEA97E4">
      <w:pPr>
        <w:rPr>
          <w:sz w:val="20"/>
          <w:szCs w:val="20"/>
        </w:rPr>
      </w:pPr>
      <w:r w:rsidRPr="008525FB">
        <w:rPr>
          <w:sz w:val="20"/>
          <w:szCs w:val="20"/>
        </w:rPr>
        <w:t>Historically, the BLM has asked applicants to indicate the type of permit they were applying for on Form 2930-1</w:t>
      </w:r>
      <w:r w:rsidRPr="00E44462">
        <w:rPr>
          <w:sz w:val="20"/>
          <w:szCs w:val="20"/>
        </w:rPr>
        <w:t>, this was in a simple checkbox format</w:t>
      </w:r>
      <w:r w:rsidRPr="008525FB">
        <w:rPr>
          <w:sz w:val="20"/>
          <w:szCs w:val="20"/>
        </w:rPr>
        <w:t xml:space="preserve">. However, under the EXPLORE Act, there are new considerations that affect how applicants may qualify for various permit types. As a result, BLM is transitioning to a process where the agency—rather than the proponent—determines the appropriate permit type after a full review of the completed application. </w:t>
      </w:r>
      <w:r w:rsidRPr="00E44462">
        <w:rPr>
          <w:sz w:val="20"/>
          <w:szCs w:val="20"/>
        </w:rPr>
        <w:t xml:space="preserve">No longer will the applicant need to attempt to determine the type of permit for which they are applying. </w:t>
      </w:r>
      <w:r w:rsidRPr="008525FB">
        <w:rPr>
          <w:sz w:val="20"/>
          <w:szCs w:val="20"/>
        </w:rPr>
        <w:t>This shift is intended to ensure consistent application of the updated definitions and to reduce confusion for applicants navigating the permitting process.</w:t>
      </w:r>
    </w:p>
    <w:p w:rsidR="008525FB" w:rsidRPr="008525FB" w:rsidP="008525FB" w14:paraId="24E1916D" w14:textId="77777777">
      <w:pPr>
        <w:rPr>
          <w:sz w:val="20"/>
          <w:szCs w:val="20"/>
        </w:rPr>
      </w:pPr>
    </w:p>
    <w:p w:rsidR="008525FB" w:rsidRPr="008525FB" w:rsidP="008525FB" w14:paraId="32C9521F" w14:textId="0E7041D1">
      <w:pPr>
        <w:rPr>
          <w:sz w:val="20"/>
          <w:szCs w:val="20"/>
        </w:rPr>
      </w:pPr>
      <w:r w:rsidRPr="008525FB">
        <w:rPr>
          <w:sz w:val="20"/>
          <w:szCs w:val="20"/>
        </w:rPr>
        <w:t xml:space="preserve">Form 2930-1 is being updated to reflect these changes. </w:t>
      </w:r>
      <w:r w:rsidRPr="00E44462">
        <w:rPr>
          <w:sz w:val="20"/>
          <w:szCs w:val="20"/>
        </w:rPr>
        <w:t xml:space="preserve">Specifically, the check boxes pertaining to permit type in question 11 are being removed because the underlying definitions no longer apply. </w:t>
      </w:r>
      <w:r w:rsidRPr="00E44462" w:rsidR="00AC6609">
        <w:rPr>
          <w:sz w:val="20"/>
          <w:szCs w:val="20"/>
        </w:rPr>
        <w:t>This</w:t>
      </w:r>
      <w:r w:rsidRPr="008525FB">
        <w:rPr>
          <w:sz w:val="20"/>
          <w:szCs w:val="20"/>
        </w:rPr>
        <w:t xml:space="preserve"> change is not projected to impact the estimated public reporting burden.</w:t>
      </w:r>
    </w:p>
    <w:p w:rsidR="008525FB" w:rsidRPr="00E44462" w:rsidP="008525FB" w14:paraId="7C94C3A2" w14:textId="706050F7">
      <w:pPr>
        <w:rPr>
          <w:sz w:val="20"/>
          <w:szCs w:val="20"/>
        </w:rPr>
      </w:pPr>
    </w:p>
    <w:p w:rsidR="008525FB" w:rsidRPr="00E44462" w:rsidP="008525FB" w14:paraId="7463D2B8" w14:textId="66E6EFF1">
      <w:pPr>
        <w:rPr>
          <w:sz w:val="20"/>
          <w:szCs w:val="20"/>
        </w:rPr>
      </w:pPr>
      <w:r w:rsidRPr="00E44462">
        <w:rPr>
          <w:sz w:val="20"/>
          <w:szCs w:val="20"/>
        </w:rPr>
        <w:t xml:space="preserve">The </w:t>
      </w:r>
      <w:r w:rsidR="00E44462">
        <w:rPr>
          <w:sz w:val="20"/>
          <w:szCs w:val="20"/>
        </w:rPr>
        <w:t xml:space="preserve">current and </w:t>
      </w:r>
      <w:r w:rsidRPr="00E44462">
        <w:rPr>
          <w:sz w:val="20"/>
          <w:szCs w:val="20"/>
        </w:rPr>
        <w:t xml:space="preserve">revised </w:t>
      </w:r>
      <w:r w:rsidR="00E44462">
        <w:rPr>
          <w:sz w:val="20"/>
          <w:szCs w:val="20"/>
        </w:rPr>
        <w:t xml:space="preserve">versions of the </w:t>
      </w:r>
      <w:r w:rsidRPr="00E44462">
        <w:rPr>
          <w:sz w:val="20"/>
          <w:szCs w:val="20"/>
        </w:rPr>
        <w:t xml:space="preserve">Form 2930-1 </w:t>
      </w:r>
      <w:r w:rsidRPr="00E44462" w:rsidR="00E44462">
        <w:rPr>
          <w:sz w:val="20"/>
          <w:szCs w:val="20"/>
        </w:rPr>
        <w:t>are included with this change request</w:t>
      </w:r>
      <w:r w:rsidR="00E44462">
        <w:rPr>
          <w:sz w:val="20"/>
          <w:szCs w:val="20"/>
        </w:rPr>
        <w:t>. T</w:t>
      </w:r>
      <w:r w:rsidRPr="00E44462" w:rsidR="00E44462">
        <w:rPr>
          <w:sz w:val="20"/>
          <w:szCs w:val="20"/>
        </w:rPr>
        <w:t>he EXPLORE Act</w:t>
      </w:r>
      <w:r w:rsidR="00E44462">
        <w:rPr>
          <w:sz w:val="20"/>
          <w:szCs w:val="20"/>
        </w:rPr>
        <w:t xml:space="preserve"> is also provide as a reference as a supplementary </w:t>
      </w:r>
      <w:r w:rsidR="00AC6609">
        <w:rPr>
          <w:sz w:val="20"/>
          <w:szCs w:val="20"/>
        </w:rPr>
        <w:t>document.</w:t>
      </w:r>
    </w:p>
    <w:p w:rsidR="008525FB" w:rsidRPr="00E44462" w:rsidP="008525FB" w14:paraId="63538FB6" w14:textId="77777777">
      <w:pPr>
        <w:rPr>
          <w:sz w:val="20"/>
          <w:szCs w:val="20"/>
        </w:rPr>
      </w:pPr>
    </w:p>
    <w:p w:rsidR="008525FB" w:rsidRPr="00E44462" w:rsidP="008525FB" w14:paraId="4C3C6AC9" w14:textId="77777777">
      <w:pPr>
        <w:rPr>
          <w:sz w:val="20"/>
          <w:szCs w:val="20"/>
        </w:rPr>
      </w:pPr>
    </w:p>
    <w:p w:rsidR="008525FB" w:rsidRPr="00E44462" w:rsidP="008525FB" w14:paraId="62889410" w14:textId="77777777">
      <w:pPr>
        <w:jc w:val="center"/>
        <w:rPr>
          <w:sz w:val="20"/>
          <w:szCs w:val="20"/>
        </w:rPr>
      </w:pPr>
    </w:p>
    <w:p w:rsidR="008525FB" w:rsidRPr="008525FB" w:rsidP="008525FB" w14:paraId="68CC1EC0" w14:textId="3F8B6AAF">
      <w:pPr>
        <w:jc w:val="center"/>
        <w:rPr>
          <w:sz w:val="20"/>
          <w:szCs w:val="20"/>
        </w:rPr>
      </w:pPr>
      <w:r w:rsidRPr="00E44462">
        <w:rPr>
          <w:sz w:val="20"/>
          <w:szCs w:val="20"/>
        </w:rPr>
        <w:t>###</w:t>
      </w:r>
    </w:p>
    <w:p w:rsidR="008525FB" w14:paraId="3F9B0BF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5FB"/>
    <w:rsid w:val="002C2D17"/>
    <w:rsid w:val="002D2445"/>
    <w:rsid w:val="00383C3B"/>
    <w:rsid w:val="00560F1F"/>
    <w:rsid w:val="00563250"/>
    <w:rsid w:val="00654C20"/>
    <w:rsid w:val="00740474"/>
    <w:rsid w:val="008525FB"/>
    <w:rsid w:val="00AC6609"/>
    <w:rsid w:val="00B719E4"/>
    <w:rsid w:val="00CB0B94"/>
    <w:rsid w:val="00CC1BB6"/>
    <w:rsid w:val="00D16ACA"/>
    <w:rsid w:val="00E444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326BFA"/>
  <w15:chartTrackingRefBased/>
  <w15:docId w15:val="{D2DACB56-0BA1-4D4E-8A48-162C0EF4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5F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525F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525F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525F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525FB"/>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525FB"/>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525FB"/>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525FB"/>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525FB"/>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525FB"/>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5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25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25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25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25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25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25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25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25FB"/>
    <w:rPr>
      <w:rFonts w:eastAsiaTheme="majorEastAsia" w:cstheme="majorBidi"/>
      <w:color w:val="272727" w:themeColor="text1" w:themeTint="D8"/>
    </w:rPr>
  </w:style>
  <w:style w:type="paragraph" w:styleId="Title">
    <w:name w:val="Title"/>
    <w:basedOn w:val="Normal"/>
    <w:next w:val="Normal"/>
    <w:link w:val="TitleChar"/>
    <w:uiPriority w:val="10"/>
    <w:qFormat/>
    <w:rsid w:val="008525F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525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5F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525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25FB"/>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525FB"/>
    <w:rPr>
      <w:i/>
      <w:iCs/>
      <w:color w:val="404040" w:themeColor="text1" w:themeTint="BF"/>
    </w:rPr>
  </w:style>
  <w:style w:type="paragraph" w:styleId="ListParagraph">
    <w:name w:val="List Paragraph"/>
    <w:basedOn w:val="Normal"/>
    <w:uiPriority w:val="34"/>
    <w:qFormat/>
    <w:rsid w:val="008525FB"/>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8525FB"/>
    <w:rPr>
      <w:i/>
      <w:iCs/>
      <w:color w:val="0F4761" w:themeColor="accent1" w:themeShade="BF"/>
    </w:rPr>
  </w:style>
  <w:style w:type="paragraph" w:styleId="IntenseQuote">
    <w:name w:val="Intense Quote"/>
    <w:basedOn w:val="Normal"/>
    <w:next w:val="Normal"/>
    <w:link w:val="IntenseQuoteChar"/>
    <w:uiPriority w:val="30"/>
    <w:qFormat/>
    <w:rsid w:val="008525F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525FB"/>
    <w:rPr>
      <w:i/>
      <w:iCs/>
      <w:color w:val="0F4761" w:themeColor="accent1" w:themeShade="BF"/>
    </w:rPr>
  </w:style>
  <w:style w:type="character" w:styleId="IntenseReference">
    <w:name w:val="Intense Reference"/>
    <w:basedOn w:val="DefaultParagraphFont"/>
    <w:uiPriority w:val="32"/>
    <w:qFormat/>
    <w:rsid w:val="008525FB"/>
    <w:rPr>
      <w:b/>
      <w:bCs/>
      <w:smallCaps/>
      <w:color w:val="0F4761" w:themeColor="accent1" w:themeShade="BF"/>
      <w:spacing w:val="5"/>
    </w:rPr>
  </w:style>
  <w:style w:type="character" w:styleId="CommentReference">
    <w:name w:val="annotation reference"/>
    <w:uiPriority w:val="99"/>
    <w:rsid w:val="008525FB"/>
    <w:rPr>
      <w:sz w:val="16"/>
      <w:szCs w:val="16"/>
    </w:rPr>
  </w:style>
  <w:style w:type="paragraph" w:styleId="CommentText">
    <w:name w:val="annotation text"/>
    <w:basedOn w:val="Normal"/>
    <w:link w:val="CommentTextChar"/>
    <w:uiPriority w:val="99"/>
    <w:rsid w:val="008525FB"/>
    <w:rPr>
      <w:sz w:val="20"/>
      <w:szCs w:val="20"/>
    </w:rPr>
  </w:style>
  <w:style w:type="character" w:customStyle="1" w:styleId="CommentTextChar">
    <w:name w:val="Comment Text Char"/>
    <w:basedOn w:val="DefaultParagraphFont"/>
    <w:link w:val="CommentText"/>
    <w:uiPriority w:val="99"/>
    <w:rsid w:val="008525FB"/>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Darrin A</dc:creator>
  <cp:lastModifiedBy>King, Darrin A</cp:lastModifiedBy>
  <cp:revision>3</cp:revision>
  <dcterms:created xsi:type="dcterms:W3CDTF">2025-05-19T19:09:00Z</dcterms:created>
  <dcterms:modified xsi:type="dcterms:W3CDTF">2025-05-20T17:45:00Z</dcterms:modified>
</cp:coreProperties>
</file>