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280EE3" w:rsidP="00280EE3" w14:paraId="5103D573" w14:textId="77777777">
      <w:pPr>
        <w:pStyle w:val="Title"/>
        <w:rPr>
          <w:b/>
          <w:bCs/>
        </w:rPr>
      </w:pPr>
      <w:r w:rsidRPr="00280EE3">
        <w:rPr>
          <w:b/>
          <w:bCs/>
        </w:rPr>
        <w:fldChar w:fldCharType="begin"/>
      </w:r>
      <w:r w:rsidRPr="00280EE3">
        <w:rPr>
          <w:b/>
          <w:bCs/>
        </w:rPr>
        <w:instrText xml:space="preserve"> SEQ CHAPTER \h \r 1</w:instrText>
      </w:r>
      <w:r w:rsidRPr="00280EE3">
        <w:rPr>
          <w:b/>
          <w:bCs/>
        </w:rPr>
        <w:fldChar w:fldCharType="separate"/>
      </w:r>
      <w:r w:rsidRPr="00280EE3">
        <w:rPr>
          <w:b/>
          <w:bCs/>
        </w:rPr>
        <w:fldChar w:fldCharType="end"/>
      </w:r>
      <w:r w:rsidRPr="00280EE3">
        <w:rPr>
          <w:b/>
          <w:bCs/>
        </w:rPr>
        <w:t xml:space="preserve">Supporting Statement </w:t>
      </w:r>
      <w:r w:rsidRPr="00280EE3" w:rsidR="007851E9">
        <w:rPr>
          <w:b/>
          <w:bCs/>
        </w:rPr>
        <w:t>A</w:t>
      </w:r>
    </w:p>
    <w:p w:rsidR="002C325E" w:rsidRPr="00280EE3" w:rsidP="00280EE3" w14:paraId="1B20739F" w14:textId="77777777">
      <w:pPr>
        <w:pStyle w:val="Title"/>
        <w:rPr>
          <w:b/>
          <w:bCs/>
        </w:rPr>
      </w:pPr>
      <w:r w:rsidRPr="00280EE3">
        <w:rPr>
          <w:b/>
          <w:bCs/>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B359F" w:rsidRPr="00280EE3" w:rsidP="00280EE3" w14:paraId="74C5C94D" w14:textId="307F442E">
      <w:pPr>
        <w:pStyle w:val="Subtitle"/>
      </w:pPr>
      <w:bookmarkStart w:id="0" w:name="_Hlk143766431"/>
      <w:r>
        <w:t>Natural Resource Damage Assessments (43 CFR Part 11)</w:t>
      </w:r>
      <w:bookmarkEnd w:id="0"/>
    </w:p>
    <w:p w:rsidR="00295103" w:rsidRPr="00B50214" w:rsidP="00280EE3" w14:paraId="62C87493" w14:textId="76DEF832">
      <w:pPr>
        <w:pStyle w:val="Subtitle"/>
        <w:rPr>
          <w:sz w:val="22"/>
          <w:szCs w:val="22"/>
        </w:rPr>
      </w:pPr>
      <w:r w:rsidRPr="00280EE3">
        <w:t>OMB Control Number 10</w:t>
      </w:r>
      <w:r w:rsidR="00D90145">
        <w:t>9</w:t>
      </w:r>
      <w:r w:rsidR="008156A9">
        <w:t>1</w:t>
      </w:r>
      <w:r w:rsidR="00D90145">
        <w:t>-</w:t>
      </w:r>
      <w:r w:rsidR="008156A9">
        <w:t>0002</w:t>
      </w:r>
    </w:p>
    <w:p w:rsidR="009B359F" w:rsidRPr="00B50214" w:rsidP="006319A2" w14:paraId="3F2D10EE" w14:textId="77777777">
      <w:pPr>
        <w:tabs>
          <w:tab w:val="left" w:pos="720"/>
        </w:tabs>
        <w:jc w:val="center"/>
        <w:rPr>
          <w:rFonts w:ascii="Arial" w:hAnsi="Arial" w:cs="Arial"/>
          <w:sz w:val="22"/>
          <w:szCs w:val="22"/>
        </w:rPr>
      </w:pPr>
    </w:p>
    <w:p w:rsidR="009B359F" w:rsidRPr="00D90145" w:rsidP="006319A2" w14:paraId="3EEF5905" w14:textId="053AA6EF">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D90145">
        <w:rPr>
          <w:rFonts w:ascii="Arial" w:hAnsi="Arial" w:cs="Arial"/>
          <w:sz w:val="22"/>
          <w:szCs w:val="22"/>
        </w:rPr>
        <w:t xml:space="preserve">This is a request for a new OMB control number in conjunction with the clearance of </w:t>
      </w:r>
      <w:bookmarkStart w:id="1" w:name="_Hlk146096045"/>
      <w:r w:rsidR="00240F3E">
        <w:rPr>
          <w:rFonts w:ascii="Arial" w:hAnsi="Arial" w:cs="Arial"/>
          <w:sz w:val="22"/>
          <w:szCs w:val="22"/>
        </w:rPr>
        <w:t xml:space="preserve">new </w:t>
      </w:r>
      <w:r w:rsidR="00D90145">
        <w:rPr>
          <w:rFonts w:ascii="Arial" w:hAnsi="Arial" w:cs="Arial"/>
          <w:sz w:val="22"/>
          <w:szCs w:val="22"/>
        </w:rPr>
        <w:t xml:space="preserve">information collections </w:t>
      </w:r>
      <w:r w:rsidR="00240F3E">
        <w:rPr>
          <w:rFonts w:ascii="Arial" w:hAnsi="Arial" w:cs="Arial"/>
          <w:sz w:val="22"/>
          <w:szCs w:val="22"/>
        </w:rPr>
        <w:t>in 43 CFR Part 11</w:t>
      </w:r>
      <w:bookmarkEnd w:id="1"/>
      <w:r w:rsidR="00240F3E">
        <w:rPr>
          <w:rFonts w:ascii="Arial" w:hAnsi="Arial" w:cs="Arial"/>
          <w:sz w:val="22"/>
          <w:szCs w:val="22"/>
        </w:rPr>
        <w:t xml:space="preserve"> </w:t>
      </w:r>
      <w:r w:rsidR="00D90145">
        <w:rPr>
          <w:rFonts w:ascii="Arial" w:hAnsi="Arial" w:cs="Arial"/>
          <w:sz w:val="22"/>
          <w:szCs w:val="22"/>
        </w:rPr>
        <w:t xml:space="preserve">contained in </w:t>
      </w:r>
      <w:r w:rsidR="00F306B1">
        <w:rPr>
          <w:rFonts w:ascii="Arial" w:hAnsi="Arial" w:cs="Arial"/>
          <w:sz w:val="22"/>
          <w:szCs w:val="22"/>
        </w:rPr>
        <w:t xml:space="preserve">our proposed rule under </w:t>
      </w:r>
      <w:r w:rsidRPr="00F306B1" w:rsidR="00F306B1">
        <w:rPr>
          <w:rFonts w:ascii="Arial" w:hAnsi="Arial" w:cs="Arial"/>
          <w:sz w:val="22"/>
          <w:szCs w:val="22"/>
        </w:rPr>
        <w:t>RIN 1090-AB26</w:t>
      </w:r>
      <w:r w:rsidR="00F306B1">
        <w:rPr>
          <w:rFonts w:ascii="Arial" w:hAnsi="Arial" w:cs="Arial"/>
          <w:sz w:val="22"/>
          <w:szCs w:val="22"/>
        </w:rPr>
        <w:t>, “</w:t>
      </w:r>
      <w:r w:rsidRPr="00F306B1" w:rsidR="00F306B1">
        <w:rPr>
          <w:rFonts w:ascii="Arial" w:hAnsi="Arial" w:cs="Arial"/>
          <w:sz w:val="22"/>
          <w:szCs w:val="22"/>
        </w:rPr>
        <w:t>Natural Resource Damages for Hazardous Substances</w:t>
      </w:r>
      <w:r w:rsidR="00240F3E">
        <w:rPr>
          <w:rFonts w:ascii="Arial" w:hAnsi="Arial" w:cs="Arial"/>
          <w:sz w:val="22"/>
          <w:szCs w:val="22"/>
        </w:rPr>
        <w:t>.</w:t>
      </w:r>
      <w:r w:rsidR="00F306B1">
        <w:rPr>
          <w:rFonts w:ascii="Arial" w:hAnsi="Arial" w:cs="Arial"/>
          <w:sz w:val="22"/>
          <w:szCs w:val="22"/>
        </w:rPr>
        <w:t>”</w:t>
      </w:r>
      <w:r w:rsidR="00240F3E">
        <w:rPr>
          <w:rFonts w:ascii="Arial" w:hAnsi="Arial" w:cs="Arial"/>
          <w:sz w:val="22"/>
          <w:szCs w:val="22"/>
        </w:rPr>
        <w:t xml:space="preserve">  </w:t>
      </w:r>
      <w:r w:rsidR="00F306B1">
        <w:rPr>
          <w:rFonts w:ascii="Arial" w:hAnsi="Arial" w:cs="Arial"/>
          <w:sz w:val="22"/>
          <w:szCs w:val="22"/>
        </w:rPr>
        <w:t xml:space="preserve">Many of the information collections </w:t>
      </w:r>
      <w:r w:rsidR="00DC0055">
        <w:rPr>
          <w:rFonts w:ascii="Arial" w:hAnsi="Arial" w:cs="Arial"/>
          <w:sz w:val="22"/>
          <w:szCs w:val="22"/>
        </w:rPr>
        <w:t xml:space="preserve">predate the Paperwork Reduction Act (43 CFR 3501 </w:t>
      </w:r>
      <w:r w:rsidR="00DC0055">
        <w:rPr>
          <w:rFonts w:ascii="Arial" w:hAnsi="Arial" w:cs="Arial"/>
          <w:i/>
          <w:iCs/>
          <w:sz w:val="22"/>
          <w:szCs w:val="22"/>
        </w:rPr>
        <w:t>et seq.</w:t>
      </w:r>
      <w:r w:rsidR="00DC0055">
        <w:rPr>
          <w:rFonts w:ascii="Arial" w:hAnsi="Arial" w:cs="Arial"/>
          <w:sz w:val="22"/>
          <w:szCs w:val="22"/>
        </w:rPr>
        <w:t xml:space="preserve">) and </w:t>
      </w:r>
      <w:r w:rsidR="00D90145">
        <w:rPr>
          <w:rFonts w:ascii="Arial" w:hAnsi="Arial" w:cs="Arial"/>
          <w:sz w:val="22"/>
          <w:szCs w:val="22"/>
        </w:rPr>
        <w:t>were not previously cleared by OMB.</w:t>
      </w:r>
      <w:r>
        <w:rPr>
          <w:rFonts w:ascii="Arial" w:hAnsi="Arial" w:cs="Arial"/>
          <w:sz w:val="22"/>
          <w:szCs w:val="22"/>
        </w:rPr>
        <w:t xml:space="preserve">  </w:t>
      </w:r>
      <w:r w:rsidRPr="00F72DC1">
        <w:rPr>
          <w:rFonts w:ascii="Arial" w:hAnsi="Arial" w:cs="Arial"/>
          <w:sz w:val="22"/>
          <w:szCs w:val="22"/>
          <w:highlight w:val="yellow"/>
        </w:rPr>
        <w:t>Changes to this document since OMB’s approval at the proposed rule stage are highlighted in yellow.</w:t>
      </w:r>
    </w:p>
    <w:p w:rsidR="00D90145" w:rsidRPr="00B50214" w:rsidP="006319A2" w14:paraId="12C0E497" w14:textId="77777777">
      <w:pPr>
        <w:tabs>
          <w:tab w:val="left" w:pos="720"/>
        </w:tabs>
        <w:rPr>
          <w:rFonts w:ascii="Arial" w:hAnsi="Arial" w:cs="Arial"/>
          <w:sz w:val="22"/>
          <w:szCs w:val="22"/>
        </w:rPr>
      </w:pPr>
    </w:p>
    <w:p w:rsidR="00295103" w:rsidRPr="00B50214" w:rsidP="006319A2" w14:paraId="26166742"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6319A2" w14:paraId="448422F9" w14:textId="77777777">
      <w:pPr>
        <w:tabs>
          <w:tab w:val="left" w:pos="720"/>
        </w:tabs>
        <w:rPr>
          <w:rFonts w:ascii="Arial" w:hAnsi="Arial" w:cs="Arial"/>
          <w:sz w:val="22"/>
          <w:szCs w:val="22"/>
        </w:rPr>
      </w:pPr>
    </w:p>
    <w:p w:rsidR="00295103" w:rsidRPr="00280EE3" w:rsidP="00280EE3" w14:paraId="1C3E75B0" w14:textId="77777777">
      <w:pPr>
        <w:pStyle w:val="Heading1"/>
      </w:pPr>
      <w:r w:rsidRPr="00280EE3">
        <w:t>1.</w:t>
      </w:r>
      <w:r w:rsidRPr="00280EE3">
        <w:tab/>
        <w:t>Explain the circumstances that make the collection of information necessary.  Identify any legal or administrative requirements that necessitate the collection</w:t>
      </w:r>
      <w:r w:rsidRPr="00280EE3" w:rsidR="000F3AF1">
        <w:t>.</w:t>
      </w:r>
    </w:p>
    <w:p w:rsidR="00295103" w:rsidRPr="00B50214" w:rsidP="006319A2" w14:paraId="2335A280" w14:textId="77777777">
      <w:pPr>
        <w:tabs>
          <w:tab w:val="left" w:pos="360"/>
          <w:tab w:val="left" w:pos="720"/>
        </w:tabs>
        <w:rPr>
          <w:rFonts w:ascii="Arial" w:hAnsi="Arial" w:cs="Arial"/>
          <w:sz w:val="22"/>
          <w:szCs w:val="22"/>
        </w:rPr>
      </w:pPr>
    </w:p>
    <w:p w:rsidR="00963134" w:rsidP="00D90145" w14:paraId="3BA4C676" w14:textId="77777777">
      <w:pPr>
        <w:tabs>
          <w:tab w:val="left" w:pos="360"/>
          <w:tab w:val="left" w:pos="720"/>
        </w:tabs>
        <w:rPr>
          <w:rFonts w:ascii="Arial" w:hAnsi="Arial" w:cs="Arial"/>
          <w:color w:val="282828"/>
          <w:sz w:val="22"/>
          <w:szCs w:val="22"/>
        </w:rPr>
      </w:pPr>
      <w:r w:rsidRPr="008B6F31">
        <w:rPr>
          <w:rFonts w:ascii="Arial" w:hAnsi="Arial" w:cs="Arial"/>
          <w:color w:val="282828"/>
          <w:sz w:val="22"/>
          <w:szCs w:val="22"/>
        </w:rPr>
        <w:t xml:space="preserve">The U.S. Department of the Interior’s (Interior) </w:t>
      </w:r>
      <w:r w:rsidRPr="28D4D526">
        <w:rPr>
          <w:rFonts w:ascii="Arial" w:hAnsi="Arial" w:cs="Arial"/>
          <w:color w:val="282828"/>
          <w:sz w:val="22"/>
          <w:szCs w:val="22"/>
        </w:rPr>
        <w:t xml:space="preserve">Office of Restoration and Damage Assessment (ORDA) oversees the </w:t>
      </w:r>
      <w:r w:rsidRPr="008B6F31">
        <w:rPr>
          <w:rFonts w:ascii="Arial" w:hAnsi="Arial" w:cs="Arial"/>
          <w:color w:val="282828"/>
          <w:sz w:val="22"/>
          <w:szCs w:val="22"/>
        </w:rPr>
        <w:t>Natural Resource Damage Assessment and Restoration</w:t>
      </w:r>
      <w:r>
        <w:rPr>
          <w:rFonts w:ascii="Arial" w:hAnsi="Arial" w:cs="Arial"/>
          <w:color w:val="282828"/>
          <w:sz w:val="22"/>
          <w:szCs w:val="22"/>
        </w:rPr>
        <w:t xml:space="preserve"> (NRDAR)</w:t>
      </w:r>
      <w:r w:rsidRPr="008B6F31">
        <w:rPr>
          <w:rFonts w:ascii="Arial" w:hAnsi="Arial" w:cs="Arial"/>
          <w:color w:val="282828"/>
          <w:sz w:val="22"/>
          <w:szCs w:val="22"/>
        </w:rPr>
        <w:t xml:space="preserve"> Program</w:t>
      </w:r>
      <w:r>
        <w:rPr>
          <w:rFonts w:ascii="Arial" w:hAnsi="Arial" w:cs="Arial"/>
          <w:color w:val="282828"/>
          <w:sz w:val="22"/>
          <w:szCs w:val="22"/>
        </w:rPr>
        <w:t>,</w:t>
      </w:r>
      <w:r w:rsidRPr="008B6F31">
        <w:rPr>
          <w:rFonts w:ascii="Arial" w:hAnsi="Arial" w:cs="Arial"/>
          <w:color w:val="282828"/>
          <w:sz w:val="22"/>
          <w:szCs w:val="22"/>
        </w:rPr>
        <w:t xml:space="preserve"> </w:t>
      </w:r>
      <w:r w:rsidRPr="28D4D526">
        <w:rPr>
          <w:rFonts w:ascii="Arial" w:hAnsi="Arial" w:cs="Arial"/>
          <w:color w:val="282828"/>
          <w:sz w:val="22"/>
          <w:szCs w:val="22"/>
        </w:rPr>
        <w:t>the mission of which is</w:t>
      </w:r>
      <w:r w:rsidRPr="008B6F31">
        <w:rPr>
          <w:rFonts w:ascii="Arial" w:hAnsi="Arial" w:cs="Arial"/>
          <w:color w:val="282828"/>
          <w:sz w:val="22"/>
          <w:szCs w:val="22"/>
        </w:rPr>
        <w:t xml:space="preserve"> to restore natural resources injured as a result of oil spills or hazardous substance releases into the environment.  In partnership with affected State, Tribal, and Federal </w:t>
      </w:r>
      <w:r>
        <w:rPr>
          <w:rFonts w:ascii="Arial" w:hAnsi="Arial" w:cs="Arial"/>
          <w:color w:val="282828"/>
          <w:sz w:val="22"/>
          <w:szCs w:val="22"/>
        </w:rPr>
        <w:t>T</w:t>
      </w:r>
      <w:r w:rsidRPr="008B6F31">
        <w:rPr>
          <w:rFonts w:ascii="Arial" w:hAnsi="Arial" w:cs="Arial"/>
          <w:color w:val="282828"/>
          <w:sz w:val="22"/>
          <w:szCs w:val="22"/>
        </w:rPr>
        <w:t xml:space="preserve">rustee agencies, damage assessments </w:t>
      </w:r>
      <w:r w:rsidRPr="28D4D526">
        <w:rPr>
          <w:rFonts w:ascii="Arial" w:hAnsi="Arial" w:cs="Arial"/>
          <w:color w:val="282828"/>
          <w:sz w:val="22"/>
          <w:szCs w:val="22"/>
        </w:rPr>
        <w:t>are conducted</w:t>
      </w:r>
      <w:r>
        <w:rPr>
          <w:rFonts w:ascii="Arial" w:hAnsi="Arial" w:cs="Arial"/>
          <w:color w:val="282828"/>
          <w:sz w:val="22"/>
          <w:szCs w:val="22"/>
        </w:rPr>
        <w:t xml:space="preserve"> as</w:t>
      </w:r>
      <w:r w:rsidRPr="008B6F31">
        <w:rPr>
          <w:rFonts w:ascii="Arial" w:hAnsi="Arial" w:cs="Arial"/>
          <w:color w:val="282828"/>
          <w:sz w:val="22"/>
          <w:szCs w:val="22"/>
        </w:rPr>
        <w:t xml:space="preserve"> the first step toward resource restoration</w:t>
      </w:r>
      <w:r>
        <w:rPr>
          <w:rFonts w:ascii="Arial" w:hAnsi="Arial" w:cs="Arial"/>
          <w:color w:val="282828"/>
          <w:sz w:val="22"/>
          <w:szCs w:val="22"/>
        </w:rPr>
        <w:t>,</w:t>
      </w:r>
      <w:r w:rsidRPr="008B6F31">
        <w:rPr>
          <w:rFonts w:ascii="Arial" w:hAnsi="Arial" w:cs="Arial"/>
          <w:color w:val="282828"/>
          <w:sz w:val="22"/>
          <w:szCs w:val="22"/>
        </w:rPr>
        <w:t xml:space="preserve"> and </w:t>
      </w:r>
      <w:r>
        <w:rPr>
          <w:rFonts w:ascii="Arial" w:hAnsi="Arial" w:cs="Arial"/>
          <w:color w:val="282828"/>
          <w:sz w:val="22"/>
          <w:szCs w:val="22"/>
        </w:rPr>
        <w:t xml:space="preserve">are </w:t>
      </w:r>
      <w:r w:rsidRPr="008B6F31">
        <w:rPr>
          <w:rFonts w:ascii="Arial" w:hAnsi="Arial" w:cs="Arial"/>
          <w:color w:val="282828"/>
          <w:sz w:val="22"/>
          <w:szCs w:val="22"/>
        </w:rPr>
        <w:t>used to provide the basis for determining restoration needs that address the public's loss and use of natural resources.</w:t>
      </w:r>
    </w:p>
    <w:p w:rsidR="00963134" w:rsidP="00D90145" w14:paraId="2E98B67C" w14:textId="77777777">
      <w:pPr>
        <w:tabs>
          <w:tab w:val="left" w:pos="360"/>
          <w:tab w:val="left" w:pos="720"/>
        </w:tabs>
        <w:rPr>
          <w:rFonts w:ascii="Arial" w:hAnsi="Arial" w:cs="Arial"/>
          <w:color w:val="282828"/>
          <w:sz w:val="22"/>
          <w:szCs w:val="22"/>
        </w:rPr>
      </w:pPr>
    </w:p>
    <w:p w:rsidR="00251281" w:rsidP="00D90145" w14:paraId="5BA7DFDD" w14:textId="3B5E6014">
      <w:pPr>
        <w:tabs>
          <w:tab w:val="left" w:pos="360"/>
          <w:tab w:val="left" w:pos="720"/>
        </w:tabs>
        <w:rPr>
          <w:rFonts w:ascii="Arial" w:hAnsi="Arial" w:cs="Arial"/>
          <w:sz w:val="22"/>
          <w:szCs w:val="22"/>
        </w:rPr>
      </w:pPr>
      <w:r w:rsidRPr="00D90145">
        <w:rPr>
          <w:rFonts w:ascii="Arial" w:hAnsi="Arial" w:cs="Arial"/>
          <w:sz w:val="22"/>
          <w:szCs w:val="22"/>
        </w:rPr>
        <w:t xml:space="preserve">The </w:t>
      </w:r>
      <w:r w:rsidRPr="00A36CD6" w:rsidR="00A36CD6">
        <w:rPr>
          <w:rFonts w:ascii="Arial" w:hAnsi="Arial" w:cs="Arial"/>
          <w:sz w:val="22"/>
          <w:szCs w:val="22"/>
        </w:rPr>
        <w:t>Comprehensive Environmental Response, Compensation, and Liability Act (</w:t>
      </w:r>
      <w:r w:rsidR="00A36CD6">
        <w:rPr>
          <w:rFonts w:ascii="Arial" w:hAnsi="Arial" w:cs="Arial"/>
          <w:sz w:val="22"/>
          <w:szCs w:val="22"/>
        </w:rPr>
        <w:t xml:space="preserve">CERCLA; </w:t>
      </w:r>
      <w:r w:rsidRPr="00A36CD6" w:rsidR="00A36CD6">
        <w:rPr>
          <w:rFonts w:ascii="Arial" w:hAnsi="Arial" w:cs="Arial"/>
          <w:sz w:val="22"/>
          <w:szCs w:val="22"/>
        </w:rPr>
        <w:t>42 U.S.C. 9601, 9607)</w:t>
      </w:r>
      <w:r w:rsidRPr="00D90145">
        <w:rPr>
          <w:rFonts w:ascii="Arial" w:hAnsi="Arial" w:cs="Arial"/>
          <w:sz w:val="22"/>
          <w:szCs w:val="22"/>
        </w:rPr>
        <w:t xml:space="preserve">, as amended, 42 U.S.C. 9601 </w:t>
      </w:r>
      <w:r w:rsidRPr="00DC0055">
        <w:rPr>
          <w:rFonts w:ascii="Arial" w:hAnsi="Arial" w:cs="Arial"/>
          <w:i/>
          <w:iCs/>
          <w:sz w:val="22"/>
          <w:szCs w:val="22"/>
        </w:rPr>
        <w:t>et seq.</w:t>
      </w:r>
      <w:r w:rsidRPr="00D90145">
        <w:rPr>
          <w:rFonts w:ascii="Arial" w:hAnsi="Arial" w:cs="Arial"/>
          <w:sz w:val="22"/>
          <w:szCs w:val="22"/>
        </w:rPr>
        <w:t>, and the Clean Water Act (CWA</w:t>
      </w:r>
      <w:r w:rsidR="00A36CD6">
        <w:rPr>
          <w:rFonts w:ascii="Arial" w:hAnsi="Arial" w:cs="Arial"/>
          <w:sz w:val="22"/>
          <w:szCs w:val="22"/>
        </w:rPr>
        <w:t xml:space="preserve">; </w:t>
      </w:r>
      <w:r w:rsidRPr="00D90145">
        <w:rPr>
          <w:rFonts w:ascii="Arial" w:hAnsi="Arial" w:cs="Arial"/>
          <w:sz w:val="22"/>
          <w:szCs w:val="22"/>
        </w:rPr>
        <w:t>33 U.S.C.</w:t>
      </w:r>
      <w:r>
        <w:rPr>
          <w:rFonts w:ascii="Arial" w:hAnsi="Arial" w:cs="Arial"/>
          <w:sz w:val="22"/>
          <w:szCs w:val="22"/>
        </w:rPr>
        <w:t xml:space="preserve"> </w:t>
      </w:r>
      <w:r w:rsidRPr="00D90145">
        <w:rPr>
          <w:rFonts w:ascii="Arial" w:hAnsi="Arial" w:cs="Arial"/>
          <w:sz w:val="22"/>
          <w:szCs w:val="22"/>
        </w:rPr>
        <w:t>1251-1376</w:t>
      </w:r>
      <w:r w:rsidR="00A36CD6">
        <w:rPr>
          <w:rFonts w:ascii="Arial" w:hAnsi="Arial" w:cs="Arial"/>
          <w:sz w:val="22"/>
          <w:szCs w:val="22"/>
        </w:rPr>
        <w:t>)</w:t>
      </w:r>
      <w:r w:rsidRPr="00D90145">
        <w:rPr>
          <w:rFonts w:ascii="Arial" w:hAnsi="Arial" w:cs="Arial"/>
          <w:sz w:val="22"/>
          <w:szCs w:val="22"/>
        </w:rPr>
        <w:t>, provide that natural resource trustees may assess damages to natural resources</w:t>
      </w:r>
      <w:r>
        <w:rPr>
          <w:rFonts w:ascii="Arial" w:hAnsi="Arial" w:cs="Arial"/>
          <w:sz w:val="22"/>
          <w:szCs w:val="22"/>
        </w:rPr>
        <w:t xml:space="preserve"> </w:t>
      </w:r>
      <w:r w:rsidRPr="00D90145">
        <w:rPr>
          <w:rFonts w:ascii="Arial" w:hAnsi="Arial" w:cs="Arial"/>
          <w:sz w:val="22"/>
          <w:szCs w:val="22"/>
        </w:rPr>
        <w:t>resulting from a discharge of oil or a release of a hazardous substance covered under CERCLA or</w:t>
      </w:r>
      <w:r>
        <w:rPr>
          <w:rFonts w:ascii="Arial" w:hAnsi="Arial" w:cs="Arial"/>
          <w:sz w:val="22"/>
          <w:szCs w:val="22"/>
        </w:rPr>
        <w:t xml:space="preserve"> </w:t>
      </w:r>
      <w:r w:rsidRPr="00D90145">
        <w:rPr>
          <w:rFonts w:ascii="Arial" w:hAnsi="Arial" w:cs="Arial"/>
          <w:sz w:val="22"/>
          <w:szCs w:val="22"/>
        </w:rPr>
        <w:t xml:space="preserve">the CWA and may seek to recover those damages. </w:t>
      </w:r>
      <w:r w:rsidR="00DC0055">
        <w:rPr>
          <w:rFonts w:ascii="Arial" w:hAnsi="Arial" w:cs="Arial"/>
          <w:sz w:val="22"/>
          <w:szCs w:val="22"/>
        </w:rPr>
        <w:t xml:space="preserve"> </w:t>
      </w:r>
      <w:r w:rsidRPr="00D90145">
        <w:rPr>
          <w:rFonts w:ascii="Arial" w:hAnsi="Arial" w:cs="Arial"/>
          <w:sz w:val="22"/>
          <w:szCs w:val="22"/>
        </w:rPr>
        <w:t>This part supplements the procedures</w:t>
      </w:r>
      <w:r>
        <w:rPr>
          <w:rFonts w:ascii="Arial" w:hAnsi="Arial" w:cs="Arial"/>
          <w:sz w:val="22"/>
          <w:szCs w:val="22"/>
        </w:rPr>
        <w:t xml:space="preserve"> </w:t>
      </w:r>
      <w:r w:rsidRPr="00D90145">
        <w:rPr>
          <w:rFonts w:ascii="Arial" w:hAnsi="Arial" w:cs="Arial"/>
          <w:sz w:val="22"/>
          <w:szCs w:val="22"/>
        </w:rPr>
        <w:t>established under the National Oil and Hazardous Substances Pollution Contingency Plan (NCP),</w:t>
      </w:r>
      <w:r>
        <w:rPr>
          <w:rFonts w:ascii="Arial" w:hAnsi="Arial" w:cs="Arial"/>
          <w:sz w:val="22"/>
          <w:szCs w:val="22"/>
        </w:rPr>
        <w:t xml:space="preserve"> </w:t>
      </w:r>
      <w:r w:rsidRPr="00D90145">
        <w:rPr>
          <w:rFonts w:ascii="Arial" w:hAnsi="Arial" w:cs="Arial"/>
          <w:sz w:val="22"/>
          <w:szCs w:val="22"/>
        </w:rPr>
        <w:t>40 CFR part 300, for the identification, investigation, study, and response to a discharge of oil or</w:t>
      </w:r>
      <w:r>
        <w:rPr>
          <w:rFonts w:ascii="Arial" w:hAnsi="Arial" w:cs="Arial"/>
          <w:sz w:val="22"/>
          <w:szCs w:val="22"/>
        </w:rPr>
        <w:t xml:space="preserve"> </w:t>
      </w:r>
      <w:r w:rsidRPr="00D90145">
        <w:rPr>
          <w:rFonts w:ascii="Arial" w:hAnsi="Arial" w:cs="Arial"/>
          <w:sz w:val="22"/>
          <w:szCs w:val="22"/>
        </w:rPr>
        <w:t>release of a hazardous substance, and it provides a procedure by which a natural resource trustee</w:t>
      </w:r>
      <w:r>
        <w:rPr>
          <w:rFonts w:ascii="Arial" w:hAnsi="Arial" w:cs="Arial"/>
          <w:sz w:val="22"/>
          <w:szCs w:val="22"/>
        </w:rPr>
        <w:t xml:space="preserve"> </w:t>
      </w:r>
      <w:r w:rsidRPr="00D90145">
        <w:rPr>
          <w:rFonts w:ascii="Arial" w:hAnsi="Arial" w:cs="Arial"/>
          <w:sz w:val="22"/>
          <w:szCs w:val="22"/>
        </w:rPr>
        <w:t>can determine compensation for injuries to natural resources that have not been</w:t>
      </w:r>
      <w:r w:rsidR="00DC0055">
        <w:rPr>
          <w:rFonts w:ascii="Arial" w:hAnsi="Arial" w:cs="Arial"/>
          <w:sz w:val="22"/>
          <w:szCs w:val="22"/>
        </w:rPr>
        <w:t>,</w:t>
      </w:r>
      <w:r w:rsidRPr="00D90145">
        <w:rPr>
          <w:rFonts w:ascii="Arial" w:hAnsi="Arial" w:cs="Arial"/>
          <w:sz w:val="22"/>
          <w:szCs w:val="22"/>
        </w:rPr>
        <w:t xml:space="preserve"> nor are expected to</w:t>
      </w:r>
      <w:r>
        <w:rPr>
          <w:rFonts w:ascii="Arial" w:hAnsi="Arial" w:cs="Arial"/>
          <w:sz w:val="22"/>
          <w:szCs w:val="22"/>
        </w:rPr>
        <w:t xml:space="preserve"> </w:t>
      </w:r>
      <w:r w:rsidRPr="00D90145">
        <w:rPr>
          <w:rFonts w:ascii="Arial" w:hAnsi="Arial" w:cs="Arial"/>
          <w:sz w:val="22"/>
          <w:szCs w:val="22"/>
        </w:rPr>
        <w:t>be</w:t>
      </w:r>
      <w:r w:rsidR="00DC0055">
        <w:rPr>
          <w:rFonts w:ascii="Arial" w:hAnsi="Arial" w:cs="Arial"/>
          <w:sz w:val="22"/>
          <w:szCs w:val="22"/>
        </w:rPr>
        <w:t>,</w:t>
      </w:r>
      <w:r w:rsidRPr="00D90145">
        <w:rPr>
          <w:rFonts w:ascii="Arial" w:hAnsi="Arial" w:cs="Arial"/>
          <w:sz w:val="22"/>
          <w:szCs w:val="22"/>
        </w:rPr>
        <w:t xml:space="preserve"> addressed by response actions conducted pursuant to the NCP. </w:t>
      </w:r>
      <w:r w:rsidR="00DC0055">
        <w:rPr>
          <w:rFonts w:ascii="Arial" w:hAnsi="Arial" w:cs="Arial"/>
          <w:sz w:val="22"/>
          <w:szCs w:val="22"/>
        </w:rPr>
        <w:t xml:space="preserve"> </w:t>
      </w:r>
      <w:r w:rsidRPr="00D90145">
        <w:rPr>
          <w:rFonts w:ascii="Arial" w:hAnsi="Arial" w:cs="Arial"/>
          <w:sz w:val="22"/>
          <w:szCs w:val="22"/>
        </w:rPr>
        <w:t>The assessment procedures set</w:t>
      </w:r>
      <w:r>
        <w:rPr>
          <w:rFonts w:ascii="Arial" w:hAnsi="Arial" w:cs="Arial"/>
          <w:sz w:val="22"/>
          <w:szCs w:val="22"/>
        </w:rPr>
        <w:t xml:space="preserve"> </w:t>
      </w:r>
      <w:r w:rsidRPr="00D90145">
        <w:rPr>
          <w:rFonts w:ascii="Arial" w:hAnsi="Arial" w:cs="Arial"/>
          <w:sz w:val="22"/>
          <w:szCs w:val="22"/>
        </w:rPr>
        <w:t xml:space="preserve">forth in </w:t>
      </w:r>
      <w:r w:rsidR="00DC0055">
        <w:rPr>
          <w:rFonts w:ascii="Arial" w:hAnsi="Arial" w:cs="Arial"/>
          <w:sz w:val="22"/>
          <w:szCs w:val="22"/>
        </w:rPr>
        <w:t xml:space="preserve">Part 11 </w:t>
      </w:r>
      <w:r w:rsidRPr="00D90145">
        <w:rPr>
          <w:rFonts w:ascii="Arial" w:hAnsi="Arial" w:cs="Arial"/>
          <w:sz w:val="22"/>
          <w:szCs w:val="22"/>
        </w:rPr>
        <w:t>are not mandatory. However, they must be used by Federal or State natural</w:t>
      </w:r>
      <w:r w:rsidR="00DC0055">
        <w:rPr>
          <w:rFonts w:ascii="Arial" w:hAnsi="Arial" w:cs="Arial"/>
          <w:sz w:val="22"/>
          <w:szCs w:val="22"/>
        </w:rPr>
        <w:t xml:space="preserve"> </w:t>
      </w:r>
      <w:r w:rsidRPr="00D90145">
        <w:rPr>
          <w:rFonts w:ascii="Arial" w:hAnsi="Arial" w:cs="Arial"/>
          <w:sz w:val="22"/>
          <w:szCs w:val="22"/>
        </w:rPr>
        <w:t>resource trustees in order to obtain the rebuttable presumption contained in section 107(f)(2)(C) of</w:t>
      </w:r>
      <w:r w:rsidR="00DC0055">
        <w:rPr>
          <w:rFonts w:ascii="Arial" w:hAnsi="Arial" w:cs="Arial"/>
          <w:sz w:val="22"/>
          <w:szCs w:val="22"/>
        </w:rPr>
        <w:t xml:space="preserve"> </w:t>
      </w:r>
      <w:r w:rsidRPr="00D90145">
        <w:rPr>
          <w:rFonts w:ascii="Arial" w:hAnsi="Arial" w:cs="Arial"/>
          <w:sz w:val="22"/>
          <w:szCs w:val="22"/>
        </w:rPr>
        <w:t xml:space="preserve">CERCLA. </w:t>
      </w:r>
    </w:p>
    <w:p w:rsidR="00B4757D" w:rsidP="00D90145" w14:paraId="4CCD45B9" w14:textId="79F8B6ED">
      <w:pPr>
        <w:tabs>
          <w:tab w:val="left" w:pos="360"/>
          <w:tab w:val="left" w:pos="720"/>
        </w:tabs>
        <w:rPr>
          <w:rFonts w:ascii="Arial" w:hAnsi="Arial" w:cs="Arial"/>
          <w:sz w:val="22"/>
          <w:szCs w:val="22"/>
        </w:rPr>
      </w:pPr>
    </w:p>
    <w:p w:rsidR="00963134" w:rsidP="00963134" w14:paraId="46C35620" w14:textId="77777777">
      <w:pPr>
        <w:tabs>
          <w:tab w:val="left" w:pos="-1080"/>
          <w:tab w:val="left" w:pos="-720"/>
          <w:tab w:val="left" w:pos="360"/>
          <w:tab w:val="left" w:pos="720"/>
        </w:tabs>
        <w:rPr>
          <w:rFonts w:ascii="Arial" w:hAnsi="Arial" w:cs="Arial"/>
          <w:color w:val="282828"/>
          <w:sz w:val="22"/>
          <w:szCs w:val="22"/>
        </w:rPr>
      </w:pPr>
      <w:r>
        <w:rPr>
          <w:rFonts w:ascii="Arial" w:hAnsi="Arial" w:cs="Arial"/>
          <w:color w:val="282828"/>
          <w:sz w:val="22"/>
          <w:szCs w:val="22"/>
        </w:rPr>
        <w:t>This information collection is “reporting” in nature to establish compliance with t</w:t>
      </w:r>
      <w:r w:rsidRPr="00D70DDC">
        <w:rPr>
          <w:rFonts w:ascii="Arial" w:hAnsi="Arial" w:cs="Arial"/>
          <w:color w:val="282828"/>
          <w:sz w:val="22"/>
          <w:szCs w:val="22"/>
        </w:rPr>
        <w:t xml:space="preserve">he </w:t>
      </w:r>
      <w:r w:rsidRPr="00756B98">
        <w:rPr>
          <w:rFonts w:ascii="Arial" w:hAnsi="Arial" w:cs="Arial"/>
          <w:sz w:val="22"/>
          <w:szCs w:val="22"/>
          <w:shd w:val="clear" w:color="auto" w:fill="FFFFFF"/>
        </w:rPr>
        <w:t>Comprehensive Environmental Response, Compensation, and Liability Act of 1980</w:t>
      </w:r>
      <w:r>
        <w:rPr>
          <w:rFonts w:ascii="Arial" w:hAnsi="Arial" w:cs="Arial"/>
          <w:sz w:val="22"/>
          <w:szCs w:val="22"/>
          <w:shd w:val="clear" w:color="auto" w:fill="FFFFFF"/>
        </w:rPr>
        <w:t xml:space="preserve"> </w:t>
      </w:r>
      <w:r>
        <w:rPr>
          <w:rFonts w:ascii="Arial" w:hAnsi="Arial" w:cs="Arial"/>
          <w:color w:val="333333"/>
          <w:sz w:val="22"/>
          <w:szCs w:val="22"/>
          <w:shd w:val="clear" w:color="auto" w:fill="FFFFFF"/>
        </w:rPr>
        <w:t>(</w:t>
      </w:r>
      <w:hyperlink r:id="rId4" w:history="1">
        <w:r w:rsidRPr="00756B98">
          <w:rPr>
            <w:rStyle w:val="Hyperlink"/>
            <w:rFonts w:ascii="Arial" w:hAnsi="Arial" w:cs="Arial"/>
            <w:sz w:val="22"/>
            <w:szCs w:val="22"/>
            <w:shd w:val="clear" w:color="auto" w:fill="FFFFFF"/>
          </w:rPr>
          <w:t>CERCLA</w:t>
        </w:r>
      </w:hyperlink>
      <w:r>
        <w:rPr>
          <w:rFonts w:ascii="Arial" w:hAnsi="Arial" w:cs="Arial"/>
          <w:color w:val="333333"/>
          <w:sz w:val="22"/>
          <w:szCs w:val="22"/>
          <w:shd w:val="clear" w:color="auto" w:fill="FFFFFF"/>
        </w:rPr>
        <w:t xml:space="preserve">). </w:t>
      </w:r>
      <w:r w:rsidRPr="008B6F31">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CERCLA allows</w:t>
      </w:r>
      <w:r w:rsidRPr="00D70DDC">
        <w:rPr>
          <w:rFonts w:ascii="Arial" w:hAnsi="Arial" w:cs="Arial"/>
          <w:color w:val="282828"/>
          <w:sz w:val="22"/>
          <w:szCs w:val="22"/>
        </w:rPr>
        <w:t xml:space="preserve"> </w:t>
      </w:r>
      <w:r>
        <w:rPr>
          <w:rFonts w:ascii="Arial" w:hAnsi="Arial" w:cs="Arial"/>
          <w:color w:val="282828"/>
          <w:sz w:val="22"/>
          <w:szCs w:val="22"/>
        </w:rPr>
        <w:t xml:space="preserve">assessment of </w:t>
      </w:r>
      <w:r w:rsidRPr="00D70DDC">
        <w:rPr>
          <w:rFonts w:ascii="Arial" w:hAnsi="Arial" w:cs="Arial"/>
          <w:color w:val="282828"/>
          <w:sz w:val="22"/>
          <w:szCs w:val="22"/>
        </w:rPr>
        <w:t xml:space="preserve">injuries </w:t>
      </w:r>
      <w:r>
        <w:rPr>
          <w:rFonts w:ascii="Arial" w:hAnsi="Arial" w:cs="Arial"/>
          <w:color w:val="282828"/>
          <w:sz w:val="22"/>
          <w:szCs w:val="22"/>
        </w:rPr>
        <w:t xml:space="preserve">from hazardous substance releases to </w:t>
      </w:r>
      <w:r w:rsidRPr="00D70DDC">
        <w:rPr>
          <w:rFonts w:ascii="Arial" w:hAnsi="Arial" w:cs="Arial"/>
          <w:color w:val="282828"/>
          <w:sz w:val="22"/>
          <w:szCs w:val="22"/>
        </w:rPr>
        <w:t xml:space="preserve">natural resources, and </w:t>
      </w:r>
      <w:r>
        <w:rPr>
          <w:rFonts w:ascii="Arial" w:hAnsi="Arial" w:cs="Arial"/>
          <w:color w:val="282828"/>
          <w:sz w:val="22"/>
          <w:szCs w:val="22"/>
        </w:rPr>
        <w:t xml:space="preserve">identification of </w:t>
      </w:r>
      <w:r w:rsidRPr="00D70DDC">
        <w:rPr>
          <w:rFonts w:ascii="Arial" w:hAnsi="Arial" w:cs="Arial"/>
          <w:color w:val="282828"/>
          <w:sz w:val="22"/>
          <w:szCs w:val="22"/>
        </w:rPr>
        <w:t>appropriate restoration projects in contemplation of negotiated settlements or legal actions</w:t>
      </w:r>
      <w:r>
        <w:rPr>
          <w:rFonts w:ascii="Arial" w:hAnsi="Arial" w:cs="Arial"/>
          <w:color w:val="282828"/>
          <w:sz w:val="22"/>
          <w:szCs w:val="22"/>
        </w:rPr>
        <w:t xml:space="preserve"> </w:t>
      </w:r>
      <w:r w:rsidRPr="00D70DDC">
        <w:rPr>
          <w:rFonts w:ascii="Arial" w:hAnsi="Arial" w:cs="Arial"/>
          <w:color w:val="282828"/>
          <w:sz w:val="22"/>
          <w:szCs w:val="22"/>
        </w:rPr>
        <w:t>with potentially responsible parties (PRPs).</w:t>
      </w:r>
      <w:r>
        <w:rPr>
          <w:rFonts w:ascii="Arial" w:hAnsi="Arial" w:cs="Arial"/>
          <w:color w:val="282828"/>
          <w:sz w:val="22"/>
          <w:szCs w:val="22"/>
        </w:rPr>
        <w:t xml:space="preserve"> Monetary</w:t>
      </w:r>
      <w:r w:rsidRPr="00D70DDC">
        <w:rPr>
          <w:rFonts w:ascii="Arial" w:hAnsi="Arial" w:cs="Arial"/>
          <w:color w:val="282828"/>
          <w:sz w:val="22"/>
          <w:szCs w:val="22"/>
        </w:rPr>
        <w:t xml:space="preserve"> or in-kind</w:t>
      </w:r>
      <w:r>
        <w:rPr>
          <w:rFonts w:ascii="Arial" w:hAnsi="Arial" w:cs="Arial"/>
          <w:color w:val="282828"/>
          <w:sz w:val="22"/>
          <w:szCs w:val="22"/>
        </w:rPr>
        <w:t xml:space="preserve"> project recoveries</w:t>
      </w:r>
      <w:r w:rsidRPr="00D70DDC">
        <w:rPr>
          <w:rFonts w:ascii="Arial" w:hAnsi="Arial" w:cs="Arial"/>
          <w:color w:val="282828"/>
          <w:sz w:val="22"/>
          <w:szCs w:val="22"/>
        </w:rPr>
        <w:t xml:space="preserve"> from the</w:t>
      </w:r>
      <w:r>
        <w:rPr>
          <w:rFonts w:ascii="Arial" w:hAnsi="Arial" w:cs="Arial"/>
          <w:color w:val="282828"/>
          <w:sz w:val="22"/>
          <w:szCs w:val="22"/>
        </w:rPr>
        <w:t xml:space="preserve"> PRPs (damages)</w:t>
      </w:r>
      <w:r w:rsidRPr="00D70DDC">
        <w:rPr>
          <w:rFonts w:ascii="Arial" w:hAnsi="Arial" w:cs="Arial"/>
          <w:color w:val="282828"/>
          <w:sz w:val="22"/>
          <w:szCs w:val="22"/>
        </w:rPr>
        <w:t xml:space="preserve"> are then used to finance or implement the restoration of the injured resources, pursuant to a publicly reviewed restoration plan.</w:t>
      </w:r>
      <w:r>
        <w:rPr>
          <w:rFonts w:ascii="Arial" w:hAnsi="Arial" w:cs="Arial"/>
          <w:color w:val="282828"/>
          <w:sz w:val="22"/>
          <w:szCs w:val="22"/>
        </w:rPr>
        <w:t xml:space="preserve"> The NRDAR process includes multiple types of documentation.</w:t>
      </w:r>
      <w:r w:rsidRPr="00D70DDC">
        <w:rPr>
          <w:rFonts w:ascii="Arial" w:hAnsi="Arial" w:cs="Arial"/>
          <w:color w:val="282828"/>
          <w:sz w:val="22"/>
          <w:szCs w:val="22"/>
        </w:rPr>
        <w:t xml:space="preserve"> </w:t>
      </w:r>
    </w:p>
    <w:p w:rsidR="00963134" w:rsidP="00963134" w14:paraId="4ECBF55F" w14:textId="77777777">
      <w:pPr>
        <w:pStyle w:val="paragraph"/>
        <w:spacing w:before="0" w:beforeAutospacing="0" w:after="0" w:afterAutospacing="0"/>
        <w:textAlignment w:val="baseline"/>
        <w:rPr>
          <w:rFonts w:ascii="Arial" w:hAnsi="Arial" w:cs="Arial"/>
          <w:color w:val="282828"/>
          <w:sz w:val="22"/>
          <w:szCs w:val="22"/>
        </w:rPr>
      </w:pPr>
    </w:p>
    <w:p w:rsidR="00963134" w:rsidP="00963134" w14:paraId="01911EFF" w14:textId="77777777">
      <w:pPr>
        <w:pStyle w:val="paragraph"/>
        <w:spacing w:before="0" w:beforeAutospacing="0" w:after="0" w:afterAutospacing="0"/>
        <w:textAlignment w:val="baseline"/>
        <w:rPr>
          <w:rFonts w:ascii="Arial" w:hAnsi="Arial" w:cs="Arial"/>
          <w:color w:val="282828"/>
          <w:sz w:val="22"/>
          <w:szCs w:val="22"/>
        </w:rPr>
      </w:pPr>
      <w:r w:rsidRPr="00200496">
        <w:rPr>
          <w:rFonts w:ascii="Arial" w:hAnsi="Arial" w:cs="Arial"/>
          <w:color w:val="282828"/>
          <w:sz w:val="22"/>
          <w:szCs w:val="22"/>
        </w:rPr>
        <w:t xml:space="preserve">Congress authorizes </w:t>
      </w:r>
      <w:r>
        <w:rPr>
          <w:rFonts w:ascii="Arial" w:hAnsi="Arial" w:cs="Arial"/>
          <w:color w:val="282828"/>
          <w:sz w:val="22"/>
          <w:szCs w:val="22"/>
        </w:rPr>
        <w:t>S</w:t>
      </w:r>
      <w:r w:rsidRPr="00200496">
        <w:rPr>
          <w:rFonts w:ascii="Arial" w:hAnsi="Arial" w:cs="Arial"/>
          <w:color w:val="282828"/>
          <w:sz w:val="22"/>
          <w:szCs w:val="22"/>
        </w:rPr>
        <w:t>tates,</w:t>
      </w:r>
      <w:r>
        <w:rPr>
          <w:rFonts w:ascii="Arial" w:hAnsi="Arial" w:cs="Arial"/>
          <w:color w:val="282828"/>
          <w:sz w:val="22"/>
          <w:szCs w:val="22"/>
        </w:rPr>
        <w:t xml:space="preserve"> T</w:t>
      </w:r>
      <w:r w:rsidRPr="00200496">
        <w:rPr>
          <w:rFonts w:ascii="Arial" w:hAnsi="Arial" w:cs="Arial"/>
          <w:color w:val="282828"/>
          <w:sz w:val="22"/>
          <w:szCs w:val="22"/>
        </w:rPr>
        <w:t xml:space="preserve">ribes, and </w:t>
      </w:r>
      <w:r>
        <w:rPr>
          <w:rFonts w:ascii="Arial" w:hAnsi="Arial" w:cs="Arial"/>
          <w:color w:val="282828"/>
          <w:sz w:val="22"/>
          <w:szCs w:val="22"/>
        </w:rPr>
        <w:t>F</w:t>
      </w:r>
      <w:r w:rsidRPr="00200496">
        <w:rPr>
          <w:rFonts w:ascii="Arial" w:hAnsi="Arial" w:cs="Arial"/>
          <w:color w:val="282828"/>
          <w:sz w:val="22"/>
          <w:szCs w:val="22"/>
        </w:rPr>
        <w:t>ederal resource management agencies to act on behalf of the public as “</w:t>
      </w:r>
      <w:r w:rsidRPr="28D4D526">
        <w:rPr>
          <w:rFonts w:ascii="Arial" w:hAnsi="Arial" w:cs="Arial"/>
          <w:color w:val="282828"/>
          <w:sz w:val="22"/>
          <w:szCs w:val="22"/>
        </w:rPr>
        <w:t>trustees</w:t>
      </w:r>
      <w:r w:rsidRPr="00200496">
        <w:rPr>
          <w:rFonts w:ascii="Arial" w:hAnsi="Arial" w:cs="Arial"/>
          <w:color w:val="282828"/>
          <w:sz w:val="22"/>
          <w:szCs w:val="22"/>
        </w:rPr>
        <w:t xml:space="preserve">” for the purpose of bringing a claim to recover damages necessary to restore or replace injured public resources managed or controlled by the respective </w:t>
      </w:r>
      <w:r>
        <w:rPr>
          <w:rFonts w:ascii="Arial" w:hAnsi="Arial" w:cs="Arial"/>
          <w:color w:val="282828"/>
          <w:sz w:val="22"/>
          <w:szCs w:val="22"/>
        </w:rPr>
        <w:t>S</w:t>
      </w:r>
      <w:r w:rsidRPr="00200496">
        <w:rPr>
          <w:rFonts w:ascii="Arial" w:hAnsi="Arial" w:cs="Arial"/>
          <w:color w:val="282828"/>
          <w:sz w:val="22"/>
          <w:szCs w:val="22"/>
        </w:rPr>
        <w:t xml:space="preserve">tates, </w:t>
      </w:r>
      <w:r>
        <w:rPr>
          <w:rFonts w:ascii="Arial" w:hAnsi="Arial" w:cs="Arial"/>
          <w:color w:val="282828"/>
          <w:sz w:val="22"/>
          <w:szCs w:val="22"/>
        </w:rPr>
        <w:t>T</w:t>
      </w:r>
      <w:r w:rsidRPr="00200496">
        <w:rPr>
          <w:rFonts w:ascii="Arial" w:hAnsi="Arial" w:cs="Arial"/>
          <w:color w:val="282828"/>
          <w:sz w:val="22"/>
          <w:szCs w:val="22"/>
        </w:rPr>
        <w:t xml:space="preserve">ribes, or </w:t>
      </w:r>
      <w:r>
        <w:rPr>
          <w:rFonts w:ascii="Arial" w:hAnsi="Arial" w:cs="Arial"/>
          <w:color w:val="282828"/>
          <w:sz w:val="22"/>
          <w:szCs w:val="22"/>
        </w:rPr>
        <w:t>F</w:t>
      </w:r>
      <w:r w:rsidRPr="00200496">
        <w:rPr>
          <w:rFonts w:ascii="Arial" w:hAnsi="Arial" w:cs="Arial"/>
          <w:color w:val="282828"/>
          <w:sz w:val="22"/>
          <w:szCs w:val="22"/>
        </w:rPr>
        <w:t>ederal agency</w:t>
      </w:r>
      <w:r>
        <w:rPr>
          <w:rFonts w:ascii="Arial" w:hAnsi="Arial" w:cs="Arial"/>
          <w:color w:val="282828"/>
          <w:sz w:val="22"/>
          <w:szCs w:val="22"/>
        </w:rPr>
        <w:t xml:space="preserve"> (i.e., Natural Resource Trustees).      </w:t>
      </w:r>
    </w:p>
    <w:p w:rsidR="00963134" w:rsidP="00963134" w14:paraId="375EDC2D" w14:textId="77777777">
      <w:pPr>
        <w:pStyle w:val="paragraph"/>
        <w:spacing w:before="0" w:beforeAutospacing="0" w:after="0" w:afterAutospacing="0"/>
        <w:textAlignment w:val="baseline"/>
        <w:rPr>
          <w:rFonts w:ascii="Arial" w:hAnsi="Arial" w:cs="Arial"/>
          <w:color w:val="282828"/>
          <w:sz w:val="22"/>
          <w:szCs w:val="22"/>
        </w:rPr>
      </w:pPr>
    </w:p>
    <w:p w:rsidR="00963134" w:rsidRPr="00D70DDC" w:rsidP="00963134" w14:paraId="4D318563" w14:textId="4F7087D3">
      <w:pPr>
        <w:pStyle w:val="paragraph"/>
        <w:spacing w:before="0" w:beforeAutospacing="0" w:after="0" w:afterAutospacing="0"/>
        <w:textAlignment w:val="baseline"/>
        <w:rPr>
          <w:rFonts w:ascii="Arial" w:hAnsi="Arial" w:cs="Arial"/>
          <w:sz w:val="22"/>
          <w:szCs w:val="22"/>
        </w:rPr>
      </w:pPr>
      <w:r w:rsidRPr="008B6F31">
        <w:rPr>
          <w:rFonts w:ascii="Arial" w:hAnsi="Arial" w:cs="Arial"/>
          <w:color w:val="282828"/>
          <w:sz w:val="22"/>
          <w:szCs w:val="22"/>
        </w:rPr>
        <w:t>Interior’s</w:t>
      </w:r>
      <w:r w:rsidRPr="00D70DDC">
        <w:rPr>
          <w:rFonts w:ascii="Arial" w:hAnsi="Arial" w:cs="Arial"/>
          <w:color w:val="333333"/>
          <w:sz w:val="22"/>
          <w:szCs w:val="22"/>
          <w:shd w:val="clear" w:color="auto" w:fill="FFFFFF"/>
        </w:rPr>
        <w:t xml:space="preserve"> regulations implementing CERCLA</w:t>
      </w:r>
      <w:r>
        <w:rPr>
          <w:rFonts w:ascii="Arial" w:hAnsi="Arial" w:cs="Arial"/>
          <w:color w:val="333333"/>
          <w:sz w:val="22"/>
          <w:szCs w:val="22"/>
          <w:shd w:val="clear" w:color="auto" w:fill="FFFFFF"/>
        </w:rPr>
        <w:t xml:space="preserve"> </w:t>
      </w:r>
      <w:r w:rsidRPr="00D70DDC">
        <w:rPr>
          <w:rFonts w:ascii="Arial" w:hAnsi="Arial" w:cs="Arial"/>
          <w:color w:val="333333"/>
          <w:sz w:val="22"/>
          <w:szCs w:val="22"/>
          <w:shd w:val="clear" w:color="auto" w:fill="FFFFFF"/>
        </w:rPr>
        <w:t>NRDAR activities conducted for releases of hazardous substances (</w:t>
      </w:r>
      <w:hyperlink r:id="rId5" w:tgtFrame="_blank" w:history="1">
        <w:r w:rsidRPr="00D70DDC">
          <w:rPr>
            <w:rStyle w:val="Hyperlink"/>
            <w:rFonts w:ascii="Arial" w:hAnsi="Arial" w:cs="Arial"/>
            <w:sz w:val="22"/>
            <w:szCs w:val="22"/>
            <w:shd w:val="clear" w:color="auto" w:fill="FFFFFF"/>
          </w:rPr>
          <w:t>43 CFR 11</w:t>
        </w:r>
      </w:hyperlink>
      <w:r w:rsidRPr="00D70DDC">
        <w:rPr>
          <w:rFonts w:ascii="Arial" w:hAnsi="Arial" w:cs="Arial"/>
          <w:sz w:val="22"/>
          <w:szCs w:val="22"/>
        </w:rPr>
        <w:t xml:space="preserve">) include </w:t>
      </w:r>
      <w:r w:rsidRPr="00D70DDC">
        <w:rPr>
          <w:rStyle w:val="normaltextrun"/>
          <w:rFonts w:ascii="Arial" w:hAnsi="Arial" w:cs="Arial"/>
          <w:sz w:val="22"/>
          <w:szCs w:val="22"/>
        </w:rPr>
        <w:t>two types of assessment procedures</w:t>
      </w:r>
      <w:r>
        <w:rPr>
          <w:rStyle w:val="normaltextrun"/>
          <w:rFonts w:ascii="Arial" w:hAnsi="Arial" w:cs="Arial"/>
          <w:sz w:val="22"/>
          <w:szCs w:val="22"/>
        </w:rPr>
        <w:t xml:space="preserve"> conducted by the Natural Resource Trustees</w:t>
      </w:r>
      <w:r w:rsidRPr="00D70DDC">
        <w:rPr>
          <w:rStyle w:val="normaltextrun"/>
          <w:rFonts w:ascii="Arial" w:hAnsi="Arial" w:cs="Arial"/>
          <w:sz w:val="22"/>
          <w:szCs w:val="22"/>
        </w:rPr>
        <w:t>:</w:t>
      </w:r>
      <w:r w:rsidRPr="00D70DDC">
        <w:rPr>
          <w:rStyle w:val="eop"/>
          <w:rFonts w:ascii="Arial" w:hAnsi="Arial" w:cs="Arial"/>
          <w:sz w:val="22"/>
          <w:szCs w:val="22"/>
        </w:rPr>
        <w:t> </w:t>
      </w:r>
    </w:p>
    <w:p w:rsidR="00963134" w:rsidRPr="00D70DDC" w:rsidP="00963134" w14:paraId="7FD70080" w14:textId="77777777">
      <w:pPr>
        <w:pStyle w:val="paragraph"/>
        <w:spacing w:before="0" w:beforeAutospacing="0" w:after="0" w:afterAutospacing="0"/>
        <w:textAlignment w:val="baseline"/>
        <w:rPr>
          <w:rFonts w:ascii="Arial" w:hAnsi="Arial" w:cs="Arial"/>
          <w:sz w:val="22"/>
          <w:szCs w:val="22"/>
        </w:rPr>
      </w:pPr>
    </w:p>
    <w:p w:rsidR="00963134" w:rsidRPr="00D70DDC" w:rsidP="00963134" w14:paraId="763B3106" w14:textId="0DD06EDC">
      <w:pPr>
        <w:pStyle w:val="paragraph"/>
        <w:numPr>
          <w:ilvl w:val="0"/>
          <w:numId w:val="5"/>
        </w:numPr>
        <w:spacing w:before="0" w:beforeAutospacing="0" w:after="0" w:afterAutospacing="0"/>
        <w:textAlignment w:val="baseline"/>
        <w:rPr>
          <w:rFonts w:ascii="Arial" w:hAnsi="Arial" w:cs="Arial"/>
          <w:sz w:val="22"/>
          <w:szCs w:val="22"/>
        </w:rPr>
      </w:pPr>
      <w:r w:rsidRPr="00D70DDC">
        <w:rPr>
          <w:rStyle w:val="normaltextrun"/>
          <w:rFonts w:ascii="Arial" w:hAnsi="Arial" w:cs="Arial"/>
          <w:sz w:val="22"/>
          <w:szCs w:val="22"/>
        </w:rPr>
        <w:t xml:space="preserve">Type A procedures are simplified procedures that require minimal field observation.  </w:t>
      </w:r>
      <w:hyperlink r:id="rId6" w:history="1">
        <w:r w:rsidRPr="00B27F0E">
          <w:rPr>
            <w:rStyle w:val="Hyperlink"/>
            <w:rFonts w:ascii="Arial" w:hAnsi="Arial" w:cs="Arial"/>
            <w:sz w:val="22"/>
            <w:szCs w:val="22"/>
          </w:rPr>
          <w:t>Subpart D</w:t>
        </w:r>
      </w:hyperlink>
      <w:r w:rsidRPr="00D70DDC">
        <w:rPr>
          <w:rStyle w:val="normaltextrun"/>
          <w:rFonts w:ascii="Arial" w:hAnsi="Arial" w:cs="Arial"/>
          <w:sz w:val="22"/>
          <w:szCs w:val="22"/>
        </w:rPr>
        <w:t xml:space="preserve"> describes </w:t>
      </w:r>
      <w:r>
        <w:rPr>
          <w:rStyle w:val="normaltextrun"/>
          <w:rFonts w:ascii="Arial" w:hAnsi="Arial" w:cs="Arial"/>
          <w:sz w:val="22"/>
          <w:szCs w:val="22"/>
        </w:rPr>
        <w:t>t</w:t>
      </w:r>
      <w:r w:rsidRPr="00D70DDC">
        <w:rPr>
          <w:rStyle w:val="normaltextrun"/>
          <w:rFonts w:ascii="Arial" w:hAnsi="Arial" w:cs="Arial"/>
          <w:sz w:val="22"/>
          <w:szCs w:val="22"/>
        </w:rPr>
        <w:t xml:space="preserve">he </w:t>
      </w:r>
      <w:r>
        <w:rPr>
          <w:rStyle w:val="normaltextrun"/>
          <w:rFonts w:ascii="Arial" w:hAnsi="Arial" w:cs="Arial"/>
          <w:sz w:val="22"/>
          <w:szCs w:val="22"/>
        </w:rPr>
        <w:t>T</w:t>
      </w:r>
      <w:r w:rsidRPr="00D70DDC">
        <w:rPr>
          <w:rStyle w:val="normaltextrun"/>
          <w:rFonts w:ascii="Arial" w:hAnsi="Arial" w:cs="Arial"/>
          <w:sz w:val="22"/>
          <w:szCs w:val="22"/>
        </w:rPr>
        <w:t>ype A procedures.  </w:t>
      </w:r>
      <w:r w:rsidRPr="00D70DDC">
        <w:rPr>
          <w:rStyle w:val="eop"/>
          <w:rFonts w:ascii="Arial" w:hAnsi="Arial" w:cs="Arial"/>
          <w:sz w:val="22"/>
          <w:szCs w:val="22"/>
        </w:rPr>
        <w:t> </w:t>
      </w:r>
    </w:p>
    <w:p w:rsidR="00963134" w:rsidRPr="00D70DDC" w:rsidP="00963134" w14:paraId="57D49D34" w14:textId="674EA416">
      <w:pPr>
        <w:pStyle w:val="paragraph"/>
        <w:numPr>
          <w:ilvl w:val="0"/>
          <w:numId w:val="5"/>
        </w:numPr>
        <w:spacing w:before="0" w:beforeAutospacing="0" w:after="0" w:afterAutospacing="0"/>
        <w:textAlignment w:val="baseline"/>
        <w:rPr>
          <w:rFonts w:ascii="Arial" w:hAnsi="Arial" w:cs="Arial"/>
          <w:sz w:val="22"/>
          <w:szCs w:val="22"/>
        </w:rPr>
      </w:pPr>
      <w:r w:rsidRPr="00D70DDC">
        <w:rPr>
          <w:rStyle w:val="normaltextrun"/>
          <w:rFonts w:ascii="Arial" w:hAnsi="Arial" w:cs="Arial"/>
          <w:sz w:val="22"/>
          <w:szCs w:val="22"/>
        </w:rPr>
        <w:t xml:space="preserve">Type B procedures require more extensive field observation than the </w:t>
      </w:r>
      <w:r>
        <w:rPr>
          <w:rStyle w:val="normaltextrun"/>
          <w:rFonts w:ascii="Arial" w:hAnsi="Arial" w:cs="Arial"/>
          <w:sz w:val="22"/>
          <w:szCs w:val="22"/>
        </w:rPr>
        <w:t>T</w:t>
      </w:r>
      <w:r w:rsidRPr="00D70DDC">
        <w:rPr>
          <w:rStyle w:val="normaltextrun"/>
          <w:rFonts w:ascii="Arial" w:hAnsi="Arial" w:cs="Arial"/>
          <w:sz w:val="22"/>
          <w:szCs w:val="22"/>
        </w:rPr>
        <w:t xml:space="preserve">ype A procedures.  </w:t>
      </w:r>
      <w:hyperlink r:id="rId7" w:history="1">
        <w:r w:rsidRPr="00F13D0A">
          <w:rPr>
            <w:rStyle w:val="Hyperlink"/>
            <w:rFonts w:ascii="Arial" w:hAnsi="Arial" w:cs="Arial"/>
            <w:sz w:val="22"/>
            <w:szCs w:val="22"/>
          </w:rPr>
          <w:t>Subpart E</w:t>
        </w:r>
      </w:hyperlink>
      <w:r w:rsidRPr="00D70DDC">
        <w:rPr>
          <w:rStyle w:val="normaltextrun"/>
          <w:rFonts w:ascii="Arial" w:hAnsi="Arial" w:cs="Arial"/>
          <w:sz w:val="22"/>
          <w:szCs w:val="22"/>
        </w:rPr>
        <w:t xml:space="preserve"> describes the </w:t>
      </w:r>
      <w:r>
        <w:rPr>
          <w:rStyle w:val="normaltextrun"/>
          <w:rFonts w:ascii="Arial" w:hAnsi="Arial" w:cs="Arial"/>
          <w:sz w:val="22"/>
          <w:szCs w:val="22"/>
        </w:rPr>
        <w:t>T</w:t>
      </w:r>
      <w:r w:rsidRPr="00D70DDC">
        <w:rPr>
          <w:rStyle w:val="normaltextrun"/>
          <w:rFonts w:ascii="Arial" w:hAnsi="Arial" w:cs="Arial"/>
          <w:sz w:val="22"/>
          <w:szCs w:val="22"/>
        </w:rPr>
        <w:t>ype B procedures.</w:t>
      </w:r>
      <w:r w:rsidRPr="00D70DDC">
        <w:rPr>
          <w:rStyle w:val="eop"/>
          <w:rFonts w:ascii="Arial" w:hAnsi="Arial" w:cs="Arial"/>
          <w:sz w:val="22"/>
          <w:szCs w:val="22"/>
        </w:rPr>
        <w:t> </w:t>
      </w:r>
    </w:p>
    <w:p w:rsidR="00963134" w:rsidP="00963134" w14:paraId="129FAEA2" w14:textId="77777777">
      <w:pPr>
        <w:tabs>
          <w:tab w:val="left" w:pos="-1080"/>
          <w:tab w:val="left" w:pos="-720"/>
          <w:tab w:val="left" w:pos="360"/>
          <w:tab w:val="left" w:pos="720"/>
        </w:tabs>
        <w:rPr>
          <w:rFonts w:ascii="Arial" w:hAnsi="Arial" w:cs="Arial"/>
          <w:sz w:val="22"/>
          <w:szCs w:val="22"/>
        </w:rPr>
      </w:pPr>
      <w:r w:rsidRPr="00D70DDC">
        <w:rPr>
          <w:rFonts w:ascii="Arial" w:hAnsi="Arial" w:cs="Arial"/>
          <w:sz w:val="22"/>
          <w:szCs w:val="22"/>
        </w:rPr>
        <w:t xml:space="preserve"> </w:t>
      </w:r>
    </w:p>
    <w:p w:rsidR="00B4757D" w:rsidP="00963134" w14:paraId="558E9171" w14:textId="59038F84">
      <w:pPr>
        <w:tabs>
          <w:tab w:val="left" w:pos="360"/>
          <w:tab w:val="left" w:pos="720"/>
        </w:tabs>
        <w:rPr>
          <w:rFonts w:ascii="Arial" w:hAnsi="Arial" w:cs="Arial"/>
          <w:sz w:val="22"/>
          <w:szCs w:val="22"/>
        </w:rPr>
      </w:pPr>
      <w:r>
        <w:rPr>
          <w:rFonts w:ascii="Arial" w:hAnsi="Arial" w:cs="Arial"/>
          <w:bCs/>
          <w:sz w:val="22"/>
          <w:szCs w:val="22"/>
        </w:rPr>
        <w:t xml:space="preserve">The NRDAR regulations are discretionary. </w:t>
      </w:r>
      <w:r w:rsidRPr="008B6F31">
        <w:rPr>
          <w:rFonts w:ascii="Arial" w:hAnsi="Arial" w:cs="Arial"/>
          <w:bCs/>
          <w:sz w:val="22"/>
          <w:szCs w:val="22"/>
        </w:rPr>
        <w:t xml:space="preserve"> </w:t>
      </w:r>
      <w:r>
        <w:rPr>
          <w:rFonts w:ascii="Arial" w:hAnsi="Arial" w:cs="Arial"/>
          <w:bCs/>
          <w:sz w:val="22"/>
          <w:szCs w:val="22"/>
        </w:rPr>
        <w:t xml:space="preserve">That is, Trustees are not required to conduct NRDAR, nor are they explicitly required to follow the regulations. </w:t>
      </w:r>
      <w:r w:rsidRPr="008B6F31">
        <w:rPr>
          <w:rFonts w:ascii="Arial" w:hAnsi="Arial" w:cs="Arial"/>
          <w:bCs/>
          <w:sz w:val="22"/>
          <w:szCs w:val="22"/>
        </w:rPr>
        <w:t xml:space="preserve"> </w:t>
      </w:r>
      <w:r>
        <w:rPr>
          <w:rFonts w:ascii="Arial" w:hAnsi="Arial" w:cs="Arial"/>
          <w:bCs/>
          <w:sz w:val="22"/>
          <w:szCs w:val="22"/>
        </w:rPr>
        <w:t xml:space="preserve">However, </w:t>
      </w:r>
      <w:r w:rsidRPr="00402AB0">
        <w:rPr>
          <w:rFonts w:ascii="Arial" w:hAnsi="Arial" w:cs="Arial"/>
          <w:bCs/>
          <w:sz w:val="22"/>
          <w:szCs w:val="22"/>
        </w:rPr>
        <w:t xml:space="preserve">CERCLA grants </w:t>
      </w:r>
      <w:r>
        <w:rPr>
          <w:rFonts w:ascii="Arial" w:hAnsi="Arial" w:cs="Arial"/>
          <w:bCs/>
          <w:sz w:val="22"/>
          <w:szCs w:val="22"/>
        </w:rPr>
        <w:t>T</w:t>
      </w:r>
      <w:r w:rsidRPr="00402AB0">
        <w:rPr>
          <w:rFonts w:ascii="Arial" w:hAnsi="Arial" w:cs="Arial"/>
          <w:bCs/>
          <w:sz w:val="22"/>
          <w:szCs w:val="22"/>
        </w:rPr>
        <w:t xml:space="preserve">rustees a </w:t>
      </w:r>
      <w:r>
        <w:rPr>
          <w:rFonts w:ascii="Arial" w:hAnsi="Arial" w:cs="Arial"/>
          <w:bCs/>
          <w:sz w:val="22"/>
          <w:szCs w:val="22"/>
        </w:rPr>
        <w:t>“</w:t>
      </w:r>
      <w:r w:rsidRPr="00402AB0">
        <w:rPr>
          <w:rFonts w:ascii="Arial" w:hAnsi="Arial" w:cs="Arial"/>
          <w:bCs/>
          <w:sz w:val="22"/>
          <w:szCs w:val="22"/>
        </w:rPr>
        <w:t>rebuttable presumption</w:t>
      </w:r>
      <w:r>
        <w:rPr>
          <w:rFonts w:ascii="Arial" w:hAnsi="Arial" w:cs="Arial"/>
          <w:bCs/>
          <w:sz w:val="22"/>
          <w:szCs w:val="22"/>
        </w:rPr>
        <w:t>”</w:t>
      </w:r>
      <w:r w:rsidRPr="00402AB0">
        <w:rPr>
          <w:rFonts w:ascii="Arial" w:hAnsi="Arial" w:cs="Arial"/>
          <w:bCs/>
          <w:sz w:val="22"/>
          <w:szCs w:val="22"/>
        </w:rPr>
        <w:t xml:space="preserve"> in any judicial proceeding if the </w:t>
      </w:r>
      <w:r>
        <w:rPr>
          <w:rFonts w:ascii="Arial" w:hAnsi="Arial" w:cs="Arial"/>
          <w:bCs/>
          <w:sz w:val="22"/>
          <w:szCs w:val="22"/>
        </w:rPr>
        <w:t>assessment</w:t>
      </w:r>
      <w:r w:rsidRPr="00402AB0">
        <w:rPr>
          <w:rFonts w:ascii="Arial" w:hAnsi="Arial" w:cs="Arial"/>
          <w:bCs/>
          <w:sz w:val="22"/>
          <w:szCs w:val="22"/>
        </w:rPr>
        <w:t xml:space="preserve"> was conducted in accordance with </w:t>
      </w:r>
      <w:hyperlink r:id="rId8">
        <w:r w:rsidRPr="28D4D526">
          <w:rPr>
            <w:rStyle w:val="Hyperlink"/>
            <w:rFonts w:ascii="Arial" w:hAnsi="Arial" w:cs="Arial"/>
            <w:sz w:val="22"/>
            <w:szCs w:val="22"/>
          </w:rPr>
          <w:t>43 CFR Part 11</w:t>
        </w:r>
      </w:hyperlink>
      <w:r w:rsidRPr="28D4D526">
        <w:rPr>
          <w:rFonts w:ascii="Arial" w:hAnsi="Arial" w:cs="Arial"/>
          <w:sz w:val="22"/>
          <w:szCs w:val="22"/>
        </w:rPr>
        <w:t>.</w:t>
      </w:r>
      <w:r>
        <w:rPr>
          <w:rFonts w:ascii="Arial" w:hAnsi="Arial" w:cs="Arial"/>
          <w:bCs/>
          <w:sz w:val="22"/>
          <w:szCs w:val="22"/>
        </w:rPr>
        <w:t xml:space="preserve"> </w:t>
      </w:r>
      <w:r w:rsidRPr="008B6F31">
        <w:rPr>
          <w:rFonts w:ascii="Arial" w:hAnsi="Arial" w:cs="Arial"/>
          <w:bCs/>
          <w:sz w:val="22"/>
          <w:szCs w:val="22"/>
        </w:rPr>
        <w:t xml:space="preserve"> </w:t>
      </w:r>
      <w:r w:rsidRPr="00776D77">
        <w:rPr>
          <w:rFonts w:ascii="Arial" w:hAnsi="Arial" w:cs="Arial"/>
          <w:bCs/>
          <w:sz w:val="22"/>
          <w:szCs w:val="22"/>
        </w:rPr>
        <w:t>This means that</w:t>
      </w:r>
      <w:r>
        <w:rPr>
          <w:rFonts w:ascii="Arial" w:hAnsi="Arial" w:cs="Arial"/>
          <w:bCs/>
          <w:sz w:val="22"/>
          <w:szCs w:val="22"/>
        </w:rPr>
        <w:t xml:space="preserve"> </w:t>
      </w:r>
      <w:r w:rsidRPr="00776D77">
        <w:rPr>
          <w:rFonts w:ascii="Arial" w:hAnsi="Arial" w:cs="Arial"/>
          <w:bCs/>
          <w:sz w:val="22"/>
          <w:szCs w:val="22"/>
        </w:rPr>
        <w:t xml:space="preserve">if Trustees </w:t>
      </w:r>
      <w:r>
        <w:rPr>
          <w:rFonts w:ascii="Arial" w:hAnsi="Arial" w:cs="Arial"/>
          <w:bCs/>
          <w:sz w:val="22"/>
          <w:szCs w:val="22"/>
        </w:rPr>
        <w:t>follow</w:t>
      </w:r>
      <w:r w:rsidRPr="00776D77">
        <w:rPr>
          <w:rFonts w:ascii="Arial" w:hAnsi="Arial" w:cs="Arial"/>
          <w:bCs/>
          <w:sz w:val="22"/>
          <w:szCs w:val="22"/>
        </w:rPr>
        <w:t xml:space="preserve"> the regulations, </w:t>
      </w:r>
      <w:r>
        <w:rPr>
          <w:rFonts w:ascii="Arial" w:hAnsi="Arial" w:cs="Arial"/>
          <w:bCs/>
          <w:sz w:val="22"/>
          <w:szCs w:val="22"/>
        </w:rPr>
        <w:t xml:space="preserve">a judge will presume </w:t>
      </w:r>
      <w:r w:rsidRPr="00776D77">
        <w:rPr>
          <w:rFonts w:ascii="Arial" w:hAnsi="Arial" w:cs="Arial"/>
          <w:bCs/>
          <w:sz w:val="22"/>
          <w:szCs w:val="22"/>
        </w:rPr>
        <w:t xml:space="preserve">the results of the assessment </w:t>
      </w:r>
      <w:r>
        <w:rPr>
          <w:rFonts w:ascii="Arial" w:hAnsi="Arial" w:cs="Arial"/>
          <w:bCs/>
          <w:sz w:val="22"/>
          <w:szCs w:val="22"/>
        </w:rPr>
        <w:t>are</w:t>
      </w:r>
      <w:r w:rsidRPr="00776D77">
        <w:rPr>
          <w:rFonts w:ascii="Arial" w:hAnsi="Arial" w:cs="Arial"/>
          <w:bCs/>
          <w:sz w:val="22"/>
          <w:szCs w:val="22"/>
        </w:rPr>
        <w:t xml:space="preserve"> correct</w:t>
      </w:r>
      <w:r>
        <w:rPr>
          <w:rFonts w:ascii="Arial" w:hAnsi="Arial" w:cs="Arial"/>
          <w:bCs/>
          <w:sz w:val="22"/>
          <w:szCs w:val="22"/>
        </w:rPr>
        <w:t>,</w:t>
      </w:r>
      <w:r w:rsidRPr="00776D77">
        <w:rPr>
          <w:rFonts w:ascii="Arial" w:hAnsi="Arial" w:cs="Arial"/>
          <w:bCs/>
          <w:sz w:val="22"/>
          <w:szCs w:val="22"/>
        </w:rPr>
        <w:t xml:space="preserve"> and the </w:t>
      </w:r>
      <w:r>
        <w:rPr>
          <w:rFonts w:ascii="Arial" w:hAnsi="Arial" w:cs="Arial"/>
          <w:bCs/>
          <w:sz w:val="22"/>
          <w:szCs w:val="22"/>
        </w:rPr>
        <w:t xml:space="preserve">burden of proof would be on the </w:t>
      </w:r>
      <w:r w:rsidRPr="00776D77">
        <w:rPr>
          <w:rFonts w:ascii="Arial" w:hAnsi="Arial" w:cs="Arial"/>
          <w:bCs/>
          <w:sz w:val="22"/>
          <w:szCs w:val="22"/>
        </w:rPr>
        <w:t xml:space="preserve">PRP to disprove the findings. </w:t>
      </w:r>
      <w:bookmarkStart w:id="2" w:name="_Hlk138849523"/>
      <w:r w:rsidRPr="008B6F31">
        <w:rPr>
          <w:rFonts w:ascii="Arial" w:hAnsi="Arial" w:cs="Arial"/>
          <w:bCs/>
          <w:sz w:val="22"/>
          <w:szCs w:val="22"/>
        </w:rPr>
        <w:t xml:space="preserve"> </w:t>
      </w:r>
      <w:r>
        <w:rPr>
          <w:rFonts w:ascii="Arial" w:hAnsi="Arial" w:cs="Arial"/>
          <w:bCs/>
          <w:sz w:val="22"/>
          <w:szCs w:val="22"/>
        </w:rPr>
        <w:t xml:space="preserve">ORDA policy and guidance adopted these regulatory requirements for </w:t>
      </w:r>
      <w:r w:rsidRPr="008B6F31">
        <w:rPr>
          <w:rFonts w:ascii="Arial" w:hAnsi="Arial" w:cs="Arial"/>
          <w:bCs/>
          <w:sz w:val="22"/>
          <w:szCs w:val="22"/>
        </w:rPr>
        <w:t>Interior’s</w:t>
      </w:r>
      <w:r>
        <w:rPr>
          <w:rFonts w:ascii="Arial" w:hAnsi="Arial" w:cs="Arial"/>
          <w:bCs/>
          <w:sz w:val="22"/>
          <w:szCs w:val="22"/>
        </w:rPr>
        <w:t xml:space="preserve"> bureaus seeking NRDAR funding support to help ensure efficient and effective use of taxpayers’ dollars. </w:t>
      </w:r>
      <w:r w:rsidRPr="008B6F31">
        <w:rPr>
          <w:rFonts w:ascii="Arial" w:hAnsi="Arial" w:cs="Arial"/>
          <w:bCs/>
          <w:sz w:val="22"/>
          <w:szCs w:val="22"/>
        </w:rPr>
        <w:t xml:space="preserve"> </w:t>
      </w:r>
      <w:r>
        <w:rPr>
          <w:rFonts w:ascii="Arial" w:hAnsi="Arial" w:cs="Arial"/>
          <w:bCs/>
          <w:sz w:val="22"/>
          <w:szCs w:val="22"/>
        </w:rPr>
        <w:t xml:space="preserve">As such, NRDAR with </w:t>
      </w:r>
      <w:r w:rsidRPr="008B6F31">
        <w:rPr>
          <w:rFonts w:ascii="Arial" w:hAnsi="Arial" w:cs="Arial"/>
          <w:bCs/>
          <w:sz w:val="22"/>
          <w:szCs w:val="22"/>
        </w:rPr>
        <w:t>Interior’s</w:t>
      </w:r>
      <w:r>
        <w:rPr>
          <w:rFonts w:ascii="Arial" w:hAnsi="Arial" w:cs="Arial"/>
          <w:bCs/>
          <w:sz w:val="22"/>
          <w:szCs w:val="22"/>
        </w:rPr>
        <w:t xml:space="preserve"> involvement will typically follow the regulations, which affects co-Trustees, consultants, and the PRPs.</w:t>
      </w:r>
      <w:bookmarkEnd w:id="2"/>
      <w:r>
        <w:rPr>
          <w:rFonts w:ascii="Arial" w:hAnsi="Arial" w:cs="Arial"/>
          <w:bCs/>
          <w:sz w:val="22"/>
          <w:szCs w:val="22"/>
        </w:rPr>
        <w:t xml:space="preserve"> </w:t>
      </w:r>
      <w:r w:rsidRPr="008B6F31">
        <w:rPr>
          <w:rFonts w:ascii="Arial" w:hAnsi="Arial" w:cs="Arial"/>
          <w:bCs/>
          <w:sz w:val="22"/>
          <w:szCs w:val="22"/>
        </w:rPr>
        <w:t xml:space="preserve"> </w:t>
      </w:r>
      <w:r w:rsidRPr="008B6F31">
        <w:rPr>
          <w:rFonts w:ascii="Arial" w:hAnsi="Arial" w:cs="Arial"/>
          <w:sz w:val="22"/>
          <w:szCs w:val="22"/>
        </w:rPr>
        <w:t>This submission</w:t>
      </w:r>
      <w:r w:rsidRPr="00D70DDC">
        <w:rPr>
          <w:rFonts w:ascii="Arial" w:hAnsi="Arial" w:cs="Arial"/>
          <w:sz w:val="22"/>
          <w:szCs w:val="22"/>
        </w:rPr>
        <w:t xml:space="preserve"> addresses </w:t>
      </w:r>
      <w:r>
        <w:rPr>
          <w:rFonts w:ascii="Arial" w:hAnsi="Arial" w:cs="Arial"/>
          <w:sz w:val="22"/>
          <w:szCs w:val="22"/>
        </w:rPr>
        <w:t xml:space="preserve">both the </w:t>
      </w:r>
      <w:r w:rsidRPr="00D70DDC">
        <w:rPr>
          <w:rFonts w:ascii="Arial" w:hAnsi="Arial" w:cs="Arial"/>
          <w:sz w:val="22"/>
          <w:szCs w:val="22"/>
        </w:rPr>
        <w:t>existing</w:t>
      </w:r>
      <w:r>
        <w:rPr>
          <w:rFonts w:ascii="Arial" w:hAnsi="Arial" w:cs="Arial"/>
          <w:sz w:val="22"/>
          <w:szCs w:val="22"/>
        </w:rPr>
        <w:t xml:space="preserve"> </w:t>
      </w:r>
      <w:r w:rsidRPr="00D70DDC">
        <w:rPr>
          <w:rFonts w:ascii="Arial" w:hAnsi="Arial" w:cs="Arial"/>
          <w:sz w:val="22"/>
          <w:szCs w:val="22"/>
        </w:rPr>
        <w:t xml:space="preserve">Type B procedures and </w:t>
      </w:r>
      <w:r>
        <w:rPr>
          <w:rFonts w:ascii="Arial" w:hAnsi="Arial" w:cs="Arial"/>
          <w:sz w:val="22"/>
          <w:szCs w:val="22"/>
        </w:rPr>
        <w:t xml:space="preserve">the </w:t>
      </w:r>
      <w:r w:rsidRPr="00D70DDC">
        <w:rPr>
          <w:rFonts w:ascii="Arial" w:hAnsi="Arial" w:cs="Arial"/>
          <w:sz w:val="22"/>
          <w:szCs w:val="22"/>
        </w:rPr>
        <w:t xml:space="preserve">proposed </w:t>
      </w:r>
      <w:r w:rsidRPr="28D4D526">
        <w:rPr>
          <w:rFonts w:ascii="Arial" w:hAnsi="Arial" w:cs="Arial"/>
          <w:sz w:val="22"/>
          <w:szCs w:val="22"/>
        </w:rPr>
        <w:t xml:space="preserve">revised </w:t>
      </w:r>
      <w:r w:rsidRPr="00D70DDC">
        <w:rPr>
          <w:rFonts w:ascii="Arial" w:hAnsi="Arial" w:cs="Arial"/>
          <w:sz w:val="22"/>
          <w:szCs w:val="22"/>
        </w:rPr>
        <w:t>Type A</w:t>
      </w:r>
      <w:r>
        <w:rPr>
          <w:rFonts w:ascii="Arial" w:hAnsi="Arial" w:cs="Arial"/>
          <w:sz w:val="22"/>
          <w:szCs w:val="22"/>
        </w:rPr>
        <w:t xml:space="preserve"> procedures</w:t>
      </w:r>
      <w:r w:rsidRPr="28D4D526">
        <w:rPr>
          <w:rFonts w:ascii="Arial" w:hAnsi="Arial" w:cs="Arial"/>
          <w:color w:val="000000" w:themeColor="text1"/>
          <w:sz w:val="22"/>
          <w:szCs w:val="22"/>
        </w:rPr>
        <w:t>.</w:t>
      </w:r>
    </w:p>
    <w:p w:rsidR="00F306B1" w:rsidP="00B4757D" w14:paraId="4BFB8EB0" w14:textId="0C9DC7EA">
      <w:pPr>
        <w:tabs>
          <w:tab w:val="left" w:pos="360"/>
          <w:tab w:val="left" w:pos="720"/>
        </w:tabs>
        <w:rPr>
          <w:rFonts w:ascii="Arial" w:hAnsi="Arial" w:cs="Arial"/>
          <w:sz w:val="22"/>
          <w:szCs w:val="22"/>
        </w:rPr>
      </w:pPr>
    </w:p>
    <w:p w:rsidR="00963134" w:rsidP="00963134" w14:paraId="250B5419" w14:textId="2B89C9CE">
      <w:pPr>
        <w:rPr>
          <w:rFonts w:ascii="Arial" w:hAnsi="Arial" w:cs="Arial"/>
          <w:bCs/>
          <w:sz w:val="22"/>
          <w:szCs w:val="22"/>
        </w:rPr>
      </w:pPr>
      <w:r w:rsidRPr="00087519">
        <w:rPr>
          <w:rFonts w:ascii="Arial" w:hAnsi="Arial" w:cs="Arial"/>
          <w:bCs/>
          <w:sz w:val="22"/>
          <w:szCs w:val="22"/>
          <w:highlight w:val="yellow"/>
        </w:rPr>
        <w:t>Our final</w:t>
      </w:r>
      <w:r w:rsidRPr="00087519" w:rsidR="00F72DC1">
        <w:rPr>
          <w:rFonts w:ascii="Arial" w:hAnsi="Arial" w:cs="Arial"/>
          <w:bCs/>
          <w:sz w:val="22"/>
          <w:szCs w:val="22"/>
          <w:highlight w:val="yellow"/>
        </w:rPr>
        <w:t xml:space="preserve"> regulations (RIN 1090-AB26) </w:t>
      </w:r>
      <w:r w:rsidRPr="00087519" w:rsidR="00087519">
        <w:rPr>
          <w:rFonts w:ascii="Arial" w:hAnsi="Arial" w:cs="Arial"/>
          <w:bCs/>
          <w:sz w:val="22"/>
          <w:szCs w:val="22"/>
          <w:highlight w:val="yellow"/>
        </w:rPr>
        <w:t xml:space="preserve">revises the simplified Type A procedures in the regulations for conducting natural resource damage assessments for hazardous substance releases.  Additionally, this final rule includes several conforming changes and corrections intended to fix citations, provide for consistent use of terminology, and remove outdated or duplicative rule provisions and definitions. </w:t>
      </w:r>
      <w:r w:rsidR="00087519">
        <w:rPr>
          <w:rFonts w:ascii="Arial" w:hAnsi="Arial" w:cs="Arial"/>
          <w:bCs/>
          <w:sz w:val="22"/>
          <w:szCs w:val="22"/>
          <w:highlight w:val="yellow"/>
        </w:rPr>
        <w:t xml:space="preserve"> </w:t>
      </w:r>
      <w:r w:rsidRPr="00087519" w:rsidR="00087519">
        <w:rPr>
          <w:rFonts w:ascii="Arial" w:hAnsi="Arial" w:cs="Arial"/>
          <w:bCs/>
          <w:sz w:val="22"/>
          <w:szCs w:val="22"/>
          <w:highlight w:val="yellow"/>
        </w:rPr>
        <w:t>The Department of the Interior (Interior) is removing provisions that it believes are no longer applicable, clarifying other provisions by incorporating language that would implement existing Interior regulatory interpretations, and making other changes and corrections.  These revisions also allow for the regulations to meet information collection requirements mandated by the Office of Management and Budget.</w:t>
      </w:r>
    </w:p>
    <w:p w:rsidR="00FE1BFC" w:rsidP="00963134" w14:paraId="398F5694" w14:textId="77777777">
      <w:pPr>
        <w:rPr>
          <w:rFonts w:ascii="Arial" w:hAnsi="Arial" w:cs="Arial"/>
          <w:bCs/>
          <w:sz w:val="22"/>
          <w:szCs w:val="22"/>
        </w:rPr>
      </w:pPr>
    </w:p>
    <w:p w:rsidR="00295103" w:rsidRPr="00B50214" w:rsidP="00280EE3" w14:paraId="1994D7CB" w14:textId="77777777">
      <w:pPr>
        <w:pStyle w:val="Heading1"/>
      </w:pPr>
      <w:r w:rsidRPr="00B50214">
        <w:t>2.</w:t>
      </w:r>
      <w:r w:rsidRPr="00B50214">
        <w:tab/>
        <w:t xml:space="preserve">Indicate how, by whom, and for what purpose the information is to be used.  Except for a new collection, indicate the actual use the agency has made of the information received from the current collection. </w:t>
      </w:r>
      <w:r w:rsidRPr="00B50214" w:rsidR="00DE1FFE">
        <w:t xml:space="preserve"> </w:t>
      </w:r>
      <w:r w:rsidRPr="00B50214">
        <w:t xml:space="preserve">Be specific.  If this collection is a form or a questionnaire, every </w:t>
      </w:r>
      <w:r w:rsidRPr="00B50214" w:rsidR="00DE1FFE">
        <w:t>question needs to be justified.</w:t>
      </w:r>
    </w:p>
    <w:p w:rsidR="00295103" w:rsidRPr="00B50214" w:rsidP="006319A2" w14:paraId="7E27489B" w14:textId="77777777">
      <w:pPr>
        <w:tabs>
          <w:tab w:val="left" w:pos="360"/>
          <w:tab w:val="left" w:pos="720"/>
        </w:tabs>
        <w:rPr>
          <w:rFonts w:ascii="Arial" w:hAnsi="Arial" w:cs="Arial"/>
          <w:sz w:val="22"/>
          <w:szCs w:val="22"/>
        </w:rPr>
      </w:pPr>
    </w:p>
    <w:p w:rsidR="00DB0374" w:rsidRPr="008B6F31" w:rsidP="00DB0374" w14:paraId="3732821E" w14:textId="2DC15B31">
      <w:pPr>
        <w:tabs>
          <w:tab w:val="left" w:pos="-1080"/>
          <w:tab w:val="left" w:pos="-720"/>
          <w:tab w:val="left" w:pos="360"/>
          <w:tab w:val="left" w:pos="720"/>
        </w:tabs>
        <w:rPr>
          <w:rFonts w:ascii="Arial" w:hAnsi="Arial" w:cs="Arial"/>
          <w:sz w:val="22"/>
          <w:szCs w:val="22"/>
        </w:rPr>
      </w:pPr>
      <w:r w:rsidRPr="008B6F31">
        <w:rPr>
          <w:rFonts w:ascii="Arial" w:hAnsi="Arial" w:cs="Arial"/>
          <w:sz w:val="22"/>
          <w:szCs w:val="22"/>
        </w:rPr>
        <w:t>The information collection burden in NRDAR is on Trustees and their consultants to produce the documents in Table 2.1.</w:t>
      </w:r>
      <w:r>
        <w:rPr>
          <w:rFonts w:ascii="Arial" w:hAnsi="Arial" w:cs="Arial"/>
          <w:sz w:val="22"/>
          <w:szCs w:val="22"/>
        </w:rPr>
        <w:t xml:space="preserve">  Again, NRDAR is discretionary and the goal is restoration.  The pursuit of settlement with reasonable assessment costs means not all of these documents may be produced, or some will be combined.  </w:t>
      </w:r>
      <w:r w:rsidRPr="008B6F31">
        <w:rPr>
          <w:rFonts w:ascii="Arial" w:hAnsi="Arial" w:cs="Arial"/>
          <w:sz w:val="22"/>
          <w:szCs w:val="22"/>
        </w:rPr>
        <w:t>The PRP burden depends on the extent they decide to engage cooperatively or conduct independent review and comment.</w:t>
      </w:r>
      <w:r>
        <w:rPr>
          <w:rFonts w:ascii="Arial" w:hAnsi="Arial" w:cs="Arial"/>
          <w:sz w:val="22"/>
          <w:szCs w:val="22"/>
        </w:rPr>
        <w:t xml:space="preserve">  </w:t>
      </w:r>
      <w:r w:rsidRPr="008B6F31">
        <w:rPr>
          <w:rFonts w:ascii="Arial" w:hAnsi="Arial" w:cs="Arial"/>
          <w:sz w:val="22"/>
          <w:szCs w:val="22"/>
        </w:rPr>
        <w:t>Trustees must invite the PRPs to participate in NRDAR and offer the opportunity for cooperative assessment (</w:t>
      </w:r>
      <w:hyperlink r:id="rId9" w:anchor="p-11.32(a)(2)(iii)" w:history="1">
        <w:r w:rsidRPr="008B6F31">
          <w:rPr>
            <w:rStyle w:val="Hyperlink"/>
            <w:rFonts w:ascii="Arial" w:hAnsi="Arial" w:cs="Arial"/>
            <w:sz w:val="22"/>
            <w:szCs w:val="22"/>
          </w:rPr>
          <w:t>43 CFR 11.32</w:t>
        </w:r>
      </w:hyperlink>
      <w:r w:rsidRPr="008B6F31">
        <w:rPr>
          <w:rFonts w:ascii="Arial" w:hAnsi="Arial" w:cs="Arial"/>
          <w:sz w:val="22"/>
          <w:szCs w:val="22"/>
        </w:rPr>
        <w:t xml:space="preserve">(2)(iii)). </w:t>
      </w:r>
    </w:p>
    <w:p w:rsidR="00DB0374" w:rsidRPr="00FA14F6" w:rsidP="00DB0374" w14:paraId="27B682DB" w14:textId="77777777">
      <w:pPr>
        <w:tabs>
          <w:tab w:val="left" w:pos="-1080"/>
          <w:tab w:val="left" w:pos="-720"/>
          <w:tab w:val="left" w:pos="360"/>
          <w:tab w:val="left" w:pos="720"/>
        </w:tabs>
        <w:rPr>
          <w:rFonts w:ascii="Arial" w:hAnsi="Arial" w:cs="Arial"/>
          <w:sz w:val="22"/>
          <w:szCs w:val="22"/>
        </w:rPr>
      </w:pPr>
    </w:p>
    <w:p w:rsidR="00DB0374" w:rsidP="00DB0374" w14:paraId="1FC6C9C0" w14:textId="4817C07E">
      <w:pPr>
        <w:tabs>
          <w:tab w:val="left" w:pos="-1080"/>
          <w:tab w:val="left" w:pos="-720"/>
          <w:tab w:val="left" w:pos="360"/>
          <w:tab w:val="left" w:pos="720"/>
        </w:tabs>
        <w:rPr>
          <w:rFonts w:ascii="Arial" w:hAnsi="Arial" w:cs="Arial"/>
          <w:bCs/>
          <w:sz w:val="22"/>
          <w:szCs w:val="22"/>
        </w:rPr>
      </w:pPr>
      <w:r>
        <w:rPr>
          <w:rFonts w:ascii="Arial" w:hAnsi="Arial" w:cs="Arial"/>
          <w:bCs/>
          <w:sz w:val="22"/>
          <w:szCs w:val="22"/>
        </w:rPr>
        <w:t xml:space="preserve">The Trustees and their consultants conduct the information collection and documentation </w:t>
      </w:r>
      <w:r w:rsidRPr="00200496">
        <w:rPr>
          <w:rFonts w:ascii="Arial" w:hAnsi="Arial" w:cs="Arial"/>
          <w:bCs/>
          <w:sz w:val="22"/>
          <w:szCs w:val="22"/>
        </w:rPr>
        <w:t>described in this supporting statement</w:t>
      </w:r>
      <w:r>
        <w:rPr>
          <w:rFonts w:ascii="Arial" w:hAnsi="Arial" w:cs="Arial"/>
          <w:bCs/>
          <w:sz w:val="22"/>
          <w:szCs w:val="22"/>
        </w:rPr>
        <w:t xml:space="preserve">. </w:t>
      </w:r>
      <w:r w:rsidRPr="008B6F31">
        <w:rPr>
          <w:rFonts w:ascii="Arial" w:hAnsi="Arial" w:cs="Arial"/>
          <w:bCs/>
          <w:sz w:val="22"/>
          <w:szCs w:val="22"/>
        </w:rPr>
        <w:t xml:space="preserve"> </w:t>
      </w:r>
      <w:r>
        <w:rPr>
          <w:rFonts w:ascii="Arial" w:hAnsi="Arial" w:cs="Arial"/>
          <w:bCs/>
          <w:sz w:val="22"/>
          <w:szCs w:val="22"/>
        </w:rPr>
        <w:t>This ICR</w:t>
      </w:r>
      <w:r w:rsidRPr="00200496">
        <w:rPr>
          <w:rFonts w:ascii="Arial" w:hAnsi="Arial" w:cs="Arial"/>
          <w:bCs/>
          <w:sz w:val="22"/>
          <w:szCs w:val="22"/>
        </w:rPr>
        <w:t xml:space="preserve"> </w:t>
      </w:r>
      <w:r>
        <w:rPr>
          <w:rFonts w:ascii="Arial" w:hAnsi="Arial" w:cs="Arial"/>
          <w:bCs/>
          <w:sz w:val="22"/>
          <w:szCs w:val="22"/>
        </w:rPr>
        <w:t>is</w:t>
      </w:r>
      <w:r w:rsidRPr="00200496">
        <w:rPr>
          <w:rFonts w:ascii="Arial" w:hAnsi="Arial" w:cs="Arial"/>
          <w:bCs/>
          <w:sz w:val="22"/>
          <w:szCs w:val="22"/>
        </w:rPr>
        <w:t xml:space="preserve"> necessary</w:t>
      </w:r>
      <w:r>
        <w:rPr>
          <w:rFonts w:ascii="Arial" w:hAnsi="Arial" w:cs="Arial"/>
          <w:bCs/>
          <w:sz w:val="22"/>
          <w:szCs w:val="22"/>
        </w:rPr>
        <w:t xml:space="preserve"> to obtain a rebuttable </w:t>
      </w:r>
      <w:r>
        <w:rPr>
          <w:rFonts w:ascii="Arial" w:hAnsi="Arial" w:cs="Arial"/>
          <w:bCs/>
          <w:sz w:val="22"/>
          <w:szCs w:val="22"/>
        </w:rPr>
        <w:t>presumption under CERCLA a</w:t>
      </w:r>
      <w:bookmarkStart w:id="3" w:name="_Hlk138837509"/>
      <w:r>
        <w:rPr>
          <w:rFonts w:ascii="Arial" w:hAnsi="Arial" w:cs="Arial"/>
          <w:bCs/>
          <w:sz w:val="22"/>
          <w:szCs w:val="22"/>
        </w:rPr>
        <w:t>nd the NRDAR regulations (</w:t>
      </w:r>
      <w:bookmarkEnd w:id="3"/>
      <w:hyperlink r:id="rId10" w:history="1">
        <w:r w:rsidRPr="0060787C">
          <w:rPr>
            <w:rStyle w:val="Hyperlink"/>
            <w:rFonts w:ascii="Arial" w:hAnsi="Arial" w:cs="Arial"/>
            <w:bCs/>
            <w:sz w:val="22"/>
            <w:szCs w:val="22"/>
          </w:rPr>
          <w:t>43 CFR Part 11</w:t>
        </w:r>
      </w:hyperlink>
      <w:r>
        <w:rPr>
          <w:rStyle w:val="Hyperlink"/>
          <w:rFonts w:ascii="Arial" w:hAnsi="Arial" w:cs="Arial"/>
          <w:bCs/>
          <w:sz w:val="22"/>
          <w:szCs w:val="22"/>
        </w:rPr>
        <w:t>)</w:t>
      </w:r>
      <w:r>
        <w:rPr>
          <w:rFonts w:ascii="Arial" w:hAnsi="Arial" w:cs="Arial"/>
          <w:bCs/>
          <w:sz w:val="22"/>
          <w:szCs w:val="22"/>
        </w:rPr>
        <w:t xml:space="preserve">. </w:t>
      </w:r>
      <w:r w:rsidRPr="008B6F31">
        <w:rPr>
          <w:rFonts w:ascii="Arial" w:hAnsi="Arial" w:cs="Arial"/>
          <w:bCs/>
          <w:sz w:val="22"/>
          <w:szCs w:val="22"/>
        </w:rPr>
        <w:t xml:space="preserve"> </w:t>
      </w:r>
      <w:r>
        <w:rPr>
          <w:rFonts w:ascii="Arial" w:hAnsi="Arial" w:cs="Arial"/>
          <w:bCs/>
          <w:sz w:val="22"/>
          <w:szCs w:val="22"/>
        </w:rPr>
        <w:t xml:space="preserve">Although ORDA offers Trustees a number of examples and checklists for producing information, there are no one-size-fits-all templates in NRDAR. </w:t>
      </w:r>
      <w:r w:rsidRPr="008B6F31">
        <w:rPr>
          <w:rFonts w:ascii="Arial" w:hAnsi="Arial" w:cs="Arial"/>
          <w:bCs/>
          <w:sz w:val="22"/>
          <w:szCs w:val="22"/>
        </w:rPr>
        <w:t xml:space="preserve"> </w:t>
      </w:r>
      <w:r>
        <w:rPr>
          <w:rFonts w:ascii="Arial" w:hAnsi="Arial" w:cs="Arial"/>
          <w:bCs/>
          <w:sz w:val="22"/>
          <w:szCs w:val="22"/>
        </w:rPr>
        <w:t>The information collected and documented in NRDAR by Trustees, as authorized by CERCLA, is summarized in Table 2.1.</w:t>
      </w:r>
    </w:p>
    <w:p w:rsidR="00DB0374" w:rsidP="00DB0374" w14:paraId="28369B73" w14:textId="77777777">
      <w:pPr>
        <w:tabs>
          <w:tab w:val="left" w:pos="-1080"/>
          <w:tab w:val="left" w:pos="-720"/>
          <w:tab w:val="left" w:pos="360"/>
          <w:tab w:val="left" w:pos="720"/>
        </w:tabs>
        <w:rPr>
          <w:rFonts w:ascii="Arial" w:hAnsi="Arial" w:cs="Arial"/>
          <w:bCs/>
          <w:sz w:val="22"/>
          <w:szCs w:val="22"/>
        </w:rPr>
      </w:pPr>
    </w:p>
    <w:p w:rsidR="00251281" w:rsidP="006319A2" w14:paraId="4419558C" w14:textId="3C12C6C1">
      <w:pPr>
        <w:tabs>
          <w:tab w:val="left" w:pos="360"/>
          <w:tab w:val="left" w:pos="720"/>
        </w:tabs>
        <w:rPr>
          <w:rFonts w:ascii="Arial" w:hAnsi="Arial" w:cs="Arial"/>
          <w:sz w:val="22"/>
          <w:szCs w:val="22"/>
        </w:rPr>
      </w:pPr>
      <w:r>
        <w:rPr>
          <w:rFonts w:ascii="Arial" w:hAnsi="Arial" w:cs="Arial"/>
          <w:sz w:val="22"/>
          <w:szCs w:val="22"/>
        </w:rPr>
        <w:t>The information collection requirements</w:t>
      </w:r>
      <w:r w:rsidR="00DB0374">
        <w:rPr>
          <w:rFonts w:ascii="Arial" w:hAnsi="Arial" w:cs="Arial"/>
          <w:sz w:val="22"/>
          <w:szCs w:val="22"/>
        </w:rPr>
        <w:t xml:space="preserve"> (described below)</w:t>
      </w:r>
      <w:r>
        <w:rPr>
          <w:rFonts w:ascii="Arial" w:hAnsi="Arial" w:cs="Arial"/>
          <w:sz w:val="22"/>
          <w:szCs w:val="22"/>
        </w:rPr>
        <w:t xml:space="preserve"> contained in 43 CFR Part 11 applicable to State and Tribal respondents include</w:t>
      </w:r>
      <w:r w:rsidR="0023693D">
        <w:rPr>
          <w:rFonts w:ascii="Arial" w:hAnsi="Arial" w:cs="Arial"/>
          <w:sz w:val="22"/>
          <w:szCs w:val="22"/>
        </w:rPr>
        <w:t xml:space="preserve"> (labeled as either </w:t>
      </w:r>
      <w:r w:rsidR="004D31F7">
        <w:rPr>
          <w:rFonts w:ascii="Arial" w:hAnsi="Arial" w:cs="Arial"/>
          <w:sz w:val="22"/>
          <w:szCs w:val="22"/>
        </w:rPr>
        <w:t xml:space="preserve">modified or </w:t>
      </w:r>
      <w:r w:rsidR="0023693D">
        <w:rPr>
          <w:rFonts w:ascii="Arial" w:hAnsi="Arial" w:cs="Arial"/>
          <w:sz w:val="22"/>
          <w:szCs w:val="22"/>
        </w:rPr>
        <w:t>existing in rulemaking)</w:t>
      </w:r>
      <w:r>
        <w:rPr>
          <w:rFonts w:ascii="Arial" w:hAnsi="Arial" w:cs="Arial"/>
          <w:sz w:val="22"/>
          <w:szCs w:val="22"/>
        </w:rPr>
        <w:t>:</w:t>
      </w:r>
    </w:p>
    <w:p w:rsidR="00BD4A29" w:rsidP="00BE3754" w14:paraId="3DEADE74" w14:textId="49AF040F">
      <w:pPr>
        <w:tabs>
          <w:tab w:val="left" w:pos="360"/>
          <w:tab w:val="left" w:pos="720"/>
        </w:tabs>
        <w:rPr>
          <w:rFonts w:ascii="Arial" w:hAnsi="Arial" w:cs="Arial"/>
          <w:sz w:val="22"/>
          <w:szCs w:val="22"/>
        </w:rPr>
      </w:pPr>
    </w:p>
    <w:p w:rsidR="002C766D" w:rsidRPr="00CE52DA" w:rsidP="5DA4A7E8" w14:paraId="3ED1F72F" w14:textId="0E208204">
      <w:pPr>
        <w:tabs>
          <w:tab w:val="left" w:pos="360"/>
          <w:tab w:val="left" w:pos="720"/>
        </w:tabs>
        <w:rPr>
          <w:rFonts w:ascii="Arial" w:hAnsi="Arial" w:cs="Arial"/>
          <w:b/>
          <w:i/>
          <w:color w:val="C00000"/>
          <w:sz w:val="22"/>
          <w:szCs w:val="22"/>
        </w:rPr>
      </w:pPr>
      <w:r>
        <w:rPr>
          <w:rFonts w:ascii="Arial" w:hAnsi="Arial" w:cs="Arial"/>
          <w:b/>
          <w:sz w:val="22"/>
          <w:szCs w:val="22"/>
          <w:u w:val="single"/>
        </w:rPr>
        <w:t>TYPE A REPORT</w:t>
      </w:r>
      <w:r w:rsidRPr="006E5346">
        <w:rPr>
          <w:rFonts w:ascii="Arial" w:hAnsi="Arial" w:cs="Arial"/>
          <w:b/>
          <w:sz w:val="22"/>
          <w:szCs w:val="22"/>
        </w:rPr>
        <w:t xml:space="preserve"> </w:t>
      </w:r>
      <w:r w:rsidRPr="006E5346">
        <w:rPr>
          <w:rFonts w:ascii="Arial" w:hAnsi="Arial" w:cs="Arial"/>
          <w:b/>
          <w:i/>
          <w:sz w:val="22"/>
          <w:szCs w:val="22"/>
        </w:rPr>
        <w:t>§ 11.</w:t>
      </w:r>
      <w:r w:rsidRPr="00FA4E5C">
        <w:rPr>
          <w:rFonts w:ascii="Arial" w:hAnsi="Arial" w:cs="Arial"/>
          <w:b/>
          <w:i/>
          <w:sz w:val="22"/>
          <w:szCs w:val="22"/>
        </w:rPr>
        <w:t>4</w:t>
      </w:r>
      <w:r w:rsidRPr="00FA4E5C" w:rsidR="00BD4A29">
        <w:rPr>
          <w:rFonts w:ascii="Arial" w:hAnsi="Arial" w:cs="Arial"/>
          <w:b/>
          <w:i/>
          <w:sz w:val="22"/>
          <w:szCs w:val="22"/>
        </w:rPr>
        <w:t>1</w:t>
      </w:r>
      <w:r w:rsidRPr="00EB19B0" w:rsidR="00C2689F">
        <w:rPr>
          <w:rFonts w:ascii="Arial" w:hAnsi="Arial" w:cs="Arial"/>
          <w:b/>
          <w:i/>
          <w:sz w:val="22"/>
          <w:szCs w:val="22"/>
        </w:rPr>
        <w:t xml:space="preserve"> - § </w:t>
      </w:r>
      <w:r w:rsidRPr="00FA4E5C" w:rsidR="00C2689F">
        <w:rPr>
          <w:rFonts w:ascii="Arial" w:hAnsi="Arial" w:cs="Arial"/>
          <w:b/>
          <w:i/>
          <w:sz w:val="22"/>
          <w:szCs w:val="22"/>
        </w:rPr>
        <w:t>11.43</w:t>
      </w:r>
    </w:p>
    <w:p w:rsidR="002251F0" w:rsidRPr="008F0A28" w:rsidP="5DA4A7E8" w14:paraId="1BD97366" w14:textId="45F043F6">
      <w:pPr>
        <w:tabs>
          <w:tab w:val="left" w:pos="360"/>
          <w:tab w:val="left" w:pos="720"/>
        </w:tabs>
        <w:rPr>
          <w:rFonts w:ascii="Arial" w:hAnsi="Arial" w:cs="Arial"/>
          <w:sz w:val="22"/>
          <w:szCs w:val="22"/>
        </w:rPr>
      </w:pPr>
      <w:bookmarkStart w:id="4" w:name="_Hlk146096334"/>
      <w:r w:rsidRPr="008F0A28">
        <w:rPr>
          <w:rFonts w:ascii="Arial" w:hAnsi="Arial" w:cs="Arial"/>
          <w:sz w:val="22"/>
          <w:szCs w:val="22"/>
        </w:rPr>
        <w:t xml:space="preserve">If a Type A is used, the </w:t>
      </w:r>
      <w:r w:rsidR="00D670E6">
        <w:rPr>
          <w:rFonts w:ascii="Arial" w:hAnsi="Arial" w:cs="Arial"/>
          <w:sz w:val="22"/>
          <w:szCs w:val="22"/>
        </w:rPr>
        <w:t>r</w:t>
      </w:r>
      <w:r w:rsidRPr="008F0A28" w:rsidR="00D670E6">
        <w:rPr>
          <w:rFonts w:ascii="Arial" w:hAnsi="Arial" w:cs="Arial"/>
          <w:sz w:val="22"/>
          <w:szCs w:val="22"/>
        </w:rPr>
        <w:t xml:space="preserve">eport </w:t>
      </w:r>
      <w:r w:rsidRPr="008F0A28">
        <w:rPr>
          <w:rFonts w:ascii="Arial" w:hAnsi="Arial" w:cs="Arial"/>
          <w:sz w:val="22"/>
          <w:szCs w:val="22"/>
        </w:rPr>
        <w:t>already must include the information specified in subpart D</w:t>
      </w:r>
      <w:r w:rsidRPr="19309CCD" w:rsidR="0090248D">
        <w:rPr>
          <w:rFonts w:ascii="Arial" w:hAnsi="Arial" w:cs="Arial"/>
          <w:sz w:val="22"/>
          <w:szCs w:val="22"/>
        </w:rPr>
        <w:t xml:space="preserve"> </w:t>
      </w:r>
      <w:bookmarkStart w:id="5" w:name="_Hlk146624266"/>
      <w:r w:rsidRPr="008D0359" w:rsidR="0090248D">
        <w:rPr>
          <w:rFonts w:ascii="Arial" w:hAnsi="Arial" w:cs="Arial"/>
          <w:sz w:val="22"/>
          <w:szCs w:val="22"/>
        </w:rPr>
        <w:t>(</w:t>
      </w:r>
      <w:r w:rsidRPr="008D0359" w:rsidR="00FB123C">
        <w:rPr>
          <w:rStyle w:val="Hyperlink"/>
          <w:rFonts w:ascii="Arial" w:hAnsi="Arial" w:cs="Arial"/>
          <w:color w:val="auto"/>
          <w:sz w:val="22"/>
          <w:szCs w:val="22"/>
          <w:u w:val="none"/>
        </w:rPr>
        <w:t>43 CFR 11.90(b</w:t>
      </w:r>
      <w:r w:rsidRPr="008D0359" w:rsidR="0090248D">
        <w:rPr>
          <w:rFonts w:ascii="Arial" w:hAnsi="Arial" w:cs="Arial"/>
          <w:sz w:val="22"/>
          <w:szCs w:val="22"/>
        </w:rPr>
        <w:t>))</w:t>
      </w:r>
      <w:bookmarkEnd w:id="5"/>
      <w:r w:rsidRPr="008D0359">
        <w:rPr>
          <w:rFonts w:ascii="Arial" w:hAnsi="Arial" w:cs="Arial"/>
          <w:sz w:val="22"/>
          <w:szCs w:val="22"/>
        </w:rPr>
        <w:t xml:space="preserve">. </w:t>
      </w:r>
      <w:r w:rsidRPr="008F0A28">
        <w:rPr>
          <w:rFonts w:ascii="Arial" w:hAnsi="Arial" w:cs="Arial"/>
          <w:sz w:val="22"/>
          <w:szCs w:val="22"/>
        </w:rPr>
        <w:t>Th</w:t>
      </w:r>
      <w:r w:rsidR="00A02C9F">
        <w:rPr>
          <w:rFonts w:ascii="Arial" w:hAnsi="Arial" w:cs="Arial"/>
          <w:sz w:val="22"/>
          <w:szCs w:val="22"/>
        </w:rPr>
        <w:t>is rulemaking</w:t>
      </w:r>
      <w:r w:rsidRPr="008F0A28">
        <w:rPr>
          <w:rFonts w:ascii="Arial" w:hAnsi="Arial" w:cs="Arial"/>
          <w:sz w:val="22"/>
          <w:szCs w:val="22"/>
        </w:rPr>
        <w:t xml:space="preserve"> seek</w:t>
      </w:r>
      <w:r w:rsidR="00A02C9F">
        <w:rPr>
          <w:rFonts w:ascii="Arial" w:hAnsi="Arial" w:cs="Arial"/>
          <w:sz w:val="22"/>
          <w:szCs w:val="22"/>
        </w:rPr>
        <w:t>s</w:t>
      </w:r>
      <w:r w:rsidRPr="008F0A28">
        <w:rPr>
          <w:rFonts w:ascii="Arial" w:hAnsi="Arial" w:cs="Arial"/>
          <w:sz w:val="22"/>
          <w:szCs w:val="22"/>
        </w:rPr>
        <w:t xml:space="preserve"> to clarify the content of the Type A Report based on the proposed changes.</w:t>
      </w:r>
      <w:bookmarkEnd w:id="4"/>
      <w:r>
        <w:rPr>
          <w:rFonts w:ascii="Arial" w:hAnsi="Arial" w:cs="Arial"/>
          <w:sz w:val="22"/>
          <w:szCs w:val="22"/>
        </w:rPr>
        <w:t xml:space="preserve">  </w:t>
      </w:r>
      <w:bookmarkStart w:id="6" w:name="_Hlk146096497"/>
      <w:r w:rsidRPr="00BD4A29" w:rsidR="003D6CB7">
        <w:rPr>
          <w:rFonts w:ascii="Arial" w:hAnsi="Arial" w:cs="Arial"/>
          <w:sz w:val="22"/>
          <w:szCs w:val="22"/>
        </w:rPr>
        <w:t>The Type A report must be made available to the public and provide for a comment period of at least 30 days.</w:t>
      </w:r>
      <w:bookmarkEnd w:id="6"/>
      <w:r w:rsidR="003D6CB7">
        <w:rPr>
          <w:rFonts w:ascii="Arial" w:hAnsi="Arial" w:cs="Arial"/>
          <w:sz w:val="22"/>
          <w:szCs w:val="22"/>
        </w:rPr>
        <w:t xml:space="preserve">  </w:t>
      </w:r>
    </w:p>
    <w:p w:rsidR="008F0A28" w:rsidP="5DA4A7E8" w14:paraId="034D87FE" w14:textId="77777777">
      <w:pPr>
        <w:tabs>
          <w:tab w:val="left" w:pos="360"/>
          <w:tab w:val="left" w:pos="720"/>
        </w:tabs>
        <w:rPr>
          <w:rFonts w:ascii="Arial" w:hAnsi="Arial" w:cs="Arial"/>
          <w:sz w:val="22"/>
          <w:szCs w:val="22"/>
          <w:highlight w:val="yellow"/>
        </w:rPr>
      </w:pPr>
    </w:p>
    <w:p w:rsidR="0092768D" w:rsidRPr="00EB19B0" w:rsidP="00EB19B0" w14:paraId="169D53AB" w14:textId="7F1E88F0">
      <w:pPr>
        <w:tabs>
          <w:tab w:val="left" w:pos="360"/>
          <w:tab w:val="left" w:pos="720"/>
        </w:tabs>
        <w:ind w:left="450" w:hanging="90"/>
        <w:rPr>
          <w:rFonts w:ascii="Arial" w:hAnsi="Arial" w:cs="Arial"/>
          <w:b/>
          <w:sz w:val="22"/>
          <w:szCs w:val="22"/>
          <w:u w:val="single"/>
        </w:rPr>
      </w:pPr>
      <w:r w:rsidRPr="00EB19B0">
        <w:rPr>
          <w:rFonts w:ascii="Arial" w:hAnsi="Arial" w:cs="Arial"/>
          <w:b/>
          <w:bCs/>
          <w:sz w:val="22"/>
          <w:szCs w:val="22"/>
          <w:u w:val="single"/>
        </w:rPr>
        <w:t>Information</w:t>
      </w:r>
      <w:r w:rsidRPr="00EB19B0" w:rsidR="00325886">
        <w:rPr>
          <w:rFonts w:ascii="Arial" w:hAnsi="Arial" w:cs="Arial"/>
          <w:b/>
          <w:bCs/>
          <w:sz w:val="22"/>
          <w:szCs w:val="22"/>
          <w:u w:val="single"/>
        </w:rPr>
        <w:t xml:space="preserve"> in Type A Report</w:t>
      </w:r>
    </w:p>
    <w:p w:rsidR="00BD4A29" w:rsidRPr="00BD4A29" w:rsidP="00BD4A29" w14:paraId="6E27DF4A" w14:textId="67B07851">
      <w:pPr>
        <w:tabs>
          <w:tab w:val="left" w:pos="360"/>
          <w:tab w:val="left" w:pos="720"/>
        </w:tabs>
        <w:ind w:left="720" w:hanging="360"/>
        <w:rPr>
          <w:rFonts w:ascii="Arial" w:hAnsi="Arial" w:cs="Arial"/>
          <w:sz w:val="22"/>
          <w:szCs w:val="22"/>
        </w:rPr>
      </w:pPr>
      <w:bookmarkStart w:id="7" w:name="_Hlk146624435"/>
      <w:r w:rsidRPr="00BD4A29">
        <w:rPr>
          <w:rFonts w:ascii="Arial" w:hAnsi="Arial" w:cs="Arial"/>
          <w:sz w:val="22"/>
          <w:szCs w:val="22"/>
        </w:rPr>
        <w:t>(a)</w:t>
      </w:r>
      <w:r>
        <w:rPr>
          <w:rFonts w:ascii="Arial" w:hAnsi="Arial" w:cs="Arial"/>
          <w:sz w:val="22"/>
          <w:szCs w:val="22"/>
        </w:rPr>
        <w:tab/>
      </w:r>
      <w:r w:rsidRPr="00BD4A29">
        <w:rPr>
          <w:rFonts w:ascii="Arial" w:hAnsi="Arial" w:cs="Arial"/>
          <w:sz w:val="22"/>
          <w:szCs w:val="22"/>
        </w:rPr>
        <w:t>The Type A Report is a document to provide the public with notice of, and an opportunity to comment on, the use of the Type A Procedure.</w:t>
      </w:r>
    </w:p>
    <w:p w:rsidR="00BD4A29" w:rsidRPr="00BD4A29" w:rsidP="00BD4A29" w14:paraId="0AAE119F" w14:textId="672EF1B6">
      <w:pPr>
        <w:tabs>
          <w:tab w:val="left" w:pos="360"/>
          <w:tab w:val="left" w:pos="720"/>
        </w:tabs>
        <w:ind w:left="720" w:hanging="360"/>
        <w:rPr>
          <w:rFonts w:ascii="Arial" w:hAnsi="Arial" w:cs="Arial"/>
          <w:sz w:val="22"/>
          <w:szCs w:val="22"/>
        </w:rPr>
      </w:pPr>
      <w:r w:rsidRPr="00BD4A29">
        <w:rPr>
          <w:rFonts w:ascii="Arial" w:hAnsi="Arial" w:cs="Arial"/>
          <w:sz w:val="22"/>
          <w:szCs w:val="22"/>
        </w:rPr>
        <w:t>(b)</w:t>
      </w:r>
      <w:r>
        <w:rPr>
          <w:rFonts w:ascii="Arial" w:hAnsi="Arial" w:cs="Arial"/>
          <w:sz w:val="22"/>
          <w:szCs w:val="22"/>
        </w:rPr>
        <w:tab/>
      </w:r>
      <w:r w:rsidRPr="00BD4A29">
        <w:rPr>
          <w:rFonts w:ascii="Arial" w:hAnsi="Arial" w:cs="Arial"/>
          <w:sz w:val="22"/>
          <w:szCs w:val="22"/>
        </w:rPr>
        <w:t>The Type A Report must:</w:t>
      </w:r>
    </w:p>
    <w:p w:rsidR="00BD4A29" w:rsidRPr="00BD4A29" w:rsidP="00E64563" w14:paraId="52E6BE6D" w14:textId="16259407">
      <w:pPr>
        <w:tabs>
          <w:tab w:val="left" w:pos="360"/>
          <w:tab w:val="left" w:pos="720"/>
        </w:tabs>
        <w:ind w:left="1440" w:hanging="360"/>
        <w:rPr>
          <w:rFonts w:ascii="Arial" w:hAnsi="Arial" w:cs="Arial"/>
          <w:sz w:val="22"/>
          <w:szCs w:val="22"/>
        </w:rPr>
      </w:pPr>
      <w:r w:rsidRPr="00BD4A29">
        <w:rPr>
          <w:rFonts w:ascii="Arial" w:hAnsi="Arial" w:cs="Arial"/>
          <w:sz w:val="22"/>
          <w:szCs w:val="22"/>
        </w:rPr>
        <w:t>(1)</w:t>
      </w:r>
      <w:r>
        <w:rPr>
          <w:rFonts w:ascii="Arial" w:hAnsi="Arial" w:cs="Arial"/>
          <w:sz w:val="22"/>
          <w:szCs w:val="22"/>
        </w:rPr>
        <w:tab/>
      </w:r>
      <w:r w:rsidRPr="00BD4A29">
        <w:rPr>
          <w:rFonts w:ascii="Arial" w:hAnsi="Arial" w:cs="Arial"/>
          <w:sz w:val="22"/>
          <w:szCs w:val="22"/>
        </w:rPr>
        <w:t>State that the Trustee is following this rule and provide a citation to the rule;</w:t>
      </w:r>
    </w:p>
    <w:p w:rsidR="00BD4A29" w:rsidRPr="00BD4A29" w:rsidP="00E64563" w14:paraId="7924483E" w14:textId="088517A7">
      <w:pPr>
        <w:tabs>
          <w:tab w:val="left" w:pos="360"/>
          <w:tab w:val="left" w:pos="720"/>
        </w:tabs>
        <w:ind w:left="1440" w:hanging="360"/>
        <w:rPr>
          <w:rFonts w:ascii="Arial" w:hAnsi="Arial" w:cs="Arial"/>
          <w:sz w:val="22"/>
          <w:szCs w:val="22"/>
        </w:rPr>
      </w:pPr>
      <w:r w:rsidRPr="00BD4A29">
        <w:rPr>
          <w:rFonts w:ascii="Arial" w:hAnsi="Arial" w:cs="Arial"/>
          <w:sz w:val="22"/>
          <w:szCs w:val="22"/>
        </w:rPr>
        <w:t>(2)</w:t>
      </w:r>
      <w:r>
        <w:rPr>
          <w:rFonts w:ascii="Arial" w:hAnsi="Arial" w:cs="Arial"/>
          <w:sz w:val="22"/>
          <w:szCs w:val="22"/>
        </w:rPr>
        <w:tab/>
      </w:r>
      <w:r w:rsidRPr="00BD4A29">
        <w:rPr>
          <w:rFonts w:ascii="Arial" w:hAnsi="Arial" w:cs="Arial"/>
          <w:sz w:val="22"/>
          <w:szCs w:val="22"/>
        </w:rPr>
        <w:t>Explain the basis for concluding that conditions for pursuing an assessment were met;</w:t>
      </w:r>
    </w:p>
    <w:p w:rsidR="00BD4A29" w:rsidRPr="00BD4A29" w:rsidP="00E64563" w14:paraId="7FF45AE5" w14:textId="2FB43D65">
      <w:pPr>
        <w:tabs>
          <w:tab w:val="left" w:pos="360"/>
          <w:tab w:val="left" w:pos="720"/>
        </w:tabs>
        <w:ind w:left="1440" w:hanging="360"/>
        <w:rPr>
          <w:rFonts w:ascii="Arial" w:hAnsi="Arial" w:cs="Arial"/>
          <w:sz w:val="22"/>
          <w:szCs w:val="22"/>
        </w:rPr>
      </w:pPr>
      <w:r w:rsidRPr="00BD4A29">
        <w:rPr>
          <w:rFonts w:ascii="Arial" w:hAnsi="Arial" w:cs="Arial"/>
          <w:sz w:val="22"/>
          <w:szCs w:val="22"/>
        </w:rPr>
        <w:t>(3)</w:t>
      </w:r>
      <w:r>
        <w:rPr>
          <w:rFonts w:ascii="Arial" w:hAnsi="Arial" w:cs="Arial"/>
          <w:sz w:val="22"/>
          <w:szCs w:val="22"/>
        </w:rPr>
        <w:tab/>
      </w:r>
      <w:r w:rsidRPr="00BD4A29">
        <w:rPr>
          <w:rFonts w:ascii="Arial" w:hAnsi="Arial" w:cs="Arial"/>
          <w:sz w:val="22"/>
          <w:szCs w:val="22"/>
        </w:rPr>
        <w:t>Describe any agreements among Co-Trustees and potentially responsible parties;</w:t>
      </w:r>
    </w:p>
    <w:p w:rsidR="00BD4A29" w:rsidRPr="00BD4A29" w:rsidP="00E64563" w14:paraId="5C500471" w14:textId="232CB07F">
      <w:pPr>
        <w:tabs>
          <w:tab w:val="left" w:pos="360"/>
          <w:tab w:val="left" w:pos="720"/>
        </w:tabs>
        <w:ind w:left="1440" w:hanging="360"/>
        <w:rPr>
          <w:rFonts w:ascii="Arial" w:hAnsi="Arial" w:cs="Arial"/>
          <w:sz w:val="22"/>
          <w:szCs w:val="22"/>
        </w:rPr>
      </w:pPr>
      <w:r w:rsidRPr="00BD4A29">
        <w:rPr>
          <w:rFonts w:ascii="Arial" w:hAnsi="Arial" w:cs="Arial"/>
          <w:sz w:val="22"/>
          <w:szCs w:val="22"/>
        </w:rPr>
        <w:t>(4)</w:t>
      </w:r>
      <w:r>
        <w:rPr>
          <w:rFonts w:ascii="Arial" w:hAnsi="Arial" w:cs="Arial"/>
          <w:sz w:val="22"/>
          <w:szCs w:val="22"/>
        </w:rPr>
        <w:tab/>
      </w:r>
      <w:r w:rsidRPr="00BD4A29">
        <w:rPr>
          <w:rFonts w:ascii="Arial" w:hAnsi="Arial" w:cs="Arial"/>
          <w:sz w:val="22"/>
          <w:szCs w:val="22"/>
        </w:rPr>
        <w:t>Identify ongoing or planned response activities that could affect the natural resources being assessed;</w:t>
      </w:r>
    </w:p>
    <w:p w:rsidR="00BD4A29" w:rsidRPr="00BD4A29" w:rsidP="00E64563" w14:paraId="04C749A2" w14:textId="192E23CB">
      <w:pPr>
        <w:tabs>
          <w:tab w:val="left" w:pos="360"/>
          <w:tab w:val="left" w:pos="720"/>
        </w:tabs>
        <w:ind w:left="1440" w:hanging="360"/>
        <w:rPr>
          <w:rFonts w:ascii="Arial" w:hAnsi="Arial" w:cs="Arial"/>
          <w:sz w:val="22"/>
          <w:szCs w:val="22"/>
        </w:rPr>
      </w:pPr>
      <w:r w:rsidRPr="00BD4A29">
        <w:rPr>
          <w:rFonts w:ascii="Arial" w:hAnsi="Arial" w:cs="Arial"/>
          <w:sz w:val="22"/>
          <w:szCs w:val="22"/>
        </w:rPr>
        <w:t>(5)</w:t>
      </w:r>
      <w:r>
        <w:rPr>
          <w:rFonts w:ascii="Arial" w:hAnsi="Arial" w:cs="Arial"/>
          <w:sz w:val="22"/>
          <w:szCs w:val="22"/>
        </w:rPr>
        <w:tab/>
      </w:r>
      <w:r w:rsidRPr="00BD4A29">
        <w:rPr>
          <w:rFonts w:ascii="Arial" w:hAnsi="Arial" w:cs="Arial"/>
          <w:sz w:val="22"/>
          <w:szCs w:val="22"/>
        </w:rPr>
        <w:t>Explain how conditions for using a Type A Procedure listed in 11.34 of this part are met;</w:t>
      </w:r>
    </w:p>
    <w:p w:rsidR="00BD4A29" w:rsidRPr="00BD4A29" w:rsidP="00E64563" w14:paraId="6C607283" w14:textId="54F97CE4">
      <w:pPr>
        <w:tabs>
          <w:tab w:val="left" w:pos="360"/>
          <w:tab w:val="left" w:pos="720"/>
        </w:tabs>
        <w:ind w:left="1440" w:hanging="360"/>
        <w:rPr>
          <w:rFonts w:ascii="Arial" w:hAnsi="Arial" w:cs="Arial"/>
          <w:sz w:val="22"/>
          <w:szCs w:val="22"/>
        </w:rPr>
      </w:pPr>
      <w:r w:rsidRPr="00BD4A29">
        <w:rPr>
          <w:rFonts w:ascii="Arial" w:hAnsi="Arial" w:cs="Arial"/>
          <w:sz w:val="22"/>
          <w:szCs w:val="22"/>
        </w:rPr>
        <w:t>(6)</w:t>
      </w:r>
      <w:r>
        <w:rPr>
          <w:rFonts w:ascii="Arial" w:hAnsi="Arial" w:cs="Arial"/>
          <w:sz w:val="22"/>
          <w:szCs w:val="22"/>
        </w:rPr>
        <w:tab/>
      </w:r>
      <w:r w:rsidRPr="00BD4A29">
        <w:rPr>
          <w:rFonts w:ascii="Arial" w:hAnsi="Arial" w:cs="Arial"/>
          <w:sz w:val="22"/>
          <w:szCs w:val="22"/>
        </w:rPr>
        <w:t>Identify and describe the model(s) selected to determine damages to fund restoration activities, including the following;</w:t>
      </w:r>
    </w:p>
    <w:p w:rsidR="00BD4A29" w:rsidRPr="00BD4A29" w:rsidP="00E64563" w14:paraId="4B16014D" w14:textId="42629DB1">
      <w:pPr>
        <w:tabs>
          <w:tab w:val="left" w:pos="360"/>
          <w:tab w:val="left" w:pos="720"/>
        </w:tabs>
        <w:ind w:left="2160" w:hanging="360"/>
        <w:rPr>
          <w:rFonts w:ascii="Arial" w:hAnsi="Arial" w:cs="Arial"/>
          <w:sz w:val="22"/>
          <w:szCs w:val="22"/>
        </w:rPr>
      </w:pPr>
      <w:r w:rsidRPr="00BD4A29">
        <w:rPr>
          <w:rFonts w:ascii="Arial" w:hAnsi="Arial" w:cs="Arial"/>
          <w:sz w:val="22"/>
          <w:szCs w:val="22"/>
        </w:rPr>
        <w:t>(i)</w:t>
      </w:r>
      <w:r>
        <w:rPr>
          <w:rFonts w:ascii="Arial" w:hAnsi="Arial" w:cs="Arial"/>
          <w:sz w:val="22"/>
          <w:szCs w:val="22"/>
        </w:rPr>
        <w:tab/>
      </w:r>
      <w:r w:rsidRPr="00BD4A29">
        <w:rPr>
          <w:rFonts w:ascii="Arial" w:hAnsi="Arial" w:cs="Arial"/>
          <w:sz w:val="22"/>
          <w:szCs w:val="22"/>
        </w:rPr>
        <w:t>Data inputs and the assumptions used for the model(s);</w:t>
      </w:r>
    </w:p>
    <w:p w:rsidR="00BD4A29" w:rsidRPr="00BD4A29" w:rsidP="00E64563" w14:paraId="263CCE9A" w14:textId="6343A13D">
      <w:pPr>
        <w:tabs>
          <w:tab w:val="left" w:pos="360"/>
          <w:tab w:val="left" w:pos="720"/>
        </w:tabs>
        <w:ind w:left="2160" w:hanging="360"/>
        <w:rPr>
          <w:rFonts w:ascii="Arial" w:hAnsi="Arial" w:cs="Arial"/>
          <w:sz w:val="22"/>
          <w:szCs w:val="22"/>
        </w:rPr>
      </w:pPr>
      <w:r w:rsidRPr="00BD4A29">
        <w:rPr>
          <w:rFonts w:ascii="Arial" w:hAnsi="Arial" w:cs="Arial"/>
          <w:sz w:val="22"/>
          <w:szCs w:val="22"/>
        </w:rPr>
        <w:t>(ii)</w:t>
      </w:r>
      <w:r>
        <w:rPr>
          <w:rFonts w:ascii="Arial" w:hAnsi="Arial" w:cs="Arial"/>
          <w:sz w:val="22"/>
          <w:szCs w:val="22"/>
        </w:rPr>
        <w:tab/>
      </w:r>
      <w:r w:rsidRPr="00BD4A29">
        <w:rPr>
          <w:rFonts w:ascii="Arial" w:hAnsi="Arial" w:cs="Arial"/>
          <w:sz w:val="22"/>
          <w:szCs w:val="22"/>
        </w:rPr>
        <w:t>Possible existing restoration alternatives that make these model assumptions valid for the purpose of restoration;</w:t>
      </w:r>
    </w:p>
    <w:p w:rsidR="00BD4A29" w:rsidRPr="00BD4A29" w:rsidP="00E64563" w14:paraId="05CEA571" w14:textId="3283A2DF">
      <w:pPr>
        <w:tabs>
          <w:tab w:val="left" w:pos="360"/>
          <w:tab w:val="left" w:pos="720"/>
        </w:tabs>
        <w:ind w:left="2160" w:hanging="360"/>
        <w:rPr>
          <w:rFonts w:ascii="Arial" w:hAnsi="Arial" w:cs="Arial"/>
          <w:sz w:val="22"/>
          <w:szCs w:val="22"/>
        </w:rPr>
      </w:pPr>
      <w:r w:rsidRPr="00BD4A29">
        <w:rPr>
          <w:rFonts w:ascii="Arial" w:hAnsi="Arial" w:cs="Arial"/>
          <w:sz w:val="22"/>
          <w:szCs w:val="22"/>
        </w:rPr>
        <w:t>(iii)</w:t>
      </w:r>
      <w:r>
        <w:rPr>
          <w:rFonts w:ascii="Arial" w:hAnsi="Arial" w:cs="Arial"/>
          <w:sz w:val="22"/>
          <w:szCs w:val="22"/>
        </w:rPr>
        <w:tab/>
      </w:r>
      <w:r w:rsidRPr="00BD4A29">
        <w:rPr>
          <w:rFonts w:ascii="Arial" w:hAnsi="Arial" w:cs="Arial"/>
          <w:sz w:val="22"/>
          <w:szCs w:val="22"/>
        </w:rPr>
        <w:t>Results of the modeling exercise;</w:t>
      </w:r>
    </w:p>
    <w:p w:rsidR="00BD4A29" w:rsidRPr="00BD4A29" w:rsidP="00E64563" w14:paraId="63AD9C11" w14:textId="43030F70">
      <w:pPr>
        <w:tabs>
          <w:tab w:val="left" w:pos="360"/>
          <w:tab w:val="left" w:pos="720"/>
        </w:tabs>
        <w:ind w:left="1440" w:hanging="360"/>
        <w:rPr>
          <w:rFonts w:ascii="Arial" w:hAnsi="Arial" w:cs="Arial"/>
          <w:sz w:val="22"/>
          <w:szCs w:val="22"/>
        </w:rPr>
      </w:pPr>
      <w:r w:rsidRPr="00BD4A29">
        <w:rPr>
          <w:rFonts w:ascii="Arial" w:hAnsi="Arial" w:cs="Arial"/>
          <w:sz w:val="22"/>
          <w:szCs w:val="22"/>
        </w:rPr>
        <w:t>(7)</w:t>
      </w:r>
      <w:r>
        <w:rPr>
          <w:rFonts w:ascii="Arial" w:hAnsi="Arial" w:cs="Arial"/>
          <w:sz w:val="22"/>
          <w:szCs w:val="22"/>
        </w:rPr>
        <w:tab/>
      </w:r>
      <w:r w:rsidRPr="00BD4A29">
        <w:rPr>
          <w:rFonts w:ascii="Arial" w:hAnsi="Arial" w:cs="Arial"/>
          <w:sz w:val="22"/>
          <w:szCs w:val="22"/>
        </w:rPr>
        <w:t>Note the establishment of an administrative record for the assessment and explain how to gain access to that record;</w:t>
      </w:r>
    </w:p>
    <w:p w:rsidR="00BD4A29" w:rsidRPr="00BD4A29" w:rsidP="00E64563" w14:paraId="164924F9" w14:textId="6C0BA678">
      <w:pPr>
        <w:tabs>
          <w:tab w:val="left" w:pos="360"/>
          <w:tab w:val="left" w:pos="720"/>
        </w:tabs>
        <w:ind w:left="1440" w:hanging="360"/>
        <w:rPr>
          <w:rFonts w:ascii="Arial" w:hAnsi="Arial" w:cs="Arial"/>
          <w:sz w:val="22"/>
          <w:szCs w:val="22"/>
        </w:rPr>
      </w:pPr>
      <w:r w:rsidRPr="00BD4A29">
        <w:rPr>
          <w:rFonts w:ascii="Arial" w:hAnsi="Arial" w:cs="Arial"/>
          <w:sz w:val="22"/>
          <w:szCs w:val="22"/>
        </w:rPr>
        <w:t>(8)</w:t>
      </w:r>
      <w:r>
        <w:rPr>
          <w:rFonts w:ascii="Arial" w:hAnsi="Arial" w:cs="Arial"/>
          <w:sz w:val="22"/>
          <w:szCs w:val="22"/>
        </w:rPr>
        <w:tab/>
      </w:r>
      <w:r w:rsidRPr="00BD4A29">
        <w:rPr>
          <w:rFonts w:ascii="Arial" w:hAnsi="Arial" w:cs="Arial"/>
          <w:sz w:val="22"/>
          <w:szCs w:val="22"/>
        </w:rPr>
        <w:t>Explain how to submit comments and state the deadline for comments; and</w:t>
      </w:r>
    </w:p>
    <w:p w:rsidR="00BD4A29" w:rsidRPr="00BD4A29" w:rsidP="00E64563" w14:paraId="0F1C3469" w14:textId="5739AAAA">
      <w:pPr>
        <w:tabs>
          <w:tab w:val="left" w:pos="360"/>
          <w:tab w:val="left" w:pos="720"/>
        </w:tabs>
        <w:ind w:left="1440" w:hanging="360"/>
        <w:rPr>
          <w:rFonts w:ascii="Arial" w:hAnsi="Arial" w:cs="Arial"/>
          <w:sz w:val="22"/>
          <w:szCs w:val="22"/>
        </w:rPr>
      </w:pPr>
      <w:r w:rsidRPr="00BD4A29">
        <w:rPr>
          <w:rFonts w:ascii="Arial" w:hAnsi="Arial" w:cs="Arial"/>
          <w:sz w:val="22"/>
          <w:szCs w:val="22"/>
        </w:rPr>
        <w:t>(9)</w:t>
      </w:r>
      <w:r>
        <w:rPr>
          <w:rFonts w:ascii="Arial" w:hAnsi="Arial" w:cs="Arial"/>
          <w:sz w:val="22"/>
          <w:szCs w:val="22"/>
        </w:rPr>
        <w:tab/>
      </w:r>
      <w:r w:rsidRPr="00BD4A29">
        <w:rPr>
          <w:rFonts w:ascii="Arial" w:hAnsi="Arial" w:cs="Arial"/>
          <w:sz w:val="22"/>
          <w:szCs w:val="22"/>
        </w:rPr>
        <w:t>Identify a contact person.</w:t>
      </w:r>
    </w:p>
    <w:p w:rsidR="00BD4A29" w:rsidP="00BD4A29" w14:paraId="110A13A4" w14:textId="77777777">
      <w:pPr>
        <w:tabs>
          <w:tab w:val="left" w:pos="360"/>
          <w:tab w:val="left" w:pos="720"/>
        </w:tabs>
        <w:rPr>
          <w:rFonts w:ascii="Arial" w:hAnsi="Arial" w:cs="Arial"/>
          <w:sz w:val="22"/>
          <w:szCs w:val="22"/>
        </w:rPr>
      </w:pPr>
    </w:p>
    <w:p w:rsidR="00C820F6" w:rsidP="0017502A" w14:paraId="3A635628" w14:textId="60D05415">
      <w:pPr>
        <w:tabs>
          <w:tab w:val="left" w:pos="360"/>
          <w:tab w:val="left" w:pos="720"/>
        </w:tabs>
        <w:ind w:left="720" w:hanging="360"/>
        <w:rPr>
          <w:rFonts w:ascii="Arial" w:hAnsi="Arial" w:cs="Arial"/>
          <w:b/>
          <w:bCs/>
          <w:i/>
          <w:iCs/>
          <w:sz w:val="22"/>
          <w:szCs w:val="22"/>
        </w:rPr>
      </w:pPr>
      <w:r w:rsidRPr="5DA4A7E8">
        <w:rPr>
          <w:rFonts w:ascii="Arial" w:hAnsi="Arial" w:cs="Arial"/>
          <w:b/>
          <w:bCs/>
          <w:sz w:val="22"/>
          <w:szCs w:val="22"/>
          <w:u w:val="single"/>
        </w:rPr>
        <w:t>Administrative Record for</w:t>
      </w:r>
      <w:r w:rsidR="00BE3754">
        <w:rPr>
          <w:rFonts w:ascii="Arial" w:hAnsi="Arial" w:cs="Arial"/>
          <w:b/>
          <w:bCs/>
          <w:sz w:val="22"/>
          <w:szCs w:val="22"/>
          <w:u w:val="single"/>
        </w:rPr>
        <w:t xml:space="preserve"> </w:t>
      </w:r>
      <w:r w:rsidRPr="5DA4A7E8">
        <w:rPr>
          <w:rFonts w:ascii="Arial" w:hAnsi="Arial" w:cs="Arial"/>
          <w:b/>
          <w:bCs/>
          <w:sz w:val="22"/>
          <w:szCs w:val="22"/>
          <w:u w:val="single"/>
        </w:rPr>
        <w:t>Type A Report</w:t>
      </w:r>
      <w:r w:rsidR="00A02C9F">
        <w:rPr>
          <w:rFonts w:ascii="Arial" w:hAnsi="Arial" w:cs="Arial"/>
          <w:b/>
          <w:bCs/>
          <w:sz w:val="22"/>
          <w:szCs w:val="22"/>
          <w:u w:val="single"/>
        </w:rPr>
        <w:t xml:space="preserve"> includes:</w:t>
      </w:r>
      <w:r w:rsidRPr="5DA4A7E8">
        <w:rPr>
          <w:rFonts w:ascii="Arial" w:hAnsi="Arial" w:cs="Arial"/>
          <w:b/>
          <w:bCs/>
          <w:sz w:val="22"/>
          <w:szCs w:val="22"/>
        </w:rPr>
        <w:t xml:space="preserve"> </w:t>
      </w:r>
    </w:p>
    <w:p w:rsidR="0017502A" w:rsidRPr="0017502A" w:rsidP="0017502A" w14:paraId="113D775F" w14:textId="40B6A84D">
      <w:pPr>
        <w:tabs>
          <w:tab w:val="left" w:pos="360"/>
          <w:tab w:val="left" w:pos="720"/>
        </w:tabs>
        <w:ind w:left="720" w:hanging="360"/>
        <w:rPr>
          <w:rFonts w:ascii="Arial" w:hAnsi="Arial" w:cs="Arial"/>
          <w:sz w:val="22"/>
          <w:szCs w:val="22"/>
        </w:rPr>
      </w:pPr>
      <w:r w:rsidRPr="0017502A">
        <w:rPr>
          <w:rFonts w:ascii="Arial" w:hAnsi="Arial" w:cs="Arial"/>
          <w:sz w:val="22"/>
          <w:szCs w:val="22"/>
        </w:rPr>
        <w:t>(a)</w:t>
      </w:r>
      <w:r>
        <w:rPr>
          <w:rFonts w:ascii="Arial" w:hAnsi="Arial" w:cs="Arial"/>
          <w:sz w:val="22"/>
          <w:szCs w:val="22"/>
        </w:rPr>
        <w:tab/>
      </w:r>
      <w:r w:rsidRPr="0017502A">
        <w:rPr>
          <w:rFonts w:ascii="Arial" w:hAnsi="Arial" w:cs="Arial"/>
          <w:sz w:val="22"/>
          <w:szCs w:val="22"/>
        </w:rPr>
        <w:t>Evidence of efforts to coordinate with response agencies (this need not include any evidence of the substance of discussions, nor documentation of every contact);</w:t>
      </w:r>
    </w:p>
    <w:p w:rsidR="0017502A" w:rsidRPr="0017502A" w:rsidP="0017502A" w14:paraId="7E193B65" w14:textId="03EB8D25">
      <w:pPr>
        <w:tabs>
          <w:tab w:val="left" w:pos="360"/>
          <w:tab w:val="left" w:pos="720"/>
        </w:tabs>
        <w:ind w:left="720" w:hanging="360"/>
        <w:rPr>
          <w:rFonts w:ascii="Arial" w:hAnsi="Arial" w:cs="Arial"/>
          <w:sz w:val="22"/>
          <w:szCs w:val="22"/>
        </w:rPr>
      </w:pPr>
      <w:r w:rsidRPr="0017502A">
        <w:rPr>
          <w:rFonts w:ascii="Arial" w:hAnsi="Arial" w:cs="Arial"/>
          <w:sz w:val="22"/>
          <w:szCs w:val="22"/>
        </w:rPr>
        <w:t>(b)</w:t>
      </w:r>
      <w:r>
        <w:rPr>
          <w:rFonts w:ascii="Arial" w:hAnsi="Arial" w:cs="Arial"/>
          <w:sz w:val="22"/>
          <w:szCs w:val="22"/>
        </w:rPr>
        <w:tab/>
      </w:r>
      <w:r w:rsidRPr="0017502A">
        <w:rPr>
          <w:rFonts w:ascii="Arial" w:hAnsi="Arial" w:cs="Arial"/>
          <w:sz w:val="22"/>
          <w:szCs w:val="22"/>
        </w:rPr>
        <w:t>Evidence of efforts to consult with other Co-trustees (this need not include any evidence of the substance of discussions, nor documentation of every contact) and documentation of any agreements among Co-trustees;</w:t>
      </w:r>
    </w:p>
    <w:p w:rsidR="0017502A" w:rsidRPr="0017502A" w:rsidP="0017502A" w14:paraId="29088143" w14:textId="5290F53E">
      <w:pPr>
        <w:tabs>
          <w:tab w:val="left" w:pos="360"/>
          <w:tab w:val="left" w:pos="720"/>
        </w:tabs>
        <w:ind w:left="720" w:hanging="360"/>
        <w:rPr>
          <w:rFonts w:ascii="Arial" w:hAnsi="Arial" w:cs="Arial"/>
          <w:sz w:val="22"/>
          <w:szCs w:val="22"/>
        </w:rPr>
      </w:pPr>
      <w:r w:rsidRPr="0017502A">
        <w:rPr>
          <w:rFonts w:ascii="Arial" w:hAnsi="Arial" w:cs="Arial"/>
          <w:sz w:val="22"/>
          <w:szCs w:val="22"/>
        </w:rPr>
        <w:t>(c)</w:t>
      </w:r>
      <w:r>
        <w:rPr>
          <w:rFonts w:ascii="Arial" w:hAnsi="Arial" w:cs="Arial"/>
          <w:sz w:val="22"/>
          <w:szCs w:val="22"/>
        </w:rPr>
        <w:tab/>
      </w:r>
      <w:r w:rsidRPr="0017502A">
        <w:rPr>
          <w:rFonts w:ascii="Arial" w:hAnsi="Arial" w:cs="Arial"/>
          <w:sz w:val="22"/>
          <w:szCs w:val="22"/>
        </w:rPr>
        <w:t>The invitation to potentially responsible parties inviting them to participate in the Type A Procedure and documentation of any agreements reached with potentially responsible parties.</w:t>
      </w:r>
    </w:p>
    <w:p w:rsidR="0017502A" w:rsidRPr="0017502A" w:rsidP="0017502A" w14:paraId="4653ACA6" w14:textId="60C76017">
      <w:pPr>
        <w:tabs>
          <w:tab w:val="left" w:pos="360"/>
          <w:tab w:val="left" w:pos="720"/>
        </w:tabs>
        <w:ind w:left="720" w:hanging="360"/>
        <w:rPr>
          <w:rFonts w:ascii="Arial" w:hAnsi="Arial" w:cs="Arial"/>
          <w:sz w:val="22"/>
          <w:szCs w:val="22"/>
        </w:rPr>
      </w:pPr>
      <w:r w:rsidRPr="0017502A">
        <w:rPr>
          <w:rFonts w:ascii="Arial" w:hAnsi="Arial" w:cs="Arial"/>
          <w:sz w:val="22"/>
          <w:szCs w:val="22"/>
        </w:rPr>
        <w:t>(d)</w:t>
      </w:r>
      <w:r>
        <w:rPr>
          <w:rFonts w:ascii="Arial" w:hAnsi="Arial" w:cs="Arial"/>
          <w:sz w:val="22"/>
          <w:szCs w:val="22"/>
        </w:rPr>
        <w:tab/>
      </w:r>
      <w:r w:rsidRPr="0017502A">
        <w:rPr>
          <w:rFonts w:ascii="Arial" w:hAnsi="Arial" w:cs="Arial"/>
          <w:sz w:val="22"/>
          <w:szCs w:val="22"/>
        </w:rPr>
        <w:t>Information considered when developing data inputs and assumptions for modeling, including complete citations to any literature used;</w:t>
      </w:r>
    </w:p>
    <w:p w:rsidR="0017502A" w:rsidRPr="0017502A" w:rsidP="0017502A" w14:paraId="131336D2" w14:textId="5BBE485E">
      <w:pPr>
        <w:tabs>
          <w:tab w:val="left" w:pos="360"/>
          <w:tab w:val="left" w:pos="720"/>
        </w:tabs>
        <w:ind w:left="720" w:hanging="360"/>
        <w:rPr>
          <w:rFonts w:ascii="Arial" w:hAnsi="Arial" w:cs="Arial"/>
          <w:sz w:val="22"/>
          <w:szCs w:val="22"/>
        </w:rPr>
      </w:pPr>
      <w:r w:rsidRPr="0017502A">
        <w:rPr>
          <w:rFonts w:ascii="Arial" w:hAnsi="Arial" w:cs="Arial"/>
          <w:sz w:val="22"/>
          <w:szCs w:val="22"/>
        </w:rPr>
        <w:t>(e)</w:t>
      </w:r>
      <w:r>
        <w:rPr>
          <w:rFonts w:ascii="Arial" w:hAnsi="Arial" w:cs="Arial"/>
          <w:sz w:val="22"/>
          <w:szCs w:val="22"/>
        </w:rPr>
        <w:tab/>
      </w:r>
      <w:r w:rsidRPr="0017502A">
        <w:rPr>
          <w:rFonts w:ascii="Arial" w:hAnsi="Arial" w:cs="Arial"/>
          <w:sz w:val="22"/>
          <w:szCs w:val="22"/>
        </w:rPr>
        <w:t>A printout of the model(s) sufficient for reproducibility (or a copy of the file used to generate the model(s));</w:t>
      </w:r>
    </w:p>
    <w:p w:rsidR="0017502A" w:rsidRPr="0017502A" w:rsidP="0017502A" w14:paraId="632AD9F3" w14:textId="2F7FB106">
      <w:pPr>
        <w:tabs>
          <w:tab w:val="left" w:pos="360"/>
          <w:tab w:val="left" w:pos="720"/>
        </w:tabs>
        <w:ind w:left="720" w:hanging="360"/>
        <w:rPr>
          <w:rFonts w:ascii="Arial" w:hAnsi="Arial" w:cs="Arial"/>
          <w:sz w:val="22"/>
          <w:szCs w:val="22"/>
        </w:rPr>
      </w:pPr>
      <w:r w:rsidRPr="0017502A">
        <w:rPr>
          <w:rFonts w:ascii="Arial" w:hAnsi="Arial" w:cs="Arial"/>
          <w:sz w:val="22"/>
          <w:szCs w:val="22"/>
        </w:rPr>
        <w:t>(f)</w:t>
      </w:r>
      <w:r>
        <w:rPr>
          <w:rFonts w:ascii="Arial" w:hAnsi="Arial" w:cs="Arial"/>
          <w:sz w:val="22"/>
          <w:szCs w:val="22"/>
        </w:rPr>
        <w:tab/>
      </w:r>
      <w:r w:rsidRPr="0017502A">
        <w:rPr>
          <w:rFonts w:ascii="Arial" w:hAnsi="Arial" w:cs="Arial"/>
          <w:sz w:val="22"/>
          <w:szCs w:val="22"/>
        </w:rPr>
        <w:t>Documentation of any assessment costs incurred, if Trustees plan to seek reimbursement of such costs.</w:t>
      </w:r>
    </w:p>
    <w:p w:rsidR="002849E4" w:rsidP="0017502A" w14:paraId="0447B332" w14:textId="15DAD443">
      <w:pPr>
        <w:tabs>
          <w:tab w:val="left" w:pos="360"/>
          <w:tab w:val="left" w:pos="720"/>
        </w:tabs>
        <w:ind w:left="720" w:hanging="360"/>
        <w:rPr>
          <w:rFonts w:ascii="Arial" w:hAnsi="Arial" w:cs="Arial"/>
          <w:sz w:val="22"/>
          <w:szCs w:val="22"/>
        </w:rPr>
      </w:pPr>
      <w:r w:rsidRPr="0017502A">
        <w:rPr>
          <w:rFonts w:ascii="Arial" w:hAnsi="Arial" w:cs="Arial"/>
          <w:sz w:val="22"/>
          <w:szCs w:val="22"/>
        </w:rPr>
        <w:t>(g)</w:t>
      </w:r>
      <w:r>
        <w:rPr>
          <w:rFonts w:ascii="Arial" w:hAnsi="Arial" w:cs="Arial"/>
          <w:sz w:val="22"/>
          <w:szCs w:val="22"/>
        </w:rPr>
        <w:tab/>
      </w:r>
      <w:r w:rsidRPr="0017502A">
        <w:rPr>
          <w:rFonts w:ascii="Arial" w:hAnsi="Arial" w:cs="Arial"/>
          <w:sz w:val="22"/>
          <w:szCs w:val="22"/>
        </w:rPr>
        <w:t>Copy of the final Type A Report and each published version of the Type A Report.</w:t>
      </w:r>
    </w:p>
    <w:p w:rsidR="002849E4" w:rsidP="002C766D" w14:paraId="1286D108" w14:textId="77777777">
      <w:pPr>
        <w:tabs>
          <w:tab w:val="left" w:pos="360"/>
          <w:tab w:val="left" w:pos="720"/>
        </w:tabs>
        <w:rPr>
          <w:rFonts w:ascii="Arial" w:hAnsi="Arial" w:cs="Arial"/>
          <w:sz w:val="22"/>
          <w:szCs w:val="22"/>
        </w:rPr>
      </w:pPr>
    </w:p>
    <w:p w:rsidR="00AD3B89" w:rsidP="00AD3B89" w14:paraId="1DB2299A" w14:textId="670D03E0">
      <w:pPr>
        <w:pStyle w:val="ListParagraph"/>
        <w:tabs>
          <w:tab w:val="left" w:pos="360"/>
          <w:tab w:val="left" w:pos="720"/>
        </w:tabs>
        <w:ind w:hanging="360"/>
        <w:rPr>
          <w:rFonts w:ascii="Arial" w:hAnsi="Arial" w:cs="Arial"/>
          <w:sz w:val="22"/>
          <w:szCs w:val="22"/>
        </w:rPr>
      </w:pPr>
      <w:r w:rsidRPr="19309CCD">
        <w:rPr>
          <w:rFonts w:ascii="Arial" w:hAnsi="Arial" w:cs="Arial"/>
          <w:b/>
          <w:bCs/>
          <w:sz w:val="22"/>
          <w:szCs w:val="22"/>
          <w:u w:val="single"/>
        </w:rPr>
        <w:t xml:space="preserve">Revising </w:t>
      </w:r>
      <w:r w:rsidRPr="19309CCD" w:rsidR="014ED5FA">
        <w:rPr>
          <w:rFonts w:ascii="Arial" w:hAnsi="Arial" w:cs="Arial"/>
          <w:b/>
          <w:bCs/>
          <w:sz w:val="22"/>
          <w:szCs w:val="22"/>
          <w:u w:val="single"/>
        </w:rPr>
        <w:t>Type A Report</w:t>
      </w:r>
    </w:p>
    <w:p w:rsidR="00495AC5" w:rsidP="00E64563" w14:paraId="7CD60491" w14:textId="1B2D4297">
      <w:pPr>
        <w:pStyle w:val="ListParagraph"/>
        <w:numPr>
          <w:ilvl w:val="0"/>
          <w:numId w:val="37"/>
        </w:numPr>
        <w:tabs>
          <w:tab w:val="left" w:pos="360"/>
          <w:tab w:val="left" w:pos="720"/>
        </w:tabs>
        <w:rPr>
          <w:rFonts w:ascii="Arial" w:hAnsi="Arial" w:cs="Arial"/>
          <w:sz w:val="22"/>
          <w:szCs w:val="22"/>
        </w:rPr>
      </w:pPr>
      <w:r w:rsidRPr="5DA4A7E8">
        <w:rPr>
          <w:rFonts w:ascii="Arial" w:hAnsi="Arial" w:cs="Arial"/>
          <w:sz w:val="22"/>
          <w:szCs w:val="22"/>
        </w:rPr>
        <w:t>If the Trustees decide after their review to select different model(s), or substantially change the model data inputs or assumptions to conduct the Type A Procedure, the Trustees must prepare a revised Type A Report that reflects the changes, provides any new information about the modified data inputs and assumptions, and substantively responds to significant comments received during the comment period.  Minor changes require a statement of explanation of the changes, explanation of why they are not considered substantial, and discussion of any effects on results to be appended to the original Type A Report.</w:t>
      </w:r>
      <w:bookmarkEnd w:id="7"/>
    </w:p>
    <w:p w:rsidR="00FC1559" w:rsidP="00FC1559" w14:paraId="32604EB5" w14:textId="2C707F52">
      <w:pPr>
        <w:tabs>
          <w:tab w:val="left" w:pos="360"/>
          <w:tab w:val="left" w:pos="720"/>
        </w:tabs>
        <w:rPr>
          <w:rFonts w:ascii="Arial" w:hAnsi="Arial" w:cs="Arial"/>
          <w:sz w:val="22"/>
          <w:szCs w:val="22"/>
        </w:rPr>
      </w:pPr>
    </w:p>
    <w:p w:rsidR="00FC1559" w:rsidRPr="00FC1559" w:rsidP="00EB7B5B" w14:paraId="72D13624" w14:textId="17D2628E">
      <w:pPr>
        <w:tabs>
          <w:tab w:val="left" w:pos="360"/>
          <w:tab w:val="left" w:pos="720"/>
        </w:tabs>
        <w:ind w:left="360"/>
        <w:rPr>
          <w:rFonts w:ascii="Arial" w:hAnsi="Arial" w:cs="Arial"/>
          <w:sz w:val="22"/>
          <w:szCs w:val="22"/>
        </w:rPr>
      </w:pPr>
      <w:bookmarkStart w:id="8" w:name="_Hlk146626028"/>
      <w:r>
        <w:rPr>
          <w:rFonts w:ascii="Arial" w:hAnsi="Arial" w:cs="Arial"/>
          <w:b/>
          <w:bCs/>
          <w:i/>
          <w:iCs/>
          <w:sz w:val="22"/>
          <w:szCs w:val="22"/>
        </w:rPr>
        <w:t>Revision to Existing IC in Proposed Rulemaking:</w:t>
      </w:r>
      <w:r>
        <w:rPr>
          <w:rFonts w:ascii="Arial" w:hAnsi="Arial" w:cs="Arial"/>
          <w:sz w:val="22"/>
          <w:szCs w:val="22"/>
        </w:rPr>
        <w:t xml:space="preserve">  </w:t>
      </w:r>
      <w:r w:rsidR="007D65BE">
        <w:rPr>
          <w:rFonts w:ascii="Arial" w:hAnsi="Arial" w:cs="Arial"/>
          <w:sz w:val="22"/>
          <w:szCs w:val="22"/>
        </w:rPr>
        <w:t>The information to be included in the modified and/or revised Type A Report will allow for a wider range of models to be used as opposed to the ones currently listed which focus on Coastal and Marine Environments and the Great Lakes Environments exclusively.  These changes will allow Trustees to use a variety of models and include their results in the Type A Report.</w:t>
      </w:r>
      <w:bookmarkEnd w:id="8"/>
      <w:r w:rsidR="007D65BE">
        <w:rPr>
          <w:rFonts w:ascii="Arial" w:hAnsi="Arial" w:cs="Arial"/>
          <w:sz w:val="22"/>
          <w:szCs w:val="22"/>
        </w:rPr>
        <w:t xml:space="preserve">  </w:t>
      </w:r>
    </w:p>
    <w:p w:rsidR="00495AC5" w:rsidP="00495AC5" w14:paraId="397A1E18" w14:textId="77777777">
      <w:pPr>
        <w:tabs>
          <w:tab w:val="left" w:pos="360"/>
          <w:tab w:val="left" w:pos="720"/>
        </w:tabs>
        <w:rPr>
          <w:rFonts w:ascii="Arial" w:hAnsi="Arial" w:cs="Arial"/>
          <w:sz w:val="22"/>
          <w:szCs w:val="22"/>
        </w:rPr>
      </w:pPr>
    </w:p>
    <w:p w:rsidR="001F0D96" w:rsidRPr="00CE52DA" w:rsidP="001F0D96" w14:paraId="193581FB" w14:textId="10288330">
      <w:pPr>
        <w:tabs>
          <w:tab w:val="left" w:pos="360"/>
          <w:tab w:val="left" w:pos="720"/>
        </w:tabs>
        <w:rPr>
          <w:rFonts w:ascii="Arial" w:hAnsi="Arial" w:cs="Arial"/>
          <w:color w:val="C00000"/>
          <w:sz w:val="22"/>
          <w:szCs w:val="22"/>
        </w:rPr>
      </w:pPr>
      <w:r>
        <w:rPr>
          <w:rFonts w:ascii="Arial" w:hAnsi="Arial" w:cs="Arial"/>
          <w:b/>
          <w:bCs/>
          <w:sz w:val="22"/>
          <w:szCs w:val="22"/>
          <w:u w:val="single"/>
        </w:rPr>
        <w:t>TYPE B REPORT OF ASSESSMENT</w:t>
      </w:r>
      <w:r w:rsidRPr="5DA4A7E8">
        <w:rPr>
          <w:rFonts w:ascii="Arial" w:hAnsi="Arial" w:cs="Arial"/>
          <w:b/>
          <w:bCs/>
          <w:sz w:val="22"/>
          <w:szCs w:val="22"/>
        </w:rPr>
        <w:t xml:space="preserve"> </w:t>
      </w:r>
      <w:r w:rsidRPr="5DA4A7E8">
        <w:rPr>
          <w:rFonts w:ascii="Arial" w:hAnsi="Arial" w:cs="Arial"/>
          <w:b/>
          <w:bCs/>
          <w:i/>
          <w:iCs/>
          <w:sz w:val="22"/>
          <w:szCs w:val="22"/>
        </w:rPr>
        <w:t>§ 11.</w:t>
      </w:r>
      <w:r w:rsidRPr="5DA4A7E8" w:rsidR="009E76AE">
        <w:rPr>
          <w:rFonts w:ascii="Arial" w:hAnsi="Arial" w:cs="Arial"/>
          <w:b/>
          <w:bCs/>
          <w:i/>
          <w:iCs/>
          <w:sz w:val="22"/>
          <w:szCs w:val="22"/>
        </w:rPr>
        <w:t>60(c)&amp;(d)</w:t>
      </w:r>
      <w:r w:rsidRPr="5DA4A7E8" w:rsidR="004B52F8">
        <w:rPr>
          <w:rFonts w:ascii="Arial" w:hAnsi="Arial" w:cs="Arial"/>
          <w:b/>
          <w:bCs/>
          <w:i/>
          <w:iCs/>
          <w:sz w:val="22"/>
          <w:szCs w:val="22"/>
        </w:rPr>
        <w:t>, and § 11.90</w:t>
      </w:r>
      <w:r w:rsidRPr="5DA4A7E8" w:rsidR="0023693D">
        <w:rPr>
          <w:rFonts w:ascii="Arial" w:hAnsi="Arial" w:cs="Arial"/>
          <w:b/>
          <w:bCs/>
          <w:i/>
          <w:iCs/>
          <w:sz w:val="22"/>
          <w:szCs w:val="22"/>
        </w:rPr>
        <w:t xml:space="preserve"> </w:t>
      </w:r>
    </w:p>
    <w:p w:rsidR="009E76AE" w:rsidP="001252CF" w14:paraId="1A41E093" w14:textId="5122EFBF">
      <w:pPr>
        <w:tabs>
          <w:tab w:val="left" w:pos="360"/>
          <w:tab w:val="left" w:pos="720"/>
        </w:tabs>
        <w:rPr>
          <w:rStyle w:val="Hyperlink"/>
          <w:rFonts w:ascii="Arial" w:hAnsi="Arial" w:cs="Arial"/>
          <w:sz w:val="22"/>
          <w:szCs w:val="22"/>
        </w:rPr>
      </w:pPr>
      <w:r w:rsidRPr="008F0A28">
        <w:rPr>
          <w:rFonts w:ascii="Arial" w:hAnsi="Arial" w:cs="Arial"/>
          <w:sz w:val="22"/>
          <w:szCs w:val="22"/>
        </w:rPr>
        <w:t>The completion of an assessment is documented in the ROA, which consists of the Preliminary Assessment Screen (PAS), Preliminary Estimate of Damages (PED), Assessment Plan (AP), Restoration and Compensation Determination Plan (RCDP), Restoration Plan (RP; when prepared for settlement), and response to public comments.</w:t>
      </w:r>
      <w:r>
        <w:rPr>
          <w:rFonts w:ascii="Arial" w:hAnsi="Arial" w:cs="Arial"/>
          <w:sz w:val="22"/>
          <w:szCs w:val="22"/>
        </w:rPr>
        <w:t xml:space="preserve">  </w:t>
      </w:r>
    </w:p>
    <w:p w:rsidR="008F0A28" w:rsidP="001252CF" w14:paraId="16D90E2E" w14:textId="2001B083">
      <w:pPr>
        <w:tabs>
          <w:tab w:val="left" w:pos="360"/>
          <w:tab w:val="left" w:pos="720"/>
        </w:tabs>
        <w:rPr>
          <w:rStyle w:val="Hyperlink"/>
          <w:rFonts w:ascii="Arial" w:hAnsi="Arial" w:cs="Arial"/>
          <w:sz w:val="22"/>
          <w:szCs w:val="22"/>
        </w:rPr>
      </w:pPr>
    </w:p>
    <w:p w:rsidR="008F0A28" w:rsidRPr="008F0A28" w:rsidP="008F0A28" w14:paraId="7D974DF0" w14:textId="7C4C8E0B">
      <w:pPr>
        <w:pStyle w:val="ListParagraph"/>
        <w:numPr>
          <w:ilvl w:val="0"/>
          <w:numId w:val="31"/>
        </w:numPr>
        <w:tabs>
          <w:tab w:val="left" w:pos="360"/>
          <w:tab w:val="left" w:pos="720"/>
        </w:tabs>
        <w:ind w:left="720"/>
        <w:rPr>
          <w:rFonts w:ascii="Arial" w:hAnsi="Arial" w:cs="Arial"/>
          <w:sz w:val="22"/>
          <w:szCs w:val="22"/>
        </w:rPr>
      </w:pPr>
      <w:r w:rsidRPr="008F0A28">
        <w:rPr>
          <w:rFonts w:ascii="Arial" w:hAnsi="Arial" w:cs="Arial"/>
          <w:sz w:val="22"/>
          <w:szCs w:val="22"/>
        </w:rPr>
        <w:t>The PAS is a rapid review of readily available information to make a determination as to whether an NRDAR will be carried out (43 CFR 11.23, 11.24 and 11.25).</w:t>
      </w:r>
    </w:p>
    <w:p w:rsidR="008F0A28" w:rsidRPr="008F0A28" w:rsidP="008F0A28" w14:paraId="3095F14A" w14:textId="0FDF3A83">
      <w:pPr>
        <w:pStyle w:val="ListParagraph"/>
        <w:numPr>
          <w:ilvl w:val="0"/>
          <w:numId w:val="31"/>
        </w:numPr>
        <w:tabs>
          <w:tab w:val="left" w:pos="360"/>
          <w:tab w:val="left" w:pos="720"/>
        </w:tabs>
        <w:ind w:left="720"/>
        <w:rPr>
          <w:rFonts w:ascii="Arial" w:hAnsi="Arial" w:cs="Arial"/>
          <w:sz w:val="22"/>
          <w:szCs w:val="22"/>
        </w:rPr>
      </w:pPr>
      <w:r w:rsidRPr="008F0A28">
        <w:rPr>
          <w:rFonts w:ascii="Arial" w:hAnsi="Arial" w:cs="Arial"/>
          <w:sz w:val="22"/>
          <w:szCs w:val="22"/>
        </w:rPr>
        <w:t>The purpose of the PED is to inform the Assessment Plan to ensure that the choice of the scientific, cost estimating, and valuation methodologies expected to be used in the NRDAR are reasonable cost. The PED typically relies on available information (43 CFR 11.38).</w:t>
      </w:r>
    </w:p>
    <w:p w:rsidR="008F0A28" w:rsidRPr="008F0A28" w:rsidP="008F0A28" w14:paraId="03567C87" w14:textId="374B5B24">
      <w:pPr>
        <w:pStyle w:val="ListParagraph"/>
        <w:numPr>
          <w:ilvl w:val="0"/>
          <w:numId w:val="31"/>
        </w:numPr>
        <w:tabs>
          <w:tab w:val="left" w:pos="360"/>
          <w:tab w:val="left" w:pos="720"/>
        </w:tabs>
        <w:ind w:left="720"/>
        <w:rPr>
          <w:rFonts w:ascii="Arial" w:hAnsi="Arial" w:cs="Arial"/>
          <w:sz w:val="22"/>
          <w:szCs w:val="22"/>
        </w:rPr>
      </w:pPr>
      <w:r w:rsidRPr="008F0A28">
        <w:rPr>
          <w:rFonts w:ascii="Arial" w:hAnsi="Arial" w:cs="Arial"/>
          <w:sz w:val="22"/>
          <w:szCs w:val="22"/>
        </w:rPr>
        <w:t>The AP must identify and document the use of all of the Type A and/or Type B procedures that will be performed, including any proposed injury studies, as well as potential studies to identify early restoration opportunities and potential effectiveness. The AP is published for public comment (43 CFR Part 11 Subpart C).</w:t>
      </w:r>
    </w:p>
    <w:p w:rsidR="008F0A28" w:rsidRPr="008F0A28" w:rsidP="008F0A28" w14:paraId="27F3F5F3" w14:textId="496FAB15">
      <w:pPr>
        <w:pStyle w:val="ListParagraph"/>
        <w:numPr>
          <w:ilvl w:val="0"/>
          <w:numId w:val="31"/>
        </w:numPr>
        <w:tabs>
          <w:tab w:val="left" w:pos="360"/>
          <w:tab w:val="left" w:pos="720"/>
        </w:tabs>
        <w:ind w:left="720"/>
        <w:rPr>
          <w:rFonts w:ascii="Arial" w:hAnsi="Arial" w:cs="Arial"/>
          <w:sz w:val="22"/>
          <w:szCs w:val="22"/>
        </w:rPr>
      </w:pPr>
      <w:r w:rsidRPr="008F0A28">
        <w:rPr>
          <w:rFonts w:ascii="Arial" w:hAnsi="Arial" w:cs="Arial"/>
          <w:sz w:val="22"/>
          <w:szCs w:val="22"/>
        </w:rPr>
        <w:t>The RCDP provides a reasonable number of possible restoration alternatives, identifies the preferred one and the actions required for implementation, and describes the methods and results of the injury determination, injury quantification, and damages determination (monetary or in-kind projects). The RCDP uses literature, site data, and study data, and Trustees’ decision making; it is published for public comment (43 CFR 11.81).</w:t>
      </w:r>
    </w:p>
    <w:p w:rsidR="008F0A28" w:rsidRPr="008F0A28" w:rsidP="008F0A28" w14:paraId="7BDD5519" w14:textId="2AC683E6">
      <w:pPr>
        <w:pStyle w:val="ListParagraph"/>
        <w:numPr>
          <w:ilvl w:val="0"/>
          <w:numId w:val="31"/>
        </w:numPr>
        <w:tabs>
          <w:tab w:val="left" w:pos="360"/>
          <w:tab w:val="left" w:pos="720"/>
        </w:tabs>
        <w:ind w:left="720"/>
        <w:rPr>
          <w:rFonts w:ascii="Arial" w:hAnsi="Arial" w:cs="Arial"/>
          <w:sz w:val="22"/>
          <w:szCs w:val="22"/>
        </w:rPr>
      </w:pPr>
      <w:r w:rsidRPr="008F0A28">
        <w:rPr>
          <w:rFonts w:ascii="Arial" w:hAnsi="Arial" w:cs="Arial"/>
          <w:sz w:val="22"/>
          <w:szCs w:val="22"/>
        </w:rPr>
        <w:t xml:space="preserve">Although the RP is identified as part of a post-assessment activity, ORDA addressed Departmental and Congressional interest in timely restoration through policy by defining a “restoration-based settlement” to include a legally binding Consent Decree and concurrent final Restoration Plan. Therefore, the RP may be produced before or after settlement, and is published for public comment.  The level of effort on a post-settlement </w:t>
      </w:r>
      <w:r w:rsidRPr="008F0A28">
        <w:rPr>
          <w:rFonts w:ascii="Arial" w:hAnsi="Arial" w:cs="Arial"/>
          <w:sz w:val="22"/>
          <w:szCs w:val="22"/>
        </w:rPr>
        <w:t>RP is assumed to be the same as for settlement.  For purposes of this ICR, the RP is considered to be part of the Type B ROA (43 CFR 11.93; ORDA Restoration Policy)</w:t>
      </w:r>
    </w:p>
    <w:p w:rsidR="008F0A28" w:rsidP="001252CF" w14:paraId="1DEE1B47" w14:textId="77777777">
      <w:pPr>
        <w:tabs>
          <w:tab w:val="left" w:pos="360"/>
          <w:tab w:val="left" w:pos="720"/>
        </w:tabs>
        <w:rPr>
          <w:rFonts w:ascii="Arial" w:hAnsi="Arial" w:cs="Arial"/>
          <w:sz w:val="22"/>
          <w:szCs w:val="22"/>
        </w:rPr>
      </w:pPr>
    </w:p>
    <w:p w:rsidR="00295103" w:rsidRPr="00091346" w:rsidP="00091346" w14:paraId="14AACD64" w14:textId="3847D601">
      <w:pPr>
        <w:pStyle w:val="ListParagraph"/>
        <w:tabs>
          <w:tab w:val="left" w:pos="360"/>
        </w:tabs>
        <w:ind w:left="0"/>
        <w:rPr>
          <w:rFonts w:ascii="Arial" w:hAnsi="Arial" w:cs="Arial"/>
          <w:b/>
          <w:bCs/>
          <w:sz w:val="22"/>
          <w:szCs w:val="22"/>
        </w:rPr>
      </w:pPr>
      <w:r w:rsidRPr="00091346">
        <w:rPr>
          <w:rFonts w:ascii="Arial" w:hAnsi="Arial" w:cs="Arial"/>
          <w:b/>
          <w:bCs/>
          <w:sz w:val="22"/>
          <w:szCs w:val="22"/>
        </w:rPr>
        <w:t>3.</w:t>
      </w:r>
      <w:r w:rsidRPr="00091346">
        <w:rPr>
          <w:rFonts w:ascii="Arial" w:hAnsi="Arial" w:cs="Arial"/>
          <w:sz w:val="22"/>
          <w:szCs w:val="22"/>
        </w:rPr>
        <w:tab/>
      </w:r>
      <w:r w:rsidRPr="00091346">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6319A2" w14:paraId="779620DC" w14:textId="77777777">
      <w:pPr>
        <w:tabs>
          <w:tab w:val="left" w:pos="360"/>
          <w:tab w:val="left" w:pos="720"/>
        </w:tabs>
        <w:rPr>
          <w:rFonts w:ascii="Arial" w:hAnsi="Arial" w:cs="Arial"/>
          <w:sz w:val="22"/>
          <w:szCs w:val="22"/>
        </w:rPr>
      </w:pPr>
    </w:p>
    <w:p w:rsidR="003765F4" w:rsidP="003765F4" w14:paraId="2F8AB35E" w14:textId="78C9E806">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The NRDAR regulations and ORDA’s supporting policy do not include the use of forms or surveys for information collection. </w:t>
      </w:r>
      <w:r w:rsidR="00E64563">
        <w:rPr>
          <w:rFonts w:ascii="Arial" w:hAnsi="Arial" w:cs="Arial"/>
          <w:sz w:val="22"/>
          <w:szCs w:val="22"/>
        </w:rPr>
        <w:t xml:space="preserve"> </w:t>
      </w:r>
      <w:r>
        <w:rPr>
          <w:rFonts w:ascii="Arial" w:hAnsi="Arial" w:cs="Arial"/>
          <w:sz w:val="22"/>
          <w:szCs w:val="22"/>
        </w:rPr>
        <w:t xml:space="preserve">ORDA does provide a Damage Assessment and Restoration Tracking System (DARTS), which can be used to cost-effectively house NRDAR Administrative Records (i.e., public documents on the Trustees’ decision-making process, which can include the documents identified in Table 2.1).  </w:t>
      </w:r>
      <w:r w:rsidRPr="00D74F09" w:rsidR="005C221A">
        <w:rPr>
          <w:rFonts w:ascii="Arial" w:hAnsi="Arial" w:cs="Arial"/>
          <w:sz w:val="22"/>
          <w:szCs w:val="22"/>
          <w:highlight w:val="yellow"/>
        </w:rPr>
        <w:t xml:space="preserve">NRDAR practitioners </w:t>
      </w:r>
      <w:r w:rsidRPr="00D74F09" w:rsidR="00C653AC">
        <w:rPr>
          <w:rFonts w:ascii="Arial" w:hAnsi="Arial" w:cs="Arial"/>
          <w:sz w:val="22"/>
          <w:szCs w:val="22"/>
          <w:highlight w:val="yellow"/>
        </w:rPr>
        <w:t xml:space="preserve">currently </w:t>
      </w:r>
      <w:r w:rsidRPr="00D74F09" w:rsidR="005C221A">
        <w:rPr>
          <w:rFonts w:ascii="Arial" w:hAnsi="Arial" w:cs="Arial"/>
          <w:sz w:val="22"/>
          <w:szCs w:val="22"/>
          <w:highlight w:val="yellow"/>
        </w:rPr>
        <w:t xml:space="preserve">upload </w:t>
      </w:r>
      <w:r w:rsidRPr="00D74F09" w:rsidR="00C653AC">
        <w:rPr>
          <w:rFonts w:ascii="Arial" w:hAnsi="Arial" w:cs="Arial"/>
          <w:sz w:val="22"/>
          <w:szCs w:val="22"/>
          <w:highlight w:val="yellow"/>
        </w:rPr>
        <w:t xml:space="preserve">case </w:t>
      </w:r>
      <w:r w:rsidRPr="00D74F09" w:rsidR="005C221A">
        <w:rPr>
          <w:rFonts w:ascii="Arial" w:hAnsi="Arial" w:cs="Arial"/>
          <w:sz w:val="22"/>
          <w:szCs w:val="22"/>
          <w:highlight w:val="yellow"/>
        </w:rPr>
        <w:t>documents to this system</w:t>
      </w:r>
      <w:r w:rsidRPr="00D74F09" w:rsidR="00C26010">
        <w:rPr>
          <w:rFonts w:ascii="Arial" w:hAnsi="Arial" w:cs="Arial"/>
          <w:sz w:val="22"/>
          <w:szCs w:val="22"/>
          <w:highlight w:val="yellow"/>
        </w:rPr>
        <w:t xml:space="preserve"> as part of their case record.  </w:t>
      </w:r>
      <w:r w:rsidRPr="00D74F09" w:rsidR="0021417C">
        <w:rPr>
          <w:rFonts w:ascii="Arial" w:hAnsi="Arial" w:cs="Arial"/>
          <w:sz w:val="22"/>
          <w:szCs w:val="22"/>
          <w:highlight w:val="yellow"/>
        </w:rPr>
        <w:t xml:space="preserve">This system is currently being </w:t>
      </w:r>
      <w:r w:rsidRPr="00D74F09" w:rsidR="00D74F09">
        <w:rPr>
          <w:rFonts w:ascii="Arial" w:hAnsi="Arial" w:cs="Arial"/>
          <w:sz w:val="22"/>
          <w:szCs w:val="22"/>
          <w:highlight w:val="yellow"/>
        </w:rPr>
        <w:t>modernized and</w:t>
      </w:r>
      <w:r w:rsidRPr="00D74F09" w:rsidR="00816EC3">
        <w:rPr>
          <w:rFonts w:ascii="Arial" w:hAnsi="Arial" w:cs="Arial"/>
          <w:sz w:val="22"/>
          <w:szCs w:val="22"/>
          <w:highlight w:val="yellow"/>
        </w:rPr>
        <w:t xml:space="preserve"> the new version of the system is set to launch in May 2027, subject to receiving the </w:t>
      </w:r>
      <w:r w:rsidRPr="00D74F09" w:rsidR="00D74F09">
        <w:rPr>
          <w:rFonts w:ascii="Arial" w:hAnsi="Arial" w:cs="Arial"/>
          <w:sz w:val="22"/>
          <w:szCs w:val="22"/>
          <w:highlight w:val="yellow"/>
        </w:rPr>
        <w:t>“Authority to Operate” from the Department.</w:t>
      </w:r>
    </w:p>
    <w:p w:rsidR="003765F4" w:rsidP="003765F4" w14:paraId="770FEAEC" w14:textId="77777777">
      <w:pPr>
        <w:tabs>
          <w:tab w:val="left" w:pos="-1080"/>
          <w:tab w:val="left" w:pos="-720"/>
          <w:tab w:val="left" w:pos="360"/>
          <w:tab w:val="left" w:pos="720"/>
        </w:tabs>
        <w:rPr>
          <w:rFonts w:ascii="Arial" w:hAnsi="Arial" w:cs="Arial"/>
          <w:sz w:val="22"/>
          <w:szCs w:val="22"/>
        </w:rPr>
      </w:pPr>
    </w:p>
    <w:p w:rsidR="00251281" w:rsidP="003765F4" w14:paraId="6564D434" w14:textId="38B44E67">
      <w:pPr>
        <w:tabs>
          <w:tab w:val="left" w:pos="360"/>
          <w:tab w:val="left" w:pos="720"/>
        </w:tabs>
        <w:rPr>
          <w:rFonts w:ascii="Arial" w:hAnsi="Arial" w:cs="Arial"/>
          <w:sz w:val="22"/>
          <w:szCs w:val="22"/>
        </w:rPr>
      </w:pPr>
      <w:r>
        <w:rPr>
          <w:rFonts w:ascii="Arial" w:hAnsi="Arial" w:cs="Arial"/>
          <w:sz w:val="22"/>
          <w:szCs w:val="22"/>
        </w:rPr>
        <w:t xml:space="preserve">NRDAR typically includes public meetings and </w:t>
      </w:r>
      <w:r w:rsidRPr="00EA77BB">
        <w:rPr>
          <w:rFonts w:ascii="Arial" w:hAnsi="Arial" w:cs="Arial"/>
          <w:sz w:val="22"/>
          <w:szCs w:val="22"/>
        </w:rPr>
        <w:t>requests for public input</w:t>
      </w:r>
      <w:r>
        <w:rPr>
          <w:rFonts w:ascii="Arial" w:hAnsi="Arial" w:cs="Arial"/>
          <w:sz w:val="22"/>
          <w:szCs w:val="22"/>
        </w:rPr>
        <w:t xml:space="preserve"> that are not subject to the PRA.</w:t>
      </w:r>
    </w:p>
    <w:p w:rsidR="003765F4" w:rsidRPr="00B50214" w:rsidP="006319A2" w14:paraId="115CC8A9" w14:textId="77777777">
      <w:pPr>
        <w:tabs>
          <w:tab w:val="left" w:pos="360"/>
          <w:tab w:val="left" w:pos="720"/>
        </w:tabs>
        <w:rPr>
          <w:rFonts w:ascii="Arial" w:hAnsi="Arial" w:cs="Arial"/>
          <w:sz w:val="22"/>
          <w:szCs w:val="22"/>
        </w:rPr>
      </w:pPr>
    </w:p>
    <w:p w:rsidR="00295103" w:rsidRPr="00B50214" w:rsidP="00280EE3" w14:paraId="682DC221"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5103" w:rsidRPr="00B50214" w:rsidP="006319A2" w14:paraId="3E7D53C4" w14:textId="77777777">
      <w:pPr>
        <w:tabs>
          <w:tab w:val="left" w:pos="360"/>
          <w:tab w:val="left" w:pos="720"/>
        </w:tabs>
        <w:rPr>
          <w:rFonts w:ascii="Arial" w:hAnsi="Arial" w:cs="Arial"/>
          <w:sz w:val="22"/>
          <w:szCs w:val="22"/>
        </w:rPr>
      </w:pPr>
    </w:p>
    <w:p w:rsidR="00251281" w:rsidRPr="00B50214" w:rsidP="006319A2" w14:paraId="69034FA1" w14:textId="089031F4">
      <w:pPr>
        <w:tabs>
          <w:tab w:val="left" w:pos="360"/>
          <w:tab w:val="left" w:pos="720"/>
        </w:tabs>
        <w:rPr>
          <w:rFonts w:ascii="Arial" w:hAnsi="Arial" w:cs="Arial"/>
          <w:sz w:val="22"/>
          <w:szCs w:val="22"/>
        </w:rPr>
      </w:pPr>
      <w:r w:rsidRPr="00A20027">
        <w:rPr>
          <w:rFonts w:ascii="Arial" w:hAnsi="Arial" w:cs="Arial"/>
          <w:sz w:val="22"/>
          <w:szCs w:val="22"/>
        </w:rPr>
        <w:t>No other entity provides the information required</w:t>
      </w:r>
      <w:r>
        <w:rPr>
          <w:rFonts w:ascii="Arial" w:hAnsi="Arial" w:cs="Arial"/>
          <w:sz w:val="22"/>
          <w:szCs w:val="22"/>
        </w:rPr>
        <w:t xml:space="preserve"> in Table 2.1</w:t>
      </w:r>
      <w:r w:rsidRPr="00A20027">
        <w:rPr>
          <w:rFonts w:ascii="Arial" w:hAnsi="Arial" w:cs="Arial"/>
          <w:sz w:val="22"/>
          <w:szCs w:val="22"/>
        </w:rPr>
        <w:t>.</w:t>
      </w:r>
      <w:r>
        <w:rPr>
          <w:rFonts w:ascii="Arial" w:hAnsi="Arial" w:cs="Arial"/>
          <w:sz w:val="22"/>
          <w:szCs w:val="22"/>
        </w:rPr>
        <w:t xml:space="preserve"> </w:t>
      </w:r>
      <w:r w:rsidRPr="008B6F31">
        <w:rPr>
          <w:rFonts w:ascii="Arial" w:hAnsi="Arial" w:cs="Arial"/>
          <w:sz w:val="22"/>
          <w:szCs w:val="22"/>
        </w:rPr>
        <w:t xml:space="preserve"> </w:t>
      </w:r>
      <w:r>
        <w:rPr>
          <w:rFonts w:ascii="Arial" w:hAnsi="Arial" w:cs="Arial"/>
          <w:sz w:val="22"/>
          <w:szCs w:val="22"/>
        </w:rPr>
        <w:t>Trustees rely extensively on publicly available information and have a Congressional mandate to ensure all assessment, including the information collection and documentation, is produced at reasonable cost (</w:t>
      </w:r>
      <w:hyperlink r:id="rId11" w:anchor="p-11.14(ee)" w:history="1">
        <w:r w:rsidRPr="00C72811">
          <w:rPr>
            <w:rStyle w:val="Hyperlink"/>
            <w:rFonts w:ascii="Arial" w:hAnsi="Arial" w:cs="Arial"/>
            <w:sz w:val="22"/>
            <w:szCs w:val="22"/>
          </w:rPr>
          <w:t>43 CFR 11.14(ee))</w:t>
        </w:r>
      </w:hyperlink>
      <w:r>
        <w:rPr>
          <w:rFonts w:ascii="Arial" w:hAnsi="Arial" w:cs="Arial"/>
          <w:sz w:val="22"/>
          <w:szCs w:val="22"/>
        </w:rPr>
        <w:t>.</w:t>
      </w:r>
    </w:p>
    <w:p w:rsidR="00251281" w:rsidRPr="00B50214" w:rsidP="006319A2" w14:paraId="3F12D3FE" w14:textId="77777777">
      <w:pPr>
        <w:tabs>
          <w:tab w:val="left" w:pos="360"/>
          <w:tab w:val="left" w:pos="720"/>
        </w:tabs>
        <w:rPr>
          <w:rFonts w:ascii="Arial" w:hAnsi="Arial" w:cs="Arial"/>
          <w:sz w:val="22"/>
          <w:szCs w:val="22"/>
        </w:rPr>
      </w:pPr>
    </w:p>
    <w:p w:rsidR="00295103" w:rsidRPr="00B50214" w:rsidP="00280EE3" w14:paraId="505B7E74" w14:textId="77777777">
      <w:pPr>
        <w:pStyle w:val="Heading1"/>
      </w:pPr>
      <w:r w:rsidRPr="00B50214">
        <w:t>5.</w:t>
      </w:r>
      <w:r w:rsidRPr="00B50214">
        <w:tab/>
        <w:t>If the collection of information impacts small bus</w:t>
      </w:r>
      <w:r w:rsidRPr="00B50214" w:rsidR="006E339F">
        <w:t>inesses or other small entities</w:t>
      </w:r>
      <w:r w:rsidRPr="00B50214">
        <w:t>, describe any methods used to minimize burden.</w:t>
      </w:r>
    </w:p>
    <w:p w:rsidR="00295103" w:rsidRPr="00B50214" w:rsidP="006319A2" w14:paraId="610F1768" w14:textId="77777777">
      <w:pPr>
        <w:tabs>
          <w:tab w:val="left" w:pos="360"/>
          <w:tab w:val="left" w:pos="720"/>
        </w:tabs>
        <w:rPr>
          <w:rFonts w:ascii="Arial" w:hAnsi="Arial" w:cs="Arial"/>
          <w:sz w:val="22"/>
          <w:szCs w:val="22"/>
        </w:rPr>
      </w:pPr>
    </w:p>
    <w:p w:rsidR="00251281" w:rsidRPr="00B50214" w:rsidP="006319A2" w14:paraId="1B01E6DF" w14:textId="181660A7">
      <w:pPr>
        <w:tabs>
          <w:tab w:val="left" w:pos="360"/>
          <w:tab w:val="left" w:pos="720"/>
        </w:tabs>
        <w:rPr>
          <w:rFonts w:ascii="Arial" w:hAnsi="Arial" w:cs="Arial"/>
          <w:sz w:val="22"/>
          <w:szCs w:val="22"/>
        </w:rPr>
      </w:pPr>
      <w:r w:rsidRPr="00613D32">
        <w:rPr>
          <w:rFonts w:ascii="Arial" w:hAnsi="Arial" w:cs="Arial"/>
          <w:sz w:val="22"/>
          <w:szCs w:val="22"/>
        </w:rPr>
        <w:t>The stated purpose of the PAS is to “ensure there is a reasonable probability of making a successful claim before monies and efforts are expended in carrying out an assessme</w:t>
      </w:r>
      <w:r w:rsidRPr="001E0A5F">
        <w:rPr>
          <w:rFonts w:ascii="Arial" w:hAnsi="Arial" w:cs="Arial"/>
          <w:sz w:val="22"/>
          <w:szCs w:val="22"/>
        </w:rPr>
        <w:t>nt” (</w:t>
      </w:r>
      <w:hyperlink r:id="rId12" w:anchor="p-11.23(b)" w:history="1">
        <w:r w:rsidRPr="00FE102E">
          <w:rPr>
            <w:rStyle w:val="Hyperlink"/>
            <w:rFonts w:ascii="Arial" w:hAnsi="Arial" w:cs="Arial"/>
            <w:sz w:val="22"/>
            <w:szCs w:val="22"/>
            <w:shd w:val="clear" w:color="auto" w:fill="FFFFFF"/>
          </w:rPr>
          <w:t>43 CFR 11.23</w:t>
        </w:r>
        <w:r w:rsidRPr="00FE102E">
          <w:rPr>
            <w:rStyle w:val="Hyperlink"/>
            <w:rFonts w:ascii="Arial" w:hAnsi="Arial" w:cs="Arial"/>
            <w:sz w:val="22"/>
            <w:szCs w:val="22"/>
          </w:rPr>
          <w:t xml:space="preserve"> (b)). </w:t>
        </w:r>
      </w:hyperlink>
      <w:r w:rsidRPr="008B6F31">
        <w:rPr>
          <w:rFonts w:ascii="Arial" w:hAnsi="Arial" w:cs="Arial"/>
          <w:sz w:val="22"/>
          <w:szCs w:val="22"/>
        </w:rPr>
        <w:t xml:space="preserve"> </w:t>
      </w:r>
      <w:r w:rsidRPr="001E0A5F">
        <w:rPr>
          <w:rFonts w:ascii="Arial" w:hAnsi="Arial" w:cs="Arial"/>
          <w:sz w:val="22"/>
          <w:szCs w:val="22"/>
        </w:rPr>
        <w:t>This means Trustees cannot spend more on information collection</w:t>
      </w:r>
      <w:r>
        <w:rPr>
          <w:rFonts w:ascii="Arial" w:hAnsi="Arial" w:cs="Arial"/>
          <w:sz w:val="22"/>
          <w:szCs w:val="22"/>
        </w:rPr>
        <w:t xml:space="preserve"> and documentation</w:t>
      </w:r>
      <w:r w:rsidRPr="001E0A5F">
        <w:rPr>
          <w:rFonts w:ascii="Arial" w:hAnsi="Arial" w:cs="Arial"/>
          <w:sz w:val="22"/>
          <w:szCs w:val="22"/>
        </w:rPr>
        <w:t xml:space="preserve"> tha</w:t>
      </w:r>
      <w:r>
        <w:rPr>
          <w:rFonts w:ascii="Arial" w:hAnsi="Arial" w:cs="Arial"/>
          <w:sz w:val="22"/>
          <w:szCs w:val="22"/>
        </w:rPr>
        <w:t xml:space="preserve">n can be reasonably expected in settlement of the liability. </w:t>
      </w:r>
      <w:r w:rsidRPr="008B6F31">
        <w:rPr>
          <w:rFonts w:ascii="Arial" w:hAnsi="Arial" w:cs="Arial"/>
          <w:sz w:val="22"/>
          <w:szCs w:val="22"/>
        </w:rPr>
        <w:t xml:space="preserve"> </w:t>
      </w:r>
      <w:r>
        <w:rPr>
          <w:rFonts w:ascii="Arial" w:hAnsi="Arial" w:cs="Arial"/>
          <w:sz w:val="22"/>
          <w:szCs w:val="22"/>
        </w:rPr>
        <w:t xml:space="preserve">Further, </w:t>
      </w:r>
      <w:r w:rsidRPr="00613D32">
        <w:rPr>
          <w:rFonts w:ascii="Arial" w:hAnsi="Arial" w:cs="Arial"/>
          <w:sz w:val="22"/>
          <w:szCs w:val="22"/>
        </w:rPr>
        <w:t>NRDAR</w:t>
      </w:r>
      <w:r>
        <w:rPr>
          <w:rFonts w:ascii="Arial" w:hAnsi="Arial" w:cs="Arial"/>
          <w:sz w:val="22"/>
          <w:szCs w:val="22"/>
        </w:rPr>
        <w:t xml:space="preserve"> damages are compensatory for ecological restoration, </w:t>
      </w:r>
      <w:r w:rsidRPr="00613D32">
        <w:rPr>
          <w:rFonts w:ascii="Arial" w:hAnsi="Arial" w:cs="Arial"/>
          <w:sz w:val="22"/>
          <w:szCs w:val="22"/>
        </w:rPr>
        <w:t>not punitive</w:t>
      </w:r>
      <w:r>
        <w:rPr>
          <w:rFonts w:ascii="Arial" w:hAnsi="Arial" w:cs="Arial"/>
          <w:sz w:val="22"/>
          <w:szCs w:val="22"/>
        </w:rPr>
        <w:t xml:space="preserve">. </w:t>
      </w:r>
      <w:r w:rsidRPr="008B6F31">
        <w:rPr>
          <w:rFonts w:ascii="Arial" w:hAnsi="Arial" w:cs="Arial"/>
          <w:sz w:val="22"/>
          <w:szCs w:val="22"/>
        </w:rPr>
        <w:t xml:space="preserve"> </w:t>
      </w:r>
      <w:r>
        <w:rPr>
          <w:rFonts w:ascii="Arial" w:hAnsi="Arial" w:cs="Arial"/>
          <w:sz w:val="22"/>
          <w:szCs w:val="22"/>
        </w:rPr>
        <w:t>Trustees</w:t>
      </w:r>
      <w:r w:rsidRPr="00613D32">
        <w:rPr>
          <w:rFonts w:ascii="Arial" w:hAnsi="Arial" w:cs="Arial"/>
          <w:sz w:val="22"/>
          <w:szCs w:val="22"/>
        </w:rPr>
        <w:t xml:space="preserve"> cannot seek</w:t>
      </w:r>
      <w:r>
        <w:rPr>
          <w:rFonts w:ascii="Arial" w:hAnsi="Arial" w:cs="Arial"/>
          <w:sz w:val="22"/>
          <w:szCs w:val="22"/>
        </w:rPr>
        <w:t xml:space="preserve"> to impact small businesses adversely or disproportionately. </w:t>
      </w:r>
      <w:r w:rsidRPr="008B6F31">
        <w:rPr>
          <w:rFonts w:ascii="Arial" w:hAnsi="Arial" w:cs="Arial"/>
          <w:sz w:val="22"/>
          <w:szCs w:val="22"/>
        </w:rPr>
        <w:t xml:space="preserve"> </w:t>
      </w:r>
      <w:r>
        <w:rPr>
          <w:rFonts w:ascii="Arial" w:hAnsi="Arial" w:cs="Arial"/>
          <w:sz w:val="22"/>
          <w:szCs w:val="22"/>
        </w:rPr>
        <w:t>The Department of Justice provides an administrative settlement process for smaller settlements, which can include small businesses.</w:t>
      </w:r>
    </w:p>
    <w:p w:rsidR="00251281" w:rsidRPr="00B50214" w:rsidP="006319A2" w14:paraId="3302B6AE" w14:textId="77777777">
      <w:pPr>
        <w:tabs>
          <w:tab w:val="left" w:pos="360"/>
          <w:tab w:val="left" w:pos="720"/>
        </w:tabs>
        <w:rPr>
          <w:rFonts w:ascii="Arial" w:hAnsi="Arial" w:cs="Arial"/>
          <w:sz w:val="22"/>
          <w:szCs w:val="22"/>
        </w:rPr>
      </w:pPr>
    </w:p>
    <w:p w:rsidR="00295103" w:rsidRPr="00B50214" w:rsidP="00280EE3" w14:paraId="0A26F77F"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295103" w:rsidRPr="00B50214" w:rsidP="006319A2" w14:paraId="13F18527" w14:textId="77777777">
      <w:pPr>
        <w:tabs>
          <w:tab w:val="left" w:pos="360"/>
          <w:tab w:val="left" w:pos="720"/>
        </w:tabs>
        <w:rPr>
          <w:rFonts w:ascii="Arial" w:hAnsi="Arial" w:cs="Arial"/>
          <w:sz w:val="22"/>
          <w:szCs w:val="22"/>
        </w:rPr>
      </w:pPr>
    </w:p>
    <w:p w:rsidR="00251281" w:rsidRPr="00B50214" w:rsidP="006319A2" w14:paraId="338DDD9E" w14:textId="0E3F9D8B">
      <w:pPr>
        <w:tabs>
          <w:tab w:val="left" w:pos="360"/>
          <w:tab w:val="left" w:pos="720"/>
        </w:tabs>
        <w:rPr>
          <w:rFonts w:ascii="Arial" w:hAnsi="Arial" w:cs="Arial"/>
          <w:sz w:val="22"/>
          <w:szCs w:val="22"/>
        </w:rPr>
      </w:pPr>
      <w:r w:rsidRPr="00DF1F45">
        <w:rPr>
          <w:rFonts w:ascii="Arial" w:hAnsi="Arial" w:cs="Arial"/>
          <w:sz w:val="22"/>
          <w:szCs w:val="22"/>
        </w:rPr>
        <w:t>If the collection is not conducted or is conducted less frequently,</w:t>
      </w:r>
      <w:r>
        <w:rPr>
          <w:rFonts w:ascii="Arial" w:hAnsi="Arial" w:cs="Arial"/>
          <w:sz w:val="22"/>
          <w:szCs w:val="22"/>
        </w:rPr>
        <w:t xml:space="preserve"> Natural Resource Trustees may not be able to receive a rebuttable presumption following CERCLA and ORDA’s NRDAR regulations</w:t>
      </w:r>
      <w:r w:rsidRPr="00DF1F45">
        <w:rPr>
          <w:rFonts w:ascii="Arial" w:hAnsi="Arial" w:cs="Arial"/>
          <w:sz w:val="22"/>
          <w:szCs w:val="22"/>
        </w:rPr>
        <w:t>.</w:t>
      </w:r>
    </w:p>
    <w:p w:rsidR="00251281" w:rsidRPr="00B50214" w:rsidP="006319A2" w14:paraId="647BD5EE" w14:textId="77777777">
      <w:pPr>
        <w:tabs>
          <w:tab w:val="left" w:pos="360"/>
          <w:tab w:val="left" w:pos="720"/>
        </w:tabs>
        <w:rPr>
          <w:rFonts w:ascii="Arial" w:hAnsi="Arial" w:cs="Arial"/>
          <w:sz w:val="22"/>
          <w:szCs w:val="22"/>
        </w:rPr>
      </w:pPr>
    </w:p>
    <w:p w:rsidR="00295103" w:rsidRPr="00B50214" w:rsidP="00280EE3" w14:paraId="7DCAFC00" w14:textId="77777777">
      <w:pPr>
        <w:pStyle w:val="Heading1"/>
        <w:ind w:left="360" w:hanging="360"/>
      </w:pPr>
      <w:r w:rsidRPr="00B50214">
        <w:t>7.</w:t>
      </w:r>
      <w:r w:rsidRPr="00B50214">
        <w:tab/>
        <w:t>Explain any special circumstances that would cause an information collection to be conducted in a manner:</w:t>
      </w:r>
    </w:p>
    <w:p w:rsidR="00295103" w:rsidRPr="00B50214" w:rsidP="003765F4" w14:paraId="6F328575" w14:textId="77777777">
      <w:pPr>
        <w:pStyle w:val="Heading1"/>
        <w:tabs>
          <w:tab w:val="clear" w:pos="360"/>
          <w:tab w:val="clear" w:pos="720"/>
          <w:tab w:val="left" w:pos="1080"/>
        </w:tabs>
        <w:ind w:left="720" w:hanging="360"/>
      </w:pPr>
      <w:r w:rsidRPr="00B50214">
        <w:tab/>
        <w:t>*</w:t>
      </w:r>
      <w:r w:rsidRPr="00B50214">
        <w:tab/>
        <w:t>requiring respondents to report information to the agency more often than quarterly;</w:t>
      </w:r>
    </w:p>
    <w:p w:rsidR="00295103" w:rsidRPr="00B50214" w:rsidP="003765F4" w14:paraId="0036C448" w14:textId="77777777">
      <w:pPr>
        <w:pStyle w:val="Heading1"/>
        <w:tabs>
          <w:tab w:val="clear" w:pos="360"/>
          <w:tab w:val="clear" w:pos="720"/>
          <w:tab w:val="left" w:pos="1080"/>
        </w:tabs>
        <w:ind w:left="720" w:hanging="360"/>
      </w:pPr>
      <w:r w:rsidRPr="00B50214">
        <w:tab/>
        <w:t>*</w:t>
      </w:r>
      <w:r w:rsidRPr="00B50214">
        <w:tab/>
        <w:t>requiring respondents to prepare a written response to a collection of information in fewer than 30 days after receipt of it;</w:t>
      </w:r>
    </w:p>
    <w:p w:rsidR="00295103" w:rsidRPr="00B50214" w:rsidP="003765F4" w14:paraId="5014AB7D" w14:textId="77777777">
      <w:pPr>
        <w:pStyle w:val="Heading1"/>
        <w:tabs>
          <w:tab w:val="clear" w:pos="360"/>
          <w:tab w:val="clear" w:pos="720"/>
          <w:tab w:val="left" w:pos="1080"/>
        </w:tabs>
        <w:ind w:left="720" w:hanging="360"/>
      </w:pPr>
      <w:r w:rsidRPr="00B50214">
        <w:tab/>
        <w:t>*</w:t>
      </w:r>
      <w:r w:rsidRPr="00B50214">
        <w:tab/>
        <w:t>requiring respondents to submit more than an original and two copies of any document;</w:t>
      </w:r>
    </w:p>
    <w:p w:rsidR="00295103" w:rsidRPr="00B50214" w:rsidP="003765F4" w14:paraId="4403B021" w14:textId="77777777">
      <w:pPr>
        <w:pStyle w:val="Heading1"/>
        <w:tabs>
          <w:tab w:val="clear" w:pos="360"/>
          <w:tab w:val="clear" w:pos="720"/>
          <w:tab w:val="left" w:pos="1080"/>
        </w:tabs>
        <w:ind w:left="720" w:hanging="360"/>
      </w:pPr>
      <w:r w:rsidRPr="00B50214">
        <w:tab/>
        <w:t>*</w:t>
      </w:r>
      <w:r w:rsidRPr="00B50214">
        <w:tab/>
        <w:t>requiring respondents to retain records, other than health, medical, government contract, grant-in-aid, or tax records, for more than three years;</w:t>
      </w:r>
    </w:p>
    <w:p w:rsidR="00295103" w:rsidRPr="00B50214" w:rsidP="003765F4" w14:paraId="5C88C26B" w14:textId="77777777">
      <w:pPr>
        <w:pStyle w:val="Heading1"/>
        <w:tabs>
          <w:tab w:val="clear" w:pos="360"/>
          <w:tab w:val="clear" w:pos="720"/>
          <w:tab w:val="left" w:pos="1080"/>
        </w:tabs>
        <w:ind w:left="720" w:hanging="360"/>
      </w:pPr>
      <w:r w:rsidRPr="00B50214">
        <w:tab/>
        <w:t>*</w:t>
      </w:r>
      <w:r w:rsidRPr="00B50214">
        <w:tab/>
        <w:t>in conne</w:t>
      </w:r>
      <w:r w:rsidRPr="00B50214" w:rsidR="00352210">
        <w:t>ction with a statistical survey</w:t>
      </w:r>
      <w:r w:rsidRPr="00B50214">
        <w:t xml:space="preserve"> that is not designed to produce valid and reliable results that can be generalized to the universe of study;</w:t>
      </w:r>
    </w:p>
    <w:p w:rsidR="00295103" w:rsidRPr="00B50214" w:rsidP="003765F4" w14:paraId="05977A50" w14:textId="77777777">
      <w:pPr>
        <w:pStyle w:val="Heading1"/>
        <w:tabs>
          <w:tab w:val="clear" w:pos="360"/>
          <w:tab w:val="clear" w:pos="720"/>
          <w:tab w:val="left" w:pos="1080"/>
        </w:tabs>
        <w:ind w:left="720" w:hanging="360"/>
      </w:pPr>
      <w:r w:rsidRPr="00B50214">
        <w:tab/>
        <w:t>*</w:t>
      </w:r>
      <w:r w:rsidRPr="00B50214">
        <w:tab/>
        <w:t>requiring the use of a statistical data classification that has not been reviewed and approved by OMB;</w:t>
      </w:r>
    </w:p>
    <w:p w:rsidR="00295103" w:rsidRPr="00B50214" w:rsidP="003765F4" w14:paraId="1F3BF0B5" w14:textId="77777777">
      <w:pPr>
        <w:pStyle w:val="Heading1"/>
        <w:tabs>
          <w:tab w:val="clear" w:pos="360"/>
          <w:tab w:val="clear" w:pos="720"/>
          <w:tab w:val="left" w:pos="1080"/>
        </w:tabs>
        <w:ind w:left="720" w:hanging="360"/>
      </w:pPr>
      <w:r w:rsidRPr="00B50214">
        <w:tab/>
        <w:t>*</w:t>
      </w:r>
      <w:r w:rsidRPr="00B50214">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3765F4" w14:paraId="598E1895" w14:textId="77777777">
      <w:pPr>
        <w:pStyle w:val="Heading1"/>
        <w:tabs>
          <w:tab w:val="clear" w:pos="360"/>
          <w:tab w:val="clear" w:pos="720"/>
          <w:tab w:val="left" w:pos="1080"/>
        </w:tabs>
        <w:ind w:left="720" w:hanging="360"/>
      </w:pPr>
      <w:r w:rsidRPr="00B50214">
        <w:tab/>
        <w:t>*</w:t>
      </w:r>
      <w:r w:rsidRPr="00B50214">
        <w:tab/>
        <w:t>requiring respondents to submit proprietary trade secrets, or other confidential information</w:t>
      </w:r>
      <w:r w:rsidRPr="00B50214" w:rsidR="00352210">
        <w:t>,</w:t>
      </w:r>
      <w:r w:rsidRPr="00B50214">
        <w:t xml:space="preserve"> unless the agency can demonstrate that it has instituted procedures to protect the information's confidentiality to the extent permitted by law.</w:t>
      </w:r>
    </w:p>
    <w:p w:rsidR="00295103" w:rsidRPr="00B50214" w:rsidP="006319A2" w14:paraId="3B51FB40" w14:textId="77777777">
      <w:pPr>
        <w:tabs>
          <w:tab w:val="left" w:pos="360"/>
          <w:tab w:val="left" w:pos="720"/>
        </w:tabs>
        <w:rPr>
          <w:rFonts w:ascii="Arial" w:hAnsi="Arial" w:cs="Arial"/>
          <w:sz w:val="22"/>
          <w:szCs w:val="22"/>
        </w:rPr>
      </w:pPr>
    </w:p>
    <w:p w:rsidR="00251281" w:rsidRPr="00B50214" w:rsidP="006319A2" w14:paraId="53208809" w14:textId="70187CA0">
      <w:pPr>
        <w:tabs>
          <w:tab w:val="left" w:pos="360"/>
          <w:tab w:val="left" w:pos="720"/>
        </w:tabs>
        <w:rPr>
          <w:rFonts w:ascii="Arial" w:hAnsi="Arial" w:cs="Arial"/>
          <w:sz w:val="22"/>
          <w:szCs w:val="22"/>
        </w:rPr>
      </w:pPr>
      <w:r w:rsidRPr="00602D4F">
        <w:rPr>
          <w:rFonts w:ascii="Arial" w:hAnsi="Arial" w:cs="Arial"/>
          <w:sz w:val="22"/>
          <w:szCs w:val="22"/>
        </w:rPr>
        <w:t xml:space="preserve">There are no circumstances that require </w:t>
      </w:r>
      <w:r>
        <w:rPr>
          <w:rFonts w:ascii="Arial" w:hAnsi="Arial" w:cs="Arial"/>
          <w:sz w:val="22"/>
          <w:szCs w:val="22"/>
        </w:rPr>
        <w:t xml:space="preserve">NRDAR Trustees, consultants, or PRPs </w:t>
      </w:r>
      <w:r w:rsidRPr="00602D4F">
        <w:rPr>
          <w:rFonts w:ascii="Arial" w:hAnsi="Arial" w:cs="Arial"/>
          <w:sz w:val="22"/>
          <w:szCs w:val="22"/>
        </w:rPr>
        <w:t>to collect information in a manner inconsistent with OMB guidelines.</w:t>
      </w:r>
    </w:p>
    <w:p w:rsidR="00251281" w:rsidRPr="00B50214" w:rsidP="006319A2" w14:paraId="220FAD8B" w14:textId="77777777">
      <w:pPr>
        <w:tabs>
          <w:tab w:val="left" w:pos="360"/>
          <w:tab w:val="left" w:pos="720"/>
        </w:tabs>
        <w:rPr>
          <w:rFonts w:ascii="Arial" w:hAnsi="Arial" w:cs="Arial"/>
          <w:sz w:val="22"/>
          <w:szCs w:val="22"/>
        </w:rPr>
      </w:pPr>
    </w:p>
    <w:p w:rsidR="00295103" w:rsidRPr="00B50214" w:rsidP="00280EE3" w14:paraId="4E817307"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t xml:space="preserve">ved in response to that notice </w:t>
      </w:r>
      <w:r w:rsidRPr="00B50214">
        <w:t>and in response to the PRA statement associated with the collec</w:t>
      </w:r>
      <w:r w:rsidRPr="00B50214" w:rsidR="00DE1FFE">
        <w:t xml:space="preserve">tion over the past three years, </w:t>
      </w:r>
      <w:r w:rsidRPr="00B50214">
        <w:t>and describe actions taken by the agency in response to these comments.  Specifically address comments received on cost and hour burden.</w:t>
      </w:r>
    </w:p>
    <w:p w:rsidR="00295103" w:rsidRPr="00B50214" w:rsidP="00280EE3" w14:paraId="5726C2F6" w14:textId="77777777">
      <w:pPr>
        <w:pStyle w:val="Heading1"/>
      </w:pPr>
    </w:p>
    <w:p w:rsidR="00295103" w:rsidRPr="00B50214" w:rsidP="00280EE3" w14:paraId="05123508"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t>.</w:t>
      </w:r>
    </w:p>
    <w:p w:rsidR="00295103" w:rsidRPr="00B50214" w:rsidP="00280EE3" w14:paraId="26892955" w14:textId="77777777">
      <w:pPr>
        <w:pStyle w:val="Heading1"/>
      </w:pPr>
    </w:p>
    <w:p w:rsidR="00295103" w:rsidRPr="00B50214" w:rsidP="00280EE3" w14:paraId="770368E8" w14:textId="77777777">
      <w:pPr>
        <w:pStyle w:val="Heading1"/>
      </w:pPr>
      <w:r w:rsidRPr="00B50214">
        <w:t xml:space="preserve">Consultation with representatives of those from whom information is to be obtained or those who must compile records should occur at least once every </w:t>
      </w:r>
      <w:r w:rsidRPr="00B50214" w:rsidR="00352210">
        <w:t>three</w:t>
      </w:r>
      <w:r w:rsidRPr="00B50214">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6319A2" w14:paraId="58DC93FA" w14:textId="77777777">
      <w:pPr>
        <w:tabs>
          <w:tab w:val="left" w:pos="360"/>
          <w:tab w:val="left" w:pos="720"/>
        </w:tabs>
        <w:rPr>
          <w:rFonts w:ascii="Arial" w:hAnsi="Arial" w:cs="Arial"/>
          <w:sz w:val="22"/>
          <w:szCs w:val="22"/>
        </w:rPr>
      </w:pPr>
    </w:p>
    <w:p w:rsidR="00295FAB" w:rsidRPr="00E64563" w:rsidP="00295FAB" w14:paraId="5C56E10D" w14:textId="354106BB">
      <w:pPr>
        <w:tabs>
          <w:tab w:val="left" w:pos="720"/>
        </w:tabs>
        <w:rPr>
          <w:rFonts w:ascii="Arial" w:hAnsi="Arial" w:cs="Arial"/>
          <w:bCs/>
          <w:sz w:val="22"/>
          <w:szCs w:val="22"/>
          <w:highlight w:val="yellow"/>
        </w:rPr>
      </w:pPr>
      <w:r w:rsidRPr="00E64563">
        <w:rPr>
          <w:rFonts w:ascii="Arial" w:hAnsi="Arial" w:cs="Arial"/>
          <w:bCs/>
          <w:sz w:val="22"/>
          <w:szCs w:val="22"/>
          <w:highlight w:val="yellow"/>
        </w:rPr>
        <w:t xml:space="preserve">On January 5, 2024, we published in the </w:t>
      </w:r>
      <w:r w:rsidRPr="00E64563">
        <w:rPr>
          <w:rFonts w:ascii="Arial" w:hAnsi="Arial" w:cs="Arial"/>
          <w:bCs/>
          <w:i/>
          <w:iCs/>
          <w:sz w:val="22"/>
          <w:szCs w:val="22"/>
          <w:highlight w:val="yellow"/>
        </w:rPr>
        <w:t>Federal Register</w:t>
      </w:r>
      <w:r w:rsidRPr="00E64563">
        <w:rPr>
          <w:rFonts w:ascii="Arial" w:hAnsi="Arial" w:cs="Arial"/>
          <w:bCs/>
          <w:sz w:val="22"/>
          <w:szCs w:val="22"/>
          <w:highlight w:val="yellow"/>
        </w:rPr>
        <w:t xml:space="preserve"> (89 FR 733) a proposed rule (RIN 1090</w:t>
      </w:r>
      <w:r w:rsidRPr="00E64563" w:rsidR="00E64563">
        <w:rPr>
          <w:rFonts w:ascii="Arial" w:hAnsi="Arial" w:cs="Arial"/>
          <w:bCs/>
          <w:sz w:val="22"/>
          <w:szCs w:val="22"/>
          <w:highlight w:val="yellow"/>
        </w:rPr>
        <w:t>-</w:t>
      </w:r>
      <w:r w:rsidRPr="00E64563">
        <w:rPr>
          <w:rFonts w:ascii="Arial" w:hAnsi="Arial" w:cs="Arial"/>
          <w:bCs/>
          <w:sz w:val="22"/>
          <w:szCs w:val="22"/>
          <w:highlight w:val="yellow"/>
        </w:rPr>
        <w:t xml:space="preserve">AB26) to solicit comments and suggestions from State, Tribal, and Federal natural resource co-trustees, other affected parties, and the interested public on revising the simplified Type A procedures in the regulations for conducting natural resource damage assessment and </w:t>
      </w:r>
      <w:r w:rsidRPr="00E64563">
        <w:rPr>
          <w:rFonts w:ascii="Arial" w:hAnsi="Arial" w:cs="Arial"/>
          <w:bCs/>
          <w:sz w:val="22"/>
          <w:szCs w:val="22"/>
          <w:highlight w:val="yellow"/>
        </w:rPr>
        <w:t xml:space="preserve">restoration for hazardous substance releases.  In that proposed rule, we solicited comments for 60 days on the information collections in this submission, ending on March 5, 2024.  </w:t>
      </w:r>
    </w:p>
    <w:p w:rsidR="00295FAB" w:rsidRPr="00E64563" w:rsidP="00295FAB" w14:paraId="0C049807" w14:textId="77777777">
      <w:pPr>
        <w:tabs>
          <w:tab w:val="left" w:pos="720"/>
        </w:tabs>
        <w:rPr>
          <w:rFonts w:ascii="Arial" w:hAnsi="Arial" w:cs="Arial"/>
          <w:bCs/>
          <w:sz w:val="22"/>
          <w:szCs w:val="22"/>
          <w:highlight w:val="yellow"/>
        </w:rPr>
      </w:pPr>
    </w:p>
    <w:p w:rsidR="00FE1BFC" w:rsidP="00FE1BFC" w14:paraId="66CA9646" w14:textId="77777777">
      <w:pPr>
        <w:tabs>
          <w:tab w:val="left" w:pos="720"/>
        </w:tabs>
        <w:rPr>
          <w:rFonts w:ascii="Arial" w:hAnsi="Arial" w:cs="Arial"/>
          <w:sz w:val="22"/>
          <w:szCs w:val="22"/>
        </w:rPr>
      </w:pPr>
      <w:r w:rsidRPr="00E64563">
        <w:rPr>
          <w:rFonts w:ascii="Arial" w:hAnsi="Arial" w:cs="Arial"/>
          <w:bCs/>
          <w:sz w:val="22"/>
          <w:szCs w:val="22"/>
          <w:highlight w:val="yellow"/>
        </w:rPr>
        <w:t xml:space="preserve">On February 13, 2024, we published in the </w:t>
      </w:r>
      <w:r w:rsidRPr="00E64563">
        <w:rPr>
          <w:rFonts w:ascii="Arial" w:hAnsi="Arial" w:cs="Arial"/>
          <w:bCs/>
          <w:i/>
          <w:iCs/>
          <w:sz w:val="22"/>
          <w:szCs w:val="22"/>
          <w:highlight w:val="yellow"/>
        </w:rPr>
        <w:t>Federal Register</w:t>
      </w:r>
      <w:r w:rsidRPr="00E64563">
        <w:rPr>
          <w:rFonts w:ascii="Arial" w:hAnsi="Arial" w:cs="Arial"/>
          <w:bCs/>
          <w:sz w:val="22"/>
          <w:szCs w:val="22"/>
          <w:highlight w:val="yellow"/>
        </w:rPr>
        <w:t xml:space="preserve"> (89 FR 10019) an extension of the public comment period for our proposed rule (RIN 1090</w:t>
      </w:r>
      <w:r w:rsidR="00E64563">
        <w:rPr>
          <w:rFonts w:ascii="Arial" w:hAnsi="Arial" w:cs="Arial"/>
          <w:bCs/>
          <w:sz w:val="22"/>
          <w:szCs w:val="22"/>
          <w:highlight w:val="yellow"/>
        </w:rPr>
        <w:t>-</w:t>
      </w:r>
      <w:r w:rsidRPr="00E64563">
        <w:rPr>
          <w:rFonts w:ascii="Arial" w:hAnsi="Arial" w:cs="Arial"/>
          <w:bCs/>
          <w:sz w:val="22"/>
          <w:szCs w:val="22"/>
          <w:highlight w:val="yellow"/>
        </w:rPr>
        <w:t xml:space="preserve">AB26).  This extension did not change the information collection comment period.  We did not receive any comments addressing the information collection requirements in response to </w:t>
      </w:r>
      <w:r w:rsidRPr="00E64563" w:rsidR="00E66899">
        <w:rPr>
          <w:rFonts w:ascii="Arial" w:hAnsi="Arial" w:cs="Arial"/>
          <w:bCs/>
          <w:sz w:val="22"/>
          <w:szCs w:val="22"/>
          <w:highlight w:val="yellow"/>
        </w:rPr>
        <w:t>our</w:t>
      </w:r>
      <w:r w:rsidRPr="00E64563">
        <w:rPr>
          <w:rFonts w:ascii="Arial" w:hAnsi="Arial" w:cs="Arial"/>
          <w:bCs/>
          <w:sz w:val="22"/>
          <w:szCs w:val="22"/>
          <w:highlight w:val="yellow"/>
        </w:rPr>
        <w:t xml:space="preserve"> proposed rule.</w:t>
      </w:r>
      <w:r w:rsidRPr="00815ED3">
        <w:rPr>
          <w:rFonts w:ascii="Arial" w:hAnsi="Arial" w:cs="Arial"/>
          <w:sz w:val="22"/>
          <w:szCs w:val="22"/>
        </w:rPr>
        <w:t xml:space="preserve">  </w:t>
      </w:r>
    </w:p>
    <w:p w:rsidR="00FE1BFC" w:rsidP="00FE1BFC" w14:paraId="1D2C1CFE" w14:textId="77777777">
      <w:pPr>
        <w:tabs>
          <w:tab w:val="left" w:pos="720"/>
        </w:tabs>
        <w:rPr>
          <w:rFonts w:ascii="Arial" w:hAnsi="Arial" w:cs="Arial"/>
          <w:sz w:val="22"/>
          <w:szCs w:val="22"/>
        </w:rPr>
      </w:pPr>
    </w:p>
    <w:p w:rsidR="00295FAB" w:rsidP="00FE1BFC" w14:paraId="2748F207" w14:textId="6FC9F05B">
      <w:pPr>
        <w:tabs>
          <w:tab w:val="left" w:pos="720"/>
        </w:tabs>
        <w:rPr>
          <w:rFonts w:ascii="Arial" w:hAnsi="Arial" w:cs="Arial"/>
          <w:sz w:val="22"/>
          <w:szCs w:val="22"/>
        </w:rPr>
      </w:pPr>
      <w:r w:rsidRPr="00DD3C67">
        <w:rPr>
          <w:rFonts w:ascii="Arial" w:hAnsi="Arial" w:cs="Arial"/>
          <w:sz w:val="22"/>
          <w:szCs w:val="22"/>
          <w:highlight w:val="yellow"/>
        </w:rPr>
        <w:t xml:space="preserve">However, several comments requested that Interior develop technical guidance on utilizing the new Type A procedures. Proposed topics for guidance included modeling, Type A Reports, cooperative agreements, the operability of the rebuttable presumption, and </w:t>
      </w:r>
      <w:r w:rsidRPr="00DD3C67" w:rsidR="00DD3C67">
        <w:rPr>
          <w:rFonts w:ascii="Arial" w:hAnsi="Arial" w:cs="Arial"/>
          <w:sz w:val="22"/>
          <w:szCs w:val="22"/>
          <w:highlight w:val="yellow"/>
        </w:rPr>
        <w:t>various other</w:t>
      </w:r>
      <w:r w:rsidRPr="00DD3C67">
        <w:rPr>
          <w:rFonts w:ascii="Arial" w:hAnsi="Arial" w:cs="Arial"/>
          <w:sz w:val="22"/>
          <w:szCs w:val="22"/>
          <w:highlight w:val="yellow"/>
        </w:rPr>
        <w:t xml:space="preserve"> case scenarios.  Interior agrees that additional guidance on how to use the new Type A procedures may be needed for practitioners and intends to develop appropriate guidance after the rule is finalized and published.  If/when the guidance is developed, we will provide that guidance to OMB as a nonsubstantive change request associated with Control No. 1091-0002.</w:t>
      </w:r>
    </w:p>
    <w:p w:rsidR="00295FAB" w:rsidP="00295FAB" w14:paraId="3479B3D6" w14:textId="77777777">
      <w:pPr>
        <w:tabs>
          <w:tab w:val="left" w:pos="720"/>
        </w:tabs>
        <w:rPr>
          <w:rFonts w:ascii="Arial" w:hAnsi="Arial" w:cs="Arial"/>
          <w:sz w:val="22"/>
          <w:szCs w:val="22"/>
        </w:rPr>
      </w:pPr>
    </w:p>
    <w:p w:rsidR="00295FAB" w:rsidP="00295FAB" w14:paraId="3BF4E28C" w14:textId="77777777">
      <w:pPr>
        <w:tabs>
          <w:tab w:val="left" w:pos="720"/>
        </w:tabs>
        <w:rPr>
          <w:rFonts w:ascii="Arial" w:hAnsi="Arial" w:cs="Arial"/>
          <w:sz w:val="22"/>
          <w:szCs w:val="22"/>
        </w:rPr>
      </w:pPr>
      <w:r w:rsidRPr="00E64563">
        <w:rPr>
          <w:rFonts w:ascii="Arial" w:hAnsi="Arial" w:cs="Arial"/>
          <w:sz w:val="22"/>
          <w:szCs w:val="22"/>
          <w:highlight w:val="yellow"/>
        </w:rPr>
        <w:t>Interior is now ready to proceed with the publication of the final rule.  The final rule will solicit comments on the information collections for a period of 30 days.</w:t>
      </w:r>
    </w:p>
    <w:p w:rsidR="00815ED3" w:rsidRPr="00E71923" w:rsidP="006319A2" w14:paraId="1D2C6702" w14:textId="77777777">
      <w:pPr>
        <w:tabs>
          <w:tab w:val="left" w:pos="720"/>
        </w:tabs>
        <w:rPr>
          <w:rFonts w:ascii="Arial" w:hAnsi="Arial" w:cs="Arial"/>
          <w:sz w:val="22"/>
          <w:szCs w:val="22"/>
        </w:rPr>
      </w:pPr>
    </w:p>
    <w:p w:rsidR="00295103" w:rsidRPr="00B50214" w:rsidP="00F464E2" w14:paraId="7D21AFBE" w14:textId="77777777">
      <w:pPr>
        <w:pStyle w:val="Heading1"/>
      </w:pPr>
      <w:r w:rsidRPr="00B50214">
        <w:t>9.</w:t>
      </w:r>
      <w:r w:rsidRPr="00B50214">
        <w:tab/>
        <w:t>Explain any decision to provide any payment or gift to respondents, other than remuneration of contractors or grantees.</w:t>
      </w:r>
    </w:p>
    <w:p w:rsidR="00295103" w:rsidRPr="00B50214" w:rsidP="006319A2" w14:paraId="10600C61" w14:textId="77777777">
      <w:pPr>
        <w:tabs>
          <w:tab w:val="left" w:pos="360"/>
          <w:tab w:val="left" w:pos="720"/>
        </w:tabs>
        <w:rPr>
          <w:rFonts w:ascii="Arial" w:hAnsi="Arial" w:cs="Arial"/>
          <w:sz w:val="22"/>
          <w:szCs w:val="22"/>
        </w:rPr>
      </w:pPr>
    </w:p>
    <w:p w:rsidR="00251281" w:rsidP="006319A2" w14:paraId="381AAC11" w14:textId="444E8A3A">
      <w:pPr>
        <w:tabs>
          <w:tab w:val="left" w:pos="360"/>
          <w:tab w:val="left" w:pos="720"/>
        </w:tabs>
        <w:rPr>
          <w:rFonts w:ascii="Arial" w:hAnsi="Arial" w:cs="Arial"/>
          <w:sz w:val="22"/>
          <w:szCs w:val="22"/>
        </w:rPr>
      </w:pPr>
      <w:r w:rsidRPr="007B6F71">
        <w:rPr>
          <w:rFonts w:ascii="Arial" w:hAnsi="Arial" w:cs="Arial"/>
          <w:sz w:val="22"/>
          <w:szCs w:val="22"/>
        </w:rPr>
        <w:t>There is no offer of monetary or material value for this information collection.</w:t>
      </w:r>
    </w:p>
    <w:p w:rsidR="003765F4" w:rsidRPr="00B50214" w:rsidP="006319A2" w14:paraId="1419BA53" w14:textId="77777777">
      <w:pPr>
        <w:tabs>
          <w:tab w:val="left" w:pos="360"/>
          <w:tab w:val="left" w:pos="720"/>
        </w:tabs>
        <w:rPr>
          <w:rFonts w:ascii="Arial" w:hAnsi="Arial" w:cs="Arial"/>
          <w:sz w:val="22"/>
          <w:szCs w:val="22"/>
        </w:rPr>
      </w:pPr>
    </w:p>
    <w:p w:rsidR="004A6DFA" w:rsidRPr="00B50214" w:rsidP="00F464E2" w14:paraId="7247D307"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6319A2" w14:paraId="48779EFD" w14:textId="77777777">
      <w:pPr>
        <w:tabs>
          <w:tab w:val="left" w:pos="450"/>
          <w:tab w:val="left" w:pos="720"/>
        </w:tabs>
        <w:rPr>
          <w:rFonts w:ascii="Arial" w:hAnsi="Arial" w:cs="Arial"/>
          <w:sz w:val="22"/>
          <w:szCs w:val="22"/>
        </w:rPr>
      </w:pPr>
    </w:p>
    <w:p w:rsidR="006B7923" w:rsidRPr="00B50214" w:rsidP="006B7923" w14:paraId="301B3C08" w14:textId="11BED3BE">
      <w:pPr>
        <w:tabs>
          <w:tab w:val="left" w:pos="450"/>
          <w:tab w:val="left" w:pos="720"/>
        </w:tabs>
        <w:rPr>
          <w:rFonts w:ascii="Arial" w:hAnsi="Arial" w:cs="Arial"/>
          <w:sz w:val="22"/>
          <w:szCs w:val="22"/>
        </w:rPr>
      </w:pPr>
      <w:r w:rsidRPr="1B27D65F">
        <w:rPr>
          <w:rFonts w:ascii="Arial" w:hAnsi="Arial" w:cs="Arial"/>
          <w:sz w:val="22"/>
          <w:szCs w:val="22"/>
        </w:rPr>
        <w:t>NRDAR is a legal process that includes privileged and confidential information, including protection by the Attorney Client, Deliberative, Law Enforcement, Common Interest and/or Joint Prosecution Privileges, and is not subject to disclosure under FOIA.  The Trustees develop agreements on how to handle confidentiality. Personally identifiable information (PII) is not part of this information collection.</w:t>
      </w:r>
      <w:r w:rsidRPr="1B27D65F" w:rsidR="3C1EA6C7">
        <w:rPr>
          <w:rFonts w:ascii="Arial" w:hAnsi="Arial" w:cs="Arial"/>
          <w:sz w:val="22"/>
          <w:szCs w:val="22"/>
        </w:rPr>
        <w:t xml:space="preserve">  </w:t>
      </w:r>
      <w:r w:rsidRPr="1B27D65F" w:rsidR="3C1EA6C7">
        <w:rPr>
          <w:rFonts w:ascii="Arial" w:hAnsi="Arial" w:cs="Arial"/>
          <w:sz w:val="22"/>
          <w:szCs w:val="22"/>
          <w:highlight w:val="yellow"/>
        </w:rPr>
        <w:t>The new version of DARTS, set to launch in 2027, is currently undergoin</w:t>
      </w:r>
      <w:r w:rsidRPr="1B27D65F" w:rsidR="16DDDC67">
        <w:rPr>
          <w:rFonts w:ascii="Arial" w:hAnsi="Arial" w:cs="Arial"/>
          <w:sz w:val="22"/>
          <w:szCs w:val="22"/>
          <w:highlight w:val="yellow"/>
        </w:rPr>
        <w:t xml:space="preserve">g </w:t>
      </w:r>
      <w:r w:rsidRPr="1B27D65F" w:rsidR="3BB67839">
        <w:rPr>
          <w:rFonts w:ascii="Arial" w:hAnsi="Arial" w:cs="Arial"/>
          <w:sz w:val="22"/>
          <w:szCs w:val="22"/>
          <w:highlight w:val="yellow"/>
        </w:rPr>
        <w:t>Privacy Threshold and Privacy Impact Analyses</w:t>
      </w:r>
      <w:r w:rsidRPr="1B27D65F" w:rsidR="06D291C4">
        <w:rPr>
          <w:rFonts w:ascii="Arial" w:hAnsi="Arial" w:cs="Arial"/>
          <w:sz w:val="22"/>
          <w:szCs w:val="22"/>
          <w:highlight w:val="yellow"/>
        </w:rPr>
        <w:t xml:space="preserve"> which are expected to be completed by August 2026.</w:t>
      </w:r>
    </w:p>
    <w:p w:rsidR="006B7923" w:rsidRPr="00B50214" w:rsidP="006B7923" w14:paraId="1FDADCDE" w14:textId="77777777">
      <w:pPr>
        <w:tabs>
          <w:tab w:val="left" w:pos="450"/>
          <w:tab w:val="left" w:pos="720"/>
        </w:tabs>
        <w:rPr>
          <w:rFonts w:ascii="Arial" w:hAnsi="Arial" w:cs="Arial"/>
          <w:sz w:val="22"/>
          <w:szCs w:val="22"/>
        </w:rPr>
      </w:pPr>
    </w:p>
    <w:p w:rsidR="00295103" w:rsidRPr="00B50214" w:rsidP="00F464E2" w14:paraId="2A5801F3"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6319A2" w14:paraId="0D4F7DD4" w14:textId="77777777">
      <w:pPr>
        <w:tabs>
          <w:tab w:val="left" w:pos="450"/>
          <w:tab w:val="left" w:pos="720"/>
        </w:tabs>
        <w:rPr>
          <w:rFonts w:ascii="Arial" w:hAnsi="Arial" w:cs="Arial"/>
          <w:sz w:val="22"/>
          <w:szCs w:val="22"/>
        </w:rPr>
      </w:pPr>
    </w:p>
    <w:p w:rsidR="00251281" w:rsidRPr="00B50214" w:rsidP="006319A2" w14:paraId="3D9AEA7C" w14:textId="0E2E3914">
      <w:pPr>
        <w:tabs>
          <w:tab w:val="left" w:pos="450"/>
          <w:tab w:val="left" w:pos="720"/>
        </w:tabs>
        <w:rPr>
          <w:rFonts w:ascii="Arial" w:hAnsi="Arial" w:cs="Arial"/>
          <w:sz w:val="22"/>
          <w:szCs w:val="22"/>
        </w:rPr>
      </w:pPr>
      <w:r>
        <w:rPr>
          <w:rFonts w:ascii="Arial" w:hAnsi="Arial" w:cs="Arial"/>
          <w:sz w:val="22"/>
          <w:szCs w:val="22"/>
        </w:rPr>
        <w:t>Tribal Trustees can choose whether they want to provide any information on injured natural resources that have cultural values, including religious or spiritual uses, but this ICR does not create or include any obligation to do so.  Otherwise, Trustees do not collect information on these types of sensitive questions.</w:t>
      </w:r>
    </w:p>
    <w:p w:rsidR="00251281" w:rsidRPr="00B50214" w:rsidP="006319A2" w14:paraId="7B2260EC" w14:textId="77777777">
      <w:pPr>
        <w:tabs>
          <w:tab w:val="left" w:pos="450"/>
          <w:tab w:val="left" w:pos="720"/>
        </w:tabs>
        <w:rPr>
          <w:rFonts w:ascii="Arial" w:hAnsi="Arial" w:cs="Arial"/>
          <w:sz w:val="22"/>
          <w:szCs w:val="22"/>
        </w:rPr>
      </w:pPr>
    </w:p>
    <w:p w:rsidR="00BE15C1" w:rsidRPr="00B50214" w:rsidP="00BE15C1" w14:paraId="12BB4046" w14:textId="77777777">
      <w:pPr>
        <w:pStyle w:val="Heading1"/>
        <w:tabs>
          <w:tab w:val="clear" w:pos="360"/>
          <w:tab w:val="left" w:pos="450"/>
        </w:tabs>
      </w:pPr>
      <w:r w:rsidRPr="00B50214">
        <w:t>12.</w:t>
      </w:r>
      <w:r w:rsidRPr="00B50214">
        <w:tab/>
        <w:t>Provide estimates of the hour burden of the collection of information.  The statement should:</w:t>
      </w:r>
    </w:p>
    <w:p w:rsidR="00BE15C1" w:rsidRPr="00B50214" w:rsidP="00BE15C1" w14:paraId="349D8849"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w:t>
      </w:r>
      <w:r w:rsidRPr="00B50214">
        <w:rPr>
          <w:rFonts w:ascii="Arial" w:hAnsi="Arial" w:cs="Arial"/>
          <w:b/>
          <w:sz w:val="22"/>
          <w:szCs w:val="22"/>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E15C1" w:rsidRPr="00B50214" w:rsidP="00BE15C1" w14:paraId="1A821D9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BE15C1" w:rsidP="00BE15C1" w14:paraId="0CB688EC"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E15C1" w:rsidP="00BE15C1" w14:paraId="51AF6F65" w14:textId="77777777">
      <w:pPr>
        <w:tabs>
          <w:tab w:val="left" w:pos="450"/>
          <w:tab w:val="left" w:pos="720"/>
        </w:tabs>
        <w:rPr>
          <w:rFonts w:ascii="Arial" w:hAnsi="Arial" w:cs="Arial"/>
          <w:sz w:val="22"/>
          <w:szCs w:val="22"/>
        </w:rPr>
      </w:pPr>
    </w:p>
    <w:p w:rsidR="00BE15C1" w:rsidRPr="00861D00" w:rsidP="00BE15C1" w14:paraId="52514F3B" w14:textId="266B233E">
      <w:pPr>
        <w:tabs>
          <w:tab w:val="left" w:pos="360"/>
          <w:tab w:val="left" w:pos="720"/>
        </w:tabs>
        <w:rPr>
          <w:rFonts w:ascii="Arial" w:hAnsi="Arial" w:cs="Arial"/>
          <w:sz w:val="22"/>
          <w:szCs w:val="22"/>
        </w:rPr>
      </w:pPr>
      <w:r w:rsidRPr="30C6E5DE">
        <w:rPr>
          <w:rFonts w:ascii="Arial" w:hAnsi="Arial" w:cs="Arial"/>
          <w:sz w:val="22"/>
          <w:szCs w:val="22"/>
        </w:rPr>
        <w:t xml:space="preserve">We estimate that we will </w:t>
      </w:r>
      <w:r w:rsidRPr="00760AF7">
        <w:rPr>
          <w:rFonts w:ascii="Arial" w:hAnsi="Arial" w:cs="Arial"/>
          <w:sz w:val="22"/>
          <w:szCs w:val="22"/>
        </w:rPr>
        <w:t xml:space="preserve">receive </w:t>
      </w:r>
      <w:r w:rsidRPr="00760AF7">
        <w:rPr>
          <w:rFonts w:ascii="Arial" w:hAnsi="Arial" w:cs="Arial"/>
          <w:b/>
          <w:bCs/>
          <w:sz w:val="22"/>
          <w:szCs w:val="22"/>
        </w:rPr>
        <w:t>155 annual responses</w:t>
      </w:r>
      <w:r w:rsidRPr="00760AF7">
        <w:rPr>
          <w:rFonts w:ascii="Arial" w:hAnsi="Arial" w:cs="Arial"/>
          <w:sz w:val="22"/>
          <w:szCs w:val="22"/>
        </w:rPr>
        <w:t xml:space="preserve"> totaling </w:t>
      </w:r>
      <w:r w:rsidRPr="00760AF7">
        <w:rPr>
          <w:rFonts w:ascii="Arial" w:hAnsi="Arial" w:cs="Arial"/>
          <w:b/>
          <w:bCs/>
          <w:sz w:val="22"/>
          <w:szCs w:val="22"/>
        </w:rPr>
        <w:t>513,926 burden hours</w:t>
      </w:r>
      <w:r w:rsidRPr="00760AF7">
        <w:rPr>
          <w:rFonts w:ascii="Arial" w:hAnsi="Arial" w:cs="Arial"/>
          <w:sz w:val="22"/>
          <w:szCs w:val="22"/>
        </w:rPr>
        <w:t xml:space="preserve"> for</w:t>
      </w:r>
      <w:r w:rsidRPr="30C6E5DE">
        <w:rPr>
          <w:rFonts w:ascii="Arial" w:hAnsi="Arial" w:cs="Arial"/>
          <w:sz w:val="22"/>
          <w:szCs w:val="22"/>
        </w:rPr>
        <w:t xml:space="preserve"> this information collection (see Attachment A).  We estimate the annual dollar value of the burden hours is </w:t>
      </w:r>
      <w:r w:rsidRPr="00813FB5">
        <w:rPr>
          <w:rFonts w:ascii="Arial" w:hAnsi="Arial" w:cs="Arial"/>
          <w:b/>
          <w:bCs/>
          <w:sz w:val="22"/>
          <w:szCs w:val="22"/>
          <w:highlight w:val="yellow"/>
        </w:rPr>
        <w:t>$</w:t>
      </w:r>
      <w:r w:rsidR="008554A0">
        <w:rPr>
          <w:rFonts w:ascii="Arial" w:hAnsi="Arial" w:cs="Arial"/>
          <w:b/>
          <w:bCs/>
          <w:sz w:val="22"/>
          <w:szCs w:val="22"/>
          <w:highlight w:val="yellow"/>
        </w:rPr>
        <w:t>75,</w:t>
      </w:r>
      <w:r w:rsidR="00AF1E1B">
        <w:rPr>
          <w:rFonts w:ascii="Arial" w:hAnsi="Arial" w:cs="Arial"/>
          <w:b/>
          <w:bCs/>
          <w:sz w:val="22"/>
          <w:szCs w:val="22"/>
          <w:highlight w:val="yellow"/>
        </w:rPr>
        <w:t>579,469</w:t>
      </w:r>
      <w:r w:rsidRPr="30C6E5DE">
        <w:rPr>
          <w:rFonts w:ascii="Arial" w:hAnsi="Arial" w:cs="Arial"/>
          <w:b/>
          <w:bCs/>
          <w:sz w:val="22"/>
          <w:szCs w:val="22"/>
        </w:rPr>
        <w:t xml:space="preserve"> </w:t>
      </w:r>
      <w:r w:rsidRPr="30C6E5DE">
        <w:rPr>
          <w:rFonts w:ascii="Arial" w:hAnsi="Arial" w:cs="Arial"/>
          <w:sz w:val="22"/>
          <w:szCs w:val="22"/>
        </w:rPr>
        <w:t>(rounded) (see Attachment A).</w:t>
      </w:r>
    </w:p>
    <w:p w:rsidR="00BE15C1" w:rsidP="00BE15C1" w14:paraId="14596699" w14:textId="77777777">
      <w:pPr>
        <w:tabs>
          <w:tab w:val="left" w:pos="360"/>
          <w:tab w:val="left" w:pos="720"/>
        </w:tabs>
        <w:rPr>
          <w:rFonts w:ascii="Arial" w:hAnsi="Arial" w:cs="Arial"/>
          <w:sz w:val="22"/>
          <w:szCs w:val="22"/>
        </w:rPr>
      </w:pPr>
    </w:p>
    <w:p w:rsidR="00BE15C1" w:rsidP="00BE15C1" w14:paraId="44C1BF1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(1) </w:t>
      </w:r>
      <w:r>
        <w:rPr>
          <w:rStyle w:val="normaltextrun"/>
          <w:rFonts w:ascii="Arial" w:hAnsi="Arial" w:cs="Arial"/>
          <w:b/>
          <w:sz w:val="22"/>
          <w:szCs w:val="22"/>
        </w:rPr>
        <w:t xml:space="preserve"> </w:t>
      </w:r>
      <w:r>
        <w:rPr>
          <w:rStyle w:val="normaltextrun"/>
          <w:rFonts w:ascii="Arial" w:hAnsi="Arial" w:cs="Arial"/>
          <w:b/>
          <w:bCs/>
          <w:sz w:val="22"/>
          <w:szCs w:val="22"/>
          <w:u w:val="single"/>
        </w:rPr>
        <w:t>General BLS Statistical Data for Individuals and Government</w:t>
      </w:r>
      <w:r>
        <w:rPr>
          <w:rStyle w:val="eop"/>
          <w:rFonts w:ascii="Arial" w:hAnsi="Arial" w:cs="Arial"/>
          <w:sz w:val="22"/>
          <w:szCs w:val="22"/>
        </w:rPr>
        <w:t> </w:t>
      </w:r>
    </w:p>
    <w:p w:rsidR="00BE15C1" w:rsidRPr="00AB7597" w:rsidP="00BE15C1" w14:paraId="57CCC872" w14:textId="03B6A727">
      <w:pPr>
        <w:tabs>
          <w:tab w:val="left" w:pos="360"/>
          <w:tab w:val="left" w:pos="720"/>
        </w:tabs>
        <w:rPr>
          <w:rFonts w:ascii="Arial" w:hAnsi="Arial" w:cs="Arial"/>
          <w:sz w:val="22"/>
          <w:szCs w:val="22"/>
          <w:highlight w:val="yellow"/>
        </w:rPr>
      </w:pPr>
      <w:r w:rsidRPr="00AB7597">
        <w:rPr>
          <w:rFonts w:ascii="Arial" w:hAnsi="Arial" w:cs="Arial"/>
          <w:sz w:val="22"/>
          <w:szCs w:val="22"/>
          <w:highlight w:val="yellow"/>
        </w:rPr>
        <w:t>We used the</w:t>
      </w:r>
      <w:r w:rsidRPr="00AB7597" w:rsidR="00AB7597">
        <w:rPr>
          <w:rFonts w:ascii="Arial" w:hAnsi="Arial" w:cs="Arial"/>
          <w:sz w:val="22"/>
          <w:szCs w:val="22"/>
          <w:highlight w:val="yellow"/>
        </w:rPr>
        <w:t xml:space="preserve"> Bureau of Labor Statistics (BLS)</w:t>
      </w:r>
      <w:r w:rsidRPr="00AB7597">
        <w:rPr>
          <w:rFonts w:ascii="Arial" w:hAnsi="Arial" w:cs="Arial"/>
          <w:sz w:val="22"/>
          <w:szCs w:val="22"/>
          <w:highlight w:val="yellow"/>
        </w:rPr>
        <w:t xml:space="preserve"> </w:t>
      </w:r>
      <w:hyperlink r:id="rId13" w:history="1">
        <w:r w:rsidRPr="00AB7597">
          <w:rPr>
            <w:rStyle w:val="Hyperlink"/>
            <w:rFonts w:ascii="Arial" w:hAnsi="Arial" w:cs="Arial"/>
            <w:sz w:val="22"/>
            <w:szCs w:val="22"/>
            <w:highlight w:val="yellow"/>
          </w:rPr>
          <w:t>News Release</w:t>
        </w:r>
      </w:hyperlink>
      <w:r w:rsidRPr="00AB7597">
        <w:rPr>
          <w:rFonts w:ascii="Arial" w:hAnsi="Arial" w:cs="Arial"/>
          <w:sz w:val="22"/>
          <w:szCs w:val="22"/>
          <w:highlight w:val="yellow"/>
        </w:rPr>
        <w:t xml:space="preserve"> </w:t>
      </w:r>
      <w:r w:rsidRPr="00AB7597" w:rsidR="00547CFA">
        <w:rPr>
          <w:rFonts w:ascii="Arial" w:hAnsi="Arial" w:cs="Arial"/>
          <w:sz w:val="22"/>
          <w:szCs w:val="22"/>
          <w:highlight w:val="yellow"/>
        </w:rPr>
        <w:t>USDL</w:t>
      </w:r>
      <w:r w:rsidRPr="00157B9F" w:rsidR="00547CFA">
        <w:rPr>
          <w:rFonts w:ascii="Arial" w:hAnsi="Arial" w:cs="Arial"/>
          <w:sz w:val="22"/>
          <w:szCs w:val="22"/>
          <w:highlight w:val="yellow"/>
        </w:rPr>
        <w:t>-</w:t>
      </w:r>
      <w:r w:rsidRPr="00157B9F" w:rsidR="00157B9F">
        <w:rPr>
          <w:rFonts w:ascii="Arial" w:hAnsi="Arial" w:cs="Arial"/>
          <w:sz w:val="22"/>
          <w:szCs w:val="22"/>
          <w:highlight w:val="yellow"/>
        </w:rPr>
        <w:t>26-0827</w:t>
      </w:r>
      <w:r w:rsidRPr="00157B9F">
        <w:rPr>
          <w:rFonts w:ascii="Arial" w:hAnsi="Arial" w:cs="Arial"/>
          <w:sz w:val="22"/>
          <w:szCs w:val="22"/>
          <w:highlight w:val="yellow"/>
        </w:rPr>
        <w:t xml:space="preserve">, </w:t>
      </w:r>
      <w:r w:rsidR="00157B9F">
        <w:rPr>
          <w:rFonts w:ascii="Arial" w:hAnsi="Arial" w:cs="Arial"/>
          <w:sz w:val="22"/>
          <w:szCs w:val="22"/>
          <w:highlight w:val="yellow"/>
        </w:rPr>
        <w:t>June 12</w:t>
      </w:r>
      <w:r w:rsidRPr="00AB7597" w:rsidR="000338EC">
        <w:rPr>
          <w:rFonts w:ascii="Arial" w:hAnsi="Arial" w:cs="Arial"/>
          <w:sz w:val="22"/>
          <w:szCs w:val="22"/>
          <w:highlight w:val="yellow"/>
        </w:rPr>
        <w:t>, 2026</w:t>
      </w:r>
      <w:r w:rsidRPr="00AB7597">
        <w:rPr>
          <w:rFonts w:ascii="Arial" w:hAnsi="Arial" w:cs="Arial"/>
          <w:sz w:val="22"/>
          <w:szCs w:val="22"/>
          <w:highlight w:val="yellow"/>
        </w:rPr>
        <w:t xml:space="preserve"> Costs for Employee Compensation—</w:t>
      </w:r>
      <w:r w:rsidR="00157B9F">
        <w:rPr>
          <w:rFonts w:ascii="Arial" w:hAnsi="Arial" w:cs="Arial"/>
          <w:sz w:val="22"/>
          <w:szCs w:val="22"/>
          <w:highlight w:val="yellow"/>
        </w:rPr>
        <w:t>March 2026</w:t>
      </w:r>
      <w:r w:rsidRPr="00AB7597">
        <w:rPr>
          <w:rFonts w:ascii="Arial" w:hAnsi="Arial" w:cs="Arial"/>
          <w:sz w:val="22"/>
          <w:szCs w:val="22"/>
          <w:highlight w:val="yellow"/>
        </w:rPr>
        <w:t>, to calculate the cost of the total annual burden hours:</w:t>
      </w:r>
    </w:p>
    <w:p w:rsidR="00BE15C1" w:rsidRPr="00AB7597" w:rsidP="00BE15C1" w14:paraId="66329740" w14:textId="77777777">
      <w:pPr>
        <w:tabs>
          <w:tab w:val="left" w:pos="360"/>
          <w:tab w:val="left" w:pos="720"/>
        </w:tabs>
        <w:rPr>
          <w:rFonts w:ascii="Arial" w:hAnsi="Arial" w:cs="Arial"/>
          <w:sz w:val="22"/>
          <w:szCs w:val="22"/>
          <w:highlight w:val="yellow"/>
        </w:rPr>
      </w:pPr>
    </w:p>
    <w:p w:rsidR="00BE15C1" w:rsidP="00BE15C1" w14:paraId="3DE16A49" w14:textId="79EDAEDE">
      <w:pPr>
        <w:widowControl/>
        <w:numPr>
          <w:ilvl w:val="0"/>
          <w:numId w:val="4"/>
        </w:numPr>
        <w:autoSpaceDE/>
        <w:autoSpaceDN/>
        <w:adjustRightInd/>
        <w:rPr>
          <w:rFonts w:ascii="Arial" w:hAnsi="Arial" w:cs="Arial"/>
          <w:sz w:val="22"/>
          <w:szCs w:val="22"/>
          <w:highlight w:val="yellow"/>
        </w:rPr>
      </w:pPr>
      <w:r w:rsidRPr="00AB7597">
        <w:rPr>
          <w:rFonts w:ascii="Arial" w:hAnsi="Arial" w:cs="Arial"/>
          <w:sz w:val="22"/>
          <w:szCs w:val="22"/>
          <w:highlight w:val="yellow"/>
        </w:rPr>
        <w:t>Individuals/Households – the hourly rate for all workers is $</w:t>
      </w:r>
      <w:r w:rsidR="000B2529">
        <w:rPr>
          <w:rFonts w:ascii="Arial" w:hAnsi="Arial" w:cs="Arial"/>
          <w:sz w:val="22"/>
          <w:szCs w:val="22"/>
          <w:highlight w:val="yellow"/>
        </w:rPr>
        <w:t>49.32</w:t>
      </w:r>
      <w:r w:rsidRPr="00AB7597">
        <w:rPr>
          <w:rFonts w:ascii="Arial" w:hAnsi="Arial" w:cs="Arial"/>
          <w:sz w:val="22"/>
          <w:szCs w:val="22"/>
          <w:highlight w:val="yellow"/>
        </w:rPr>
        <w:t>, including benefits.</w:t>
      </w:r>
    </w:p>
    <w:p w:rsidR="00DB2CB2" w:rsidRPr="00AB7597" w:rsidP="00BE15C1" w14:paraId="3D8AE5F0" w14:textId="4B345497">
      <w:pPr>
        <w:widowControl/>
        <w:numPr>
          <w:ilvl w:val="0"/>
          <w:numId w:val="4"/>
        </w:numPr>
        <w:autoSpaceDE/>
        <w:autoSpaceDN/>
        <w:adjustRightInd/>
        <w:rPr>
          <w:rFonts w:ascii="Arial" w:hAnsi="Arial" w:cs="Arial"/>
          <w:sz w:val="22"/>
          <w:szCs w:val="22"/>
          <w:highlight w:val="yellow"/>
        </w:rPr>
      </w:pPr>
      <w:r>
        <w:rPr>
          <w:rFonts w:ascii="Arial" w:hAnsi="Arial" w:cs="Arial"/>
          <w:sz w:val="22"/>
          <w:szCs w:val="22"/>
          <w:highlight w:val="yellow"/>
        </w:rPr>
        <w:t xml:space="preserve">Private Sector – </w:t>
      </w:r>
      <w:r w:rsidR="00682839">
        <w:rPr>
          <w:rFonts w:ascii="Arial" w:hAnsi="Arial" w:cs="Arial"/>
          <w:sz w:val="22"/>
          <w:szCs w:val="22"/>
          <w:highlight w:val="yellow"/>
        </w:rPr>
        <w:t>See item (2) below for specialized rate</w:t>
      </w:r>
      <w:r w:rsidR="007A53B2">
        <w:rPr>
          <w:rFonts w:ascii="Arial" w:hAnsi="Arial" w:cs="Arial"/>
          <w:sz w:val="22"/>
          <w:szCs w:val="22"/>
          <w:highlight w:val="yellow"/>
        </w:rPr>
        <w:t xml:space="preserve"> calculated for this category.</w:t>
      </w:r>
    </w:p>
    <w:p w:rsidR="00BE15C1" w:rsidRPr="00AB7597" w:rsidP="00BE15C1" w14:paraId="0BB74BEA" w14:textId="43CB8A29">
      <w:pPr>
        <w:widowControl/>
        <w:numPr>
          <w:ilvl w:val="0"/>
          <w:numId w:val="4"/>
        </w:numPr>
        <w:autoSpaceDE/>
        <w:autoSpaceDN/>
        <w:adjustRightInd/>
        <w:rPr>
          <w:rFonts w:ascii="Arial" w:hAnsi="Arial" w:cs="Arial"/>
          <w:sz w:val="22"/>
          <w:szCs w:val="22"/>
          <w:highlight w:val="yellow"/>
        </w:rPr>
      </w:pPr>
      <w:r w:rsidRPr="00AB7597">
        <w:rPr>
          <w:rFonts w:ascii="Arial" w:hAnsi="Arial" w:cs="Arial"/>
          <w:sz w:val="22"/>
          <w:szCs w:val="22"/>
          <w:highlight w:val="yellow"/>
        </w:rPr>
        <w:t>State/Tribal Government – the hourly rate for all workers is $</w:t>
      </w:r>
      <w:r w:rsidR="000B2529">
        <w:rPr>
          <w:rFonts w:ascii="Arial" w:hAnsi="Arial" w:cs="Arial"/>
          <w:sz w:val="22"/>
          <w:szCs w:val="22"/>
          <w:highlight w:val="yellow"/>
        </w:rPr>
        <w:t>66.41</w:t>
      </w:r>
      <w:r w:rsidRPr="00AB7597">
        <w:rPr>
          <w:rFonts w:ascii="Arial" w:hAnsi="Arial" w:cs="Arial"/>
          <w:sz w:val="22"/>
          <w:szCs w:val="22"/>
          <w:highlight w:val="yellow"/>
        </w:rPr>
        <w:t>, including benefits.</w:t>
      </w:r>
    </w:p>
    <w:p w:rsidR="00BE15C1" w:rsidP="00BE15C1" w14:paraId="11E7F7DF" w14:textId="77777777">
      <w:pPr>
        <w:tabs>
          <w:tab w:val="left" w:pos="360"/>
          <w:tab w:val="left" w:pos="720"/>
        </w:tabs>
        <w:rPr>
          <w:rFonts w:ascii="Arial" w:hAnsi="Arial" w:cs="Arial"/>
          <w:sz w:val="28"/>
          <w:szCs w:val="28"/>
        </w:rPr>
      </w:pPr>
    </w:p>
    <w:p w:rsidR="00BE15C1" w:rsidRPr="00F832F0" w:rsidP="00BE15C1" w14:paraId="0B1CF1C5" w14:textId="77777777">
      <w:pPr>
        <w:pStyle w:val="paragraph"/>
        <w:spacing w:before="0" w:beforeAutospacing="0" w:after="0" w:afterAutospacing="0"/>
        <w:textAlignment w:val="baseline"/>
        <w:rPr>
          <w:rStyle w:val="eop"/>
          <w:rFonts w:ascii="Arial" w:hAnsi="Arial" w:cs="Arial"/>
          <w:sz w:val="22"/>
          <w:szCs w:val="22"/>
          <w:u w:val="single"/>
        </w:rPr>
      </w:pPr>
      <w:r w:rsidRPr="30C6E5DE">
        <w:rPr>
          <w:rStyle w:val="normaltextrun"/>
          <w:rFonts w:ascii="Arial" w:hAnsi="Arial" w:cs="Arial"/>
          <w:b/>
          <w:bCs/>
          <w:sz w:val="22"/>
          <w:szCs w:val="22"/>
        </w:rPr>
        <w:t xml:space="preserve">(2)  </w:t>
      </w:r>
      <w:r w:rsidRPr="30C6E5DE">
        <w:rPr>
          <w:rStyle w:val="normaltextrun"/>
          <w:rFonts w:ascii="Arial" w:hAnsi="Arial" w:cs="Arial"/>
          <w:b/>
          <w:bCs/>
          <w:sz w:val="22"/>
          <w:szCs w:val="22"/>
          <w:u w:val="single"/>
        </w:rPr>
        <w:t>Scientific, Legal, and Technical Managers and Consultants in the Oil and Gas Industry for Private Sector</w:t>
      </w:r>
    </w:p>
    <w:p w:rsidR="00BE15C1" w:rsidP="00BE15C1" w14:paraId="7073B82E" w14:textId="77777777">
      <w:pPr>
        <w:pStyle w:val="paragraph"/>
        <w:spacing w:before="0" w:beforeAutospacing="0" w:after="0" w:afterAutospacing="0"/>
        <w:textAlignment w:val="baseline"/>
        <w:rPr>
          <w:rFonts w:ascii="Segoe UI" w:hAnsi="Segoe UI" w:cs="Segoe UI"/>
          <w:sz w:val="18"/>
          <w:szCs w:val="18"/>
        </w:rPr>
      </w:pPr>
    </w:p>
    <w:p w:rsidR="00BE15C1" w:rsidRPr="0099602B" w:rsidP="00BE15C1" w14:paraId="226D9D98" w14:textId="48DF247C">
      <w:pPr>
        <w:pStyle w:val="paragraph"/>
        <w:spacing w:before="0" w:beforeAutospacing="0" w:after="0" w:afterAutospacing="0"/>
        <w:textAlignment w:val="baseline"/>
        <w:rPr>
          <w:rFonts w:ascii="Segoe UI" w:hAnsi="Segoe UI" w:cs="Segoe UI"/>
          <w:sz w:val="18"/>
          <w:szCs w:val="18"/>
          <w:highlight w:val="yellow"/>
        </w:rPr>
      </w:pPr>
      <w:r w:rsidRPr="30C6E5DE">
        <w:rPr>
          <w:rStyle w:val="normaltextrun"/>
          <w:rFonts w:ascii="Arial" w:hAnsi="Arial" w:cs="Arial"/>
          <w:sz w:val="22"/>
          <w:szCs w:val="22"/>
        </w:rPr>
        <w:t xml:space="preserve">The cost burden associated with NRDAR activities are often conducted using contracted services, which do not fit well within the hourly rates published by the BLS.  The cost of these services can vary widely depending on size of the consulting company, the seniority of the persons providing the services, and the reputation of the consulting firm.  Although PRPs come from a wide range of industries, </w:t>
      </w:r>
      <w:r w:rsidRPr="0099602B">
        <w:rPr>
          <w:rStyle w:val="normaltextrun"/>
          <w:rFonts w:ascii="Arial" w:hAnsi="Arial" w:cs="Arial"/>
          <w:sz w:val="22"/>
          <w:szCs w:val="22"/>
          <w:highlight w:val="yellow"/>
        </w:rPr>
        <w:t>we used BLS May 202</w:t>
      </w:r>
      <w:r w:rsidRPr="0099602B" w:rsidR="00F56CDC">
        <w:rPr>
          <w:rStyle w:val="normaltextrun"/>
          <w:rFonts w:ascii="Arial" w:hAnsi="Arial" w:cs="Arial"/>
          <w:sz w:val="22"/>
          <w:szCs w:val="22"/>
          <w:highlight w:val="yellow"/>
        </w:rPr>
        <w:t>3</w:t>
      </w:r>
      <w:r w:rsidRPr="0099602B">
        <w:rPr>
          <w:rStyle w:val="normaltextrun"/>
          <w:rFonts w:ascii="Arial" w:hAnsi="Arial" w:cs="Arial"/>
          <w:sz w:val="22"/>
          <w:szCs w:val="22"/>
          <w:highlight w:val="yellow"/>
        </w:rPr>
        <w:t xml:space="preserve"> National Industry-Specific Occupational Employment and Wage Estimates for NAICS Code </w:t>
      </w:r>
      <w:hyperlink r:id="rId14">
        <w:r w:rsidRPr="0099602B">
          <w:rPr>
            <w:rStyle w:val="normaltextrun"/>
            <w:rFonts w:ascii="Arial" w:hAnsi="Arial" w:cs="Arial"/>
            <w:color w:val="0000FF"/>
            <w:sz w:val="22"/>
            <w:szCs w:val="22"/>
            <w:highlight w:val="yellow"/>
            <w:u w:val="single"/>
          </w:rPr>
          <w:t>211100, "Oil and Gas Extraction"</w:t>
        </w:r>
      </w:hyperlink>
      <w:r w:rsidRPr="0099602B">
        <w:rPr>
          <w:rFonts w:ascii="Arial" w:hAnsi="Arial" w:cs="Arial"/>
          <w:sz w:val="22"/>
          <w:szCs w:val="22"/>
          <w:highlight w:val="yellow"/>
        </w:rPr>
        <w:t xml:space="preserve"> </w:t>
      </w:r>
      <w:r w:rsidR="00F51F04">
        <w:rPr>
          <w:rFonts w:ascii="Arial" w:hAnsi="Arial" w:cs="Arial"/>
          <w:sz w:val="22"/>
          <w:szCs w:val="22"/>
          <w:highlight w:val="yellow"/>
        </w:rPr>
        <w:t xml:space="preserve">(dated April 3, 2024) </w:t>
      </w:r>
      <w:r w:rsidRPr="0099602B">
        <w:rPr>
          <w:rFonts w:ascii="Arial" w:hAnsi="Arial" w:cs="Arial"/>
          <w:sz w:val="22"/>
          <w:szCs w:val="22"/>
          <w:highlight w:val="yellow"/>
        </w:rPr>
        <w:t>as a reasonable representation of PRPs and consultants</w:t>
      </w:r>
      <w:r w:rsidR="009A36BF">
        <w:rPr>
          <w:rFonts w:ascii="Arial" w:hAnsi="Arial" w:cs="Arial"/>
          <w:sz w:val="22"/>
          <w:szCs w:val="22"/>
          <w:highlight w:val="yellow"/>
        </w:rPr>
        <w:t xml:space="preserve"> which lists t</w:t>
      </w:r>
      <w:r w:rsidRPr="0099602B">
        <w:rPr>
          <w:rStyle w:val="normaltextrun"/>
          <w:rFonts w:ascii="Arial" w:hAnsi="Arial" w:cs="Arial"/>
          <w:sz w:val="22"/>
          <w:szCs w:val="22"/>
          <w:highlight w:val="yellow"/>
        </w:rPr>
        <w:t>he mean hourly wage</w:t>
      </w:r>
      <w:r w:rsidR="009A36BF">
        <w:rPr>
          <w:rStyle w:val="normaltextrun"/>
          <w:rFonts w:ascii="Arial" w:hAnsi="Arial" w:cs="Arial"/>
          <w:sz w:val="22"/>
          <w:szCs w:val="22"/>
          <w:highlight w:val="yellow"/>
        </w:rPr>
        <w:t>s</w:t>
      </w:r>
      <w:r w:rsidRPr="0099602B">
        <w:rPr>
          <w:rStyle w:val="normaltextrun"/>
          <w:rFonts w:ascii="Arial" w:hAnsi="Arial" w:cs="Arial"/>
          <w:sz w:val="22"/>
          <w:szCs w:val="22"/>
          <w:highlight w:val="yellow"/>
        </w:rPr>
        <w:t xml:space="preserve"> </w:t>
      </w:r>
      <w:r w:rsidR="009A36BF">
        <w:rPr>
          <w:rStyle w:val="normaltextrun"/>
          <w:rFonts w:ascii="Arial" w:hAnsi="Arial" w:cs="Arial"/>
          <w:sz w:val="22"/>
          <w:szCs w:val="22"/>
          <w:highlight w:val="yellow"/>
        </w:rPr>
        <w:t xml:space="preserve">for </w:t>
      </w:r>
      <w:r w:rsidRPr="0099602B">
        <w:rPr>
          <w:rStyle w:val="normaltextrun"/>
          <w:rFonts w:ascii="Arial" w:hAnsi="Arial" w:cs="Arial"/>
          <w:sz w:val="22"/>
          <w:szCs w:val="22"/>
          <w:highlight w:val="yellow"/>
        </w:rPr>
        <w:t xml:space="preserve">11-9121 Natural Sciences Managers </w:t>
      </w:r>
      <w:r w:rsidR="009A36BF">
        <w:rPr>
          <w:rStyle w:val="normaltextrun"/>
          <w:rFonts w:ascii="Arial" w:hAnsi="Arial" w:cs="Arial"/>
          <w:sz w:val="22"/>
          <w:szCs w:val="22"/>
          <w:highlight w:val="yellow"/>
        </w:rPr>
        <w:t xml:space="preserve">as </w:t>
      </w:r>
      <w:r w:rsidRPr="0099602B">
        <w:rPr>
          <w:rStyle w:val="normaltextrun"/>
          <w:rFonts w:ascii="Arial" w:hAnsi="Arial" w:cs="Arial"/>
          <w:sz w:val="22"/>
          <w:szCs w:val="22"/>
          <w:highlight w:val="yellow"/>
        </w:rPr>
        <w:t>$</w:t>
      </w:r>
      <w:r w:rsidR="00E0216B">
        <w:rPr>
          <w:rStyle w:val="normaltextrun"/>
          <w:rFonts w:ascii="Arial" w:hAnsi="Arial" w:cs="Arial"/>
          <w:sz w:val="22"/>
          <w:szCs w:val="22"/>
          <w:highlight w:val="yellow"/>
        </w:rPr>
        <w:t>102.95</w:t>
      </w:r>
      <w:r w:rsidRPr="0099602B">
        <w:rPr>
          <w:rStyle w:val="normaltextrun"/>
          <w:rFonts w:ascii="Arial" w:hAnsi="Arial" w:cs="Arial"/>
          <w:sz w:val="22"/>
          <w:szCs w:val="22"/>
          <w:highlight w:val="yellow"/>
        </w:rPr>
        <w:t xml:space="preserve"> and 23-1000, Lawyers </w:t>
      </w:r>
      <w:r w:rsidR="009A36BF">
        <w:rPr>
          <w:rStyle w:val="normaltextrun"/>
          <w:rFonts w:ascii="Arial" w:hAnsi="Arial" w:cs="Arial"/>
          <w:sz w:val="22"/>
          <w:szCs w:val="22"/>
          <w:highlight w:val="yellow"/>
        </w:rPr>
        <w:t xml:space="preserve">as </w:t>
      </w:r>
      <w:r w:rsidRPr="0099602B">
        <w:rPr>
          <w:rStyle w:val="normaltextrun"/>
          <w:rFonts w:ascii="Arial" w:hAnsi="Arial" w:cs="Arial"/>
          <w:sz w:val="22"/>
          <w:szCs w:val="22"/>
          <w:highlight w:val="yellow"/>
        </w:rPr>
        <w:t>$</w:t>
      </w:r>
      <w:r w:rsidR="001229BF">
        <w:rPr>
          <w:rStyle w:val="normaltextrun"/>
          <w:rFonts w:ascii="Arial" w:hAnsi="Arial" w:cs="Arial"/>
          <w:sz w:val="22"/>
          <w:szCs w:val="22"/>
          <w:highlight w:val="yellow"/>
        </w:rPr>
        <w:t>108.55</w:t>
      </w:r>
      <w:r w:rsidRPr="0099602B">
        <w:rPr>
          <w:rStyle w:val="normaltextrun"/>
          <w:rFonts w:ascii="Arial" w:hAnsi="Arial" w:cs="Arial"/>
          <w:sz w:val="22"/>
          <w:szCs w:val="22"/>
          <w:highlight w:val="yellow"/>
        </w:rPr>
        <w:t xml:space="preserve"> (see Attachment A).  To account for benefits, we used 4</w:t>
      </w:r>
      <w:r w:rsidR="00AB7597">
        <w:rPr>
          <w:rStyle w:val="normaltextrun"/>
          <w:rFonts w:ascii="Arial" w:hAnsi="Arial" w:cs="Arial"/>
          <w:sz w:val="22"/>
          <w:szCs w:val="22"/>
          <w:highlight w:val="yellow"/>
        </w:rPr>
        <w:t>3</w:t>
      </w:r>
      <w:r w:rsidRPr="0099602B">
        <w:rPr>
          <w:rStyle w:val="normaltextrun"/>
          <w:rFonts w:ascii="Arial" w:hAnsi="Arial" w:cs="Arial"/>
          <w:sz w:val="22"/>
          <w:szCs w:val="22"/>
          <w:highlight w:val="yellow"/>
        </w:rPr>
        <w:t>% as an average overhead rate for contracted work</w:t>
      </w:r>
      <w:r w:rsidR="00891E8A">
        <w:rPr>
          <w:rStyle w:val="normaltextrun"/>
          <w:rFonts w:ascii="Arial" w:hAnsi="Arial" w:cs="Arial"/>
          <w:sz w:val="22"/>
          <w:szCs w:val="22"/>
          <w:highlight w:val="yellow"/>
        </w:rPr>
        <w:t xml:space="preserve"> resulting in a fully burdened </w:t>
      </w:r>
      <w:r w:rsidR="00227DA6">
        <w:rPr>
          <w:rStyle w:val="normaltextrun"/>
          <w:rFonts w:ascii="Arial" w:hAnsi="Arial" w:cs="Arial"/>
          <w:sz w:val="22"/>
          <w:szCs w:val="22"/>
          <w:highlight w:val="yellow"/>
        </w:rPr>
        <w:t xml:space="preserve">weighted average </w:t>
      </w:r>
      <w:r w:rsidR="00891E8A">
        <w:rPr>
          <w:rStyle w:val="normaltextrun"/>
          <w:rFonts w:ascii="Arial" w:hAnsi="Arial" w:cs="Arial"/>
          <w:sz w:val="22"/>
          <w:szCs w:val="22"/>
          <w:highlight w:val="yellow"/>
        </w:rPr>
        <w:t>hourly rate of $15</w:t>
      </w:r>
      <w:r w:rsidR="00227DA6">
        <w:rPr>
          <w:rStyle w:val="normaltextrun"/>
          <w:rFonts w:ascii="Arial" w:hAnsi="Arial" w:cs="Arial"/>
          <w:sz w:val="22"/>
          <w:szCs w:val="22"/>
          <w:highlight w:val="yellow"/>
        </w:rPr>
        <w:t>1</w:t>
      </w:r>
      <w:r w:rsidR="00891E8A">
        <w:rPr>
          <w:rStyle w:val="normaltextrun"/>
          <w:rFonts w:ascii="Arial" w:hAnsi="Arial" w:cs="Arial"/>
          <w:sz w:val="22"/>
          <w:szCs w:val="22"/>
          <w:highlight w:val="yellow"/>
        </w:rPr>
        <w:t>.2</w:t>
      </w:r>
      <w:r w:rsidR="00227DA6">
        <w:rPr>
          <w:rStyle w:val="normaltextrun"/>
          <w:rFonts w:ascii="Arial" w:hAnsi="Arial" w:cs="Arial"/>
          <w:sz w:val="22"/>
          <w:szCs w:val="22"/>
          <w:highlight w:val="yellow"/>
        </w:rPr>
        <w:t>3</w:t>
      </w:r>
      <w:r w:rsidRPr="0099602B">
        <w:rPr>
          <w:rStyle w:val="normaltextrun"/>
          <w:rFonts w:ascii="Arial" w:hAnsi="Arial" w:cs="Arial"/>
          <w:sz w:val="22"/>
          <w:szCs w:val="22"/>
          <w:highlight w:val="yellow"/>
        </w:rPr>
        <w:t>.</w:t>
      </w:r>
    </w:p>
    <w:p w:rsidR="00BE15C1" w:rsidP="00BE15C1" w14:paraId="7672314D" w14:textId="77777777">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rsidR="00BE15C1" w:rsidRPr="00217522" w:rsidP="00BE15C1" w14:paraId="15DA57B4" w14:textId="77777777">
      <w:pPr>
        <w:pStyle w:val="paragraph"/>
        <w:spacing w:before="0" w:beforeAutospacing="0" w:after="0" w:afterAutospacing="0"/>
        <w:textAlignment w:val="baseline"/>
        <w:rPr>
          <w:rFonts w:ascii="Arial" w:hAnsi="Arial" w:cs="Arial"/>
          <w:bCs/>
          <w:iCs/>
          <w:sz w:val="22"/>
          <w:szCs w:val="22"/>
        </w:rPr>
      </w:pPr>
      <w:r>
        <w:rPr>
          <w:rFonts w:ascii="Arial" w:hAnsi="Arial" w:cs="Arial"/>
          <w:sz w:val="22"/>
          <w:szCs w:val="22"/>
        </w:rPr>
        <w:t>See Attachment B for a description of the methods.</w:t>
      </w:r>
      <w:r w:rsidRPr="004926A5">
        <w:rPr>
          <w:rFonts w:ascii="Arial" w:hAnsi="Arial" w:cs="Arial"/>
          <w:sz w:val="22"/>
          <w:szCs w:val="22"/>
        </w:rPr>
        <w:t xml:space="preserve"> </w:t>
      </w:r>
    </w:p>
    <w:p w:rsidR="00BE15C1" w:rsidRPr="00217522" w:rsidP="00BE15C1" w14:paraId="74634A43"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22"/>
          <w:szCs w:val="22"/>
        </w:rPr>
      </w:pPr>
    </w:p>
    <w:p w:rsidR="00BE15C1" w:rsidRPr="00B50214" w:rsidP="00BE15C1" w14:paraId="2024DD2F"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BE15C1" w:rsidRPr="00B50214" w:rsidP="00BE15C1" w14:paraId="41461CD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w:t>
      </w:r>
      <w:r w:rsidRPr="00B50214">
        <w:rPr>
          <w:rFonts w:ascii="Arial" w:hAnsi="Arial" w:cs="Arial"/>
          <w:b/>
          <w:sz w:val="22"/>
          <w:szCs w:val="22"/>
        </w:rPr>
        <w:t>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15C1" w:rsidRPr="00B50214" w:rsidP="00BE15C1" w14:paraId="39CCD92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E15C1" w:rsidRPr="00B50214" w:rsidP="00BE15C1" w14:paraId="02B40C8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E15C1" w:rsidRPr="00B50214" w:rsidP="00BE15C1" w14:paraId="505182F0" w14:textId="77777777">
      <w:pPr>
        <w:tabs>
          <w:tab w:val="left" w:pos="450"/>
          <w:tab w:val="left" w:pos="720"/>
        </w:tabs>
        <w:rPr>
          <w:rFonts w:ascii="Arial" w:hAnsi="Arial" w:cs="Arial"/>
          <w:sz w:val="22"/>
          <w:szCs w:val="22"/>
        </w:rPr>
      </w:pPr>
    </w:p>
    <w:p w:rsidR="00BE15C1" w:rsidP="00BE15C1" w14:paraId="6219209B" w14:textId="77777777">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We have not identified any non-hour cost burden associated with this collection.</w:t>
      </w:r>
    </w:p>
    <w:p w:rsidR="00BE15C1" w:rsidRPr="00B50214" w:rsidP="00BE15C1" w14:paraId="7904CEF8" w14:textId="77777777">
      <w:pPr>
        <w:tabs>
          <w:tab w:val="left" w:pos="450"/>
          <w:tab w:val="left" w:pos="720"/>
        </w:tabs>
        <w:rPr>
          <w:rFonts w:ascii="Arial" w:hAnsi="Arial" w:cs="Arial"/>
          <w:sz w:val="22"/>
          <w:szCs w:val="22"/>
        </w:rPr>
      </w:pPr>
    </w:p>
    <w:p w:rsidR="00BE15C1" w:rsidP="00BE15C1" w14:paraId="4884F92D"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E15C1" w:rsidP="00BE15C1" w14:paraId="30582192" w14:textId="77777777"/>
    <w:p w:rsidR="00BE15C1" w:rsidP="00BE15C1" w14:paraId="400C98EF" w14:textId="7BFCB7B8">
      <w:pPr>
        <w:tabs>
          <w:tab w:val="left" w:pos="450"/>
          <w:tab w:val="left" w:pos="720"/>
        </w:tabs>
        <w:rPr>
          <w:rFonts w:ascii="Arial" w:hAnsi="Arial" w:cs="Arial"/>
          <w:sz w:val="22"/>
          <w:szCs w:val="22"/>
        </w:rPr>
      </w:pPr>
      <w:r>
        <w:rPr>
          <w:rFonts w:ascii="Arial" w:hAnsi="Arial" w:cs="Arial"/>
          <w:sz w:val="22"/>
          <w:szCs w:val="22"/>
        </w:rPr>
        <w:t xml:space="preserve">The annualized cost to </w:t>
      </w:r>
      <w:r w:rsidRPr="00EA35C2">
        <w:rPr>
          <w:rFonts w:ascii="Arial" w:hAnsi="Arial" w:cs="Arial"/>
          <w:sz w:val="22"/>
          <w:szCs w:val="22"/>
        </w:rPr>
        <w:t xml:space="preserve">the Federal Government is an estimated </w:t>
      </w:r>
      <w:r w:rsidRPr="00EA35C2">
        <w:rPr>
          <w:rFonts w:ascii="Arial" w:hAnsi="Arial" w:cs="Arial"/>
          <w:b/>
          <w:bCs/>
          <w:sz w:val="22"/>
          <w:szCs w:val="22"/>
        </w:rPr>
        <w:t>91,688</w:t>
      </w:r>
      <w:r w:rsidRPr="00EA35C2">
        <w:rPr>
          <w:rFonts w:ascii="Arial" w:hAnsi="Arial" w:cs="Arial"/>
          <w:sz w:val="22"/>
          <w:szCs w:val="22"/>
        </w:rPr>
        <w:t xml:space="preserve"> burden hours with an annual dollar value of</w:t>
      </w:r>
      <w:r w:rsidRPr="00EA35C2">
        <w:rPr>
          <w:rFonts w:ascii="Arial" w:hAnsi="Arial" w:cs="Arial"/>
          <w:b/>
          <w:bCs/>
          <w:sz w:val="22"/>
          <w:szCs w:val="22"/>
        </w:rPr>
        <w:t xml:space="preserve"> </w:t>
      </w:r>
      <w:r w:rsidRPr="00471BB1">
        <w:rPr>
          <w:rFonts w:ascii="Arial" w:hAnsi="Arial" w:cs="Arial"/>
          <w:b/>
          <w:bCs/>
          <w:sz w:val="22"/>
          <w:szCs w:val="22"/>
          <w:highlight w:val="yellow"/>
        </w:rPr>
        <w:t>$</w:t>
      </w:r>
      <w:r w:rsidR="00301B0B">
        <w:rPr>
          <w:rFonts w:ascii="Arial" w:hAnsi="Arial" w:cs="Arial"/>
          <w:b/>
          <w:bCs/>
          <w:sz w:val="22"/>
          <w:szCs w:val="22"/>
          <w:highlight w:val="yellow"/>
        </w:rPr>
        <w:t>7,095,734</w:t>
      </w:r>
      <w:r w:rsidRPr="00EA35C2">
        <w:rPr>
          <w:rFonts w:ascii="Arial" w:hAnsi="Arial" w:cs="Arial"/>
          <w:sz w:val="22"/>
          <w:szCs w:val="22"/>
        </w:rPr>
        <w:t xml:space="preserve"> (roun</w:t>
      </w:r>
      <w:r>
        <w:rPr>
          <w:rFonts w:ascii="Arial" w:hAnsi="Arial" w:cs="Arial"/>
          <w:sz w:val="22"/>
          <w:szCs w:val="22"/>
        </w:rPr>
        <w:t>ded).  See Attachment A for the calculations.  Attachment B describes the methods used.</w:t>
      </w:r>
    </w:p>
    <w:p w:rsidR="007E2106" w:rsidP="00BE15C1" w14:paraId="075A7E79" w14:textId="35B28AA6">
      <w:pPr>
        <w:tabs>
          <w:tab w:val="left" w:pos="450"/>
          <w:tab w:val="left" w:pos="720"/>
        </w:tabs>
        <w:rPr>
          <w:rFonts w:ascii="Arial" w:hAnsi="Arial" w:cs="Arial"/>
          <w:sz w:val="22"/>
          <w:szCs w:val="22"/>
        </w:rPr>
      </w:pPr>
    </w:p>
    <w:p w:rsidR="007E2106" w:rsidRPr="00B50214" w:rsidP="007E2106" w14:paraId="11FD89CE" w14:textId="77777777">
      <w:pPr>
        <w:pStyle w:val="Heading1"/>
        <w:tabs>
          <w:tab w:val="clear" w:pos="360"/>
          <w:tab w:val="left" w:pos="450"/>
        </w:tabs>
      </w:pPr>
      <w:r w:rsidRPr="00B50214">
        <w:t>15.</w:t>
      </w:r>
      <w:r w:rsidRPr="00B50214">
        <w:tab/>
        <w:t>Explain the reasons for any program changes or adjustments in hour or cost burden.</w:t>
      </w:r>
    </w:p>
    <w:p w:rsidR="007E2106" w:rsidRPr="00B50214" w:rsidP="007E2106" w14:paraId="469C6686" w14:textId="77777777">
      <w:pPr>
        <w:tabs>
          <w:tab w:val="left" w:pos="450"/>
          <w:tab w:val="left" w:pos="720"/>
        </w:tabs>
        <w:rPr>
          <w:rFonts w:ascii="Arial" w:hAnsi="Arial" w:cs="Arial"/>
          <w:sz w:val="22"/>
          <w:szCs w:val="22"/>
        </w:rPr>
      </w:pPr>
    </w:p>
    <w:p w:rsidR="007E2106" w:rsidP="00BE15C1" w14:paraId="1D7DDFF8" w14:textId="04AD8ED3">
      <w:pPr>
        <w:tabs>
          <w:tab w:val="left" w:pos="450"/>
          <w:tab w:val="left" w:pos="720"/>
        </w:tabs>
        <w:rPr>
          <w:rFonts w:ascii="Arial" w:hAnsi="Arial" w:cs="Arial"/>
          <w:sz w:val="22"/>
          <w:szCs w:val="22"/>
        </w:rPr>
      </w:pPr>
      <w:r>
        <w:rPr>
          <w:rFonts w:ascii="Arial" w:hAnsi="Arial" w:cs="Arial"/>
          <w:sz w:val="22"/>
          <w:szCs w:val="22"/>
        </w:rPr>
        <w:t xml:space="preserve">This is a request for a new control number in conjunction with the information collections contained in our proposed rulemaking under RIN </w:t>
      </w:r>
      <w:r w:rsidRPr="00F306B1">
        <w:rPr>
          <w:rFonts w:ascii="Arial" w:hAnsi="Arial" w:cs="Arial"/>
          <w:sz w:val="22"/>
          <w:szCs w:val="22"/>
        </w:rPr>
        <w:t>1090-AB26</w:t>
      </w:r>
      <w:r>
        <w:rPr>
          <w:rFonts w:ascii="Arial" w:hAnsi="Arial" w:cs="Arial"/>
          <w:sz w:val="22"/>
          <w:szCs w:val="22"/>
        </w:rPr>
        <w:t>, “</w:t>
      </w:r>
      <w:r w:rsidRPr="00F306B1">
        <w:rPr>
          <w:rFonts w:ascii="Arial" w:hAnsi="Arial" w:cs="Arial"/>
          <w:sz w:val="22"/>
          <w:szCs w:val="22"/>
        </w:rPr>
        <w:t>Natural Resource Damages for Hazardous Substances</w:t>
      </w:r>
      <w:r>
        <w:rPr>
          <w:rFonts w:ascii="Arial" w:hAnsi="Arial" w:cs="Arial"/>
          <w:sz w:val="22"/>
          <w:szCs w:val="22"/>
        </w:rPr>
        <w:t>.”</w:t>
      </w:r>
    </w:p>
    <w:p w:rsidR="00BE15C1" w:rsidP="00BE15C1" w14:paraId="3E53D9D2" w14:textId="77777777">
      <w:pPr>
        <w:tabs>
          <w:tab w:val="left" w:pos="450"/>
          <w:tab w:val="left" w:pos="720"/>
        </w:tabs>
        <w:rPr>
          <w:rFonts w:ascii="Arial" w:hAnsi="Arial" w:cs="Arial"/>
          <w:sz w:val="22"/>
          <w:szCs w:val="22"/>
        </w:rPr>
      </w:pPr>
    </w:p>
    <w:p w:rsidR="00295103" w:rsidRPr="00B50214" w:rsidP="00F464E2" w14:paraId="2030F5D8"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6319A2" w14:paraId="115434D1" w14:textId="77777777">
      <w:pPr>
        <w:tabs>
          <w:tab w:val="left" w:pos="450"/>
          <w:tab w:val="left" w:pos="720"/>
        </w:tabs>
        <w:rPr>
          <w:rFonts w:ascii="Arial" w:hAnsi="Arial" w:cs="Arial"/>
          <w:sz w:val="22"/>
          <w:szCs w:val="22"/>
        </w:rPr>
      </w:pPr>
    </w:p>
    <w:p w:rsidR="00251281" w:rsidRPr="00B50214" w:rsidP="006319A2" w14:paraId="667AE521" w14:textId="4550D897">
      <w:pPr>
        <w:tabs>
          <w:tab w:val="left" w:pos="450"/>
          <w:tab w:val="left" w:pos="720"/>
        </w:tabs>
        <w:rPr>
          <w:rFonts w:ascii="Arial" w:hAnsi="Arial" w:cs="Arial"/>
          <w:sz w:val="22"/>
          <w:szCs w:val="22"/>
        </w:rPr>
      </w:pPr>
      <w:r>
        <w:rPr>
          <w:rFonts w:ascii="Arial" w:hAnsi="Arial" w:cs="Arial"/>
          <w:sz w:val="22"/>
          <w:szCs w:val="22"/>
        </w:rPr>
        <w:t>As identified in Table 2.1, some reports are released for public comment</w:t>
      </w:r>
      <w:r w:rsidRPr="08F10CDF" w:rsidR="20D874F6">
        <w:rPr>
          <w:rFonts w:ascii="Arial" w:hAnsi="Arial" w:cs="Arial"/>
          <w:sz w:val="22"/>
          <w:szCs w:val="22"/>
        </w:rPr>
        <w:t xml:space="preserve"> </w:t>
      </w:r>
      <w:r w:rsidRPr="3875199C" w:rsidR="20D874F6">
        <w:rPr>
          <w:rFonts w:ascii="Arial" w:hAnsi="Arial" w:cs="Arial"/>
          <w:sz w:val="22"/>
          <w:szCs w:val="22"/>
        </w:rPr>
        <w:t>through the Federal Register</w:t>
      </w:r>
      <w:r>
        <w:rPr>
          <w:rFonts w:ascii="Arial" w:hAnsi="Arial" w:cs="Arial"/>
          <w:sz w:val="22"/>
          <w:szCs w:val="22"/>
        </w:rPr>
        <w:t>.  As a legal process, NRDAR information collection and documentation have no pre-established publication dates.  There are no complex analytical techniques required by this ICR.</w:t>
      </w:r>
    </w:p>
    <w:p w:rsidR="00251281" w:rsidRPr="00B50214" w:rsidP="006319A2" w14:paraId="13B50D77" w14:textId="77777777">
      <w:pPr>
        <w:tabs>
          <w:tab w:val="left" w:pos="450"/>
          <w:tab w:val="left" w:pos="720"/>
        </w:tabs>
        <w:rPr>
          <w:rFonts w:ascii="Arial" w:hAnsi="Arial" w:cs="Arial"/>
          <w:sz w:val="22"/>
          <w:szCs w:val="22"/>
        </w:rPr>
      </w:pPr>
    </w:p>
    <w:p w:rsidR="00295103" w:rsidRPr="00B50214" w:rsidP="00F464E2" w14:paraId="23D245FB"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B50214" w:rsidP="006319A2" w14:paraId="54D3670E" w14:textId="77777777">
      <w:pPr>
        <w:tabs>
          <w:tab w:val="left" w:pos="450"/>
          <w:tab w:val="left" w:pos="720"/>
        </w:tabs>
        <w:rPr>
          <w:rFonts w:ascii="Arial" w:hAnsi="Arial" w:cs="Arial"/>
          <w:sz w:val="22"/>
          <w:szCs w:val="22"/>
        </w:rPr>
      </w:pPr>
    </w:p>
    <w:p w:rsidR="00251281" w:rsidRPr="00B50214" w:rsidP="006319A2" w14:paraId="4D2558C1" w14:textId="74732C87">
      <w:pPr>
        <w:tabs>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00251281" w:rsidRPr="00B50214" w:rsidP="006319A2" w14:paraId="2CCAC7B2" w14:textId="77777777">
      <w:pPr>
        <w:tabs>
          <w:tab w:val="left" w:pos="450"/>
          <w:tab w:val="left" w:pos="720"/>
        </w:tabs>
        <w:rPr>
          <w:rFonts w:ascii="Arial" w:hAnsi="Arial" w:cs="Arial"/>
          <w:sz w:val="22"/>
          <w:szCs w:val="22"/>
        </w:rPr>
      </w:pPr>
    </w:p>
    <w:p w:rsidR="00295103" w:rsidRPr="00B50214" w:rsidP="00F464E2" w14:paraId="7A5BBA7F" w14:textId="77777777">
      <w:pPr>
        <w:pStyle w:val="Heading1"/>
        <w:tabs>
          <w:tab w:val="clear" w:pos="360"/>
          <w:tab w:val="left" w:pos="450"/>
        </w:tabs>
      </w:pPr>
      <w:r w:rsidRPr="00B50214">
        <w:t>18.</w:t>
      </w:r>
      <w:r w:rsidRPr="00B50214">
        <w:tab/>
        <w:t xml:space="preserve">Explain each exception to the </w:t>
      </w:r>
      <w:r w:rsidRPr="00B50214" w:rsidR="005D39A7">
        <w:t xml:space="preserve">topics of the </w:t>
      </w:r>
      <w:r w:rsidRPr="00B50214">
        <w:t>certification statement identified in "Certification for Paperwork Reduction Act Submissions</w:t>
      </w:r>
      <w:r w:rsidRPr="00B50214" w:rsidR="005D39A7">
        <w:t>.</w:t>
      </w:r>
      <w:r w:rsidRPr="00B50214">
        <w:t>"</w:t>
      </w:r>
    </w:p>
    <w:p w:rsidR="00295103" w:rsidRPr="00B50214" w:rsidP="006319A2" w14:paraId="2C0E9B3D" w14:textId="77777777">
      <w:pPr>
        <w:tabs>
          <w:tab w:val="left" w:pos="450"/>
          <w:tab w:val="left" w:pos="720"/>
        </w:tabs>
        <w:rPr>
          <w:rFonts w:ascii="Arial" w:hAnsi="Arial" w:cs="Arial"/>
          <w:sz w:val="22"/>
          <w:szCs w:val="22"/>
        </w:rPr>
      </w:pPr>
    </w:p>
    <w:p w:rsidR="00251281" w:rsidRPr="00B50214" w:rsidP="006319A2" w14:paraId="47664BCD" w14:textId="14DFAAFE">
      <w:pPr>
        <w:tabs>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894A15">
      <w:footerReference w:type="default" r:id="rId15"/>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B37" w:rsidP="00B50214" w14:paraId="35338743" w14:textId="77777777">
    <w:pPr>
      <w:pStyle w:val="Footer"/>
      <w:jc w:val="center"/>
      <w:rPr>
        <w:rFonts w:ascii="Arial" w:hAnsi="Arial" w:cs="Arial"/>
        <w:sz w:val="22"/>
        <w:szCs w:val="22"/>
      </w:rPr>
    </w:pPr>
  </w:p>
  <w:p w:rsidR="00B50214" w:rsidRPr="00B50214" w:rsidP="00B50214" w14:paraId="3035C018" w14:textId="391D543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6B7923">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62D11"/>
    <w:multiLevelType w:val="hybridMultilevel"/>
    <w:tmpl w:val="50903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545E0"/>
    <w:multiLevelType w:val="hybridMultilevel"/>
    <w:tmpl w:val="DD20D3FE"/>
    <w:lvl w:ilvl="0">
      <w:start w:val="1"/>
      <w:numFmt w:val="bullet"/>
      <w:lvlText w:val=""/>
      <w:lvlJc w:val="left"/>
      <w:pPr>
        <w:ind w:left="966" w:hanging="360"/>
      </w:pPr>
      <w:rPr>
        <w:rFonts w:ascii="Symbol" w:hAnsi="Symbol" w:hint="default"/>
      </w:rPr>
    </w:lvl>
    <w:lvl w:ilvl="1">
      <w:start w:val="1"/>
      <w:numFmt w:val="bullet"/>
      <w:lvlText w:val="o"/>
      <w:lvlJc w:val="left"/>
      <w:pPr>
        <w:ind w:left="1686" w:hanging="360"/>
      </w:pPr>
      <w:rPr>
        <w:rFonts w:ascii="Courier New" w:hAnsi="Courier New" w:cs="Courier New" w:hint="default"/>
      </w:rPr>
    </w:lvl>
    <w:lvl w:ilvl="2">
      <w:start w:val="1"/>
      <w:numFmt w:val="bullet"/>
      <w:lvlText w:val=""/>
      <w:lvlJc w:val="left"/>
      <w:pPr>
        <w:ind w:left="2406" w:hanging="360"/>
      </w:pPr>
      <w:rPr>
        <w:rFonts w:ascii="Wingdings" w:hAnsi="Wingdings" w:hint="default"/>
      </w:rPr>
    </w:lvl>
    <w:lvl w:ilvl="3">
      <w:start w:val="1"/>
      <w:numFmt w:val="bullet"/>
      <w:lvlText w:val=""/>
      <w:lvlJc w:val="left"/>
      <w:pPr>
        <w:ind w:left="3126" w:hanging="360"/>
      </w:pPr>
      <w:rPr>
        <w:rFonts w:ascii="Symbol" w:hAnsi="Symbol" w:hint="default"/>
      </w:rPr>
    </w:lvl>
    <w:lvl w:ilvl="4">
      <w:start w:val="1"/>
      <w:numFmt w:val="bullet"/>
      <w:lvlText w:val="o"/>
      <w:lvlJc w:val="left"/>
      <w:pPr>
        <w:ind w:left="3846" w:hanging="360"/>
      </w:pPr>
      <w:rPr>
        <w:rFonts w:ascii="Courier New" w:hAnsi="Courier New" w:cs="Courier New" w:hint="default"/>
      </w:rPr>
    </w:lvl>
    <w:lvl w:ilvl="5">
      <w:start w:val="1"/>
      <w:numFmt w:val="bullet"/>
      <w:lvlText w:val=""/>
      <w:lvlJc w:val="left"/>
      <w:pPr>
        <w:ind w:left="4566" w:hanging="360"/>
      </w:pPr>
      <w:rPr>
        <w:rFonts w:ascii="Wingdings" w:hAnsi="Wingdings" w:hint="default"/>
      </w:rPr>
    </w:lvl>
    <w:lvl w:ilvl="6">
      <w:start w:val="1"/>
      <w:numFmt w:val="bullet"/>
      <w:lvlText w:val=""/>
      <w:lvlJc w:val="left"/>
      <w:pPr>
        <w:ind w:left="5286" w:hanging="360"/>
      </w:pPr>
      <w:rPr>
        <w:rFonts w:ascii="Symbol" w:hAnsi="Symbol" w:hint="default"/>
      </w:rPr>
    </w:lvl>
    <w:lvl w:ilvl="7">
      <w:start w:val="1"/>
      <w:numFmt w:val="bullet"/>
      <w:lvlText w:val="o"/>
      <w:lvlJc w:val="left"/>
      <w:pPr>
        <w:ind w:left="6006" w:hanging="360"/>
      </w:pPr>
      <w:rPr>
        <w:rFonts w:ascii="Courier New" w:hAnsi="Courier New" w:cs="Courier New" w:hint="default"/>
      </w:rPr>
    </w:lvl>
    <w:lvl w:ilvl="8">
      <w:start w:val="1"/>
      <w:numFmt w:val="bullet"/>
      <w:lvlText w:val=""/>
      <w:lvlJc w:val="left"/>
      <w:pPr>
        <w:ind w:left="6726" w:hanging="360"/>
      </w:pPr>
      <w:rPr>
        <w:rFonts w:ascii="Wingdings" w:hAnsi="Wingdings" w:hint="default"/>
      </w:rPr>
    </w:lvl>
  </w:abstractNum>
  <w:abstractNum w:abstractNumId="2">
    <w:nsid w:val="13240E02"/>
    <w:multiLevelType w:val="multilevel"/>
    <w:tmpl w:val="1DB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445929"/>
    <w:multiLevelType w:val="hybridMultilevel"/>
    <w:tmpl w:val="90E062D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60BEF"/>
    <w:multiLevelType w:val="hybridMultilevel"/>
    <w:tmpl w:val="F5C0529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DD1D57"/>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E31145"/>
    <w:multiLevelType w:val="hybridMultilevel"/>
    <w:tmpl w:val="4CA4C66E"/>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061A5D"/>
    <w:multiLevelType w:val="hybridMultilevel"/>
    <w:tmpl w:val="23F60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725CE0"/>
    <w:multiLevelType w:val="hybridMultilevel"/>
    <w:tmpl w:val="94DC2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CC83980"/>
    <w:multiLevelType w:val="hybridMultilevel"/>
    <w:tmpl w:val="84C4D69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9933B1"/>
    <w:multiLevelType w:val="hybridMultilevel"/>
    <w:tmpl w:val="E38C28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080B69"/>
    <w:multiLevelType w:val="hybridMultilevel"/>
    <w:tmpl w:val="E28C9C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0D137A"/>
    <w:multiLevelType w:val="hybridMultilevel"/>
    <w:tmpl w:val="FFFFFFFF"/>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FC53911"/>
    <w:multiLevelType w:val="hybridMultilevel"/>
    <w:tmpl w:val="C1E40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955F4F"/>
    <w:multiLevelType w:val="hybridMultilevel"/>
    <w:tmpl w:val="4E1279E8"/>
    <w:lvl w:ilvl="0">
      <w:start w:val="2"/>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5519AC"/>
    <w:multiLevelType w:val="hybridMultilevel"/>
    <w:tmpl w:val="22A4321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FA618E"/>
    <w:multiLevelType w:val="hybridMultilevel"/>
    <w:tmpl w:val="AB8490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FC4CC4"/>
    <w:multiLevelType w:val="hybridMultilevel"/>
    <w:tmpl w:val="80E07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03455D"/>
    <w:multiLevelType w:val="hybridMultilevel"/>
    <w:tmpl w:val="15C480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6C1BA0"/>
    <w:multiLevelType w:val="hybridMultilevel"/>
    <w:tmpl w:val="E0CEC106"/>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D55F73"/>
    <w:multiLevelType w:val="hybridMultilevel"/>
    <w:tmpl w:val="26226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0F387A"/>
    <w:multiLevelType w:val="hybridMultilevel"/>
    <w:tmpl w:val="1FF67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245A79"/>
    <w:multiLevelType w:val="hybridMultilevel"/>
    <w:tmpl w:val="D172AF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327A06"/>
    <w:multiLevelType w:val="hybridMultilevel"/>
    <w:tmpl w:val="32F67E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984064"/>
    <w:multiLevelType w:val="hybridMultilevel"/>
    <w:tmpl w:val="355C52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6C10A2"/>
    <w:multiLevelType w:val="hybridMultilevel"/>
    <w:tmpl w:val="73980D8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16B425"/>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E324FBF"/>
    <w:multiLevelType w:val="hybridMultilevel"/>
    <w:tmpl w:val="6E345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E355CA"/>
    <w:multiLevelType w:val="hybridMultilevel"/>
    <w:tmpl w:val="8D543C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C653A6"/>
    <w:multiLevelType w:val="hybridMultilevel"/>
    <w:tmpl w:val="B60EDD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8C0301"/>
    <w:multiLevelType w:val="hybridMultilevel"/>
    <w:tmpl w:val="FEAE094C"/>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EE2C34"/>
    <w:multiLevelType w:val="hybridMultilevel"/>
    <w:tmpl w:val="81F87524"/>
    <w:lvl w:ilvl="0">
      <w:start w:val="1"/>
      <w:numFmt w:val="low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F01112"/>
    <w:multiLevelType w:val="hybridMultilevel"/>
    <w:tmpl w:val="0F82393E"/>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595AD4"/>
    <w:multiLevelType w:val="hybridMultilevel"/>
    <w:tmpl w:val="9808F0B0"/>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AA669E"/>
    <w:multiLevelType w:val="multilevel"/>
    <w:tmpl w:val="FFE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7625139">
    <w:abstractNumId w:val="13"/>
  </w:num>
  <w:num w:numId="2" w16cid:durableId="1925648588">
    <w:abstractNumId w:val="27"/>
  </w:num>
  <w:num w:numId="3" w16cid:durableId="653408974">
    <w:abstractNumId w:val="5"/>
  </w:num>
  <w:num w:numId="4" w16cid:durableId="1351377394">
    <w:abstractNumId w:val="11"/>
  </w:num>
  <w:num w:numId="5" w16cid:durableId="513737276">
    <w:abstractNumId w:val="12"/>
  </w:num>
  <w:num w:numId="6" w16cid:durableId="1069309150">
    <w:abstractNumId w:val="17"/>
  </w:num>
  <w:num w:numId="7" w16cid:durableId="191693861">
    <w:abstractNumId w:val="9"/>
  </w:num>
  <w:num w:numId="8" w16cid:durableId="1118723359">
    <w:abstractNumId w:val="10"/>
  </w:num>
  <w:num w:numId="9" w16cid:durableId="1668022576">
    <w:abstractNumId w:val="29"/>
  </w:num>
  <w:num w:numId="10" w16cid:durableId="1021706722">
    <w:abstractNumId w:val="23"/>
  </w:num>
  <w:num w:numId="11" w16cid:durableId="24984537">
    <w:abstractNumId w:val="22"/>
  </w:num>
  <w:num w:numId="12" w16cid:durableId="313729849">
    <w:abstractNumId w:val="7"/>
  </w:num>
  <w:num w:numId="13" w16cid:durableId="478689888">
    <w:abstractNumId w:val="6"/>
  </w:num>
  <w:num w:numId="14" w16cid:durableId="1165706566">
    <w:abstractNumId w:val="16"/>
  </w:num>
  <w:num w:numId="15" w16cid:durableId="603345307">
    <w:abstractNumId w:val="30"/>
  </w:num>
  <w:num w:numId="16" w16cid:durableId="280459118">
    <w:abstractNumId w:val="33"/>
  </w:num>
  <w:num w:numId="17" w16cid:durableId="6830167">
    <w:abstractNumId w:val="32"/>
  </w:num>
  <w:num w:numId="18" w16cid:durableId="1281650010">
    <w:abstractNumId w:val="31"/>
  </w:num>
  <w:num w:numId="19" w16cid:durableId="1565801340">
    <w:abstractNumId w:val="15"/>
  </w:num>
  <w:num w:numId="20" w16cid:durableId="667057867">
    <w:abstractNumId w:val="19"/>
  </w:num>
  <w:num w:numId="21" w16cid:durableId="776144685">
    <w:abstractNumId w:val="34"/>
  </w:num>
  <w:num w:numId="22" w16cid:durableId="820384363">
    <w:abstractNumId w:val="20"/>
  </w:num>
  <w:num w:numId="23" w16cid:durableId="1869954319">
    <w:abstractNumId w:val="28"/>
  </w:num>
  <w:num w:numId="24" w16cid:durableId="1516532800">
    <w:abstractNumId w:val="25"/>
  </w:num>
  <w:num w:numId="25" w16cid:durableId="1986085679">
    <w:abstractNumId w:val="4"/>
  </w:num>
  <w:num w:numId="26" w16cid:durableId="840048567">
    <w:abstractNumId w:val="14"/>
  </w:num>
  <w:num w:numId="27" w16cid:durableId="1412049367">
    <w:abstractNumId w:val="18"/>
  </w:num>
  <w:num w:numId="28" w16cid:durableId="826241465">
    <w:abstractNumId w:val="35"/>
  </w:num>
  <w:num w:numId="29" w16cid:durableId="627587352">
    <w:abstractNumId w:val="2"/>
  </w:num>
  <w:num w:numId="30" w16cid:durableId="1120105295">
    <w:abstractNumId w:val="0"/>
  </w:num>
  <w:num w:numId="31" w16cid:durableId="1895501835">
    <w:abstractNumId w:val="8"/>
  </w:num>
  <w:num w:numId="32" w16cid:durableId="728310143">
    <w:abstractNumId w:val="3"/>
  </w:num>
  <w:num w:numId="33" w16cid:durableId="13016125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3874547">
    <w:abstractNumId w:val="11"/>
  </w:num>
  <w:num w:numId="35" w16cid:durableId="1289241355">
    <w:abstractNumId w:val="1"/>
  </w:num>
  <w:num w:numId="36" w16cid:durableId="2112897333">
    <w:abstractNumId w:val="21"/>
  </w:num>
  <w:num w:numId="37" w16cid:durableId="571692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57C"/>
    <w:rsid w:val="000105F0"/>
    <w:rsid w:val="00015A3B"/>
    <w:rsid w:val="000179E4"/>
    <w:rsid w:val="000257C8"/>
    <w:rsid w:val="00026233"/>
    <w:rsid w:val="000338EC"/>
    <w:rsid w:val="00034D6D"/>
    <w:rsid w:val="0004175B"/>
    <w:rsid w:val="00042921"/>
    <w:rsid w:val="00046E9D"/>
    <w:rsid w:val="00052CE1"/>
    <w:rsid w:val="00056461"/>
    <w:rsid w:val="00056CF8"/>
    <w:rsid w:val="00061899"/>
    <w:rsid w:val="000623C3"/>
    <w:rsid w:val="00065615"/>
    <w:rsid w:val="0007304B"/>
    <w:rsid w:val="00087519"/>
    <w:rsid w:val="000910FC"/>
    <w:rsid w:val="00091346"/>
    <w:rsid w:val="000A240A"/>
    <w:rsid w:val="000A3E9C"/>
    <w:rsid w:val="000A59E8"/>
    <w:rsid w:val="000B2529"/>
    <w:rsid w:val="000B2C3F"/>
    <w:rsid w:val="000B3067"/>
    <w:rsid w:val="000B46AC"/>
    <w:rsid w:val="000C5536"/>
    <w:rsid w:val="000C5F7A"/>
    <w:rsid w:val="000D3B13"/>
    <w:rsid w:val="000D75C4"/>
    <w:rsid w:val="000E1801"/>
    <w:rsid w:val="000E3879"/>
    <w:rsid w:val="000F1C17"/>
    <w:rsid w:val="000F3AF1"/>
    <w:rsid w:val="00101E40"/>
    <w:rsid w:val="00103AC0"/>
    <w:rsid w:val="001054D9"/>
    <w:rsid w:val="00112E7B"/>
    <w:rsid w:val="001144C0"/>
    <w:rsid w:val="00115722"/>
    <w:rsid w:val="001229BF"/>
    <w:rsid w:val="00124356"/>
    <w:rsid w:val="001252CF"/>
    <w:rsid w:val="00146526"/>
    <w:rsid w:val="0014652B"/>
    <w:rsid w:val="00147536"/>
    <w:rsid w:val="0015130F"/>
    <w:rsid w:val="0015574F"/>
    <w:rsid w:val="00157B9F"/>
    <w:rsid w:val="0016149A"/>
    <w:rsid w:val="00162B02"/>
    <w:rsid w:val="0016504A"/>
    <w:rsid w:val="001668DD"/>
    <w:rsid w:val="00170D2E"/>
    <w:rsid w:val="00174781"/>
    <w:rsid w:val="0017502A"/>
    <w:rsid w:val="001752B0"/>
    <w:rsid w:val="001857B7"/>
    <w:rsid w:val="00185FD7"/>
    <w:rsid w:val="001900B6"/>
    <w:rsid w:val="001A039A"/>
    <w:rsid w:val="001A420B"/>
    <w:rsid w:val="001B7645"/>
    <w:rsid w:val="001C03BD"/>
    <w:rsid w:val="001C3727"/>
    <w:rsid w:val="001D0A4C"/>
    <w:rsid w:val="001D0ABE"/>
    <w:rsid w:val="001E0A5F"/>
    <w:rsid w:val="001E57CF"/>
    <w:rsid w:val="001F0CE6"/>
    <w:rsid w:val="001F0D96"/>
    <w:rsid w:val="001F6FCC"/>
    <w:rsid w:val="00200496"/>
    <w:rsid w:val="00205A4D"/>
    <w:rsid w:val="00206EC7"/>
    <w:rsid w:val="00211A7D"/>
    <w:rsid w:val="0021417C"/>
    <w:rsid w:val="0021643C"/>
    <w:rsid w:val="00217522"/>
    <w:rsid w:val="002251F0"/>
    <w:rsid w:val="00226810"/>
    <w:rsid w:val="00227DA6"/>
    <w:rsid w:val="0023693D"/>
    <w:rsid w:val="0023794B"/>
    <w:rsid w:val="00240007"/>
    <w:rsid w:val="00240F3E"/>
    <w:rsid w:val="00244498"/>
    <w:rsid w:val="00246A07"/>
    <w:rsid w:val="00246A60"/>
    <w:rsid w:val="00251281"/>
    <w:rsid w:val="00255FF2"/>
    <w:rsid w:val="00261991"/>
    <w:rsid w:val="00272FFA"/>
    <w:rsid w:val="00280EE3"/>
    <w:rsid w:val="002849E4"/>
    <w:rsid w:val="00284E7D"/>
    <w:rsid w:val="00286E59"/>
    <w:rsid w:val="00295103"/>
    <w:rsid w:val="00295FAB"/>
    <w:rsid w:val="002A47AE"/>
    <w:rsid w:val="002B7961"/>
    <w:rsid w:val="002C325E"/>
    <w:rsid w:val="002C644D"/>
    <w:rsid w:val="002C766D"/>
    <w:rsid w:val="002D5282"/>
    <w:rsid w:val="002E1138"/>
    <w:rsid w:val="002E7910"/>
    <w:rsid w:val="002F092B"/>
    <w:rsid w:val="00301B0B"/>
    <w:rsid w:val="00301FAA"/>
    <w:rsid w:val="00302AB3"/>
    <w:rsid w:val="00305C67"/>
    <w:rsid w:val="00321378"/>
    <w:rsid w:val="00325886"/>
    <w:rsid w:val="00333F4C"/>
    <w:rsid w:val="0033462A"/>
    <w:rsid w:val="00335E28"/>
    <w:rsid w:val="003420D0"/>
    <w:rsid w:val="00344E54"/>
    <w:rsid w:val="0034753A"/>
    <w:rsid w:val="0034798E"/>
    <w:rsid w:val="0035137F"/>
    <w:rsid w:val="00352210"/>
    <w:rsid w:val="00352D66"/>
    <w:rsid w:val="0035343C"/>
    <w:rsid w:val="0035559B"/>
    <w:rsid w:val="0035605B"/>
    <w:rsid w:val="003626C4"/>
    <w:rsid w:val="0036582A"/>
    <w:rsid w:val="003667DA"/>
    <w:rsid w:val="00373445"/>
    <w:rsid w:val="003765F4"/>
    <w:rsid w:val="00385CE1"/>
    <w:rsid w:val="003A3E2F"/>
    <w:rsid w:val="003A78FD"/>
    <w:rsid w:val="003B76CE"/>
    <w:rsid w:val="003C3292"/>
    <w:rsid w:val="003C3F7E"/>
    <w:rsid w:val="003D4F79"/>
    <w:rsid w:val="003D6CB7"/>
    <w:rsid w:val="003E1F5A"/>
    <w:rsid w:val="003E442B"/>
    <w:rsid w:val="003F5B2B"/>
    <w:rsid w:val="003F6DF6"/>
    <w:rsid w:val="003F749E"/>
    <w:rsid w:val="00402AB0"/>
    <w:rsid w:val="00403D4A"/>
    <w:rsid w:val="0042124C"/>
    <w:rsid w:val="00425CC7"/>
    <w:rsid w:val="004436DE"/>
    <w:rsid w:val="00446117"/>
    <w:rsid w:val="00454F48"/>
    <w:rsid w:val="00457E08"/>
    <w:rsid w:val="00463CD0"/>
    <w:rsid w:val="00465BA3"/>
    <w:rsid w:val="004710CC"/>
    <w:rsid w:val="00471BB1"/>
    <w:rsid w:val="00480E82"/>
    <w:rsid w:val="004845CE"/>
    <w:rsid w:val="004910E0"/>
    <w:rsid w:val="004926A5"/>
    <w:rsid w:val="00495AC5"/>
    <w:rsid w:val="0049639F"/>
    <w:rsid w:val="004976CB"/>
    <w:rsid w:val="004A6DFA"/>
    <w:rsid w:val="004B0BF1"/>
    <w:rsid w:val="004B52F8"/>
    <w:rsid w:val="004B7829"/>
    <w:rsid w:val="004D31F7"/>
    <w:rsid w:val="004D6EA8"/>
    <w:rsid w:val="004E3B37"/>
    <w:rsid w:val="004E5798"/>
    <w:rsid w:val="004E6036"/>
    <w:rsid w:val="004E7269"/>
    <w:rsid w:val="004E7D47"/>
    <w:rsid w:val="005004E9"/>
    <w:rsid w:val="00501F47"/>
    <w:rsid w:val="00502A9F"/>
    <w:rsid w:val="005123CD"/>
    <w:rsid w:val="005131B4"/>
    <w:rsid w:val="0052364F"/>
    <w:rsid w:val="00525467"/>
    <w:rsid w:val="005268A9"/>
    <w:rsid w:val="00531A29"/>
    <w:rsid w:val="00531B2E"/>
    <w:rsid w:val="00532327"/>
    <w:rsid w:val="00547CFA"/>
    <w:rsid w:val="00564716"/>
    <w:rsid w:val="005829C3"/>
    <w:rsid w:val="005842F5"/>
    <w:rsid w:val="00585F43"/>
    <w:rsid w:val="005912A2"/>
    <w:rsid w:val="005960D1"/>
    <w:rsid w:val="005B0888"/>
    <w:rsid w:val="005B2B4A"/>
    <w:rsid w:val="005B788F"/>
    <w:rsid w:val="005C221A"/>
    <w:rsid w:val="005C7E3C"/>
    <w:rsid w:val="005D39A7"/>
    <w:rsid w:val="005E0031"/>
    <w:rsid w:val="005E5FD0"/>
    <w:rsid w:val="005E6EE2"/>
    <w:rsid w:val="005F10FC"/>
    <w:rsid w:val="005F75AA"/>
    <w:rsid w:val="00601007"/>
    <w:rsid w:val="00601370"/>
    <w:rsid w:val="00602D4F"/>
    <w:rsid w:val="00605965"/>
    <w:rsid w:val="00606DEF"/>
    <w:rsid w:val="0060758B"/>
    <w:rsid w:val="0060787C"/>
    <w:rsid w:val="00607F46"/>
    <w:rsid w:val="00613D32"/>
    <w:rsid w:val="006153A5"/>
    <w:rsid w:val="00617251"/>
    <w:rsid w:val="006176C9"/>
    <w:rsid w:val="00620654"/>
    <w:rsid w:val="006258DA"/>
    <w:rsid w:val="00631267"/>
    <w:rsid w:val="006319A2"/>
    <w:rsid w:val="00632341"/>
    <w:rsid w:val="00632D48"/>
    <w:rsid w:val="00640B6A"/>
    <w:rsid w:val="00652E64"/>
    <w:rsid w:val="00655B74"/>
    <w:rsid w:val="00655EB6"/>
    <w:rsid w:val="00657B14"/>
    <w:rsid w:val="0066399B"/>
    <w:rsid w:val="00675C15"/>
    <w:rsid w:val="0068034C"/>
    <w:rsid w:val="00682839"/>
    <w:rsid w:val="006828FB"/>
    <w:rsid w:val="0068562A"/>
    <w:rsid w:val="00685715"/>
    <w:rsid w:val="00695353"/>
    <w:rsid w:val="006B7923"/>
    <w:rsid w:val="006E15B2"/>
    <w:rsid w:val="006E3121"/>
    <w:rsid w:val="006E339F"/>
    <w:rsid w:val="006E4FEC"/>
    <w:rsid w:val="006E50ED"/>
    <w:rsid w:val="006E5346"/>
    <w:rsid w:val="006F0204"/>
    <w:rsid w:val="006F1078"/>
    <w:rsid w:val="00701488"/>
    <w:rsid w:val="00701C0C"/>
    <w:rsid w:val="00703909"/>
    <w:rsid w:val="00715617"/>
    <w:rsid w:val="00722F35"/>
    <w:rsid w:val="00733BCE"/>
    <w:rsid w:val="00744CDB"/>
    <w:rsid w:val="0075023A"/>
    <w:rsid w:val="007545EA"/>
    <w:rsid w:val="007562D1"/>
    <w:rsid w:val="00756B98"/>
    <w:rsid w:val="007609AF"/>
    <w:rsid w:val="00760AF7"/>
    <w:rsid w:val="0076404A"/>
    <w:rsid w:val="00767C62"/>
    <w:rsid w:val="0077110B"/>
    <w:rsid w:val="007734F9"/>
    <w:rsid w:val="00774782"/>
    <w:rsid w:val="00776D77"/>
    <w:rsid w:val="007851E9"/>
    <w:rsid w:val="00795872"/>
    <w:rsid w:val="007A5047"/>
    <w:rsid w:val="007A53B2"/>
    <w:rsid w:val="007B0697"/>
    <w:rsid w:val="007B4275"/>
    <w:rsid w:val="007B4A8A"/>
    <w:rsid w:val="007B6F71"/>
    <w:rsid w:val="007C60AA"/>
    <w:rsid w:val="007D04DB"/>
    <w:rsid w:val="007D29ED"/>
    <w:rsid w:val="007D4DAC"/>
    <w:rsid w:val="007D65BE"/>
    <w:rsid w:val="007E2106"/>
    <w:rsid w:val="007E21B5"/>
    <w:rsid w:val="007E41C5"/>
    <w:rsid w:val="007F2142"/>
    <w:rsid w:val="007F25FA"/>
    <w:rsid w:val="007F3717"/>
    <w:rsid w:val="007F3F47"/>
    <w:rsid w:val="0080193B"/>
    <w:rsid w:val="0080324F"/>
    <w:rsid w:val="00805060"/>
    <w:rsid w:val="00806D72"/>
    <w:rsid w:val="0081259F"/>
    <w:rsid w:val="00813FB5"/>
    <w:rsid w:val="008156A9"/>
    <w:rsid w:val="00815ED3"/>
    <w:rsid w:val="00816EC3"/>
    <w:rsid w:val="008212C6"/>
    <w:rsid w:val="0082211D"/>
    <w:rsid w:val="00827781"/>
    <w:rsid w:val="00827EBE"/>
    <w:rsid w:val="00835281"/>
    <w:rsid w:val="00843B93"/>
    <w:rsid w:val="00850350"/>
    <w:rsid w:val="008554A0"/>
    <w:rsid w:val="00861D00"/>
    <w:rsid w:val="008623FC"/>
    <w:rsid w:val="00873ECD"/>
    <w:rsid w:val="00875A4D"/>
    <w:rsid w:val="00891E8A"/>
    <w:rsid w:val="00894A15"/>
    <w:rsid w:val="00895CA6"/>
    <w:rsid w:val="008A313A"/>
    <w:rsid w:val="008B60AC"/>
    <w:rsid w:val="008B6754"/>
    <w:rsid w:val="008B6F31"/>
    <w:rsid w:val="008C64B9"/>
    <w:rsid w:val="008C73F3"/>
    <w:rsid w:val="008D0359"/>
    <w:rsid w:val="008D2B5E"/>
    <w:rsid w:val="008D50F8"/>
    <w:rsid w:val="008D76E1"/>
    <w:rsid w:val="008E3D5D"/>
    <w:rsid w:val="008F0A28"/>
    <w:rsid w:val="0090248D"/>
    <w:rsid w:val="00905A8C"/>
    <w:rsid w:val="00906BC0"/>
    <w:rsid w:val="0091549E"/>
    <w:rsid w:val="0092768D"/>
    <w:rsid w:val="009305AE"/>
    <w:rsid w:val="009321FB"/>
    <w:rsid w:val="0093245B"/>
    <w:rsid w:val="0093299A"/>
    <w:rsid w:val="0093639D"/>
    <w:rsid w:val="00936C8D"/>
    <w:rsid w:val="00940759"/>
    <w:rsid w:val="00944C21"/>
    <w:rsid w:val="00956092"/>
    <w:rsid w:val="00963134"/>
    <w:rsid w:val="00966CC0"/>
    <w:rsid w:val="00974D5A"/>
    <w:rsid w:val="0097591E"/>
    <w:rsid w:val="00976E81"/>
    <w:rsid w:val="009800EF"/>
    <w:rsid w:val="00987124"/>
    <w:rsid w:val="00987C09"/>
    <w:rsid w:val="00993B99"/>
    <w:rsid w:val="00993EC1"/>
    <w:rsid w:val="0099602B"/>
    <w:rsid w:val="009A36BF"/>
    <w:rsid w:val="009A370C"/>
    <w:rsid w:val="009A6810"/>
    <w:rsid w:val="009A6936"/>
    <w:rsid w:val="009B1261"/>
    <w:rsid w:val="009B359F"/>
    <w:rsid w:val="009B3CD5"/>
    <w:rsid w:val="009B7131"/>
    <w:rsid w:val="009C1ACB"/>
    <w:rsid w:val="009C34DD"/>
    <w:rsid w:val="009C7046"/>
    <w:rsid w:val="009C7BF5"/>
    <w:rsid w:val="009E76AE"/>
    <w:rsid w:val="009F2313"/>
    <w:rsid w:val="009F301A"/>
    <w:rsid w:val="009F6C31"/>
    <w:rsid w:val="00A0219C"/>
    <w:rsid w:val="00A02C9F"/>
    <w:rsid w:val="00A0475E"/>
    <w:rsid w:val="00A128A9"/>
    <w:rsid w:val="00A145EA"/>
    <w:rsid w:val="00A20027"/>
    <w:rsid w:val="00A233D1"/>
    <w:rsid w:val="00A27CB7"/>
    <w:rsid w:val="00A30B0E"/>
    <w:rsid w:val="00A331D0"/>
    <w:rsid w:val="00A36CD6"/>
    <w:rsid w:val="00A44C05"/>
    <w:rsid w:val="00A4545E"/>
    <w:rsid w:val="00A461F4"/>
    <w:rsid w:val="00A529F7"/>
    <w:rsid w:val="00A5464D"/>
    <w:rsid w:val="00A602B7"/>
    <w:rsid w:val="00A62462"/>
    <w:rsid w:val="00A8019F"/>
    <w:rsid w:val="00A8412A"/>
    <w:rsid w:val="00A84B1B"/>
    <w:rsid w:val="00A84E4C"/>
    <w:rsid w:val="00A91561"/>
    <w:rsid w:val="00AA0E02"/>
    <w:rsid w:val="00AA37ED"/>
    <w:rsid w:val="00AA4C28"/>
    <w:rsid w:val="00AA737C"/>
    <w:rsid w:val="00AB099F"/>
    <w:rsid w:val="00AB7597"/>
    <w:rsid w:val="00AC119B"/>
    <w:rsid w:val="00AC1FBF"/>
    <w:rsid w:val="00AC5C7E"/>
    <w:rsid w:val="00AD0DBB"/>
    <w:rsid w:val="00AD3B89"/>
    <w:rsid w:val="00AD7604"/>
    <w:rsid w:val="00AE40C8"/>
    <w:rsid w:val="00AE56F1"/>
    <w:rsid w:val="00AF1E1B"/>
    <w:rsid w:val="00AF4385"/>
    <w:rsid w:val="00B0239A"/>
    <w:rsid w:val="00B053F6"/>
    <w:rsid w:val="00B169D5"/>
    <w:rsid w:val="00B16E21"/>
    <w:rsid w:val="00B27F0E"/>
    <w:rsid w:val="00B36069"/>
    <w:rsid w:val="00B4507A"/>
    <w:rsid w:val="00B46C2C"/>
    <w:rsid w:val="00B4757D"/>
    <w:rsid w:val="00B50214"/>
    <w:rsid w:val="00B646B4"/>
    <w:rsid w:val="00B76710"/>
    <w:rsid w:val="00B77A64"/>
    <w:rsid w:val="00B940E3"/>
    <w:rsid w:val="00BB34F9"/>
    <w:rsid w:val="00BB480F"/>
    <w:rsid w:val="00BB7B45"/>
    <w:rsid w:val="00BC174D"/>
    <w:rsid w:val="00BD231C"/>
    <w:rsid w:val="00BD4A29"/>
    <w:rsid w:val="00BE15C1"/>
    <w:rsid w:val="00BE34B8"/>
    <w:rsid w:val="00BE3754"/>
    <w:rsid w:val="00BE3D45"/>
    <w:rsid w:val="00BF07F7"/>
    <w:rsid w:val="00BF4BEF"/>
    <w:rsid w:val="00BF5321"/>
    <w:rsid w:val="00BF5B6A"/>
    <w:rsid w:val="00C06848"/>
    <w:rsid w:val="00C1204B"/>
    <w:rsid w:val="00C13F7A"/>
    <w:rsid w:val="00C15AB7"/>
    <w:rsid w:val="00C26010"/>
    <w:rsid w:val="00C2689F"/>
    <w:rsid w:val="00C35EAF"/>
    <w:rsid w:val="00C37B0B"/>
    <w:rsid w:val="00C44332"/>
    <w:rsid w:val="00C4435E"/>
    <w:rsid w:val="00C44886"/>
    <w:rsid w:val="00C50DEF"/>
    <w:rsid w:val="00C52E3B"/>
    <w:rsid w:val="00C54405"/>
    <w:rsid w:val="00C555A1"/>
    <w:rsid w:val="00C61DFC"/>
    <w:rsid w:val="00C653AC"/>
    <w:rsid w:val="00C65804"/>
    <w:rsid w:val="00C724ED"/>
    <w:rsid w:val="00C72811"/>
    <w:rsid w:val="00C76F31"/>
    <w:rsid w:val="00C7758F"/>
    <w:rsid w:val="00C820F6"/>
    <w:rsid w:val="00C83BE8"/>
    <w:rsid w:val="00C91108"/>
    <w:rsid w:val="00C932B8"/>
    <w:rsid w:val="00C97EFA"/>
    <w:rsid w:val="00CA0549"/>
    <w:rsid w:val="00CA75DA"/>
    <w:rsid w:val="00CC0A71"/>
    <w:rsid w:val="00CC4BE6"/>
    <w:rsid w:val="00CC6BFC"/>
    <w:rsid w:val="00CC6CBE"/>
    <w:rsid w:val="00CD3EE8"/>
    <w:rsid w:val="00CD4985"/>
    <w:rsid w:val="00CD7552"/>
    <w:rsid w:val="00CE0D0F"/>
    <w:rsid w:val="00CE289A"/>
    <w:rsid w:val="00CE52DA"/>
    <w:rsid w:val="00CE77C9"/>
    <w:rsid w:val="00D03638"/>
    <w:rsid w:val="00D1112C"/>
    <w:rsid w:val="00D1780E"/>
    <w:rsid w:val="00D22712"/>
    <w:rsid w:val="00D25AC7"/>
    <w:rsid w:val="00D279F3"/>
    <w:rsid w:val="00D30DEF"/>
    <w:rsid w:val="00D37188"/>
    <w:rsid w:val="00D55E12"/>
    <w:rsid w:val="00D56C49"/>
    <w:rsid w:val="00D670E6"/>
    <w:rsid w:val="00D70DDC"/>
    <w:rsid w:val="00D74F09"/>
    <w:rsid w:val="00D765E9"/>
    <w:rsid w:val="00D76FDB"/>
    <w:rsid w:val="00D80143"/>
    <w:rsid w:val="00D81359"/>
    <w:rsid w:val="00D90145"/>
    <w:rsid w:val="00D93CAC"/>
    <w:rsid w:val="00DA175D"/>
    <w:rsid w:val="00DA18C7"/>
    <w:rsid w:val="00DA5B80"/>
    <w:rsid w:val="00DA6345"/>
    <w:rsid w:val="00DB0374"/>
    <w:rsid w:val="00DB11A8"/>
    <w:rsid w:val="00DB2157"/>
    <w:rsid w:val="00DB2CB2"/>
    <w:rsid w:val="00DC0055"/>
    <w:rsid w:val="00DC1738"/>
    <w:rsid w:val="00DC4AA4"/>
    <w:rsid w:val="00DC5C84"/>
    <w:rsid w:val="00DC5FA0"/>
    <w:rsid w:val="00DD3C67"/>
    <w:rsid w:val="00DE1FFE"/>
    <w:rsid w:val="00DE7630"/>
    <w:rsid w:val="00DF1F45"/>
    <w:rsid w:val="00DF5051"/>
    <w:rsid w:val="00DF50F5"/>
    <w:rsid w:val="00DF7141"/>
    <w:rsid w:val="00E001F2"/>
    <w:rsid w:val="00E0216B"/>
    <w:rsid w:val="00E26975"/>
    <w:rsid w:val="00E356A3"/>
    <w:rsid w:val="00E50823"/>
    <w:rsid w:val="00E56CF6"/>
    <w:rsid w:val="00E6013B"/>
    <w:rsid w:val="00E60EFE"/>
    <w:rsid w:val="00E64563"/>
    <w:rsid w:val="00E66899"/>
    <w:rsid w:val="00E71923"/>
    <w:rsid w:val="00E7792D"/>
    <w:rsid w:val="00E8012B"/>
    <w:rsid w:val="00E85592"/>
    <w:rsid w:val="00E9026C"/>
    <w:rsid w:val="00E92385"/>
    <w:rsid w:val="00EA201D"/>
    <w:rsid w:val="00EA35C2"/>
    <w:rsid w:val="00EA4839"/>
    <w:rsid w:val="00EA6351"/>
    <w:rsid w:val="00EA77BB"/>
    <w:rsid w:val="00EB0457"/>
    <w:rsid w:val="00EB0F41"/>
    <w:rsid w:val="00EB19B0"/>
    <w:rsid w:val="00EB7B5B"/>
    <w:rsid w:val="00EC1836"/>
    <w:rsid w:val="00EC4C8F"/>
    <w:rsid w:val="00EC59F6"/>
    <w:rsid w:val="00ED1CBB"/>
    <w:rsid w:val="00ED4C14"/>
    <w:rsid w:val="00EF578E"/>
    <w:rsid w:val="00F102A5"/>
    <w:rsid w:val="00F13BBC"/>
    <w:rsid w:val="00F13D0A"/>
    <w:rsid w:val="00F202EA"/>
    <w:rsid w:val="00F274F3"/>
    <w:rsid w:val="00F27D57"/>
    <w:rsid w:val="00F306B1"/>
    <w:rsid w:val="00F31CEE"/>
    <w:rsid w:val="00F373CA"/>
    <w:rsid w:val="00F464E2"/>
    <w:rsid w:val="00F47E4E"/>
    <w:rsid w:val="00F51F04"/>
    <w:rsid w:val="00F56CDC"/>
    <w:rsid w:val="00F61C61"/>
    <w:rsid w:val="00F712D1"/>
    <w:rsid w:val="00F72DC1"/>
    <w:rsid w:val="00F73931"/>
    <w:rsid w:val="00F73B3B"/>
    <w:rsid w:val="00F764C3"/>
    <w:rsid w:val="00F77249"/>
    <w:rsid w:val="00F77EF5"/>
    <w:rsid w:val="00F82443"/>
    <w:rsid w:val="00F832F0"/>
    <w:rsid w:val="00F84C86"/>
    <w:rsid w:val="00F916D7"/>
    <w:rsid w:val="00F97350"/>
    <w:rsid w:val="00FA14F6"/>
    <w:rsid w:val="00FA4AB9"/>
    <w:rsid w:val="00FA4E5C"/>
    <w:rsid w:val="00FB123C"/>
    <w:rsid w:val="00FB1568"/>
    <w:rsid w:val="00FC1559"/>
    <w:rsid w:val="00FC5EFD"/>
    <w:rsid w:val="00FE102E"/>
    <w:rsid w:val="00FE1BFC"/>
    <w:rsid w:val="00FF32FD"/>
    <w:rsid w:val="014ED5FA"/>
    <w:rsid w:val="01658600"/>
    <w:rsid w:val="06D291C4"/>
    <w:rsid w:val="08F10CDF"/>
    <w:rsid w:val="12606AF3"/>
    <w:rsid w:val="16DDDC67"/>
    <w:rsid w:val="18F1500C"/>
    <w:rsid w:val="19309CCD"/>
    <w:rsid w:val="1B27D65F"/>
    <w:rsid w:val="1C81256A"/>
    <w:rsid w:val="20D874F6"/>
    <w:rsid w:val="23833DD8"/>
    <w:rsid w:val="28D4D526"/>
    <w:rsid w:val="2C3FBBE3"/>
    <w:rsid w:val="2D39E9A0"/>
    <w:rsid w:val="306C1017"/>
    <w:rsid w:val="30C6E5DE"/>
    <w:rsid w:val="32B8A340"/>
    <w:rsid w:val="36536372"/>
    <w:rsid w:val="36604887"/>
    <w:rsid w:val="3875199C"/>
    <w:rsid w:val="38D17F09"/>
    <w:rsid w:val="39DF09D9"/>
    <w:rsid w:val="3AB86ABD"/>
    <w:rsid w:val="3B2F91F8"/>
    <w:rsid w:val="3BB67839"/>
    <w:rsid w:val="3C1EA6C7"/>
    <w:rsid w:val="3ED8C261"/>
    <w:rsid w:val="3F25B13C"/>
    <w:rsid w:val="40068FA0"/>
    <w:rsid w:val="4083CDDD"/>
    <w:rsid w:val="41742693"/>
    <w:rsid w:val="44128FB8"/>
    <w:rsid w:val="48D2A7C1"/>
    <w:rsid w:val="4AC70B0E"/>
    <w:rsid w:val="503BB8E9"/>
    <w:rsid w:val="5130C43E"/>
    <w:rsid w:val="546A05E3"/>
    <w:rsid w:val="598011B3"/>
    <w:rsid w:val="5DA4A7E8"/>
    <w:rsid w:val="5E530F45"/>
    <w:rsid w:val="60B4DACE"/>
    <w:rsid w:val="6248F07A"/>
    <w:rsid w:val="670629B2"/>
    <w:rsid w:val="6B841987"/>
    <w:rsid w:val="6E0CA13E"/>
    <w:rsid w:val="74261A51"/>
    <w:rsid w:val="74693B4F"/>
    <w:rsid w:val="7925C284"/>
    <w:rsid w:val="7B66D2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paragraph" w:customStyle="1" w:styleId="paragraph">
    <w:name w:val="paragraph"/>
    <w:basedOn w:val="Normal"/>
    <w:rsid w:val="00963134"/>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63134"/>
  </w:style>
  <w:style w:type="character" w:customStyle="1" w:styleId="eop">
    <w:name w:val="eop"/>
    <w:basedOn w:val="DefaultParagraphFont"/>
    <w:rsid w:val="00963134"/>
  </w:style>
  <w:style w:type="paragraph" w:styleId="ListParagraph">
    <w:name w:val="List Paragraph"/>
    <w:basedOn w:val="Normal"/>
    <w:uiPriority w:val="34"/>
    <w:qFormat/>
    <w:rsid w:val="0014652B"/>
    <w:pPr>
      <w:ind w:left="720"/>
      <w:contextualSpacing/>
    </w:pPr>
  </w:style>
  <w:style w:type="paragraph" w:styleId="CommentSubject">
    <w:name w:val="annotation subject"/>
    <w:basedOn w:val="CommentText"/>
    <w:next w:val="CommentText"/>
    <w:link w:val="CommentSubjectChar"/>
    <w:uiPriority w:val="99"/>
    <w:semiHidden/>
    <w:unhideWhenUsed/>
    <w:rsid w:val="00F27D57"/>
    <w:rPr>
      <w:b/>
      <w:bCs/>
    </w:rPr>
  </w:style>
  <w:style w:type="character" w:customStyle="1" w:styleId="CommentSubjectChar">
    <w:name w:val="Comment Subject Char"/>
    <w:basedOn w:val="CommentTextChar"/>
    <w:link w:val="CommentSubject"/>
    <w:uiPriority w:val="99"/>
    <w:semiHidden/>
    <w:rsid w:val="00F27D57"/>
    <w:rPr>
      <w:rFonts w:ascii="Times New Roman" w:hAnsi="Times New Roman"/>
      <w:b/>
      <w:bCs/>
    </w:rPr>
  </w:style>
  <w:style w:type="character" w:styleId="UnresolvedMention">
    <w:name w:val="Unresolved Mention"/>
    <w:basedOn w:val="DefaultParagraphFont"/>
    <w:uiPriority w:val="99"/>
    <w:semiHidden/>
    <w:unhideWhenUsed/>
    <w:rsid w:val="00C44886"/>
    <w:rPr>
      <w:color w:val="605E5C"/>
      <w:shd w:val="clear" w:color="auto" w:fill="E1DFDD"/>
    </w:rPr>
  </w:style>
  <w:style w:type="paragraph" w:styleId="Revision">
    <w:name w:val="Revision"/>
    <w:hidden/>
    <w:uiPriority w:val="99"/>
    <w:semiHidden/>
    <w:rsid w:val="00C06848"/>
    <w:rPr>
      <w:rFonts w:ascii="Times New Roman" w:hAnsi="Times New Roman"/>
    </w:rPr>
  </w:style>
  <w:style w:type="character" w:styleId="FollowedHyperlink">
    <w:name w:val="FollowedHyperlink"/>
    <w:basedOn w:val="DefaultParagraphFont"/>
    <w:uiPriority w:val="99"/>
    <w:semiHidden/>
    <w:unhideWhenUsed/>
    <w:rsid w:val="00DF7141"/>
    <w:rPr>
      <w:color w:val="800080" w:themeColor="followedHyperlink"/>
      <w:u w:val="single"/>
    </w:rPr>
  </w:style>
  <w:style w:type="character" w:customStyle="1" w:styleId="findhit">
    <w:name w:val="findhit"/>
    <w:basedOn w:val="DefaultParagraphFont"/>
    <w:rsid w:val="009C34DD"/>
  </w:style>
  <w:style w:type="paragraph" w:styleId="FootnoteText">
    <w:name w:val="footnote text"/>
    <w:basedOn w:val="Normal"/>
    <w:link w:val="FootnoteTextChar"/>
    <w:uiPriority w:val="99"/>
    <w:semiHidden/>
    <w:unhideWhenUsed/>
    <w:rsid w:val="00CC6BFC"/>
  </w:style>
  <w:style w:type="character" w:customStyle="1" w:styleId="FootnoteTextChar">
    <w:name w:val="Footnote Text Char"/>
    <w:basedOn w:val="DefaultParagraphFont"/>
    <w:link w:val="FootnoteText"/>
    <w:uiPriority w:val="99"/>
    <w:semiHidden/>
    <w:rsid w:val="00CC6BFC"/>
    <w:rPr>
      <w:rFonts w:ascii="Times New Roman" w:hAnsi="Times New Roman"/>
    </w:rPr>
  </w:style>
  <w:style w:type="character" w:styleId="FootnoteReference">
    <w:name w:val="footnote reference"/>
    <w:basedOn w:val="DefaultParagraphFont"/>
    <w:semiHidden/>
    <w:unhideWhenUsed/>
    <w:rsid w:val="00CC6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3/subtitle-A/part-11?toc=1" TargetMode="External" /><Relationship Id="rId11" Type="http://schemas.openxmlformats.org/officeDocument/2006/relationships/hyperlink" Target="https://www.ecfr.gov/current/title-43/part-11/section-11.14" TargetMode="External" /><Relationship Id="rId12" Type="http://schemas.openxmlformats.org/officeDocument/2006/relationships/hyperlink" Target="https://www.ecfr.gov/current/title-43/part-11/section-11.23"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bls.gov/oes/2023/may/naics4_211100.ht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uscode/text/42/chapter-103" TargetMode="External" /><Relationship Id="rId5" Type="http://schemas.openxmlformats.org/officeDocument/2006/relationships/hyperlink" Target="https://www.ecfr.gov/current/title-43" TargetMode="External" /><Relationship Id="rId6" Type="http://schemas.openxmlformats.org/officeDocument/2006/relationships/hyperlink" Target="https://www.ecfr.gov/current/title-43/subtitle-A/part-11/subpart-D?toc=1" TargetMode="External" /><Relationship Id="rId7" Type="http://schemas.openxmlformats.org/officeDocument/2006/relationships/hyperlink" Target="https://www.ecfr.gov/current/title-43/subtitle-A/part-11/subpart-E?toc=1" TargetMode="External" /><Relationship Id="rId8" Type="http://schemas.openxmlformats.org/officeDocument/2006/relationships/hyperlink" Target="https://www.ecfr.gov/current/title-43/subtitle-A/part-11/subpart-C" TargetMode="External" /><Relationship Id="rId9" Type="http://schemas.openxmlformats.org/officeDocument/2006/relationships/hyperlink" Target="https://www.ecfr.gov/current/title-43/part-11/section-11.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4435</Words>
  <Characters>25915</Characters>
  <Application>Microsoft Office Word</Application>
  <DocSecurity>0</DocSecurity>
  <Lines>762</Lines>
  <Paragraphs>316</Paragraphs>
  <ScaleCrop>false</ScaleCrop>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2026-07-13T17:45:00Z</dcterms:created>
  <dcterms:modified xsi:type="dcterms:W3CDTF">2026-07-13T17:53:00Z</dcterms:modified>
</cp:coreProperties>
</file>