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0615" w:rsidP="00A33D7B" w14:paraId="672A6659" w14:textId="77777777">
      <w:pPr>
        <w:widowControl/>
        <w:jc w:val="center"/>
        <w:rPr>
          <w:b/>
          <w:bCs/>
        </w:rPr>
      </w:pPr>
    </w:p>
    <w:p w:rsidR="00F375FC" w:rsidRPr="00C205CD" w:rsidP="00F375FC" w14:paraId="77329E59" w14:textId="779DE3F7">
      <w:pPr>
        <w:widowControl/>
        <w:jc w:val="center"/>
        <w:rPr>
          <w:b/>
          <w:bCs/>
        </w:rPr>
      </w:pPr>
      <w:r w:rsidRPr="00C205CD">
        <w:rPr>
          <w:b/>
          <w:bCs/>
        </w:rPr>
        <w:t xml:space="preserve">Note to  Reviewer </w:t>
      </w:r>
    </w:p>
    <w:p w:rsidR="00F375FC" w:rsidRPr="00C205CD" w:rsidP="00F375FC" w14:paraId="6BF1B21E" w14:textId="77777777">
      <w:pPr>
        <w:widowControl/>
        <w:autoSpaceDE/>
        <w:autoSpaceDN/>
        <w:adjustRightInd/>
      </w:pPr>
    </w:p>
    <w:p w:rsidR="00504477" w:rsidRPr="00C205CD" w:rsidP="00F375FC" w14:paraId="40A323D5" w14:textId="27419409">
      <w:pPr>
        <w:widowControl/>
      </w:pPr>
      <w:r w:rsidRPr="00C205CD">
        <w:t>The Occupational Safety and Health Administration (OSHA)</w:t>
      </w:r>
      <w:r w:rsidRPr="00C205CD" w:rsidR="00493CE9">
        <w:t xml:space="preserve"> is proposing</w:t>
      </w:r>
      <w:r w:rsidRPr="00C205CD" w:rsidR="00F375FC">
        <w:t xml:space="preserve"> to revise the approved</w:t>
      </w:r>
      <w:r w:rsidRPr="00C205CD" w:rsidR="000B74FC">
        <w:t xml:space="preserve"> </w:t>
      </w:r>
      <w:r w:rsidRPr="00C205CD" w:rsidR="000B74FC">
        <w:rPr>
          <w:i/>
          <w:iCs/>
        </w:rPr>
        <w:t>Occupational Safety and Health</w:t>
      </w:r>
      <w:r w:rsidRPr="00C205CD">
        <w:rPr>
          <w:i/>
          <w:iCs/>
        </w:rPr>
        <w:t xml:space="preserve"> On-Site </w:t>
      </w:r>
      <w:r w:rsidRPr="00C205CD" w:rsidR="000B74FC">
        <w:rPr>
          <w:i/>
          <w:iCs/>
        </w:rPr>
        <w:t>Consultation Agreements</w:t>
      </w:r>
      <w:r w:rsidRPr="00C205CD">
        <w:rPr>
          <w:i/>
          <w:iCs/>
        </w:rPr>
        <w:t xml:space="preserve"> (29 CFR Part 1908</w:t>
      </w:r>
      <w:r w:rsidRPr="00C205CD" w:rsidR="00612928">
        <w:rPr>
          <w:i/>
          <w:iCs/>
        </w:rPr>
        <w:t>),</w:t>
      </w:r>
      <w:r w:rsidRPr="00C205CD" w:rsidR="00612928">
        <w:t xml:space="preserve"> (</w:t>
      </w:r>
      <w:r w:rsidRPr="00C205CD" w:rsidR="00F375FC">
        <w:t>OMB Control Number 1218-0110</w:t>
      </w:r>
      <w:r w:rsidRPr="00C205CD" w:rsidR="00F94A0E">
        <w:t xml:space="preserve">), paperwork package to include the approved </w:t>
      </w:r>
      <w:r w:rsidRPr="00C205CD" w:rsidR="00F94A0E">
        <w:rPr>
          <w:i/>
          <w:iCs/>
        </w:rPr>
        <w:t xml:space="preserve">Process Safety Management (PSM) On-Site Consultation Agreements (29 CFR 1908), </w:t>
      </w:r>
      <w:r w:rsidRPr="00C205CD" w:rsidR="00F94A0E">
        <w:t xml:space="preserve">OMB </w:t>
      </w:r>
      <w:r w:rsidR="00413332">
        <w:t>C</w:t>
      </w:r>
      <w:r w:rsidRPr="00C205CD" w:rsidR="00F94A0E">
        <w:t xml:space="preserve">ontrol </w:t>
      </w:r>
      <w:r w:rsidR="00413332">
        <w:t>N</w:t>
      </w:r>
      <w:r w:rsidRPr="00C205CD" w:rsidR="00F94A0E">
        <w:t>umber 1218-0281</w:t>
      </w:r>
      <w:r w:rsidRPr="008276E6" w:rsidR="008276E6">
        <w:t xml:space="preserve">and to discontinue the paperwork package for OMB Control Number 1218-0281 upon the approval of this combined request for </w:t>
      </w:r>
      <w:r w:rsidR="00990099">
        <w:t>OMB Control Number</w:t>
      </w:r>
      <w:r w:rsidRPr="008276E6" w:rsidR="008276E6">
        <w:t>1219-0110.</w:t>
      </w:r>
    </w:p>
    <w:p w:rsidR="00F94A0E" w:rsidRPr="00C205CD" w:rsidP="00F94A0E" w14:paraId="6C4D9E91" w14:textId="3F914477">
      <w:pPr>
        <w:widowControl/>
      </w:pPr>
      <w:r w:rsidRPr="00C205CD">
        <w:t xml:space="preserve">. </w:t>
      </w:r>
    </w:p>
    <w:p w:rsidR="00F375FC" w:rsidRPr="00C205CD" w:rsidP="00F375FC" w14:paraId="2DBCAC2D" w14:textId="1F742AE8">
      <w:pPr>
        <w:widowControl/>
      </w:pPr>
      <w:r w:rsidRPr="00C205CD">
        <w:t xml:space="preserve">Both </w:t>
      </w:r>
      <w:r w:rsidRPr="00C205CD" w:rsidR="00F94A0E">
        <w:t>Information Collections</w:t>
      </w:r>
      <w:r w:rsidRPr="00C205CD">
        <w:t xml:space="preserve"> comprise technical worksheets </w:t>
      </w:r>
      <w:r w:rsidRPr="00C205CD" w:rsidR="00604581">
        <w:t xml:space="preserve">that are </w:t>
      </w:r>
      <w:r w:rsidRPr="00C205CD">
        <w:t>used by OSHA On-Site Consultation Program when providing consultation services at small business workplaces nationwide, as part of the initial On-Site Consultation visit process. The assessment tools or worksheets for this paperwork package which are directly applied by State</w:t>
      </w:r>
      <w:r>
        <w:rPr>
          <w:vertAlign w:val="superscript"/>
        </w:rPr>
        <w:footnoteReference w:id="3"/>
      </w:r>
      <w:r w:rsidRPr="00C205CD">
        <w:t xml:space="preserve"> On-Site Consultation programs occur as part of the initial consultation visit process</w:t>
      </w:r>
      <w:r w:rsidRPr="00C205CD" w:rsidR="00AA29DA">
        <w:t xml:space="preserve">. </w:t>
      </w:r>
    </w:p>
    <w:p w:rsidR="00F375FC" w:rsidRPr="00C205CD" w:rsidP="00F375FC" w14:paraId="3A25F611" w14:textId="77777777">
      <w:pPr>
        <w:widowControl/>
      </w:pPr>
    </w:p>
    <w:p w:rsidR="00F375FC" w:rsidRPr="00C205CD" w:rsidP="00F375FC" w14:paraId="5D5DBB19" w14:textId="77777777">
      <w:pPr>
        <w:widowControl/>
      </w:pPr>
      <w:r w:rsidRPr="00C205CD">
        <w:t>All initial consultation visits (i.e., full-service and limited-service consultation visits) must include a safety and health program assessment using the OSHA Form 33 worksheet and are performed in accordance with the Consultation regulations, following prescribed procedures such as hazard identification; written report of findings and recommendations to the employer; notification of Consultation visit in progress status to enforcement authority when applicable; compiling data; monitoring of consultants</w:t>
      </w:r>
      <w:r>
        <w:rPr>
          <w:rStyle w:val="FootnoteReference"/>
          <w:vertAlign w:val="superscript"/>
        </w:rPr>
        <w:footnoteReference w:id="4"/>
      </w:r>
      <w:r w:rsidRPr="00C205CD">
        <w:t>’ performance by On-Site Consultation programs; and require the States to enter into an annual cooperative agreement with OSHA.</w:t>
      </w:r>
    </w:p>
    <w:p w:rsidR="00F375FC" w:rsidRPr="00C205CD" w:rsidP="00F375FC" w14:paraId="6FDF8E83" w14:textId="77777777">
      <w:pPr>
        <w:widowControl/>
      </w:pPr>
    </w:p>
    <w:p w:rsidR="00F375FC" w:rsidRPr="00C205CD" w:rsidP="00F375FC" w14:paraId="6E6B2F06" w14:textId="77777777">
      <w:pPr>
        <w:widowControl/>
      </w:pPr>
      <w:r w:rsidRPr="00C205CD">
        <w:t xml:space="preserve">Initial consultation visits may also involve additional assessments, when requested by the small business employer, specific to workplace operations (which vary), such as those that involve PSM, or employers that are participants in the Safety and Health Achievement Recognition Program (SHARP). </w:t>
      </w:r>
    </w:p>
    <w:p w:rsidR="00F375FC" w:rsidRPr="00C205CD" w:rsidP="00F375FC" w14:paraId="20F7E7B3" w14:textId="77777777">
      <w:pPr>
        <w:widowControl/>
      </w:pPr>
    </w:p>
    <w:p w:rsidR="00F375FC" w:rsidRPr="00C205CD" w:rsidP="00F375FC" w14:paraId="618094DE" w14:textId="469EC42C">
      <w:pPr>
        <w:widowControl/>
      </w:pPr>
      <w:r w:rsidRPr="00C205CD">
        <w:t>Consequently, the duplication or double counting of burden hours will be avoided</w:t>
      </w:r>
      <w:r w:rsidRPr="00C205CD" w:rsidR="00AA29DA">
        <w:t xml:space="preserve">. </w:t>
      </w:r>
      <w:r w:rsidRPr="00C205CD">
        <w:t xml:space="preserve">Burden hours will account for the use of OSHA Form 33 and prescribed procedures for all initial consultation visits; and for the application of any additional worksheets based on the employers request for consultation services. </w:t>
      </w:r>
    </w:p>
    <w:p w:rsidR="00F94A0E" w:rsidRPr="00C205CD" w:rsidP="00F375FC" w14:paraId="676B0733" w14:textId="77777777">
      <w:pPr>
        <w:widowControl/>
      </w:pPr>
    </w:p>
    <w:p w:rsidR="00F94A0E" w:rsidRPr="00C205CD" w:rsidP="00F375FC" w14:paraId="405C1249" w14:textId="77777777">
      <w:pPr>
        <w:widowControl/>
      </w:pPr>
    </w:p>
    <w:p w:rsidR="00F94A0E" w:rsidRPr="00C205CD" w:rsidP="00F375FC" w14:paraId="55BDE237" w14:textId="77777777">
      <w:pPr>
        <w:widowControl/>
      </w:pPr>
    </w:p>
    <w:p w:rsidR="00F94A0E" w:rsidRPr="00C205CD" w:rsidP="00F375FC" w14:paraId="3F1BC8F3" w14:textId="77777777">
      <w:pPr>
        <w:widowControl/>
      </w:pPr>
    </w:p>
    <w:p w:rsidR="00F94A0E" w:rsidRPr="00C205CD" w:rsidP="00F375FC" w14:paraId="522C313A" w14:textId="77777777">
      <w:pPr>
        <w:widowControl/>
      </w:pPr>
    </w:p>
    <w:p w:rsidR="00F94A0E" w:rsidRPr="00C205CD" w:rsidP="00F375FC" w14:paraId="39F1EFD5" w14:textId="77777777">
      <w:pPr>
        <w:widowControl/>
      </w:pPr>
    </w:p>
    <w:p w:rsidR="00F94A0E" w:rsidRPr="00C205CD" w:rsidP="00F375FC" w14:paraId="0FF4AD97" w14:textId="77777777">
      <w:pPr>
        <w:widowControl/>
      </w:pPr>
    </w:p>
    <w:p w:rsidR="00F94A0E" w:rsidRPr="00C205CD" w:rsidP="00F375FC" w14:paraId="265343AE" w14:textId="77777777">
      <w:pPr>
        <w:widowControl/>
      </w:pPr>
    </w:p>
    <w:p w:rsidR="00F94A0E" w:rsidRPr="00C205CD" w:rsidP="00F375FC" w14:paraId="3CCF79BF" w14:textId="77777777">
      <w:pPr>
        <w:widowControl/>
      </w:pPr>
    </w:p>
    <w:p w:rsidR="00F94A0E" w:rsidRPr="00C205CD" w:rsidP="00F375FC" w14:paraId="15F9CD31" w14:textId="77777777">
      <w:pPr>
        <w:widowControl/>
      </w:pPr>
    </w:p>
    <w:p w:rsidR="00F94A0E" w:rsidRPr="00C205CD" w:rsidP="00F375FC" w14:paraId="42BCF87F" w14:textId="77777777">
      <w:pPr>
        <w:widowControl/>
      </w:pPr>
    </w:p>
    <w:p w:rsidR="00F94A0E" w:rsidRPr="00C205CD" w:rsidP="00F375FC" w14:paraId="37170EF8" w14:textId="77777777">
      <w:pPr>
        <w:widowControl/>
      </w:pPr>
    </w:p>
    <w:p w:rsidR="00A33D7B" w:rsidRPr="00C205CD" w:rsidP="00753F28" w14:paraId="332690F0" w14:textId="2E3298E7">
      <w:pPr>
        <w:widowControl/>
        <w:jc w:val="center"/>
        <w:rPr>
          <w:b/>
          <w:bCs/>
        </w:rPr>
      </w:pPr>
      <w:r w:rsidRPr="00C205CD">
        <w:rPr>
          <w:b/>
          <w:bCs/>
        </w:rPr>
        <w:t>SUPPORTING STATEMENT FOR</w:t>
      </w:r>
    </w:p>
    <w:p w:rsidR="00A33D7B" w:rsidRPr="00C205CD" w:rsidP="00753F28" w14:paraId="4B85475E" w14:textId="77777777">
      <w:pPr>
        <w:widowControl/>
        <w:jc w:val="center"/>
        <w:rPr>
          <w:b/>
          <w:bCs/>
        </w:rPr>
      </w:pPr>
      <w:r w:rsidRPr="00C205CD">
        <w:rPr>
          <w:b/>
          <w:bCs/>
        </w:rPr>
        <w:t xml:space="preserve">THE </w:t>
      </w:r>
      <w:r w:rsidRPr="00C205CD" w:rsidR="00A53B85">
        <w:rPr>
          <w:b/>
          <w:bCs/>
        </w:rPr>
        <w:t xml:space="preserve">COLLECTION OF INFORMATION </w:t>
      </w:r>
      <w:r w:rsidRPr="00C205CD">
        <w:rPr>
          <w:b/>
          <w:bCs/>
        </w:rPr>
        <w:t xml:space="preserve">REQUIREMENTS </w:t>
      </w:r>
      <w:r w:rsidRPr="00C205CD" w:rsidR="00A53B85">
        <w:rPr>
          <w:b/>
          <w:bCs/>
        </w:rPr>
        <w:t>IN THE</w:t>
      </w:r>
    </w:p>
    <w:p w:rsidR="00A33D7B" w:rsidRPr="00C205CD" w:rsidP="00753F28" w14:paraId="60C065F9" w14:textId="606AB5F8">
      <w:pPr>
        <w:widowControl/>
        <w:jc w:val="center"/>
      </w:pPr>
      <w:r w:rsidRPr="00C205CD">
        <w:rPr>
          <w:b/>
          <w:bCs/>
        </w:rPr>
        <w:t>ON</w:t>
      </w:r>
      <w:r w:rsidRPr="00C205CD" w:rsidR="00E54566">
        <w:rPr>
          <w:b/>
          <w:bCs/>
        </w:rPr>
        <w:t>-</w:t>
      </w:r>
      <w:r w:rsidRPr="00C205CD">
        <w:rPr>
          <w:b/>
          <w:bCs/>
        </w:rPr>
        <w:t>SITE CONSULTATION AGREEMENTS (29 CFR PART 1908)</w:t>
      </w:r>
      <w:r>
        <w:rPr>
          <w:rStyle w:val="FootnoteReference"/>
          <w:vertAlign w:val="superscript"/>
        </w:rPr>
        <w:footnoteReference w:id="5"/>
      </w:r>
    </w:p>
    <w:p w:rsidR="00F375FC" w:rsidRPr="00C205CD" w:rsidP="00F375FC" w14:paraId="73BA19EF" w14:textId="78D3C767">
      <w:pPr>
        <w:widowControl/>
        <w:tabs>
          <w:tab w:val="center" w:pos="4680"/>
        </w:tabs>
        <w:jc w:val="center"/>
        <w:rPr>
          <w:b/>
          <w:bCs/>
        </w:rPr>
      </w:pPr>
      <w:r w:rsidRPr="00C205CD">
        <w:rPr>
          <w:b/>
          <w:bCs/>
        </w:rPr>
        <w:t xml:space="preserve">OFFICE OF MANAGEMENT AND BUDGET(OMB) </w:t>
      </w:r>
    </w:p>
    <w:p w:rsidR="00A33D7B" w:rsidRPr="00C205CD" w:rsidP="008068FD" w14:paraId="2D02F845" w14:textId="753D4A97">
      <w:pPr>
        <w:widowControl/>
        <w:tabs>
          <w:tab w:val="center" w:pos="4680"/>
        </w:tabs>
        <w:jc w:val="center"/>
      </w:pPr>
      <w:r w:rsidRPr="00C205CD">
        <w:rPr>
          <w:b/>
          <w:bCs/>
        </w:rPr>
        <w:t>CONTROL NO. 1218-0110</w:t>
      </w:r>
      <w:r w:rsidRPr="00C205CD" w:rsidR="00346246">
        <w:rPr>
          <w:b/>
          <w:bCs/>
        </w:rPr>
        <w:t xml:space="preserve"> </w:t>
      </w:r>
      <w:r w:rsidR="00C923A6">
        <w:rPr>
          <w:b/>
          <w:bCs/>
        </w:rPr>
        <w:t>(</w:t>
      </w:r>
      <w:r w:rsidR="008C3915">
        <w:rPr>
          <w:b/>
          <w:bCs/>
        </w:rPr>
        <w:t>December 2024)</w:t>
      </w:r>
    </w:p>
    <w:p w:rsidR="00FC4BF3" w:rsidRPr="00C205CD" w:rsidP="00753F28" w14:paraId="29D6B04F" w14:textId="77777777">
      <w:pPr>
        <w:jc w:val="center"/>
        <w:rPr>
          <w:b/>
        </w:rPr>
      </w:pPr>
      <w:r w:rsidRPr="00C205CD">
        <w:rPr>
          <w:b/>
        </w:rPr>
        <w:t xml:space="preserve"> </w:t>
      </w:r>
    </w:p>
    <w:p w:rsidR="00346246" w:rsidRPr="00C205CD" w:rsidP="00753F28" w14:paraId="138CFFB4" w14:textId="77777777">
      <w:pPr>
        <w:widowControl/>
        <w:autoSpaceDE/>
        <w:autoSpaceDN/>
        <w:adjustRightInd/>
      </w:pPr>
    </w:p>
    <w:p w:rsidR="00EF22C8" w:rsidRPr="00C205CD" w:rsidP="008068FD" w14:paraId="405F4DF6" w14:textId="6632AC26">
      <w:pPr>
        <w:widowControl/>
      </w:pPr>
      <w:r w:rsidRPr="00C205CD">
        <w:t xml:space="preserve">The agency is seeking </w:t>
      </w:r>
      <w:r w:rsidRPr="00C205CD" w:rsidR="00131624">
        <w:t>a</w:t>
      </w:r>
      <w:r w:rsidRPr="00C205CD">
        <w:t xml:space="preserve"> revis</w:t>
      </w:r>
      <w:r w:rsidRPr="00C205CD" w:rsidR="00131624">
        <w:t>ion of</w:t>
      </w:r>
      <w:r w:rsidRPr="00C205CD">
        <w:t xml:space="preserve"> </w:t>
      </w:r>
      <w:r w:rsidRPr="00C205CD" w:rsidR="00131624">
        <w:t>the</w:t>
      </w:r>
      <w:r w:rsidRPr="00C205CD">
        <w:t xml:space="preserve"> currently approved data collection.</w:t>
      </w:r>
    </w:p>
    <w:p w:rsidR="00325CED" w:rsidRPr="00C205CD" w:rsidP="00753F28" w14:paraId="5DAB6C7B" w14:textId="77777777"/>
    <w:p w:rsidR="00FC4BF3" w:rsidRPr="00C205CD" w:rsidP="00753F28" w14:paraId="4D4762C9" w14:textId="5D810E0D">
      <w:pPr>
        <w:rPr>
          <w:b/>
        </w:rPr>
      </w:pPr>
      <w:r w:rsidRPr="00C205CD">
        <w:rPr>
          <w:b/>
        </w:rPr>
        <w:t xml:space="preserve">A. </w:t>
      </w:r>
      <w:r w:rsidRPr="00C205CD">
        <w:rPr>
          <w:rFonts w:ascii="Times New Roman Bold" w:hAnsi="Times New Roman Bold"/>
          <w:b/>
          <w:caps/>
        </w:rPr>
        <w:t>Justification</w:t>
      </w:r>
    </w:p>
    <w:p w:rsidR="00FC4BF3" w:rsidRPr="00C205CD" w:rsidP="00361393" w14:paraId="02EB378F" w14:textId="77777777">
      <w:pPr>
        <w:rPr>
          <w:b/>
        </w:rPr>
      </w:pPr>
    </w:p>
    <w:p w:rsidR="001D69A2" w:rsidRPr="00C205CD" w:rsidP="00361393" w14:paraId="0ECE43F4" w14:textId="35BBF893">
      <w:pPr>
        <w:widowControl/>
        <w:rPr>
          <w:color w:val="000000"/>
        </w:rPr>
      </w:pPr>
      <w:r w:rsidRPr="00C205CD">
        <w:rPr>
          <w:b/>
          <w:bCs/>
          <w:color w:val="000000"/>
        </w:rPr>
        <w:t xml:space="preserve">1. Explain the circumstances that make the collection of information </w:t>
      </w:r>
      <w:r w:rsidRPr="00C205CD">
        <w:rPr>
          <w:b/>
          <w:bCs/>
          <w:color w:val="000000"/>
        </w:rPr>
        <w:t>necessary.  Identify any legal or administrative requirements that necessitate the collection. Attach a copy of the appropriate section of each statute and regulation mandating or authorizing the collection of information.</w:t>
      </w:r>
    </w:p>
    <w:p w:rsidR="00FC4BF3" w:rsidRPr="00C205CD" w:rsidP="00B6448B" w14:paraId="6A05A809" w14:textId="77777777">
      <w:pPr>
        <w:rPr>
          <w:sz w:val="20"/>
          <w:szCs w:val="20"/>
        </w:rPr>
      </w:pPr>
    </w:p>
    <w:p w:rsidR="00FC4BF3" w:rsidRPr="00C205CD" w:rsidP="00B6448B" w14:paraId="3FBFEBEA" w14:textId="117C0D69">
      <w:r w:rsidRPr="00C205CD">
        <w:t xml:space="preserve">Section 7(c)(1) of the Occupational Safety and Health </w:t>
      </w:r>
      <w:r w:rsidRPr="00C205CD" w:rsidR="00A33D7B">
        <w:t xml:space="preserve">Act </w:t>
      </w:r>
      <w:r w:rsidRPr="00C205CD">
        <w:t>(</w:t>
      </w:r>
      <w:r w:rsidRPr="00C205CD" w:rsidR="00C24AC3">
        <w:t>i.e., “</w:t>
      </w:r>
      <w:r w:rsidRPr="00C205CD" w:rsidR="00A33D7B">
        <w:t xml:space="preserve">the </w:t>
      </w:r>
      <w:r w:rsidRPr="00C205CD" w:rsidR="00C24AC3">
        <w:t xml:space="preserve">OSH </w:t>
      </w:r>
      <w:r w:rsidRPr="00C205CD" w:rsidR="00A33D7B">
        <w:t>Act</w:t>
      </w:r>
      <w:r w:rsidRPr="00C205CD" w:rsidR="00C24AC3">
        <w:t>” or “the Act”</w:t>
      </w:r>
      <w:r w:rsidRPr="00C205CD">
        <w:t xml:space="preserve">) authorizes the Secretary of Labor to, “with the consent of any State or </w:t>
      </w:r>
      <w:r w:rsidRPr="00C205CD" w:rsidR="003775BE">
        <w:t>p</w:t>
      </w:r>
      <w:r w:rsidRPr="00C205CD">
        <w:t>olitical subdivision thereof, accept and use the services</w:t>
      </w:r>
      <w:r w:rsidRPr="00C205CD" w:rsidR="00E73E42">
        <w:t>,</w:t>
      </w:r>
      <w:r w:rsidRPr="00C205CD">
        <w:t xml:space="preserve"> facilities, and personnel of any agency of such </w:t>
      </w:r>
      <w:r w:rsidRPr="00C205CD" w:rsidR="003775BE">
        <w:t>S</w:t>
      </w:r>
      <w:r w:rsidRPr="00C205CD">
        <w:t xml:space="preserve">tate or subdivision with reimbursement.” Section 21(c) of the Act authorizes the Secretary of Labor to “consult with and advise employers and </w:t>
      </w:r>
      <w:r w:rsidRPr="00C205CD" w:rsidR="008440CF">
        <w:t>worker</w:t>
      </w:r>
      <w:r w:rsidRPr="00C205CD">
        <w:t xml:space="preserve">s . . . as to effective means of preventing occupational illnesses and injuries.” </w:t>
      </w:r>
      <w:r w:rsidRPr="00C205CD" w:rsidR="00093B96">
        <w:t xml:space="preserve"> </w:t>
      </w:r>
      <w:r w:rsidRPr="00C205CD">
        <w:t>To satisfy the intent of these and other sections of the</w:t>
      </w:r>
      <w:r w:rsidRPr="00C205CD" w:rsidR="00A33D7B">
        <w:t xml:space="preserve"> </w:t>
      </w:r>
      <w:r w:rsidRPr="00C205CD">
        <w:t>Act,</w:t>
      </w:r>
      <w:r w:rsidRPr="00C205CD">
        <w:t xml:space="preserve"> the Occupational Safety and Health Administration (OSHA) codified the terms that govern cooperative agreements between OSHA and State governments whereby State agencies provide</w:t>
      </w:r>
      <w:r w:rsidRPr="00C205CD" w:rsidR="00E15D57">
        <w:t xml:space="preserve"> </w:t>
      </w:r>
      <w:r w:rsidRPr="00C205CD" w:rsidR="00954BC8">
        <w:t>On-Site</w:t>
      </w:r>
      <w:r w:rsidRPr="00C205CD">
        <w:t xml:space="preserve"> </w:t>
      </w:r>
      <w:r w:rsidRPr="00C205CD" w:rsidR="00FE6A01">
        <w:t xml:space="preserve">Consultation </w:t>
      </w:r>
      <w:r w:rsidRPr="00C205CD">
        <w:t>services to private employers to assist them in complying with the requirements of the Act.</w:t>
      </w:r>
      <w:r w:rsidRPr="00C205CD" w:rsidR="0086131F">
        <w:t xml:space="preserve"> </w:t>
      </w:r>
      <w:r w:rsidRPr="00C205CD">
        <w:t xml:space="preserve">The terms were codified as the </w:t>
      </w:r>
      <w:r w:rsidRPr="00C205CD" w:rsidR="00954BC8">
        <w:t>On-Site</w:t>
      </w:r>
      <w:r w:rsidRPr="00C205CD" w:rsidR="00FE6A01">
        <w:t xml:space="preserve"> </w:t>
      </w:r>
      <w:r w:rsidRPr="00C205CD">
        <w:t>Consultati</w:t>
      </w:r>
      <w:r w:rsidRPr="00C205CD" w:rsidR="00625A9F">
        <w:t>on Program regulations (29 CFR p</w:t>
      </w:r>
      <w:r w:rsidRPr="00C205CD">
        <w:t>art 1908).</w:t>
      </w:r>
    </w:p>
    <w:p w:rsidR="00FC4BF3" w:rsidRPr="00C205CD" w:rsidP="00B6448B" w14:paraId="5A39BBE3" w14:textId="77777777"/>
    <w:p w:rsidR="00E949C2" w:rsidRPr="00C205CD" w:rsidP="00B6448B" w14:paraId="675EBDB0" w14:textId="751729B1">
      <w:bookmarkStart w:id="0" w:name="OLE_LINK2"/>
      <w:bookmarkStart w:id="1" w:name="OLE_LINK3"/>
      <w:r w:rsidRPr="00C205CD">
        <w:t xml:space="preserve">The </w:t>
      </w:r>
      <w:r w:rsidRPr="00C205CD" w:rsidR="00625A9F">
        <w:t xml:space="preserve">On-Site </w:t>
      </w:r>
      <w:r w:rsidRPr="00C205CD">
        <w:t>C</w:t>
      </w:r>
      <w:r w:rsidRPr="00C205CD" w:rsidR="00FC4BF3">
        <w:t>onsultation</w:t>
      </w:r>
      <w:r w:rsidRPr="00C205CD">
        <w:t xml:space="preserve"> Program</w:t>
      </w:r>
      <w:r w:rsidRPr="00C205CD" w:rsidR="00FC4BF3">
        <w:t xml:space="preserve"> regulations specify services to be provided</w:t>
      </w:r>
      <w:r w:rsidRPr="00C205CD">
        <w:t>,</w:t>
      </w:r>
      <w:r w:rsidRPr="00C205CD" w:rsidR="00FC4BF3">
        <w:t xml:space="preserve"> and practices and pr</w:t>
      </w:r>
      <w:r w:rsidRPr="00C205CD">
        <w:t>ocedures to be followed by the State</w:t>
      </w:r>
      <w:r w:rsidRPr="00C205CD" w:rsidR="00E15D57">
        <w:t xml:space="preserve"> </w:t>
      </w:r>
      <w:r w:rsidRPr="00C205CD" w:rsidR="00954BC8">
        <w:t>On-Site</w:t>
      </w:r>
      <w:r w:rsidRPr="00C205CD">
        <w:t xml:space="preserve"> Consultation </w:t>
      </w:r>
      <w:r w:rsidRPr="00C205CD" w:rsidR="00093B96">
        <w:t>p</w:t>
      </w:r>
      <w:r w:rsidRPr="00C205CD" w:rsidR="0020737B">
        <w:t>rogram</w:t>
      </w:r>
      <w:r w:rsidRPr="00C205CD" w:rsidR="00FE6A01">
        <w:t>s</w:t>
      </w:r>
      <w:r w:rsidRPr="00C205CD" w:rsidR="00FC4BF3">
        <w:t>.</w:t>
      </w:r>
      <w:r w:rsidRPr="00C205CD" w:rsidR="0086131F">
        <w:t xml:space="preserve"> </w:t>
      </w:r>
      <w:r w:rsidRPr="00C205CD" w:rsidR="00F63FB6">
        <w:t>The information collection requirements</w:t>
      </w:r>
      <w:r w:rsidRPr="00C205CD">
        <w:t xml:space="preserve"> set forth in the</w:t>
      </w:r>
      <w:r w:rsidRPr="00C205CD" w:rsidR="00E15D57">
        <w:t xml:space="preserve"> </w:t>
      </w:r>
      <w:r w:rsidRPr="00C205CD" w:rsidR="00954BC8">
        <w:t>On-Site</w:t>
      </w:r>
      <w:r w:rsidRPr="00C205CD">
        <w:t xml:space="preserve"> C</w:t>
      </w:r>
      <w:r w:rsidRPr="00C205CD" w:rsidR="00FC4BF3">
        <w:t xml:space="preserve">onsultation </w:t>
      </w:r>
      <w:r w:rsidRPr="00C205CD">
        <w:t xml:space="preserve">Program </w:t>
      </w:r>
      <w:r w:rsidRPr="00C205CD" w:rsidR="00FC4BF3">
        <w:t xml:space="preserve">regulations are in two categories: </w:t>
      </w:r>
      <w:r w:rsidRPr="00C205CD" w:rsidR="00FC4BF3">
        <w:rPr>
          <w:u w:val="single"/>
        </w:rPr>
        <w:t>State Responsibilities</w:t>
      </w:r>
      <w:r w:rsidRPr="00C205CD" w:rsidR="00AE66E2">
        <w:t xml:space="preserve"> and </w:t>
      </w:r>
      <w:r w:rsidRPr="00C205CD" w:rsidR="00FC4BF3">
        <w:rPr>
          <w:u w:val="single"/>
        </w:rPr>
        <w:t>Employer Responsibilities</w:t>
      </w:r>
      <w:r w:rsidRPr="00C205CD" w:rsidR="00FC4BF3">
        <w:t>.</w:t>
      </w:r>
      <w:r w:rsidRPr="00C205CD" w:rsidR="0086131F">
        <w:t xml:space="preserve"> </w:t>
      </w:r>
    </w:p>
    <w:p w:rsidR="00E949C2" w:rsidRPr="00C205CD" w:rsidP="00B6448B" w14:paraId="73AB596A" w14:textId="77777777"/>
    <w:bookmarkEnd w:id="0"/>
    <w:bookmarkEnd w:id="1"/>
    <w:p w:rsidR="00D0554B" w:rsidRPr="00C205CD" w:rsidP="00D0554B" w14:paraId="5419E30A" w14:textId="738DEDC8">
      <w:r w:rsidRPr="00C205CD">
        <w:t>OSHA’s</w:t>
      </w:r>
      <w:r w:rsidRPr="00C205CD" w:rsidR="00492405">
        <w:t xml:space="preserve"> Compliance Assistance Authorization Act of 1998 (CAAA</w:t>
      </w:r>
      <w:r w:rsidRPr="00C205CD" w:rsidR="008D5B1D">
        <w:t>)</w:t>
      </w:r>
      <w:r w:rsidRPr="00C205CD">
        <w:t xml:space="preserve"> amend</w:t>
      </w:r>
      <w:r w:rsidRPr="00C205CD" w:rsidR="00247A0B">
        <w:t>ed</w:t>
      </w:r>
      <w:r w:rsidRPr="00C205CD">
        <w:t xml:space="preserve"> S</w:t>
      </w:r>
      <w:r w:rsidRPr="00C205CD" w:rsidR="00FC4BF3">
        <w:t>ection 21 of the OSH Act by adding paragraph (d), authoriz</w:t>
      </w:r>
      <w:r w:rsidRPr="00C205CD" w:rsidR="00247A0B">
        <w:t>ing</w:t>
      </w:r>
      <w:r w:rsidRPr="00C205CD" w:rsidR="00FC4BF3">
        <w:t xml:space="preserve"> the Secretary of Labor to enter into agreements with</w:t>
      </w:r>
      <w:r w:rsidRPr="00C205CD" w:rsidR="000A7718">
        <w:t xml:space="preserve"> the</w:t>
      </w:r>
      <w:r w:rsidRPr="00C205CD" w:rsidR="00FC4BF3">
        <w:t xml:space="preserve"> States to provide</w:t>
      </w:r>
      <w:r w:rsidRPr="00C205CD" w:rsidR="00E15D57">
        <w:t xml:space="preserve"> </w:t>
      </w:r>
      <w:r w:rsidRPr="00C205CD" w:rsidR="00954BC8">
        <w:t>On-Site</w:t>
      </w:r>
      <w:r w:rsidRPr="00C205CD" w:rsidR="00E15D57">
        <w:t xml:space="preserve"> </w:t>
      </w:r>
      <w:r w:rsidRPr="00C205CD" w:rsidR="00B15859">
        <w:t>C</w:t>
      </w:r>
      <w:r w:rsidRPr="00C205CD" w:rsidR="00E15D57">
        <w:t>onsultation services, and</w:t>
      </w:r>
      <w:r w:rsidRPr="00C205CD" w:rsidR="00FC4BF3">
        <w:t xml:space="preserve"> establish rules under which employers may qualify for</w:t>
      </w:r>
      <w:r w:rsidRPr="00C205CD" w:rsidR="00D85598">
        <w:t xml:space="preserve"> an</w:t>
      </w:r>
      <w:r w:rsidRPr="00C205CD" w:rsidR="00FC4BF3">
        <w:t xml:space="preserve"> inspection exemption.</w:t>
      </w:r>
      <w:r w:rsidRPr="00C205CD" w:rsidR="0086131F">
        <w:t xml:space="preserve"> </w:t>
      </w:r>
      <w:r w:rsidRPr="00C205CD" w:rsidR="00492405">
        <w:t>To achieve the intent of the CAAA, OSHA published a final rule to amend 29 CF</w:t>
      </w:r>
      <w:r w:rsidRPr="00C205CD" w:rsidR="00625A9F">
        <w:t>R p</w:t>
      </w:r>
      <w:r w:rsidRPr="00C205CD" w:rsidR="00492405">
        <w:t>art 1908.</w:t>
      </w:r>
      <w:r w:rsidRPr="00C205CD" w:rsidR="0086131F">
        <w:t xml:space="preserve"> </w:t>
      </w:r>
      <w:r w:rsidRPr="00C205CD" w:rsidR="00492405">
        <w:t xml:space="preserve">The </w:t>
      </w:r>
      <w:r w:rsidRPr="00C205CD" w:rsidR="009C02DD">
        <w:t>rule became effective on December</w:t>
      </w:r>
      <w:r w:rsidRPr="00C205CD" w:rsidR="00492405">
        <w:t xml:space="preserve"> 26, 200</w:t>
      </w:r>
      <w:r w:rsidRPr="00C205CD" w:rsidR="009C02DD">
        <w:t>0</w:t>
      </w:r>
      <w:r w:rsidRPr="00C205CD" w:rsidR="00492405">
        <w:t>.</w:t>
      </w:r>
      <w:r w:rsidRPr="00C205CD" w:rsidR="0086131F">
        <w:t xml:space="preserve"> </w:t>
      </w:r>
      <w:r w:rsidRPr="00C205CD">
        <w:t xml:space="preserve">The Federal government provides 90 percent of funds for On-Site Consultation services </w:t>
      </w:r>
      <w:r w:rsidRPr="00C205CD">
        <w:t xml:space="preserve">delivered by the States, which </w:t>
      </w:r>
      <w:r w:rsidRPr="00C205CD" w:rsidR="0005678A">
        <w:t xml:space="preserve">results </w:t>
      </w:r>
      <w:r w:rsidRPr="00C205CD">
        <w:t>in the collection of information.</w:t>
      </w:r>
      <w:r w:rsidRPr="00C205CD" w:rsidR="0086131F">
        <w:t xml:space="preserve"> </w:t>
      </w:r>
    </w:p>
    <w:p w:rsidR="005D7D55" w:rsidP="005D7D55" w14:paraId="27110693" w14:textId="4CE30EEF">
      <w:r w:rsidRPr="00C205CD">
        <w:t xml:space="preserve">OSHA provides guidance to State On-Site Consultation programs to meet the requirements of the On-Site Consultation regulations, 29 CFR part 1908, through the OSHA Consultation Policies and Procedures Manual (CPPM), </w:t>
      </w:r>
      <w:bookmarkStart w:id="2" w:name="_Hlk101335773"/>
      <w:hyperlink r:id="rId9" w:history="1">
        <w:bookmarkEnd w:id="2"/>
        <w:r w:rsidRPr="00C205CD" w:rsidR="00696AF9">
          <w:rPr>
            <w:rStyle w:val="Hyperlink"/>
          </w:rPr>
          <w:t>CSP 02-00-005, September 29, 2023</w:t>
        </w:r>
      </w:hyperlink>
      <w:r w:rsidRPr="00C205CD">
        <w:t>.</w:t>
      </w:r>
      <w:r w:rsidRPr="00C205CD" w:rsidR="0086131F">
        <w:t xml:space="preserve"> </w:t>
      </w:r>
      <w:r w:rsidRPr="00C205CD">
        <w:t>The CPPM complies with the requirements of 29 CFR 1908 to specify the framework for administering and managing the OSHA On-Site Consultation Program, and to establish policies and procedures.</w:t>
      </w:r>
      <w:r w:rsidRPr="00C205CD" w:rsidR="0086131F">
        <w:t xml:space="preserve"> </w:t>
      </w:r>
      <w:r w:rsidRPr="00C205CD">
        <w:t>The On-Site Consultation Program is administered by OSHA’s Directorate of Cooperative and State Programs (DCSP), Office of Small Business Assistance (OSBA).</w:t>
      </w:r>
      <w:r w:rsidRPr="00C205CD" w:rsidR="0086131F">
        <w:t xml:space="preserve"> </w:t>
      </w:r>
    </w:p>
    <w:p w:rsidR="004B2409" w:rsidRPr="00C205CD" w:rsidP="005D7D55" w14:paraId="75D15614" w14:textId="77777777"/>
    <w:p w:rsidR="00FC4BF3" w:rsidRPr="00C205CD" w:rsidP="00861BAA" w14:paraId="2C09B909" w14:textId="47C1B24E">
      <w:pPr>
        <w:widowControl/>
        <w:rPr>
          <w:b/>
          <w:bCs/>
          <w:color w:val="000000"/>
        </w:rPr>
      </w:pPr>
      <w:r w:rsidRPr="00C205CD">
        <w:rPr>
          <w:b/>
          <w:bCs/>
          <w:color w:val="000000"/>
        </w:rPr>
        <w:t>2</w:t>
      </w:r>
      <w:r w:rsidRPr="00C205CD" w:rsidR="00AA29DA">
        <w:rPr>
          <w:b/>
          <w:bCs/>
          <w:color w:val="000000"/>
        </w:rPr>
        <w:t xml:space="preserve">. </w:t>
      </w:r>
      <w:r w:rsidRPr="00C205CD">
        <w:rPr>
          <w:b/>
          <w:bCs/>
          <w:color w:val="000000"/>
        </w:rPr>
        <w:t>Indicate how, by whom, and for what purpose the information is to be used</w:t>
      </w:r>
      <w:r w:rsidRPr="00C205CD" w:rsidR="00AA29DA">
        <w:rPr>
          <w:b/>
          <w:bCs/>
          <w:color w:val="000000"/>
        </w:rPr>
        <w:t xml:space="preserve">. </w:t>
      </w:r>
      <w:r w:rsidRPr="00C205CD">
        <w:rPr>
          <w:b/>
          <w:bCs/>
          <w:color w:val="000000"/>
        </w:rPr>
        <w:t>Except for a new collection, indicate the actual use</w:t>
      </w:r>
      <w:r w:rsidRPr="00C205CD" w:rsidR="00E349D0">
        <w:rPr>
          <w:b/>
          <w:bCs/>
          <w:color w:val="000000"/>
        </w:rPr>
        <w:t xml:space="preserve"> the agency has made of the </w:t>
      </w:r>
      <w:r w:rsidRPr="00C205CD" w:rsidR="00691327">
        <w:rPr>
          <w:b/>
          <w:bCs/>
          <w:color w:val="000000"/>
        </w:rPr>
        <w:t>i</w:t>
      </w:r>
      <w:r w:rsidRPr="00C205CD" w:rsidR="00E349D0">
        <w:rPr>
          <w:b/>
          <w:bCs/>
          <w:color w:val="000000"/>
        </w:rPr>
        <w:t>nformation received from the current collection.</w:t>
      </w:r>
    </w:p>
    <w:p w:rsidR="00467A6D" w:rsidRPr="00C205CD" w:rsidP="00861BAA" w14:paraId="2449D8F2" w14:textId="77777777">
      <w:pPr>
        <w:widowControl/>
        <w:rPr>
          <w:b/>
          <w:bCs/>
          <w:color w:val="000000"/>
        </w:rPr>
      </w:pPr>
    </w:p>
    <w:p w:rsidR="00FC4BF3" w:rsidRPr="00C205CD" w:rsidP="001D69A2" w14:paraId="7920D195" w14:textId="709038F3">
      <w:r w:rsidRPr="00C205CD">
        <w:t xml:space="preserve">This is a request for </w:t>
      </w:r>
      <w:r w:rsidRPr="00C205CD" w:rsidR="00FB7438">
        <w:t>continuation</w:t>
      </w:r>
      <w:r w:rsidRPr="00C205CD">
        <w:t xml:space="preserve"> of a previously approved collection</w:t>
      </w:r>
      <w:r w:rsidRPr="00C205CD" w:rsidR="006531B7">
        <w:t>s</w:t>
      </w:r>
      <w:r w:rsidRPr="00C205CD" w:rsidR="00AA29DA">
        <w:t xml:space="preserve">. </w:t>
      </w:r>
      <w:r w:rsidRPr="00C205CD">
        <w:t xml:space="preserve">The requirements specified in the </w:t>
      </w:r>
      <w:r w:rsidRPr="00C205CD" w:rsidR="00954BC8">
        <w:t>On-Site</w:t>
      </w:r>
      <w:r w:rsidRPr="00C205CD" w:rsidR="001D6048">
        <w:t xml:space="preserve"> </w:t>
      </w:r>
      <w:r w:rsidRPr="00C205CD" w:rsidR="00B15859">
        <w:t xml:space="preserve">Consultation </w:t>
      </w:r>
      <w:r w:rsidRPr="00C205CD">
        <w:t>regulat</w:t>
      </w:r>
      <w:r w:rsidRPr="00C205CD" w:rsidR="00FB7438">
        <w:t>ions for cooperative agreements</w:t>
      </w:r>
      <w:r w:rsidRPr="00C205CD">
        <w:t xml:space="preserve"> are necessary to ensure</w:t>
      </w:r>
      <w:r w:rsidRPr="00C205CD" w:rsidR="00FB7438">
        <w:t xml:space="preserve"> uniform delivery of</w:t>
      </w:r>
      <w:r w:rsidRPr="00C205CD" w:rsidR="001D6048">
        <w:t xml:space="preserve"> </w:t>
      </w:r>
      <w:r w:rsidRPr="00C205CD" w:rsidR="00954BC8">
        <w:t>On-Site</w:t>
      </w:r>
      <w:r w:rsidRPr="00C205CD">
        <w:t xml:space="preserve"> </w:t>
      </w:r>
      <w:r w:rsidRPr="00C205CD" w:rsidR="00FE6A01">
        <w:t xml:space="preserve">Consultation </w:t>
      </w:r>
      <w:r w:rsidRPr="00C205CD">
        <w:t>service</w:t>
      </w:r>
      <w:r w:rsidRPr="00C205CD" w:rsidR="001D6048">
        <w:t>s</w:t>
      </w:r>
      <w:r w:rsidRPr="00C205CD">
        <w:t xml:space="preserve"> nationwide. </w:t>
      </w:r>
    </w:p>
    <w:p w:rsidR="00314892" w:rsidRPr="00C205CD" w:rsidP="001D69A2" w14:paraId="600AA10B" w14:textId="77777777"/>
    <w:p w:rsidR="004633E4" w:rsidRPr="00C205CD" w:rsidP="004633E4" w14:paraId="641CDB61" w14:textId="525342AB">
      <w:bookmarkStart w:id="3" w:name="_Hlk171678591"/>
      <w:r w:rsidRPr="00C205CD">
        <w:t xml:space="preserve">State On-Site Consultation programs use the </w:t>
      </w:r>
      <w:r w:rsidRPr="00C205CD" w:rsidR="00A20E7D">
        <w:t>OSHA Information System (</w:t>
      </w:r>
      <w:r w:rsidRPr="00C205CD">
        <w:t>OIS</w:t>
      </w:r>
      <w:r w:rsidRPr="00C205CD" w:rsidR="00A20E7D">
        <w:t>)</w:t>
      </w:r>
      <w:r w:rsidRPr="00C205CD">
        <w:t xml:space="preserve"> or a system that inte</w:t>
      </w:r>
      <w:r w:rsidRPr="00C205CD" w:rsidR="00A73C26">
        <w:t>r</w:t>
      </w:r>
      <w:r w:rsidRPr="00C205CD" w:rsidR="00AE4A18">
        <w:t>face</w:t>
      </w:r>
      <w:r w:rsidRPr="00C205CD">
        <w:t>s with it to collect data specified in the On-Site Consultation regulations, 29 CFR 1908, to ensure uniform delivery of On-Site Consultation services nationwide</w:t>
      </w:r>
      <w:r w:rsidRPr="00C205CD" w:rsidR="00AA29DA">
        <w:t xml:space="preserve">. </w:t>
      </w:r>
      <w:r w:rsidRPr="00C205CD" w:rsidR="004A0303">
        <w:t xml:space="preserve">On-Site Consultation programs also store detailed </w:t>
      </w:r>
      <w:r w:rsidRPr="00C205CD" w:rsidR="00EE17A2">
        <w:t xml:space="preserve">consultation visit </w:t>
      </w:r>
      <w:r w:rsidRPr="00C205CD" w:rsidR="004A0303">
        <w:t>case file</w:t>
      </w:r>
      <w:r w:rsidRPr="00C205CD" w:rsidR="00017993">
        <w:t>s</w:t>
      </w:r>
      <w:r w:rsidRPr="00C205CD" w:rsidR="004A0303">
        <w:t xml:space="preserve"> electronically or </w:t>
      </w:r>
      <w:r w:rsidRPr="00C205CD" w:rsidR="002C2915">
        <w:t xml:space="preserve">hardcopy using their State’s </w:t>
      </w:r>
      <w:r w:rsidRPr="00C205CD" w:rsidR="00EE17A2">
        <w:t xml:space="preserve">storage </w:t>
      </w:r>
      <w:r w:rsidRPr="00C205CD" w:rsidR="002C2915">
        <w:t>system</w:t>
      </w:r>
      <w:r w:rsidRPr="00C205CD" w:rsidR="00AA29DA">
        <w:t xml:space="preserve">. </w:t>
      </w:r>
      <w:r w:rsidRPr="00C205CD">
        <w:t>OSHA provides guidance to State On-Site Consultation programs to meet the requirements of the On-Site Consultation regulations through the CPPM.</w:t>
      </w:r>
    </w:p>
    <w:p w:rsidR="004633E4" w:rsidRPr="00C205CD" w:rsidP="004633E4" w14:paraId="4218FF0A" w14:textId="77777777"/>
    <w:p w:rsidR="004633E4" w:rsidRPr="00C205CD" w:rsidP="004633E4" w14:paraId="53FD0490" w14:textId="090F00F6">
      <w:r w:rsidRPr="00C205CD">
        <w:t>Worksheets required by the CPPM are uploaded into OIS and accessible online to On-Site Consultation programs to complete and save</w:t>
      </w:r>
      <w:r w:rsidRPr="00C205CD" w:rsidR="00AA29DA">
        <w:t xml:space="preserve">. </w:t>
      </w:r>
      <w:r w:rsidRPr="00C205CD">
        <w:t>A copy of completed worksheets, including recommendations for addressing safety and health deficiencies, can be generated electronically from OIS (or hard copies printed) and shared with employers</w:t>
      </w:r>
      <w:r w:rsidRPr="00C205CD" w:rsidR="00AA29DA">
        <w:t xml:space="preserve">. </w:t>
      </w:r>
    </w:p>
    <w:p w:rsidR="004633E4" w:rsidRPr="00C205CD" w:rsidP="004633E4" w14:paraId="2CA4F1AA" w14:textId="77777777"/>
    <w:p w:rsidR="004633E4" w:rsidRPr="00C205CD" w:rsidP="004633E4" w14:paraId="4ED7C912" w14:textId="0D3577C5">
      <w:r w:rsidRPr="00C205CD">
        <w:t>Compiled data can be used by OSHA or On-Site Consultation programs to assess the effectiveness of Consultation services, identify target areas</w:t>
      </w:r>
      <w:r w:rsidRPr="00C205CD" w:rsidR="00266441">
        <w:t xml:space="preserve"> (e.g., industries, hazard types)</w:t>
      </w:r>
      <w:r w:rsidRPr="00C205CD">
        <w:t xml:space="preserve"> for Consultation services, identify safety and health trends</w:t>
      </w:r>
      <w:r w:rsidRPr="00C205CD" w:rsidR="00651CCF">
        <w:t>,</w:t>
      </w:r>
      <w:r w:rsidRPr="00C205CD">
        <w:t xml:space="preserve"> and develop resources to assist small business employers</w:t>
      </w:r>
      <w:bookmarkEnd w:id="3"/>
      <w:r w:rsidRPr="00C205CD">
        <w:t>.</w:t>
      </w:r>
    </w:p>
    <w:p w:rsidR="004633E4" w:rsidRPr="00C205CD" w:rsidP="004633E4" w14:paraId="474987DD" w14:textId="77777777"/>
    <w:p w:rsidR="004633E4" w:rsidRPr="00C205CD" w:rsidP="004633E4" w14:paraId="6AEDF855" w14:textId="41B80235">
      <w:bookmarkStart w:id="4" w:name="_Hlk171680873"/>
      <w:r w:rsidRPr="00C205CD">
        <w:t xml:space="preserve">Employers participating in </w:t>
      </w:r>
      <w:r w:rsidRPr="00C205CD" w:rsidR="002E54AA">
        <w:t>the Safety and Health Achievement Recognition Program (</w:t>
      </w:r>
      <w:r w:rsidRPr="00C205CD">
        <w:t>SHARP</w:t>
      </w:r>
      <w:r w:rsidRPr="00C205CD" w:rsidR="002E54AA">
        <w:t>)</w:t>
      </w:r>
      <w:r w:rsidRPr="00C205CD">
        <w:t xml:space="preserve"> or Pre-SHARP use the applicable worksheet templates provided by OSHA to record their self-assessment findings for submission in the interim year, usually via email, to the respective On-Site Consultation program for technical review and guidance.</w:t>
      </w:r>
    </w:p>
    <w:p w:rsidR="004633E4" w:rsidRPr="00C205CD" w:rsidP="004633E4" w14:paraId="465CC6EB" w14:textId="77777777"/>
    <w:p w:rsidR="004633E4" w:rsidRPr="00C205CD" w:rsidP="004633E4" w14:paraId="704810E4" w14:textId="0A15C076">
      <w:r w:rsidRPr="00C205CD">
        <w:t>SHARP recognizes small businesses that have used On-Site Consultation program services and operate exemplary safety and health programs</w:t>
      </w:r>
      <w:r w:rsidRPr="00C205CD" w:rsidR="00AA29DA">
        <w:t xml:space="preserve">. </w:t>
      </w:r>
      <w:r w:rsidRPr="00C205CD">
        <w:t>Acceptance into SHARP is an achievement that distinguishes a small business amongst its peers as a model for workplace safety and health</w:t>
      </w:r>
      <w:r w:rsidRPr="00C205CD" w:rsidR="00AA29DA">
        <w:t xml:space="preserve">. </w:t>
      </w:r>
      <w:r w:rsidRPr="00C205CD">
        <w:t xml:space="preserve">Small businesses that meet SHARP participation requirements are deferred from OSHA or </w:t>
      </w:r>
      <w:r w:rsidRPr="00C205CD" w:rsidR="00E944D2">
        <w:t>State Plan</w:t>
      </w:r>
      <w:r w:rsidRPr="00C205CD">
        <w:t xml:space="preserve"> programmed inspections schedule for up to two (2) years upon initial approval or for no more than three (3) years for subsequent renewal periods.</w:t>
      </w:r>
    </w:p>
    <w:p w:rsidR="004633E4" w:rsidRPr="00C205CD" w:rsidP="004633E4" w14:paraId="17BCEDC5" w14:textId="77777777"/>
    <w:p w:rsidR="004633E4" w:rsidRPr="00C205CD" w:rsidP="004633E4" w14:paraId="45FA6A9E" w14:textId="7F8515AD">
      <w:r w:rsidRPr="00C205CD">
        <w:t>A small business that does not meet all the requirements for SHARP participation but shows a reasonable promise of achieving agreed-upon milestones and timeframes for meeting SHARP participation requirements, within the Pre-SHARP deferral period may be approved to participate in Pre-SHARP</w:t>
      </w:r>
      <w:r w:rsidRPr="00C205CD" w:rsidR="00AA29DA">
        <w:t xml:space="preserve">. </w:t>
      </w:r>
      <w:r w:rsidRPr="00C205CD">
        <w:t>The deferral timeframe from OSHA or State Plan programmed inspection schedule for small businesses approved to participate in Pre-SHARP must not exceed a total of 18 months.</w:t>
      </w:r>
    </w:p>
    <w:p w:rsidR="004633E4" w:rsidRPr="00C205CD" w:rsidP="004633E4" w14:paraId="32D91740" w14:textId="77777777"/>
    <w:bookmarkEnd w:id="4"/>
    <w:p w:rsidR="004D43C9" w:rsidRPr="00C205CD" w:rsidP="004D43C9" w14:paraId="0DC031AE" w14:textId="0960E01C">
      <w:r w:rsidRPr="00C205CD">
        <w:t xml:space="preserve">The regulatory procedures specify the activities to be carried out </w:t>
      </w:r>
      <w:r w:rsidRPr="00C205CD" w:rsidR="00754180">
        <w:t>by</w:t>
      </w:r>
      <w:r w:rsidRPr="00C205CD">
        <w:t xml:space="preserve"> State On-Site Consultation programs funded by the Federal government, as well as the responsibilities of employers who receive On-Site Consultation services</w:t>
      </w:r>
      <w:r w:rsidRPr="00C205CD" w:rsidR="00AA29DA">
        <w:t xml:space="preserve">. </w:t>
      </w:r>
    </w:p>
    <w:p w:rsidR="00314892" w:rsidRPr="00C205CD" w:rsidP="001D69A2" w14:paraId="27977E4C" w14:textId="77777777"/>
    <w:p w:rsidR="00DD58C6" w:rsidRPr="00C205CD" w:rsidP="00DD58C6" w14:paraId="304DC7AE" w14:textId="05B3842E">
      <w:pPr>
        <w:ind w:left="720"/>
        <w:rPr>
          <w:u w:val="single"/>
        </w:rPr>
      </w:pPr>
      <w:r w:rsidRPr="00C205CD">
        <w:rPr>
          <w:b/>
        </w:rPr>
        <w:t>a</w:t>
      </w:r>
      <w:r w:rsidRPr="00C205CD" w:rsidR="00AA29DA">
        <w:rPr>
          <w:b/>
        </w:rPr>
        <w:t xml:space="preserve">. </w:t>
      </w:r>
      <w:r w:rsidRPr="00C205CD">
        <w:rPr>
          <w:b/>
          <w:u w:val="single"/>
        </w:rPr>
        <w:t>State Responsibilities</w:t>
      </w:r>
      <w:r w:rsidRPr="00C205CD">
        <w:t>.</w:t>
      </w:r>
    </w:p>
    <w:p w:rsidR="00DD58C6" w:rsidRPr="00C205CD" w:rsidP="00DD58C6" w14:paraId="32F218F5" w14:textId="77777777">
      <w:pPr>
        <w:ind w:left="720"/>
        <w:rPr>
          <w:u w:val="single"/>
        </w:rPr>
      </w:pPr>
    </w:p>
    <w:p w:rsidR="00DD58C6" w:rsidRPr="00C205CD" w:rsidP="00DD58C6" w14:paraId="0CB43211" w14:textId="64824186">
      <w:pPr>
        <w:ind w:left="720"/>
      </w:pPr>
      <w:r w:rsidRPr="00C205CD">
        <w:rPr>
          <w:b/>
          <w:bCs/>
        </w:rPr>
        <w:t>(1)</w:t>
      </w:r>
      <w:r w:rsidRPr="00C205CD">
        <w:tab/>
      </w:r>
      <w:r w:rsidRPr="00C205CD" w:rsidR="002E358A">
        <w:rPr>
          <w:b/>
          <w:bCs/>
          <w:u w:val="single"/>
        </w:rPr>
        <w:t xml:space="preserve">29 CFR </w:t>
      </w:r>
      <w:r w:rsidRPr="00C205CD">
        <w:rPr>
          <w:b/>
          <w:bCs/>
          <w:u w:val="single"/>
        </w:rPr>
        <w:t>1908.6(e)(3)</w:t>
      </w:r>
      <w:r w:rsidRPr="00C205CD">
        <w:t>:</w:t>
      </w:r>
      <w:r w:rsidRPr="00C205CD">
        <w:rPr>
          <w:b/>
          <w:bCs/>
        </w:rPr>
        <w:t xml:space="preserve"> State’s authorization to provide safety and health program assistance within the scope of the employer’s request</w:t>
      </w:r>
      <w:r w:rsidRPr="00C205CD">
        <w:t>.</w:t>
      </w:r>
    </w:p>
    <w:p w:rsidR="00DD58C6" w:rsidRPr="00C205CD" w:rsidP="00DD58C6" w14:paraId="77F17F74" w14:textId="77777777">
      <w:pPr>
        <w:ind w:left="720"/>
      </w:pPr>
    </w:p>
    <w:p w:rsidR="00DD58C6" w:rsidRPr="00C205CD" w:rsidP="00DD58C6" w14:paraId="06B377B6" w14:textId="77777777">
      <w:pPr>
        <w:ind w:left="720"/>
      </w:pPr>
      <w:r w:rsidRPr="00C205CD">
        <w:rPr>
          <w:u w:val="single"/>
        </w:rPr>
        <w:t>Requirement</w:t>
      </w:r>
      <w:r w:rsidRPr="00C205CD">
        <w:t>.</w:t>
      </w:r>
      <w:r w:rsidRPr="00C205CD">
        <w:tab/>
        <w:t>Input data on employer’s safety and health program in the web-based Safety and Health Program Assessment Worksheet.</w:t>
      </w:r>
    </w:p>
    <w:p w:rsidR="00DD58C6" w:rsidRPr="00C205CD" w:rsidP="00DD58C6" w14:paraId="2E042A41" w14:textId="77777777">
      <w:pPr>
        <w:ind w:left="720"/>
      </w:pPr>
    </w:p>
    <w:p w:rsidR="00DD58C6" w:rsidRPr="00C205CD" w:rsidP="00DD58C6" w14:paraId="70D5CEBC" w14:textId="0D8F0CD8">
      <w:pPr>
        <w:ind w:left="720"/>
      </w:pPr>
      <w:r w:rsidRPr="00C205CD">
        <w:rPr>
          <w:u w:val="single"/>
        </w:rPr>
        <w:t>Purpose</w:t>
      </w:r>
      <w:r w:rsidRPr="00C205CD">
        <w:t>: OSHA’s experience has shown that employers who maintain an effective safety and health [management] program are more likely to identify and correct hazards in the workplace and, therefore, prevent injuries and illnesses to their workers</w:t>
      </w:r>
      <w:r w:rsidRPr="00C205CD" w:rsidR="00AA29DA">
        <w:t xml:space="preserve">. </w:t>
      </w:r>
      <w:r w:rsidRPr="00C205CD">
        <w:t>This section provides the mechanism that authorizes the On-Site Consultation Programs to assist employers in developing effective safety and health management programs</w:t>
      </w:r>
      <w:r w:rsidRPr="00C205CD" w:rsidR="00AA29DA">
        <w:t xml:space="preserve">. </w:t>
      </w:r>
      <w:r w:rsidRPr="00C205CD">
        <w:t>To assist the States in delivering this service, OSHA, in partnership with the States, developed a web-</w:t>
      </w:r>
      <w:r w:rsidRPr="00C205CD">
        <w:t xml:space="preserve">based version of the Safety and Health Program Assessment Worksheet, OSHA Form 33, incorporated into </w:t>
      </w:r>
      <w:r w:rsidRPr="00C205CD" w:rsidR="002E54AA">
        <w:t xml:space="preserve">the </w:t>
      </w:r>
      <w:r w:rsidRPr="00C205CD">
        <w:t>OIS</w:t>
      </w:r>
      <w:r w:rsidRPr="00C205CD" w:rsidR="00AA29DA">
        <w:t xml:space="preserve">. </w:t>
      </w:r>
      <w:r w:rsidRPr="00C205CD">
        <w:t xml:space="preserve">This tool is the basis for </w:t>
      </w:r>
      <w:r w:rsidRPr="00C205CD" w:rsidR="00946B60">
        <w:t>on</w:t>
      </w:r>
      <w:r w:rsidRPr="00C205CD" w:rsidR="006F7B8B">
        <w:t xml:space="preserve">-site consultants </w:t>
      </w:r>
      <w:r w:rsidRPr="00C205CD" w:rsidR="00C72151">
        <w:t>to evaluate</w:t>
      </w:r>
      <w:r w:rsidRPr="00C205CD">
        <w:t xml:space="preserve"> the effectiveness of employers’ safety and health programs</w:t>
      </w:r>
      <w:r w:rsidRPr="00C205CD" w:rsidR="00AA29DA">
        <w:t xml:space="preserve">. </w:t>
      </w:r>
    </w:p>
    <w:p w:rsidR="00DD58C6" w:rsidRPr="00C205CD" w:rsidP="00DD58C6" w14:paraId="5568FB4E" w14:textId="77777777">
      <w:pPr>
        <w:ind w:left="720"/>
      </w:pPr>
    </w:p>
    <w:p w:rsidR="00DD58C6" w:rsidRPr="00C205CD" w:rsidP="00DD58C6" w14:paraId="377DC6AA" w14:textId="7B12F2D3">
      <w:pPr>
        <w:ind w:left="720"/>
      </w:pPr>
      <w:r w:rsidRPr="00C205CD">
        <w:rPr>
          <w:b/>
          <w:bCs/>
        </w:rPr>
        <w:t>(2)</w:t>
      </w:r>
      <w:r w:rsidRPr="00C205CD">
        <w:tab/>
      </w:r>
      <w:r w:rsidRPr="00C205CD" w:rsidR="002E358A">
        <w:rPr>
          <w:b/>
          <w:bCs/>
          <w:u w:val="single"/>
        </w:rPr>
        <w:t xml:space="preserve">29 CFR </w:t>
      </w:r>
      <w:r w:rsidRPr="00C205CD">
        <w:rPr>
          <w:b/>
          <w:bCs/>
          <w:u w:val="single"/>
        </w:rPr>
        <w:t>1908.6(e)(8)</w:t>
      </w:r>
      <w:r w:rsidRPr="00C205CD">
        <w:t>:</w:t>
      </w:r>
      <w:r w:rsidRPr="00C205CD">
        <w:rPr>
          <w:b/>
          <w:bCs/>
        </w:rPr>
        <w:tab/>
      </w:r>
      <w:r w:rsidRPr="00C205CD" w:rsidR="007A1E16">
        <w:rPr>
          <w:b/>
          <w:bCs/>
        </w:rPr>
        <w:t xml:space="preserve"> </w:t>
      </w:r>
      <w:r w:rsidRPr="00C205CD">
        <w:rPr>
          <w:b/>
          <w:bCs/>
        </w:rPr>
        <w:t>State’s obligation to prepare and transmit the “List of Hazards.”</w:t>
      </w:r>
    </w:p>
    <w:p w:rsidR="00DD58C6" w:rsidRPr="00C205CD" w:rsidP="00DD58C6" w14:paraId="6F3B2DBD" w14:textId="77777777">
      <w:pPr>
        <w:ind w:left="720"/>
      </w:pPr>
    </w:p>
    <w:p w:rsidR="00DD58C6" w:rsidRPr="00C205CD" w:rsidP="00DD58C6" w14:paraId="4C569E86" w14:textId="4E438D78">
      <w:pPr>
        <w:ind w:left="720"/>
      </w:pPr>
      <w:r w:rsidRPr="00C205CD">
        <w:rPr>
          <w:u w:val="single"/>
        </w:rPr>
        <w:t>Requirement</w:t>
      </w:r>
      <w:r w:rsidRPr="00C205CD">
        <w:t>.</w:t>
      </w:r>
      <w:r w:rsidRPr="00C205CD">
        <w:tab/>
        <w:t>Generate and transmit a list of hazards and correction due dates to the employer for posting in the workplace</w:t>
      </w:r>
      <w:r w:rsidRPr="00C205CD" w:rsidR="00AA29DA">
        <w:t xml:space="preserve">. </w:t>
      </w:r>
      <w:r w:rsidRPr="00C205CD">
        <w:t xml:space="preserve">The State also provides a copy of the list to a worker representative who participates in the visit. </w:t>
      </w:r>
    </w:p>
    <w:p w:rsidR="00DD58C6" w:rsidRPr="00C205CD" w:rsidP="00DD58C6" w14:paraId="320C660E" w14:textId="77777777">
      <w:pPr>
        <w:ind w:left="720"/>
      </w:pPr>
    </w:p>
    <w:p w:rsidR="00DD58C6" w:rsidRPr="00C205CD" w:rsidP="00DD58C6" w14:paraId="20B3E5BA" w14:textId="251157A5">
      <w:pPr>
        <w:ind w:left="720"/>
      </w:pPr>
      <w:r w:rsidRPr="00C205CD">
        <w:t>There are two (2) types of hazard list</w:t>
      </w:r>
      <w:r w:rsidRPr="00C205CD" w:rsidR="00AA29DA">
        <w:t xml:space="preserve">. </w:t>
      </w:r>
      <w:r w:rsidRPr="00C205CD">
        <w:t>The List of Hazards (Serious), consists of all serious hazards and any imminent danger hazard identified by the consultant</w:t>
      </w:r>
      <w:r w:rsidRPr="00C205CD" w:rsidR="00AA29DA">
        <w:t xml:space="preserve">. </w:t>
      </w:r>
      <w:r w:rsidRPr="00C205CD">
        <w:t>The List of Hazards (Serious, Other-than-Serious), consists of serious, other-than-serious, and imminent danger hazards, and regulatory violations identified by the consultant</w:t>
      </w:r>
      <w:r w:rsidRPr="00C205CD" w:rsidR="00AA29DA">
        <w:t xml:space="preserve">. </w:t>
      </w:r>
      <w:r w:rsidRPr="00C205CD">
        <w:t xml:space="preserve">This list is used when assessing establishments for SHARP or Pre-SHARP participation eligibility </w:t>
      </w:r>
      <w:r w:rsidRPr="00C205CD">
        <w:t>and by State Plans</w:t>
      </w:r>
      <w:r>
        <w:rPr>
          <w:vertAlign w:val="superscript"/>
        </w:rPr>
        <w:footnoteReference w:id="6"/>
      </w:r>
      <w:r w:rsidRPr="00C205CD">
        <w:rPr>
          <w:vertAlign w:val="superscript"/>
        </w:rPr>
        <w:t xml:space="preserve"> </w:t>
      </w:r>
      <w:r w:rsidRPr="00C205CD">
        <w:t>that require the verification of hazard correction for all hazard classifications.</w:t>
      </w:r>
    </w:p>
    <w:p w:rsidR="00DD58C6" w:rsidRPr="00C205CD" w:rsidP="00DD58C6" w14:paraId="3080E4B7" w14:textId="77777777">
      <w:pPr>
        <w:ind w:left="720"/>
      </w:pPr>
    </w:p>
    <w:p w:rsidR="00DD58C6" w:rsidRPr="00C205CD" w:rsidP="00DD58C6" w14:paraId="5BD319A5" w14:textId="6F098B97">
      <w:pPr>
        <w:ind w:left="720"/>
      </w:pPr>
      <w:r w:rsidRPr="00C205CD">
        <w:rPr>
          <w:u w:val="single"/>
        </w:rPr>
        <w:t>Purpose</w:t>
      </w:r>
      <w:r w:rsidRPr="00C205CD">
        <w:t>: When posted, the List of Hazards with the correction due dates serves to notify (and warn) workers of the presence of those hazards</w:t>
      </w:r>
      <w:r w:rsidRPr="00C205CD" w:rsidR="00AA29DA">
        <w:t xml:space="preserve">. </w:t>
      </w:r>
      <w:r w:rsidRPr="00C205CD">
        <w:t>It also serves as a reminder of the employer’s obligation to correct hazards in a timely manner and as a mechanism to track hazard correction.</w:t>
      </w:r>
    </w:p>
    <w:p w:rsidR="00DD58C6" w:rsidRPr="00C205CD" w:rsidP="00DD58C6" w14:paraId="4C8BAEA0" w14:textId="77777777">
      <w:pPr>
        <w:ind w:left="720"/>
      </w:pPr>
    </w:p>
    <w:p w:rsidR="00DD58C6" w:rsidRPr="00C205CD" w:rsidP="00DD58C6" w14:paraId="25B7083E" w14:textId="43EC6FBE">
      <w:pPr>
        <w:ind w:left="720"/>
      </w:pPr>
      <w:r w:rsidRPr="00C205CD">
        <w:rPr>
          <w:b/>
          <w:bCs/>
        </w:rPr>
        <w:t xml:space="preserve">(3) </w:t>
      </w:r>
      <w:r w:rsidRPr="00C205CD">
        <w:rPr>
          <w:b/>
          <w:bCs/>
        </w:rPr>
        <w:tab/>
      </w:r>
      <w:r w:rsidRPr="00C205CD" w:rsidR="002E358A">
        <w:rPr>
          <w:b/>
          <w:bCs/>
          <w:u w:val="single"/>
        </w:rPr>
        <w:t xml:space="preserve">29 CFR </w:t>
      </w:r>
      <w:r w:rsidRPr="00C205CD">
        <w:rPr>
          <w:b/>
          <w:bCs/>
          <w:u w:val="single"/>
        </w:rPr>
        <w:t>1908.6(f)(1) and (4)</w:t>
      </w:r>
      <w:r w:rsidRPr="00C205CD">
        <w:t>:</w:t>
      </w:r>
      <w:r w:rsidRPr="00C205CD" w:rsidR="007A1E16">
        <w:rPr>
          <w:b/>
          <w:bCs/>
        </w:rPr>
        <w:t xml:space="preserve"> </w:t>
      </w:r>
      <w:r w:rsidRPr="00C205CD">
        <w:rPr>
          <w:b/>
          <w:bCs/>
        </w:rPr>
        <w:t>State’s obligation to inform OSHA or the State Plan of an employer’s refusal to correct hazards</w:t>
      </w:r>
      <w:r w:rsidRPr="00C205CD">
        <w:t>.</w:t>
      </w:r>
    </w:p>
    <w:p w:rsidR="00DD58C6" w:rsidRPr="00C205CD" w:rsidP="00DD58C6" w14:paraId="79C3FD60" w14:textId="77777777">
      <w:pPr>
        <w:ind w:left="720"/>
      </w:pPr>
    </w:p>
    <w:p w:rsidR="00DD58C6" w:rsidRPr="00C205CD" w:rsidP="00DD58C6" w14:paraId="6EDC3752" w14:textId="77777777">
      <w:pPr>
        <w:ind w:left="720"/>
      </w:pPr>
      <w:r w:rsidRPr="00C205CD">
        <w:rPr>
          <w:u w:val="single"/>
        </w:rPr>
        <w:t>Requirement</w:t>
      </w:r>
      <w:r w:rsidRPr="00C205CD">
        <w:t>.</w:t>
      </w:r>
      <w:r w:rsidRPr="00C205CD">
        <w:tab/>
        <w:t>Notify the appropriate enforcement authority and provide relevant information on imminent danger situations and serious hazards, which the employer has failed to correct within established time frames.</w:t>
      </w:r>
    </w:p>
    <w:p w:rsidR="00DD58C6" w:rsidRPr="00C205CD" w:rsidP="00DD58C6" w14:paraId="114330EA" w14:textId="77777777">
      <w:pPr>
        <w:ind w:left="720"/>
      </w:pPr>
    </w:p>
    <w:p w:rsidR="00DD58C6" w:rsidRPr="00C205CD" w:rsidP="00DD58C6" w14:paraId="59B838AE" w14:textId="0976712F">
      <w:pPr>
        <w:ind w:left="720"/>
      </w:pPr>
      <w:r w:rsidRPr="00C205CD">
        <w:rPr>
          <w:u w:val="single"/>
        </w:rPr>
        <w:t>Purpose</w:t>
      </w:r>
      <w:r w:rsidRPr="00C205CD">
        <w:t>: This requirement is necessary to protect workers from exposure to imminent danger situations and serious hazards</w:t>
      </w:r>
      <w:r w:rsidRPr="00C205CD" w:rsidR="00AA29DA">
        <w:t xml:space="preserve">. </w:t>
      </w:r>
      <w:r w:rsidRPr="00C205CD">
        <w:t>Employers who request On-Site Consultation must agree to protect workers from all serious hazards and any imminent danger situation identified by the consultant</w:t>
      </w:r>
      <w:r w:rsidRPr="00C205CD" w:rsidR="00AA29DA">
        <w:t xml:space="preserve">. </w:t>
      </w:r>
      <w:r w:rsidRPr="00C205CD">
        <w:t xml:space="preserve">When an employer </w:t>
      </w:r>
      <w:r w:rsidRPr="00C205CD">
        <w:t>receives this free consultative assistance but refuses to correct those hazards, the State is obligated to make a referral to assure hazard correction</w:t>
      </w:r>
      <w:r w:rsidRPr="00C205CD" w:rsidR="00AA29DA">
        <w:t xml:space="preserve">. </w:t>
      </w:r>
      <w:r w:rsidRPr="00C205CD">
        <w:t>This notification is required by section 21(d)(3) of the OSH Act.</w:t>
      </w:r>
    </w:p>
    <w:p w:rsidR="00DD58C6" w:rsidRPr="00C205CD" w:rsidP="00DD58C6" w14:paraId="0B63437B" w14:textId="77777777">
      <w:pPr>
        <w:ind w:left="720"/>
      </w:pPr>
    </w:p>
    <w:p w:rsidR="00DD58C6" w:rsidRPr="00C205CD" w:rsidP="00DD58C6" w14:paraId="7A20781B" w14:textId="6087AB7B">
      <w:pPr>
        <w:ind w:left="720"/>
        <w:rPr>
          <w:u w:val="single"/>
        </w:rPr>
      </w:pPr>
      <w:r w:rsidRPr="00C205CD">
        <w:rPr>
          <w:b/>
          <w:bCs/>
        </w:rPr>
        <w:t>(4)</w:t>
      </w:r>
      <w:r w:rsidRPr="00C205CD">
        <w:rPr>
          <w:b/>
          <w:bCs/>
        </w:rPr>
        <w:tab/>
      </w:r>
      <w:r w:rsidRPr="00C205CD" w:rsidR="002E358A">
        <w:rPr>
          <w:b/>
          <w:bCs/>
          <w:u w:val="single"/>
        </w:rPr>
        <w:t xml:space="preserve">29 CFR </w:t>
      </w:r>
      <w:r w:rsidRPr="00C205CD">
        <w:rPr>
          <w:b/>
          <w:bCs/>
          <w:u w:val="single"/>
        </w:rPr>
        <w:t>1908.6 (b) and (g)(1)</w:t>
      </w:r>
      <w:r w:rsidRPr="00C205CD">
        <w:t>:</w:t>
      </w:r>
      <w:r w:rsidRPr="00C205CD" w:rsidR="007A1E16">
        <w:rPr>
          <w:b/>
          <w:bCs/>
        </w:rPr>
        <w:t xml:space="preserve"> </w:t>
      </w:r>
      <w:r w:rsidRPr="00C205CD">
        <w:rPr>
          <w:b/>
          <w:bCs/>
        </w:rPr>
        <w:t>State’s obligation to prepare and submit a written report to the employer</w:t>
      </w:r>
      <w:r w:rsidRPr="00C205CD">
        <w:t>.</w:t>
      </w:r>
    </w:p>
    <w:p w:rsidR="00DD58C6" w:rsidRPr="00C205CD" w:rsidP="00DD58C6" w14:paraId="4AACAD60" w14:textId="77777777">
      <w:pPr>
        <w:ind w:left="720"/>
        <w:rPr>
          <w:u w:val="single"/>
        </w:rPr>
      </w:pPr>
    </w:p>
    <w:p w:rsidR="00DD58C6" w:rsidRPr="00C205CD" w:rsidP="00DD58C6" w14:paraId="5D842898" w14:textId="754EA32A">
      <w:pPr>
        <w:ind w:left="720"/>
      </w:pPr>
      <w:r w:rsidRPr="00C205CD">
        <w:rPr>
          <w:u w:val="single"/>
        </w:rPr>
        <w:t>Requirement</w:t>
      </w:r>
      <w:r w:rsidRPr="00C205CD">
        <w:t>.</w:t>
      </w:r>
      <w:r w:rsidRPr="00C205CD">
        <w:tab/>
        <w:t>Prepare and transmit a written report to the employer for each initial On-Site Consultation visit (i.e., limited-service and full-service visits)</w:t>
      </w:r>
      <w:r w:rsidRPr="00C205CD" w:rsidR="00AA29DA">
        <w:t xml:space="preserve">. </w:t>
      </w:r>
    </w:p>
    <w:p w:rsidR="00DD58C6" w:rsidRPr="00C205CD" w:rsidP="00DD58C6" w14:paraId="32163E90" w14:textId="77777777">
      <w:pPr>
        <w:ind w:left="720"/>
      </w:pPr>
    </w:p>
    <w:p w:rsidR="00DD58C6" w:rsidRPr="00C205CD" w:rsidP="00DD58C6" w14:paraId="1A6AF102" w14:textId="560DBBCC">
      <w:pPr>
        <w:ind w:left="720"/>
      </w:pPr>
      <w:r w:rsidRPr="00C205CD">
        <w:rPr>
          <w:u w:val="single"/>
        </w:rPr>
        <w:t>Purpose</w:t>
      </w:r>
      <w:r w:rsidRPr="00C205CD">
        <w:t xml:space="preserve">: The written report to the employer </w:t>
      </w:r>
      <w:r w:rsidRPr="00C205CD" w:rsidR="006A0226">
        <w:t>plays a crucial role</w:t>
      </w:r>
      <w:r w:rsidRPr="00C205CD" w:rsidR="003F6089">
        <w:t xml:space="preserve"> </w:t>
      </w:r>
      <w:r w:rsidRPr="00C205CD">
        <w:t>as the official notification of the consultant's findings and recommendations</w:t>
      </w:r>
      <w:r w:rsidRPr="00C205CD" w:rsidR="00AA29DA">
        <w:t xml:space="preserve">. </w:t>
      </w:r>
      <w:r w:rsidRPr="00C205CD" w:rsidR="003F6089">
        <w:t>It serves as</w:t>
      </w:r>
      <w:r w:rsidRPr="00C205CD" w:rsidR="006A0226">
        <w:t xml:space="preserve"> important business communication between the On-Site Consultation program and the employer</w:t>
      </w:r>
      <w:r w:rsidRPr="00C205CD" w:rsidR="003F6089">
        <w:t>; this report</w:t>
      </w:r>
      <w:r w:rsidRPr="00C205CD" w:rsidR="006A0226">
        <w:t xml:space="preserve"> is not routinely provided to OSHA</w:t>
      </w:r>
      <w:r w:rsidRPr="00C205CD" w:rsidR="00AA29DA">
        <w:t xml:space="preserve">. </w:t>
      </w:r>
      <w:r w:rsidRPr="00C205CD" w:rsidR="006A0226">
        <w:t>Thousands of written reports have been generated by the States and transmitted to employers nationwide</w:t>
      </w:r>
      <w:r w:rsidRPr="00C205CD" w:rsidR="00AA29DA">
        <w:t xml:space="preserve">. </w:t>
      </w:r>
      <w:r w:rsidRPr="00C205CD" w:rsidR="006A0226">
        <w:t xml:space="preserve">The reports have been the basis for the correction of innumerable serious hazards and the improvement of thousands of safety and health programs. </w:t>
      </w:r>
      <w:r w:rsidRPr="00C205CD">
        <w:t xml:space="preserve">The written report includes the List of Hazards and the safety and health program assessment findings and recommendations for improvement (i.e., OSHA Form 33). </w:t>
      </w:r>
    </w:p>
    <w:p w:rsidR="00DD58C6" w:rsidRPr="00C205CD" w:rsidP="00DD58C6" w14:paraId="13AC9346" w14:textId="77777777">
      <w:pPr>
        <w:ind w:left="720"/>
      </w:pPr>
    </w:p>
    <w:p w:rsidR="00DD58C6" w:rsidRPr="00C205CD" w:rsidP="00DD58C6" w14:paraId="5E9AAB16" w14:textId="67EA6895">
      <w:pPr>
        <w:ind w:left="720"/>
        <w:rPr>
          <w:u w:val="single"/>
        </w:rPr>
      </w:pPr>
      <w:r w:rsidRPr="00C205CD">
        <w:rPr>
          <w:b/>
          <w:bCs/>
        </w:rPr>
        <w:t>(5)</w:t>
      </w:r>
      <w:r w:rsidRPr="00C205CD">
        <w:rPr>
          <w:b/>
          <w:bCs/>
        </w:rPr>
        <w:tab/>
      </w:r>
      <w:r w:rsidRPr="00C205CD" w:rsidR="002E358A">
        <w:rPr>
          <w:b/>
          <w:bCs/>
          <w:u w:val="single"/>
        </w:rPr>
        <w:t xml:space="preserve">29 CFR </w:t>
      </w:r>
      <w:r w:rsidRPr="00C205CD">
        <w:rPr>
          <w:b/>
          <w:bCs/>
          <w:u w:val="single"/>
        </w:rPr>
        <w:t>1908.7(b)(1):</w:t>
      </w:r>
      <w:r w:rsidRPr="00C205CD" w:rsidR="007A1E16">
        <w:rPr>
          <w:b/>
          <w:bCs/>
          <w:u w:val="single"/>
        </w:rPr>
        <w:t xml:space="preserve"> </w:t>
      </w:r>
      <w:r w:rsidRPr="00C205CD">
        <w:rPr>
          <w:b/>
          <w:bCs/>
        </w:rPr>
        <w:t>State’s obligation to inform compliance officers of an On-Site Consultation “visit in progress</w:t>
      </w:r>
      <w:r w:rsidRPr="00C205CD">
        <w:t>.”</w:t>
      </w:r>
      <w:r w:rsidRPr="00C205CD">
        <w:tab/>
      </w:r>
    </w:p>
    <w:p w:rsidR="00DD58C6" w:rsidRPr="00C205CD" w:rsidP="00DD58C6" w14:paraId="6EA24FD8" w14:textId="77777777">
      <w:pPr>
        <w:ind w:left="720"/>
        <w:rPr>
          <w:u w:val="single"/>
        </w:rPr>
      </w:pPr>
    </w:p>
    <w:p w:rsidR="00DD58C6" w:rsidRPr="00C205CD" w:rsidP="00DD58C6" w14:paraId="63DDFE0A" w14:textId="77777777">
      <w:pPr>
        <w:ind w:left="720"/>
      </w:pPr>
      <w:r w:rsidRPr="00C205CD">
        <w:rPr>
          <w:u w:val="single"/>
        </w:rPr>
        <w:t>Requirement</w:t>
      </w:r>
      <w:r w:rsidRPr="00C205CD">
        <w:t>.</w:t>
      </w:r>
      <w:r w:rsidRPr="00C205CD">
        <w:tab/>
        <w:t>Inform any OSHA or State Plan compliance officer who arrives during an On-Site Consultation visit that a Consultation Visit is “in progress.”</w:t>
      </w:r>
    </w:p>
    <w:p w:rsidR="00DD58C6" w:rsidRPr="00C205CD" w:rsidP="00DD58C6" w14:paraId="5667A71D" w14:textId="77777777">
      <w:pPr>
        <w:ind w:left="720"/>
      </w:pPr>
    </w:p>
    <w:p w:rsidR="00DD58C6" w:rsidRPr="00C205CD" w:rsidP="00DD58C6" w14:paraId="6182E970" w14:textId="1C25789C">
      <w:pPr>
        <w:ind w:left="720"/>
      </w:pPr>
      <w:r w:rsidRPr="00C205CD">
        <w:rPr>
          <w:u w:val="single"/>
        </w:rPr>
        <w:t>Purpose</w:t>
      </w:r>
      <w:r w:rsidRPr="00C205CD">
        <w:t xml:space="preserve">: This requirement is necessary to prevent </w:t>
      </w:r>
      <w:r w:rsidRPr="00C205CD">
        <w:t>duplication of effort between On-Site Consultation and enforcement</w:t>
      </w:r>
      <w:r w:rsidRPr="00C205CD" w:rsidR="00AA29DA">
        <w:t xml:space="preserve">. </w:t>
      </w:r>
      <w:r w:rsidRPr="00C205CD">
        <w:t>On-Site Consultation visits in progress take priority over OSHA or State programmed inspections</w:t>
      </w:r>
      <w:r w:rsidRPr="00C205CD" w:rsidR="00AA29DA">
        <w:t xml:space="preserve">. </w:t>
      </w:r>
      <w:r w:rsidRPr="00C205CD">
        <w:t>Without this stipulation, an employer receiving consultation services would be subject to a concurrent enforcement inspection</w:t>
      </w:r>
      <w:r w:rsidRPr="00C205CD" w:rsidR="00AA29DA">
        <w:t xml:space="preserve">. </w:t>
      </w:r>
      <w:r w:rsidRPr="00C205CD">
        <w:t>By eliminating this potential duplication between On-Site Consultation and enforcement, the employer is given the opportunity to voluntarily comply, while Federal and State costs and resources are conserved.</w:t>
      </w:r>
    </w:p>
    <w:p w:rsidR="00DD58C6" w:rsidRPr="00C205CD" w:rsidP="00DD58C6" w14:paraId="764248B9" w14:textId="77777777">
      <w:pPr>
        <w:ind w:left="720"/>
        <w:rPr>
          <w:b/>
          <w:bCs/>
        </w:rPr>
      </w:pPr>
    </w:p>
    <w:p w:rsidR="00DD58C6" w:rsidRPr="00C205CD" w:rsidP="00DD58C6" w14:paraId="67ECD5A5" w14:textId="26BB166A">
      <w:pPr>
        <w:ind w:left="720"/>
        <w:rPr>
          <w:b/>
          <w:bCs/>
          <w:u w:val="single"/>
        </w:rPr>
      </w:pPr>
      <w:r w:rsidRPr="00C205CD">
        <w:rPr>
          <w:b/>
          <w:bCs/>
        </w:rPr>
        <w:t>(6)</w:t>
      </w:r>
      <w:r w:rsidRPr="00C205CD">
        <w:rPr>
          <w:b/>
          <w:bCs/>
        </w:rPr>
        <w:tab/>
      </w:r>
      <w:r w:rsidRPr="00C205CD" w:rsidR="002E358A">
        <w:rPr>
          <w:b/>
          <w:bCs/>
          <w:u w:val="single"/>
        </w:rPr>
        <w:t xml:space="preserve">29 CFR </w:t>
      </w:r>
      <w:r w:rsidRPr="00C205CD">
        <w:rPr>
          <w:b/>
          <w:bCs/>
          <w:u w:val="single"/>
        </w:rPr>
        <w:t>1908.9(b)</w:t>
      </w:r>
      <w:r w:rsidRPr="00C205CD">
        <w:t>:</w:t>
      </w:r>
      <w:r w:rsidRPr="00C205CD" w:rsidR="007A1E16">
        <w:rPr>
          <w:b/>
          <w:bCs/>
        </w:rPr>
        <w:t xml:space="preserve"> </w:t>
      </w:r>
      <w:r w:rsidRPr="00C205CD">
        <w:rPr>
          <w:b/>
          <w:bCs/>
        </w:rPr>
        <w:t>State’s obligation to monitor consultants’ performance.</w:t>
      </w:r>
    </w:p>
    <w:p w:rsidR="00DD58C6" w:rsidRPr="00C205CD" w:rsidP="00DD58C6" w14:paraId="03CCFF46" w14:textId="77777777">
      <w:pPr>
        <w:ind w:left="720"/>
        <w:rPr>
          <w:u w:val="single"/>
        </w:rPr>
      </w:pPr>
    </w:p>
    <w:p w:rsidR="00EF27F4" w:rsidRPr="00C205CD" w:rsidP="00EF27F4" w14:paraId="16771508" w14:textId="77777777">
      <w:pPr>
        <w:ind w:left="720"/>
      </w:pPr>
      <w:r w:rsidRPr="00C205CD">
        <w:rPr>
          <w:u w:val="single"/>
        </w:rPr>
        <w:t>Requirement</w:t>
      </w:r>
      <w:r w:rsidRPr="00C205CD">
        <w:t>.</w:t>
      </w:r>
      <w:r w:rsidRPr="00C205CD">
        <w:tab/>
        <w:t>Establish and maintain an organized consultant performance monitoring system. State On-Site Consultation program managers conduct annual monitoring of performance to ensure that consultants continue to meet the six major qualification requirements set forth in the On-Site Consultation regulations. These requirements include:</w:t>
      </w:r>
    </w:p>
    <w:p w:rsidR="00EF27F4" w:rsidRPr="00C205CD" w:rsidP="00EF27F4" w14:paraId="716E8AC0" w14:textId="77777777">
      <w:pPr>
        <w:ind w:left="720"/>
      </w:pPr>
    </w:p>
    <w:p w:rsidR="00EF27F4" w:rsidRPr="00C205CD" w:rsidP="00EF27F4" w14:paraId="38CDE674" w14:textId="77777777">
      <w:pPr>
        <w:ind w:left="720"/>
      </w:pPr>
      <w:r w:rsidRPr="00C205CD">
        <w:t>i.</w:t>
      </w:r>
      <w:r w:rsidRPr="00C205CD">
        <w:tab/>
        <w:t>Ability to identify hazards;</w:t>
      </w:r>
    </w:p>
    <w:p w:rsidR="00EF27F4" w:rsidRPr="00C205CD" w:rsidP="00EF27F4" w14:paraId="4E0ECFF9" w14:textId="77777777">
      <w:pPr>
        <w:ind w:left="720"/>
      </w:pPr>
      <w:r w:rsidRPr="00C205CD">
        <w:t>ii.</w:t>
      </w:r>
      <w:r w:rsidRPr="00C205CD">
        <w:tab/>
        <w:t>Ability to assess worker exposure and risk;</w:t>
      </w:r>
    </w:p>
    <w:p w:rsidR="00EF27F4" w:rsidRPr="00C205CD" w:rsidP="00EF27F4" w14:paraId="294D6983" w14:textId="77777777">
      <w:pPr>
        <w:ind w:left="720"/>
      </w:pPr>
      <w:r w:rsidRPr="00C205CD">
        <w:t>iii.</w:t>
      </w:r>
      <w:r w:rsidRPr="00C205CD">
        <w:tab/>
        <w:t>Knowledge of OSHA standards;</w:t>
      </w:r>
    </w:p>
    <w:p w:rsidR="00EF27F4" w:rsidRPr="00C205CD" w:rsidP="00EF27F4" w14:paraId="19D58934" w14:textId="77777777">
      <w:pPr>
        <w:ind w:left="720"/>
      </w:pPr>
      <w:r w:rsidRPr="00C205CD">
        <w:t>iv.</w:t>
      </w:r>
      <w:r w:rsidRPr="00C205CD">
        <w:tab/>
        <w:t>Knowledge of hazard correction techniques and practices;</w:t>
      </w:r>
    </w:p>
    <w:p w:rsidR="00EF27F4" w:rsidRPr="00C205CD" w:rsidP="00EF27F4" w14:paraId="2FFD55BA" w14:textId="77777777">
      <w:pPr>
        <w:ind w:left="720"/>
      </w:pPr>
      <w:r w:rsidRPr="00C205CD">
        <w:t>v.</w:t>
      </w:r>
      <w:r w:rsidRPr="00C205CD">
        <w:tab/>
        <w:t>Knowledge of workplace safety and health program requirements; and</w:t>
      </w:r>
    </w:p>
    <w:p w:rsidR="00EF27F4" w:rsidRPr="00C205CD" w:rsidP="00EF27F4" w14:paraId="24CE7F23" w14:textId="77777777">
      <w:pPr>
        <w:ind w:left="720"/>
      </w:pPr>
      <w:r w:rsidRPr="00C205CD">
        <w:t>vi.</w:t>
      </w:r>
      <w:r w:rsidRPr="00C205CD">
        <w:tab/>
        <w:t>Ability to effectively communicate, both orally and in writing.</w:t>
      </w:r>
    </w:p>
    <w:p w:rsidR="00EF27F4" w:rsidRPr="00C205CD" w:rsidP="00EF27F4" w14:paraId="20F02EE5" w14:textId="77777777">
      <w:pPr>
        <w:ind w:left="720"/>
      </w:pPr>
    </w:p>
    <w:p w:rsidR="00EF27F4" w:rsidRPr="00C205CD" w:rsidP="00EF27F4" w14:paraId="3943BE1D" w14:textId="3E5CE84C">
      <w:pPr>
        <w:ind w:left="720"/>
      </w:pPr>
      <w:r w:rsidRPr="00C205CD">
        <w:t>Because individual State personnel systems establish their own employment criteria for hiring consultants, a standard level of consultant competency in the areas of expertise that have been deemed critical to the effective delivery of On-Site Consultation services is principally achieved through continuous monitoring and training to improve areas of deficiency</w:t>
      </w:r>
      <w:r w:rsidRPr="00C205CD" w:rsidR="00AA29DA">
        <w:t xml:space="preserve">. </w:t>
      </w:r>
    </w:p>
    <w:p w:rsidR="00EF27F4" w:rsidRPr="00C205CD" w:rsidP="00EF27F4" w14:paraId="76E13DD7" w14:textId="77777777">
      <w:pPr>
        <w:ind w:left="720"/>
      </w:pPr>
    </w:p>
    <w:p w:rsidR="00EF27F4" w:rsidRPr="00C205CD" w:rsidP="00EF27F4" w14:paraId="3A0E631B" w14:textId="61964DF4">
      <w:pPr>
        <w:ind w:left="720"/>
      </w:pPr>
      <w:r w:rsidRPr="00C205CD">
        <w:t>The On-Site Consultation regulation requires that States accomplish annual self-monitoring activities by conducting performance evaluations of consultants, by accompanying consultants during On-Site Consultation visits, and by preparing quarterly summaries of their efforts in these areas</w:t>
      </w:r>
      <w:r w:rsidRPr="00C205CD" w:rsidR="00AA29DA">
        <w:t xml:space="preserve">. </w:t>
      </w:r>
      <w:r w:rsidRPr="00C205CD">
        <w:t>The consultant’s performance evaluation is a confidential State personnel record and is not reviewed by OSHA</w:t>
      </w:r>
      <w:r w:rsidRPr="00C205CD" w:rsidR="00AA29DA">
        <w:t xml:space="preserve">. </w:t>
      </w:r>
      <w:r w:rsidRPr="00C205CD">
        <w:t>Federal monitors may, however, ask to review the summaries of State self-monitoring activities and the accompanied visit reports</w:t>
      </w:r>
      <w:r w:rsidRPr="00C205CD" w:rsidR="00AA29DA">
        <w:t xml:space="preserve">. </w:t>
      </w:r>
      <w:r w:rsidRPr="00C205CD">
        <w:t>These evaluations have assisted the States in determining training needs</w:t>
      </w:r>
      <w:r w:rsidRPr="00C205CD" w:rsidR="00AA29DA">
        <w:t xml:space="preserve">. </w:t>
      </w:r>
      <w:r w:rsidRPr="00C205CD">
        <w:t>OSHA pays for continuing education training of consultants at the OSHA Training Institute and at other institutions</w:t>
      </w:r>
      <w:r w:rsidRPr="00C205CD" w:rsidR="00AA29DA">
        <w:t xml:space="preserve">. </w:t>
      </w:r>
    </w:p>
    <w:p w:rsidR="00EF27F4" w:rsidRPr="00C205CD" w:rsidP="00EF27F4" w14:paraId="54FCE257" w14:textId="77777777">
      <w:pPr>
        <w:ind w:left="720"/>
      </w:pPr>
    </w:p>
    <w:p w:rsidR="00DD58C6" w:rsidRPr="00C205CD" w:rsidP="00DD58C6" w14:paraId="76FE1FE4" w14:textId="77777777">
      <w:pPr>
        <w:ind w:left="720"/>
      </w:pPr>
      <w:r w:rsidRPr="00C205CD">
        <w:rPr>
          <w:u w:val="single"/>
        </w:rPr>
        <w:t>Purpose</w:t>
      </w:r>
      <w:r w:rsidRPr="00C205CD">
        <w:t xml:space="preserve">: Performance monitoring of consultants is necessary to ensure that employers who request and receive On-Site Consultation services are provided quality assistance </w:t>
      </w:r>
      <w:r w:rsidRPr="00C205CD">
        <w:t>and that the skill levels of consultants are sufficient to perform the tasks required.</w:t>
      </w:r>
    </w:p>
    <w:p w:rsidR="00DD58C6" w:rsidRPr="00C205CD" w:rsidP="00DD58C6" w14:paraId="0E1A65A4" w14:textId="77777777">
      <w:pPr>
        <w:ind w:left="720"/>
      </w:pPr>
    </w:p>
    <w:p w:rsidR="00DD58C6" w:rsidRPr="00C205CD" w:rsidP="00DD58C6" w14:paraId="25BA0924" w14:textId="7257A4C4">
      <w:pPr>
        <w:ind w:left="720"/>
        <w:rPr>
          <w:b/>
          <w:bCs/>
          <w:u w:val="single"/>
        </w:rPr>
      </w:pPr>
      <w:r w:rsidRPr="00C205CD">
        <w:rPr>
          <w:b/>
          <w:bCs/>
        </w:rPr>
        <w:t>(7)</w:t>
      </w:r>
      <w:r w:rsidRPr="00C205CD">
        <w:rPr>
          <w:b/>
          <w:bCs/>
        </w:rPr>
        <w:tab/>
      </w:r>
      <w:r w:rsidRPr="00C205CD" w:rsidR="00A30E71">
        <w:rPr>
          <w:b/>
          <w:bCs/>
          <w:u w:val="single"/>
        </w:rPr>
        <w:t xml:space="preserve">29 CFR </w:t>
      </w:r>
      <w:r w:rsidRPr="00C205CD">
        <w:rPr>
          <w:b/>
          <w:bCs/>
          <w:u w:val="single"/>
        </w:rPr>
        <w:t>1908.9(c)</w:t>
      </w:r>
      <w:r w:rsidRPr="00C205CD">
        <w:t>:</w:t>
      </w:r>
      <w:r w:rsidRPr="00C205CD" w:rsidR="007A1E16">
        <w:t xml:space="preserve"> </w:t>
      </w:r>
      <w:r w:rsidRPr="00C205CD">
        <w:rPr>
          <w:b/>
          <w:bCs/>
        </w:rPr>
        <w:t>State’s obligation to report data.</w:t>
      </w:r>
    </w:p>
    <w:p w:rsidR="00DD58C6" w:rsidRPr="00C205CD" w:rsidP="00DD58C6" w14:paraId="6CFD6545" w14:textId="77777777">
      <w:pPr>
        <w:ind w:left="720"/>
        <w:rPr>
          <w:u w:val="single"/>
        </w:rPr>
      </w:pPr>
    </w:p>
    <w:p w:rsidR="00DD58C6" w:rsidRPr="00C205CD" w:rsidP="00DD58C6" w14:paraId="5022F4F0" w14:textId="77777777">
      <w:pPr>
        <w:ind w:left="720"/>
      </w:pPr>
      <w:r w:rsidRPr="00C205CD">
        <w:rPr>
          <w:u w:val="single"/>
        </w:rPr>
        <w:t>Requirement</w:t>
      </w:r>
      <w:r w:rsidRPr="00C205CD">
        <w:t>.</w:t>
      </w:r>
      <w:r w:rsidRPr="00C205CD">
        <w:tab/>
        <w:t>Compile and submit factual and statistical data.</w:t>
      </w:r>
    </w:p>
    <w:p w:rsidR="00DD58C6" w:rsidRPr="00C205CD" w:rsidP="00DD58C6" w14:paraId="681B722D" w14:textId="77777777">
      <w:pPr>
        <w:ind w:left="720"/>
      </w:pPr>
    </w:p>
    <w:p w:rsidR="00DD58C6" w:rsidRPr="00C205CD" w:rsidP="00DD58C6" w14:paraId="7FF82420" w14:textId="72C68796">
      <w:pPr>
        <w:ind w:left="720"/>
      </w:pPr>
      <w:r w:rsidRPr="00C205CD">
        <w:rPr>
          <w:u w:val="single"/>
        </w:rPr>
        <w:t>Purpose</w:t>
      </w:r>
      <w:r w:rsidRPr="00C205CD">
        <w:t>: The On-Site Consultation programs gather factual data from all the employers who utilize their services and input the data online, into the OIS or a system that interfaces with it</w:t>
      </w:r>
      <w:r w:rsidRPr="00C205CD" w:rsidR="00AA29DA">
        <w:t xml:space="preserve">. </w:t>
      </w:r>
      <w:r w:rsidRPr="00C205CD">
        <w:t>OSHA does not require the On-Site Consultation programs to segregate or apply any statistical criteria to the data; nor are they required to perform any specific statistical analysis using the data</w:t>
      </w:r>
      <w:r w:rsidRPr="00C205CD" w:rsidR="00AA29DA">
        <w:t xml:space="preserve">. </w:t>
      </w:r>
      <w:r w:rsidRPr="00C205CD">
        <w:t>OSHA uses the data to perform periodic and annual electronic monitoring of each On-Site Consultation program’s performance as spec</w:t>
      </w:r>
      <w:r w:rsidRPr="00C205CD">
        <w:t>ified in the cooperative agreement</w:t>
      </w:r>
      <w:r w:rsidRPr="00C205CD" w:rsidR="00AA29DA">
        <w:t xml:space="preserve">. </w:t>
      </w:r>
      <w:r w:rsidRPr="00C205CD">
        <w:t xml:space="preserve">OSHA from time-to-time uses the information collected </w:t>
      </w:r>
      <w:r w:rsidRPr="00C205CD">
        <w:t>under this requirement to report on the performance of the On-Site Consultation programs to Congress.</w:t>
      </w:r>
    </w:p>
    <w:p w:rsidR="00DD58C6" w:rsidRPr="00C205CD" w:rsidP="00DD58C6" w14:paraId="6D8EE286" w14:textId="77777777">
      <w:pPr>
        <w:ind w:left="720"/>
      </w:pPr>
    </w:p>
    <w:p w:rsidR="00DD58C6" w:rsidRPr="00C205CD" w:rsidP="00DD58C6" w14:paraId="1D95151C" w14:textId="2758DF40">
      <w:pPr>
        <w:ind w:left="720"/>
        <w:rPr>
          <w:b/>
          <w:bCs/>
          <w:u w:val="single"/>
        </w:rPr>
      </w:pPr>
      <w:r w:rsidRPr="00C205CD">
        <w:rPr>
          <w:b/>
          <w:bCs/>
        </w:rPr>
        <w:t xml:space="preserve">(8) </w:t>
      </w:r>
      <w:r w:rsidRPr="00C205CD">
        <w:rPr>
          <w:b/>
          <w:bCs/>
        </w:rPr>
        <w:tab/>
      </w:r>
      <w:r w:rsidRPr="00C205CD" w:rsidR="00A30E71">
        <w:rPr>
          <w:b/>
          <w:bCs/>
          <w:u w:val="single"/>
        </w:rPr>
        <w:t xml:space="preserve">29 CFR </w:t>
      </w:r>
      <w:r w:rsidRPr="00C205CD">
        <w:rPr>
          <w:b/>
          <w:bCs/>
          <w:u w:val="single"/>
        </w:rPr>
        <w:t>1908.10(c)</w:t>
      </w:r>
      <w:r w:rsidRPr="00C205CD">
        <w:t>:</w:t>
      </w:r>
      <w:r w:rsidRPr="00C205CD" w:rsidR="007A1E16">
        <w:t xml:space="preserve"> </w:t>
      </w:r>
      <w:r w:rsidRPr="00C205CD">
        <w:rPr>
          <w:b/>
          <w:bCs/>
        </w:rPr>
        <w:t>Contents of cooperative agreement</w:t>
      </w:r>
      <w:r w:rsidRPr="00C205CD" w:rsidR="00AA29DA">
        <w:rPr>
          <w:b/>
          <w:bCs/>
        </w:rPr>
        <w:t xml:space="preserve">. </w:t>
      </w:r>
      <w:r w:rsidRPr="00C205CD">
        <w:rPr>
          <w:b/>
          <w:bCs/>
        </w:rPr>
        <w:t xml:space="preserve">This section provides the mechanism for funding On-Site Consultation programs operated by </w:t>
      </w:r>
      <w:r w:rsidRPr="00C205CD">
        <w:rPr>
          <w:b/>
          <w:bCs/>
        </w:rPr>
        <w:t>the States</w:t>
      </w:r>
      <w:r w:rsidRPr="00C205CD" w:rsidR="00AA29DA">
        <w:rPr>
          <w:b/>
          <w:bCs/>
        </w:rPr>
        <w:t xml:space="preserve">. </w:t>
      </w:r>
    </w:p>
    <w:p w:rsidR="00DD58C6" w:rsidRPr="00C205CD" w:rsidP="00DD58C6" w14:paraId="7B579255" w14:textId="77777777">
      <w:pPr>
        <w:ind w:left="720"/>
        <w:rPr>
          <w:b/>
          <w:bCs/>
          <w:u w:val="single"/>
        </w:rPr>
      </w:pPr>
    </w:p>
    <w:p w:rsidR="00DD58C6" w:rsidRPr="00C205CD" w:rsidP="00DD58C6" w14:paraId="6995CBCD" w14:textId="351A3C83">
      <w:pPr>
        <w:ind w:left="720"/>
      </w:pPr>
      <w:r w:rsidRPr="00C205CD">
        <w:rPr>
          <w:u w:val="single"/>
        </w:rPr>
        <w:t>Requirement</w:t>
      </w:r>
      <w:r w:rsidRPr="00C205CD">
        <w:t>.</w:t>
      </w:r>
      <w:r w:rsidRPr="00C205CD">
        <w:tab/>
        <w:t>Prepare the annual cooperative agreement detailing budget information and program activities proposed for Federal funding each fiscal year</w:t>
      </w:r>
      <w:r w:rsidRPr="00C205CD" w:rsidR="00AA29DA">
        <w:t xml:space="preserve">. </w:t>
      </w:r>
    </w:p>
    <w:p w:rsidR="00DD58C6" w:rsidRPr="00C205CD" w:rsidP="00DD58C6" w14:paraId="32B85A4E" w14:textId="77777777">
      <w:pPr>
        <w:ind w:left="720"/>
      </w:pPr>
    </w:p>
    <w:p w:rsidR="00DD58C6" w:rsidRPr="00C205CD" w:rsidP="00DD58C6" w14:paraId="656D2C37" w14:textId="6B89BA77">
      <w:pPr>
        <w:ind w:left="720"/>
      </w:pPr>
      <w:r w:rsidRPr="00C205CD">
        <w:rPr>
          <w:u w:val="single"/>
        </w:rPr>
        <w:t>Purpose:</w:t>
      </w:r>
      <w:r w:rsidRPr="00C205CD">
        <w:t xml:space="preserve"> The cooperative agreement and funding mechanism are required by CAAA.</w:t>
      </w:r>
      <w:r w:rsidRPr="00C205CD" w:rsidR="00565169">
        <w:t xml:space="preserve"> On-Site Consultation program managers prepare and submit annual cooperative agreements, including detailed budget and basic performance projections, to ensure that adequate funding is available for On-Site Consultation services throughout the fiscal year, and to ensure conformance with fiscal year budgetary allowances</w:t>
      </w:r>
      <w:r w:rsidRPr="00C205CD" w:rsidR="00AA29DA">
        <w:t xml:space="preserve">. </w:t>
      </w:r>
      <w:r w:rsidRPr="00C205CD" w:rsidR="00565169">
        <w:t>Information from the cooperative agreements has been used to gauge performance, and to make projections of future activity.</w:t>
      </w:r>
    </w:p>
    <w:p w:rsidR="00F36DFE" w:rsidRPr="00C205CD" w:rsidP="00DD58C6" w14:paraId="2A4302A1" w14:textId="77777777">
      <w:pPr>
        <w:ind w:left="720"/>
      </w:pPr>
    </w:p>
    <w:p w:rsidR="00F36DFE" w:rsidRPr="00C205CD" w:rsidP="00DD58C6" w14:paraId="0880CBAC" w14:textId="3B812AB2">
      <w:pPr>
        <w:ind w:left="720"/>
      </w:pPr>
      <w:r w:rsidRPr="00C205CD">
        <w:rPr>
          <w:b/>
          <w:bCs/>
          <w:u w:val="single"/>
        </w:rPr>
        <w:t xml:space="preserve">The agency is </w:t>
      </w:r>
      <w:r w:rsidRPr="00C205CD" w:rsidR="00755FA0">
        <w:rPr>
          <w:b/>
          <w:bCs/>
          <w:u w:val="single"/>
        </w:rPr>
        <w:t>incorporating</w:t>
      </w:r>
      <w:r w:rsidRPr="00C205CD" w:rsidR="00A92E96">
        <w:rPr>
          <w:b/>
          <w:bCs/>
          <w:u w:val="single"/>
        </w:rPr>
        <w:t xml:space="preserve"> </w:t>
      </w:r>
      <w:r w:rsidRPr="00C205CD">
        <w:rPr>
          <w:b/>
          <w:bCs/>
          <w:u w:val="single"/>
        </w:rPr>
        <w:t>the following collections</w:t>
      </w:r>
      <w:r w:rsidRPr="00C205CD" w:rsidR="00A92E96">
        <w:rPr>
          <w:b/>
          <w:bCs/>
          <w:u w:val="single"/>
        </w:rPr>
        <w:t>,</w:t>
      </w:r>
      <w:r w:rsidRPr="00C205CD" w:rsidR="005F70E2">
        <w:rPr>
          <w:b/>
          <w:bCs/>
          <w:u w:val="single"/>
        </w:rPr>
        <w:t xml:space="preserve"> currently approve by OMB under 1218</w:t>
      </w:r>
      <w:r w:rsidRPr="00C205CD" w:rsidR="00C1356E">
        <w:rPr>
          <w:b/>
          <w:bCs/>
          <w:u w:val="single"/>
        </w:rPr>
        <w:t>-0281,</w:t>
      </w:r>
      <w:r w:rsidRPr="00C205CD" w:rsidR="00FF7E6A">
        <w:rPr>
          <w:b/>
          <w:bCs/>
          <w:u w:val="single"/>
        </w:rPr>
        <w:t xml:space="preserve"> </w:t>
      </w:r>
      <w:r w:rsidRPr="00C205CD" w:rsidR="00C1356E">
        <w:rPr>
          <w:b/>
          <w:bCs/>
          <w:u w:val="single"/>
        </w:rPr>
        <w:t xml:space="preserve">into </w:t>
      </w:r>
      <w:r w:rsidRPr="00C205CD" w:rsidR="00FF7E6A">
        <w:rPr>
          <w:b/>
          <w:bCs/>
          <w:u w:val="single"/>
        </w:rPr>
        <w:t>this ICR</w:t>
      </w:r>
      <w:r w:rsidRPr="00C205CD" w:rsidR="00E75EA8">
        <w:rPr>
          <w:b/>
          <w:bCs/>
          <w:u w:val="single"/>
        </w:rPr>
        <w:t xml:space="preserve"> for State </w:t>
      </w:r>
      <w:r w:rsidRPr="00C205CD" w:rsidR="00AA7E0B">
        <w:rPr>
          <w:b/>
          <w:bCs/>
          <w:u w:val="single"/>
        </w:rPr>
        <w:t>responsibilities</w:t>
      </w:r>
      <w:r w:rsidRPr="00C205CD" w:rsidR="00A52091">
        <w:t xml:space="preserve">: </w:t>
      </w:r>
    </w:p>
    <w:p w:rsidR="00DD58C6" w:rsidRPr="00C205CD" w:rsidP="00DD58C6" w14:paraId="28461791" w14:textId="77777777">
      <w:pPr>
        <w:ind w:left="720"/>
      </w:pPr>
    </w:p>
    <w:p w:rsidR="00DD58C6" w:rsidRPr="00C205CD" w:rsidP="00DD58C6" w14:paraId="2402EA7F" w14:textId="0080E30B">
      <w:pPr>
        <w:ind w:left="720"/>
      </w:pPr>
      <w:r w:rsidRPr="00C205CD">
        <w:rPr>
          <w:b/>
          <w:bCs/>
        </w:rPr>
        <w:t>(9)</w:t>
      </w:r>
      <w:r w:rsidRPr="00C205CD">
        <w:t xml:space="preserve"> </w:t>
      </w:r>
      <w:r w:rsidRPr="00C205CD">
        <w:tab/>
      </w:r>
      <w:r w:rsidRPr="00C205CD" w:rsidR="00182823">
        <w:rPr>
          <w:b/>
          <w:bCs/>
        </w:rPr>
        <w:t>29 CFR</w:t>
      </w:r>
      <w:r w:rsidRPr="00C205CD" w:rsidR="00857ECF">
        <w:rPr>
          <w:b/>
          <w:bCs/>
        </w:rPr>
        <w:t xml:space="preserve"> 1908.6(e)(3)</w:t>
      </w:r>
      <w:r w:rsidRPr="00C205CD">
        <w:t>:  State’s authorization to provide assistance within the scope of the employer’s request for consultation services</w:t>
      </w:r>
      <w:r w:rsidRPr="00C205CD" w:rsidR="00AA29DA">
        <w:t xml:space="preserve">. </w:t>
      </w:r>
    </w:p>
    <w:p w:rsidR="00DD58C6" w:rsidRPr="00C205CD" w:rsidP="00DD58C6" w14:paraId="1EEAD54B" w14:textId="77777777">
      <w:pPr>
        <w:ind w:left="720"/>
      </w:pPr>
    </w:p>
    <w:p w:rsidR="00DD58C6" w:rsidRPr="00C205CD" w:rsidP="00DD58C6" w14:paraId="320558D7" w14:textId="28FFECAF">
      <w:pPr>
        <w:ind w:left="720"/>
      </w:pPr>
      <w:r w:rsidRPr="00C205CD">
        <w:tab/>
      </w:r>
      <w:r w:rsidRPr="00C205CD" w:rsidR="007C77C2">
        <w:rPr>
          <w:b/>
          <w:bCs/>
        </w:rPr>
        <w:t>29 CFR 1910.119</w:t>
      </w:r>
      <w:r w:rsidRPr="00C205CD">
        <w:rPr>
          <w:b/>
          <w:bCs/>
        </w:rPr>
        <w:t xml:space="preserve"> </w:t>
      </w:r>
      <w:r w:rsidRPr="00C205CD" w:rsidR="00264019">
        <w:rPr>
          <w:b/>
          <w:bCs/>
        </w:rPr>
        <w:t xml:space="preserve">/ </w:t>
      </w:r>
      <w:r w:rsidRPr="00C205CD" w:rsidR="00E668D9">
        <w:rPr>
          <w:b/>
          <w:bCs/>
        </w:rPr>
        <w:t>29 CFR 1926.64</w:t>
      </w:r>
      <w:r w:rsidRPr="00C205CD">
        <w:t xml:space="preserve">:  The </w:t>
      </w:r>
      <w:r w:rsidRPr="00C205CD">
        <w:t>OSHA PSM of Highly Hazardous Chemicals standard contains requirements for preventing or minimizing the consequences of catastrophic releases of toxic, reactive, flammable, or explosive chemicals</w:t>
      </w:r>
      <w:r w:rsidRPr="00C205CD" w:rsidR="00AA29DA">
        <w:t xml:space="preserve">. </w:t>
      </w:r>
      <w:r w:rsidRPr="00C205CD">
        <w:t>These releases may result in toxic, fire, or explosion hazards.</w:t>
      </w:r>
    </w:p>
    <w:p w:rsidR="00DD58C6" w:rsidRPr="00C205CD" w:rsidP="00DD58C6" w14:paraId="38ED1F7A" w14:textId="77777777">
      <w:pPr>
        <w:ind w:left="720"/>
      </w:pPr>
    </w:p>
    <w:p w:rsidR="00DD58C6" w:rsidRPr="00C205CD" w:rsidP="00DD58C6" w14:paraId="7BDD61C9" w14:textId="77777777">
      <w:pPr>
        <w:ind w:left="720"/>
      </w:pPr>
      <w:r w:rsidRPr="00C205CD">
        <w:rPr>
          <w:u w:val="single"/>
        </w:rPr>
        <w:t>Requirement</w:t>
      </w:r>
      <w:r w:rsidRPr="00C205CD">
        <w:t>.</w:t>
      </w:r>
      <w:r w:rsidRPr="00C205CD">
        <w:tab/>
        <w:t xml:space="preserve">Apply the PSM Evaluation Worksheet and optional accompanying tables to facilitate the effective implementation of PSM Program elements by small business employers. </w:t>
      </w:r>
    </w:p>
    <w:p w:rsidR="00DD58C6" w:rsidRPr="00C205CD" w:rsidP="00DD58C6" w14:paraId="76FD4D62" w14:textId="77777777">
      <w:pPr>
        <w:ind w:left="720"/>
      </w:pPr>
    </w:p>
    <w:p w:rsidR="00097A9D" w:rsidRPr="00C205CD" w:rsidP="00097A9D" w14:paraId="07592D04" w14:textId="07DF7F34">
      <w:pPr>
        <w:ind w:left="720"/>
      </w:pPr>
      <w:r w:rsidRPr="00C205CD">
        <w:rPr>
          <w:u w:val="single"/>
        </w:rPr>
        <w:t>Purpose:</w:t>
      </w:r>
      <w:r w:rsidRPr="00C205CD">
        <w:t xml:space="preserve"> PSM Evaluation Worksheet, and Five (5) Optional Accompanying Tables, provides guidelines for On-Site Consultation programs to apply when assessing processes covered by the PSM standard when small business employers request such services</w:t>
      </w:r>
      <w:r w:rsidRPr="00C205CD" w:rsidR="00AA29DA">
        <w:t xml:space="preserve">. </w:t>
      </w:r>
      <w:r w:rsidRPr="00C205CD">
        <w:t>The worksheet is a tool for Consultation programs to evaluate an employer’s PSM Program as well as document findings and recommendations for corrective actions</w:t>
      </w:r>
      <w:r w:rsidRPr="00C205CD" w:rsidR="00AA29DA">
        <w:t xml:space="preserve">. </w:t>
      </w:r>
    </w:p>
    <w:p w:rsidR="00097A9D" w:rsidRPr="00C205CD" w:rsidP="00097A9D" w14:paraId="0320B824" w14:textId="77777777">
      <w:pPr>
        <w:ind w:left="720"/>
      </w:pPr>
    </w:p>
    <w:p w:rsidR="00DD58C6" w:rsidRPr="00C205CD" w:rsidP="00097A9D" w14:paraId="6E8EA20F" w14:textId="2159C53C">
      <w:pPr>
        <w:ind w:left="720"/>
      </w:pPr>
      <w:r w:rsidRPr="00C205CD">
        <w:t>On-Site Consultation programs use the PSM Evaluation Worksheet in conjunction with other relevant technical resources (e.g., consensus standards, Recognized and Generally Accepted Good Engineering Practices (RAGAGEP))</w:t>
      </w:r>
      <w:r w:rsidRPr="00C205CD" w:rsidR="00AA29DA">
        <w:t xml:space="preserve">. </w:t>
      </w:r>
      <w:r w:rsidRPr="00C205CD">
        <w:t>The assessment tables are additional optional resources or tools developed for On-Site Consultation programs to use when reviewing PSM processes</w:t>
      </w:r>
    </w:p>
    <w:p w:rsidR="00DD58C6" w:rsidRPr="00C205CD" w:rsidP="00DD58C6" w14:paraId="70EC0438" w14:textId="77777777">
      <w:pPr>
        <w:ind w:left="720"/>
      </w:pPr>
    </w:p>
    <w:p w:rsidR="00DD58C6" w:rsidRPr="00C205CD" w:rsidP="0067641D" w14:paraId="02168F37" w14:textId="2CED767D">
      <w:pPr>
        <w:ind w:left="720"/>
      </w:pPr>
      <w:r w:rsidRPr="00C205CD">
        <w:rPr>
          <w:b/>
          <w:bCs/>
        </w:rPr>
        <w:t>(10)</w:t>
      </w:r>
      <w:r w:rsidRPr="00C205CD">
        <w:rPr>
          <w:b/>
          <w:bCs/>
        </w:rPr>
        <w:tab/>
      </w:r>
      <w:r w:rsidRPr="00C205CD">
        <w:rPr>
          <w:b/>
          <w:bCs/>
          <w:u w:val="single"/>
        </w:rPr>
        <w:t>29 CFR 1908.7(b)(4)</w:t>
      </w:r>
      <w:r w:rsidRPr="00C205CD">
        <w:t>:</w:t>
      </w:r>
      <w:r w:rsidRPr="00C205CD">
        <w:rPr>
          <w:b/>
          <w:bCs/>
        </w:rPr>
        <w:t xml:space="preserve"> </w:t>
      </w:r>
      <w:r w:rsidRPr="00C205CD">
        <w:t xml:space="preserve"> States authorization to provide incentives and support to smaller, high-hazard employers to work with their employees to develop, implement, and continuously improve the effectiveness of their workplace safety and health management program</w:t>
      </w:r>
      <w:r w:rsidRPr="00C205CD" w:rsidR="00AA29DA">
        <w:t xml:space="preserve">. </w:t>
      </w:r>
      <w:r w:rsidRPr="00C205CD">
        <w:t xml:space="preserve"> </w:t>
      </w:r>
    </w:p>
    <w:p w:rsidR="0067641D" w:rsidRPr="00C205CD" w:rsidP="0067641D" w14:paraId="6FCFAD41" w14:textId="77777777">
      <w:pPr>
        <w:ind w:left="720"/>
        <w:rPr>
          <w:u w:val="single"/>
        </w:rPr>
      </w:pPr>
    </w:p>
    <w:p w:rsidR="004E16DE" w:rsidRPr="00C205CD" w:rsidP="0067641D" w14:paraId="251AB91D" w14:textId="18277B63">
      <w:pPr>
        <w:ind w:left="720"/>
      </w:pPr>
      <w:r w:rsidRPr="00C205CD">
        <w:rPr>
          <w:u w:val="single"/>
        </w:rPr>
        <w:t>Requirement</w:t>
      </w:r>
      <w:r w:rsidRPr="00C205CD" w:rsidR="00AA29DA">
        <w:t xml:space="preserve">. </w:t>
      </w:r>
      <w:r w:rsidRPr="00C205CD">
        <w:t>Review the PSM Interim Year</w:t>
      </w:r>
      <w:r>
        <w:rPr>
          <w:vertAlign w:val="superscript"/>
        </w:rPr>
        <w:footnoteReference w:id="7"/>
      </w:r>
      <w:r w:rsidRPr="00C205CD">
        <w:rPr>
          <w:vertAlign w:val="superscript"/>
        </w:rPr>
        <w:t xml:space="preserve"> </w:t>
      </w:r>
      <w:r w:rsidRPr="00C205CD">
        <w:t xml:space="preserve">SHARP Site Self-Evaluations </w:t>
      </w:r>
      <w:r w:rsidRPr="00C205CD" w:rsidR="0067641D">
        <w:t xml:space="preserve">that </w:t>
      </w:r>
      <w:r w:rsidRPr="00C205CD">
        <w:t>are submitted by employers to assess the implementation of PSM Program elements in their workplace.</w:t>
      </w:r>
    </w:p>
    <w:p w:rsidR="004E16DE" w:rsidRPr="00C205CD" w:rsidP="0067641D" w14:paraId="3F876CB3" w14:textId="77777777">
      <w:pPr>
        <w:ind w:left="720"/>
      </w:pPr>
    </w:p>
    <w:p w:rsidR="0067641D" w:rsidRPr="00C205CD" w:rsidP="0067641D" w14:paraId="173E2D3D" w14:textId="7BC1A58C">
      <w:pPr>
        <w:ind w:left="720"/>
      </w:pPr>
      <w:r w:rsidRPr="00C205CD">
        <w:rPr>
          <w:u w:val="single"/>
        </w:rPr>
        <w:t>Purpose</w:t>
      </w:r>
      <w:r w:rsidRPr="00C205CD">
        <w:t>: Consultation programs will review the PSM Interim Year SHARP Site Self-Evaluation Template completed by small business employers participating in SHARP that have PSM covered processes at their establishment</w:t>
      </w:r>
      <w:r w:rsidRPr="00C205CD" w:rsidR="00AA29DA">
        <w:t xml:space="preserve">. </w:t>
      </w:r>
      <w:r w:rsidRPr="00C205CD">
        <w:t>Consultation programs will assess the implementation of PSM Program elements; compliance with the PSM standard; provide technical assistance with addressing deficiencies and/or ensuring continuous improvement; and follow-up with the employer to verify the implementation of any corrective measures</w:t>
      </w:r>
      <w:r w:rsidRPr="00C205CD" w:rsidR="00AA29DA">
        <w:t xml:space="preserve">. </w:t>
      </w:r>
    </w:p>
    <w:p w:rsidR="00DD58C6" w:rsidRPr="00C205CD" w:rsidP="00DD58C6" w14:paraId="3680E3A2" w14:textId="475A3D26">
      <w:pPr>
        <w:ind w:left="720"/>
      </w:pPr>
    </w:p>
    <w:p w:rsidR="00DD58C6" w:rsidRPr="00C205CD" w:rsidP="00DD58C6" w14:paraId="3221A098" w14:textId="5A194F19">
      <w:pPr>
        <w:ind w:left="720"/>
      </w:pPr>
      <w:r w:rsidRPr="00C205CD">
        <w:rPr>
          <w:b/>
          <w:bCs/>
        </w:rPr>
        <w:t xml:space="preserve">(11)   </w:t>
      </w:r>
      <w:r w:rsidRPr="00C205CD">
        <w:rPr>
          <w:b/>
          <w:bCs/>
        </w:rPr>
        <w:tab/>
      </w:r>
      <w:r w:rsidRPr="00C205CD">
        <w:rPr>
          <w:b/>
          <w:bCs/>
          <w:u w:val="single"/>
        </w:rPr>
        <w:t>29 CFR 1908.6(e)(3)</w:t>
      </w:r>
      <w:r w:rsidRPr="00C205CD">
        <w:t xml:space="preserve">:  State’s authorization to provide safety and health program assistance within the </w:t>
      </w:r>
      <w:r w:rsidRPr="00C205CD">
        <w:t>scope of the employer’s request</w:t>
      </w:r>
      <w:r w:rsidRPr="00C205CD" w:rsidR="00AA29DA">
        <w:t xml:space="preserve">. </w:t>
      </w:r>
    </w:p>
    <w:p w:rsidR="00DD58C6" w:rsidRPr="00C205CD" w:rsidP="00DD58C6" w14:paraId="4F1AAF99" w14:textId="77777777">
      <w:pPr>
        <w:ind w:left="720"/>
      </w:pPr>
      <w:r w:rsidRPr="00C205CD">
        <w:tab/>
      </w:r>
    </w:p>
    <w:p w:rsidR="00DD58C6" w:rsidRPr="00C205CD" w:rsidP="00DD58C6" w14:paraId="4DCF6C41" w14:textId="0B52376A">
      <w:pPr>
        <w:ind w:left="720"/>
      </w:pPr>
      <w:r w:rsidRPr="00C205CD">
        <w:rPr>
          <w:u w:val="single"/>
        </w:rPr>
        <w:t>Requirement</w:t>
      </w:r>
      <w:r w:rsidRPr="00C205CD" w:rsidR="00AA29DA">
        <w:t xml:space="preserve">. </w:t>
      </w:r>
      <w:r w:rsidRPr="00C205CD">
        <w:t>Apply the worksheet for Determining the Applicability of the PSM Standard to an establishment when there is a reason to suspect that a process(es) in the workplace is subject to the standard.</w:t>
      </w:r>
    </w:p>
    <w:p w:rsidR="00CE3897" w:rsidRPr="00C205CD" w:rsidP="00DD58C6" w14:paraId="0924459A" w14:textId="77777777">
      <w:pPr>
        <w:ind w:left="720"/>
      </w:pPr>
    </w:p>
    <w:p w:rsidR="00CE3897" w:rsidRPr="00C205CD" w:rsidP="00DD58C6" w14:paraId="0FACAF79" w14:textId="571A856E">
      <w:pPr>
        <w:ind w:left="720"/>
      </w:pPr>
      <w:r w:rsidRPr="00C205CD">
        <w:t xml:space="preserve">Before conducting a consultation visit, when there is reason to suspect that a process(es) </w:t>
      </w:r>
      <w:r w:rsidRPr="00C205CD">
        <w:t>in the workplace is subject to the PSM standard, a consultant will use the</w:t>
      </w:r>
      <w:r w:rsidRPr="00C205CD">
        <w:rPr>
          <w:i/>
          <w:iCs/>
        </w:rPr>
        <w:t xml:space="preserve"> </w:t>
      </w:r>
      <w:r w:rsidRPr="00C205CD" w:rsidR="004E2370">
        <w:rPr>
          <w:i/>
          <w:iCs/>
        </w:rPr>
        <w:t>Determining the Applicability of the PSM Standard to an Establishment</w:t>
      </w:r>
      <w:r w:rsidRPr="00C205CD" w:rsidR="004E2370">
        <w:t xml:space="preserve"> </w:t>
      </w:r>
      <w:r w:rsidRPr="00C205CD">
        <w:t>worksheet, or other appropriate resources, to clarify if the PSM standard applies, and identify the nature of any process involved (e.g., ammonia refrigeration, ammonia storage, chemical processing, manufacturing of explosives and pyrotechnics)</w:t>
      </w:r>
      <w:r w:rsidRPr="00C205CD" w:rsidR="00AA29DA">
        <w:t xml:space="preserve">. </w:t>
      </w:r>
    </w:p>
    <w:p w:rsidR="00DD58C6" w:rsidRPr="00C205CD" w:rsidP="00DD58C6" w14:paraId="2978D421" w14:textId="77777777">
      <w:pPr>
        <w:ind w:left="720"/>
      </w:pPr>
    </w:p>
    <w:p w:rsidR="00DD58C6" w:rsidRPr="00C205CD" w:rsidP="00DD58C6" w14:paraId="1B6EB9A7" w14:textId="743CF7DF">
      <w:pPr>
        <w:ind w:left="720"/>
      </w:pPr>
      <w:r w:rsidRPr="00C205CD">
        <w:rPr>
          <w:u w:val="single"/>
        </w:rPr>
        <w:t>Purpose</w:t>
      </w:r>
      <w:r w:rsidRPr="00C205CD">
        <w:t>: To assure that the consultant</w:t>
      </w:r>
      <w:r w:rsidRPr="00C205CD" w:rsidR="00CE3897">
        <w:t xml:space="preserve"> has</w:t>
      </w:r>
      <w:r w:rsidRPr="00C205CD">
        <w:t xml:space="preserve"> </w:t>
      </w:r>
      <w:r w:rsidRPr="00C205CD" w:rsidR="00CE3897">
        <w:t>appropriate safety and health information before the consultation visit and be adequately prepared to provide technical assistance to the employer for any PSM process identified in the workplace.</w:t>
      </w:r>
    </w:p>
    <w:p w:rsidR="00DD58C6" w:rsidRPr="00C205CD" w:rsidP="00DD58C6" w14:paraId="01D4EFF9" w14:textId="77777777">
      <w:pPr>
        <w:ind w:left="720"/>
      </w:pPr>
    </w:p>
    <w:p w:rsidR="00DD58C6" w:rsidRPr="00C205CD" w:rsidP="00DD58C6" w14:paraId="6106CEB0" w14:textId="77777777">
      <w:pPr>
        <w:ind w:left="720"/>
      </w:pPr>
      <w:r w:rsidRPr="00C205CD">
        <w:rPr>
          <w:b/>
          <w:bCs/>
        </w:rPr>
        <w:t>(12)</w:t>
      </w:r>
      <w:r w:rsidRPr="00C205CD">
        <w:rPr>
          <w:b/>
          <w:bCs/>
        </w:rPr>
        <w:tab/>
      </w:r>
      <w:r w:rsidRPr="00C205CD">
        <w:rPr>
          <w:b/>
          <w:bCs/>
          <w:u w:val="single"/>
        </w:rPr>
        <w:t>29 CFR 1908.7(b)(4)</w:t>
      </w:r>
      <w:r w:rsidRPr="00C205CD">
        <w:t>:  States authorization to provide incentives and support to smaller, high-hazard employers to work with their employees to develop, implement, and continuously improve the effectiveness of their workplace safety and health program.</w:t>
      </w:r>
    </w:p>
    <w:p w:rsidR="00DD58C6" w:rsidRPr="00C205CD" w:rsidP="00DD58C6" w14:paraId="5D342EB9" w14:textId="77777777">
      <w:pPr>
        <w:ind w:left="720"/>
      </w:pPr>
    </w:p>
    <w:p w:rsidR="00DD58C6" w:rsidRPr="00C205CD" w:rsidP="00DD58C6" w14:paraId="35F1588F" w14:textId="5959019B">
      <w:pPr>
        <w:ind w:left="720"/>
      </w:pPr>
      <w:r w:rsidRPr="00C205CD">
        <w:rPr>
          <w:u w:val="single"/>
        </w:rPr>
        <w:t>Requirement</w:t>
      </w:r>
      <w:r w:rsidRPr="00C205CD" w:rsidR="00AA29DA">
        <w:t xml:space="preserve">. </w:t>
      </w:r>
      <w:r w:rsidRPr="00C205CD">
        <w:t>Review the Interim Year SHARP Site Self-Evaluation that employers use to assess the implementation of the safety and health program in the workplace.</w:t>
      </w:r>
    </w:p>
    <w:p w:rsidR="00DD58C6" w:rsidRPr="00C205CD" w:rsidP="00DD58C6" w14:paraId="06DF2844" w14:textId="77777777">
      <w:pPr>
        <w:ind w:left="720"/>
      </w:pPr>
    </w:p>
    <w:p w:rsidR="00767AF4" w:rsidRPr="00C205CD" w:rsidP="00767AF4" w14:paraId="1701C10E" w14:textId="457857A1">
      <w:pPr>
        <w:ind w:left="720"/>
      </w:pPr>
      <w:r w:rsidRPr="00C205CD">
        <w:t>Consultation programs will review the Interim Year SHARP Site Self-Evaluation Template completed by employers participating in SHARP; provide technical assistance to ensure continuous improvement and/or correct deficiencies; and follow-up to verify the implementation of any corrective measures, to facilitate the continued implementation of effective safety and health programs by employers approved to participate in SHARP</w:t>
      </w:r>
      <w:r w:rsidRPr="00C205CD" w:rsidR="00AA29DA">
        <w:t xml:space="preserve">. </w:t>
      </w:r>
    </w:p>
    <w:p w:rsidR="00767AF4" w:rsidRPr="00C205CD" w:rsidP="00767AF4" w14:paraId="3957E225" w14:textId="77777777">
      <w:pPr>
        <w:ind w:left="720"/>
      </w:pPr>
    </w:p>
    <w:p w:rsidR="00767AF4" w:rsidRPr="00C205CD" w:rsidP="00767AF4" w14:paraId="6A196EAF" w14:textId="7B8B77C9">
      <w:pPr>
        <w:ind w:left="720"/>
      </w:pPr>
      <w:r w:rsidRPr="00C205CD">
        <w:t>This self-evaluation is completed by all employers participating in SHARP (i.e., those with and without PSM processes in their workplaces) and does not include the self-assessment of the PSM Program elements when OSHA’s PSM standard applies. PSM Program elements will be assessed using the PSM Interim Year SHARP Site Self-Evaluation. Both self-evaluations are due in the interim year</w:t>
      </w:r>
    </w:p>
    <w:p w:rsidR="00767AF4" w:rsidRPr="00C205CD" w:rsidP="00DD58C6" w14:paraId="6EAF3240" w14:textId="77777777">
      <w:pPr>
        <w:ind w:left="720"/>
      </w:pPr>
    </w:p>
    <w:p w:rsidR="00DD58C6" w:rsidRPr="00C205CD" w:rsidP="00DD58C6" w14:paraId="3A1862AA" w14:textId="77777777">
      <w:pPr>
        <w:ind w:left="720"/>
      </w:pPr>
      <w:r w:rsidRPr="00C205CD">
        <w:rPr>
          <w:u w:val="single"/>
        </w:rPr>
        <w:t>Purpose:</w:t>
      </w:r>
      <w:r w:rsidRPr="00C205CD">
        <w:t xml:space="preserve"> Provide general oversight to promote the continued implementation of effective safety and health programs at workplaces participating in SHARP and give technical assistance as needed. </w:t>
      </w:r>
    </w:p>
    <w:p w:rsidR="00DD58C6" w:rsidRPr="00C205CD" w:rsidP="00DD58C6" w14:paraId="548DE2CE" w14:textId="77777777">
      <w:pPr>
        <w:ind w:left="720"/>
      </w:pPr>
    </w:p>
    <w:p w:rsidR="00DD58C6" w:rsidRPr="00C205CD" w:rsidP="00DD58C6" w14:paraId="6242EAE0" w14:textId="79FF5007">
      <w:pPr>
        <w:ind w:left="720"/>
      </w:pPr>
      <w:r w:rsidRPr="00C205CD">
        <w:t>(</w:t>
      </w:r>
      <w:r w:rsidRPr="00C205CD">
        <w:rPr>
          <w:b/>
          <w:bCs/>
        </w:rPr>
        <w:t xml:space="preserve">13) </w:t>
      </w:r>
      <w:r w:rsidRPr="00C205CD">
        <w:rPr>
          <w:b/>
          <w:bCs/>
        </w:rPr>
        <w:tab/>
      </w:r>
      <w:r w:rsidRPr="00C205CD">
        <w:rPr>
          <w:b/>
          <w:bCs/>
          <w:u w:val="single"/>
        </w:rPr>
        <w:t>29 CFR 1908.7(b)(4)</w:t>
      </w:r>
      <w:r w:rsidRPr="00C205CD">
        <w:t>:  States authorization to provide incentives and support to smaller, high-hazard employers to work with their employees to develop, implement, and continuously improve the effectiveness of their workplace safety and health management program</w:t>
      </w:r>
      <w:r w:rsidRPr="00C205CD" w:rsidR="00AA29DA">
        <w:t xml:space="preserve">. </w:t>
      </w:r>
    </w:p>
    <w:p w:rsidR="00DD58C6" w:rsidRPr="00C205CD" w:rsidP="00DD58C6" w14:paraId="3C397EBF" w14:textId="77777777">
      <w:pPr>
        <w:ind w:left="720"/>
      </w:pPr>
    </w:p>
    <w:p w:rsidR="00DD58C6" w:rsidRPr="00C205CD" w:rsidP="00DD58C6" w14:paraId="04C04A65" w14:textId="1FFFC39C">
      <w:pPr>
        <w:ind w:left="720"/>
      </w:pPr>
      <w:r w:rsidRPr="00C205CD">
        <w:rPr>
          <w:u w:val="single"/>
        </w:rPr>
        <w:t>Requirement</w:t>
      </w:r>
      <w:r w:rsidRPr="00C205CD" w:rsidR="00AA29DA">
        <w:t xml:space="preserve">. </w:t>
      </w:r>
      <w:r w:rsidRPr="00C205CD">
        <w:t>Assist employers in applying the Action Plan Template for SHARP or Pre-SHARP participation, which is used to identify goals for the continuous improvement of the safety and health program.</w:t>
      </w:r>
    </w:p>
    <w:p w:rsidR="00DD58C6" w:rsidRPr="00C205CD" w:rsidP="00DD58C6" w14:paraId="5FF2B279" w14:textId="77777777">
      <w:pPr>
        <w:ind w:left="720"/>
      </w:pPr>
    </w:p>
    <w:p w:rsidR="000F4B68" w:rsidRPr="00C205CD" w:rsidP="000F4B68" w14:paraId="13944751" w14:textId="77777777">
      <w:pPr>
        <w:ind w:left="720"/>
      </w:pPr>
      <w:r w:rsidRPr="00C205CD">
        <w:t xml:space="preserve">On-Site Consultation programs use the Action Plan Template to assist employers participating in SHARP with developing goals and timelines for assuring the continuous improvement of their safety and health management programs. On-Site Consultation </w:t>
      </w:r>
      <w:r w:rsidRPr="00C205CD">
        <w:t>programs also use the Action Plan to assist employers participating in Pre-SHARP with identifying goals and timelines for implementing corrective actions to address deficiencies in their safety and health program implementation within the Pre-SHARP participation period. This collaborative effort between On-Site Consultation programs and employers aim to enhance workplace safety and health.</w:t>
      </w:r>
    </w:p>
    <w:p w:rsidR="000F4B68" w:rsidRPr="00C205CD" w:rsidP="000F4B68" w14:paraId="3A809DA2" w14:textId="77777777">
      <w:pPr>
        <w:ind w:left="720"/>
      </w:pPr>
    </w:p>
    <w:p w:rsidR="00DD58C6" w:rsidRPr="00C205CD" w:rsidP="00DD58C6" w14:paraId="7CB5A51E" w14:textId="77777777">
      <w:pPr>
        <w:ind w:left="720"/>
      </w:pPr>
      <w:r w:rsidRPr="00C205CD">
        <w:rPr>
          <w:u w:val="single"/>
        </w:rPr>
        <w:t>Purpose:</w:t>
      </w:r>
      <w:r w:rsidRPr="00C205CD">
        <w:t xml:space="preserve"> Facilitate the implementation of effective safety and health management program processes at SHARP and Pre-SHARP sites.</w:t>
      </w:r>
    </w:p>
    <w:p w:rsidR="00DD58C6" w:rsidRPr="00C205CD" w:rsidP="00DD58C6" w14:paraId="5F8C75F2" w14:textId="77777777">
      <w:pPr>
        <w:ind w:left="720"/>
      </w:pPr>
    </w:p>
    <w:p w:rsidR="00DD58C6" w:rsidRPr="00C205CD" w:rsidP="00DD58C6" w14:paraId="2A959D1B" w14:textId="43FA2246">
      <w:pPr>
        <w:ind w:left="720"/>
      </w:pPr>
      <w:r w:rsidRPr="00C205CD">
        <w:rPr>
          <w:b/>
          <w:bCs/>
        </w:rPr>
        <w:t xml:space="preserve">(14) </w:t>
      </w:r>
      <w:r w:rsidRPr="00C205CD">
        <w:rPr>
          <w:b/>
          <w:bCs/>
        </w:rPr>
        <w:tab/>
      </w:r>
      <w:r w:rsidRPr="00C205CD">
        <w:rPr>
          <w:b/>
          <w:bCs/>
          <w:u w:val="single"/>
        </w:rPr>
        <w:t>29 CFR 1908.7(b)(4)</w:t>
      </w:r>
      <w:r w:rsidRPr="00C205CD">
        <w:t xml:space="preserve">:  States authorization to provide incentives and support to smaller, high-hazard employers to work with their employees to develop, implement, and continuously improve the effectiveness of their workplace safety and </w:t>
      </w:r>
      <w:r w:rsidRPr="00C205CD">
        <w:t>health management program</w:t>
      </w:r>
      <w:r w:rsidRPr="00C205CD" w:rsidR="00AA29DA">
        <w:t xml:space="preserve">. </w:t>
      </w:r>
    </w:p>
    <w:p w:rsidR="00DD58C6" w:rsidRPr="00C205CD" w:rsidP="00DD58C6" w14:paraId="48B8E6A1" w14:textId="77777777">
      <w:pPr>
        <w:ind w:left="720"/>
      </w:pPr>
    </w:p>
    <w:p w:rsidR="00DD58C6" w:rsidRPr="00C205CD" w:rsidP="00DD58C6" w14:paraId="787495D0" w14:textId="77777777">
      <w:pPr>
        <w:ind w:left="720"/>
      </w:pPr>
      <w:r w:rsidRPr="00C205CD">
        <w:rPr>
          <w:u w:val="single"/>
        </w:rPr>
        <w:t>Requirement</w:t>
      </w:r>
      <w:r w:rsidRPr="00C205CD">
        <w:t>. Use the Incident Investigation Reporting Template to report findings and recommendations to correct safety and health program deficiencies when incidents (e.g., fatalities, catastrophes) occur at SHARP or Pre-SHARP sites.</w:t>
      </w:r>
    </w:p>
    <w:p w:rsidR="003D5922" w:rsidRPr="00C205CD" w:rsidP="00DD58C6" w14:paraId="5F224A80" w14:textId="77777777">
      <w:pPr>
        <w:ind w:left="720"/>
      </w:pPr>
    </w:p>
    <w:p w:rsidR="003D5922" w:rsidRPr="00C205CD" w:rsidP="00DD58C6" w14:paraId="49F0988F" w14:textId="327C3988">
      <w:pPr>
        <w:ind w:left="720"/>
        <w:rPr>
          <w:bCs/>
        </w:rPr>
      </w:pPr>
      <w:r w:rsidRPr="00C205CD">
        <w:t xml:space="preserve">On-Site Consultation programs use the Incident Investigation Reporting Template to determine the root causes of incidents that occur at SHARP or Pre-SHARP sites, the effectiveness of the implemented safety and health program, and report findings and recommendations. </w:t>
      </w:r>
      <w:r w:rsidRPr="00C205CD">
        <w:rPr>
          <w:bCs/>
        </w:rPr>
        <w:t>The template will assure that the incident investigation data collected and assessed by On-Site Consultation programs nationwide is consistent, and similar procedures are followed to facilitate productive outcomes</w:t>
      </w:r>
    </w:p>
    <w:p w:rsidR="008C7628" w:rsidRPr="00C205CD" w:rsidP="00DD58C6" w14:paraId="3B6D0ED6" w14:textId="77777777">
      <w:pPr>
        <w:ind w:left="720"/>
        <w:rPr>
          <w:bCs/>
        </w:rPr>
      </w:pPr>
    </w:p>
    <w:p w:rsidR="00EF4BD1" w:rsidRPr="00C205CD" w:rsidP="00EF4BD1" w14:paraId="50D3B428" w14:textId="77777777">
      <w:pPr>
        <w:ind w:left="720"/>
      </w:pPr>
      <w:r w:rsidRPr="00C205CD">
        <w:rPr>
          <w:u w:val="single"/>
        </w:rPr>
        <w:t>Purpose</w:t>
      </w:r>
      <w:r w:rsidRPr="00C205CD">
        <w:t>: Assure an effective and consistent process for On-Site Consultation programs to conduct incident investigations to preclude recurrence. Findings will help Consultation programs to recommend corrective measures for promoting the safety and health of workers; and ascertain the employer’s eligibility to continue to participate in SHARP or Pre-SHARP.</w:t>
      </w:r>
    </w:p>
    <w:p w:rsidR="00DD58C6" w:rsidRPr="00C205CD" w:rsidP="00DD58C6" w14:paraId="56280F4C" w14:textId="64B3418A">
      <w:pPr>
        <w:ind w:left="720"/>
      </w:pPr>
    </w:p>
    <w:p w:rsidR="00DD58C6" w:rsidRPr="00C205CD" w:rsidP="00DD58C6" w14:paraId="60F38655" w14:textId="77777777">
      <w:pPr>
        <w:ind w:left="720"/>
      </w:pPr>
      <w:r w:rsidRPr="00C205CD">
        <w:rPr>
          <w:b/>
        </w:rPr>
        <w:t>b.</w:t>
      </w:r>
      <w:r w:rsidRPr="00C205CD">
        <w:rPr>
          <w:b/>
        </w:rPr>
        <w:tab/>
      </w:r>
      <w:r w:rsidRPr="00C205CD">
        <w:rPr>
          <w:b/>
          <w:u w:val="single"/>
        </w:rPr>
        <w:t>Employer Responsibilities</w:t>
      </w:r>
      <w:r w:rsidRPr="00C205CD">
        <w:t>.</w:t>
      </w:r>
    </w:p>
    <w:p w:rsidR="00DD58C6" w:rsidRPr="00C205CD" w:rsidP="00DD58C6" w14:paraId="797562FC" w14:textId="77777777">
      <w:pPr>
        <w:ind w:left="720"/>
      </w:pPr>
    </w:p>
    <w:p w:rsidR="00DD58C6" w:rsidRPr="00C205CD" w:rsidP="00DD58C6" w14:paraId="27636445" w14:textId="2A5F47B3">
      <w:pPr>
        <w:ind w:left="720"/>
      </w:pPr>
      <w:r w:rsidRPr="00C205CD">
        <w:rPr>
          <w:b/>
          <w:bCs/>
        </w:rPr>
        <w:t>(1)</w:t>
      </w:r>
      <w:r w:rsidRPr="00C205CD">
        <w:rPr>
          <w:b/>
          <w:bCs/>
        </w:rPr>
        <w:tab/>
      </w:r>
      <w:r w:rsidRPr="00C205CD" w:rsidR="00A30E71">
        <w:rPr>
          <w:b/>
          <w:bCs/>
          <w:u w:val="single"/>
        </w:rPr>
        <w:t xml:space="preserve">29 CFR </w:t>
      </w:r>
      <w:r w:rsidRPr="00C205CD">
        <w:rPr>
          <w:b/>
          <w:bCs/>
          <w:u w:val="single"/>
        </w:rPr>
        <w:t>1908.6(e)(8)</w:t>
      </w:r>
      <w:r w:rsidRPr="00C205CD">
        <w:t>:  Employer’s obligation to post the “List of Hazards” and make information on corrective methods proposed by the consultant available to workers and their representatives.</w:t>
      </w:r>
    </w:p>
    <w:p w:rsidR="00DD58C6" w:rsidRPr="00C205CD" w:rsidP="00DD58C6" w14:paraId="2B0A7552" w14:textId="77777777">
      <w:pPr>
        <w:ind w:left="720"/>
        <w:rPr>
          <w:u w:val="single"/>
        </w:rPr>
      </w:pPr>
    </w:p>
    <w:p w:rsidR="00DD58C6" w:rsidRPr="00C205CD" w:rsidP="00DD58C6" w14:paraId="4B43A4DA" w14:textId="6ADCBA47">
      <w:pPr>
        <w:ind w:left="720"/>
      </w:pPr>
      <w:r w:rsidRPr="00C205CD">
        <w:rPr>
          <w:u w:val="single"/>
        </w:rPr>
        <w:t>Requirement</w:t>
      </w:r>
      <w:r w:rsidRPr="00C205CD" w:rsidR="00AA29DA">
        <w:t xml:space="preserve">. </w:t>
      </w:r>
      <w:r w:rsidRPr="00C205CD">
        <w:t>The employer must post the List of Hazards, which includes the hazard correction due dates</w:t>
      </w:r>
      <w:r w:rsidRPr="00C205CD" w:rsidR="00AA29DA">
        <w:t xml:space="preserve">. </w:t>
      </w:r>
      <w:r w:rsidRPr="00C205CD">
        <w:t>The List of Hazards must be posted unedited in a prominent place, where it is readily observable by all affected workers, for three working days, or until the hazards are corrected, whichever is later. A copy of the List of Hazards must also be made available to the worker representative who participates in the consultation visit.</w:t>
      </w:r>
    </w:p>
    <w:p w:rsidR="00DD58C6" w:rsidRPr="00C205CD" w:rsidP="00DD58C6" w14:paraId="7D1825C5" w14:textId="77777777">
      <w:pPr>
        <w:ind w:left="720"/>
      </w:pPr>
    </w:p>
    <w:p w:rsidR="00DD58C6" w:rsidRPr="00C205CD" w:rsidP="00DD58C6" w14:paraId="226DE9F5" w14:textId="68C0C8AC">
      <w:pPr>
        <w:ind w:left="720"/>
      </w:pPr>
      <w:r w:rsidRPr="00C205CD">
        <w:rPr>
          <w:u w:val="single"/>
        </w:rPr>
        <w:t>Purpose:</w:t>
      </w:r>
      <w:r w:rsidRPr="00C205CD">
        <w:t xml:space="preserve"> This requirement is necessary to ensure that workers are made aware of, and employers ensure that they can avoid those hazards, which could otherwise result in </w:t>
      </w:r>
      <w:r w:rsidRPr="00C205CD">
        <w:t>serious injury, illness, or death</w:t>
      </w:r>
      <w:r w:rsidRPr="00C205CD" w:rsidR="00AA29DA">
        <w:t xml:space="preserve">. </w:t>
      </w:r>
      <w:r w:rsidRPr="00C205CD">
        <w:t>The House Report (H.R. 105-444) accompanying the CAAA encouraged the Secretary of Labor to include assurances of worker notification of hazards in 29 CFR part 1908.</w:t>
      </w:r>
    </w:p>
    <w:p w:rsidR="00DD58C6" w:rsidRPr="00C205CD" w:rsidP="00DD58C6" w14:paraId="6DB52B5A" w14:textId="77777777">
      <w:pPr>
        <w:ind w:left="720"/>
        <w:rPr>
          <w:u w:val="single"/>
        </w:rPr>
      </w:pPr>
    </w:p>
    <w:p w:rsidR="00DD58C6" w:rsidRPr="00C205CD" w:rsidP="00DD58C6" w14:paraId="5A4D033F" w14:textId="5F8EB289">
      <w:pPr>
        <w:ind w:left="720"/>
      </w:pPr>
      <w:r w:rsidRPr="00C205CD">
        <w:rPr>
          <w:b/>
          <w:bCs/>
        </w:rPr>
        <w:t>(2)</w:t>
      </w:r>
      <w:r w:rsidRPr="00C205CD">
        <w:rPr>
          <w:b/>
          <w:bCs/>
        </w:rPr>
        <w:tab/>
      </w:r>
      <w:r w:rsidRPr="00C205CD" w:rsidR="00A30E71">
        <w:rPr>
          <w:b/>
          <w:bCs/>
          <w:u w:val="single"/>
        </w:rPr>
        <w:t xml:space="preserve">29 CFR </w:t>
      </w:r>
      <w:r w:rsidRPr="00C205CD">
        <w:rPr>
          <w:b/>
          <w:bCs/>
          <w:u w:val="single"/>
        </w:rPr>
        <w:t>1908.6(f)(5)</w:t>
      </w:r>
      <w:r w:rsidRPr="00C205CD">
        <w:t>:</w:t>
      </w:r>
      <w:r w:rsidRPr="00C205CD">
        <w:rPr>
          <w:b/>
          <w:bCs/>
        </w:rPr>
        <w:tab/>
        <w:t>Employer’s obligation to notify the On-Site Consultation program manager when hazards are corrected</w:t>
      </w:r>
      <w:r w:rsidRPr="00C205CD">
        <w:t>.</w:t>
      </w:r>
    </w:p>
    <w:p w:rsidR="00DD58C6" w:rsidRPr="00C205CD" w:rsidP="00DD58C6" w14:paraId="578262EC" w14:textId="77777777">
      <w:pPr>
        <w:ind w:left="720"/>
      </w:pPr>
    </w:p>
    <w:p w:rsidR="00DD58C6" w:rsidRPr="00C205CD" w:rsidP="00DD58C6" w14:paraId="4019EC2C" w14:textId="40826AE8">
      <w:pPr>
        <w:ind w:left="720"/>
      </w:pPr>
      <w:r w:rsidRPr="00C205CD">
        <w:rPr>
          <w:u w:val="single"/>
        </w:rPr>
        <w:t>Requirement</w:t>
      </w:r>
      <w:r w:rsidRPr="00C205CD">
        <w:t>.</w:t>
      </w:r>
      <w:r w:rsidRPr="00C205CD">
        <w:tab/>
        <w:t>Following the correction of serious hazards, the employer must provide the State On-Site Consultation program manager with written confirmation of the hazards corrected, unless the consultant directly verifies the correction of those hazards</w:t>
      </w:r>
      <w:r w:rsidRPr="00C205CD" w:rsidR="00AA29DA">
        <w:t xml:space="preserve">. </w:t>
      </w:r>
      <w:r w:rsidRPr="00C205CD">
        <w:t>Since electronic mail (e-mail) is a form of legal, written correspondence, employers may notify the On-Site Consultation Program regarding the correction of hazards via e-mail.</w:t>
      </w:r>
    </w:p>
    <w:p w:rsidR="005E4726" w:rsidRPr="00C205CD" w:rsidP="00DD58C6" w14:paraId="3CE54679" w14:textId="77777777">
      <w:pPr>
        <w:ind w:left="720"/>
      </w:pPr>
    </w:p>
    <w:p w:rsidR="0014146B" w:rsidRPr="00C205CD" w:rsidP="00572C1D" w14:paraId="592B3BFF" w14:textId="77777777">
      <w:pPr>
        <w:ind w:left="720"/>
      </w:pPr>
      <w:r w:rsidRPr="00C205CD">
        <w:t xml:space="preserve">Employers requesting to participate in SHARP or Pre-SHARP must provide documentation of the action(s) taken to </w:t>
      </w:r>
      <w:r w:rsidRPr="00C205CD">
        <w:t>correct serious, imminent danger, and other-than-serious hazards, and regulatory violations, that were not verified as corrected on-site during the consultation visit, by the mutually agreed upon hazard correction due date(s) or any extension thereof.</w:t>
      </w:r>
    </w:p>
    <w:p w:rsidR="00DD58C6" w:rsidRPr="00C205CD" w:rsidP="00DD58C6" w14:paraId="3D86382A" w14:textId="77777777">
      <w:pPr>
        <w:ind w:left="720"/>
      </w:pPr>
    </w:p>
    <w:p w:rsidR="00DD58C6" w:rsidRPr="00C205CD" w:rsidP="00DD58C6" w14:paraId="6125777A" w14:textId="77777777">
      <w:pPr>
        <w:ind w:left="720"/>
      </w:pPr>
      <w:r w:rsidRPr="00C205CD">
        <w:rPr>
          <w:u w:val="single"/>
        </w:rPr>
        <w:t>Purpose:</w:t>
      </w:r>
      <w:r w:rsidRPr="00C205CD">
        <w:t xml:space="preserve"> This requirement is necessary to ensure that all hazards that could result in serious injury, illness, or death are corrected in a timely manner.</w:t>
      </w:r>
    </w:p>
    <w:p w:rsidR="00DD58C6" w:rsidRPr="00C205CD" w:rsidP="00DD58C6" w14:paraId="75656373" w14:textId="77777777">
      <w:pPr>
        <w:ind w:left="720"/>
      </w:pPr>
    </w:p>
    <w:p w:rsidR="00DD58C6" w:rsidRPr="00C205CD" w:rsidP="00DD58C6" w14:paraId="4DA534B4" w14:textId="7D27C9DD">
      <w:pPr>
        <w:ind w:left="720"/>
        <w:rPr>
          <w:b/>
          <w:bCs/>
          <w:u w:val="single"/>
        </w:rPr>
      </w:pPr>
      <w:r w:rsidRPr="00C205CD">
        <w:rPr>
          <w:b/>
          <w:bCs/>
        </w:rPr>
        <w:t>(3)</w:t>
      </w:r>
      <w:r w:rsidRPr="00C205CD">
        <w:rPr>
          <w:b/>
          <w:bCs/>
        </w:rPr>
        <w:tab/>
      </w:r>
      <w:r w:rsidRPr="00C205CD" w:rsidR="00A30E71">
        <w:rPr>
          <w:b/>
          <w:bCs/>
          <w:u w:val="single"/>
        </w:rPr>
        <w:t xml:space="preserve">29 CFR </w:t>
      </w:r>
      <w:r w:rsidRPr="00C205CD">
        <w:rPr>
          <w:b/>
          <w:bCs/>
          <w:u w:val="single"/>
        </w:rPr>
        <w:t>1908.7(b)(1)</w:t>
      </w:r>
      <w:r w:rsidRPr="00C205CD">
        <w:t>:</w:t>
      </w:r>
      <w:r w:rsidRPr="00C205CD" w:rsidR="00B21F55">
        <w:rPr>
          <w:b/>
          <w:bCs/>
        </w:rPr>
        <w:t xml:space="preserve"> </w:t>
      </w:r>
      <w:r w:rsidRPr="00C205CD">
        <w:rPr>
          <w:b/>
          <w:bCs/>
        </w:rPr>
        <w:t>Employer’s right to inform compliance officers of consultation “visit in progress.”</w:t>
      </w:r>
      <w:r w:rsidRPr="00C205CD">
        <w:rPr>
          <w:b/>
          <w:bCs/>
        </w:rPr>
        <w:tab/>
      </w:r>
    </w:p>
    <w:p w:rsidR="00DD58C6" w:rsidRPr="00C205CD" w:rsidP="00DD58C6" w14:paraId="55E3B608" w14:textId="77777777">
      <w:pPr>
        <w:ind w:left="720"/>
        <w:rPr>
          <w:u w:val="single"/>
        </w:rPr>
      </w:pPr>
    </w:p>
    <w:p w:rsidR="00DD58C6" w:rsidRPr="00C205CD" w:rsidP="00DD58C6" w14:paraId="1BCB262D" w14:textId="77777777">
      <w:pPr>
        <w:ind w:left="720"/>
      </w:pPr>
      <w:r w:rsidRPr="00C205CD">
        <w:rPr>
          <w:u w:val="single"/>
        </w:rPr>
        <w:t>Requirement</w:t>
      </w:r>
      <w:r w:rsidRPr="00C205CD">
        <w:t>.</w:t>
      </w:r>
      <w:r w:rsidRPr="00C205CD">
        <w:tab/>
        <w:t>Inform any OSHA or State Plan compliance officer who arrives during an On-Site Consultation visit that a Consultation Visit is “in progress.”</w:t>
      </w:r>
    </w:p>
    <w:p w:rsidR="00DD58C6" w:rsidRPr="00C205CD" w:rsidP="00DD58C6" w14:paraId="5B845AF2" w14:textId="77777777">
      <w:pPr>
        <w:ind w:left="720"/>
      </w:pPr>
    </w:p>
    <w:p w:rsidR="00DD58C6" w:rsidRPr="00C205CD" w:rsidP="00DD58C6" w14:paraId="7FA1E481" w14:textId="4B6893B3">
      <w:pPr>
        <w:ind w:left="720"/>
      </w:pPr>
      <w:r w:rsidRPr="00C205CD">
        <w:rPr>
          <w:u w:val="single"/>
        </w:rPr>
        <w:t>Purpose:</w:t>
      </w:r>
      <w:r w:rsidRPr="00C205CD">
        <w:t xml:space="preserve"> This requirement is necessary to prevent duplication of effort between On-Site Consultation and enforcement</w:t>
      </w:r>
      <w:r w:rsidRPr="00C205CD" w:rsidR="00AA29DA">
        <w:t xml:space="preserve">. </w:t>
      </w:r>
      <w:r w:rsidRPr="00C205CD">
        <w:t>It avoids wasting the employer’s time and conserves State and Federal government resources.</w:t>
      </w:r>
    </w:p>
    <w:p w:rsidR="00DD58C6" w:rsidRPr="00C205CD" w:rsidP="00DD58C6" w14:paraId="00C82CF7" w14:textId="77777777">
      <w:pPr>
        <w:ind w:left="720"/>
      </w:pPr>
    </w:p>
    <w:p w:rsidR="00DD58C6" w:rsidRPr="00C205CD" w:rsidP="00DD58C6" w14:paraId="1A71BC33" w14:textId="113D2D60">
      <w:pPr>
        <w:ind w:left="720"/>
      </w:pPr>
      <w:r w:rsidRPr="00C205CD">
        <w:t>On-Site Consultation visits in progress take priority over OSHA or State Plan programmed inspections. Without this stipulation, an employer receiving consultation services would be subject to a concurrent enforcement inspection</w:t>
      </w:r>
      <w:r w:rsidRPr="00C205CD" w:rsidR="00AA29DA">
        <w:t xml:space="preserve">. </w:t>
      </w:r>
      <w:r w:rsidRPr="00C205CD">
        <w:t>By eliminating this potential duplication between On-Site Consultation and enforcement, the employer is given the opportunity to comply voluntarily, while Federal and State costs are reduced and resources are conserved.</w:t>
      </w:r>
    </w:p>
    <w:p w:rsidR="00DD58C6" w:rsidRPr="00C205CD" w:rsidP="00DD58C6" w14:paraId="184DBA69" w14:textId="77777777">
      <w:pPr>
        <w:ind w:left="720"/>
      </w:pPr>
    </w:p>
    <w:p w:rsidR="00DD58C6" w:rsidRPr="00C205CD" w:rsidP="00DD58C6" w14:paraId="78F510DD" w14:textId="38F25CE8">
      <w:pPr>
        <w:ind w:left="720"/>
      </w:pPr>
      <w:r w:rsidRPr="00C205CD">
        <w:t>By cooperating with the State On-Site Consultation program and voluntarily complying with OSHA standards, the employer prevents injury, illness</w:t>
      </w:r>
      <w:r w:rsidRPr="00C205CD" w:rsidR="00D7129C">
        <w:t>,</w:t>
      </w:r>
      <w:r w:rsidRPr="00C205CD">
        <w:t xml:space="preserve"> and death to workers and avoids costs associated with such incidents as well as penalties resulting from violations of OSHA or State Plan standards.</w:t>
      </w:r>
    </w:p>
    <w:p w:rsidR="00EF2D32" w:rsidRPr="00C205CD" w:rsidP="00DD58C6" w14:paraId="7C863E5C" w14:textId="77777777">
      <w:pPr>
        <w:ind w:left="720"/>
      </w:pPr>
    </w:p>
    <w:p w:rsidR="00EF2D32" w:rsidRPr="00C205CD" w:rsidP="00DD58C6" w14:paraId="5D6CCBA1" w14:textId="4F549B9F">
      <w:pPr>
        <w:ind w:left="720"/>
      </w:pPr>
      <w:r w:rsidRPr="00C205CD">
        <w:rPr>
          <w:b/>
          <w:bCs/>
          <w:u w:val="single"/>
        </w:rPr>
        <w:t xml:space="preserve">The agency is combining the following collections, currently approve by OMB under </w:t>
      </w:r>
      <w:r w:rsidRPr="00C205CD">
        <w:rPr>
          <w:b/>
          <w:bCs/>
          <w:u w:val="single"/>
        </w:rPr>
        <w:t xml:space="preserve">1218-0281, into this ICR for employer </w:t>
      </w:r>
      <w:r w:rsidRPr="00C205CD" w:rsidR="00AB0F31">
        <w:rPr>
          <w:b/>
          <w:bCs/>
          <w:u w:val="single"/>
        </w:rPr>
        <w:t>responsibilities</w:t>
      </w:r>
      <w:r w:rsidRPr="00C205CD" w:rsidR="00AB0F31">
        <w:t>:</w:t>
      </w:r>
    </w:p>
    <w:p w:rsidR="00DD58C6" w:rsidRPr="00C205CD" w:rsidP="00DD58C6" w14:paraId="6C94F81D" w14:textId="77777777">
      <w:pPr>
        <w:ind w:left="720"/>
      </w:pPr>
    </w:p>
    <w:p w:rsidR="00DD58C6" w:rsidRPr="00C205CD" w:rsidP="00DD58C6" w14:paraId="29FF6281" w14:textId="41E0505A">
      <w:pPr>
        <w:ind w:left="720"/>
      </w:pPr>
      <w:r w:rsidRPr="00C205CD">
        <w:rPr>
          <w:b/>
          <w:bCs/>
        </w:rPr>
        <w:t xml:space="preserve">(4) </w:t>
      </w:r>
      <w:r w:rsidRPr="00C205CD">
        <w:rPr>
          <w:b/>
          <w:bCs/>
        </w:rPr>
        <w:tab/>
      </w:r>
      <w:bookmarkStart w:id="5" w:name="_Hlk175482748"/>
      <w:r w:rsidRPr="00C205CD">
        <w:rPr>
          <w:b/>
          <w:bCs/>
          <w:u w:val="single"/>
        </w:rPr>
        <w:t xml:space="preserve">29 CFR </w:t>
      </w:r>
      <w:bookmarkEnd w:id="5"/>
      <w:r w:rsidRPr="00C205CD">
        <w:rPr>
          <w:b/>
          <w:bCs/>
          <w:u w:val="single"/>
        </w:rPr>
        <w:t>1908.7(b)(4)</w:t>
      </w:r>
      <w:r w:rsidRPr="00C205CD">
        <w:t>: Responsibility of employers participating in SHARP to work with their employees to develop, implement, and continuously improve the effectiveness of their workplace safety and health management program.</w:t>
      </w:r>
    </w:p>
    <w:p w:rsidR="00DD58C6" w:rsidRPr="00C205CD" w:rsidP="00DD58C6" w14:paraId="4572ACFB" w14:textId="77777777">
      <w:pPr>
        <w:ind w:left="720"/>
      </w:pPr>
      <w:r w:rsidRPr="00C205CD">
        <w:tab/>
      </w:r>
    </w:p>
    <w:p w:rsidR="00DD58C6" w:rsidRPr="00C205CD" w:rsidP="00DD58C6" w14:paraId="7BA7FAA7" w14:textId="76E006AE">
      <w:pPr>
        <w:ind w:left="720"/>
      </w:pPr>
      <w:r w:rsidRPr="00C205CD">
        <w:rPr>
          <w:u w:val="single"/>
        </w:rPr>
        <w:t>Requirement</w:t>
      </w:r>
      <w:r w:rsidRPr="00C205CD">
        <w:t xml:space="preserve">. </w:t>
      </w:r>
      <w:r w:rsidRPr="00C205CD" w:rsidR="00E90EA8">
        <w:t>Small business employers participating in SHARP with processes covered by the PSM standard will use the PSM Interim Year SHARP Site Self-Evaluation Template to assess the implementation of PSM Program elements required by 29 CFR 1910.119 or 29 CFR 1926.64 in their workplaces to assure appropriate and effective safety and health precautions remain in-place</w:t>
      </w:r>
      <w:r w:rsidRPr="00C205CD" w:rsidR="00AA29DA">
        <w:t xml:space="preserve">. </w:t>
      </w:r>
      <w:r w:rsidRPr="00C205CD" w:rsidR="00E90EA8">
        <w:t>Employers will submit their completed self-evaluations to On-Site Consultation programs for review and technical assistance</w:t>
      </w:r>
      <w:r w:rsidRPr="00C205CD" w:rsidR="00A1028F">
        <w:t>.</w:t>
      </w:r>
    </w:p>
    <w:p w:rsidR="002832C3" w:rsidRPr="00C205CD" w:rsidP="00DD58C6" w14:paraId="46D51C04" w14:textId="77777777">
      <w:pPr>
        <w:ind w:left="720"/>
        <w:rPr>
          <w:u w:val="single"/>
        </w:rPr>
      </w:pPr>
    </w:p>
    <w:p w:rsidR="00DD58C6" w:rsidRPr="00C205CD" w:rsidP="00DD58C6" w14:paraId="7647DC17" w14:textId="5C7D1D2D">
      <w:pPr>
        <w:ind w:left="720"/>
      </w:pPr>
      <w:r w:rsidRPr="00C205CD">
        <w:rPr>
          <w:u w:val="single"/>
        </w:rPr>
        <w:t>Purpose:</w:t>
      </w:r>
      <w:r w:rsidRPr="00C205CD">
        <w:t xml:space="preserve"> This requirement is necessary to facilitate the continuous assessment and improvement of the implementation of PSM Program elements specified in 29 CFR 1910.119 or 29 CFR 1926.64, to preclude the unwanted release of highly hazardous chemicals that could result in catastrophic events at SHARP sites with PSM processes.</w:t>
      </w:r>
    </w:p>
    <w:p w:rsidR="00DD58C6" w:rsidRPr="00C205CD" w:rsidP="00DD58C6" w14:paraId="3DD34F46" w14:textId="77777777">
      <w:pPr>
        <w:ind w:left="720"/>
      </w:pPr>
    </w:p>
    <w:p w:rsidR="00DD58C6" w:rsidRPr="00C205CD" w:rsidP="00DD58C6" w14:paraId="6E950013" w14:textId="6A67FE24">
      <w:pPr>
        <w:ind w:left="720"/>
      </w:pPr>
      <w:r w:rsidRPr="00C205CD">
        <w:rPr>
          <w:b/>
          <w:bCs/>
        </w:rPr>
        <w:t xml:space="preserve">(5) </w:t>
      </w:r>
      <w:r w:rsidRPr="00C205CD">
        <w:rPr>
          <w:b/>
          <w:bCs/>
        </w:rPr>
        <w:tab/>
      </w:r>
      <w:r w:rsidRPr="00C205CD">
        <w:rPr>
          <w:b/>
          <w:bCs/>
          <w:u w:val="single"/>
        </w:rPr>
        <w:t>29 CFR 1908.7(b)(4)</w:t>
      </w:r>
      <w:r w:rsidRPr="00C205CD">
        <w:t>: Responsibility of employers participating in SHARP to work with their employees to develop, implement, and continuously improve the effectiveness of their workplace safety and health management programs.</w:t>
      </w:r>
    </w:p>
    <w:p w:rsidR="00DD58C6" w:rsidRPr="00C205CD" w:rsidP="00DD58C6" w14:paraId="6530DC53" w14:textId="77777777">
      <w:pPr>
        <w:ind w:left="720"/>
      </w:pPr>
    </w:p>
    <w:p w:rsidR="00DD58C6" w:rsidRPr="00C205CD" w:rsidP="00DD58C6" w14:paraId="1E814D12" w14:textId="6AE7EC1D">
      <w:pPr>
        <w:ind w:left="720"/>
      </w:pPr>
      <w:r w:rsidRPr="00C205CD">
        <w:rPr>
          <w:u w:val="single"/>
        </w:rPr>
        <w:t>Requirement</w:t>
      </w:r>
      <w:r w:rsidRPr="00C205CD">
        <w:t>: All employers participating in SHARP complete and submit the Interim Year SHARP Site Self-Evaluation to assess the implementation of their safety and health program</w:t>
      </w:r>
      <w:r w:rsidRPr="00C205CD" w:rsidR="00AA29DA">
        <w:t xml:space="preserve">. </w:t>
      </w:r>
      <w:r w:rsidRPr="00C205CD">
        <w:t>This self-evaluation does not include the PSM Program elements, separately addressed by the PSM Interim Year SHARP Site Self-Evaluation</w:t>
      </w:r>
      <w:r w:rsidRPr="00C205CD" w:rsidR="00AA29DA">
        <w:t xml:space="preserve">. </w:t>
      </w:r>
      <w:r w:rsidRPr="00C205CD">
        <w:t>Both self-evaluations are due in the interim year.</w:t>
      </w:r>
    </w:p>
    <w:p w:rsidR="00DD58C6" w:rsidRPr="00C205CD" w:rsidP="00DD58C6" w14:paraId="61767B1C" w14:textId="77777777">
      <w:pPr>
        <w:ind w:left="720"/>
      </w:pPr>
    </w:p>
    <w:p w:rsidR="00DD58C6" w:rsidRPr="00C205CD" w:rsidP="00DD58C6" w14:paraId="195DDDA1" w14:textId="5391406D">
      <w:pPr>
        <w:ind w:left="720"/>
      </w:pPr>
      <w:r w:rsidRPr="00C205CD">
        <w:rPr>
          <w:u w:val="single"/>
        </w:rPr>
        <w:t>Purpose:</w:t>
      </w:r>
      <w:r w:rsidRPr="00C205CD">
        <w:t xml:space="preserve"> Employers participating in SHARP identify and correct deficiencies or seek technical assistance as necessary to promote the implementation of an effective safety and health program</w:t>
      </w:r>
      <w:r w:rsidRPr="00C205CD" w:rsidR="00AA29DA">
        <w:t xml:space="preserve">. </w:t>
      </w:r>
    </w:p>
    <w:p w:rsidR="00DD58C6" w:rsidRPr="00C205CD" w:rsidP="00DD58C6" w14:paraId="410C3803" w14:textId="77777777">
      <w:pPr>
        <w:ind w:left="720"/>
      </w:pPr>
    </w:p>
    <w:p w:rsidR="00DD58C6" w:rsidRPr="00C205CD" w:rsidP="00DD58C6" w14:paraId="0CCDB2B8" w14:textId="77777777">
      <w:pPr>
        <w:ind w:left="720"/>
      </w:pPr>
      <w:r w:rsidRPr="00C205CD">
        <w:rPr>
          <w:b/>
          <w:bCs/>
        </w:rPr>
        <w:t xml:space="preserve">(6) </w:t>
      </w:r>
      <w:r w:rsidRPr="00C205CD">
        <w:rPr>
          <w:b/>
          <w:bCs/>
        </w:rPr>
        <w:tab/>
      </w:r>
      <w:r w:rsidRPr="00C205CD">
        <w:rPr>
          <w:b/>
          <w:bCs/>
          <w:u w:val="single"/>
        </w:rPr>
        <w:t>29 CFR 1908.7(b)(4)</w:t>
      </w:r>
      <w:r w:rsidRPr="00C205CD">
        <w:t>:  Responsibility of employers participating in SHARP to work with their employees to develop, implement, and continuously improve the effectiveness of their workplace safety and health management programs.</w:t>
      </w:r>
    </w:p>
    <w:p w:rsidR="00DD58C6" w:rsidRPr="00C205CD" w:rsidP="00DD58C6" w14:paraId="4A4DF856" w14:textId="77777777">
      <w:pPr>
        <w:ind w:left="720"/>
      </w:pPr>
    </w:p>
    <w:p w:rsidR="00DD58C6" w:rsidRPr="00C205CD" w:rsidP="00DD58C6" w14:paraId="2C3CDDA0" w14:textId="2832624F">
      <w:pPr>
        <w:ind w:left="720"/>
        <w:rPr>
          <w:b/>
        </w:rPr>
      </w:pPr>
      <w:r w:rsidRPr="00C205CD">
        <w:rPr>
          <w:u w:val="single"/>
        </w:rPr>
        <w:t>Requirement</w:t>
      </w:r>
      <w:r w:rsidRPr="00C205CD">
        <w:t xml:space="preserve">. </w:t>
      </w:r>
      <w:r w:rsidRPr="00C205CD" w:rsidR="00B3011E">
        <w:t>Employers participating in SHARP work with On-Site Consultation programs to develop and establish an Action Plan with goals and timelines that they will implement in their workplaces to assure continuous improvement of their safety and health programs</w:t>
      </w:r>
      <w:r w:rsidRPr="00C205CD" w:rsidR="00AA29DA">
        <w:t xml:space="preserve">. </w:t>
      </w:r>
      <w:r w:rsidRPr="00C205CD" w:rsidR="00B3011E">
        <w:t>Employers participating in Pre-SHARP work with On-Site Consultation programs to develop and establish an Action Plan with goals and corrective actions to address deficiencies in their safety and health program implementation within the Pre-SHARP participation period</w:t>
      </w:r>
      <w:r w:rsidRPr="00C205CD" w:rsidR="00AA29DA">
        <w:t xml:space="preserve">. </w:t>
      </w:r>
      <w:r w:rsidRPr="00C205CD" w:rsidR="00B3011E">
        <w:t>This process typically involves the participation of employees</w:t>
      </w:r>
      <w:r w:rsidRPr="00C205CD" w:rsidR="00AA29DA">
        <w:t xml:space="preserve">. </w:t>
      </w:r>
      <w:r w:rsidRPr="00C205CD" w:rsidR="00B3011E">
        <w:t xml:space="preserve">SHARP and Pre-SHARP participants provide status updates on the completion of action items in their Action Plan to their respective On-Site Consultation </w:t>
      </w:r>
      <w:r w:rsidRPr="00C205CD" w:rsidR="00B3011E">
        <w:t>program</w:t>
      </w:r>
      <w:r w:rsidRPr="00C205CD" w:rsidR="00AA29DA">
        <w:t xml:space="preserve">. </w:t>
      </w:r>
      <w:r w:rsidRPr="00C205CD" w:rsidR="00B3011E">
        <w:rPr>
          <w:bCs/>
        </w:rPr>
        <w:t>The frequency of the updates is as agreed to by the employer and the On-Site Consultation program</w:t>
      </w:r>
    </w:p>
    <w:p w:rsidR="00DD58C6" w:rsidRPr="00C205CD" w:rsidP="00DD58C6" w14:paraId="360F098F" w14:textId="77777777">
      <w:pPr>
        <w:ind w:left="720"/>
      </w:pPr>
    </w:p>
    <w:p w:rsidR="00DD58C6" w:rsidRPr="00C205CD" w:rsidP="00DD58C6" w14:paraId="79EE82E5" w14:textId="77777777">
      <w:pPr>
        <w:ind w:left="720"/>
      </w:pPr>
      <w:r w:rsidRPr="00C205CD">
        <w:rPr>
          <w:u w:val="single"/>
        </w:rPr>
        <w:t>Purpose:</w:t>
      </w:r>
      <w:r w:rsidRPr="00C205CD">
        <w:t xml:space="preserve"> Employers participating in SHARP or Pre-SHARP systematically identify and accomplish goals to continuously improve their safety and health programs.</w:t>
      </w:r>
    </w:p>
    <w:p w:rsidR="00DD58C6" w:rsidRPr="00C205CD" w:rsidP="00DD58C6" w14:paraId="4E208420" w14:textId="77777777">
      <w:pPr>
        <w:ind w:left="720"/>
      </w:pPr>
    </w:p>
    <w:p w:rsidR="00DD58C6" w:rsidRPr="00C205CD" w:rsidP="00DD58C6" w14:paraId="5079A00F" w14:textId="77777777">
      <w:pPr>
        <w:ind w:left="720"/>
      </w:pPr>
      <w:r w:rsidRPr="00C205CD">
        <w:rPr>
          <w:b/>
          <w:bCs/>
        </w:rPr>
        <w:t xml:space="preserve">(7) </w:t>
      </w:r>
      <w:r w:rsidRPr="00C205CD">
        <w:rPr>
          <w:b/>
          <w:bCs/>
        </w:rPr>
        <w:tab/>
      </w:r>
      <w:r w:rsidRPr="00C205CD">
        <w:rPr>
          <w:b/>
          <w:bCs/>
          <w:u w:val="single"/>
        </w:rPr>
        <w:t>29 CFR 1908.7(b)(4)</w:t>
      </w:r>
      <w:r w:rsidRPr="00C205CD">
        <w:t xml:space="preserve">:  Responsibility of employers participating in SHARP to work with their employees to develop, implement, and continuously improve the effectiveness of their </w:t>
      </w:r>
      <w:r w:rsidRPr="00C205CD">
        <w:t>workplace safety and health management programs.</w:t>
      </w:r>
    </w:p>
    <w:p w:rsidR="00DD58C6" w:rsidRPr="00C205CD" w:rsidP="00DD58C6" w14:paraId="64FE3085" w14:textId="77777777">
      <w:pPr>
        <w:ind w:left="720"/>
      </w:pPr>
    </w:p>
    <w:p w:rsidR="00DD58C6" w:rsidRPr="00C205CD" w:rsidP="00DD58C6" w14:paraId="06984CB1" w14:textId="68918E90">
      <w:pPr>
        <w:ind w:left="720"/>
      </w:pPr>
      <w:r w:rsidRPr="00C205CD">
        <w:rPr>
          <w:u w:val="single"/>
        </w:rPr>
        <w:t>Requirement</w:t>
      </w:r>
      <w:r w:rsidRPr="00C205CD">
        <w:t xml:space="preserve"> </w:t>
      </w:r>
      <w:r w:rsidRPr="00C205CD" w:rsidR="00BB33FC">
        <w:t>This is an optional tool that employers participating in SHARP or Pre-SHARP may apply in collaboration with employees to facilitate identifying objectives for goals specified in their Action Plan; as well as identify, plan and track the execution of tasks to accomplish them</w:t>
      </w:r>
      <w:r w:rsidRPr="00C205CD" w:rsidR="00AA29DA">
        <w:t xml:space="preserve">. </w:t>
      </w:r>
      <w:r w:rsidRPr="00C205CD" w:rsidR="00BB33FC">
        <w:t>This tool can also be used by small business employers who are not participating in SHARP or Pre-SHARP to improve workplace safety and health conditions</w:t>
      </w:r>
      <w:r w:rsidRPr="00C205CD" w:rsidR="00AA29DA">
        <w:t xml:space="preserve">. </w:t>
      </w:r>
      <w:r w:rsidRPr="00C205CD" w:rsidR="00BB33FC">
        <w:t>This tool is a resource that OSHA is providing for small business employers to use if they choose to and is not a requirement for receiving any Consultation service or participating in SHARP or Pre-SHARP</w:t>
      </w:r>
      <w:r w:rsidRPr="00C205CD" w:rsidR="00AA29DA">
        <w:t xml:space="preserve">. </w:t>
      </w:r>
    </w:p>
    <w:p w:rsidR="00DD58C6" w:rsidRPr="00C205CD" w:rsidP="00DD58C6" w14:paraId="1BC2C4C5" w14:textId="77777777">
      <w:pPr>
        <w:ind w:left="720"/>
      </w:pPr>
    </w:p>
    <w:p w:rsidR="00DD58C6" w:rsidRPr="00C205CD" w:rsidP="00DD58C6" w14:paraId="1A038253" w14:textId="77777777">
      <w:pPr>
        <w:ind w:left="720"/>
      </w:pPr>
      <w:r w:rsidRPr="00C205CD">
        <w:rPr>
          <w:u w:val="single"/>
        </w:rPr>
        <w:t>Purpose:</w:t>
      </w:r>
      <w:r w:rsidRPr="00C205CD">
        <w:t xml:space="preserve"> This tool identifies specific objectives, timeframes, personnel, and resources for accomplishing the safety and health program goals specified in the Action Plan.</w:t>
      </w:r>
    </w:p>
    <w:p w:rsidR="00DD58C6" w:rsidRPr="00C205CD" w:rsidP="00DD58C6" w14:paraId="13AB6BF1" w14:textId="77777777">
      <w:pPr>
        <w:ind w:left="720"/>
      </w:pPr>
    </w:p>
    <w:p w:rsidR="00F1770F" w:rsidRPr="00C205CD" w14:paraId="0F3CABC7" w14:textId="596756DE"/>
    <w:p w:rsidR="001F1B43" w:rsidRPr="00C205CD" w:rsidP="001F1B43" w14:paraId="50F25A46" w14:textId="7C75FC3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205CD">
        <w:rPr>
          <w:b/>
          <w:bCs/>
          <w:color w:val="000000"/>
        </w:rPr>
        <w:t>3</w:t>
      </w:r>
      <w:r w:rsidRPr="00C205CD" w:rsidR="00AA29DA">
        <w:rPr>
          <w:b/>
          <w:bCs/>
          <w:color w:val="000000"/>
        </w:rPr>
        <w:t xml:space="preserve">. </w:t>
      </w:r>
      <w:r w:rsidRPr="00C205CD">
        <w:rPr>
          <w:b/>
          <w:bCs/>
          <w:color w:val="000000"/>
        </w:rPr>
        <w:t xml:space="preserve">Describe whether, and to what extent, the collection of information involves the use of automated, electronic, mechanical, or other </w:t>
      </w:r>
      <w:r w:rsidRPr="00C205CD">
        <w:rPr>
          <w:b/>
          <w:bCs/>
          <w:color w:val="000000"/>
        </w:rPr>
        <w:t>technological collection techniques or other forms of information technology, e.g., permitting electronic submission of responses, and the basis for the decision for adopting this means of collection</w:t>
      </w:r>
      <w:r w:rsidRPr="00C205CD" w:rsidR="00AA29DA">
        <w:rPr>
          <w:b/>
          <w:bCs/>
          <w:color w:val="000000"/>
        </w:rPr>
        <w:t xml:space="preserve">. </w:t>
      </w:r>
      <w:r w:rsidRPr="00C205CD">
        <w:rPr>
          <w:b/>
          <w:bCs/>
          <w:color w:val="000000"/>
        </w:rPr>
        <w:t>Also</w:t>
      </w:r>
      <w:r w:rsidRPr="00C205CD" w:rsidR="00E349D0">
        <w:rPr>
          <w:b/>
          <w:bCs/>
          <w:color w:val="000000"/>
        </w:rPr>
        <w:t>,</w:t>
      </w:r>
      <w:r w:rsidRPr="00C205CD">
        <w:rPr>
          <w:b/>
          <w:bCs/>
          <w:color w:val="000000"/>
        </w:rPr>
        <w:t xml:space="preserve"> describe any consideration of using information technology to reduce burden</w:t>
      </w:r>
      <w:r w:rsidRPr="00C205CD" w:rsidR="00E349D0">
        <w:rPr>
          <w:b/>
          <w:bCs/>
          <w:color w:val="000000"/>
        </w:rPr>
        <w:t>s</w:t>
      </w:r>
      <w:r w:rsidRPr="00C205CD">
        <w:rPr>
          <w:b/>
          <w:bCs/>
          <w:color w:val="000000"/>
        </w:rPr>
        <w:t>.</w:t>
      </w:r>
    </w:p>
    <w:p w:rsidR="00D107C7" w:rsidRPr="00C205CD" w:rsidP="001F1B43" w14:paraId="5B08B5D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sz w:val="20"/>
          <w:szCs w:val="20"/>
        </w:rPr>
      </w:pPr>
    </w:p>
    <w:p w:rsidR="00D107C7" w:rsidRPr="00C205CD" w:rsidP="00D107C7" w14:paraId="205E5137" w14:textId="4B6D00E8">
      <w:r w:rsidRPr="00C205CD">
        <w:t xml:space="preserve">Much of the information collected and reported by the </w:t>
      </w:r>
      <w:r w:rsidRPr="00C205CD" w:rsidR="00954BC8">
        <w:t>On-Site</w:t>
      </w:r>
      <w:r w:rsidRPr="00C205CD">
        <w:t xml:space="preserve"> Consultation </w:t>
      </w:r>
      <w:r w:rsidRPr="00C205CD" w:rsidR="00FC4227">
        <w:t>p</w:t>
      </w:r>
      <w:r w:rsidRPr="00C205CD" w:rsidR="0020737B">
        <w:t>rogram</w:t>
      </w:r>
      <w:r w:rsidRPr="00C205CD">
        <w:t xml:space="preserve">s </w:t>
      </w:r>
      <w:r w:rsidRPr="00C205CD" w:rsidR="00025E42">
        <w:t xml:space="preserve">is </w:t>
      </w:r>
      <w:r w:rsidRPr="00C205CD">
        <w:t>qualitative</w:t>
      </w:r>
      <w:r w:rsidRPr="00C205CD" w:rsidR="00AA29DA">
        <w:t xml:space="preserve">. </w:t>
      </w:r>
      <w:r w:rsidRPr="00C205CD">
        <w:t xml:space="preserve">As a result, </w:t>
      </w:r>
      <w:r w:rsidRPr="00C205CD" w:rsidR="00C00B06">
        <w:t xml:space="preserve">the </w:t>
      </w:r>
      <w:r w:rsidRPr="00C205CD" w:rsidR="00F0315C">
        <w:t xml:space="preserve">information collection </w:t>
      </w:r>
      <w:r w:rsidRPr="00C205CD">
        <w:t>requirements, for the most part, cannot be automated</w:t>
      </w:r>
      <w:r w:rsidRPr="00C205CD" w:rsidR="00AA29DA">
        <w:t xml:space="preserve">. </w:t>
      </w:r>
      <w:r w:rsidRPr="00C205CD">
        <w:t xml:space="preserve">However, since the inception of the </w:t>
      </w:r>
      <w:r w:rsidRPr="00C205CD" w:rsidR="00954BC8">
        <w:t>On-Site</w:t>
      </w:r>
      <w:r w:rsidRPr="00C205CD">
        <w:t xml:space="preserve"> Consultation Program, OSHA has worked closely with the State </w:t>
      </w:r>
      <w:r w:rsidRPr="00C205CD" w:rsidR="00954BC8">
        <w:t>On-Site</w:t>
      </w:r>
      <w:r w:rsidRPr="00C205CD">
        <w:t xml:space="preserve"> Consultation </w:t>
      </w:r>
      <w:r w:rsidRPr="00C205CD" w:rsidR="000411C6">
        <w:t>p</w:t>
      </w:r>
      <w:r w:rsidRPr="00C205CD" w:rsidR="0020737B">
        <w:t>rogram</w:t>
      </w:r>
      <w:r w:rsidRPr="00C205CD">
        <w:t xml:space="preserve">s to automate the collection and reporting of those data elements that can be automated. To that end, OSHA has continuously funded the purchase of computer equipment and provided support in </w:t>
      </w:r>
      <w:r w:rsidRPr="00C205CD" w:rsidR="00025E42">
        <w:t xml:space="preserve">tool </w:t>
      </w:r>
      <w:r w:rsidRPr="00C205CD">
        <w:t xml:space="preserve">development, network maintenance, and staff </w:t>
      </w:r>
      <w:r w:rsidRPr="00C205CD">
        <w:t>training</w:t>
      </w:r>
      <w:r w:rsidRPr="00C205CD" w:rsidR="00AA29DA">
        <w:t xml:space="preserve">. </w:t>
      </w:r>
      <w:r w:rsidRPr="00C205CD" w:rsidR="00C3151C">
        <w:t xml:space="preserve">For instance, </w:t>
      </w:r>
      <w:r w:rsidRPr="00C205CD">
        <w:t xml:space="preserve">OSHA </w:t>
      </w:r>
      <w:r w:rsidRPr="00C205CD" w:rsidR="00C3151C">
        <w:t xml:space="preserve">has </w:t>
      </w:r>
      <w:r w:rsidRPr="00C205CD">
        <w:t>coordinated the effort to standardize the consultants’ written report</w:t>
      </w:r>
      <w:r w:rsidRPr="00C205CD" w:rsidR="002A2785">
        <w:t xml:space="preserve"> to the employer</w:t>
      </w:r>
      <w:r w:rsidRPr="00C205CD">
        <w:t>, thereby easing the States’ burden of report creation and streamlining the report received by the employer</w:t>
      </w:r>
      <w:r w:rsidRPr="00C205CD" w:rsidR="00AA29DA">
        <w:t xml:space="preserve">. </w:t>
      </w:r>
    </w:p>
    <w:p w:rsidR="00D107C7" w:rsidRPr="00C205CD" w:rsidP="00D107C7" w14:paraId="16DEB4AB" w14:textId="77777777">
      <w:pPr>
        <w:ind w:left="720"/>
      </w:pPr>
    </w:p>
    <w:p w:rsidR="00D107C7" w:rsidRPr="00C205CD" w:rsidP="00D107C7" w14:paraId="2E0F3979" w14:textId="485F5F14">
      <w:pPr>
        <w:rPr>
          <w:bCs/>
        </w:rPr>
      </w:pPr>
      <w:r w:rsidRPr="00C205CD">
        <w:t xml:space="preserve">OSHA </w:t>
      </w:r>
      <w:r w:rsidRPr="00C205CD" w:rsidR="00C00B06">
        <w:t xml:space="preserve">uses </w:t>
      </w:r>
      <w:r w:rsidRPr="00C205CD">
        <w:t xml:space="preserve">the web to simplify the </w:t>
      </w:r>
      <w:r w:rsidRPr="00C205CD" w:rsidR="00954BC8">
        <w:t>On-Site</w:t>
      </w:r>
      <w:r w:rsidRPr="00C205CD">
        <w:t xml:space="preserve"> Consultation process</w:t>
      </w:r>
      <w:r w:rsidRPr="00C205CD" w:rsidR="00AA29DA">
        <w:t xml:space="preserve">. </w:t>
      </w:r>
      <w:r w:rsidRPr="00C205CD">
        <w:t xml:space="preserve">For example, information about the quality of a </w:t>
      </w:r>
      <w:r w:rsidRPr="00C205CD" w:rsidR="002F1523">
        <w:t xml:space="preserve">workplace </w:t>
      </w:r>
      <w:r w:rsidRPr="00C205CD">
        <w:t xml:space="preserve">safety and health program is routinely collected </w:t>
      </w:r>
      <w:r w:rsidRPr="00C205CD" w:rsidR="002B19F4">
        <w:t>by the State consultant</w:t>
      </w:r>
      <w:r w:rsidRPr="00C205CD" w:rsidR="00C3151C">
        <w:t>s</w:t>
      </w:r>
      <w:r w:rsidRPr="00C205CD" w:rsidR="002B19F4">
        <w:t xml:space="preserve"> </w:t>
      </w:r>
      <w:r w:rsidRPr="00C205CD">
        <w:t xml:space="preserve">as part of the </w:t>
      </w:r>
      <w:r w:rsidRPr="00C205CD" w:rsidR="00954BC8">
        <w:t>On-Site</w:t>
      </w:r>
      <w:r w:rsidRPr="00C205CD">
        <w:t xml:space="preserve"> Consultation process</w:t>
      </w:r>
      <w:r w:rsidRPr="00C205CD" w:rsidR="00C07401">
        <w:t xml:space="preserve"> using the OSHA Form 33</w:t>
      </w:r>
      <w:r w:rsidRPr="00C205CD" w:rsidR="00AA29DA">
        <w:t xml:space="preserve">. </w:t>
      </w:r>
      <w:r w:rsidRPr="00C205CD">
        <w:t xml:space="preserve">With the </w:t>
      </w:r>
      <w:r w:rsidRPr="00C205CD" w:rsidR="00384DEC">
        <w:t>a</w:t>
      </w:r>
      <w:r w:rsidRPr="00C205CD" w:rsidR="00C00B06">
        <w:t xml:space="preserve">gency’s internal </w:t>
      </w:r>
      <w:r w:rsidRPr="00C205CD">
        <w:t xml:space="preserve">web-based </w:t>
      </w:r>
      <w:r w:rsidRPr="00C205CD" w:rsidR="00045F69">
        <w:t>system</w:t>
      </w:r>
      <w:r w:rsidRPr="00C205CD">
        <w:t xml:space="preserve">, </w:t>
      </w:r>
      <w:r w:rsidRPr="00C205CD" w:rsidR="00C00B06">
        <w:t xml:space="preserve">the </w:t>
      </w:r>
      <w:r w:rsidRPr="00C205CD" w:rsidR="00045F69">
        <w:t xml:space="preserve">OIS, </w:t>
      </w:r>
      <w:r w:rsidRPr="00C205CD" w:rsidR="00C00B06">
        <w:t>a</w:t>
      </w:r>
      <w:r w:rsidRPr="00C205CD">
        <w:t>ll consultants enter the data collected</w:t>
      </w:r>
      <w:r w:rsidRPr="00C205CD" w:rsidR="00C3151C">
        <w:t xml:space="preserve"> using the </w:t>
      </w:r>
      <w:r w:rsidRPr="00C205CD" w:rsidR="00DE1E82">
        <w:t xml:space="preserve">OSHA Form 33 </w:t>
      </w:r>
      <w:r w:rsidRPr="00C205CD" w:rsidR="00C3151C">
        <w:t xml:space="preserve">worksheet </w:t>
      </w:r>
      <w:r w:rsidRPr="00C205CD">
        <w:t>directly on-</w:t>
      </w:r>
      <w:r w:rsidRPr="00C205CD" w:rsidR="00B36325">
        <w:t>l</w:t>
      </w:r>
      <w:r w:rsidRPr="00C205CD">
        <w:t xml:space="preserve">ine to the </w:t>
      </w:r>
      <w:r w:rsidRPr="00C205CD" w:rsidR="00045F69">
        <w:t>OIS</w:t>
      </w:r>
      <w:r w:rsidRPr="00C205CD" w:rsidR="00216899">
        <w:t>,</w:t>
      </w:r>
      <w:r w:rsidRPr="00C205CD" w:rsidR="00045F69">
        <w:t xml:space="preserve"> which can be accessed from any</w:t>
      </w:r>
      <w:r w:rsidRPr="00C205CD" w:rsidR="006F21F5">
        <w:t xml:space="preserve"> location</w:t>
      </w:r>
      <w:r w:rsidRPr="00C205CD" w:rsidR="00AA29DA">
        <w:t xml:space="preserve">. </w:t>
      </w:r>
    </w:p>
    <w:p w:rsidR="00D107C7" w:rsidRPr="00C205CD" w:rsidP="00D107C7" w14:paraId="0AD9C6F4" w14:textId="77777777"/>
    <w:p w:rsidR="000319DD" w:rsidRPr="00C205CD" w:rsidP="000319DD" w14:paraId="4DB58FE9" w14:textId="469ECCFC">
      <w:pPr>
        <w:rPr>
          <w:b/>
          <w:bCs/>
          <w:color w:val="000000"/>
          <w:sz w:val="20"/>
          <w:szCs w:val="20"/>
        </w:rPr>
      </w:pPr>
      <w:r w:rsidRPr="00C205CD">
        <w:t xml:space="preserve">Additionally, OSHA now requires that State </w:t>
      </w:r>
      <w:r w:rsidRPr="00C205CD" w:rsidR="00954BC8">
        <w:t>On-Site</w:t>
      </w:r>
      <w:r w:rsidRPr="00C205CD">
        <w:t xml:space="preserve"> Consultation </w:t>
      </w:r>
      <w:r w:rsidRPr="00C205CD" w:rsidR="006F21F5">
        <w:t>p</w:t>
      </w:r>
      <w:r w:rsidRPr="00C205CD" w:rsidR="0020737B">
        <w:t>rogram</w:t>
      </w:r>
      <w:r w:rsidRPr="00C205CD">
        <w:t>s submit their annual grant applications electronically using the Grants.gov (</w:t>
      </w:r>
      <w:hyperlink r:id="rId10" w:tooltip="http://www.grants.gov" w:history="1">
        <w:r w:rsidRPr="00C205CD">
          <w:rPr>
            <w:color w:val="0000FF"/>
            <w:u w:val="single"/>
          </w:rPr>
          <w:t>www.grants.gov</w:t>
        </w:r>
      </w:hyperlink>
      <w:r w:rsidRPr="00C205CD">
        <w:t>) system</w:t>
      </w:r>
      <w:r w:rsidRPr="00C205CD" w:rsidR="00AA29DA">
        <w:t xml:space="preserve">. </w:t>
      </w:r>
      <w:r w:rsidRPr="00C205CD">
        <w:t xml:space="preserve">The applications can be up to </w:t>
      </w:r>
      <w:r w:rsidRPr="00C205CD" w:rsidR="00DF0DC1">
        <w:t>one hundred (</w:t>
      </w:r>
      <w:r w:rsidRPr="00C205CD">
        <w:t>100</w:t>
      </w:r>
      <w:r w:rsidRPr="00C205CD" w:rsidR="00DF0DC1">
        <w:t>)</w:t>
      </w:r>
      <w:r w:rsidRPr="00C205CD">
        <w:t xml:space="preserve"> pages long and require review by the OSHA Regional and National Offices</w:t>
      </w:r>
      <w:r w:rsidRPr="00C205CD" w:rsidR="00AA29DA">
        <w:t xml:space="preserve">. </w:t>
      </w:r>
      <w:r w:rsidRPr="00C205CD">
        <w:t>The electronic submission</w:t>
      </w:r>
      <w:r w:rsidRPr="00C205CD" w:rsidR="00C00B06">
        <w:t>s</w:t>
      </w:r>
      <w:r w:rsidRPr="00C205CD">
        <w:t xml:space="preserve"> streamline the process and reduce the need for copies</w:t>
      </w:r>
      <w:r w:rsidRPr="00C205CD" w:rsidR="00AA29DA">
        <w:t xml:space="preserve">. </w:t>
      </w:r>
      <w:r w:rsidRPr="00C205CD">
        <w:t>Another electronic feature made available to the States is the Department of Health and Human Services</w:t>
      </w:r>
      <w:r w:rsidRPr="00C205CD" w:rsidR="006F21F5">
        <w:t>’</w:t>
      </w:r>
      <w:r w:rsidRPr="00C205CD">
        <w:t xml:space="preserve"> – Payment Management system</w:t>
      </w:r>
      <w:r w:rsidRPr="00C205CD" w:rsidR="00AA29DA">
        <w:t xml:space="preserve">. </w:t>
      </w:r>
      <w:r w:rsidRPr="00C205CD">
        <w:t>The system is responsible for managing reimbursement to the States for On-Site Consultation and related services</w:t>
      </w:r>
      <w:r w:rsidRPr="00C205CD" w:rsidR="00AA29DA">
        <w:t xml:space="preserve">. </w:t>
      </w:r>
      <w:r w:rsidRPr="00C205CD">
        <w:t>The payment system is fully automated and allows the</w:t>
      </w:r>
      <w:r w:rsidRPr="00C205CD">
        <w:t xml:space="preserve"> grantees to submit their request and receive payments electronically</w:t>
      </w:r>
      <w:r w:rsidRPr="00C205CD" w:rsidR="00AA29DA">
        <w:t xml:space="preserve">. </w:t>
      </w:r>
      <w:r w:rsidRPr="00C205CD">
        <w:t>This also reduces the paperwork burden on the States</w:t>
      </w:r>
      <w:r w:rsidRPr="00C205CD" w:rsidR="00AA29DA">
        <w:t xml:space="preserve">. </w:t>
      </w:r>
    </w:p>
    <w:p w:rsidR="00D107C7" w:rsidRPr="00C205CD" w:rsidP="00D107C7" w14:paraId="4B1F511A" w14:textId="77777777"/>
    <w:p w:rsidR="00D107C7" w:rsidRPr="00C205CD" w:rsidP="00D107C7" w14:paraId="64CC757A" w14:textId="6BD471E2">
      <w:r w:rsidRPr="00C205CD">
        <w:t>The Wisconsin Occupational Health Laboratory</w:t>
      </w:r>
      <w:r w:rsidRPr="00C205CD" w:rsidR="00025E42">
        <w:t>, which</w:t>
      </w:r>
      <w:r w:rsidRPr="00C205CD">
        <w:t xml:space="preserve"> provides laboratory services </w:t>
      </w:r>
      <w:r w:rsidRPr="00C205CD" w:rsidR="00DF0DC1">
        <w:t>to</w:t>
      </w:r>
      <w:r w:rsidRPr="00C205CD">
        <w:t xml:space="preserve"> the </w:t>
      </w:r>
      <w:r w:rsidRPr="00C205CD" w:rsidR="00954BC8">
        <w:t>On-Site</w:t>
      </w:r>
      <w:r w:rsidRPr="00C205CD">
        <w:t xml:space="preserve"> Consultation </w:t>
      </w:r>
      <w:r w:rsidRPr="00C205CD" w:rsidR="006F21F5">
        <w:t>p</w:t>
      </w:r>
      <w:r w:rsidRPr="00C205CD" w:rsidR="0020737B">
        <w:t>rogram</w:t>
      </w:r>
      <w:r w:rsidRPr="00C205CD">
        <w:t xml:space="preserve">s, has developed a system for uploading data on all sample collection media before they are shipped to the </w:t>
      </w:r>
      <w:r w:rsidRPr="00C205CD" w:rsidR="00DF0DC1">
        <w:t xml:space="preserve">programs </w:t>
      </w:r>
      <w:r w:rsidRPr="00C205CD">
        <w:t>for field use</w:t>
      </w:r>
      <w:r w:rsidRPr="00C205CD" w:rsidR="00AA29DA">
        <w:t xml:space="preserve">. </w:t>
      </w:r>
      <w:r w:rsidRPr="00C205CD">
        <w:t xml:space="preserve">The sample media are bar-coded to ensure ease of information retrieval for analysis and reporting of sample results to the </w:t>
      </w:r>
      <w:r w:rsidRPr="00C205CD" w:rsidR="00C06644">
        <w:t>p</w:t>
      </w:r>
      <w:r w:rsidRPr="00C205CD" w:rsidR="0020737B">
        <w:t>rogram</w:t>
      </w:r>
      <w:r w:rsidRPr="00C205CD">
        <w:t>s</w:t>
      </w:r>
      <w:r w:rsidRPr="00C205CD" w:rsidR="00AA29DA">
        <w:t xml:space="preserve">. </w:t>
      </w:r>
      <w:r w:rsidRPr="00C205CD">
        <w:t xml:space="preserve">The lab has also established an </w:t>
      </w:r>
      <w:r w:rsidRPr="00C205CD" w:rsidR="00512DD1">
        <w:t>MS-A</w:t>
      </w:r>
      <w:r w:rsidRPr="00C205CD">
        <w:t xml:space="preserve">ccess database (sample result data 1984-1994) and an </w:t>
      </w:r>
      <w:r w:rsidRPr="00C205CD" w:rsidR="00025E42">
        <w:t>online database (sample result data 1994 to date)</w:t>
      </w:r>
      <w:r w:rsidRPr="00C205CD">
        <w:t xml:space="preserve"> to give the States access to historic</w:t>
      </w:r>
      <w:r w:rsidRPr="00C205CD">
        <w:t>al data</w:t>
      </w:r>
      <w:r w:rsidRPr="00C205CD" w:rsidR="00AA29DA">
        <w:t xml:space="preserve">. </w:t>
      </w:r>
      <w:r w:rsidRPr="00C205CD">
        <w:t>This reduces the time spent by the States on paperwork preparation and records retention</w:t>
      </w:r>
      <w:r w:rsidRPr="00C205CD" w:rsidR="00AA29DA">
        <w:t xml:space="preserve">. </w:t>
      </w:r>
      <w:r w:rsidRPr="00C205CD">
        <w:t>Additionally, the laboratory sends sample results through email</w:t>
      </w:r>
      <w:r w:rsidRPr="00C205CD" w:rsidR="00AA29DA">
        <w:t xml:space="preserve">. </w:t>
      </w:r>
      <w:r w:rsidRPr="00C205CD">
        <w:t>Although the lab still sends paper copies of the results, they are exploring with their information systems group</w:t>
      </w:r>
      <w:r w:rsidRPr="00C205CD" w:rsidR="00025E42">
        <w:t xml:space="preserve"> methods for sending the results only through email</w:t>
      </w:r>
      <w:r w:rsidRPr="00C205CD">
        <w:t xml:space="preserve"> unless specifically requested otherwise. </w:t>
      </w:r>
    </w:p>
    <w:p w:rsidR="00D107C7" w:rsidRPr="00C205CD" w:rsidP="00D107C7" w14:paraId="65F9C3DC" w14:textId="77777777"/>
    <w:p w:rsidR="001F1B43" w:rsidRPr="00C205CD" w:rsidP="001F1B43" w14:paraId="5BF2A4F0" w14:textId="00CA0A2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r w:rsidRPr="00C205CD">
        <w:rPr>
          <w:b/>
          <w:bCs/>
          <w:color w:val="000000"/>
        </w:rPr>
        <w:t>4</w:t>
      </w:r>
      <w:r w:rsidRPr="00C205CD" w:rsidR="00AA29DA">
        <w:rPr>
          <w:b/>
          <w:bCs/>
          <w:color w:val="000000"/>
        </w:rPr>
        <w:t xml:space="preserve">. </w:t>
      </w:r>
      <w:r w:rsidRPr="00C205CD">
        <w:rPr>
          <w:b/>
          <w:bCs/>
          <w:color w:val="000000"/>
        </w:rPr>
        <w:t>Describe efforts to identify duplication</w:t>
      </w:r>
      <w:r w:rsidRPr="00C205CD" w:rsidR="00AA29DA">
        <w:rPr>
          <w:b/>
          <w:bCs/>
          <w:color w:val="000000"/>
        </w:rPr>
        <w:t xml:space="preserve">. </w:t>
      </w:r>
      <w:r w:rsidRPr="00C205CD">
        <w:rPr>
          <w:b/>
          <w:bCs/>
          <w:color w:val="000000"/>
        </w:rPr>
        <w:t xml:space="preserve">Show specifically why any similar information already available cannot be used or modified for use for the purposes described in </w:t>
      </w:r>
      <w:r w:rsidRPr="00C205CD" w:rsidR="00E349D0">
        <w:rPr>
          <w:b/>
          <w:bCs/>
          <w:color w:val="000000"/>
        </w:rPr>
        <w:t>A.</w:t>
      </w:r>
      <w:r w:rsidRPr="00C205CD">
        <w:rPr>
          <w:b/>
          <w:bCs/>
          <w:color w:val="000000"/>
        </w:rPr>
        <w:t>2 above.</w:t>
      </w:r>
    </w:p>
    <w:p w:rsidR="00025DD5" w:rsidRPr="00C205CD" w:rsidP="001F1B43" w14:paraId="740AF71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025DD5" w:rsidRPr="00C205CD" w:rsidP="00025DD5" w14:paraId="2D6C6CED" w14:textId="4363E5AD">
      <w:pPr>
        <w:rPr>
          <w:sz w:val="22"/>
          <w:szCs w:val="22"/>
        </w:rPr>
      </w:pPr>
      <w:r w:rsidRPr="00C205CD">
        <w:rPr>
          <w:sz w:val="22"/>
          <w:szCs w:val="22"/>
        </w:rPr>
        <w:t>The regulations for the On-Site Consultation Program do not duplicate other agency programs</w:t>
      </w:r>
      <w:r w:rsidRPr="00C205CD" w:rsidR="00AA29DA">
        <w:rPr>
          <w:sz w:val="22"/>
          <w:szCs w:val="22"/>
        </w:rPr>
        <w:t xml:space="preserve">. </w:t>
      </w:r>
      <w:r w:rsidRPr="00C205CD">
        <w:rPr>
          <w:sz w:val="22"/>
          <w:szCs w:val="22"/>
        </w:rPr>
        <w:t>There is no similar information available.</w:t>
      </w:r>
    </w:p>
    <w:p w:rsidR="00FC4BF3" w:rsidRPr="00C205CD" w14:paraId="1F3B1409" w14:textId="77777777">
      <w:pPr>
        <w:rPr>
          <w:sz w:val="20"/>
          <w:szCs w:val="20"/>
        </w:rPr>
      </w:pPr>
    </w:p>
    <w:p w:rsidR="00FC4BF3" w:rsidRPr="00C205CD" w:rsidP="006B1FC3" w14:paraId="298DD98F" w14:textId="5C3AA2ED">
      <w:r w:rsidRPr="00C205CD">
        <w:t xml:space="preserve">Communications </w:t>
      </w:r>
      <w:r w:rsidRPr="00C205CD" w:rsidR="0014676B">
        <w:t xml:space="preserve">between the </w:t>
      </w:r>
      <w:r w:rsidRPr="00C205CD" w:rsidR="00954BC8">
        <w:t>On-Site</w:t>
      </w:r>
      <w:r w:rsidRPr="00C205CD" w:rsidR="0014676B">
        <w:t xml:space="preserve"> Consultation </w:t>
      </w:r>
      <w:r w:rsidRPr="00C205CD" w:rsidR="004758CA">
        <w:t>p</w:t>
      </w:r>
      <w:r w:rsidRPr="00C205CD" w:rsidR="0020737B">
        <w:t>rogram</w:t>
      </w:r>
      <w:r w:rsidRPr="00C205CD" w:rsidR="0014676B">
        <w:t xml:space="preserve">s and enforcement programs </w:t>
      </w:r>
      <w:r w:rsidRPr="00C205CD">
        <w:t>specified in the</w:t>
      </w:r>
      <w:r w:rsidRPr="00C205CD" w:rsidR="00FB0B22">
        <w:t xml:space="preserve"> </w:t>
      </w:r>
      <w:r w:rsidRPr="00C205CD" w:rsidR="00954BC8">
        <w:t>On-Site</w:t>
      </w:r>
      <w:r w:rsidRPr="00C205CD">
        <w:t xml:space="preserve"> </w:t>
      </w:r>
      <w:r w:rsidRPr="00C205CD" w:rsidR="00FE6A01">
        <w:t xml:space="preserve">Consultation </w:t>
      </w:r>
      <w:r w:rsidRPr="00C205CD">
        <w:t>regulations are designed to inform OSHA inspectors of the presence of a consultant</w:t>
      </w:r>
      <w:r w:rsidRPr="00C205CD" w:rsidR="00532EEB">
        <w:t xml:space="preserve"> at a workplace or of consultation visit in-progress status</w:t>
      </w:r>
      <w:r w:rsidRPr="00C205CD" w:rsidR="00AA29DA">
        <w:t xml:space="preserve">. </w:t>
      </w:r>
      <w:r w:rsidRPr="00C205CD">
        <w:t>This prevents duplication of effort</w:t>
      </w:r>
      <w:r w:rsidRPr="00C205CD" w:rsidR="00DD1F2E">
        <w:t>s</w:t>
      </w:r>
      <w:r w:rsidRPr="00C205CD">
        <w:t xml:space="preserve"> between OSHA's</w:t>
      </w:r>
      <w:r w:rsidRPr="00C205CD" w:rsidR="00FB0B22">
        <w:t xml:space="preserve"> </w:t>
      </w:r>
      <w:r w:rsidRPr="00C205CD" w:rsidR="00954BC8">
        <w:t>On-Site</w:t>
      </w:r>
      <w:r w:rsidRPr="00C205CD">
        <w:t xml:space="preserve"> </w:t>
      </w:r>
      <w:r w:rsidRPr="00C205CD" w:rsidR="00FB0B22">
        <w:t>C</w:t>
      </w:r>
      <w:r w:rsidRPr="00C205CD">
        <w:t xml:space="preserve">onsultation </w:t>
      </w:r>
      <w:r w:rsidRPr="00C205CD" w:rsidR="00DD1F2E">
        <w:t>p</w:t>
      </w:r>
      <w:r w:rsidRPr="00C205CD" w:rsidR="0020737B">
        <w:t>rogram</w:t>
      </w:r>
      <w:r w:rsidRPr="00C205CD" w:rsidR="00FB0B22">
        <w:t xml:space="preserve">s </w:t>
      </w:r>
      <w:r w:rsidRPr="00C205CD">
        <w:t>and enforcement programs.</w:t>
      </w:r>
    </w:p>
    <w:p w:rsidR="004F507E" w:rsidRPr="00C205CD" w14:paraId="7DF4E37C" w14:textId="77777777">
      <w:pPr>
        <w:ind w:firstLine="720"/>
      </w:pPr>
    </w:p>
    <w:p w:rsidR="006B1FC3" w:rsidRPr="00C205CD" w:rsidP="006B1FC3" w14:paraId="54B46644" w14:textId="7B1EFE0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205CD">
        <w:rPr>
          <w:b/>
          <w:bCs/>
          <w:color w:val="000000"/>
        </w:rPr>
        <w:t>5</w:t>
      </w:r>
      <w:r w:rsidRPr="00C205CD" w:rsidR="00AA29DA">
        <w:rPr>
          <w:b/>
          <w:bCs/>
          <w:color w:val="000000"/>
        </w:rPr>
        <w:t xml:space="preserve">. </w:t>
      </w:r>
      <w:r w:rsidRPr="00C205CD">
        <w:rPr>
          <w:b/>
          <w:bCs/>
          <w:color w:val="000000"/>
        </w:rPr>
        <w:t xml:space="preserve">If the collection of information impacts small businesses or other small entities, describe the methods used to </w:t>
      </w:r>
      <w:r w:rsidRPr="00C205CD" w:rsidR="004211F2">
        <w:rPr>
          <w:b/>
          <w:bCs/>
          <w:color w:val="000000"/>
        </w:rPr>
        <w:t xml:space="preserve">minimize </w:t>
      </w:r>
      <w:r w:rsidRPr="00C205CD">
        <w:rPr>
          <w:b/>
          <w:bCs/>
          <w:color w:val="000000"/>
        </w:rPr>
        <w:t>the burden.</w:t>
      </w:r>
    </w:p>
    <w:p w:rsidR="006B1FC3" w:rsidRPr="00C205CD" w:rsidP="006B1FC3" w14:paraId="44FB30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sz w:val="20"/>
          <w:szCs w:val="20"/>
        </w:rPr>
      </w:pPr>
    </w:p>
    <w:p w:rsidR="00FC4BF3" w:rsidRPr="00C205CD" w:rsidP="006B1FC3" w14:paraId="78203B95" w14:textId="21B8CE11">
      <w:r w:rsidRPr="00C205CD">
        <w:t xml:space="preserve">Participation in the </w:t>
      </w:r>
      <w:r w:rsidRPr="00C205CD" w:rsidR="00954BC8">
        <w:t>On-Site</w:t>
      </w:r>
      <w:r w:rsidRPr="00C205CD" w:rsidR="004F507E">
        <w:t xml:space="preserve"> Consultation P</w:t>
      </w:r>
      <w:r w:rsidRPr="00C205CD">
        <w:t>rogram is comp</w:t>
      </w:r>
      <w:r w:rsidRPr="00C205CD" w:rsidR="00121CC4">
        <w:t>letely voluntary</w:t>
      </w:r>
      <w:r w:rsidRPr="00C205CD" w:rsidR="00AA29DA">
        <w:t xml:space="preserve">. </w:t>
      </w:r>
      <w:r w:rsidRPr="00C205CD" w:rsidR="00121CC4">
        <w:t>There is no F</w:t>
      </w:r>
      <w:r w:rsidRPr="00C205CD">
        <w:t>ederal requirement that forces participation</w:t>
      </w:r>
      <w:r w:rsidRPr="00C205CD" w:rsidR="00AA29DA">
        <w:t xml:space="preserve">. </w:t>
      </w:r>
      <w:r w:rsidRPr="00C205CD" w:rsidR="00507A00">
        <w:t>Small business employers that use consultation services choose to do so</w:t>
      </w:r>
      <w:r w:rsidRPr="00C205CD" w:rsidR="00235F44">
        <w:t>, determine the scope of the consultation services they request,</w:t>
      </w:r>
      <w:r w:rsidRPr="00C205CD" w:rsidR="00507A00">
        <w:t xml:space="preserve"> and</w:t>
      </w:r>
      <w:r w:rsidRPr="00C205CD" w:rsidR="003659E0">
        <w:t xml:space="preserve"> must be made aware of their obligations and rights</w:t>
      </w:r>
      <w:r w:rsidRPr="00C205CD" w:rsidR="00235F44">
        <w:t xml:space="preserve"> by On-Site Consultation programs</w:t>
      </w:r>
      <w:r w:rsidRPr="00C205CD" w:rsidR="003659E0">
        <w:t xml:space="preserve"> before receiving services as per the On-Site Consultation </w:t>
      </w:r>
      <w:r w:rsidRPr="00C205CD" w:rsidR="00A20E93">
        <w:t xml:space="preserve">regulation and </w:t>
      </w:r>
      <w:r w:rsidRPr="00C205CD" w:rsidR="003659E0">
        <w:t>policy</w:t>
      </w:r>
      <w:r w:rsidRPr="00C205CD" w:rsidR="00AA29DA">
        <w:t xml:space="preserve">. </w:t>
      </w:r>
      <w:r w:rsidRPr="00C205CD" w:rsidR="003659E0">
        <w:t>Additionally, employers may choose to</w:t>
      </w:r>
      <w:r w:rsidRPr="00C205CD" w:rsidR="007A6D67">
        <w:t xml:space="preserve"> limit the scope</w:t>
      </w:r>
      <w:r w:rsidRPr="00C205CD" w:rsidR="00874AF7">
        <w:t xml:space="preserve"> of </w:t>
      </w:r>
      <w:r w:rsidRPr="00C205CD" w:rsidR="00A20E93">
        <w:t xml:space="preserve">the </w:t>
      </w:r>
      <w:r w:rsidRPr="00C205CD" w:rsidR="00874AF7">
        <w:t>consultation services that they originally requested</w:t>
      </w:r>
      <w:r w:rsidRPr="00C205CD" w:rsidR="007A6D67">
        <w:t xml:space="preserve"> or terminate a consultation visit at any point</w:t>
      </w:r>
      <w:r w:rsidRPr="00C205CD" w:rsidR="00AA29DA">
        <w:t xml:space="preserve">. </w:t>
      </w:r>
    </w:p>
    <w:p w:rsidR="00FA637A" w:rsidRPr="00C205CD" w14:paraId="1DA6542E" w14:textId="77777777">
      <w:pPr>
        <w:ind w:left="720"/>
      </w:pPr>
    </w:p>
    <w:p w:rsidR="00FA637A" w:rsidRPr="00C205CD" w:rsidP="006B1FC3" w14:paraId="31ABED23" w14:textId="77777777">
      <w:r w:rsidRPr="00C205CD">
        <w:t>This information collection does not have a significant impact on a substantial number of small entities.</w:t>
      </w:r>
    </w:p>
    <w:p w:rsidR="006B1FC3" w:rsidRPr="00C205CD" w:rsidP="006B1FC3" w14:paraId="3041E39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B1FC3" w:rsidRPr="00C205CD" w:rsidP="006B1FC3" w14:paraId="3F7305AC" w14:textId="49C620B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sidRPr="00C205CD">
        <w:t xml:space="preserve"> </w:t>
      </w:r>
      <w:bookmarkStart w:id="6" w:name="_Hlk175480062"/>
      <w:r w:rsidRPr="00C205CD">
        <w:rPr>
          <w:b/>
          <w:bCs/>
          <w:color w:val="000000"/>
        </w:rPr>
        <w:t>6</w:t>
      </w:r>
      <w:r w:rsidRPr="00C205CD" w:rsidR="00AA29DA">
        <w:rPr>
          <w:b/>
          <w:bCs/>
          <w:color w:val="000000"/>
        </w:rPr>
        <w:t xml:space="preserve">. </w:t>
      </w:r>
      <w:r w:rsidRPr="00C205CD" w:rsidR="004211F2">
        <w:rPr>
          <w:b/>
          <w:bCs/>
        </w:rPr>
        <w:t xml:space="preserve">Describe the consequence to federal program or policy activities if the collection is not conducted or is conducted less frequently, as well as any technical or legal obstacles to reducing burden. </w:t>
      </w:r>
      <w:bookmarkEnd w:id="6"/>
    </w:p>
    <w:p w:rsidR="006B1FC3" w:rsidRPr="00C205CD" w:rsidP="006B1FC3" w14:paraId="722B00AE" w14:textId="77777777"/>
    <w:p w:rsidR="00951C21" w:rsidRPr="00C205CD" w:rsidP="006B1FC3" w14:paraId="6C1CF8DE" w14:textId="5D57D526">
      <w:r w:rsidRPr="00C205CD">
        <w:t>All activities specified</w:t>
      </w:r>
      <w:r w:rsidRPr="00C205CD" w:rsidR="00882427">
        <w:t xml:space="preserve"> in this report</w:t>
      </w:r>
      <w:r w:rsidRPr="00C205CD">
        <w:t xml:space="preserve"> occur as a natural function or corollary of the</w:t>
      </w:r>
      <w:r w:rsidRPr="00C205CD" w:rsidR="004F507E">
        <w:t xml:space="preserve"> </w:t>
      </w:r>
      <w:r w:rsidRPr="00C205CD" w:rsidR="00954BC8">
        <w:t>On-Site</w:t>
      </w:r>
      <w:r w:rsidRPr="00C205CD">
        <w:t xml:space="preserve"> </w:t>
      </w:r>
      <w:r w:rsidRPr="00C205CD" w:rsidR="00FE6A01">
        <w:t xml:space="preserve">Consultation </w:t>
      </w:r>
      <w:r w:rsidRPr="00C205CD">
        <w:t>process</w:t>
      </w:r>
      <w:r w:rsidRPr="00C205CD" w:rsidR="00AA29DA">
        <w:t xml:space="preserve">. </w:t>
      </w:r>
      <w:r w:rsidRPr="00C205CD">
        <w:t xml:space="preserve">None of the activities specified could be </w:t>
      </w:r>
      <w:r w:rsidRPr="00C205CD" w:rsidR="002C5CC2">
        <w:t>consolidated</w:t>
      </w:r>
      <w:r w:rsidRPr="00C205CD">
        <w:t xml:space="preserve"> into a single activity because each is linked to a unique consultation </w:t>
      </w:r>
      <w:r w:rsidRPr="00C205CD" w:rsidR="00E07882">
        <w:t>service involving a specific small business employer</w:t>
      </w:r>
      <w:r w:rsidRPr="00C205CD" w:rsidR="00AA29DA">
        <w:t xml:space="preserve">. </w:t>
      </w:r>
      <w:r w:rsidRPr="00C205CD" w:rsidR="00814612">
        <w:t>This is</w:t>
      </w:r>
      <w:r w:rsidRPr="00C205CD" w:rsidR="00E85F9F">
        <w:t xml:space="preserve"> because</w:t>
      </w:r>
      <w:r w:rsidRPr="00C205CD" w:rsidR="00814612">
        <w:t xml:space="preserve"> every small business is different and disti</w:t>
      </w:r>
      <w:r w:rsidRPr="00C205CD" w:rsidR="00E85F9F">
        <w:t xml:space="preserve">nct from all others </w:t>
      </w:r>
      <w:r w:rsidRPr="00C205CD" w:rsidR="00F44D8F">
        <w:t>(e.g.,</w:t>
      </w:r>
      <w:r w:rsidRPr="00C205CD" w:rsidR="00E85F9F">
        <w:t xml:space="preserve"> even companies</w:t>
      </w:r>
      <w:r w:rsidRPr="00C205CD" w:rsidR="00814612">
        <w:t xml:space="preserve"> within the same industry regularly employ different</w:t>
      </w:r>
      <w:r w:rsidRPr="00C205CD" w:rsidR="00E85F9F">
        <w:t xml:space="preserve"> work methods and processes</w:t>
      </w:r>
      <w:r w:rsidRPr="00C205CD" w:rsidR="00F44D8F">
        <w:t>; not all small businesses have a PSM process in the workplace; the Incident Investigation Reporting Template can only be applied at a specific SHARP or Pre-SHARP site if a qualifying incident occurs; Action Plans vary according to the specific need of the employer)</w:t>
      </w:r>
      <w:r w:rsidRPr="00C205CD" w:rsidR="00AA29DA">
        <w:t xml:space="preserve">. </w:t>
      </w:r>
    </w:p>
    <w:p w:rsidR="00951C21" w:rsidRPr="00C205CD" w:rsidP="006B1FC3" w14:paraId="73395FFC" w14:textId="77777777"/>
    <w:p w:rsidR="00FC4BF3" w:rsidRPr="00C205CD" w:rsidP="006B1FC3" w14:paraId="5B6E376B" w14:textId="40143818">
      <w:r w:rsidRPr="00C205CD">
        <w:t xml:space="preserve">Therefore, </w:t>
      </w:r>
      <w:r w:rsidRPr="00C205CD" w:rsidR="00814612">
        <w:t>e</w:t>
      </w:r>
      <w:r w:rsidRPr="00C205CD" w:rsidR="00571BA6">
        <w:t>very piece of information collected is important</w:t>
      </w:r>
      <w:r w:rsidRPr="00C205CD" w:rsidR="00814612">
        <w:t xml:space="preserve"> for the consultant</w:t>
      </w:r>
      <w:r w:rsidRPr="00C205CD" w:rsidR="00571BA6">
        <w:t xml:space="preserve"> to </w:t>
      </w:r>
      <w:r w:rsidRPr="00C205CD" w:rsidR="007059F2">
        <w:t>gain an accurate understanding of the status of the safety and health program of a specific</w:t>
      </w:r>
      <w:r w:rsidRPr="00C205CD" w:rsidR="007817E4">
        <w:t xml:space="preserve"> workplace and</w:t>
      </w:r>
      <w:r w:rsidRPr="00C205CD" w:rsidR="007059F2">
        <w:t xml:space="preserve"> </w:t>
      </w:r>
      <w:r w:rsidRPr="00C205CD">
        <w:t>to render effective</w:t>
      </w:r>
      <w:r w:rsidRPr="00C205CD" w:rsidR="007817E4">
        <w:t xml:space="preserve"> consultation</w:t>
      </w:r>
      <w:r w:rsidRPr="00C205CD">
        <w:t xml:space="preserve"> services</w:t>
      </w:r>
      <w:r w:rsidRPr="00C205CD" w:rsidR="00AA29DA">
        <w:t xml:space="preserve">. </w:t>
      </w:r>
      <w:r w:rsidRPr="00C205CD">
        <w:t>See the</w:t>
      </w:r>
      <w:r w:rsidRPr="00C205CD" w:rsidR="00AA6FE6">
        <w:t xml:space="preserve"> </w:t>
      </w:r>
      <w:r w:rsidRPr="00C205CD">
        <w:t>answer</w:t>
      </w:r>
      <w:r w:rsidRPr="00C205CD" w:rsidR="00AA6FE6">
        <w:t xml:space="preserve"> above</w:t>
      </w:r>
      <w:r w:rsidRPr="00C205CD">
        <w:t xml:space="preserve"> to question 2.</w:t>
      </w:r>
    </w:p>
    <w:p w:rsidR="00657F2B" w:rsidRPr="00C205CD" w14:paraId="42C6D796" w14:textId="77777777">
      <w:pPr>
        <w:rPr>
          <w:sz w:val="20"/>
          <w:szCs w:val="20"/>
        </w:rPr>
      </w:pPr>
    </w:p>
    <w:p w:rsidR="004211F2" w:rsidRPr="00C205CD" w:rsidP="004211F2" w14:paraId="430C6B96" w14:textId="62B8CE4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05CD">
        <w:rPr>
          <w:b/>
          <w:bCs/>
          <w:color w:val="000000"/>
        </w:rPr>
        <w:t xml:space="preserve"> 7</w:t>
      </w:r>
      <w:r w:rsidRPr="00C205CD" w:rsidR="00AA29DA">
        <w:rPr>
          <w:b/>
          <w:bCs/>
          <w:color w:val="000000"/>
        </w:rPr>
        <w:t xml:space="preserve">. </w:t>
      </w:r>
      <w:r w:rsidRPr="00C205CD">
        <w:rPr>
          <w:b/>
          <w:bCs/>
        </w:rPr>
        <w:t>Explain any special circumstances that would cause an information collection to be conducted in a manner:</w:t>
      </w:r>
    </w:p>
    <w:p w:rsidR="004211F2" w:rsidRPr="00C205CD" w:rsidP="004211F2" w14:paraId="6E1831B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211F2" w:rsidRPr="00C205CD" w:rsidP="008138F3" w14:paraId="29B1D7A1"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 xml:space="preserve">requiring respondents to </w:t>
      </w:r>
      <w:r w:rsidRPr="00C205CD">
        <w:rPr>
          <w:b/>
          <w:bCs/>
        </w:rPr>
        <w:t>report information to the agency more often than quarterly;</w:t>
      </w:r>
    </w:p>
    <w:p w:rsidR="004211F2" w:rsidRPr="00C205CD" w:rsidP="004211F2" w14:paraId="54E11D2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1CA4CE55"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requiring respondents to prepare a written response to a collection of information in fewer than 30 days after receipt of it;</w:t>
      </w:r>
    </w:p>
    <w:p w:rsidR="004211F2" w:rsidRPr="00C205CD" w:rsidP="004211F2" w14:paraId="31126E5D"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10AA5D52"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requiring respondents to submit more than an original and two copies of any document;</w:t>
      </w:r>
    </w:p>
    <w:p w:rsidR="004211F2" w:rsidRPr="00C205CD" w:rsidP="004211F2" w14:paraId="2DE403A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2844D2A8"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requiring respondents to retain records, other than health, medical, government contract, grant-in-aid, or tax records for more than three years;</w:t>
      </w:r>
    </w:p>
    <w:p w:rsidR="004211F2" w:rsidRPr="00C205CD" w:rsidP="004211F2" w14:paraId="62431CD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6B6C121A"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in connection with a statistical survey, that is not designed to produce valid and reliable results that can be generalized to the universe of study;</w:t>
      </w:r>
    </w:p>
    <w:p w:rsidR="004211F2" w:rsidRPr="00C205CD" w:rsidP="004211F2" w14:paraId="49E398E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016CB78D"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requiring the use of statistical data classification that has not been reviewed and approved by OMB;</w:t>
      </w:r>
    </w:p>
    <w:p w:rsidR="004211F2" w:rsidRPr="00C205CD" w:rsidP="004211F2" w14:paraId="16287F2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012E8771"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211F2" w:rsidRPr="00C205CD" w:rsidP="004211F2" w14:paraId="5BE93A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4211F2" w:rsidRPr="00C205CD" w:rsidP="008138F3" w14:paraId="457A4490" w14:textId="77777777">
      <w:pPr>
        <w:widowControl/>
        <w:numPr>
          <w:ilvl w:val="0"/>
          <w:numId w:val="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205CD">
        <w:rPr>
          <w:b/>
          <w:bCs/>
        </w:rPr>
        <w:t>requiring respondents to submit proprietary trade secret, or other confidential information unless the agency can demonstrate that it has instituted procedures to protect the information's confidentially to the extent permitted by law.</w:t>
      </w:r>
    </w:p>
    <w:p w:rsidR="006B1FC3" w:rsidRPr="00C205CD" w:rsidP="004211F2" w14:paraId="384BA73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C4BF3" w:rsidRPr="00C205CD" w:rsidP="006B1FC3" w14:paraId="7D31680F" w14:textId="3BE8D8AF">
      <w:r w:rsidRPr="00C205CD">
        <w:t>There are no special circumstances for</w:t>
      </w:r>
      <w:r w:rsidRPr="00C205CD" w:rsidR="000B13E5">
        <w:t xml:space="preserve"> the</w:t>
      </w:r>
      <w:r w:rsidRPr="00C205CD">
        <w:t xml:space="preserve"> information collection</w:t>
      </w:r>
      <w:r w:rsidRPr="00C205CD" w:rsidR="00B10976">
        <w:t xml:space="preserve"> described </w:t>
      </w:r>
      <w:r w:rsidRPr="00C205CD" w:rsidR="00CE185E">
        <w:t>herein</w:t>
      </w:r>
      <w:r w:rsidRPr="00C205CD" w:rsidR="00AA29DA">
        <w:t xml:space="preserve">. </w:t>
      </w:r>
      <w:r w:rsidRPr="00C205CD" w:rsidR="0021783A">
        <w:t>This collection of information complies with the requirements of 5 CFR 1320.5.</w:t>
      </w:r>
    </w:p>
    <w:p w:rsidR="004F507E" w:rsidRPr="00C205CD" w14:paraId="34B3F2EB" w14:textId="77777777">
      <w:pPr>
        <w:rPr>
          <w:sz w:val="20"/>
          <w:szCs w:val="20"/>
        </w:rPr>
      </w:pPr>
    </w:p>
    <w:p w:rsidR="006B1FC3" w:rsidRPr="00C205CD" w:rsidP="006B1FC3" w14:paraId="4D6C616E" w14:textId="2ECE67CE">
      <w:pPr>
        <w:widowControl/>
        <w:tabs>
          <w:tab w:val="left" w:pos="-1080"/>
          <w:tab w:val="left" w:pos="-720"/>
          <w:tab w:val="left" w:pos="0"/>
          <w:tab w:val="left" w:pos="720"/>
          <w:tab w:val="left" w:pos="990"/>
          <w:tab w:val="left" w:pos="2160"/>
        </w:tabs>
        <w:rPr>
          <w:b/>
          <w:bCs/>
          <w:color w:val="000000"/>
        </w:rPr>
      </w:pPr>
      <w:r w:rsidRPr="00C205CD">
        <w:rPr>
          <w:b/>
          <w:bCs/>
          <w:color w:val="000000"/>
        </w:rPr>
        <w:t xml:space="preserve"> 8</w:t>
      </w:r>
      <w:r w:rsidRPr="00C205CD" w:rsidR="00AA29DA">
        <w:rPr>
          <w:b/>
          <w:bCs/>
          <w:color w:val="000000"/>
        </w:rPr>
        <w:t xml:space="preserve">. </w:t>
      </w:r>
      <w:r w:rsidRPr="00C205CD">
        <w:rPr>
          <w:b/>
          <w:bCs/>
          <w:color w:val="000000"/>
        </w:rPr>
        <w:t xml:space="preserve">If applicable, provide a copy and identify the date and page number of publication in the </w:t>
      </w:r>
      <w:r w:rsidRPr="00C205CD">
        <w:rPr>
          <w:b/>
          <w:bCs/>
          <w:i/>
          <w:color w:val="000000"/>
        </w:rPr>
        <w:t>Federal Register</w:t>
      </w:r>
      <w:r w:rsidRPr="00C205CD">
        <w:rPr>
          <w:b/>
          <w:bCs/>
          <w:color w:val="000000"/>
        </w:rPr>
        <w:t xml:space="preserve"> of the agency's notice, required by 5 CFR 1320.8(d), soliciting comments on the information collection </w:t>
      </w:r>
      <w:r w:rsidRPr="00C205CD" w:rsidR="004211F2">
        <w:rPr>
          <w:b/>
          <w:bCs/>
          <w:color w:val="000000"/>
        </w:rPr>
        <w:t xml:space="preserve">prior to </w:t>
      </w:r>
      <w:r w:rsidRPr="00C205CD">
        <w:rPr>
          <w:b/>
          <w:bCs/>
          <w:color w:val="000000"/>
        </w:rPr>
        <w:t>submission to OMB</w:t>
      </w:r>
      <w:r w:rsidRPr="00C205CD" w:rsidR="00AA29DA">
        <w:rPr>
          <w:b/>
          <w:bCs/>
          <w:color w:val="000000"/>
        </w:rPr>
        <w:t xml:space="preserve">. </w:t>
      </w:r>
      <w:r w:rsidRPr="00C205CD">
        <w:rPr>
          <w:b/>
          <w:bCs/>
          <w:color w:val="000000"/>
        </w:rPr>
        <w:t>Summarize public comments received in response to that notice and describe actions taken by the agency in response to th</w:t>
      </w:r>
      <w:r w:rsidRPr="00C205CD" w:rsidR="00AA1704">
        <w:rPr>
          <w:b/>
          <w:bCs/>
          <w:color w:val="000000"/>
        </w:rPr>
        <w:t>e</w:t>
      </w:r>
      <w:r w:rsidRPr="00C205CD">
        <w:rPr>
          <w:b/>
          <w:bCs/>
          <w:color w:val="000000"/>
        </w:rPr>
        <w:t>se comment</w:t>
      </w:r>
      <w:r w:rsidRPr="00C205CD" w:rsidR="00AA1704">
        <w:rPr>
          <w:b/>
          <w:bCs/>
          <w:color w:val="000000"/>
        </w:rPr>
        <w:t>s</w:t>
      </w:r>
      <w:r w:rsidRPr="00C205CD" w:rsidR="00AA29DA">
        <w:rPr>
          <w:b/>
          <w:bCs/>
          <w:color w:val="000000"/>
        </w:rPr>
        <w:t xml:space="preserve">. </w:t>
      </w:r>
      <w:r w:rsidRPr="00C205CD" w:rsidR="00AA1704">
        <w:rPr>
          <w:b/>
          <w:bCs/>
          <w:color w:val="000000"/>
        </w:rPr>
        <w:t>S</w:t>
      </w:r>
      <w:r w:rsidRPr="00C205CD">
        <w:rPr>
          <w:b/>
          <w:bCs/>
          <w:color w:val="000000"/>
        </w:rPr>
        <w:t>pecifically address comments received on cost and hour burden.</w:t>
      </w:r>
    </w:p>
    <w:p w:rsidR="006B1FC3" w:rsidRPr="00C205CD" w:rsidP="006B1FC3" w14:paraId="7D34F5C7" w14:textId="77777777">
      <w:pPr>
        <w:widowControl/>
        <w:tabs>
          <w:tab w:val="left" w:pos="-1080"/>
          <w:tab w:val="left" w:pos="-720"/>
          <w:tab w:val="left" w:pos="0"/>
          <w:tab w:val="left" w:pos="720"/>
          <w:tab w:val="left" w:pos="990"/>
          <w:tab w:val="left" w:pos="2160"/>
        </w:tabs>
        <w:ind w:left="720"/>
        <w:rPr>
          <w:b/>
          <w:bCs/>
          <w:color w:val="000000"/>
        </w:rPr>
      </w:pPr>
    </w:p>
    <w:p w:rsidR="006B1FC3" w:rsidRPr="00C205CD" w:rsidP="006B1FC3" w14:paraId="06A682B7" w14:textId="77777777">
      <w:pPr>
        <w:widowControl/>
        <w:tabs>
          <w:tab w:val="left" w:pos="-1080"/>
          <w:tab w:val="left" w:pos="-720"/>
          <w:tab w:val="left" w:pos="0"/>
          <w:tab w:val="left" w:pos="720"/>
          <w:tab w:val="left" w:pos="990"/>
          <w:tab w:val="left" w:pos="2160"/>
        </w:tabs>
        <w:rPr>
          <w:b/>
          <w:bCs/>
          <w:color w:val="000000"/>
        </w:rPr>
      </w:pPr>
      <w:r w:rsidRPr="00C205CD">
        <w:rPr>
          <w:b/>
          <w:bCs/>
          <w:color w:val="000000"/>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w:t>
      </w:r>
      <w:r w:rsidRPr="00C205CD" w:rsidR="00AA1704">
        <w:rPr>
          <w:b/>
          <w:bCs/>
          <w:color w:val="000000"/>
        </w:rPr>
        <w:t>disclosed</w:t>
      </w:r>
      <w:r w:rsidRPr="00C205CD">
        <w:rPr>
          <w:b/>
          <w:bCs/>
          <w:color w:val="000000"/>
        </w:rPr>
        <w:t>, or reported.</w:t>
      </w:r>
    </w:p>
    <w:p w:rsidR="006B1FC3" w:rsidRPr="00C205CD" w:rsidP="006B1FC3" w14:paraId="0B4020A7" w14:textId="77777777">
      <w:pPr>
        <w:widowControl/>
        <w:tabs>
          <w:tab w:val="left" w:pos="-1080"/>
          <w:tab w:val="left" w:pos="-720"/>
          <w:tab w:val="left" w:pos="0"/>
          <w:tab w:val="left" w:pos="720"/>
          <w:tab w:val="left" w:pos="990"/>
          <w:tab w:val="left" w:pos="2160"/>
        </w:tabs>
        <w:rPr>
          <w:b/>
          <w:bCs/>
          <w:color w:val="000000"/>
        </w:rPr>
      </w:pPr>
    </w:p>
    <w:p w:rsidR="006B1FC3" w:rsidRPr="00C205CD" w:rsidP="006B1FC3" w14:paraId="4371A9FB" w14:textId="71530273">
      <w:pPr>
        <w:widowControl/>
        <w:tabs>
          <w:tab w:val="left" w:pos="-1080"/>
          <w:tab w:val="left" w:pos="-720"/>
          <w:tab w:val="left" w:pos="0"/>
          <w:tab w:val="left" w:pos="720"/>
          <w:tab w:val="left" w:pos="990"/>
          <w:tab w:val="left" w:pos="2160"/>
        </w:tabs>
        <w:rPr>
          <w:b/>
          <w:bCs/>
          <w:color w:val="000000"/>
        </w:rPr>
      </w:pPr>
      <w:r w:rsidRPr="00C205CD">
        <w:rPr>
          <w:b/>
          <w:bCs/>
          <w:color w:val="000000"/>
        </w:rPr>
        <w:t>Consultation with representatives of those from whom information is to be obtained or those who must compile records should occur at least once every three years -- even if the collection</w:t>
      </w:r>
      <w:r w:rsidRPr="00C205CD" w:rsidR="00BF4917">
        <w:rPr>
          <w:b/>
          <w:bCs/>
          <w:color w:val="000000"/>
        </w:rPr>
        <w:t>-</w:t>
      </w:r>
      <w:r w:rsidRPr="00C205CD">
        <w:rPr>
          <w:b/>
          <w:bCs/>
          <w:color w:val="000000"/>
        </w:rPr>
        <w:t>of</w:t>
      </w:r>
      <w:r w:rsidRPr="00C205CD" w:rsidR="00BF4917">
        <w:rPr>
          <w:b/>
          <w:bCs/>
          <w:color w:val="000000"/>
        </w:rPr>
        <w:t>-</w:t>
      </w:r>
      <w:r w:rsidRPr="00C205CD">
        <w:rPr>
          <w:b/>
          <w:bCs/>
          <w:color w:val="000000"/>
        </w:rPr>
        <w:t>information activity is the same as in prior periods</w:t>
      </w:r>
      <w:r w:rsidRPr="00C205CD" w:rsidR="00AA29DA">
        <w:rPr>
          <w:b/>
          <w:bCs/>
          <w:color w:val="000000"/>
        </w:rPr>
        <w:t xml:space="preserve">. </w:t>
      </w:r>
      <w:r w:rsidRPr="00C205CD">
        <w:rPr>
          <w:b/>
          <w:bCs/>
          <w:color w:val="000000"/>
        </w:rPr>
        <w:t xml:space="preserve">There may be circumstances that </w:t>
      </w:r>
      <w:r w:rsidRPr="00C205CD" w:rsidR="00AA1704">
        <w:rPr>
          <w:b/>
          <w:bCs/>
          <w:color w:val="000000"/>
        </w:rPr>
        <w:t>preclude</w:t>
      </w:r>
      <w:r w:rsidRPr="00C205CD">
        <w:rPr>
          <w:b/>
          <w:bCs/>
          <w:color w:val="000000"/>
        </w:rPr>
        <w:t xml:space="preserve"> consultation in a specific situation</w:t>
      </w:r>
      <w:r w:rsidRPr="00C205CD" w:rsidR="00AA29DA">
        <w:rPr>
          <w:b/>
          <w:bCs/>
          <w:color w:val="000000"/>
        </w:rPr>
        <w:t xml:space="preserve">. </w:t>
      </w:r>
      <w:r w:rsidRPr="00C205CD">
        <w:rPr>
          <w:b/>
          <w:bCs/>
          <w:color w:val="000000"/>
        </w:rPr>
        <w:t>These circumstances should be explained.</w:t>
      </w:r>
    </w:p>
    <w:p w:rsidR="008B763D" w:rsidRPr="00C205CD" w:rsidP="0064626C" w14:paraId="1D7B27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3E25C7" w:rsidRPr="00C205CD" w:rsidP="003E25C7" w14:paraId="2BFAAFCE" w14:textId="4B637F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color w:val="323E4F" w:themeColor="text2" w:themeShade="BF"/>
          <w:u w:val="single"/>
        </w:rPr>
      </w:pPr>
      <w:r w:rsidRPr="00C205CD">
        <w:rPr>
          <w:rStyle w:val="normaltextrun"/>
          <w:color w:val="000000"/>
          <w:shd w:val="clear" w:color="auto" w:fill="FFFFFF"/>
        </w:rPr>
        <w:t xml:space="preserve">As required by the Paperwork Reduction Act of 1995 (PRA) (44 U.S.C. 3506(c)(2)(A)), OSHA published a notice in the Federal Register on </w:t>
      </w:r>
      <w:r w:rsidR="00C6578D">
        <w:rPr>
          <w:rStyle w:val="normaltextrun"/>
          <w:color w:val="000000"/>
          <w:shd w:val="clear" w:color="auto" w:fill="FFFFFF"/>
        </w:rPr>
        <w:t>September 11, 2024</w:t>
      </w:r>
      <w:r w:rsidRPr="00C205CD">
        <w:rPr>
          <w:rStyle w:val="normaltextrun"/>
          <w:b/>
          <w:bCs/>
          <w:color w:val="000000"/>
          <w:shd w:val="clear" w:color="auto" w:fill="FFFFFF"/>
        </w:rPr>
        <w:t xml:space="preserve"> </w:t>
      </w:r>
      <w:r w:rsidRPr="00C6578D">
        <w:rPr>
          <w:rStyle w:val="normaltextrun"/>
          <w:color w:val="000000"/>
          <w:shd w:val="clear" w:color="auto" w:fill="FFFFFF"/>
        </w:rPr>
        <w:t>(</w:t>
      </w:r>
      <w:r w:rsidRPr="00C6578D" w:rsidR="00C6578D">
        <w:rPr>
          <w:rStyle w:val="normaltextrun"/>
          <w:color w:val="000000"/>
          <w:shd w:val="clear" w:color="auto" w:fill="FFFFFF"/>
        </w:rPr>
        <w:t>89</w:t>
      </w:r>
      <w:r w:rsidRPr="00C6578D">
        <w:rPr>
          <w:rStyle w:val="normaltextrun"/>
          <w:color w:val="000000"/>
          <w:shd w:val="clear" w:color="auto" w:fill="FFFFFF"/>
        </w:rPr>
        <w:t xml:space="preserve"> FR </w:t>
      </w:r>
      <w:r w:rsidRPr="00C6578D" w:rsidR="00C6578D">
        <w:rPr>
          <w:rStyle w:val="normaltextrun"/>
          <w:color w:val="000000"/>
          <w:shd w:val="clear" w:color="auto" w:fill="FFFFFF"/>
        </w:rPr>
        <w:t>73727</w:t>
      </w:r>
      <w:r w:rsidRPr="00C6578D">
        <w:rPr>
          <w:rStyle w:val="normaltextrun"/>
          <w:color w:val="000000"/>
          <w:shd w:val="clear" w:color="auto" w:fill="FFFFFF"/>
        </w:rPr>
        <w:t>)</w:t>
      </w:r>
      <w:r w:rsidRPr="00C205CD">
        <w:rPr>
          <w:rStyle w:val="normaltextrun"/>
          <w:color w:val="000000"/>
          <w:shd w:val="clear" w:color="auto" w:fill="FFFFFF"/>
        </w:rPr>
        <w:t xml:space="preserve"> soliciting comments on its proposal to extend the Office of Management and Budget’s (OMB) approval of the information collection requirements specified in the On</w:t>
      </w:r>
      <w:r w:rsidRPr="00C205CD" w:rsidR="009D48E2">
        <w:rPr>
          <w:rStyle w:val="normaltextrun"/>
          <w:color w:val="000000"/>
          <w:shd w:val="clear" w:color="auto" w:fill="FFFFFF"/>
        </w:rPr>
        <w:t>-</w:t>
      </w:r>
      <w:r w:rsidRPr="00C205CD">
        <w:rPr>
          <w:rStyle w:val="normaltextrun"/>
          <w:color w:val="000000"/>
          <w:shd w:val="clear" w:color="auto" w:fill="FFFFFF"/>
        </w:rPr>
        <w:t>Site Consultation Agreements under Docket Number OSHA-2011-0125</w:t>
      </w:r>
      <w:r w:rsidRPr="00C205CD">
        <w:rPr>
          <w:rStyle w:val="normaltextrun"/>
          <w:b/>
          <w:bCs/>
          <w:color w:val="000000"/>
          <w:shd w:val="clear" w:color="auto" w:fill="FFFFFF"/>
        </w:rPr>
        <w:t>.</w:t>
      </w:r>
      <w:r w:rsidRPr="00C205CD">
        <w:rPr>
          <w:rStyle w:val="normaltextrun"/>
          <w:color w:val="000000"/>
          <w:shd w:val="clear" w:color="auto" w:fill="FFFFFF"/>
        </w:rPr>
        <w:t xml:space="preserve"> </w:t>
      </w:r>
      <w:r w:rsidR="00D3680E">
        <w:rPr>
          <w:rStyle w:val="normaltextrun"/>
          <w:color w:val="000000"/>
          <w:shd w:val="clear" w:color="auto" w:fill="FFFFFF"/>
        </w:rPr>
        <w:t xml:space="preserve"> </w:t>
      </w:r>
      <w:r w:rsidRPr="00C205CD" w:rsidR="00086906">
        <w:rPr>
          <w:rStyle w:val="normaltextrun"/>
          <w:color w:val="000000"/>
          <w:shd w:val="clear" w:color="auto" w:fill="FFFFFF"/>
        </w:rPr>
        <w:t>Also, OSHA</w:t>
      </w:r>
      <w:r w:rsidRPr="00C205CD" w:rsidR="00247F2F">
        <w:rPr>
          <w:rStyle w:val="normaltextrun"/>
          <w:color w:val="000000"/>
          <w:shd w:val="clear" w:color="auto" w:fill="FFFFFF"/>
        </w:rPr>
        <w:t xml:space="preserve"> is revising this data collection to include</w:t>
      </w:r>
      <w:r w:rsidRPr="00C205CD" w:rsidR="003C073C">
        <w:rPr>
          <w:rStyle w:val="normaltextrun"/>
          <w:color w:val="000000"/>
          <w:shd w:val="clear" w:color="auto" w:fill="FFFFFF"/>
        </w:rPr>
        <w:t xml:space="preserve"> the OMB approved</w:t>
      </w:r>
      <w:r w:rsidRPr="00C205CD" w:rsidR="00663D05">
        <w:rPr>
          <w:rStyle w:val="normaltextrun"/>
          <w:color w:val="000000"/>
          <w:shd w:val="clear" w:color="auto" w:fill="FFFFFF"/>
        </w:rPr>
        <w:t xml:space="preserve"> data collections contained in OMB Control Number 1218</w:t>
      </w:r>
      <w:r w:rsidRPr="00C205CD" w:rsidR="00693370">
        <w:rPr>
          <w:rStyle w:val="normaltextrun"/>
          <w:color w:val="000000"/>
          <w:shd w:val="clear" w:color="auto" w:fill="FFFFFF"/>
        </w:rPr>
        <w:t xml:space="preserve">-0281. </w:t>
      </w:r>
      <w:r w:rsidRPr="00C205CD">
        <w:rPr>
          <w:rStyle w:val="normaltextrun"/>
          <w:color w:val="000000"/>
          <w:shd w:val="clear" w:color="auto" w:fill="FFFFFF"/>
        </w:rPr>
        <w:t xml:space="preserve">This notice is part of a preclearance consultation program that provides interested parties the opportunity to comment on OSHA’s request for an extension by OMB of a previous approval of the information collection requirements found in the above Standard. </w:t>
      </w:r>
      <w:r w:rsidRPr="00903DBD" w:rsidR="006961B8">
        <w:rPr>
          <w:rStyle w:val="normaltextrun"/>
          <w:color w:val="000000"/>
          <w:shd w:val="clear" w:color="auto" w:fill="FFFFFF"/>
        </w:rPr>
        <w:t>The Agency did not receive any comments submitted in response to this notice</w:t>
      </w:r>
      <w:r w:rsidR="006961B8">
        <w:rPr>
          <w:rStyle w:val="normaltextrun"/>
          <w:color w:val="000000"/>
          <w:shd w:val="clear" w:color="auto" w:fill="FFFFFF"/>
        </w:rPr>
        <w:t>.</w:t>
      </w:r>
    </w:p>
    <w:p w:rsidR="006A30F3" w:rsidRPr="00C205CD" w:rsidP="00B13FC9" w14:paraId="51220CF1" w14:textId="77777777">
      <w:pPr>
        <w:widowControl/>
        <w:tabs>
          <w:tab w:val="left" w:pos="-1080"/>
          <w:tab w:val="left" w:pos="-720"/>
          <w:tab w:val="left" w:pos="0"/>
          <w:tab w:val="left" w:pos="720"/>
          <w:tab w:val="left" w:pos="990"/>
          <w:tab w:val="left" w:pos="2160"/>
        </w:tabs>
      </w:pPr>
    </w:p>
    <w:p w:rsidR="003E25C7" w:rsidRPr="00C205CD" w:rsidP="00B13FC9" w14:paraId="720B4842" w14:textId="2165D110">
      <w:pPr>
        <w:widowControl/>
        <w:tabs>
          <w:tab w:val="left" w:pos="-1080"/>
          <w:tab w:val="left" w:pos="-720"/>
          <w:tab w:val="left" w:pos="0"/>
          <w:tab w:val="left" w:pos="720"/>
          <w:tab w:val="left" w:pos="990"/>
          <w:tab w:val="left" w:pos="2160"/>
        </w:tabs>
      </w:pPr>
      <w:r w:rsidRPr="00C205CD">
        <w:t>Quarterly, OSHA meets virtually with OSHA Regional Program Officers (RPOs) and representatives of the 53 On-Site Consultation programs nationally to discuss issues, program requirements, concerns, and provide policy clarification and obtain feedback</w:t>
      </w:r>
      <w:r w:rsidRPr="00C205CD" w:rsidR="00E07768">
        <w:t xml:space="preserve"> regarding these items</w:t>
      </w:r>
      <w:r w:rsidRPr="00C205CD" w:rsidR="00AA29DA">
        <w:t xml:space="preserve">. </w:t>
      </w:r>
      <w:r w:rsidRPr="00C205CD" w:rsidR="00E07768">
        <w:t>OSHA also gives OSHA RPOs and the 53 On-Site Consultation programs an opportunity to review and provide suggested improvements for On-Site Consultation Program Cooperative Agreement Instructions, which are updated annually</w:t>
      </w:r>
      <w:r w:rsidRPr="00C205CD" w:rsidR="00AA29DA">
        <w:t xml:space="preserve">. </w:t>
      </w:r>
      <w:r w:rsidRPr="00C205CD" w:rsidR="00E07768">
        <w:t>This gives voice to all involved with this program, and an opportunity to recommend improvements that may decrease the burden of requirements for consultation programs, the employers, and OSHA.</w:t>
      </w:r>
    </w:p>
    <w:p w:rsidR="0044231D" w:rsidRPr="00C205CD" w:rsidP="00B13FC9" w14:paraId="1FB862A8" w14:textId="0A2447C7">
      <w:pPr>
        <w:widowControl/>
        <w:tabs>
          <w:tab w:val="left" w:pos="-1080"/>
          <w:tab w:val="left" w:pos="-720"/>
          <w:tab w:val="left" w:pos="0"/>
          <w:tab w:val="left" w:pos="720"/>
          <w:tab w:val="left" w:pos="990"/>
          <w:tab w:val="left" w:pos="2160"/>
        </w:tabs>
      </w:pPr>
    </w:p>
    <w:p w:rsidR="00B13FC9" w:rsidRPr="00C205CD" w:rsidP="00B13FC9" w14:paraId="1CAD6CA3" w14:textId="5A120889">
      <w:pPr>
        <w:widowControl/>
        <w:tabs>
          <w:tab w:val="left" w:pos="-1080"/>
          <w:tab w:val="left" w:pos="-720"/>
          <w:tab w:val="left" w:pos="0"/>
          <w:tab w:val="left" w:pos="720"/>
          <w:tab w:val="left" w:pos="990"/>
          <w:tab w:val="left" w:pos="2160"/>
        </w:tabs>
        <w:rPr>
          <w:color w:val="000000"/>
        </w:rPr>
      </w:pPr>
      <w:r w:rsidRPr="00C205CD">
        <w:rPr>
          <w:b/>
          <w:bCs/>
          <w:color w:val="000000"/>
        </w:rPr>
        <w:t xml:space="preserve"> 9</w:t>
      </w:r>
      <w:r w:rsidRPr="00C205CD" w:rsidR="00AA29DA">
        <w:rPr>
          <w:b/>
          <w:bCs/>
          <w:color w:val="000000"/>
        </w:rPr>
        <w:t xml:space="preserve">. </w:t>
      </w:r>
      <w:r w:rsidRPr="00C205CD">
        <w:rPr>
          <w:b/>
          <w:bCs/>
          <w:color w:val="000000"/>
        </w:rPr>
        <w:t xml:space="preserve">Explain any decision to provide any payments or gift to respondents, other than </w:t>
      </w:r>
      <w:r w:rsidRPr="00C205CD" w:rsidR="005900A1">
        <w:rPr>
          <w:b/>
          <w:bCs/>
          <w:color w:val="000000"/>
        </w:rPr>
        <w:t xml:space="preserve">remuneration </w:t>
      </w:r>
      <w:r w:rsidRPr="00C205CD">
        <w:rPr>
          <w:b/>
          <w:bCs/>
          <w:color w:val="000000"/>
        </w:rPr>
        <w:t>of contractors or grantees.</w:t>
      </w:r>
    </w:p>
    <w:p w:rsidR="00B13FC9" w:rsidRPr="00C205CD" w14:paraId="06971CD3" w14:textId="77777777">
      <w:pPr>
        <w:ind w:firstLine="720"/>
      </w:pPr>
    </w:p>
    <w:p w:rsidR="0098395D" w:rsidRPr="00C205CD" w:rsidP="00B13FC9" w14:paraId="4A1D3F1D" w14:textId="272CAFEE">
      <w:r w:rsidRPr="00C205CD">
        <w:t xml:space="preserve">The agency will </w:t>
      </w:r>
      <w:r w:rsidRPr="00C205CD">
        <w:rPr>
          <w:u w:val="single"/>
        </w:rPr>
        <w:t>not</w:t>
      </w:r>
      <w:r w:rsidRPr="00C205CD">
        <w:t xml:space="preserve"> provide payments or gifts to the respondents.</w:t>
      </w:r>
    </w:p>
    <w:p w:rsidR="0098395D" w:rsidRPr="00C205CD" w:rsidP="00B13FC9" w14:paraId="0E9541CC" w14:textId="77777777"/>
    <w:p w:rsidR="00B13FC9" w:rsidRPr="00C205CD" w:rsidP="00B13FC9" w14:paraId="3DAAF4B6" w14:textId="327C648C">
      <w:pPr>
        <w:widowControl/>
        <w:tabs>
          <w:tab w:val="left" w:pos="-1080"/>
          <w:tab w:val="left" w:pos="-720"/>
          <w:tab w:val="left" w:pos="0"/>
          <w:tab w:val="left" w:pos="720"/>
          <w:tab w:val="left" w:pos="990"/>
          <w:tab w:val="left" w:pos="2160"/>
        </w:tabs>
        <w:rPr>
          <w:color w:val="000000"/>
        </w:rPr>
      </w:pPr>
      <w:r w:rsidRPr="00C205CD">
        <w:rPr>
          <w:b/>
          <w:bCs/>
          <w:color w:val="000000"/>
        </w:rPr>
        <w:t>10</w:t>
      </w:r>
      <w:r w:rsidRPr="00C205CD" w:rsidR="00AA29DA">
        <w:rPr>
          <w:b/>
          <w:bCs/>
          <w:color w:val="000000"/>
        </w:rPr>
        <w:t xml:space="preserve">. </w:t>
      </w:r>
      <w:r w:rsidRPr="00C205CD">
        <w:rPr>
          <w:b/>
          <w:bCs/>
          <w:color w:val="000000"/>
        </w:rPr>
        <w:t xml:space="preserve">Describe any assurance of confidentiality provided to </w:t>
      </w:r>
      <w:r w:rsidRPr="00C205CD">
        <w:rPr>
          <w:b/>
          <w:bCs/>
          <w:color w:val="000000"/>
        </w:rPr>
        <w:t>respondents and the basis for the assurance in statute, regulation, or agency policy.</w:t>
      </w:r>
    </w:p>
    <w:p w:rsidR="00FC4BF3" w:rsidRPr="00C205CD" w14:paraId="03EFCA41" w14:textId="77777777">
      <w:pPr>
        <w:rPr>
          <w:sz w:val="20"/>
          <w:szCs w:val="20"/>
          <w:u w:val="single"/>
        </w:rPr>
      </w:pPr>
    </w:p>
    <w:p w:rsidR="00FC4BF3" w:rsidRPr="00C205CD" w:rsidP="00B13FC9" w14:paraId="08C39D86" w14:textId="743B3D5A">
      <w:r w:rsidRPr="00C205CD">
        <w:t xml:space="preserve">The primary respondents </w:t>
      </w:r>
      <w:r w:rsidRPr="00C205CD" w:rsidR="00AC0245">
        <w:t xml:space="preserve">for the safety and health worksheets described </w:t>
      </w:r>
      <w:r w:rsidRPr="00C205CD">
        <w:t xml:space="preserve">in this </w:t>
      </w:r>
      <w:r w:rsidRPr="00C205CD" w:rsidR="00844D3F">
        <w:t xml:space="preserve">ICR </w:t>
      </w:r>
      <w:r w:rsidRPr="00C205CD">
        <w:t xml:space="preserve">are the State </w:t>
      </w:r>
      <w:r w:rsidRPr="00C205CD" w:rsidR="00954BC8">
        <w:t>On-Site</w:t>
      </w:r>
      <w:r w:rsidRPr="00C205CD" w:rsidR="00B63C63">
        <w:t xml:space="preserve"> Consultation </w:t>
      </w:r>
      <w:r w:rsidRPr="00C205CD" w:rsidR="00FC4227">
        <w:t>p</w:t>
      </w:r>
      <w:r w:rsidRPr="00C205CD" w:rsidR="0020737B">
        <w:t>rogram</w:t>
      </w:r>
      <w:r w:rsidRPr="00C205CD">
        <w:t>s</w:t>
      </w:r>
      <w:r w:rsidRPr="00C205CD" w:rsidR="0058463B">
        <w:t xml:space="preserve"> and employers</w:t>
      </w:r>
      <w:r w:rsidRPr="00C205CD" w:rsidR="00AA29DA">
        <w:t xml:space="preserve">. </w:t>
      </w:r>
      <w:r w:rsidRPr="00C205CD" w:rsidR="0058463B">
        <w:t>State On-Site Consultation programs</w:t>
      </w:r>
      <w:r w:rsidRPr="00C205CD">
        <w:t xml:space="preserve"> do not require</w:t>
      </w:r>
      <w:r w:rsidRPr="00C205CD" w:rsidR="00AA6FE6">
        <w:t xml:space="preserve"> and do not receive</w:t>
      </w:r>
      <w:r w:rsidRPr="00C205CD">
        <w:t xml:space="preserve"> assurance</w:t>
      </w:r>
      <w:r w:rsidRPr="00C205CD" w:rsidR="00AA6FE6">
        <w:t>s</w:t>
      </w:r>
      <w:r w:rsidRPr="00C205CD">
        <w:t xml:space="preserve"> of confidentiality</w:t>
      </w:r>
      <w:r w:rsidRPr="00C205CD" w:rsidR="00AA29DA">
        <w:t xml:space="preserve">. </w:t>
      </w:r>
      <w:r w:rsidRPr="00C205CD" w:rsidR="0058463B">
        <w:t>However, all employers that</w:t>
      </w:r>
      <w:r w:rsidRPr="00C205CD" w:rsidR="00407517">
        <w:t xml:space="preserve"> choose to</w:t>
      </w:r>
      <w:r w:rsidRPr="00C205CD" w:rsidR="0058463B">
        <w:t xml:space="preserve"> use Consultation services have an assurance of confidentiality.</w:t>
      </w:r>
    </w:p>
    <w:p w:rsidR="00FC4BF3" w:rsidRPr="00C205CD" w14:paraId="5F96A722" w14:textId="77777777"/>
    <w:p w:rsidR="00FC4BF3" w:rsidRPr="00C205CD" w:rsidP="00B13FC9" w14:paraId="481AD5D7" w14:textId="372BAAF0">
      <w:r w:rsidRPr="00C205CD">
        <w:t xml:space="preserve">Employer safeguards extend to preserving the confidentiality of the </w:t>
      </w:r>
      <w:r w:rsidRPr="00C205CD">
        <w:t>identity of employers receiving</w:t>
      </w:r>
      <w:r w:rsidRPr="00C205CD" w:rsidR="00A25D85">
        <w:t xml:space="preserve"> </w:t>
      </w:r>
      <w:r w:rsidRPr="00C205CD" w:rsidR="00954BC8">
        <w:t>On-Site</w:t>
      </w:r>
      <w:r w:rsidRPr="00C205CD">
        <w:t xml:space="preserve"> </w:t>
      </w:r>
      <w:r w:rsidRPr="00C205CD" w:rsidR="00FE6A01">
        <w:t xml:space="preserve">Consultation </w:t>
      </w:r>
      <w:r w:rsidRPr="00C205CD" w:rsidR="00A25D85">
        <w:t>services</w:t>
      </w:r>
      <w:r w:rsidRPr="00C205CD" w:rsidR="00AA29DA">
        <w:t xml:space="preserve">. </w:t>
      </w:r>
      <w:r w:rsidRPr="00C205CD" w:rsidR="00A25D85">
        <w:t>Specifically, t</w:t>
      </w:r>
      <w:r w:rsidRPr="00C205CD">
        <w:t>he employer's name or establishment is not revealed to OSHA</w:t>
      </w:r>
      <w:r w:rsidRPr="00C205CD" w:rsidR="0074215C">
        <w:t xml:space="preserve"> or a State Plan</w:t>
      </w:r>
      <w:r w:rsidRPr="00C205CD">
        <w:t xml:space="preserve"> routinely for use in any enforcement action, as stipulated in </w:t>
      </w:r>
      <w:r w:rsidRPr="00C205CD" w:rsidR="001A263F">
        <w:t>1908.7(a)(3)</w:t>
      </w:r>
      <w:r w:rsidRPr="00C205CD" w:rsidR="00AA29DA">
        <w:t xml:space="preserve">. </w:t>
      </w:r>
      <w:r w:rsidRPr="00C205CD" w:rsidR="007210B8">
        <w:t>Consultation visit information compiled in the written report to the employer can only be shared with the employer as stipulated in 1908.6(g)(2)</w:t>
      </w:r>
      <w:r w:rsidRPr="00C205CD" w:rsidR="00AA29DA">
        <w:t xml:space="preserve">. </w:t>
      </w:r>
      <w:r w:rsidRPr="00C205CD" w:rsidR="00A25D85">
        <w:t>Also, 1908.6(h)(1)</w:t>
      </w:r>
      <w:r w:rsidRPr="00C205CD" w:rsidR="00D87630">
        <w:t>&amp;(2)</w:t>
      </w:r>
      <w:r w:rsidRPr="00C205CD">
        <w:t xml:space="preserve"> require</w:t>
      </w:r>
      <w:r w:rsidRPr="00C205CD" w:rsidR="00A25D85">
        <w:t>s</w:t>
      </w:r>
      <w:r w:rsidRPr="00C205CD">
        <w:t xml:space="preserve"> that consultants preserve the confidentiality of information obtained as a result of a</w:t>
      </w:r>
      <w:r w:rsidRPr="00C205CD" w:rsidR="009C11D5">
        <w:t>ny</w:t>
      </w:r>
      <w:r w:rsidRPr="00C205CD">
        <w:t xml:space="preserve"> consultative vi</w:t>
      </w:r>
      <w:r w:rsidRPr="00C205CD">
        <w:t>sit</w:t>
      </w:r>
      <w:r w:rsidRPr="00C205CD" w:rsidR="004512C7">
        <w:t>, including information</w:t>
      </w:r>
      <w:r w:rsidRPr="00C205CD">
        <w:t xml:space="preserve"> </w:t>
      </w:r>
      <w:r w:rsidRPr="00C205CD" w:rsidR="004512C7">
        <w:t>that</w:t>
      </w:r>
      <w:r w:rsidRPr="00C205CD">
        <w:t xml:space="preserve"> contains or might reveal</w:t>
      </w:r>
      <w:r w:rsidRPr="00C205CD" w:rsidR="00A53B62">
        <w:t xml:space="preserve"> a trade secret of the employer.</w:t>
      </w:r>
    </w:p>
    <w:p w:rsidR="00844D3F" w:rsidRPr="00C205CD" w:rsidP="00B13FC9" w14:paraId="092C445F" w14:textId="77777777"/>
    <w:p w:rsidR="00844D3F" w:rsidRPr="00C205CD" w:rsidP="00B13FC9" w14:paraId="0894A09B" w14:textId="21498757">
      <w:r w:rsidRPr="00C205CD">
        <w:t xml:space="preserve">Although Consultation programs are prohibited from disclosing the identity of employers requesting consultation services, and any findings from consultation visits, with anyone other than the employer requesting consultation services, </w:t>
      </w:r>
      <w:r w:rsidRPr="00C205CD" w:rsidR="00E02884">
        <w:t xml:space="preserve">an </w:t>
      </w:r>
      <w:r w:rsidRPr="00C205CD">
        <w:t>employer that fail</w:t>
      </w:r>
      <w:r w:rsidRPr="00C205CD" w:rsidR="00E02884">
        <w:t>s</w:t>
      </w:r>
      <w:r w:rsidRPr="00C205CD">
        <w:t xml:space="preserve"> to take timely action to eliminate employees’ exposure to an imminent danger </w:t>
      </w:r>
      <w:r w:rsidRPr="00C205CD" w:rsidR="005C1ADE">
        <w:t>hazard or</w:t>
      </w:r>
      <w:r w:rsidRPr="00C205CD">
        <w:t xml:space="preserve"> fail</w:t>
      </w:r>
      <w:r w:rsidRPr="00C205CD" w:rsidR="00E02884">
        <w:t>s</w:t>
      </w:r>
      <w:r w:rsidRPr="00C205CD">
        <w:t xml:space="preserve"> to correct a serious or imminent danger hazard within the mutually agreed upon timeframe would be referred to the enforcement authority</w:t>
      </w:r>
      <w:r w:rsidRPr="00C205CD" w:rsidR="00AA29DA">
        <w:t xml:space="preserve">. </w:t>
      </w:r>
      <w:r w:rsidRPr="00C205CD">
        <w:t>In such instances, the Consultation program must share the information with the appropriate enforcement authorities (see 29 CFR 1908.6(f)(1)&amp;(4) and 29 CFR 1908.7(a)(3)).</w:t>
      </w:r>
    </w:p>
    <w:p w:rsidR="00BC6BB4" w:rsidRPr="00C205CD" w:rsidP="00B13FC9" w14:paraId="256CACEF" w14:textId="77777777"/>
    <w:p w:rsidR="00BC6BB4" w:rsidRPr="00C205CD" w:rsidP="00B13FC9" w14:paraId="1D12FE9A" w14:textId="5E368821">
      <w:r w:rsidRPr="00C205CD">
        <w:t>These requirements apply to all data collection requests described herein.</w:t>
      </w:r>
    </w:p>
    <w:p w:rsidR="00657F2B" w:rsidRPr="00C205CD" w14:paraId="5B95CD12" w14:textId="77777777"/>
    <w:p w:rsidR="00B13FC9" w:rsidRPr="00C205CD" w:rsidP="00B13FC9" w14:paraId="53F45C87" w14:textId="6C75A16D">
      <w:pPr>
        <w:widowControl/>
        <w:tabs>
          <w:tab w:val="left" w:pos="-1080"/>
          <w:tab w:val="left" w:pos="-720"/>
          <w:tab w:val="left" w:pos="0"/>
          <w:tab w:val="left" w:pos="720"/>
          <w:tab w:val="left" w:pos="990"/>
          <w:tab w:val="left" w:pos="2160"/>
        </w:tabs>
        <w:rPr>
          <w:color w:val="000000"/>
        </w:rPr>
      </w:pPr>
      <w:r w:rsidRPr="00C205CD">
        <w:rPr>
          <w:b/>
          <w:bCs/>
          <w:color w:val="000000"/>
        </w:rPr>
        <w:t>11</w:t>
      </w:r>
      <w:r w:rsidRPr="00C205CD" w:rsidR="00AA29DA">
        <w:rPr>
          <w:b/>
          <w:bCs/>
          <w:color w:val="000000"/>
        </w:rPr>
        <w:t xml:space="preserve">. </w:t>
      </w:r>
      <w:r w:rsidRPr="00C205CD">
        <w:rPr>
          <w:b/>
          <w:bCs/>
          <w:color w:val="000000"/>
        </w:rPr>
        <w:t>Provide additional justification for any questions of a sensitive nature, such as sexual behavior and attitudes, religious beliefs, and other matters that are commonly considered private</w:t>
      </w:r>
      <w:r w:rsidRPr="00C205CD" w:rsidR="00AA29DA">
        <w:rPr>
          <w:b/>
          <w:bCs/>
          <w:color w:val="000000"/>
        </w:rPr>
        <w:t xml:space="preserve">. </w:t>
      </w:r>
      <w:r w:rsidRPr="00C205CD">
        <w:rPr>
          <w:b/>
          <w:bCs/>
          <w:color w:val="000000"/>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C11D5" w:rsidRPr="00C205CD" w14:paraId="5220BBB2" w14:textId="77777777">
      <w:pPr>
        <w:ind w:left="720"/>
      </w:pPr>
    </w:p>
    <w:p w:rsidR="00FC4BF3" w:rsidRPr="00C205CD" w:rsidP="00B13FC9" w14:paraId="5D2C09E0" w14:textId="35BEBAAD">
      <w:r w:rsidRPr="00C205CD">
        <w:t>No questions of a sensitive nature, such as sexual behavior and attitudes, religious beliefs, and other matters that are commonly considered private are associated with the regulations for</w:t>
      </w:r>
      <w:r w:rsidRPr="00C205CD" w:rsidR="00B63C63">
        <w:t xml:space="preserve"> </w:t>
      </w:r>
      <w:r w:rsidRPr="00C205CD" w:rsidR="00954BC8">
        <w:t>On-Site</w:t>
      </w:r>
      <w:r w:rsidRPr="00C205CD">
        <w:t xml:space="preserve"> </w:t>
      </w:r>
      <w:r w:rsidRPr="00C205CD" w:rsidR="00FE6A01">
        <w:t xml:space="preserve">Consultation </w:t>
      </w:r>
      <w:r w:rsidRPr="00C205CD">
        <w:t>agreements</w:t>
      </w:r>
      <w:r w:rsidRPr="00C205CD" w:rsidR="00BC6BB4">
        <w:t xml:space="preserve"> and the data collection requests described herein</w:t>
      </w:r>
      <w:r w:rsidRPr="00C205CD">
        <w:t>.</w:t>
      </w:r>
    </w:p>
    <w:p w:rsidR="00657F2B" w:rsidRPr="00C205CD" w14:paraId="13CB595B" w14:textId="77777777">
      <w:pPr>
        <w:ind w:left="720"/>
      </w:pPr>
    </w:p>
    <w:p w:rsidR="00B13FC9" w:rsidRPr="00C205CD" w:rsidP="00B13FC9" w14:paraId="1129311F" w14:textId="69E9EAD9">
      <w:pPr>
        <w:widowControl/>
        <w:tabs>
          <w:tab w:val="left" w:pos="-1080"/>
          <w:tab w:val="left" w:pos="-720"/>
          <w:tab w:val="left" w:pos="0"/>
          <w:tab w:val="left" w:pos="720"/>
          <w:tab w:val="left" w:pos="990"/>
          <w:tab w:val="left" w:pos="2160"/>
        </w:tabs>
        <w:rPr>
          <w:b/>
          <w:bCs/>
          <w:color w:val="000000"/>
        </w:rPr>
      </w:pPr>
      <w:r w:rsidRPr="00C205CD">
        <w:rPr>
          <w:b/>
          <w:bCs/>
          <w:color w:val="000000"/>
        </w:rPr>
        <w:t>12</w:t>
      </w:r>
      <w:r w:rsidRPr="00C205CD" w:rsidR="00AA29DA">
        <w:rPr>
          <w:b/>
          <w:bCs/>
          <w:color w:val="000000"/>
        </w:rPr>
        <w:t xml:space="preserve">. </w:t>
      </w:r>
      <w:r w:rsidRPr="00C205CD">
        <w:rPr>
          <w:b/>
          <w:bCs/>
          <w:color w:val="000000"/>
        </w:rPr>
        <w:t>Provide estimates of the hour burden of the collection of information</w:t>
      </w:r>
      <w:r w:rsidRPr="00C205CD" w:rsidR="00AA29DA">
        <w:rPr>
          <w:b/>
          <w:bCs/>
          <w:color w:val="000000"/>
        </w:rPr>
        <w:t xml:space="preserve">. </w:t>
      </w:r>
      <w:r w:rsidRPr="00C205CD">
        <w:rPr>
          <w:b/>
          <w:bCs/>
          <w:color w:val="000000"/>
        </w:rPr>
        <w:t>The statement should:</w:t>
      </w:r>
    </w:p>
    <w:p w:rsidR="00BF4917" w:rsidRPr="00C205CD" w:rsidP="00BF4917" w14:paraId="100C5B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205CD">
        <w:rPr>
          <w:b/>
          <w:bCs/>
          <w:color w:val="000000"/>
        </w:rPr>
        <w:t xml:space="preserve"> </w:t>
      </w:r>
    </w:p>
    <w:p w:rsidR="00BF4917" w:rsidRPr="00C205CD" w:rsidP="008138F3" w14:paraId="62FC8682" w14:textId="127D6B92">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205CD">
        <w:rPr>
          <w:b/>
          <w:bCs/>
        </w:rPr>
        <w:t>Indicate the number of respondents, frequency of response, annual hour burden, and an explanation of how the burden was estimated</w:t>
      </w:r>
      <w:r w:rsidRPr="00C205CD" w:rsidR="00AA29DA">
        <w:rPr>
          <w:b/>
          <w:bCs/>
        </w:rPr>
        <w:t xml:space="preserve">. </w:t>
      </w:r>
      <w:r w:rsidRPr="00C205CD">
        <w:rPr>
          <w:b/>
          <w:bCs/>
        </w:rPr>
        <w:t>Unless directed to do so, agencies should not conduct special surveys to obtain information on which to base hour burden estimates</w:t>
      </w:r>
      <w:r w:rsidRPr="00C205CD" w:rsidR="00AA29DA">
        <w:rPr>
          <w:b/>
          <w:bCs/>
        </w:rPr>
        <w:t xml:space="preserve">. </w:t>
      </w:r>
      <w:r w:rsidRPr="00C205CD">
        <w:rPr>
          <w:b/>
          <w:bCs/>
        </w:rPr>
        <w:t>Consultation with a sample (fewer than 10) of potential respondents is desirable</w:t>
      </w:r>
      <w:r w:rsidRPr="00C205CD" w:rsidR="00AA29DA">
        <w:rPr>
          <w:b/>
          <w:bCs/>
        </w:rPr>
        <w:t xml:space="preserve">. </w:t>
      </w:r>
      <w:r w:rsidRPr="00C205CD">
        <w:rPr>
          <w:b/>
          <w:bCs/>
        </w:rPr>
        <w:t>If the hour burden on respondents is expected to vary widely because of differences in activity, size, or complexity, show the range of estimated hour burden, and explain the reasons for the variance</w:t>
      </w:r>
      <w:r w:rsidRPr="00C205CD" w:rsidR="00AA29DA">
        <w:rPr>
          <w:b/>
          <w:bCs/>
        </w:rPr>
        <w:t xml:space="preserve">. </w:t>
      </w:r>
      <w:r w:rsidRPr="00C205CD">
        <w:rPr>
          <w:b/>
          <w:bCs/>
        </w:rPr>
        <w:t>General, estimates should not include burden hours for customary and usual business practices.</w:t>
      </w:r>
    </w:p>
    <w:p w:rsidR="00BF4917" w:rsidRPr="00C205CD" w:rsidP="00BF4917" w14:paraId="6D9C8D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p>
    <w:p w:rsidR="00BF4917" w:rsidRPr="00C205CD" w:rsidP="008138F3" w14:paraId="657F4AB1" w14:textId="77777777">
      <w:pPr>
        <w:widowControl/>
        <w:numPr>
          <w:ilvl w:val="0"/>
          <w:numId w:val="6"/>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rPr>
        <w:t xml:space="preserve">If this </w:t>
      </w:r>
      <w:r w:rsidRPr="00C205CD">
        <w:rPr>
          <w:b/>
          <w:bCs/>
        </w:rPr>
        <w:t>request for approval covers more than one form, provide separate hour burden estimates for each form.</w:t>
      </w:r>
    </w:p>
    <w:p w:rsidR="00BF4917" w:rsidRPr="00C205CD" w:rsidP="00BF4917" w14:paraId="675E05EE" w14:textId="77777777">
      <w:pPr>
        <w:ind w:left="720"/>
        <w:rPr>
          <w:rFonts w:ascii="Courier 12cpi" w:hAnsi="Courier 12cpi"/>
        </w:rPr>
      </w:pPr>
    </w:p>
    <w:p w:rsidR="00BF4917" w:rsidRPr="00C205CD" w:rsidP="008138F3" w14:paraId="7E4AA83F" w14:textId="0CA443A9">
      <w:pPr>
        <w:widowControl/>
        <w:numPr>
          <w:ilvl w:val="0"/>
          <w:numId w:val="6"/>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bCs/>
        </w:rPr>
      </w:pPr>
      <w:r w:rsidRPr="00C205CD">
        <w:rPr>
          <w:b/>
          <w:bCs/>
        </w:rPr>
        <w:t xml:space="preserve">Provide estimates of annualized cost to respondents for the hour burdens for collections of information, identifying and using </w:t>
      </w:r>
      <w:r w:rsidRPr="00C205CD">
        <w:rPr>
          <w:b/>
          <w:bCs/>
        </w:rPr>
        <w:t>appropriate wage rate categories</w:t>
      </w:r>
      <w:r w:rsidRPr="00C205CD" w:rsidR="00AA29DA">
        <w:rPr>
          <w:b/>
          <w:bCs/>
        </w:rPr>
        <w:t xml:space="preserve">. </w:t>
      </w:r>
      <w:r w:rsidRPr="00C205CD">
        <w:rPr>
          <w:b/>
          <w:bCs/>
        </w:rPr>
        <w:t>The cost of contracting out or paying outside parties for information collection activities should not be included here</w:t>
      </w:r>
      <w:r w:rsidRPr="00C205CD" w:rsidR="00AA29DA">
        <w:rPr>
          <w:b/>
          <w:bCs/>
        </w:rPr>
        <w:t xml:space="preserve">. </w:t>
      </w:r>
      <w:r w:rsidRPr="00C205CD">
        <w:rPr>
          <w:b/>
          <w:bCs/>
        </w:rPr>
        <w:t>Instead, this cost should be included in Item 13.</w:t>
      </w:r>
      <w:r w:rsidRPr="00C205CD">
        <w:rPr>
          <w:b/>
          <w:bCs/>
          <w:color w:val="000000"/>
        </w:rPr>
        <w:t xml:space="preserve"> </w:t>
      </w:r>
    </w:p>
    <w:p w:rsidR="00B13FC9" w:rsidRPr="00C205CD" w:rsidP="00B6448B" w14:paraId="2FC17F8B" w14:textId="77777777">
      <w:pPr>
        <w:pStyle w:val="Level1"/>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F6B82" w:rsidRPr="00C205CD" w:rsidP="00EF6B82" w14:paraId="0A4F7224" w14:textId="77777777">
      <w:pPr>
        <w:widowControl/>
        <w:rPr>
          <w:b/>
          <w:smallCaps/>
        </w:rPr>
      </w:pPr>
    </w:p>
    <w:p w:rsidR="00EF6B82" w:rsidP="00EF6B82" w14:paraId="12659E1A" w14:textId="77777777">
      <w:pPr>
        <w:widowControl/>
        <w:rPr>
          <w:b/>
          <w:smallCaps/>
        </w:rPr>
      </w:pPr>
      <w:r w:rsidRPr="00C205CD">
        <w:rPr>
          <w:b/>
          <w:smallCaps/>
        </w:rPr>
        <w:t xml:space="preserve">Respondent Burden Hour and Cost Burden </w:t>
      </w:r>
      <w:r w:rsidRPr="00C205CD">
        <w:rPr>
          <w:b/>
          <w:smallCaps/>
        </w:rPr>
        <w:t>Determinations</w:t>
      </w:r>
    </w:p>
    <w:p w:rsidR="00E23A25" w:rsidP="00EF6B82" w14:paraId="700AF6BF" w14:textId="77777777">
      <w:pPr>
        <w:widowControl/>
        <w:rPr>
          <w:b/>
          <w:smallCaps/>
        </w:rPr>
      </w:pPr>
    </w:p>
    <w:p w:rsidR="001B3CEE" w:rsidRPr="00D50F20" w:rsidP="001B3CEE" w14:paraId="527F944A" w14:textId="7694DF54">
      <w:pPr>
        <w:pStyle w:val="CommentText"/>
        <w:rPr>
          <w:sz w:val="24"/>
          <w:szCs w:val="24"/>
        </w:rPr>
      </w:pPr>
      <w:r w:rsidRPr="001B3CEE">
        <w:rPr>
          <w:sz w:val="24"/>
          <w:szCs w:val="24"/>
        </w:rPr>
        <w:t>OSHA’s requirement for information collection is largely inseparable from the normal business practice of information collection associated with this type of professional service. Similar information would be collected by the State if the service was provided without a Federal grant. Further, private sector concerns (e.g., insurance companies, private consultants, in-house safety and health staff) providing professional occupational safety and health services routinely collect and report similar information.</w:t>
      </w:r>
      <w:r w:rsidRPr="001B3CEE">
        <w:rPr>
          <w:sz w:val="24"/>
          <w:szCs w:val="24"/>
        </w:rPr>
        <w:t xml:space="preserve"> </w:t>
      </w:r>
      <w:r w:rsidRPr="001B3CEE">
        <w:rPr>
          <w:sz w:val="24"/>
          <w:szCs w:val="24"/>
        </w:rPr>
        <w:t>The agency</w:t>
      </w:r>
      <w:r w:rsidRPr="001B3CEE">
        <w:rPr>
          <w:sz w:val="24"/>
          <w:szCs w:val="24"/>
        </w:rPr>
        <w:t xml:space="preserve"> estimates that total </w:t>
      </w:r>
      <w:r w:rsidRPr="001B3CEE">
        <w:rPr>
          <w:sz w:val="24"/>
          <w:szCs w:val="24"/>
        </w:rPr>
        <w:t xml:space="preserve">number </w:t>
      </w:r>
      <w:r w:rsidRPr="001B3CEE">
        <w:rPr>
          <w:sz w:val="24"/>
          <w:szCs w:val="24"/>
        </w:rPr>
        <w:t xml:space="preserve">of </w:t>
      </w:r>
      <w:r w:rsidRPr="001B3CEE">
        <w:rPr>
          <w:sz w:val="24"/>
          <w:szCs w:val="24"/>
        </w:rPr>
        <w:t>respondents affected by this burden is 23,166</w:t>
      </w:r>
      <w:r w:rsidRPr="001B3CEE">
        <w:rPr>
          <w:sz w:val="24"/>
          <w:szCs w:val="24"/>
        </w:rPr>
        <w:t>.</w:t>
      </w:r>
    </w:p>
    <w:p w:rsidR="001B3CEE" w:rsidRPr="00266C72" w:rsidP="001B3CEE" w14:paraId="0368C702" w14:textId="77777777">
      <w:pPr>
        <w:pStyle w:val="CommentText"/>
        <w:rPr>
          <w:sz w:val="24"/>
          <w:szCs w:val="24"/>
        </w:rPr>
      </w:pPr>
    </w:p>
    <w:p w:rsidR="001B3CEE" w:rsidRPr="001B3CEE" w:rsidP="001B3CEE" w14:paraId="65A74F52" w14:textId="2322498C">
      <w:pPr>
        <w:pStyle w:val="BodyTextFirstIndent"/>
        <w:ind w:firstLine="0"/>
        <w:rPr>
          <w:i/>
          <w:iCs/>
        </w:rPr>
      </w:pPr>
      <w:r>
        <w:rPr>
          <w:lang w:val="x-none"/>
        </w:rPr>
        <w:t xml:space="preserve">For the sole purpose of calculating burden hours and costs under the Paperwork Reduction Act, this </w:t>
      </w:r>
      <w:r>
        <w:t>S</w:t>
      </w:r>
      <w:r>
        <w:rPr>
          <w:lang w:val="x-none"/>
        </w:rPr>
        <w:t xml:space="preserve">upporting </w:t>
      </w:r>
      <w:r>
        <w:t>S</w:t>
      </w:r>
      <w:r>
        <w:rPr>
          <w:lang w:val="x-none"/>
        </w:rPr>
        <w:t xml:space="preserve">tatement has rounded </w:t>
      </w:r>
      <w:r>
        <w:t xml:space="preserve">the totals found in </w:t>
      </w:r>
      <w:r w:rsidRPr="00C36D5A">
        <w:t xml:space="preserve">Tables </w:t>
      </w:r>
      <w:r w:rsidR="004D5A73">
        <w:t>3</w:t>
      </w:r>
      <w:r w:rsidRPr="00C36D5A">
        <w:t xml:space="preserve">, the </w:t>
      </w:r>
      <w:r w:rsidRPr="001B3CEE">
        <w:rPr>
          <w:i/>
          <w:iCs/>
        </w:rPr>
        <w:t>Summary of the Total Annualized Estimated Respondent Burden Hours and Cost</w:t>
      </w:r>
      <w:r w:rsidRPr="001B3CEE">
        <w:rPr>
          <w:i/>
          <w:iCs/>
        </w:rPr>
        <w:t>.</w:t>
      </w:r>
    </w:p>
    <w:p w:rsidR="00B13FC9" w:rsidRPr="00C205CD" w:rsidP="00B13FC9" w14:paraId="5AE48A43"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color w:val="000000"/>
          <w:sz w:val="20"/>
          <w:szCs w:val="20"/>
        </w:rPr>
      </w:pPr>
    </w:p>
    <w:p w:rsidR="00455BD0" w:rsidRPr="00C205CD" w:rsidP="00455BD0" w14:paraId="1013CE72" w14:textId="556121AA">
      <w:r w:rsidRPr="00C205CD">
        <w:t>Wage Rate Determinations</w:t>
      </w:r>
      <w:r>
        <w:rPr>
          <w:rStyle w:val="FootnoteReference"/>
          <w:vertAlign w:val="superscript"/>
        </w:rPr>
        <w:footnoteReference w:id="8"/>
      </w:r>
    </w:p>
    <w:p w:rsidR="002022B7" w:rsidRPr="00C205CD" w:rsidP="002022B7" w14:paraId="50F40DEB" w14:textId="77777777"/>
    <w:p w:rsidR="002022B7" w:rsidRPr="00C205CD" w:rsidP="002022B7" w14:paraId="1D35E06C" w14:textId="2BA6CDC4">
      <w:pPr>
        <w:widowControl/>
        <w:autoSpaceDE/>
        <w:autoSpaceDN/>
        <w:adjustRightInd/>
        <w:rPr>
          <w:rFonts w:eastAsia="Calibri"/>
        </w:rPr>
      </w:pPr>
      <w:r w:rsidRPr="00C205CD">
        <w:t xml:space="preserve">The </w:t>
      </w:r>
      <w:r w:rsidRPr="00C205CD" w:rsidR="00177AE9">
        <w:t>a</w:t>
      </w:r>
      <w:r w:rsidRPr="00C205CD">
        <w:t>gency determined the wage rate from mean hourly wage earnings to represent the cost of employee time</w:t>
      </w:r>
      <w:r w:rsidRPr="00C205CD" w:rsidR="00AA29DA">
        <w:t xml:space="preserve">. </w:t>
      </w:r>
      <w:r w:rsidRPr="00C205CD">
        <w:t xml:space="preserve">For the relevant standard occupational classification category, OSHA </w:t>
      </w:r>
      <w:r w:rsidRPr="00C205CD">
        <w:rPr>
          <w:rFonts w:eastAsia="Calibri"/>
        </w:rPr>
        <w:t xml:space="preserve">used the wage rates reported in the Bureau of Labor Statistics, U.S. Department of Labor, </w:t>
      </w:r>
      <w:r w:rsidRPr="00C205CD">
        <w:rPr>
          <w:rFonts w:eastAsia="Calibri"/>
          <w:i/>
        </w:rPr>
        <w:t xml:space="preserve">Occupational </w:t>
      </w:r>
      <w:r w:rsidRPr="00C205CD">
        <w:rPr>
          <w:rFonts w:eastAsia="Calibri"/>
          <w:i/>
        </w:rPr>
        <w:t>Employment and Wage Statistics</w:t>
      </w:r>
      <w:r w:rsidRPr="00C205CD" w:rsidR="00F865A0">
        <w:rPr>
          <w:rFonts w:eastAsia="Calibri"/>
          <w:i/>
        </w:rPr>
        <w:t xml:space="preserve"> </w:t>
      </w:r>
      <w:r w:rsidRPr="00C205CD">
        <w:rPr>
          <w:rFonts w:eastAsia="Calibri"/>
        </w:rPr>
        <w:t>(OEWS)</w:t>
      </w:r>
      <w:r w:rsidRPr="00C205CD" w:rsidR="00F865A0">
        <w:rPr>
          <w:rFonts w:eastAsia="Calibri"/>
        </w:rPr>
        <w:t xml:space="preserve"> data</w:t>
      </w:r>
      <w:r w:rsidRPr="00C205CD">
        <w:rPr>
          <w:rFonts w:eastAsia="Calibri"/>
        </w:rPr>
        <w:t xml:space="preserve">, May </w:t>
      </w:r>
      <w:r w:rsidRPr="00C205CD" w:rsidR="002F213C">
        <w:rPr>
          <w:rFonts w:eastAsia="Calibri"/>
        </w:rPr>
        <w:t xml:space="preserve">2023 </w:t>
      </w:r>
      <w:r w:rsidRPr="00C205CD">
        <w:rPr>
          <w:rFonts w:eastAsia="Calibri"/>
        </w:rPr>
        <w:t>[date accessed: May</w:t>
      </w:r>
      <w:r w:rsidRPr="00C205CD" w:rsidR="002F213C">
        <w:rPr>
          <w:rFonts w:eastAsia="Calibri"/>
        </w:rPr>
        <w:t xml:space="preserve"> 21</w:t>
      </w:r>
      <w:r w:rsidRPr="00C205CD">
        <w:rPr>
          <w:rFonts w:eastAsia="Calibri"/>
        </w:rPr>
        <w:t xml:space="preserve">, </w:t>
      </w:r>
      <w:r w:rsidRPr="00C205CD" w:rsidR="002F213C">
        <w:rPr>
          <w:rFonts w:eastAsia="Calibri"/>
        </w:rPr>
        <w:t>2024</w:t>
      </w:r>
      <w:r w:rsidRPr="00C205CD">
        <w:rPr>
          <w:rFonts w:eastAsia="Calibri"/>
        </w:rPr>
        <w:t>)]</w:t>
      </w:r>
      <w:r w:rsidRPr="00C205CD" w:rsidR="00AA29DA">
        <w:rPr>
          <w:rFonts w:eastAsia="Calibri"/>
        </w:rPr>
        <w:t xml:space="preserve">. </w:t>
      </w:r>
      <w:r w:rsidRPr="00C205CD">
        <w:t>(OE</w:t>
      </w:r>
      <w:r w:rsidR="004B2409">
        <w:t>W</w:t>
      </w:r>
      <w:r w:rsidRPr="00C205CD">
        <w:t xml:space="preserve">S data is available at: </w:t>
      </w:r>
      <w:hyperlink r:id="rId11" w:history="1">
        <w:r w:rsidRPr="00C205CD">
          <w:rPr>
            <w:color w:val="0000FF"/>
            <w:u w:val="single"/>
          </w:rPr>
          <w:t>https://www.bls.gov/oes/tables.htm</w:t>
        </w:r>
      </w:hyperlink>
      <w:r w:rsidRPr="00C205CD">
        <w:rPr>
          <w:rFonts w:eastAsia="Calibri"/>
          <w:color w:val="1F497D"/>
        </w:rPr>
        <w:t xml:space="preserve">). </w:t>
      </w:r>
      <w:r w:rsidRPr="00C205CD">
        <w:rPr>
          <w:rFonts w:eastAsia="Calibri"/>
        </w:rPr>
        <w:t>To access these wage rates, select the year, “National,” and the Standard Occupational Classification (SOC) code.)</w:t>
      </w:r>
    </w:p>
    <w:p w:rsidR="002022B7" w:rsidRPr="00C205CD" w:rsidP="002022B7" w14:paraId="77A52294" w14:textId="77777777">
      <w:pPr>
        <w:rPr>
          <w:color w:val="1F497D"/>
        </w:rPr>
      </w:pPr>
    </w:p>
    <w:p w:rsidR="002022B7" w:rsidRPr="00C205CD" w:rsidP="0036697D" w14:paraId="3DC5E128" w14:textId="5948DF66">
      <w:pPr>
        <w:widowControl/>
      </w:pPr>
      <w:r w:rsidRPr="00C205CD">
        <w:rPr>
          <w:color w:val="000000" w:themeColor="text1"/>
        </w:rPr>
        <w:t xml:space="preserve">To derive the loaded hourly wage rate presented in the </w:t>
      </w:r>
      <w:r w:rsidRPr="00C205CD" w:rsidR="00107333">
        <w:rPr>
          <w:color w:val="000000" w:themeColor="text1"/>
        </w:rPr>
        <w:t xml:space="preserve">“Wage Hour Estimates” </w:t>
      </w:r>
      <w:r w:rsidRPr="00C205CD">
        <w:rPr>
          <w:color w:val="000000" w:themeColor="text1"/>
        </w:rPr>
        <w:t>table below, the agency used data from the Bureau of Labor Statistics’ (BLS) OE</w:t>
      </w:r>
      <w:r w:rsidRPr="00C205CD" w:rsidR="00750D2D">
        <w:rPr>
          <w:color w:val="000000" w:themeColor="text1"/>
        </w:rPr>
        <w:t>W</w:t>
      </w:r>
      <w:r w:rsidRPr="00C205CD">
        <w:rPr>
          <w:color w:val="000000" w:themeColor="text1"/>
        </w:rPr>
        <w:t>S, as described in the paragraph above</w:t>
      </w:r>
      <w:r w:rsidRPr="00C205CD" w:rsidR="00AA29DA">
        <w:rPr>
          <w:color w:val="000000" w:themeColor="text1"/>
        </w:rPr>
        <w:t xml:space="preserve">. </w:t>
      </w:r>
      <w:r w:rsidRPr="00C205CD">
        <w:rPr>
          <w:color w:val="000000" w:themeColor="text1"/>
        </w:rPr>
        <w:t xml:space="preserve">Then, the agency applied to the wage rates a fringe benefit markup based on data found in Table </w:t>
      </w:r>
      <w:r>
        <w:rPr>
          <w:color w:val="000000" w:themeColor="text1"/>
        </w:rPr>
        <w:t>2</w:t>
      </w:r>
      <w:r w:rsidRPr="00C205CD">
        <w:rPr>
          <w:color w:val="000000" w:themeColor="text1"/>
        </w:rPr>
        <w:t xml:space="preserve"> of the following BLS release: </w:t>
      </w:r>
      <w:r w:rsidRPr="00C205CD">
        <w:rPr>
          <w:i/>
          <w:iCs/>
          <w:color w:val="000000" w:themeColor="text1"/>
        </w:rPr>
        <w:t>Employer Costs for Employee Compensation</w:t>
      </w:r>
      <w:r w:rsidRPr="00C205CD" w:rsidR="60AECDAC">
        <w:rPr>
          <w:i/>
          <w:iCs/>
          <w:color w:val="000000" w:themeColor="text1"/>
        </w:rPr>
        <w:t>,</w:t>
      </w:r>
      <w:r w:rsidRPr="00C205CD">
        <w:rPr>
          <w:i/>
          <w:iCs/>
          <w:color w:val="000000" w:themeColor="text1"/>
        </w:rPr>
        <w:t xml:space="preserve"> </w:t>
      </w:r>
      <w:r w:rsidRPr="00C205CD">
        <w:rPr>
          <w:color w:val="000000" w:themeColor="text1"/>
        </w:rPr>
        <w:t xml:space="preserve">news release text, released 10:00 AM (EDT), </w:t>
      </w:r>
      <w:r w:rsidRPr="00C205CD" w:rsidR="4383309A">
        <w:rPr>
          <w:color w:val="000000" w:themeColor="text1"/>
        </w:rPr>
        <w:t xml:space="preserve">March </w:t>
      </w:r>
      <w:r w:rsidRPr="00C205CD" w:rsidR="005F6D68">
        <w:rPr>
          <w:color w:val="000000" w:themeColor="text1"/>
        </w:rPr>
        <w:t>2024</w:t>
      </w:r>
      <w:r w:rsidRPr="00C205CD" w:rsidR="4383309A">
        <w:rPr>
          <w:color w:val="000000" w:themeColor="text1"/>
        </w:rPr>
        <w:t xml:space="preserve"> </w:t>
      </w:r>
      <w:r w:rsidRPr="00C205CD" w:rsidR="00FE5DAF">
        <w:rPr>
          <w:color w:val="000000" w:themeColor="text1"/>
        </w:rPr>
        <w:t>(</w:t>
      </w:r>
      <w:hyperlink r:id="rId12" w:history="1">
        <w:r w:rsidRPr="00C205CD" w:rsidR="00FE5DAF">
          <w:rPr>
            <w:rStyle w:val="Hyperlink"/>
          </w:rPr>
          <w:t>Table 2. Civilian workers by occupational and industry group - 2024 Q01 Results (bls.gov)</w:t>
        </w:r>
      </w:hyperlink>
      <w:r w:rsidRPr="00C205CD" w:rsidR="00FE5DAF">
        <w:rPr>
          <w:color w:val="000000" w:themeColor="text1"/>
        </w:rPr>
        <w:t xml:space="preserve"> </w:t>
      </w:r>
      <w:r w:rsidRPr="00C205CD">
        <w:rPr>
          <w:color w:val="000000" w:themeColor="text1"/>
        </w:rPr>
        <w:t>(BLS reported that for civilian workers, fringe benefits accounted for 31.</w:t>
      </w:r>
      <w:r w:rsidRPr="00C205CD" w:rsidR="006C519C">
        <w:rPr>
          <w:color w:val="000000" w:themeColor="text1"/>
        </w:rPr>
        <w:t>2</w:t>
      </w:r>
      <w:r w:rsidRPr="00C205CD">
        <w:rPr>
          <w:color w:val="000000" w:themeColor="text1"/>
        </w:rPr>
        <w:t xml:space="preserve"> percent of total compensation and wages accounted for the remaining 68.</w:t>
      </w:r>
      <w:r w:rsidRPr="00C205CD" w:rsidR="001C456C">
        <w:rPr>
          <w:color w:val="000000" w:themeColor="text1"/>
        </w:rPr>
        <w:t>8</w:t>
      </w:r>
      <w:r w:rsidRPr="00C205CD">
        <w:rPr>
          <w:color w:val="000000" w:themeColor="text1"/>
        </w:rPr>
        <w:t xml:space="preserve"> percent</w:t>
      </w:r>
      <w:r w:rsidRPr="00C205CD" w:rsidR="00AA29DA">
        <w:rPr>
          <w:color w:val="000000" w:themeColor="text1"/>
        </w:rPr>
        <w:t xml:space="preserve">. </w:t>
      </w:r>
      <w:r w:rsidRPr="00C205CD" w:rsidR="60AECDAC">
        <w:rPr>
          <w:color w:val="000000" w:themeColor="text1"/>
        </w:rPr>
        <w:t xml:space="preserve">In addition, </w:t>
      </w:r>
      <w:r w:rsidRPr="00C205CD" w:rsidR="4383309A">
        <w:rPr>
          <w:color w:val="000000" w:themeColor="text1"/>
        </w:rPr>
        <w:t>Table 3 of the same news release indicates that for state and local government workers, fringe benefits accounted for 38.1 percent of total compensation and wages accounted for the remaining 61.9 percent</w:t>
      </w:r>
      <w:r w:rsidRPr="00C205CD" w:rsidR="00DB3C36">
        <w:rPr>
          <w:color w:val="000000" w:themeColor="text1"/>
        </w:rPr>
        <w:t xml:space="preserve"> (</w:t>
      </w:r>
      <w:hyperlink r:id="rId13" w:history="1">
        <w:r w:rsidRPr="00C205CD" w:rsidR="00DB3C36">
          <w:rPr>
            <w:rStyle w:val="Hyperlink"/>
          </w:rPr>
          <w:t>Table 3. State and local government workers by occupational and industry group - 2024 Q01 Results (bls.gov)</w:t>
        </w:r>
      </w:hyperlink>
      <w:r w:rsidRPr="00C205CD" w:rsidR="00DB3C36">
        <w:t>)</w:t>
      </w:r>
      <w:r w:rsidRPr="00C205CD" w:rsidR="4383309A">
        <w:rPr>
          <w:color w:val="000000" w:themeColor="text1"/>
        </w:rPr>
        <w:t>.</w:t>
      </w:r>
      <w:r w:rsidRPr="00C205CD">
        <w:rPr>
          <w:color w:val="000000" w:themeColor="text1"/>
        </w:rPr>
        <w:t xml:space="preserve"> To calculate the loaded hourly wage for each occupation, the agency divided the mean hourly wage rate by 1 minus the fringe benefits. </w:t>
      </w:r>
    </w:p>
    <w:p w:rsidR="001946D3" w:rsidRPr="00C205CD" w14:paraId="3DD355C9" w14:textId="3CE77F17"/>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55"/>
      </w:tblGrid>
      <w:tr w14:paraId="3F00AE9F" w14:textId="77777777" w:rsidTr="008068FD">
        <w:tblPrEx>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9990" w:type="dxa"/>
            <w:tcBorders>
              <w:top w:val="nil"/>
              <w:left w:val="nil"/>
              <w:bottom w:val="single" w:sz="4" w:space="0" w:color="auto"/>
              <w:right w:val="nil"/>
            </w:tcBorders>
          </w:tcPr>
          <w:p w:rsidR="00455BD0" w:rsidRPr="00C205CD" w:rsidP="006B7C45" w14:paraId="1A81F0B1" w14:textId="77777777">
            <w:pPr>
              <w:widowControl/>
              <w:tabs>
                <w:tab w:val="left" w:pos="-1440"/>
              </w:tabs>
              <w:jc w:val="center"/>
              <w:rPr>
                <w:b/>
                <w:szCs w:val="22"/>
              </w:rPr>
            </w:pPr>
          </w:p>
          <w:tbl>
            <w:tblPr>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0"/>
              <w:gridCol w:w="1577"/>
              <w:gridCol w:w="1449"/>
              <w:gridCol w:w="1043"/>
              <w:gridCol w:w="2200"/>
            </w:tblGrid>
            <w:tr w14:paraId="18B510CF" w14:textId="77777777" w:rsidTr="00572C1D">
              <w:tblPrEx>
                <w:tblW w:w="10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0329" w:type="dxa"/>
                  <w:gridSpan w:val="5"/>
                  <w:shd w:val="clear" w:color="auto" w:fill="C5E0B3"/>
                </w:tcPr>
                <w:p w:rsidR="00455BD0" w:rsidRPr="00C205CD" w:rsidP="00EF6B82" w14:paraId="1ADCF319" w14:textId="28D61D46">
                  <w:pPr>
                    <w:widowControl/>
                    <w:tabs>
                      <w:tab w:val="left" w:pos="-1440"/>
                    </w:tabs>
                    <w:jc w:val="center"/>
                  </w:pPr>
                  <w:r w:rsidRPr="00C205CD">
                    <w:rPr>
                      <w:b/>
                    </w:rPr>
                    <w:t>Table 1 – WAGE HOUR ESTIMATES</w:t>
                  </w:r>
                  <w:r w:rsidRPr="00C205CD" w:rsidR="002022B7">
                    <w:rPr>
                      <w:b/>
                    </w:rPr>
                    <w:t xml:space="preserve"> </w:t>
                  </w:r>
                </w:p>
              </w:tc>
            </w:tr>
            <w:tr w14:paraId="0BC379F2" w14:textId="77777777" w:rsidTr="00572C1D">
              <w:tblPrEx>
                <w:tblW w:w="10329" w:type="dxa"/>
                <w:tblLook w:val="04A0"/>
              </w:tblPrEx>
              <w:trPr>
                <w:tblHeader/>
              </w:trPr>
              <w:tc>
                <w:tcPr>
                  <w:tcW w:w="4060" w:type="dxa"/>
                  <w:shd w:val="clear" w:color="auto" w:fill="E2EFD9"/>
                  <w:vAlign w:val="center"/>
                </w:tcPr>
                <w:p w:rsidR="00455BD0" w:rsidRPr="00C205CD" w:rsidP="008068FD" w14:paraId="01428458" w14:textId="77777777">
                  <w:pPr>
                    <w:widowControl/>
                    <w:tabs>
                      <w:tab w:val="left" w:pos="-1440"/>
                    </w:tabs>
                    <w:rPr>
                      <w:b/>
                    </w:rPr>
                  </w:pPr>
                  <w:r w:rsidRPr="00C205CD">
                    <w:rPr>
                      <w:b/>
                    </w:rPr>
                    <w:t>Occupational Title</w:t>
                  </w:r>
                </w:p>
              </w:tc>
              <w:tc>
                <w:tcPr>
                  <w:tcW w:w="1577" w:type="dxa"/>
                  <w:shd w:val="clear" w:color="auto" w:fill="E2EFD9"/>
                  <w:vAlign w:val="center"/>
                </w:tcPr>
                <w:p w:rsidR="00455BD0" w:rsidRPr="00C205CD" w:rsidP="005739A7" w14:paraId="357E83BB" w14:textId="5CDB923C">
                  <w:pPr>
                    <w:widowControl/>
                    <w:tabs>
                      <w:tab w:val="left" w:pos="-1440"/>
                    </w:tabs>
                    <w:jc w:val="center"/>
                    <w:rPr>
                      <w:b/>
                    </w:rPr>
                  </w:pPr>
                  <w:r w:rsidRPr="00C205CD">
                    <w:rPr>
                      <w:b/>
                    </w:rPr>
                    <w:t xml:space="preserve"> SO</w:t>
                  </w:r>
                  <w:r w:rsidRPr="00C205CD" w:rsidR="00BC04F3">
                    <w:rPr>
                      <w:b/>
                    </w:rPr>
                    <w:t>C</w:t>
                  </w:r>
                  <w:r w:rsidRPr="00C205CD">
                    <w:rPr>
                      <w:b/>
                    </w:rPr>
                    <w:t xml:space="preserve"> Code</w:t>
                  </w:r>
                </w:p>
              </w:tc>
              <w:tc>
                <w:tcPr>
                  <w:tcW w:w="1449" w:type="dxa"/>
                  <w:shd w:val="clear" w:color="auto" w:fill="E2EFD9"/>
                  <w:vAlign w:val="center"/>
                </w:tcPr>
                <w:p w:rsidR="00455BD0" w:rsidRPr="00C205CD" w:rsidP="005739A7" w14:paraId="702DC89A" w14:textId="75C7DCDF">
                  <w:pPr>
                    <w:widowControl/>
                    <w:tabs>
                      <w:tab w:val="left" w:pos="-1440"/>
                    </w:tabs>
                    <w:jc w:val="center"/>
                    <w:rPr>
                      <w:b/>
                    </w:rPr>
                  </w:pPr>
                  <w:r w:rsidRPr="00C205CD">
                    <w:rPr>
                      <w:b/>
                    </w:rPr>
                    <w:t>Mean Hour</w:t>
                  </w:r>
                  <w:r w:rsidRPr="00C205CD" w:rsidR="005739A7">
                    <w:rPr>
                      <w:b/>
                    </w:rPr>
                    <w:t>ly</w:t>
                  </w:r>
                  <w:r w:rsidRPr="00C205CD">
                    <w:rPr>
                      <w:b/>
                    </w:rPr>
                    <w:t xml:space="preserve"> Wage Rate</w:t>
                  </w:r>
                </w:p>
                <w:p w:rsidR="00455BD0" w:rsidRPr="00C205CD" w:rsidP="005739A7" w14:paraId="58803070" w14:textId="77777777">
                  <w:pPr>
                    <w:widowControl/>
                    <w:tabs>
                      <w:tab w:val="left" w:pos="-1440"/>
                    </w:tabs>
                    <w:jc w:val="center"/>
                    <w:rPr>
                      <w:b/>
                    </w:rPr>
                  </w:pPr>
                  <w:r w:rsidRPr="00C205CD">
                    <w:rPr>
                      <w:b/>
                    </w:rPr>
                    <w:t>(A)</w:t>
                  </w:r>
                </w:p>
                <w:p w:rsidR="00A4681B" w:rsidRPr="00C205CD" w:rsidP="005739A7" w14:paraId="717AAFBA" w14:textId="77777777">
                  <w:pPr>
                    <w:widowControl/>
                    <w:tabs>
                      <w:tab w:val="left" w:pos="-1440"/>
                    </w:tabs>
                    <w:jc w:val="center"/>
                    <w:rPr>
                      <w:b/>
                    </w:rPr>
                  </w:pPr>
                </w:p>
              </w:tc>
              <w:tc>
                <w:tcPr>
                  <w:tcW w:w="1043" w:type="dxa"/>
                  <w:shd w:val="clear" w:color="auto" w:fill="E2EFD9"/>
                  <w:vAlign w:val="center"/>
                </w:tcPr>
                <w:p w:rsidR="00455BD0" w:rsidRPr="00C205CD" w:rsidP="005739A7" w14:paraId="126D19E4" w14:textId="77777777">
                  <w:pPr>
                    <w:widowControl/>
                    <w:tabs>
                      <w:tab w:val="left" w:pos="-1440"/>
                    </w:tabs>
                    <w:jc w:val="center"/>
                    <w:rPr>
                      <w:b/>
                    </w:rPr>
                  </w:pPr>
                  <w:r w:rsidRPr="00C205CD">
                    <w:rPr>
                      <w:b/>
                    </w:rPr>
                    <w:t>Fringe Benefits (B)</w:t>
                  </w:r>
                </w:p>
              </w:tc>
              <w:tc>
                <w:tcPr>
                  <w:tcW w:w="2200" w:type="dxa"/>
                  <w:shd w:val="clear" w:color="auto" w:fill="E2EFD9"/>
                  <w:vAlign w:val="center"/>
                </w:tcPr>
                <w:p w:rsidR="00455BD0" w:rsidRPr="00C205CD" w:rsidP="005739A7" w14:paraId="48B7F318" w14:textId="1B97C0AE">
                  <w:pPr>
                    <w:widowControl/>
                    <w:tabs>
                      <w:tab w:val="left" w:pos="-1440"/>
                    </w:tabs>
                    <w:jc w:val="center"/>
                    <w:rPr>
                      <w:b/>
                    </w:rPr>
                  </w:pPr>
                  <w:r w:rsidRPr="00C205CD">
                    <w:rPr>
                      <w:b/>
                    </w:rPr>
                    <w:t>Loaded Hourly Wage Rate</w:t>
                  </w:r>
                </w:p>
                <w:p w:rsidR="00455BD0" w:rsidRPr="00C205CD" w:rsidP="005739A7" w14:paraId="53B9E95E" w14:textId="77777777">
                  <w:pPr>
                    <w:widowControl/>
                    <w:tabs>
                      <w:tab w:val="left" w:pos="-1440"/>
                    </w:tabs>
                    <w:jc w:val="center"/>
                    <w:rPr>
                      <w:b/>
                    </w:rPr>
                  </w:pPr>
                  <w:r w:rsidRPr="00C205CD">
                    <w:rPr>
                      <w:b/>
                    </w:rPr>
                    <w:t>(C) = (A)/((1-(B))</w:t>
                  </w:r>
                </w:p>
              </w:tc>
            </w:tr>
            <w:tr w14:paraId="7E8D3425" w14:textId="77777777" w:rsidTr="008068FD">
              <w:tblPrEx>
                <w:tblW w:w="10329" w:type="dxa"/>
                <w:tblLook w:val="04A0"/>
              </w:tblPrEx>
              <w:tc>
                <w:tcPr>
                  <w:tcW w:w="4060" w:type="dxa"/>
                  <w:shd w:val="clear" w:color="auto" w:fill="auto"/>
                </w:tcPr>
                <w:p w:rsidR="00455BD0" w:rsidRPr="00C205CD" w:rsidP="006B7C45" w14:paraId="71B96779" w14:textId="77777777">
                  <w:pPr>
                    <w:widowControl/>
                    <w:tabs>
                      <w:tab w:val="left" w:pos="-1440"/>
                    </w:tabs>
                  </w:pPr>
                  <w:r w:rsidRPr="00C205CD">
                    <w:t xml:space="preserve">“Administrative Services </w:t>
                  </w:r>
                  <w:r w:rsidRPr="00C205CD" w:rsidR="002022B7">
                    <w:t xml:space="preserve">and Facilities </w:t>
                  </w:r>
                  <w:r w:rsidRPr="00C205CD">
                    <w:t>Manager</w:t>
                  </w:r>
                  <w:r w:rsidRPr="00C205CD" w:rsidR="002022B7">
                    <w:t>s</w:t>
                  </w:r>
                  <w:r w:rsidRPr="00C205CD">
                    <w:t>” (Program Manager)</w:t>
                  </w:r>
                </w:p>
              </w:tc>
              <w:tc>
                <w:tcPr>
                  <w:tcW w:w="1577" w:type="dxa"/>
                  <w:shd w:val="clear" w:color="auto" w:fill="auto"/>
                  <w:vAlign w:val="center"/>
                </w:tcPr>
                <w:p w:rsidR="00455BD0" w:rsidRPr="00C205CD" w:rsidP="008068FD" w14:paraId="366C31D1" w14:textId="77777777">
                  <w:pPr>
                    <w:widowControl/>
                    <w:tabs>
                      <w:tab w:val="left" w:pos="-1440"/>
                    </w:tabs>
                    <w:jc w:val="center"/>
                  </w:pPr>
                  <w:r w:rsidRPr="00C205CD">
                    <w:t>11-301</w:t>
                  </w:r>
                  <w:r w:rsidRPr="00C205CD" w:rsidR="002022B7">
                    <w:t>0</w:t>
                  </w:r>
                </w:p>
              </w:tc>
              <w:tc>
                <w:tcPr>
                  <w:tcW w:w="1449" w:type="dxa"/>
                  <w:shd w:val="clear" w:color="auto" w:fill="auto"/>
                  <w:vAlign w:val="center"/>
                </w:tcPr>
                <w:p w:rsidR="00455BD0" w:rsidRPr="00C205CD" w:rsidP="008068FD" w14:paraId="5509732D" w14:textId="6CE2959C">
                  <w:pPr>
                    <w:widowControl/>
                    <w:tabs>
                      <w:tab w:val="left" w:pos="-1440"/>
                    </w:tabs>
                    <w:jc w:val="center"/>
                  </w:pPr>
                  <w:r w:rsidRPr="00C205CD">
                    <w:t>$</w:t>
                  </w:r>
                  <w:r w:rsidRPr="00C205CD" w:rsidR="009A537C">
                    <w:t>56.56</w:t>
                  </w:r>
                </w:p>
              </w:tc>
              <w:tc>
                <w:tcPr>
                  <w:tcW w:w="1043" w:type="dxa"/>
                  <w:shd w:val="clear" w:color="auto" w:fill="auto"/>
                  <w:vAlign w:val="center"/>
                </w:tcPr>
                <w:p w:rsidR="00455BD0" w:rsidRPr="00C205CD" w:rsidP="008068FD" w14:paraId="21FD8F04" w14:textId="1C9051AD">
                  <w:pPr>
                    <w:widowControl/>
                    <w:tabs>
                      <w:tab w:val="left" w:pos="-1440"/>
                    </w:tabs>
                    <w:jc w:val="center"/>
                  </w:pPr>
                  <w:r w:rsidRPr="00C205CD">
                    <w:t>0.3</w:t>
                  </w:r>
                  <w:r w:rsidRPr="00C205CD" w:rsidR="001C034C">
                    <w:t>8</w:t>
                  </w:r>
                  <w:r w:rsidRPr="00C205CD">
                    <w:t>1</w:t>
                  </w:r>
                </w:p>
              </w:tc>
              <w:tc>
                <w:tcPr>
                  <w:tcW w:w="2200" w:type="dxa"/>
                  <w:shd w:val="clear" w:color="auto" w:fill="auto"/>
                  <w:vAlign w:val="center"/>
                </w:tcPr>
                <w:p w:rsidR="00455BD0" w:rsidRPr="00C205CD" w:rsidP="008068FD" w14:paraId="3BA2828B" w14:textId="3616626A">
                  <w:pPr>
                    <w:widowControl/>
                    <w:tabs>
                      <w:tab w:val="left" w:pos="-1440"/>
                    </w:tabs>
                    <w:jc w:val="center"/>
                  </w:pPr>
                  <w:r w:rsidRPr="00C205CD">
                    <w:t>$</w:t>
                  </w:r>
                  <w:r w:rsidRPr="00C205CD" w:rsidR="00036082">
                    <w:t>91.37</w:t>
                  </w:r>
                </w:p>
              </w:tc>
            </w:tr>
            <w:tr w14:paraId="0D595E95" w14:textId="77777777" w:rsidTr="008068FD">
              <w:tblPrEx>
                <w:tblW w:w="10329" w:type="dxa"/>
                <w:tblLook w:val="04A0"/>
              </w:tblPrEx>
              <w:tc>
                <w:tcPr>
                  <w:tcW w:w="4060" w:type="dxa"/>
                  <w:shd w:val="clear" w:color="auto" w:fill="auto"/>
                </w:tcPr>
                <w:p w:rsidR="00455BD0" w:rsidRPr="00C205CD" w:rsidP="00214892" w14:paraId="5146A708" w14:textId="77777777">
                  <w:pPr>
                    <w:widowControl/>
                    <w:tabs>
                      <w:tab w:val="left" w:pos="-1440"/>
                    </w:tabs>
                  </w:pPr>
                  <w:r w:rsidRPr="00C205CD">
                    <w:t>“</w:t>
                  </w:r>
                  <w:r w:rsidRPr="00C205CD" w:rsidR="00214892">
                    <w:t>Occupational Health and Safety Specialist</w:t>
                  </w:r>
                  <w:r w:rsidRPr="00C205CD">
                    <w:t xml:space="preserve">” </w:t>
                  </w:r>
                  <w:r w:rsidRPr="00C205CD">
                    <w:t>(Consultant)</w:t>
                  </w:r>
                </w:p>
              </w:tc>
              <w:tc>
                <w:tcPr>
                  <w:tcW w:w="1577" w:type="dxa"/>
                  <w:shd w:val="clear" w:color="auto" w:fill="auto"/>
                  <w:vAlign w:val="center"/>
                </w:tcPr>
                <w:p w:rsidR="00455BD0" w:rsidRPr="00C205CD" w:rsidP="008068FD" w14:paraId="113990DD" w14:textId="77777777">
                  <w:pPr>
                    <w:widowControl/>
                    <w:tabs>
                      <w:tab w:val="left" w:pos="-1440"/>
                    </w:tabs>
                    <w:jc w:val="center"/>
                  </w:pPr>
                  <w:r w:rsidRPr="00C205CD">
                    <w:t>19-5011</w:t>
                  </w:r>
                </w:p>
              </w:tc>
              <w:tc>
                <w:tcPr>
                  <w:tcW w:w="1449" w:type="dxa"/>
                  <w:shd w:val="clear" w:color="auto" w:fill="auto"/>
                  <w:vAlign w:val="center"/>
                </w:tcPr>
                <w:p w:rsidR="00455BD0" w:rsidRPr="00C205CD" w:rsidP="008068FD" w14:paraId="5CB3EAC5" w14:textId="3BA9156D">
                  <w:pPr>
                    <w:widowControl/>
                    <w:tabs>
                      <w:tab w:val="left" w:pos="-1440"/>
                    </w:tabs>
                    <w:jc w:val="center"/>
                  </w:pPr>
                  <w:r w:rsidRPr="00C205CD">
                    <w:t>$</w:t>
                  </w:r>
                  <w:r w:rsidRPr="00C205CD" w:rsidR="009A537C">
                    <w:t>41.14</w:t>
                  </w:r>
                </w:p>
              </w:tc>
              <w:tc>
                <w:tcPr>
                  <w:tcW w:w="1043" w:type="dxa"/>
                  <w:shd w:val="clear" w:color="auto" w:fill="auto"/>
                  <w:vAlign w:val="center"/>
                </w:tcPr>
                <w:p w:rsidR="00455BD0" w:rsidRPr="00C205CD" w:rsidP="008068FD" w14:paraId="0F579750" w14:textId="13CA3D2D">
                  <w:pPr>
                    <w:widowControl/>
                    <w:tabs>
                      <w:tab w:val="left" w:pos="-1440"/>
                    </w:tabs>
                    <w:jc w:val="center"/>
                  </w:pPr>
                  <w:r w:rsidRPr="00C205CD">
                    <w:t>0.3</w:t>
                  </w:r>
                  <w:r w:rsidRPr="00C205CD" w:rsidR="001C034C">
                    <w:t>81</w:t>
                  </w:r>
                </w:p>
              </w:tc>
              <w:tc>
                <w:tcPr>
                  <w:tcW w:w="2200" w:type="dxa"/>
                  <w:shd w:val="clear" w:color="auto" w:fill="auto"/>
                  <w:vAlign w:val="center"/>
                </w:tcPr>
                <w:p w:rsidR="00455BD0" w:rsidRPr="00C205CD" w:rsidP="008068FD" w14:paraId="7E1A59E4" w14:textId="50999175">
                  <w:pPr>
                    <w:widowControl/>
                    <w:tabs>
                      <w:tab w:val="left" w:pos="-1440"/>
                    </w:tabs>
                    <w:jc w:val="center"/>
                  </w:pPr>
                  <w:r w:rsidRPr="00C205CD">
                    <w:t>$</w:t>
                  </w:r>
                  <w:r w:rsidRPr="00C205CD" w:rsidR="0002741B">
                    <w:t>66.46</w:t>
                  </w:r>
                </w:p>
              </w:tc>
            </w:tr>
            <w:tr w14:paraId="4486F123" w14:textId="77777777" w:rsidTr="00572C1D">
              <w:tblPrEx>
                <w:tblW w:w="10329" w:type="dxa"/>
                <w:tblLook w:val="04A0"/>
              </w:tblPrEx>
              <w:tc>
                <w:tcPr>
                  <w:tcW w:w="4060" w:type="dxa"/>
                  <w:shd w:val="clear" w:color="auto" w:fill="auto"/>
                </w:tcPr>
                <w:p w:rsidR="00455BD0" w:rsidRPr="00C205CD" w:rsidP="006B7C45" w14:paraId="15439860" w14:textId="77777777">
                  <w:pPr>
                    <w:widowControl/>
                    <w:tabs>
                      <w:tab w:val="left" w:pos="-1440"/>
                    </w:tabs>
                  </w:pPr>
                  <w:r w:rsidRPr="00C205CD">
                    <w:t>“Secretaries, Except Legal, Medical, and Executive” (Clerical/Secretary)</w:t>
                  </w:r>
                </w:p>
              </w:tc>
              <w:tc>
                <w:tcPr>
                  <w:tcW w:w="1577" w:type="dxa"/>
                  <w:shd w:val="clear" w:color="auto" w:fill="auto"/>
                  <w:vAlign w:val="center"/>
                </w:tcPr>
                <w:p w:rsidR="00455BD0" w:rsidRPr="00C205CD" w:rsidP="008068FD" w14:paraId="1AAF208D" w14:textId="77777777">
                  <w:pPr>
                    <w:widowControl/>
                    <w:tabs>
                      <w:tab w:val="left" w:pos="-1440"/>
                    </w:tabs>
                    <w:jc w:val="center"/>
                  </w:pPr>
                  <w:r w:rsidRPr="00C205CD">
                    <w:t>43-6014</w:t>
                  </w:r>
                </w:p>
              </w:tc>
              <w:tc>
                <w:tcPr>
                  <w:tcW w:w="1449" w:type="dxa"/>
                  <w:shd w:val="clear" w:color="auto" w:fill="auto"/>
                  <w:vAlign w:val="center"/>
                </w:tcPr>
                <w:p w:rsidR="00455BD0" w:rsidRPr="00C205CD" w:rsidP="008068FD" w14:paraId="70DF4C03" w14:textId="24DA0D5D">
                  <w:pPr>
                    <w:widowControl/>
                    <w:tabs>
                      <w:tab w:val="left" w:pos="-1440"/>
                    </w:tabs>
                    <w:jc w:val="center"/>
                  </w:pPr>
                  <w:r w:rsidRPr="00C205CD">
                    <w:t>$</w:t>
                  </w:r>
                  <w:r w:rsidRPr="00C205CD" w:rsidR="009A537C">
                    <w:t>21.87</w:t>
                  </w:r>
                </w:p>
              </w:tc>
              <w:tc>
                <w:tcPr>
                  <w:tcW w:w="1043" w:type="dxa"/>
                  <w:shd w:val="clear" w:color="auto" w:fill="auto"/>
                  <w:vAlign w:val="center"/>
                </w:tcPr>
                <w:p w:rsidR="00455BD0" w:rsidRPr="00C205CD" w:rsidP="008068FD" w14:paraId="4D25466C" w14:textId="2E6E127E">
                  <w:pPr>
                    <w:widowControl/>
                    <w:tabs>
                      <w:tab w:val="left" w:pos="-1440"/>
                    </w:tabs>
                    <w:jc w:val="center"/>
                  </w:pPr>
                  <w:r w:rsidRPr="00C205CD">
                    <w:t>0.</w:t>
                  </w:r>
                  <w:r w:rsidRPr="00C205CD" w:rsidR="000C0EF3">
                    <w:t>312</w:t>
                  </w:r>
                </w:p>
              </w:tc>
              <w:tc>
                <w:tcPr>
                  <w:tcW w:w="2200" w:type="dxa"/>
                  <w:shd w:val="clear" w:color="auto" w:fill="auto"/>
                  <w:vAlign w:val="center"/>
                </w:tcPr>
                <w:p w:rsidR="00455BD0" w:rsidRPr="00C205CD" w:rsidP="008068FD" w14:paraId="133BAB05" w14:textId="4FC82F35">
                  <w:pPr>
                    <w:widowControl/>
                    <w:tabs>
                      <w:tab w:val="left" w:pos="-1440"/>
                    </w:tabs>
                    <w:jc w:val="center"/>
                  </w:pPr>
                  <w:r w:rsidRPr="00C205CD">
                    <w:t>$</w:t>
                  </w:r>
                  <w:r w:rsidRPr="00C205CD" w:rsidR="0002741B">
                    <w:t>31.79</w:t>
                  </w:r>
                </w:p>
              </w:tc>
            </w:tr>
            <w:tr w14:paraId="64D5B4BA" w14:textId="77777777" w:rsidTr="00572C1D">
              <w:tblPrEx>
                <w:tblW w:w="10329" w:type="dxa"/>
                <w:tblLook w:val="04A0"/>
              </w:tblPrEx>
              <w:tc>
                <w:tcPr>
                  <w:tcW w:w="4060" w:type="dxa"/>
                  <w:shd w:val="clear" w:color="auto" w:fill="auto"/>
                </w:tcPr>
                <w:p w:rsidR="00455BD0" w:rsidRPr="00C205CD" w:rsidP="006B7C45" w14:paraId="5BCF1CF5" w14:textId="77777777">
                  <w:pPr>
                    <w:widowControl/>
                    <w:tabs>
                      <w:tab w:val="left" w:pos="-1440"/>
                    </w:tabs>
                  </w:pPr>
                  <w:r w:rsidRPr="00C205CD">
                    <w:t>“General and Operations Managers” (Employers)</w:t>
                  </w:r>
                </w:p>
              </w:tc>
              <w:tc>
                <w:tcPr>
                  <w:tcW w:w="1577" w:type="dxa"/>
                  <w:shd w:val="clear" w:color="auto" w:fill="auto"/>
                  <w:vAlign w:val="center"/>
                </w:tcPr>
                <w:p w:rsidR="00455BD0" w:rsidRPr="00C205CD" w:rsidP="008068FD" w14:paraId="439CA6B6" w14:textId="77777777">
                  <w:pPr>
                    <w:widowControl/>
                    <w:tabs>
                      <w:tab w:val="left" w:pos="-1440"/>
                    </w:tabs>
                    <w:jc w:val="center"/>
                  </w:pPr>
                  <w:r w:rsidRPr="00C205CD">
                    <w:t>11-1021</w:t>
                  </w:r>
                </w:p>
              </w:tc>
              <w:tc>
                <w:tcPr>
                  <w:tcW w:w="1449" w:type="dxa"/>
                  <w:shd w:val="clear" w:color="auto" w:fill="auto"/>
                  <w:vAlign w:val="center"/>
                </w:tcPr>
                <w:p w:rsidR="00455BD0" w:rsidRPr="00C205CD" w:rsidP="008068FD" w14:paraId="11B141A6" w14:textId="3614A645">
                  <w:pPr>
                    <w:widowControl/>
                    <w:tabs>
                      <w:tab w:val="left" w:pos="-1440"/>
                    </w:tabs>
                    <w:jc w:val="center"/>
                  </w:pPr>
                  <w:r w:rsidRPr="00C205CD">
                    <w:t>$</w:t>
                  </w:r>
                  <w:r w:rsidRPr="00C205CD" w:rsidR="009A537C">
                    <w:t>62.18</w:t>
                  </w:r>
                </w:p>
              </w:tc>
              <w:tc>
                <w:tcPr>
                  <w:tcW w:w="1043" w:type="dxa"/>
                  <w:shd w:val="clear" w:color="auto" w:fill="auto"/>
                  <w:vAlign w:val="center"/>
                </w:tcPr>
                <w:p w:rsidR="00455BD0" w:rsidRPr="00C205CD" w:rsidP="008068FD" w14:paraId="5DBD1695" w14:textId="4DC7F060">
                  <w:pPr>
                    <w:widowControl/>
                    <w:tabs>
                      <w:tab w:val="left" w:pos="-1440"/>
                    </w:tabs>
                    <w:jc w:val="center"/>
                  </w:pPr>
                  <w:r w:rsidRPr="00C205CD">
                    <w:t>0.3</w:t>
                  </w:r>
                  <w:r w:rsidRPr="00C205CD" w:rsidR="000C0EF3">
                    <w:t>12</w:t>
                  </w:r>
                </w:p>
              </w:tc>
              <w:tc>
                <w:tcPr>
                  <w:tcW w:w="2200" w:type="dxa"/>
                  <w:shd w:val="clear" w:color="auto" w:fill="auto"/>
                  <w:vAlign w:val="center"/>
                </w:tcPr>
                <w:p w:rsidR="00455BD0" w:rsidRPr="00C205CD" w:rsidP="008068FD" w14:paraId="2AA884B1" w14:textId="0A5D70D7">
                  <w:pPr>
                    <w:widowControl/>
                    <w:tabs>
                      <w:tab w:val="left" w:pos="-1440"/>
                    </w:tabs>
                    <w:jc w:val="center"/>
                  </w:pPr>
                  <w:r w:rsidRPr="00C205CD">
                    <w:t>$</w:t>
                  </w:r>
                  <w:r w:rsidRPr="00C205CD" w:rsidR="0002741B">
                    <w:t>90.38</w:t>
                  </w:r>
                </w:p>
              </w:tc>
            </w:tr>
          </w:tbl>
          <w:p w:rsidR="00455BD0" w:rsidRPr="00C205CD" w:rsidP="006B7C45" w14:paraId="56EE48EE" w14:textId="77777777">
            <w:pPr>
              <w:widowControl/>
              <w:tabs>
                <w:tab w:val="left" w:pos="-1440"/>
              </w:tabs>
            </w:pPr>
          </w:p>
          <w:p w:rsidR="00455BD0" w:rsidRPr="00C205CD" w:rsidP="006B7C45" w14:paraId="2908EB2C" w14:textId="77777777">
            <w:pPr>
              <w:widowControl/>
              <w:autoSpaceDE/>
              <w:autoSpaceDN/>
              <w:adjustRightInd/>
              <w:jc w:val="center"/>
              <w:rPr>
                <w:b/>
                <w:bCs/>
              </w:rPr>
            </w:pPr>
          </w:p>
        </w:tc>
      </w:tr>
    </w:tbl>
    <w:p w:rsidR="00455BD0" w:rsidRPr="00C205CD" w:rsidP="007169AB" w14:paraId="121FD38A" w14:textId="77777777"/>
    <w:p w:rsidR="00455BD0" w:rsidRPr="00C205CD" w:rsidP="007169AB" w14:paraId="1FE2DD96" w14:textId="77777777"/>
    <w:p w:rsidR="00A53B62" w:rsidRPr="00C205CD" w:rsidP="00241A20" w14:paraId="043EA1BB" w14:textId="423EA4AA">
      <w:pPr>
        <w:widowControl/>
        <w:autoSpaceDE/>
        <w:autoSpaceDN/>
        <w:adjustRightInd/>
      </w:pPr>
      <w:r w:rsidRPr="00C205CD">
        <w:t xml:space="preserve">There are two groups of respondents affected by the </w:t>
      </w:r>
      <w:r w:rsidRPr="00C205CD" w:rsidR="007F05EA">
        <w:t>requests for information collection specified herein (see response to question 2)</w:t>
      </w:r>
      <w:r w:rsidRPr="00C205CD">
        <w:t xml:space="preserve">: </w:t>
      </w:r>
      <w:r w:rsidRPr="00C205CD" w:rsidR="00876362">
        <w:t>(</w:t>
      </w:r>
      <w:r w:rsidRPr="00C205CD" w:rsidR="00A4681B">
        <w:t>i</w:t>
      </w:r>
      <w:r w:rsidRPr="00C205CD">
        <w:t>) State</w:t>
      </w:r>
      <w:r w:rsidRPr="00C205CD" w:rsidR="007F05EA">
        <w:t>s</w:t>
      </w:r>
      <w:r w:rsidRPr="00C205CD">
        <w:t xml:space="preserve"> </w:t>
      </w:r>
      <w:r w:rsidRPr="00C205CD" w:rsidR="00876362">
        <w:t xml:space="preserve">providing </w:t>
      </w:r>
      <w:r w:rsidRPr="00C205CD" w:rsidR="007F05EA">
        <w:t xml:space="preserve">Consultation services through </w:t>
      </w:r>
      <w:r w:rsidRPr="00C205CD">
        <w:t xml:space="preserve">On-Site Consultation </w:t>
      </w:r>
      <w:r w:rsidRPr="00C205CD" w:rsidR="007F05EA">
        <w:t>p</w:t>
      </w:r>
      <w:r w:rsidRPr="00C205CD">
        <w:t xml:space="preserve">rograms, and </w:t>
      </w:r>
      <w:r w:rsidRPr="00C205CD" w:rsidR="00876362">
        <w:t>(</w:t>
      </w:r>
      <w:r w:rsidRPr="00C205CD" w:rsidR="00A4681B">
        <w:t>ii</w:t>
      </w:r>
      <w:r w:rsidRPr="00C205CD">
        <w:t>)</w:t>
      </w:r>
      <w:r w:rsidRPr="00C205CD" w:rsidR="008C65A6">
        <w:t xml:space="preserve"> </w:t>
      </w:r>
      <w:r w:rsidRPr="00C205CD" w:rsidR="00876362">
        <w:t>E</w:t>
      </w:r>
      <w:r w:rsidRPr="00C205CD">
        <w:t>mployers receiving On-Site Consultation assistance.</w:t>
      </w:r>
      <w:r w:rsidRPr="00C205CD" w:rsidR="00A4681B">
        <w:t xml:space="preserve"> </w:t>
      </w:r>
      <w:r w:rsidRPr="00C205CD" w:rsidR="00AE32AD">
        <w:t>The</w:t>
      </w:r>
      <w:r w:rsidRPr="00C205CD" w:rsidR="00A4681B">
        <w:t xml:space="preserve"> </w:t>
      </w:r>
      <w:r w:rsidRPr="00C205CD" w:rsidR="00AE32AD">
        <w:t xml:space="preserve"> </w:t>
      </w:r>
      <w:r w:rsidRPr="00C205CD" w:rsidR="00177AE9">
        <w:t>a</w:t>
      </w:r>
      <w:r w:rsidRPr="00C205CD" w:rsidR="00AE32AD">
        <w:t>g</w:t>
      </w:r>
      <w:r w:rsidRPr="00C205CD" w:rsidR="007E5B3C">
        <w:t>ency estimates</w:t>
      </w:r>
      <w:r w:rsidRPr="00C205CD" w:rsidR="00CC5466">
        <w:t xml:space="preserve"> the</w:t>
      </w:r>
      <w:r w:rsidRPr="00C205CD" w:rsidR="007E5B3C">
        <w:t xml:space="preserve"> total burden hours </w:t>
      </w:r>
      <w:r w:rsidRPr="00C205CD" w:rsidR="005E21F8">
        <w:t xml:space="preserve">for both </w:t>
      </w:r>
      <w:r w:rsidRPr="00C205CD" w:rsidR="00B51909">
        <w:t xml:space="preserve">groups of </w:t>
      </w:r>
      <w:r w:rsidRPr="00C205CD" w:rsidR="005E21F8">
        <w:t xml:space="preserve">respondents is </w:t>
      </w:r>
      <w:r w:rsidRPr="00C205CD" w:rsidR="00E07768">
        <w:rPr>
          <w:b/>
          <w:bCs/>
        </w:rPr>
        <w:t>195,</w:t>
      </w:r>
      <w:r w:rsidRPr="00C205CD" w:rsidR="00AB7A75">
        <w:rPr>
          <w:b/>
          <w:bCs/>
        </w:rPr>
        <w:t>736</w:t>
      </w:r>
      <w:r w:rsidRPr="00C205CD" w:rsidR="00F00A16">
        <w:rPr>
          <w:b/>
          <w:bCs/>
        </w:rPr>
        <w:t xml:space="preserve"> </w:t>
      </w:r>
      <w:r w:rsidRPr="00C205CD" w:rsidR="00446362">
        <w:t xml:space="preserve">hours; </w:t>
      </w:r>
      <w:r w:rsidRPr="00C205CD" w:rsidR="00E07768">
        <w:rPr>
          <w:b/>
          <w:bCs/>
        </w:rPr>
        <w:t>175,</w:t>
      </w:r>
      <w:r w:rsidRPr="00C205CD" w:rsidR="00B52309">
        <w:rPr>
          <w:b/>
          <w:bCs/>
        </w:rPr>
        <w:t xml:space="preserve">607 </w:t>
      </w:r>
      <w:r w:rsidRPr="00C205CD" w:rsidR="00B52309">
        <w:t>hour</w:t>
      </w:r>
      <w:r w:rsidRPr="00C205CD" w:rsidR="00446362">
        <w:t>s</w:t>
      </w:r>
      <w:r w:rsidRPr="00C205CD" w:rsidR="005E21F8">
        <w:t xml:space="preserve"> </w:t>
      </w:r>
      <w:r w:rsidRPr="00C205CD" w:rsidR="007E5B3C">
        <w:t xml:space="preserve">for State </w:t>
      </w:r>
      <w:r w:rsidRPr="00C205CD" w:rsidR="00954BC8">
        <w:t>On-Site</w:t>
      </w:r>
      <w:r w:rsidRPr="00C205CD" w:rsidR="007E5B3C">
        <w:t xml:space="preserve"> Consultation </w:t>
      </w:r>
      <w:r w:rsidRPr="00C205CD" w:rsidR="00FC4227">
        <w:t>p</w:t>
      </w:r>
      <w:r w:rsidRPr="00C205CD" w:rsidR="0020737B">
        <w:t>rogram</w:t>
      </w:r>
      <w:r w:rsidRPr="00C205CD" w:rsidR="007E5B3C">
        <w:t>s (</w:t>
      </w:r>
      <w:r w:rsidRPr="00C205CD" w:rsidR="00446362">
        <w:t xml:space="preserve">see </w:t>
      </w:r>
      <w:r w:rsidRPr="00C205CD" w:rsidR="007E5B3C">
        <w:t>Table</w:t>
      </w:r>
      <w:r w:rsidRPr="00C205CD" w:rsidR="00CC5466">
        <w:t xml:space="preserve"> </w:t>
      </w:r>
      <w:r w:rsidRPr="00C205CD" w:rsidR="00AA13FF">
        <w:t>2</w:t>
      </w:r>
      <w:r>
        <w:t>a</w:t>
      </w:r>
      <w:r w:rsidRPr="00C205CD" w:rsidR="00CC5466">
        <w:t>,</w:t>
      </w:r>
      <w:r w:rsidRPr="00C205CD" w:rsidR="007169AB">
        <w:rPr>
          <w:i/>
          <w:iCs/>
          <w:color w:val="000000" w:themeColor="text1"/>
        </w:rPr>
        <w:t xml:space="preserve"> Summary of Estimated Annualized Respondent </w:t>
      </w:r>
      <w:r w:rsidR="00852740">
        <w:rPr>
          <w:i/>
          <w:iCs/>
          <w:color w:val="000000" w:themeColor="text1"/>
        </w:rPr>
        <w:t>Burden Hour</w:t>
      </w:r>
      <w:r w:rsidR="00C018E3">
        <w:rPr>
          <w:i/>
          <w:iCs/>
          <w:color w:val="000000" w:themeColor="text1"/>
        </w:rPr>
        <w:t xml:space="preserve"> and Cost for </w:t>
      </w:r>
      <w:r w:rsidRPr="00C205CD" w:rsidR="007169AB">
        <w:rPr>
          <w:i/>
          <w:iCs/>
          <w:color w:val="000000" w:themeColor="text1"/>
        </w:rPr>
        <w:t>State Consultation Program</w:t>
      </w:r>
      <w:r w:rsidR="000F4A39">
        <w:rPr>
          <w:i/>
          <w:iCs/>
          <w:color w:val="000000" w:themeColor="text1"/>
        </w:rPr>
        <w:t>s</w:t>
      </w:r>
      <w:r w:rsidRPr="00C205CD" w:rsidR="007E5B3C">
        <w:t>)</w:t>
      </w:r>
      <w:r w:rsidRPr="00C205CD" w:rsidR="00CC5466">
        <w:t>, and</w:t>
      </w:r>
      <w:r w:rsidRPr="00C205CD" w:rsidR="00446362">
        <w:t xml:space="preserve"> </w:t>
      </w:r>
      <w:r w:rsidRPr="00C205CD" w:rsidR="00205BAF">
        <w:rPr>
          <w:b/>
          <w:bCs/>
        </w:rPr>
        <w:t>20,12</w:t>
      </w:r>
      <w:r w:rsidRPr="00C205CD" w:rsidR="001155EA">
        <w:rPr>
          <w:b/>
          <w:bCs/>
        </w:rPr>
        <w:t>9</w:t>
      </w:r>
      <w:r w:rsidRPr="00C205CD" w:rsidR="00D21792">
        <w:rPr>
          <w:b/>
          <w:bCs/>
          <w:sz w:val="20"/>
          <w:szCs w:val="20"/>
        </w:rPr>
        <w:t xml:space="preserve"> </w:t>
      </w:r>
      <w:r w:rsidRPr="00C205CD" w:rsidR="00446362">
        <w:t>hours</w:t>
      </w:r>
      <w:r w:rsidRPr="00C205CD" w:rsidR="00CC5466">
        <w:t xml:space="preserve"> for </w:t>
      </w:r>
      <w:r w:rsidRPr="00C205CD" w:rsidR="005E21F8">
        <w:t>e</w:t>
      </w:r>
      <w:r w:rsidRPr="00C205CD" w:rsidR="00CC5466">
        <w:t>mployers (</w:t>
      </w:r>
      <w:r w:rsidRPr="00C205CD" w:rsidR="00446362">
        <w:t xml:space="preserve">see </w:t>
      </w:r>
      <w:r w:rsidRPr="00C205CD" w:rsidR="00CC5466">
        <w:t xml:space="preserve">Table </w:t>
      </w:r>
      <w:r>
        <w:t>2b</w:t>
      </w:r>
      <w:r w:rsidRPr="00C205CD" w:rsidR="00CC5466">
        <w:t>,</w:t>
      </w:r>
      <w:r w:rsidRPr="00C205CD" w:rsidR="00241A20">
        <w:rPr>
          <w:i/>
          <w:iCs/>
        </w:rPr>
        <w:t xml:space="preserve"> Summary of Estimated Annualized Respondent (Employer) </w:t>
      </w:r>
      <w:r w:rsidR="000F4A39">
        <w:rPr>
          <w:i/>
          <w:iCs/>
        </w:rPr>
        <w:t xml:space="preserve">Burden </w:t>
      </w:r>
      <w:r w:rsidRPr="00C205CD" w:rsidR="00241A20">
        <w:rPr>
          <w:i/>
          <w:iCs/>
        </w:rPr>
        <w:t>Hour and Cost</w:t>
      </w:r>
      <w:r w:rsidRPr="00C205CD" w:rsidR="00CC5466">
        <w:t>)</w:t>
      </w:r>
      <w:r w:rsidRPr="00C205CD" w:rsidR="00AA29DA">
        <w:t xml:space="preserve">. </w:t>
      </w:r>
    </w:p>
    <w:p w:rsidR="00CD1B54" w:rsidRPr="00C205CD" w14:paraId="27357532" w14:textId="77777777">
      <w:pPr>
        <w:ind w:firstLine="720"/>
        <w:rPr>
          <w:b/>
          <w:bCs/>
        </w:rPr>
      </w:pPr>
    </w:p>
    <w:p w:rsidR="00FC4BF3" w:rsidRPr="00C205CD" w:rsidP="007169AB" w14:paraId="56A8C511" w14:textId="37DA390C">
      <w:r w:rsidRPr="00C205CD">
        <w:rPr>
          <w:b/>
          <w:bCs/>
        </w:rPr>
        <w:t>i.</w:t>
      </w:r>
      <w:r w:rsidRPr="00C205CD">
        <w:rPr>
          <w:b/>
          <w:bCs/>
        </w:rPr>
        <w:tab/>
        <w:t xml:space="preserve">Burden Hour Estimates for State </w:t>
      </w:r>
      <w:r w:rsidRPr="00C205CD" w:rsidR="00954BC8">
        <w:rPr>
          <w:b/>
          <w:bCs/>
        </w:rPr>
        <w:t>On-Site</w:t>
      </w:r>
      <w:r w:rsidRPr="00C205CD" w:rsidR="00D66A86">
        <w:rPr>
          <w:b/>
          <w:bCs/>
        </w:rPr>
        <w:t xml:space="preserve"> </w:t>
      </w:r>
      <w:r w:rsidRPr="00C205CD">
        <w:rPr>
          <w:b/>
          <w:bCs/>
        </w:rPr>
        <w:t xml:space="preserve">Consultation </w:t>
      </w:r>
      <w:r w:rsidRPr="00C205CD" w:rsidR="00A07CDD">
        <w:rPr>
          <w:b/>
          <w:bCs/>
        </w:rPr>
        <w:t>p</w:t>
      </w:r>
      <w:r w:rsidRPr="00C205CD" w:rsidR="0020737B">
        <w:rPr>
          <w:b/>
          <w:bCs/>
        </w:rPr>
        <w:t>rogram</w:t>
      </w:r>
      <w:r w:rsidRPr="00C205CD">
        <w:rPr>
          <w:b/>
          <w:bCs/>
        </w:rPr>
        <w:t>s:</w:t>
      </w:r>
    </w:p>
    <w:p w:rsidR="007F2F94" w:rsidRPr="00C205CD" w14:paraId="07F023C8" w14:textId="77777777">
      <w:pPr>
        <w:ind w:left="1440"/>
      </w:pPr>
    </w:p>
    <w:p w:rsidR="00FC4BF3" w:rsidRPr="00C205CD" w14:paraId="38AB0994" w14:textId="49CB43AC">
      <w:pPr>
        <w:ind w:left="1440"/>
      </w:pPr>
      <w:r w:rsidRPr="00C205CD">
        <w:t xml:space="preserve">The following regulations require information collection and/or reporting on the part of </w:t>
      </w:r>
      <w:r w:rsidRPr="00C205CD" w:rsidR="009C11D5">
        <w:t xml:space="preserve">the State </w:t>
      </w:r>
      <w:r w:rsidRPr="00C205CD" w:rsidR="00954BC8">
        <w:t>On-Site</w:t>
      </w:r>
      <w:r w:rsidRPr="00C205CD" w:rsidR="00D66A86">
        <w:t xml:space="preserve"> Consultation </w:t>
      </w:r>
      <w:r w:rsidRPr="00C205CD" w:rsidR="00A07CDD">
        <w:t>p</w:t>
      </w:r>
      <w:r w:rsidRPr="00C205CD" w:rsidR="0020737B">
        <w:t>rogram</w:t>
      </w:r>
      <w:r w:rsidRPr="00C205CD" w:rsidR="009C11D5">
        <w:t>s:</w:t>
      </w:r>
    </w:p>
    <w:p w:rsidR="00087D85" w:rsidRPr="00C205CD" w:rsidP="00087D85" w14:paraId="4BDB5498" w14:textId="77777777"/>
    <w:p w:rsidR="00087D85" w:rsidRPr="00C205CD" w:rsidP="00087D85" w14:paraId="3D38F7F0" w14:textId="69BC3F8C">
      <w:r w:rsidRPr="00C205CD">
        <w:tab/>
      </w:r>
      <w:r w:rsidRPr="00C205CD" w:rsidR="00175F43">
        <w:t>A</w:t>
      </w:r>
      <w:r w:rsidRPr="00C205CD">
        <w:t>.</w:t>
      </w:r>
      <w:r w:rsidRPr="00C205CD">
        <w:tab/>
      </w:r>
      <w:bookmarkStart w:id="7" w:name="_Hlk175490348"/>
      <w:r w:rsidRPr="00C205CD" w:rsidR="00A328B8">
        <w:rPr>
          <w:b/>
          <w:bCs/>
          <w:u w:val="single"/>
        </w:rPr>
        <w:t xml:space="preserve">29 CFR </w:t>
      </w:r>
      <w:bookmarkEnd w:id="7"/>
      <w:r w:rsidRPr="00C205CD">
        <w:rPr>
          <w:b/>
          <w:bCs/>
          <w:u w:val="single"/>
        </w:rPr>
        <w:t>1908.6(e)(3)</w:t>
      </w:r>
      <w:r w:rsidRPr="00C205CD">
        <w:rPr>
          <w:b/>
          <w:bCs/>
        </w:rPr>
        <w:t>:</w:t>
      </w:r>
    </w:p>
    <w:p w:rsidR="008041A6" w:rsidRPr="00C205CD" w:rsidP="00DA381A" w14:paraId="2916C19D" w14:textId="6BAB4AFA">
      <w:pPr>
        <w:ind w:left="1440"/>
      </w:pPr>
      <w:r w:rsidRPr="00C205CD">
        <w:t>Co</w:t>
      </w:r>
      <w:r w:rsidRPr="00C205CD" w:rsidR="008B042F">
        <w:t>mplete the Safety and Health Program Assessment Worksheet, Form 33, during an</w:t>
      </w:r>
      <w:r w:rsidRPr="00C205CD">
        <w:t xml:space="preserve"> initial consultation visit</w:t>
      </w:r>
      <w:r w:rsidRPr="00C205CD" w:rsidR="008B042F">
        <w:t xml:space="preserve"> (</w:t>
      </w:r>
      <w:r w:rsidRPr="00C205CD">
        <w:t>includes SHARP</w:t>
      </w:r>
      <w:r w:rsidRPr="00C205CD" w:rsidR="005D7871">
        <w:t>/Pre-SHARP</w:t>
      </w:r>
      <w:r w:rsidRPr="00C205CD" w:rsidR="008B042F">
        <w:t xml:space="preserve"> and non-SHARP</w:t>
      </w:r>
      <w:r w:rsidRPr="00C205CD" w:rsidR="00A502EE">
        <w:t xml:space="preserve"> </w:t>
      </w:r>
      <w:r w:rsidRPr="00C205CD" w:rsidR="00A920D9">
        <w:t>assessments)</w:t>
      </w:r>
      <w:r w:rsidRPr="00C205CD" w:rsidR="00A805C0">
        <w:t>.</w:t>
      </w:r>
    </w:p>
    <w:p w:rsidR="00067246" w:rsidRPr="00C205CD" w:rsidP="00DA381A" w14:paraId="146EE075" w14:textId="77777777">
      <w:pPr>
        <w:ind w:left="1440"/>
      </w:pPr>
    </w:p>
    <w:p w:rsidR="00291AF5" w:rsidRPr="00C205CD" w:rsidP="00DC40C2" w14:paraId="5620D3F0" w14:textId="06293289">
      <w:pPr>
        <w:ind w:left="1440"/>
      </w:pPr>
      <w:r w:rsidRPr="00C205CD">
        <w:t>Tasks performed by consultants during all types of initial consultation visits (i.e., full-service</w:t>
      </w:r>
      <w:r w:rsidRPr="00C205CD" w:rsidR="001A03C2">
        <w:t xml:space="preserve"> and</w:t>
      </w:r>
      <w:r w:rsidRPr="00C205CD">
        <w:t xml:space="preserve"> limited-service</w:t>
      </w:r>
      <w:r w:rsidRPr="00C205CD" w:rsidR="001A03C2">
        <w:t xml:space="preserve"> visits</w:t>
      </w:r>
      <w:r w:rsidRPr="00C205CD">
        <w:t>) include</w:t>
      </w:r>
      <w:r w:rsidRPr="00C205CD" w:rsidR="002A72F8">
        <w:t>:</w:t>
      </w:r>
      <w:r w:rsidRPr="00C205CD">
        <w:t xml:space="preserve"> a walkthrough of the workplace to assess and identify potential hazards; interview supervisors and workers; review relevant documents; assess the safety and health program of the workplace using the Form 33, as feasible, within the scope of the </w:t>
      </w:r>
      <w:r w:rsidRPr="00C205CD" w:rsidR="00090A11">
        <w:t>employer’s request for consultation services</w:t>
      </w:r>
      <w:r w:rsidRPr="00C205CD">
        <w:t xml:space="preserve">; and enter Form 33 data into the OIS, the web based system. </w:t>
      </w:r>
    </w:p>
    <w:p w:rsidR="00291AF5" w:rsidRPr="00C205CD" w:rsidP="00DC40C2" w14:paraId="63FEFBFB" w14:textId="77777777">
      <w:pPr>
        <w:ind w:left="1440"/>
      </w:pPr>
    </w:p>
    <w:p w:rsidR="00887D9F" w:rsidRPr="00C205CD" w:rsidP="00DC40C2" w14:paraId="243979A8" w14:textId="75847175">
      <w:pPr>
        <w:ind w:left="1440"/>
      </w:pPr>
      <w:r w:rsidRPr="00C205CD">
        <w:t>Therefore, OSHA’s burden hour estimates are liberally construed on the assumption that hazards are identified on all initial consultation visits, and that consultants are able to make professional judgments about the employer’s safety and health program on the basis of all the information collected for the workplace</w:t>
      </w:r>
      <w:r w:rsidRPr="00C205CD" w:rsidR="00AA29DA">
        <w:t xml:space="preserve">. </w:t>
      </w:r>
      <w:r w:rsidRPr="00C205CD">
        <w:rPr>
          <w:u w:val="single"/>
        </w:rPr>
        <w:t xml:space="preserve">The time estimates </w:t>
      </w:r>
      <w:r w:rsidRPr="00C205CD" w:rsidR="009C2757">
        <w:rPr>
          <w:u w:val="single"/>
        </w:rPr>
        <w:t xml:space="preserve">to conduct the safety and health program assessment </w:t>
      </w:r>
      <w:r w:rsidRPr="00C205CD">
        <w:rPr>
          <w:u w:val="single"/>
        </w:rPr>
        <w:t xml:space="preserve">do not include the time for gathering information about </w:t>
      </w:r>
      <w:r w:rsidRPr="00C205CD" w:rsidR="009C2757">
        <w:rPr>
          <w:u w:val="single"/>
        </w:rPr>
        <w:t>requirements specific</w:t>
      </w:r>
      <w:r w:rsidRPr="00C205CD">
        <w:rPr>
          <w:u w:val="single"/>
        </w:rPr>
        <w:t xml:space="preserve"> to a particular workplace, since that is done as a corollary of the On-Site Consultation process</w:t>
      </w:r>
      <w:r w:rsidRPr="00C205CD">
        <w:t>.</w:t>
      </w:r>
    </w:p>
    <w:p w:rsidR="00CC4406" w:rsidRPr="00C205CD" w:rsidP="006321F9" w14:paraId="6E47B329" w14:textId="7EDAE29D"/>
    <w:p w:rsidR="00AF2B0A" w:rsidRPr="00C205CD" w:rsidP="00AF2B0A" w14:paraId="113BC6AA" w14:textId="2C39BB0A">
      <w:pPr>
        <w:ind w:left="1440"/>
      </w:pPr>
      <w:r w:rsidRPr="00C205CD">
        <w:t xml:space="preserve">It is important to point out that a significant </w:t>
      </w:r>
      <w:r w:rsidRPr="00C205CD" w:rsidR="00000FAB">
        <w:t>reduction</w:t>
      </w:r>
      <w:r w:rsidRPr="00C205CD">
        <w:t xml:space="preserve"> </w:t>
      </w:r>
      <w:r w:rsidRPr="00C205CD" w:rsidR="009B1747">
        <w:t>in</w:t>
      </w:r>
      <w:r w:rsidRPr="00C205CD">
        <w:t xml:space="preserve"> </w:t>
      </w:r>
      <w:r w:rsidRPr="00C205CD" w:rsidR="009B1747">
        <w:t>l</w:t>
      </w:r>
      <w:r w:rsidRPr="00C205CD">
        <w:t>imited</w:t>
      </w:r>
      <w:r w:rsidRPr="00C205CD" w:rsidR="009B1747">
        <w:t>-service</w:t>
      </w:r>
      <w:r w:rsidRPr="00C205CD">
        <w:t xml:space="preserve"> visits</w:t>
      </w:r>
      <w:r w:rsidRPr="00C205CD" w:rsidR="009C2757">
        <w:t xml:space="preserve"> </w:t>
      </w:r>
      <w:r w:rsidRPr="00C205CD">
        <w:t>and a significant increase in full</w:t>
      </w:r>
      <w:r w:rsidRPr="00C205CD" w:rsidR="009B1747">
        <w:t>-</w:t>
      </w:r>
      <w:r w:rsidRPr="00C205CD">
        <w:t xml:space="preserve">service safety and health visits </w:t>
      </w:r>
      <w:r w:rsidRPr="00C205CD" w:rsidR="001E1380">
        <w:t>w</w:t>
      </w:r>
      <w:r w:rsidRPr="00C205CD" w:rsidR="00E91441">
        <w:t>ere</w:t>
      </w:r>
      <w:r w:rsidRPr="00C205CD" w:rsidR="001E1380">
        <w:t xml:space="preserve"> observed in the FY 2023 data</w:t>
      </w:r>
      <w:r w:rsidRPr="00C205CD" w:rsidR="002B2843">
        <w:t xml:space="preserve">. This </w:t>
      </w:r>
      <w:r w:rsidRPr="00C205CD" w:rsidR="00F008A8">
        <w:t>wa</w:t>
      </w:r>
      <w:r w:rsidRPr="00C205CD" w:rsidR="002B2843">
        <w:t>s</w:t>
      </w:r>
      <w:r w:rsidRPr="00C205CD" w:rsidR="00A608E2">
        <w:t xml:space="preserve"> likely</w:t>
      </w:r>
      <w:r w:rsidRPr="00C205CD">
        <w:t xml:space="preserve"> due to </w:t>
      </w:r>
      <w:r w:rsidRPr="00C205CD" w:rsidR="00007D52">
        <w:t xml:space="preserve">policy </w:t>
      </w:r>
      <w:r w:rsidRPr="00C205CD" w:rsidR="00FB5C1F">
        <w:t>update</w:t>
      </w:r>
      <w:r w:rsidRPr="00C205CD" w:rsidR="00BB23A7">
        <w:t>s</w:t>
      </w:r>
      <w:r w:rsidRPr="00C205CD">
        <w:t xml:space="preserve"> in the 2021</w:t>
      </w:r>
      <w:r w:rsidRPr="00C205CD" w:rsidR="00F32CB9">
        <w:t xml:space="preserve"> and 2023</w:t>
      </w:r>
      <w:r w:rsidRPr="00C205CD">
        <w:t xml:space="preserve"> release</w:t>
      </w:r>
      <w:r w:rsidRPr="00C205CD" w:rsidR="00F32CB9">
        <w:t>s</w:t>
      </w:r>
      <w:r w:rsidRPr="00C205CD">
        <w:t xml:space="preserve"> of the CPPM</w:t>
      </w:r>
      <w:r w:rsidRPr="00C205CD" w:rsidR="00A608E2">
        <w:t xml:space="preserve">. </w:t>
      </w:r>
      <w:r w:rsidRPr="00C205CD" w:rsidR="00AD3781">
        <w:t xml:space="preserve">The </w:t>
      </w:r>
      <w:r w:rsidRPr="00C205CD" w:rsidR="00F32CB9">
        <w:t>CPPM</w:t>
      </w:r>
      <w:r w:rsidRPr="00C205CD">
        <w:t xml:space="preserve"> </w:t>
      </w:r>
      <w:r w:rsidRPr="00C205CD" w:rsidR="00887CC5">
        <w:t xml:space="preserve">has always </w:t>
      </w:r>
      <w:r w:rsidRPr="00C205CD" w:rsidR="00CC4406">
        <w:t>encouraged</w:t>
      </w:r>
      <w:r w:rsidRPr="00C205CD" w:rsidR="00326150">
        <w:t xml:space="preserve"> On-Site Consultation programs</w:t>
      </w:r>
      <w:r w:rsidRPr="00C205CD" w:rsidR="00CC4406">
        <w:t xml:space="preserve"> </w:t>
      </w:r>
      <w:r w:rsidRPr="00C205CD" w:rsidR="00326150">
        <w:t xml:space="preserve">to </w:t>
      </w:r>
      <w:r w:rsidRPr="00C205CD" w:rsidR="00CC4406">
        <w:t>recommend and explain the benefits of</w:t>
      </w:r>
      <w:r w:rsidRPr="00C205CD" w:rsidR="00326150">
        <w:t xml:space="preserve"> </w:t>
      </w:r>
      <w:r w:rsidRPr="00C205CD">
        <w:t>full</w:t>
      </w:r>
      <w:r w:rsidRPr="00C205CD" w:rsidR="00CC4406">
        <w:rPr>
          <w:b/>
          <w:bCs/>
        </w:rPr>
        <w:t>-</w:t>
      </w:r>
      <w:r w:rsidRPr="00C205CD">
        <w:t>service safety and health Consultation visits,</w:t>
      </w:r>
      <w:r w:rsidRPr="00C205CD" w:rsidR="00F008A8">
        <w:t xml:space="preserve"> and a complete safety and health program review to employers (i.e., assessment of all 58 attributes of the Form 33);</w:t>
      </w:r>
      <w:r w:rsidRPr="00C205CD" w:rsidR="00EE4B57">
        <w:t xml:space="preserve"> compared to limited</w:t>
      </w:r>
      <w:r w:rsidRPr="00C205CD" w:rsidR="00AF04FC">
        <w:rPr>
          <w:b/>
          <w:bCs/>
        </w:rPr>
        <w:t>-</w:t>
      </w:r>
      <w:r w:rsidRPr="00C205CD" w:rsidR="00AF04FC">
        <w:t xml:space="preserve">service safety or health </w:t>
      </w:r>
      <w:r w:rsidRPr="00C205CD" w:rsidR="00EE4B57">
        <w:t>visits</w:t>
      </w:r>
      <w:r w:rsidRPr="00C205CD" w:rsidR="00D24309">
        <w:t xml:space="preserve"> and </w:t>
      </w:r>
      <w:r w:rsidRPr="00C205CD" w:rsidR="00EE4B57">
        <w:t xml:space="preserve">a </w:t>
      </w:r>
      <w:r w:rsidRPr="00C205CD" w:rsidR="00F008A8">
        <w:t>limited/incomplete</w:t>
      </w:r>
      <w:r w:rsidRPr="00C205CD" w:rsidR="00D24309">
        <w:t xml:space="preserve"> safety and health program review</w:t>
      </w:r>
      <w:r w:rsidRPr="00C205CD">
        <w:t xml:space="preserve">. </w:t>
      </w:r>
      <w:r w:rsidRPr="00C205CD" w:rsidR="00CC4406">
        <w:t>Additionally, the</w:t>
      </w:r>
      <w:r w:rsidRPr="00C205CD" w:rsidR="00563DE1">
        <w:t xml:space="preserve"> </w:t>
      </w:r>
      <w:r w:rsidRPr="00C205CD">
        <w:t xml:space="preserve">updated CPPM made it clearer that </w:t>
      </w:r>
      <w:r w:rsidRPr="00C205CD" w:rsidR="00CC4406">
        <w:t>consultants need to complete the</w:t>
      </w:r>
      <w:r w:rsidRPr="00C205CD">
        <w:t xml:space="preserve"> Form 33 worksheet even “if the employer does not request a complete review of </w:t>
      </w:r>
      <w:r w:rsidRPr="00C205CD" w:rsidR="005F6CB0">
        <w:t>the</w:t>
      </w:r>
      <w:r w:rsidRPr="00C205CD" w:rsidR="00CC4406">
        <w:t xml:space="preserve"> safety and health program</w:t>
      </w:r>
      <w:r w:rsidRPr="00C205CD" w:rsidR="00F840CF">
        <w:t>.</w:t>
      </w:r>
      <w:r w:rsidRPr="00C205CD" w:rsidR="004F7937">
        <w:t>”</w:t>
      </w:r>
      <w:r w:rsidRPr="00C205CD" w:rsidR="00F840CF">
        <w:t xml:space="preserve">  According to the CPPM:</w:t>
      </w:r>
      <w:r w:rsidRPr="00C205CD">
        <w:t xml:space="preserve"> </w:t>
      </w:r>
      <w:r w:rsidRPr="00C205CD" w:rsidR="008771DF">
        <w:t>“</w:t>
      </w:r>
      <w:r w:rsidRPr="00C205CD" w:rsidR="00563DE1">
        <w:t>if</w:t>
      </w:r>
      <w:r w:rsidRPr="00C205CD">
        <w:t xml:space="preserve"> the consultant obtains sufficient safety and health informat</w:t>
      </w:r>
      <w:r w:rsidRPr="00C205CD">
        <w:t xml:space="preserve">ion within the scope of the consultation visit to assess and score attributes, that portion of the worksheet should be completed.” </w:t>
      </w:r>
    </w:p>
    <w:p w:rsidR="00AF2B0A" w:rsidRPr="00C205CD" w:rsidP="00AF2B0A" w14:paraId="1688713F" w14:textId="77777777">
      <w:pPr>
        <w:ind w:left="1440"/>
      </w:pPr>
    </w:p>
    <w:p w:rsidR="001C4520" w:rsidRPr="00C205CD" w:rsidP="00AF2B0A" w14:paraId="200CED3B" w14:textId="6DE29C25">
      <w:pPr>
        <w:ind w:left="1440"/>
      </w:pPr>
      <w:r w:rsidRPr="00C205CD">
        <w:t xml:space="preserve">Consequently, </w:t>
      </w:r>
      <w:r w:rsidRPr="00C205CD" w:rsidR="008A6A2F">
        <w:t xml:space="preserve">it was observed that </w:t>
      </w:r>
      <w:r w:rsidRPr="00C205CD">
        <w:t xml:space="preserve">a higher percentage of all initial consultation </w:t>
      </w:r>
      <w:r w:rsidRPr="00C205CD">
        <w:t>visits</w:t>
      </w:r>
      <w:r w:rsidRPr="00C205CD" w:rsidR="00564075">
        <w:t xml:space="preserve"> conducted at </w:t>
      </w:r>
      <w:r w:rsidRPr="00C205CD" w:rsidR="00F840CF">
        <w:t>workplaces</w:t>
      </w:r>
      <w:r w:rsidRPr="00C205CD" w:rsidR="00564075">
        <w:t xml:space="preserve"> not participating in SHARP,</w:t>
      </w:r>
      <w:r w:rsidRPr="00C205CD" w:rsidR="008A6A2F">
        <w:t xml:space="preserve"> in FY 2023,</w:t>
      </w:r>
      <w:r w:rsidRPr="00C205CD" w:rsidR="00B11358">
        <w:t xml:space="preserve"> were full-service safety and health visits</w:t>
      </w:r>
      <w:r w:rsidRPr="00C205CD">
        <w:t xml:space="preserve"> involv</w:t>
      </w:r>
      <w:r w:rsidRPr="00C205CD" w:rsidR="00B11358">
        <w:t>ing</w:t>
      </w:r>
      <w:r w:rsidRPr="00C205CD">
        <w:t xml:space="preserve"> a </w:t>
      </w:r>
      <w:r w:rsidRPr="00C205CD" w:rsidR="009A514B">
        <w:t>complete review</w:t>
      </w:r>
      <w:r w:rsidRPr="00C205CD">
        <w:t xml:space="preserve"> of the safety and health program. </w:t>
      </w:r>
      <w:r w:rsidRPr="00C205CD" w:rsidR="008D7B1F">
        <w:t>T</w:t>
      </w:r>
      <w:r w:rsidRPr="00C205CD" w:rsidR="00A11FBE">
        <w:t xml:space="preserve">his type of </w:t>
      </w:r>
      <w:r w:rsidRPr="00C205CD" w:rsidR="00F840CF">
        <w:t xml:space="preserve">detailed </w:t>
      </w:r>
      <w:r w:rsidRPr="00C205CD" w:rsidR="00A11FBE">
        <w:t xml:space="preserve">assessment </w:t>
      </w:r>
      <w:r w:rsidRPr="00C205CD" w:rsidR="008D7B1F">
        <w:t xml:space="preserve">is only mandatory to determine eligibility </w:t>
      </w:r>
      <w:r w:rsidRPr="00C205CD" w:rsidR="00D8206E">
        <w:t>to participate in SHARP</w:t>
      </w:r>
      <w:r w:rsidRPr="00C205CD" w:rsidR="00AF2B0A">
        <w:t xml:space="preserve"> or </w:t>
      </w:r>
      <w:r w:rsidRPr="00C205CD" w:rsidR="00F840CF">
        <w:t>Pre-SHARP</w:t>
      </w:r>
      <w:r w:rsidRPr="00C205CD" w:rsidR="00D8206E">
        <w:t xml:space="preserve"> </w:t>
      </w:r>
      <w:r w:rsidRPr="00C205CD" w:rsidR="008D7B1F">
        <w:t xml:space="preserve">for those small business employers that voluntarily request </w:t>
      </w:r>
      <w:r w:rsidRPr="00C205CD" w:rsidR="00331401">
        <w:t>to do so</w:t>
      </w:r>
      <w:r w:rsidRPr="00C205CD" w:rsidR="00A11FBE">
        <w:t>.</w:t>
      </w:r>
      <w:r w:rsidRPr="00C205CD" w:rsidR="00444EC5">
        <w:t xml:space="preserve"> Employers that request limited-service consultation visits would typically have fewer entries of the Form 33 as the consultant’s ability to conduct a safety and health program assessment is </w:t>
      </w:r>
      <w:r w:rsidRPr="00C205CD" w:rsidR="007236F0">
        <w:t>“limited” by the amount of information that can be gathered about the workplace.</w:t>
      </w:r>
    </w:p>
    <w:p w:rsidR="00DA381A" w:rsidRPr="00C205CD" w:rsidP="00D36888" w14:paraId="74869460" w14:textId="77777777"/>
    <w:p w:rsidR="00A611ED" w:rsidRPr="00C205CD" w:rsidP="00A611ED" w14:paraId="51B175D4" w14:textId="29D8474A">
      <w:pPr>
        <w:ind w:left="1440"/>
      </w:pPr>
      <w:r w:rsidRPr="00C205CD">
        <w:t>Data from the OIS database</w:t>
      </w:r>
      <w:r>
        <w:rPr>
          <w:rStyle w:val="FootnoteReference"/>
          <w:sz w:val="22"/>
          <w:szCs w:val="22"/>
          <w:vertAlign w:val="superscript"/>
        </w:rPr>
        <w:footnoteReference w:id="9"/>
      </w:r>
      <w:r w:rsidRPr="00C205CD">
        <w:t xml:space="preserve"> indicates that 18,384 initial On-Site Consultation visits were conducted in FY 2023 by On-Site Consultation programs throughout the United States and the Territories</w:t>
      </w:r>
      <w:r w:rsidRPr="00C205CD" w:rsidR="00AA29DA">
        <w:t xml:space="preserve">. </w:t>
      </w:r>
      <w:r w:rsidRPr="00C205CD">
        <w:t>Of this total</w:t>
      </w:r>
      <w:r w:rsidRPr="00C205CD">
        <w:rPr>
          <w:b/>
          <w:bCs/>
        </w:rPr>
        <w:t xml:space="preserve">, </w:t>
      </w:r>
      <w:r w:rsidRPr="00C205CD">
        <w:t>7,598 initial consultation visits were limited-service visits and focused either on the safety or health discipline; 9,86</w:t>
      </w:r>
      <w:r w:rsidRPr="00C205CD" w:rsidR="003F32DA">
        <w:t>4</w:t>
      </w:r>
      <w:r w:rsidRPr="00C205CD">
        <w:t xml:space="preserve"> were full-service safety and health visits that did not involve SHARP assessments; and </w:t>
      </w:r>
      <w:r w:rsidRPr="00C205CD" w:rsidR="00E271CD">
        <w:t>923</w:t>
      </w:r>
      <w:r w:rsidRPr="00C205CD" w:rsidR="00BC3142">
        <w:t xml:space="preserve"> </w:t>
      </w:r>
      <w:r w:rsidRPr="00C205CD">
        <w:t>were full-service safety and health visits involving SHARP assessments</w:t>
      </w:r>
      <w:r w:rsidRPr="00C205CD" w:rsidR="00AA29DA">
        <w:t xml:space="preserve">. </w:t>
      </w:r>
      <w:r w:rsidRPr="00C205CD">
        <w:t>None (0) of these visits resulted in referr</w:t>
      </w:r>
      <w:r w:rsidRPr="00C205CD">
        <w:t xml:space="preserve">als to OSHA or State Plan enforcement. </w:t>
      </w:r>
    </w:p>
    <w:p w:rsidR="00A611ED" w:rsidRPr="00C205CD" w:rsidP="00A611ED" w14:paraId="306B991B" w14:textId="117F0A0E">
      <w:pPr>
        <w:ind w:left="1440"/>
      </w:pPr>
      <w:r w:rsidRPr="00C205CD">
        <w:t xml:space="preserve"> </w:t>
      </w:r>
    </w:p>
    <w:p w:rsidR="00087D85" w:rsidRPr="00C205CD" w:rsidP="00715231" w14:paraId="1D699500" w14:textId="791733D3">
      <w:pPr>
        <w:ind w:left="1440"/>
      </w:pPr>
      <w:r w:rsidRPr="00C205CD">
        <w:t>OSHA estimates that, after a</w:t>
      </w:r>
      <w:r w:rsidRPr="00C205CD" w:rsidR="000532B2">
        <w:t xml:space="preserve">n </w:t>
      </w:r>
      <w:r w:rsidRPr="00C205CD" w:rsidR="00F26929">
        <w:t xml:space="preserve">initial </w:t>
      </w:r>
      <w:r w:rsidRPr="00C205CD" w:rsidR="00954BC8">
        <w:t>On-Site</w:t>
      </w:r>
      <w:r w:rsidRPr="00C205CD" w:rsidR="000532B2">
        <w:t xml:space="preserve"> </w:t>
      </w:r>
      <w:r w:rsidRPr="00C205CD" w:rsidR="00FE6A01">
        <w:t xml:space="preserve">Consultation </w:t>
      </w:r>
      <w:r w:rsidRPr="00C205CD">
        <w:t xml:space="preserve">visit that </w:t>
      </w:r>
      <w:r w:rsidRPr="00C205CD" w:rsidR="00227F18">
        <w:t>involves a limited-</w:t>
      </w:r>
      <w:r w:rsidRPr="00C205CD" w:rsidR="006321F9">
        <w:t>service assessment</w:t>
      </w:r>
      <w:r w:rsidRPr="00C205CD">
        <w:t>,</w:t>
      </w:r>
      <w:r w:rsidRPr="00C205CD" w:rsidR="00E507BD">
        <w:t xml:space="preserve"> focusing on either the safety or health discipline,</w:t>
      </w:r>
      <w:r w:rsidRPr="00C205CD">
        <w:t xml:space="preserve"> 12 to 18 entries will be made </w:t>
      </w:r>
      <w:r w:rsidRPr="00C205CD" w:rsidR="007F1E25">
        <w:t>i</w:t>
      </w:r>
      <w:r w:rsidRPr="00C205CD">
        <w:t xml:space="preserve">n the </w:t>
      </w:r>
      <w:r w:rsidRPr="00C205CD" w:rsidR="00A31F39">
        <w:t xml:space="preserve">Form 33 </w:t>
      </w:r>
      <w:r w:rsidRPr="00C205CD" w:rsidR="007F1E25">
        <w:t xml:space="preserve">worksheet </w:t>
      </w:r>
      <w:r w:rsidRPr="00C205CD" w:rsidR="00A82A2A">
        <w:t xml:space="preserve">in </w:t>
      </w:r>
      <w:r w:rsidRPr="00C205CD" w:rsidR="00A31F39">
        <w:t>OIS</w:t>
      </w:r>
      <w:r w:rsidRPr="00C205CD" w:rsidR="007218B4">
        <w:t xml:space="preserve"> in 1 hour</w:t>
      </w:r>
      <w:r w:rsidRPr="00C205CD">
        <w:t xml:space="preserve">. </w:t>
      </w:r>
      <w:r w:rsidRPr="00C205CD" w:rsidR="00D9275B">
        <w:t xml:space="preserve">In FY </w:t>
      </w:r>
      <w:r w:rsidRPr="00C205CD" w:rsidR="00D96FE1">
        <w:t>20</w:t>
      </w:r>
      <w:r w:rsidRPr="00C205CD" w:rsidR="006321F9">
        <w:t>23</w:t>
      </w:r>
      <w:r w:rsidRPr="00C205CD" w:rsidR="00D9275B">
        <w:t>, there were</w:t>
      </w:r>
      <w:r w:rsidRPr="00C205CD" w:rsidR="00710CE1">
        <w:t xml:space="preserve"> </w:t>
      </w:r>
      <w:r w:rsidRPr="00C205CD" w:rsidR="006321F9">
        <w:t>7,598</w:t>
      </w:r>
      <w:r w:rsidRPr="00C205CD" w:rsidR="00710CE1">
        <w:t xml:space="preserve"> </w:t>
      </w:r>
      <w:r w:rsidRPr="00C205CD" w:rsidR="00614798">
        <w:t xml:space="preserve">limited-service </w:t>
      </w:r>
      <w:r w:rsidRPr="00C205CD" w:rsidR="00C9041F">
        <w:t xml:space="preserve">consultation </w:t>
      </w:r>
      <w:r w:rsidRPr="00C205CD" w:rsidR="00216899">
        <w:t>visits</w:t>
      </w:r>
      <w:r w:rsidRPr="00C205CD" w:rsidR="00322A16">
        <w:t>, focusing</w:t>
      </w:r>
      <w:r w:rsidRPr="00C205CD" w:rsidR="00216899">
        <w:t xml:space="preserve"> </w:t>
      </w:r>
      <w:r w:rsidRPr="00C205CD" w:rsidR="00227F18">
        <w:t xml:space="preserve">either </w:t>
      </w:r>
      <w:r w:rsidRPr="00C205CD" w:rsidR="00322A16">
        <w:t xml:space="preserve">on </w:t>
      </w:r>
      <w:r w:rsidRPr="00C205CD" w:rsidR="00216899">
        <w:t>safety or health hazards</w:t>
      </w:r>
      <w:r w:rsidRPr="00C205CD" w:rsidR="00AA29DA">
        <w:t xml:space="preserve">. </w:t>
      </w:r>
      <w:r w:rsidRPr="00C205CD" w:rsidR="00D9275B">
        <w:t>Such visits</w:t>
      </w:r>
      <w:r w:rsidRPr="00C205CD" w:rsidR="00492BBC">
        <w:t xml:space="preserve"> would</w:t>
      </w:r>
      <w:r w:rsidRPr="00C205CD" w:rsidR="00D427DF">
        <w:t xml:space="preserve"> require </w:t>
      </w:r>
      <w:r w:rsidRPr="00C205CD" w:rsidR="00204B3F">
        <w:t xml:space="preserve">1 hour of data entry time </w:t>
      </w:r>
      <w:r w:rsidRPr="00C205CD" w:rsidR="00D427DF">
        <w:t>per visit</w:t>
      </w:r>
      <w:r w:rsidRPr="00C205CD" w:rsidR="00AA29DA">
        <w:t xml:space="preserve">. </w:t>
      </w:r>
      <w:r w:rsidRPr="00C205CD" w:rsidR="00D9275B">
        <w:t>T</w:t>
      </w:r>
      <w:r w:rsidRPr="00C205CD" w:rsidR="00710CE1">
        <w:t>he total a</w:t>
      </w:r>
      <w:r w:rsidRPr="00C205CD" w:rsidR="00D427DF">
        <w:t>nnual burden hours for limited</w:t>
      </w:r>
      <w:r w:rsidRPr="00C205CD" w:rsidR="00C9041F">
        <w:t>-service</w:t>
      </w:r>
      <w:r w:rsidRPr="00C205CD" w:rsidR="00D427DF">
        <w:t xml:space="preserve"> visits</w:t>
      </w:r>
      <w:r w:rsidRPr="00C205CD" w:rsidR="00710CE1">
        <w:t xml:space="preserve"> </w:t>
      </w:r>
      <w:r w:rsidRPr="00C205CD" w:rsidR="007702B2">
        <w:t>were</w:t>
      </w:r>
      <w:r w:rsidRPr="00C205CD" w:rsidR="00D9275B">
        <w:t xml:space="preserve"> </w:t>
      </w:r>
      <w:r w:rsidRPr="00C205CD" w:rsidR="006321F9">
        <w:t>7,598</w:t>
      </w:r>
      <w:r w:rsidRPr="00C205CD" w:rsidR="00DD15E6">
        <w:t xml:space="preserve"> </w:t>
      </w:r>
      <w:r w:rsidRPr="00C205CD" w:rsidR="00710CE1">
        <w:t>hours</w:t>
      </w:r>
      <w:r w:rsidRPr="00C205CD" w:rsidR="00D9275B">
        <w:t xml:space="preserve"> in FY </w:t>
      </w:r>
      <w:r w:rsidRPr="00C205CD" w:rsidR="006321F9">
        <w:t>2023</w:t>
      </w:r>
      <w:r w:rsidRPr="00C205CD" w:rsidR="00D9275B">
        <w:t>.</w:t>
      </w:r>
    </w:p>
    <w:p w:rsidR="00350F72" w:rsidRPr="00C205CD" w:rsidP="00087D85" w14:paraId="54738AF4" w14:textId="77777777">
      <w:pPr>
        <w:ind w:left="1440"/>
      </w:pPr>
    </w:p>
    <w:p w:rsidR="00D427DF" w:rsidRPr="00C205CD" w:rsidP="00B532D5" w14:paraId="1E01DB63" w14:textId="763D6053">
      <w:pPr>
        <w:ind w:left="1440"/>
      </w:pPr>
      <w:r w:rsidRPr="00C205CD">
        <w:t xml:space="preserve">OSHA estimates that 58 entries can be </w:t>
      </w:r>
      <w:r w:rsidRPr="00C205CD" w:rsidR="00CA01CD">
        <w:t xml:space="preserve">assessed and entered </w:t>
      </w:r>
      <w:r w:rsidRPr="00C205CD" w:rsidR="0041378D">
        <w:t>o</w:t>
      </w:r>
      <w:r w:rsidRPr="00C205CD">
        <w:t>n</w:t>
      </w:r>
      <w:r w:rsidRPr="00C205CD" w:rsidR="0089088E">
        <w:t>to</w:t>
      </w:r>
      <w:r w:rsidRPr="00C205CD">
        <w:t xml:space="preserve"> </w:t>
      </w:r>
      <w:r w:rsidRPr="00C205CD" w:rsidR="00A40F10">
        <w:t>Form 33 in</w:t>
      </w:r>
      <w:r w:rsidRPr="00C205CD">
        <w:t xml:space="preserve"> </w:t>
      </w:r>
      <w:r w:rsidRPr="00C205CD" w:rsidR="0089088E">
        <w:t xml:space="preserve">OIS </w:t>
      </w:r>
      <w:r w:rsidRPr="00C205CD">
        <w:t xml:space="preserve">in </w:t>
      </w:r>
      <w:r w:rsidRPr="00C205CD" w:rsidR="00CA01CD">
        <w:t>5 hours</w:t>
      </w:r>
      <w:r w:rsidRPr="00C205CD" w:rsidR="00C60B3C">
        <w:t>.</w:t>
      </w:r>
      <w:r w:rsidRPr="00C205CD" w:rsidR="0089088E">
        <w:t xml:space="preserve"> </w:t>
      </w:r>
      <w:r w:rsidRPr="00C205CD" w:rsidR="006321F9">
        <w:t xml:space="preserve">In FY 2023, there </w:t>
      </w:r>
      <w:r w:rsidRPr="00C205CD" w:rsidR="00D9275B">
        <w:t>were</w:t>
      </w:r>
      <w:r w:rsidRPr="00C205CD">
        <w:t xml:space="preserve"> </w:t>
      </w:r>
      <w:r w:rsidRPr="00C205CD" w:rsidR="006321F9">
        <w:t>923</w:t>
      </w:r>
      <w:r w:rsidRPr="00C205CD">
        <w:t xml:space="preserve"> </w:t>
      </w:r>
      <w:r w:rsidRPr="00C205CD" w:rsidR="00102F22">
        <w:t xml:space="preserve">initial consultation visits involving </w:t>
      </w:r>
      <w:r w:rsidRPr="00C205CD" w:rsidR="00735E4C">
        <w:t xml:space="preserve">SHARP </w:t>
      </w:r>
      <w:r w:rsidRPr="00C205CD" w:rsidR="006606F2">
        <w:t>assessments</w:t>
      </w:r>
      <w:r w:rsidRPr="00C205CD" w:rsidR="006321F9">
        <w:t>. Each of these SHARP-related visits required</w:t>
      </w:r>
      <w:r w:rsidRPr="00C205CD">
        <w:t xml:space="preserve"> </w:t>
      </w:r>
      <w:r w:rsidRPr="00C205CD" w:rsidR="00CA01CD">
        <w:t>5 hours</w:t>
      </w:r>
      <w:r w:rsidRPr="00C205CD" w:rsidR="006321F9">
        <w:t xml:space="preserve"> to complete Form 33</w:t>
      </w:r>
      <w:r w:rsidRPr="00C205CD" w:rsidR="00AA29DA">
        <w:t xml:space="preserve">. </w:t>
      </w:r>
      <w:r w:rsidRPr="00C205CD" w:rsidR="00D9275B">
        <w:t>T</w:t>
      </w:r>
      <w:r w:rsidRPr="00C205CD">
        <w:t xml:space="preserve">he total annual burden hours for </w:t>
      </w:r>
      <w:r w:rsidRPr="00C205CD" w:rsidR="00735E4C">
        <w:t xml:space="preserve">SHARP </w:t>
      </w:r>
      <w:r w:rsidRPr="00C205CD" w:rsidR="00102F22">
        <w:t xml:space="preserve">assessments </w:t>
      </w:r>
      <w:r w:rsidRPr="00C205CD" w:rsidR="00FC206B">
        <w:t xml:space="preserve">in FY </w:t>
      </w:r>
      <w:r w:rsidRPr="00C205CD" w:rsidR="006321F9">
        <w:t xml:space="preserve">2023 </w:t>
      </w:r>
      <w:r w:rsidRPr="00C205CD" w:rsidR="00FC206B">
        <w:t>was</w:t>
      </w:r>
      <w:r w:rsidRPr="00C205CD">
        <w:t xml:space="preserve"> </w:t>
      </w:r>
      <w:r w:rsidRPr="00C205CD" w:rsidR="006321F9">
        <w:t>4,61</w:t>
      </w:r>
      <w:r w:rsidRPr="00C205CD" w:rsidR="002A37B5">
        <w:t>5</w:t>
      </w:r>
      <w:r w:rsidRPr="00C205CD" w:rsidR="00A97621">
        <w:t xml:space="preserve"> </w:t>
      </w:r>
      <w:r w:rsidRPr="00C205CD">
        <w:t>hours.</w:t>
      </w:r>
    </w:p>
    <w:p w:rsidR="00517058" w:rsidRPr="00C205CD" w:rsidP="00320EC9" w14:paraId="32C3E86E" w14:textId="77777777">
      <w:pPr>
        <w:ind w:left="1440"/>
      </w:pPr>
    </w:p>
    <w:p w:rsidR="00235F75" w:rsidRPr="00C205CD" w:rsidP="00320EC9" w14:paraId="32256AFA" w14:textId="27579BFF">
      <w:pPr>
        <w:ind w:left="1440"/>
      </w:pPr>
      <w:r w:rsidRPr="00C205CD">
        <w:t xml:space="preserve">A total of </w:t>
      </w:r>
      <w:r w:rsidRPr="00C205CD" w:rsidR="006321F9">
        <w:t>9,86</w:t>
      </w:r>
      <w:r w:rsidRPr="00C205CD" w:rsidR="00205BAF">
        <w:t>4</w:t>
      </w:r>
      <w:r w:rsidRPr="00C205CD" w:rsidR="00E410EB">
        <w:t xml:space="preserve"> </w:t>
      </w:r>
      <w:r w:rsidRPr="00C205CD">
        <w:t>work</w:t>
      </w:r>
      <w:r w:rsidRPr="00C205CD" w:rsidR="004F6C6F">
        <w:t>places</w:t>
      </w:r>
      <w:r w:rsidRPr="00C205CD">
        <w:t xml:space="preserve"> received </w:t>
      </w:r>
      <w:r w:rsidRPr="00C205CD" w:rsidR="00A11FBE">
        <w:t>f</w:t>
      </w:r>
      <w:r w:rsidRPr="00C205CD">
        <w:t>ull</w:t>
      </w:r>
      <w:r w:rsidRPr="00C205CD" w:rsidR="00A11FBE">
        <w:t>-s</w:t>
      </w:r>
      <w:r w:rsidRPr="00C205CD">
        <w:t xml:space="preserve">ervice </w:t>
      </w:r>
      <w:r w:rsidRPr="00C205CD" w:rsidR="00A11FBE">
        <w:t>s</w:t>
      </w:r>
      <w:r w:rsidRPr="00C205CD">
        <w:t xml:space="preserve">afety and </w:t>
      </w:r>
      <w:r w:rsidRPr="00C205CD" w:rsidR="00A11FBE">
        <w:t>h</w:t>
      </w:r>
      <w:r w:rsidRPr="00C205CD">
        <w:t>ealth visits</w:t>
      </w:r>
      <w:r w:rsidRPr="00C205CD" w:rsidR="00AE0AE4">
        <w:t xml:space="preserve"> not involving SHARP assessments</w:t>
      </w:r>
      <w:r w:rsidRPr="00C205CD">
        <w:t xml:space="preserve"> </w:t>
      </w:r>
      <w:r w:rsidRPr="00C205CD" w:rsidR="0021419B">
        <w:t xml:space="preserve">in FY </w:t>
      </w:r>
      <w:r w:rsidRPr="00C205CD" w:rsidR="006321F9">
        <w:t>2023</w:t>
      </w:r>
      <w:r w:rsidRPr="00C205CD" w:rsidR="00A11FBE">
        <w:t xml:space="preserve">, </w:t>
      </w:r>
      <w:r w:rsidRPr="00C205CD">
        <w:t xml:space="preserve">each requiring 5 hours to complete </w:t>
      </w:r>
      <w:r w:rsidRPr="00C205CD" w:rsidR="0094392E">
        <w:t>all 58 entries of the</w:t>
      </w:r>
      <w:r w:rsidRPr="00C205CD">
        <w:t xml:space="preserve"> Form 33, </w:t>
      </w:r>
      <w:r w:rsidRPr="00C205CD" w:rsidR="00C8391C">
        <w:t xml:space="preserve">resulting in </w:t>
      </w:r>
      <w:r w:rsidRPr="00C205CD">
        <w:t xml:space="preserve">total annual burden hours </w:t>
      </w:r>
      <w:r w:rsidRPr="00C205CD" w:rsidR="00C8391C">
        <w:t>of</w:t>
      </w:r>
      <w:r w:rsidRPr="00C205CD" w:rsidR="0021419B">
        <w:t xml:space="preserve"> </w:t>
      </w:r>
      <w:r w:rsidRPr="00C205CD" w:rsidR="006321F9">
        <w:t>49,3</w:t>
      </w:r>
      <w:r w:rsidRPr="00C205CD" w:rsidR="00707C8A">
        <w:t>20</w:t>
      </w:r>
      <w:r w:rsidRPr="00C205CD" w:rsidR="00CC1437">
        <w:t xml:space="preserve"> hours</w:t>
      </w:r>
      <w:r w:rsidRPr="00C205CD">
        <w:t>.</w:t>
      </w:r>
    </w:p>
    <w:p w:rsidR="00D427DF" w:rsidRPr="00C205CD" w:rsidP="00320EC9" w14:paraId="06BBA33E" w14:textId="77777777">
      <w:pPr>
        <w:ind w:left="1440"/>
      </w:pPr>
    </w:p>
    <w:p w:rsidR="00467EEB" w:rsidRPr="00C205CD" w:rsidP="00467EEB" w14:paraId="1C70607F" w14:textId="5B8CC3D7">
      <w:pPr>
        <w:ind w:firstLine="720"/>
        <w:rPr>
          <w:u w:val="single"/>
        </w:rPr>
      </w:pPr>
      <w:r w:rsidRPr="00C205CD">
        <w:t>B</w:t>
      </w:r>
      <w:r w:rsidRPr="00C205CD" w:rsidR="002C65D8">
        <w:t>.</w:t>
      </w:r>
      <w:r w:rsidRPr="00C205CD">
        <w:tab/>
      </w:r>
      <w:r w:rsidRPr="00C205CD" w:rsidR="00A328B8">
        <w:rPr>
          <w:u w:val="single"/>
        </w:rPr>
        <w:t xml:space="preserve">29 CFR </w:t>
      </w:r>
      <w:r w:rsidRPr="00C205CD">
        <w:rPr>
          <w:u w:val="single"/>
        </w:rPr>
        <w:t>1908.6(e)</w:t>
      </w:r>
      <w:r w:rsidRPr="00C205CD" w:rsidR="00866114">
        <w:rPr>
          <w:u w:val="single"/>
        </w:rPr>
        <w:t>(</w:t>
      </w:r>
      <w:r w:rsidRPr="00C205CD">
        <w:rPr>
          <w:u w:val="single"/>
        </w:rPr>
        <w:t>8</w:t>
      </w:r>
      <w:r w:rsidRPr="00C205CD" w:rsidR="00E71AF1">
        <w:rPr>
          <w:u w:val="single"/>
        </w:rPr>
        <w:t>)</w:t>
      </w:r>
      <w:r w:rsidRPr="00C205CD">
        <w:rPr>
          <w:u w:val="single"/>
        </w:rPr>
        <w:t>:</w:t>
      </w:r>
    </w:p>
    <w:p w:rsidR="0030717E" w:rsidRPr="00C205CD" w:rsidP="00467EEB" w14:paraId="11CBE091" w14:textId="67085296">
      <w:pPr>
        <w:ind w:left="1440"/>
      </w:pPr>
      <w:r w:rsidRPr="00C205CD">
        <w:t xml:space="preserve">Prepare and transmit a </w:t>
      </w:r>
      <w:r w:rsidRPr="00C205CD" w:rsidR="00FD4434">
        <w:t>L</w:t>
      </w:r>
      <w:r w:rsidRPr="00C205CD">
        <w:t xml:space="preserve">ist of </w:t>
      </w:r>
      <w:r w:rsidRPr="00C205CD" w:rsidR="00FD4434">
        <w:t>H</w:t>
      </w:r>
      <w:r w:rsidRPr="00C205CD">
        <w:t>azards</w:t>
      </w:r>
      <w:r w:rsidRPr="00C205CD" w:rsidR="002A5DA9">
        <w:t xml:space="preserve"> that includes the hazard</w:t>
      </w:r>
      <w:r w:rsidRPr="00C205CD">
        <w:t xml:space="preserve"> correction due dates</w:t>
      </w:r>
      <w:r w:rsidRPr="00C205CD" w:rsidR="00AA29DA">
        <w:t xml:space="preserve">. </w:t>
      </w:r>
    </w:p>
    <w:p w:rsidR="005C64BE" w:rsidRPr="00C205CD" w:rsidP="00DA70BE" w14:paraId="0B906E62" w14:textId="77777777"/>
    <w:p w:rsidR="00467EEB" w:rsidRPr="00C205CD" w:rsidP="00467EEB" w14:paraId="0465C0D0" w14:textId="63DD5AEC">
      <w:pPr>
        <w:ind w:left="1440"/>
      </w:pPr>
      <w:r w:rsidRPr="00C205CD">
        <w:t>OSHA has determined it takes the consultant an average of five minutes</w:t>
      </w:r>
      <w:r w:rsidRPr="00C205CD" w:rsidR="009078D2">
        <w:t xml:space="preserve"> (</w:t>
      </w:r>
      <w:r w:rsidRPr="00C205CD" w:rsidR="005E5E48">
        <w:t>5/60)</w:t>
      </w:r>
      <w:r w:rsidRPr="00C205CD" w:rsidR="009078D2">
        <w:t xml:space="preserve"> hour) </w:t>
      </w:r>
      <w:r w:rsidRPr="00C205CD">
        <w:t xml:space="preserve">to compile the list. </w:t>
      </w:r>
      <w:r w:rsidRPr="00C205CD" w:rsidR="006321F9">
        <w:t xml:space="preserve">According to Consultation data entered into OIS in FY 2023, serious </w:t>
      </w:r>
      <w:r w:rsidRPr="00C205CD" w:rsidR="000E596B">
        <w:t>and</w:t>
      </w:r>
      <w:r w:rsidRPr="00C205CD" w:rsidR="00C47F65">
        <w:t>/or</w:t>
      </w:r>
      <w:r w:rsidRPr="00C205CD" w:rsidR="000E596B">
        <w:t xml:space="preserve"> imminent danger </w:t>
      </w:r>
      <w:r w:rsidRPr="00C205CD" w:rsidR="006321F9">
        <w:t>hazards were identified in 12,98</w:t>
      </w:r>
      <w:r w:rsidRPr="00C205CD" w:rsidR="009F0CAF">
        <w:t>2</w:t>
      </w:r>
      <w:r w:rsidRPr="00C205CD" w:rsidR="006321F9">
        <w:t xml:space="preserve"> of the 18,384 </w:t>
      </w:r>
      <w:r w:rsidRPr="00C205CD" w:rsidR="007F1173">
        <w:t xml:space="preserve">initial consultation </w:t>
      </w:r>
      <w:r w:rsidRPr="00C205CD" w:rsidR="006321F9">
        <w:t>visits, which resulted in annual burden hours of 1,0</w:t>
      </w:r>
      <w:r w:rsidRPr="00C205CD" w:rsidR="009F6F12">
        <w:t>82</w:t>
      </w:r>
      <w:r w:rsidRPr="00C205CD" w:rsidR="006321F9">
        <w:t xml:space="preserve"> </w:t>
      </w:r>
      <w:r w:rsidRPr="00C205CD" w:rsidR="006321F9">
        <w:t xml:space="preserve">hours. </w:t>
      </w:r>
    </w:p>
    <w:p w:rsidR="009078D2" w:rsidRPr="00C205CD" w:rsidP="00467EEB" w14:paraId="464FCBC1" w14:textId="77777777">
      <w:pPr>
        <w:ind w:left="1440"/>
      </w:pPr>
    </w:p>
    <w:p w:rsidR="002C65D8" w:rsidRPr="00C205CD" w:rsidP="5A644184" w14:paraId="291829EA" w14:textId="24581353">
      <w:pPr>
        <w:ind w:firstLine="720"/>
        <w:rPr>
          <w:u w:val="single"/>
        </w:rPr>
      </w:pPr>
      <w:r w:rsidRPr="00C205CD">
        <w:t>C.</w:t>
      </w:r>
      <w:r w:rsidRPr="00C205CD">
        <w:tab/>
      </w:r>
      <w:r w:rsidRPr="00C205CD" w:rsidR="00A328B8">
        <w:rPr>
          <w:u w:val="single"/>
        </w:rPr>
        <w:t>29 CFR</w:t>
      </w:r>
      <w:r w:rsidRPr="00C205CD" w:rsidR="00A328B8">
        <w:rPr>
          <w:b/>
          <w:bCs/>
          <w:u w:val="single"/>
        </w:rPr>
        <w:t xml:space="preserve"> </w:t>
      </w:r>
      <w:r w:rsidRPr="00C205CD">
        <w:rPr>
          <w:u w:val="single"/>
        </w:rPr>
        <w:t>1908.6(f)(1) and (4):</w:t>
      </w:r>
    </w:p>
    <w:p w:rsidR="009C5CC2" w:rsidRPr="00C205CD" w:rsidP="002C65D8" w14:paraId="276D0E4F" w14:textId="3DF6017A">
      <w:pPr>
        <w:ind w:left="1440"/>
      </w:pPr>
      <w:r w:rsidRPr="00C205CD">
        <w:t xml:space="preserve">Inform enforcement authority if the employer fails to take action to correct </w:t>
      </w:r>
      <w:r w:rsidRPr="00C205CD" w:rsidR="007F1173">
        <w:t xml:space="preserve">a </w:t>
      </w:r>
      <w:r w:rsidRPr="00C205CD">
        <w:t>serious hazard</w:t>
      </w:r>
      <w:r w:rsidRPr="00C205CD" w:rsidR="007F1173">
        <w:t xml:space="preserve"> or any imminent danger hazard;</w:t>
      </w:r>
      <w:r w:rsidRPr="00C205CD">
        <w:t xml:space="preserve"> and/or fails to comply with the requirement to post </w:t>
      </w:r>
      <w:r w:rsidRPr="00C205CD" w:rsidR="00360589">
        <w:t>the List of Hazards</w:t>
      </w:r>
      <w:r w:rsidRPr="00C205CD" w:rsidR="00AA29DA">
        <w:t xml:space="preserve">. </w:t>
      </w:r>
    </w:p>
    <w:p w:rsidR="009C5CC2" w:rsidRPr="00C205CD" w:rsidP="002C65D8" w14:paraId="2CA9030E" w14:textId="77777777">
      <w:pPr>
        <w:ind w:left="1440"/>
      </w:pPr>
    </w:p>
    <w:p w:rsidR="002C65D8" w:rsidRPr="00C205CD" w:rsidP="009C5CC2" w14:paraId="4352CAAF" w14:textId="2F392DF0">
      <w:pPr>
        <w:ind w:left="1440"/>
      </w:pPr>
      <w:r w:rsidRPr="00C205CD">
        <w:t xml:space="preserve">The </w:t>
      </w:r>
      <w:r w:rsidRPr="00C205CD" w:rsidR="00954BC8">
        <w:t>On-Site</w:t>
      </w:r>
      <w:r w:rsidRPr="00C205CD">
        <w:t xml:space="preserve"> Consultation </w:t>
      </w:r>
      <w:r w:rsidRPr="00C205CD" w:rsidR="00360589">
        <w:t>p</w:t>
      </w:r>
      <w:r w:rsidRPr="00C205CD" w:rsidR="0020737B">
        <w:t>rogram</w:t>
      </w:r>
      <w:r w:rsidRPr="00C205CD">
        <w:t xml:space="preserve"> manager is responsible for making referrals to the enforcement authority</w:t>
      </w:r>
      <w:r w:rsidRPr="00C205CD" w:rsidR="00AA29DA">
        <w:t xml:space="preserve">. </w:t>
      </w:r>
      <w:r w:rsidRPr="00C205CD" w:rsidR="006602CE">
        <w:t>OSHA estimates that n</w:t>
      </w:r>
      <w:r w:rsidRPr="00C205CD" w:rsidR="00360589">
        <w:t>otification of the enforcement</w:t>
      </w:r>
      <w:r w:rsidRPr="00C205CD" w:rsidR="00BA21B3">
        <w:t xml:space="preserve"> authority</w:t>
      </w:r>
      <w:r w:rsidRPr="00C205CD" w:rsidR="00360589">
        <w:t xml:space="preserve"> would </w:t>
      </w:r>
      <w:r w:rsidRPr="00C205CD" w:rsidR="006602CE">
        <w:t>require</w:t>
      </w:r>
      <w:r w:rsidRPr="00C205CD" w:rsidR="003D57A3">
        <w:t xml:space="preserve"> 30</w:t>
      </w:r>
      <w:r w:rsidRPr="00C205CD" w:rsidR="004B641B">
        <w:t xml:space="preserve"> minutes (</w:t>
      </w:r>
      <w:r w:rsidRPr="00C205CD">
        <w:t>0.5 hour</w:t>
      </w:r>
      <w:r w:rsidRPr="00C205CD" w:rsidR="004B641B">
        <w:t>)</w:t>
      </w:r>
      <w:r w:rsidRPr="00C205CD" w:rsidR="00AA29DA">
        <w:t xml:space="preserve">. </w:t>
      </w:r>
      <w:r w:rsidRPr="00C205CD" w:rsidR="006602CE">
        <w:t xml:space="preserve">OIS data indicate that 0 visits resulted in referrals to enforcement in FY 2023, resulting in </w:t>
      </w:r>
      <w:r w:rsidRPr="00C205CD">
        <w:t xml:space="preserve">burden hour </w:t>
      </w:r>
      <w:r w:rsidRPr="00C205CD" w:rsidR="003D57A3">
        <w:t>of</w:t>
      </w:r>
      <w:r w:rsidRPr="00C205CD">
        <w:t xml:space="preserve"> </w:t>
      </w:r>
      <w:r w:rsidRPr="00C205CD" w:rsidR="006321F9">
        <w:t>0</w:t>
      </w:r>
      <w:r w:rsidRPr="00C205CD" w:rsidR="00E37F6A">
        <w:rPr>
          <w:b/>
          <w:bCs/>
        </w:rPr>
        <w:t xml:space="preserve"> </w:t>
      </w:r>
      <w:r w:rsidRPr="00C205CD" w:rsidR="00C8391C">
        <w:t>hour</w:t>
      </w:r>
      <w:r w:rsidRPr="00C205CD">
        <w:t>.</w:t>
      </w:r>
    </w:p>
    <w:p w:rsidR="004B641B" w:rsidRPr="00C205CD" w:rsidP="00710CE1" w14:paraId="3382A365" w14:textId="77777777">
      <w:pPr>
        <w:ind w:left="1440"/>
      </w:pPr>
    </w:p>
    <w:p w:rsidR="00FC4BF3" w:rsidRPr="00C205CD" w:rsidP="004A2281" w14:paraId="2B40A172" w14:textId="71FE384F">
      <w:pPr>
        <w:ind w:firstLine="720"/>
        <w:rPr>
          <w:u w:val="single"/>
        </w:rPr>
      </w:pPr>
      <w:r w:rsidRPr="00C205CD">
        <w:t>D</w:t>
      </w:r>
      <w:r w:rsidRPr="00C205CD" w:rsidR="004A2281">
        <w:t>.</w:t>
      </w:r>
      <w:r w:rsidRPr="00C205CD">
        <w:tab/>
      </w:r>
      <w:r w:rsidRPr="00C205CD" w:rsidR="00A328B8">
        <w:rPr>
          <w:u w:val="single"/>
        </w:rPr>
        <w:t>29 CFR</w:t>
      </w:r>
      <w:r w:rsidRPr="00C205CD" w:rsidR="00A328B8">
        <w:rPr>
          <w:b/>
          <w:bCs/>
          <w:u w:val="single"/>
        </w:rPr>
        <w:t xml:space="preserve"> </w:t>
      </w:r>
      <w:r w:rsidRPr="00C205CD" w:rsidR="003D7551">
        <w:rPr>
          <w:u w:val="single"/>
        </w:rPr>
        <w:t>1908.6(g</w:t>
      </w:r>
      <w:r w:rsidRPr="00C205CD">
        <w:rPr>
          <w:u w:val="single"/>
        </w:rPr>
        <w:t>)</w:t>
      </w:r>
      <w:r w:rsidRPr="00C205CD" w:rsidR="003D7551">
        <w:rPr>
          <w:u w:val="single"/>
        </w:rPr>
        <w:t>(1)</w:t>
      </w:r>
      <w:r w:rsidRPr="00C205CD">
        <w:rPr>
          <w:u w:val="single"/>
        </w:rPr>
        <w:t>:</w:t>
      </w:r>
    </w:p>
    <w:p w:rsidR="009C5CC2" w:rsidRPr="00C205CD" w:rsidP="00467EEB" w14:paraId="3F80F1C4" w14:textId="3FA40B62">
      <w:pPr>
        <w:ind w:left="1440"/>
      </w:pPr>
      <w:r w:rsidRPr="00C205CD">
        <w:t>Prepare and transmit</w:t>
      </w:r>
      <w:r w:rsidRPr="00C205CD" w:rsidR="00033BC5">
        <w:t xml:space="preserve"> a</w:t>
      </w:r>
      <w:r w:rsidRPr="00C205CD">
        <w:t xml:space="preserve"> written rep</w:t>
      </w:r>
      <w:r w:rsidRPr="00C205CD" w:rsidR="00385988">
        <w:t>ort</w:t>
      </w:r>
      <w:r w:rsidRPr="00C205CD" w:rsidR="00033BC5">
        <w:t xml:space="preserve"> to the employer</w:t>
      </w:r>
      <w:r w:rsidRPr="00C205CD" w:rsidR="00571644">
        <w:t xml:space="preserve"> for each </w:t>
      </w:r>
      <w:r w:rsidRPr="00C205CD" w:rsidR="00842490">
        <w:t xml:space="preserve">initial </w:t>
      </w:r>
      <w:r w:rsidRPr="00C205CD" w:rsidR="00954BC8">
        <w:t>On-Site</w:t>
      </w:r>
      <w:r w:rsidRPr="00C205CD" w:rsidR="00E26637">
        <w:t xml:space="preserve"> C</w:t>
      </w:r>
      <w:r w:rsidRPr="00C205CD" w:rsidR="00571644">
        <w:t>onsultation visit</w:t>
      </w:r>
      <w:r w:rsidRPr="00C205CD" w:rsidR="00AA29DA">
        <w:t xml:space="preserve">. </w:t>
      </w:r>
    </w:p>
    <w:p w:rsidR="009C5CC2" w:rsidRPr="00C205CD" w:rsidP="00467EEB" w14:paraId="6C96D4C9" w14:textId="77777777">
      <w:pPr>
        <w:ind w:left="1440"/>
      </w:pPr>
    </w:p>
    <w:p w:rsidR="00704E0C" w:rsidRPr="00C205CD" w:rsidP="00704E0C" w14:paraId="7390F1E2" w14:textId="507A8A17">
      <w:pPr>
        <w:ind w:left="1440"/>
      </w:pPr>
      <w:r w:rsidRPr="00C205CD">
        <w:t>The report consists of</w:t>
      </w:r>
      <w:r w:rsidRPr="00C205CD" w:rsidR="00CB4D0E">
        <w:t>:</w:t>
      </w:r>
      <w:r w:rsidRPr="00C205CD">
        <w:t xml:space="preserve"> </w:t>
      </w:r>
      <w:r w:rsidRPr="00C205CD" w:rsidR="00934250">
        <w:t>a</w:t>
      </w:r>
      <w:r w:rsidRPr="00C205CD" w:rsidR="00CB4D0E">
        <w:t>) a</w:t>
      </w:r>
      <w:r w:rsidRPr="00C205CD" w:rsidR="00934250">
        <w:t xml:space="preserve"> restatement of the employer’s request for </w:t>
      </w:r>
      <w:r w:rsidRPr="00C205CD" w:rsidR="006730BE">
        <w:t>c</w:t>
      </w:r>
      <w:r w:rsidRPr="00C205CD" w:rsidR="00D9286A">
        <w:t>onsultation services</w:t>
      </w:r>
      <w:r w:rsidRPr="00C205CD" w:rsidR="00DA167C">
        <w:t xml:space="preserve">; b) </w:t>
      </w:r>
      <w:r w:rsidRPr="00C205CD" w:rsidR="00571644">
        <w:t xml:space="preserve">a description of </w:t>
      </w:r>
      <w:r w:rsidRPr="00C205CD" w:rsidR="00495BBD">
        <w:t>the</w:t>
      </w:r>
      <w:r w:rsidRPr="00C205CD" w:rsidR="00DF774D">
        <w:t xml:space="preserve"> workplace and</w:t>
      </w:r>
      <w:r w:rsidRPr="00C205CD" w:rsidR="00495BBD">
        <w:t xml:space="preserve"> working conditions</w:t>
      </w:r>
      <w:r w:rsidRPr="00C205CD" w:rsidR="00934250">
        <w:t>;</w:t>
      </w:r>
      <w:r w:rsidRPr="00C205CD" w:rsidR="00CB4D0E">
        <w:t xml:space="preserve"> </w:t>
      </w:r>
      <w:r w:rsidRPr="00C205CD" w:rsidR="00DA167C">
        <w:t>c</w:t>
      </w:r>
      <w:r w:rsidRPr="00C205CD" w:rsidR="00CB4D0E">
        <w:t>) a</w:t>
      </w:r>
      <w:r w:rsidRPr="00C205CD" w:rsidR="00934250">
        <w:t xml:space="preserve"> </w:t>
      </w:r>
      <w:r w:rsidRPr="00C205CD" w:rsidR="00CB4D0E">
        <w:t>description of</w:t>
      </w:r>
      <w:r w:rsidRPr="00C205CD" w:rsidR="00033BC5">
        <w:t xml:space="preserve"> </w:t>
      </w:r>
      <w:r w:rsidRPr="00C205CD" w:rsidR="00571644">
        <w:t xml:space="preserve">all </w:t>
      </w:r>
      <w:r w:rsidRPr="00C205CD" w:rsidR="00385988">
        <w:t>hazards identified</w:t>
      </w:r>
      <w:r w:rsidRPr="00C205CD" w:rsidR="003904F4">
        <w:t xml:space="preserve"> dur</w:t>
      </w:r>
      <w:r w:rsidRPr="00C205CD" w:rsidR="00CB4D0E">
        <w:t xml:space="preserve">ing the </w:t>
      </w:r>
      <w:r w:rsidRPr="00C205CD" w:rsidR="00DA167C">
        <w:t xml:space="preserve">initial </w:t>
      </w:r>
      <w:r w:rsidRPr="00C205CD" w:rsidR="00954BC8">
        <w:t>On-Site</w:t>
      </w:r>
      <w:r w:rsidRPr="00C205CD" w:rsidR="00E26637">
        <w:t xml:space="preserve"> Consultation visit, </w:t>
      </w:r>
      <w:r w:rsidRPr="00C205CD" w:rsidR="00495BBD">
        <w:t>including a reference to the applicable standards and codes</w:t>
      </w:r>
      <w:r w:rsidRPr="00C205CD" w:rsidR="00CB4D0E">
        <w:t xml:space="preserve">; </w:t>
      </w:r>
      <w:r w:rsidRPr="00C205CD" w:rsidR="00DA167C">
        <w:t>d</w:t>
      </w:r>
      <w:r w:rsidRPr="00C205CD" w:rsidR="00CB4D0E">
        <w:t>) an evaluation of</w:t>
      </w:r>
      <w:r w:rsidRPr="00C205CD" w:rsidR="003904F4">
        <w:t xml:space="preserve"> the employer’s safety and health management p</w:t>
      </w:r>
      <w:r w:rsidRPr="00C205CD" w:rsidR="00644F5B">
        <w:t>rogram</w:t>
      </w:r>
      <w:r w:rsidRPr="00C205CD" w:rsidR="00495BBD">
        <w:t xml:space="preserve"> and suggestions to improve it</w:t>
      </w:r>
      <w:r w:rsidRPr="00C205CD" w:rsidR="003904F4">
        <w:t xml:space="preserve">; </w:t>
      </w:r>
      <w:r w:rsidRPr="00C205CD" w:rsidR="00DA167C">
        <w:t>e</w:t>
      </w:r>
      <w:r w:rsidRPr="00C205CD" w:rsidR="00CB4D0E">
        <w:t>) suggested</w:t>
      </w:r>
      <w:r w:rsidRPr="00C205CD">
        <w:t xml:space="preserve"> means or approaches to correct the identified hazards</w:t>
      </w:r>
      <w:r w:rsidRPr="00C205CD" w:rsidR="00571644">
        <w:t>;</w:t>
      </w:r>
      <w:r w:rsidRPr="00C205CD" w:rsidR="006117AB">
        <w:t xml:space="preserve"> </w:t>
      </w:r>
      <w:r w:rsidRPr="00C205CD" w:rsidR="00DA167C">
        <w:t>f</w:t>
      </w:r>
      <w:r w:rsidRPr="00C205CD" w:rsidR="006117AB">
        <w:t>) references to additional sources of assistance to correct a hazard</w:t>
      </w:r>
      <w:r w:rsidRPr="00C205CD" w:rsidR="00571644">
        <w:t xml:space="preserve">; and </w:t>
      </w:r>
      <w:r w:rsidRPr="00C205CD" w:rsidR="00D17FD4">
        <w:t>g</w:t>
      </w:r>
      <w:r w:rsidRPr="00C205CD" w:rsidR="00571644">
        <w:t>) completion dates for</w:t>
      </w:r>
      <w:r w:rsidRPr="00C205CD" w:rsidR="00495BBD">
        <w:t xml:space="preserve"> the</w:t>
      </w:r>
      <w:r w:rsidRPr="00C205CD" w:rsidR="00571644">
        <w:t xml:space="preserve"> correction of hazards</w:t>
      </w:r>
      <w:r w:rsidRPr="00C205CD" w:rsidR="00AA29DA">
        <w:t xml:space="preserve">. </w:t>
      </w:r>
    </w:p>
    <w:p w:rsidR="00330F18" w:rsidRPr="00C205CD" w:rsidP="00704E0C" w14:paraId="089AF5EB" w14:textId="77777777">
      <w:pPr>
        <w:ind w:left="1440"/>
      </w:pPr>
    </w:p>
    <w:p w:rsidR="00DA7172" w:rsidRPr="00C205CD" w:rsidP="00704E0C" w14:paraId="3A7F4059" w14:textId="61D68D23">
      <w:pPr>
        <w:ind w:left="1440"/>
      </w:pPr>
      <w:r w:rsidRPr="00C205CD">
        <w:t>OSHA estimates that it takes a</w:t>
      </w:r>
      <w:r w:rsidRPr="00C205CD" w:rsidR="00421002">
        <w:t xml:space="preserve"> consultant an average of </w:t>
      </w:r>
      <w:r w:rsidRPr="00C205CD">
        <w:t xml:space="preserve">3.0 hours </w:t>
      </w:r>
      <w:r w:rsidRPr="00C205CD" w:rsidR="00AE0AC8">
        <w:t xml:space="preserve">to complete the written report </w:t>
      </w:r>
      <w:r w:rsidRPr="00C205CD">
        <w:t>for a limited-service safety or health consultation visit</w:t>
      </w:r>
      <w:r w:rsidRPr="00C205CD" w:rsidR="001B64C1">
        <w:t>, and</w:t>
      </w:r>
      <w:r w:rsidRPr="00C205CD" w:rsidR="00AE0AC8">
        <w:t xml:space="preserve"> 7.5 hours to complete the written report for a full-service safety and health consultation visit.</w:t>
      </w:r>
    </w:p>
    <w:p w:rsidR="00DA7172" w:rsidRPr="00C205CD" w:rsidP="00704E0C" w14:paraId="2EDEB00E" w14:textId="77777777">
      <w:pPr>
        <w:ind w:left="1440"/>
      </w:pPr>
    </w:p>
    <w:p w:rsidR="00C41FF1" w:rsidRPr="00C205CD" w:rsidP="00704E0C" w14:paraId="33B447CF" w14:textId="03951CC1">
      <w:pPr>
        <w:ind w:left="1440"/>
      </w:pPr>
      <w:r w:rsidRPr="00C205CD">
        <w:t>In FY 2023, there were 18,384 initial consultation visits</w:t>
      </w:r>
      <w:r w:rsidRPr="00C205CD" w:rsidR="003D57A3">
        <w:t xml:space="preserve">. </w:t>
      </w:r>
      <w:r w:rsidRPr="00C205CD" w:rsidR="004D6505">
        <w:t>Of this total, 7,598 initial consultation visits were limited-service safety or health</w:t>
      </w:r>
      <w:r w:rsidRPr="00C205CD" w:rsidR="00330F18">
        <w:t xml:space="preserve"> visits</w:t>
      </w:r>
      <w:r w:rsidRPr="00C205CD" w:rsidR="004D6505">
        <w:t xml:space="preserve">; </w:t>
      </w:r>
      <w:r w:rsidRPr="00C205CD" w:rsidR="00952532">
        <w:t>10,78</w:t>
      </w:r>
      <w:r w:rsidRPr="00C205CD" w:rsidR="00186160">
        <w:t>6</w:t>
      </w:r>
      <w:r w:rsidRPr="00C205CD" w:rsidR="004D6505">
        <w:t xml:space="preserve"> were full-service safety and health visits </w:t>
      </w:r>
      <w:r w:rsidRPr="00C205CD" w:rsidR="00C55EBA">
        <w:t>(involving SHARP</w:t>
      </w:r>
      <w:r w:rsidRPr="00C205CD" w:rsidR="00541C01">
        <w:t>/Pre-SHARP</w:t>
      </w:r>
      <w:r w:rsidRPr="00C205CD" w:rsidR="00C55EBA">
        <w:t xml:space="preserve"> and non-SHARP assessments)</w:t>
      </w:r>
      <w:r w:rsidRPr="00C205CD" w:rsidR="00AA29DA">
        <w:t xml:space="preserve">. </w:t>
      </w:r>
    </w:p>
    <w:p w:rsidR="00C41FF1" w:rsidRPr="00C205CD" w:rsidP="00704E0C" w14:paraId="2AF4D8C6" w14:textId="77777777">
      <w:pPr>
        <w:ind w:left="1440"/>
      </w:pPr>
    </w:p>
    <w:p w:rsidR="00FC4BF3" w:rsidRPr="00C205CD" w:rsidP="00704E0C" w14:paraId="3065AA9B" w14:textId="55EAA3ED">
      <w:pPr>
        <w:ind w:left="1440"/>
      </w:pPr>
      <w:r w:rsidRPr="00C205CD">
        <w:t>The</w:t>
      </w:r>
      <w:r w:rsidRPr="00C205CD" w:rsidR="007E66EC">
        <w:t xml:space="preserve"> resulting burden hours</w:t>
      </w:r>
      <w:r w:rsidRPr="00C205CD" w:rsidR="00495BBD">
        <w:t xml:space="preserve"> </w:t>
      </w:r>
      <w:r w:rsidRPr="00C205CD">
        <w:t xml:space="preserve">in FY </w:t>
      </w:r>
      <w:r w:rsidRPr="00C205CD" w:rsidR="006321F9">
        <w:t xml:space="preserve">2023 </w:t>
      </w:r>
      <w:r w:rsidRPr="00C205CD" w:rsidR="00495BBD">
        <w:t xml:space="preserve">for </w:t>
      </w:r>
      <w:r w:rsidRPr="00C205CD" w:rsidR="00954478">
        <w:t xml:space="preserve">completing the written report </w:t>
      </w:r>
      <w:r w:rsidRPr="00C205CD">
        <w:t>was</w:t>
      </w:r>
      <w:r w:rsidRPr="00C205CD" w:rsidR="00592F5A">
        <w:t xml:space="preserve"> </w:t>
      </w:r>
      <w:r w:rsidRPr="00C205CD" w:rsidR="0010604C">
        <w:t>22,794</w:t>
      </w:r>
      <w:r w:rsidRPr="00C205CD" w:rsidR="00D74D28">
        <w:t xml:space="preserve"> hours plus </w:t>
      </w:r>
      <w:r w:rsidRPr="00C205CD" w:rsidR="00C41FF1">
        <w:t>80,895 hours</w:t>
      </w:r>
      <w:r w:rsidRPr="00C205CD" w:rsidR="00954478">
        <w:t xml:space="preserve">, </w:t>
      </w:r>
      <w:r w:rsidRPr="00C205CD" w:rsidR="00C41FF1">
        <w:t>totaling</w:t>
      </w:r>
      <w:r w:rsidRPr="00C205CD" w:rsidR="007E66EC">
        <w:t xml:space="preserve"> </w:t>
      </w:r>
      <w:r w:rsidRPr="00C205CD" w:rsidR="00AE0AC8">
        <w:t>103,689 hours</w:t>
      </w:r>
      <w:r w:rsidRPr="00C205CD" w:rsidR="00AA29DA">
        <w:t xml:space="preserve">. </w:t>
      </w:r>
    </w:p>
    <w:p w:rsidR="004B641B" w:rsidRPr="00C205CD" w:rsidP="00467EEB" w14:paraId="5C71F136" w14:textId="77777777">
      <w:pPr>
        <w:ind w:left="1440"/>
      </w:pPr>
    </w:p>
    <w:p w:rsidR="00013D73" w:rsidRPr="00C205CD" w:rsidP="5A644184" w14:paraId="7A51A0FA" w14:textId="1A2CBC95">
      <w:pPr>
        <w:ind w:firstLine="720"/>
        <w:rPr>
          <w:u w:val="single"/>
        </w:rPr>
      </w:pPr>
      <w:r w:rsidRPr="00C205CD">
        <w:t>E.</w:t>
      </w:r>
      <w:r w:rsidRPr="00C205CD">
        <w:tab/>
      </w:r>
      <w:bookmarkStart w:id="8" w:name="_Hlk175490446"/>
      <w:r w:rsidRPr="00C205CD" w:rsidR="00E11653">
        <w:rPr>
          <w:u w:val="single"/>
        </w:rPr>
        <w:t>29 CFR</w:t>
      </w:r>
      <w:r w:rsidRPr="00C205CD" w:rsidR="00E11653">
        <w:rPr>
          <w:b/>
          <w:bCs/>
          <w:u w:val="single"/>
        </w:rPr>
        <w:t xml:space="preserve"> </w:t>
      </w:r>
      <w:bookmarkEnd w:id="8"/>
      <w:r w:rsidRPr="00C205CD">
        <w:rPr>
          <w:u w:val="single"/>
        </w:rPr>
        <w:t>1908.7(b)(1):</w:t>
      </w:r>
    </w:p>
    <w:p w:rsidR="00F875EA" w:rsidRPr="00C205CD" w:rsidP="00013D73" w14:paraId="4B8FE5CB" w14:textId="6B2B6ECA">
      <w:pPr>
        <w:ind w:left="1440"/>
      </w:pPr>
      <w:r w:rsidRPr="00C205CD">
        <w:t xml:space="preserve">Inform any OSHA or State </w:t>
      </w:r>
      <w:r w:rsidRPr="00C205CD" w:rsidR="005158CD">
        <w:t xml:space="preserve">Plan </w:t>
      </w:r>
      <w:r w:rsidRPr="00C205CD">
        <w:t>compliance officer who arrives</w:t>
      </w:r>
      <w:r w:rsidRPr="00C205CD" w:rsidR="009C5CC2">
        <w:t xml:space="preserve"> at a workplace</w:t>
      </w:r>
      <w:r w:rsidRPr="00C205CD">
        <w:t xml:space="preserve"> </w:t>
      </w:r>
      <w:r w:rsidRPr="00C205CD" w:rsidR="002D7C35">
        <w:t>when</w:t>
      </w:r>
      <w:r w:rsidRPr="00C205CD">
        <w:t xml:space="preserve"> an </w:t>
      </w:r>
      <w:r w:rsidRPr="00C205CD" w:rsidR="00954BC8">
        <w:t>On-Site</w:t>
      </w:r>
      <w:r w:rsidRPr="00C205CD">
        <w:t xml:space="preserve"> </w:t>
      </w:r>
      <w:r w:rsidRPr="00C205CD" w:rsidR="00FE6A01">
        <w:t xml:space="preserve">Consultation </w:t>
      </w:r>
      <w:r w:rsidRPr="00C205CD">
        <w:t>visit is in progress</w:t>
      </w:r>
      <w:r w:rsidRPr="00C205CD" w:rsidR="00AA29DA">
        <w:t xml:space="preserve">. </w:t>
      </w:r>
    </w:p>
    <w:p w:rsidR="00F875EA" w:rsidRPr="00C205CD" w:rsidP="00013D73" w14:paraId="2CDBA16C" w14:textId="77777777">
      <w:pPr>
        <w:ind w:left="1440"/>
      </w:pPr>
    </w:p>
    <w:p w:rsidR="00A80E3B" w:rsidRPr="00C205CD" w:rsidP="00283B73" w14:paraId="6594BA5E" w14:textId="4622A836">
      <w:pPr>
        <w:ind w:left="1440"/>
      </w:pPr>
      <w:r w:rsidRPr="00C205CD">
        <w:t xml:space="preserve">This requirement applies to any employer using the free consultation service and is designed to prevent a duplication of effort between </w:t>
      </w:r>
      <w:r w:rsidRPr="00C205CD" w:rsidR="00954BC8">
        <w:t>On-Site</w:t>
      </w:r>
      <w:r w:rsidRPr="00C205CD">
        <w:t xml:space="preserve"> </w:t>
      </w:r>
      <w:r w:rsidRPr="00C205CD" w:rsidR="00FE6A01">
        <w:t xml:space="preserve">Consultation </w:t>
      </w:r>
      <w:r w:rsidRPr="00C205CD">
        <w:t xml:space="preserve">and </w:t>
      </w:r>
      <w:r w:rsidRPr="00C205CD">
        <w:t>OSHA enforcement</w:t>
      </w:r>
      <w:r w:rsidRPr="00C205CD" w:rsidR="00AA29DA">
        <w:t xml:space="preserve">. </w:t>
      </w:r>
      <w:r w:rsidRPr="00C205CD">
        <w:t xml:space="preserve">OSHA estimates that </w:t>
      </w:r>
      <w:r w:rsidRPr="00C205CD" w:rsidR="00851BB3">
        <w:t>five (</w:t>
      </w:r>
      <w:r w:rsidRPr="00C205CD">
        <w:t>5</w:t>
      </w:r>
      <w:r w:rsidRPr="00C205CD" w:rsidR="00851BB3">
        <w:t>)</w:t>
      </w:r>
      <w:r w:rsidRPr="00C205CD">
        <w:t xml:space="preserve"> percent of all high hazard employers eligible for </w:t>
      </w:r>
      <w:r w:rsidRPr="00C205CD" w:rsidR="000D7D3C">
        <w:t xml:space="preserve">programmed </w:t>
      </w:r>
      <w:r w:rsidRPr="00C205CD">
        <w:t xml:space="preserve">inspections are inspected in any given </w:t>
      </w:r>
      <w:r w:rsidRPr="00C205CD" w:rsidR="00331A85">
        <w:t>FY</w:t>
      </w:r>
      <w:r w:rsidRPr="00C205CD" w:rsidR="00AA29DA">
        <w:t xml:space="preserve">. </w:t>
      </w:r>
      <w:r w:rsidRPr="00C205CD">
        <w:t xml:space="preserve">Priority for </w:t>
      </w:r>
      <w:r w:rsidRPr="00C205CD" w:rsidR="00970D2E">
        <w:t xml:space="preserve">initial </w:t>
      </w:r>
      <w:r w:rsidRPr="00C205CD" w:rsidR="00954BC8">
        <w:t>On-Site</w:t>
      </w:r>
      <w:r w:rsidRPr="00C205CD" w:rsidR="00E26637">
        <w:t xml:space="preserve"> Consultation </w:t>
      </w:r>
      <w:r w:rsidRPr="00C205CD">
        <w:t xml:space="preserve">visits are given to </w:t>
      </w:r>
      <w:r w:rsidRPr="00C205CD">
        <w:t>small, high-hazard companies</w:t>
      </w:r>
      <w:r w:rsidRPr="00C205CD" w:rsidR="00AA29DA">
        <w:t xml:space="preserve">. </w:t>
      </w:r>
      <w:r w:rsidRPr="00C205CD">
        <w:t xml:space="preserve">By extension of the fact that both OSHA and the </w:t>
      </w:r>
      <w:r w:rsidRPr="00C205CD" w:rsidR="00954BC8">
        <w:t>On-Site</w:t>
      </w:r>
      <w:r w:rsidRPr="00C205CD">
        <w:t xml:space="preserve"> </w:t>
      </w:r>
    </w:p>
    <w:p w:rsidR="00A80E3B" w:rsidRPr="00C205CD" w:rsidP="00283B73" w14:paraId="6713DF95" w14:textId="77777777">
      <w:pPr>
        <w:ind w:left="1440"/>
      </w:pPr>
    </w:p>
    <w:p w:rsidR="00013D73" w:rsidRPr="00C205CD" w:rsidP="00A80E3B" w14:paraId="3E6ED432" w14:textId="19D0FA63">
      <w:pPr>
        <w:ind w:left="1440"/>
      </w:pPr>
      <w:r w:rsidRPr="00C205CD">
        <w:t xml:space="preserve">Consultation </w:t>
      </w:r>
      <w:r w:rsidRPr="00C205CD" w:rsidR="006D6AA6">
        <w:t>p</w:t>
      </w:r>
      <w:r w:rsidRPr="00C205CD" w:rsidR="0020737B">
        <w:t>rogram</w:t>
      </w:r>
      <w:r w:rsidRPr="00C205CD">
        <w:t xml:space="preserve">s place a higher priority on </w:t>
      </w:r>
      <w:r w:rsidRPr="00C205CD" w:rsidR="002E3F8E">
        <w:t>high-hazard companies, and the fact that five percent of companies receive compliance inspections, OSHA estimates that a compliance officer will arrive at a facility receiving an On-Site Consultation visit on 5 percent of all On-Site Consultation visits (i.e.,</w:t>
      </w:r>
      <w:r w:rsidRPr="00C205CD">
        <w:t xml:space="preserve"> </w:t>
      </w:r>
      <w:r w:rsidRPr="00C205CD" w:rsidR="006321F9">
        <w:t>919</w:t>
      </w:r>
      <w:r w:rsidRPr="00C205CD" w:rsidR="00851BB3">
        <w:rPr>
          <w:color w:val="FF0000"/>
        </w:rPr>
        <w:t xml:space="preserve"> </w:t>
      </w:r>
      <w:r w:rsidRPr="00C205CD">
        <w:t>employers)</w:t>
      </w:r>
      <w:r w:rsidRPr="00C205CD" w:rsidR="00AA29DA">
        <w:t xml:space="preserve">. </w:t>
      </w:r>
      <w:r w:rsidRPr="00C205CD">
        <w:t xml:space="preserve">It takes approximately </w:t>
      </w:r>
      <w:r w:rsidRPr="00C205CD" w:rsidR="00A610DA">
        <w:t>six</w:t>
      </w:r>
      <w:r w:rsidRPr="00C205CD" w:rsidR="00851BB3">
        <w:t xml:space="preserve"> (6)</w:t>
      </w:r>
      <w:r w:rsidRPr="00C205CD" w:rsidR="00A610DA">
        <w:t xml:space="preserve"> minutes </w:t>
      </w:r>
      <w:r w:rsidRPr="00C205CD" w:rsidR="00320C40">
        <w:t>6/60</w:t>
      </w:r>
      <w:r w:rsidRPr="00C205CD" w:rsidR="00297B47">
        <w:t xml:space="preserve"> </w:t>
      </w:r>
      <w:r w:rsidRPr="00C205CD">
        <w:t>to inform a compliance officer that a</w:t>
      </w:r>
      <w:r w:rsidRPr="00C205CD" w:rsidR="00E26637">
        <w:t xml:space="preserve">n </w:t>
      </w:r>
      <w:r w:rsidRPr="00C205CD" w:rsidR="00851BB3">
        <w:t xml:space="preserve">initial </w:t>
      </w:r>
      <w:r w:rsidRPr="00C205CD" w:rsidR="00954BC8">
        <w:t>On-Site</w:t>
      </w:r>
      <w:r w:rsidRPr="00C205CD" w:rsidR="00E26637">
        <w:t xml:space="preserve"> C</w:t>
      </w:r>
      <w:r w:rsidRPr="00C205CD">
        <w:t>onsultation visit is in progress</w:t>
      </w:r>
      <w:r w:rsidRPr="00C205CD" w:rsidR="00AA29DA">
        <w:t xml:space="preserve">. </w:t>
      </w:r>
      <w:r w:rsidRPr="00C205CD" w:rsidR="002E3F8E">
        <w:t>The Consultation program manager performs this function</w:t>
      </w:r>
      <w:r w:rsidRPr="00C205CD">
        <w:t xml:space="preserve"> and resul</w:t>
      </w:r>
      <w:r w:rsidRPr="00C205CD">
        <w:t xml:space="preserve">ts in a maximum of </w:t>
      </w:r>
      <w:r w:rsidRPr="00C205CD" w:rsidR="006321F9">
        <w:t>9</w:t>
      </w:r>
      <w:r w:rsidRPr="00C205CD" w:rsidR="007A0EC1">
        <w:t>2</w:t>
      </w:r>
      <w:r w:rsidRPr="00C205CD" w:rsidR="00595714">
        <w:t xml:space="preserve"> </w:t>
      </w:r>
      <w:r w:rsidRPr="00C205CD">
        <w:t>burden hours.</w:t>
      </w:r>
    </w:p>
    <w:p w:rsidR="00A610DA" w:rsidRPr="00C205CD" w:rsidP="00283B73" w14:paraId="0DA123B1" w14:textId="77777777">
      <w:pPr>
        <w:ind w:left="1440"/>
      </w:pPr>
    </w:p>
    <w:p w:rsidR="00FC4BF3" w:rsidRPr="00C205CD" w:rsidP="5A644184" w14:paraId="203D7A84" w14:textId="01226EDA">
      <w:pPr>
        <w:ind w:firstLine="720"/>
        <w:rPr>
          <w:u w:val="single"/>
        </w:rPr>
      </w:pPr>
      <w:r w:rsidRPr="00C205CD">
        <w:t>F.</w:t>
      </w:r>
      <w:r w:rsidRPr="00C205CD">
        <w:tab/>
      </w:r>
      <w:r w:rsidRPr="00C205CD" w:rsidR="00E11653">
        <w:rPr>
          <w:u w:val="single"/>
        </w:rPr>
        <w:t>29 CFR</w:t>
      </w:r>
      <w:r w:rsidRPr="00C205CD" w:rsidR="00E11653">
        <w:rPr>
          <w:b/>
          <w:bCs/>
          <w:u w:val="single"/>
        </w:rPr>
        <w:t xml:space="preserve"> </w:t>
      </w:r>
      <w:r w:rsidRPr="00C205CD" w:rsidR="00E11653">
        <w:rPr>
          <w:u w:val="single"/>
        </w:rPr>
        <w:t>1</w:t>
      </w:r>
      <w:r w:rsidRPr="00C205CD">
        <w:rPr>
          <w:u w:val="single"/>
        </w:rPr>
        <w:t>908.9(</w:t>
      </w:r>
      <w:r w:rsidRPr="00C205CD" w:rsidR="00010C1D">
        <w:rPr>
          <w:u w:val="single"/>
        </w:rPr>
        <w:t>b</w:t>
      </w:r>
      <w:r w:rsidRPr="00C205CD">
        <w:rPr>
          <w:u w:val="single"/>
        </w:rPr>
        <w:t>):</w:t>
      </w:r>
    </w:p>
    <w:p w:rsidR="00FC4BF3" w:rsidRPr="00C205CD" w14:paraId="42D4AEF5" w14:textId="77777777">
      <w:pPr>
        <w:ind w:left="1440"/>
      </w:pPr>
      <w:r w:rsidRPr="00C205CD">
        <w:t>Establish and maintain an organized consultant performance monitoring system.</w:t>
      </w:r>
    </w:p>
    <w:p w:rsidR="00FC4BF3" w:rsidRPr="00C205CD" w14:paraId="4C4CEA3D" w14:textId="77777777"/>
    <w:p w:rsidR="00FC4BF3" w:rsidRPr="00C205CD" w:rsidP="00FC1122" w14:paraId="106FB18B" w14:textId="16DCE748">
      <w:pPr>
        <w:widowControl/>
        <w:ind w:left="1440"/>
        <w:rPr>
          <w:u w:val="single"/>
        </w:rPr>
      </w:pPr>
      <w:r w:rsidRPr="00C205CD">
        <w:rPr>
          <w:u w:val="single"/>
        </w:rPr>
        <w:t xml:space="preserve">It is </w:t>
      </w:r>
      <w:r w:rsidRPr="00C205CD" w:rsidR="00A610DA">
        <w:rPr>
          <w:u w:val="single"/>
        </w:rPr>
        <w:t xml:space="preserve">a usual and customary </w:t>
      </w:r>
      <w:r w:rsidRPr="00C205CD">
        <w:rPr>
          <w:u w:val="single"/>
        </w:rPr>
        <w:t>business practice</w:t>
      </w:r>
      <w:r w:rsidRPr="00C205CD" w:rsidR="00000071">
        <w:rPr>
          <w:u w:val="single"/>
        </w:rPr>
        <w:t xml:space="preserve"> for employers</w:t>
      </w:r>
      <w:r w:rsidRPr="00C205CD">
        <w:rPr>
          <w:u w:val="single"/>
        </w:rPr>
        <w:t xml:space="preserve"> to establish performance standards, and to evaluate </w:t>
      </w:r>
      <w:r w:rsidRPr="00C205CD" w:rsidR="008440CF">
        <w:rPr>
          <w:u w:val="single"/>
        </w:rPr>
        <w:t>worker</w:t>
      </w:r>
      <w:r w:rsidRPr="00C205CD">
        <w:rPr>
          <w:u w:val="single"/>
        </w:rPr>
        <w:t xml:space="preserve"> performance against the standard</w:t>
      </w:r>
      <w:r w:rsidRPr="00C205CD" w:rsidR="00AA29DA">
        <w:rPr>
          <w:u w:val="single"/>
        </w:rPr>
        <w:t xml:space="preserve">. </w:t>
      </w:r>
      <w:r w:rsidRPr="00C205CD">
        <w:rPr>
          <w:u w:val="single"/>
        </w:rPr>
        <w:t>The States perform this function without a requirement from OSHA</w:t>
      </w:r>
      <w:r w:rsidRPr="00C205CD" w:rsidR="00A610DA">
        <w:rPr>
          <w:u w:val="single"/>
        </w:rPr>
        <w:t xml:space="preserve">; therefore, the </w:t>
      </w:r>
      <w:r w:rsidRPr="00C205CD" w:rsidR="00177AE9">
        <w:rPr>
          <w:u w:val="single"/>
        </w:rPr>
        <w:t>a</w:t>
      </w:r>
      <w:r w:rsidRPr="00C205CD" w:rsidR="00A610DA">
        <w:rPr>
          <w:u w:val="single"/>
        </w:rPr>
        <w:t xml:space="preserve">gency is not assigning any </w:t>
      </w:r>
      <w:r w:rsidRPr="00C205CD">
        <w:rPr>
          <w:u w:val="single"/>
        </w:rPr>
        <w:t xml:space="preserve">burden hours </w:t>
      </w:r>
      <w:r w:rsidRPr="00C205CD" w:rsidR="00A610DA">
        <w:rPr>
          <w:u w:val="single"/>
        </w:rPr>
        <w:t>for t</w:t>
      </w:r>
      <w:r w:rsidRPr="00C205CD">
        <w:rPr>
          <w:u w:val="single"/>
        </w:rPr>
        <w:t xml:space="preserve">his activity. </w:t>
      </w:r>
    </w:p>
    <w:p w:rsidR="00FC4BF3" w:rsidRPr="00C205CD" w14:paraId="50895670" w14:textId="77777777"/>
    <w:p w:rsidR="00FC4BF3" w:rsidRPr="00C205CD" w:rsidP="5A644184" w14:paraId="05161A97" w14:textId="30C13512">
      <w:pPr>
        <w:ind w:firstLine="720"/>
        <w:rPr>
          <w:u w:val="single"/>
        </w:rPr>
      </w:pPr>
      <w:r w:rsidRPr="00C205CD">
        <w:t>G.</w:t>
      </w:r>
      <w:r w:rsidRPr="00C205CD">
        <w:tab/>
      </w:r>
      <w:r w:rsidRPr="00C205CD" w:rsidR="00E11653">
        <w:rPr>
          <w:u w:val="single"/>
        </w:rPr>
        <w:t>29 CFR</w:t>
      </w:r>
      <w:r w:rsidRPr="00C205CD" w:rsidR="00E11653">
        <w:rPr>
          <w:b/>
          <w:bCs/>
          <w:u w:val="single"/>
        </w:rPr>
        <w:t xml:space="preserve"> </w:t>
      </w:r>
      <w:r w:rsidRPr="00C205CD">
        <w:rPr>
          <w:u w:val="single"/>
        </w:rPr>
        <w:t>1908.9(c):</w:t>
      </w:r>
    </w:p>
    <w:p w:rsidR="00FC4BF3" w:rsidRPr="00C205CD" w14:paraId="3BBBA5DE" w14:textId="77777777">
      <w:pPr>
        <w:ind w:firstLine="1440"/>
      </w:pPr>
      <w:r w:rsidRPr="00C205CD">
        <w:t>Compile and submit factual and statistical information.</w:t>
      </w:r>
    </w:p>
    <w:p w:rsidR="00FC4BF3" w:rsidRPr="00C205CD" w14:paraId="38C1F859" w14:textId="77777777"/>
    <w:p w:rsidR="00644B52" w:rsidRPr="00C205CD" w:rsidP="0087141C" w14:paraId="329F3143" w14:textId="006F4574">
      <w:pPr>
        <w:tabs>
          <w:tab w:val="left" w:pos="1890"/>
        </w:tabs>
        <w:ind w:left="1440"/>
      </w:pPr>
      <w:r w:rsidRPr="00C205CD">
        <w:rPr>
          <w:u w:val="single"/>
        </w:rPr>
        <w:t xml:space="preserve">Currently, the statistical information is entered as part of the report preparation process </w:t>
      </w:r>
      <w:r w:rsidRPr="00C205CD" w:rsidR="00827AEA">
        <w:rPr>
          <w:u w:val="single"/>
        </w:rPr>
        <w:t>into the OIS</w:t>
      </w:r>
      <w:r w:rsidRPr="00C205CD" w:rsidR="00881332">
        <w:rPr>
          <w:u w:val="single"/>
        </w:rPr>
        <w:t xml:space="preserve"> or a system that interphases with it</w:t>
      </w:r>
      <w:r w:rsidRPr="00C205CD" w:rsidR="00827AEA">
        <w:rPr>
          <w:u w:val="single"/>
        </w:rPr>
        <w:t xml:space="preserve"> </w:t>
      </w:r>
      <w:r w:rsidRPr="00C205CD">
        <w:rPr>
          <w:u w:val="single"/>
        </w:rPr>
        <w:t xml:space="preserve">and is one of the major tools used by the </w:t>
      </w:r>
      <w:r w:rsidRPr="00C205CD" w:rsidR="009B01E2">
        <w:rPr>
          <w:u w:val="single"/>
        </w:rPr>
        <w:t>S</w:t>
      </w:r>
      <w:r w:rsidRPr="00C205CD">
        <w:rPr>
          <w:u w:val="single"/>
        </w:rPr>
        <w:t>tates in the management of their programs</w:t>
      </w:r>
      <w:r w:rsidRPr="00C205CD" w:rsidR="00AA29DA">
        <w:t xml:space="preserve">. </w:t>
      </w:r>
      <w:r w:rsidRPr="00C205CD">
        <w:t>OSHA electronically extracts this information periodically</w:t>
      </w:r>
      <w:r w:rsidRPr="00C205CD" w:rsidR="00F81F54">
        <w:t xml:space="preserve"> from the OIS</w:t>
      </w:r>
      <w:r w:rsidRPr="00C205CD">
        <w:t xml:space="preserve"> (without assistance from the </w:t>
      </w:r>
      <w:r w:rsidRPr="00C205CD" w:rsidR="009B01E2">
        <w:t>S</w:t>
      </w:r>
      <w:r w:rsidRPr="00C205CD">
        <w:t xml:space="preserve">tates) for use in program monitoring and evaluation. During </w:t>
      </w:r>
      <w:r w:rsidRPr="00C205CD" w:rsidR="00F573EA">
        <w:t xml:space="preserve">the </w:t>
      </w:r>
      <w:r w:rsidRPr="00C205CD" w:rsidR="000B4413">
        <w:t>biennial</w:t>
      </w:r>
      <w:r w:rsidRPr="00C205CD">
        <w:t xml:space="preserve"> evaluations</w:t>
      </w:r>
      <w:r w:rsidRPr="00C205CD" w:rsidR="00E31B6A">
        <w:t xml:space="preserve"> conducted by OSHA</w:t>
      </w:r>
      <w:r w:rsidRPr="00C205CD">
        <w:t xml:space="preserve">, the </w:t>
      </w:r>
      <w:r w:rsidRPr="00C205CD" w:rsidR="00954BC8">
        <w:t>On-Site</w:t>
      </w:r>
      <w:r w:rsidRPr="00C205CD" w:rsidR="00C2148F">
        <w:t xml:space="preserve"> Consultation </w:t>
      </w:r>
      <w:r w:rsidRPr="00C205CD" w:rsidR="001155F6">
        <w:t>p</w:t>
      </w:r>
      <w:r w:rsidRPr="00C205CD" w:rsidR="0020737B">
        <w:t>rogram</w:t>
      </w:r>
      <w:r w:rsidRPr="00C205CD">
        <w:t xml:space="preserve">s are required to provide access to randomly selected </w:t>
      </w:r>
      <w:r w:rsidRPr="00C205CD" w:rsidR="00E31B6A">
        <w:t xml:space="preserve">Consultation </w:t>
      </w:r>
      <w:r w:rsidRPr="00C205CD">
        <w:t>files</w:t>
      </w:r>
      <w:r w:rsidRPr="00C205CD" w:rsidR="00AA29DA">
        <w:t xml:space="preserve">. </w:t>
      </w:r>
      <w:r w:rsidRPr="00C205CD" w:rsidR="00C2148F">
        <w:t xml:space="preserve">The files are reviewed by Federal </w:t>
      </w:r>
      <w:r w:rsidRPr="00C205CD" w:rsidR="00E35998">
        <w:t xml:space="preserve">Regional </w:t>
      </w:r>
      <w:r w:rsidRPr="00C205CD" w:rsidR="0020737B">
        <w:t>Program</w:t>
      </w:r>
      <w:r w:rsidRPr="00C205CD" w:rsidR="00C2148F">
        <w:t xml:space="preserve"> Officers</w:t>
      </w:r>
      <w:r w:rsidRPr="00C205CD" w:rsidR="00E35998">
        <w:t xml:space="preserve"> (RPOs)</w:t>
      </w:r>
      <w:r w:rsidRPr="00C205CD" w:rsidR="00C2148F">
        <w:t xml:space="preserve"> for quality of content </w:t>
      </w:r>
      <w:r w:rsidRPr="00C205CD" w:rsidR="001B5A4B">
        <w:t>consistent with Consultation policies and procedures</w:t>
      </w:r>
      <w:r w:rsidRPr="00C205CD" w:rsidR="00C2148F">
        <w:t xml:space="preserve">. </w:t>
      </w:r>
      <w:r w:rsidRPr="00C205CD" w:rsidR="009B01E2">
        <w:t xml:space="preserve">Preparation of files </w:t>
      </w:r>
      <w:r w:rsidRPr="00C205CD">
        <w:t>for review</w:t>
      </w:r>
      <w:r w:rsidRPr="00C205CD" w:rsidR="009B01E2">
        <w:t xml:space="preserve"> is a function performed</w:t>
      </w:r>
      <w:r w:rsidRPr="00C205CD">
        <w:t xml:space="preserve"> by clerical </w:t>
      </w:r>
      <w:r w:rsidRPr="00C205CD" w:rsidR="008440CF">
        <w:t>worker</w:t>
      </w:r>
      <w:r w:rsidRPr="00C205CD" w:rsidR="009B01E2">
        <w:t>s of the S</w:t>
      </w:r>
      <w:r w:rsidRPr="00C205CD">
        <w:t>tate</w:t>
      </w:r>
      <w:r w:rsidRPr="00C205CD" w:rsidR="00AA29DA">
        <w:t xml:space="preserve">. </w:t>
      </w:r>
    </w:p>
    <w:p w:rsidR="00644B52" w:rsidRPr="00C205CD" w:rsidP="0087141C" w14:paraId="024E6D35" w14:textId="77777777">
      <w:pPr>
        <w:tabs>
          <w:tab w:val="left" w:pos="1890"/>
        </w:tabs>
        <w:ind w:left="1440"/>
      </w:pPr>
    </w:p>
    <w:p w:rsidR="000620D3" w:rsidRPr="00C205CD" w:rsidP="0087141C" w14:paraId="6EC71EBD" w14:textId="23C25D42">
      <w:pPr>
        <w:tabs>
          <w:tab w:val="left" w:pos="1890"/>
        </w:tabs>
        <w:ind w:left="1440"/>
      </w:pPr>
      <w:r w:rsidRPr="00C205CD">
        <w:t>On the average, t</w:t>
      </w:r>
      <w:r w:rsidRPr="00C205CD" w:rsidR="00FC4BF3">
        <w:t>here ar</w:t>
      </w:r>
      <w:r w:rsidRPr="00C205CD" w:rsidR="009B01E2">
        <w:t xml:space="preserve">e </w:t>
      </w:r>
      <w:r w:rsidRPr="00C205CD" w:rsidR="00573008">
        <w:t>26</w:t>
      </w:r>
      <w:r w:rsidRPr="00C205CD" w:rsidR="00F86390">
        <w:t>.5</w:t>
      </w:r>
      <w:r w:rsidRPr="00C205CD" w:rsidR="00D46FD0">
        <w:t xml:space="preserve"> </w:t>
      </w:r>
      <w:r w:rsidRPr="00C205CD" w:rsidR="00E35998">
        <w:t>Consultation p</w:t>
      </w:r>
      <w:r w:rsidRPr="00C205CD" w:rsidR="0020737B">
        <w:t>rogram</w:t>
      </w:r>
      <w:r w:rsidRPr="00C205CD" w:rsidR="00A31F39">
        <w:t xml:space="preserve">s </w:t>
      </w:r>
      <w:r w:rsidRPr="00C205CD" w:rsidR="009B01E2">
        <w:t xml:space="preserve">and </w:t>
      </w:r>
      <w:r w:rsidRPr="00C205CD" w:rsidR="00673148">
        <w:t xml:space="preserve">18 </w:t>
      </w:r>
      <w:r w:rsidRPr="00C205CD" w:rsidR="009B01E2">
        <w:t>reports</w:t>
      </w:r>
      <w:r w:rsidRPr="00C205CD" w:rsidR="00FC4BF3">
        <w:t xml:space="preserve"> reviewed per pro</w:t>
      </w:r>
      <w:r w:rsidRPr="00C205CD" w:rsidR="00E35998">
        <w:t>gram</w:t>
      </w:r>
      <w:r w:rsidRPr="00C205CD" w:rsidR="00FC4BF3">
        <w:t xml:space="preserve"> per year</w:t>
      </w:r>
      <w:r w:rsidRPr="00C205CD" w:rsidR="00D46FD0">
        <w:t xml:space="preserve">, totaling </w:t>
      </w:r>
      <w:r w:rsidRPr="00C205CD" w:rsidR="00FB6A03">
        <w:t xml:space="preserve">477 </w:t>
      </w:r>
      <w:r w:rsidRPr="00C205CD" w:rsidR="00D46FD0">
        <w:t>reports</w:t>
      </w:r>
      <w:r w:rsidRPr="00C205CD" w:rsidR="00AA29DA">
        <w:t xml:space="preserve">. </w:t>
      </w:r>
      <w:r w:rsidRPr="00C205CD" w:rsidR="00FC4BF3">
        <w:t xml:space="preserve">It takes </w:t>
      </w:r>
      <w:r w:rsidRPr="00C205CD" w:rsidR="00FF6638">
        <w:t>30 minutes (</w:t>
      </w:r>
      <w:r w:rsidRPr="00C205CD" w:rsidR="00006D1C">
        <w:t>0</w:t>
      </w:r>
      <w:r w:rsidRPr="00C205CD" w:rsidR="00FC4BF3">
        <w:t>.5 hour</w:t>
      </w:r>
      <w:r w:rsidRPr="00C205CD" w:rsidR="00006D1C">
        <w:t>s</w:t>
      </w:r>
      <w:r w:rsidRPr="00C205CD" w:rsidR="00FF6638">
        <w:t>)</w:t>
      </w:r>
      <w:r w:rsidRPr="00C205CD" w:rsidR="00FC4BF3">
        <w:t xml:space="preserve"> to prepare each file for review</w:t>
      </w:r>
      <w:r w:rsidRPr="00C205CD" w:rsidR="00D46FD0">
        <w:t xml:space="preserve"> resulting in</w:t>
      </w:r>
      <w:r w:rsidRPr="00C205CD" w:rsidR="009B01E2">
        <w:t xml:space="preserve"> </w:t>
      </w:r>
      <w:r w:rsidRPr="00C205CD" w:rsidR="00FB6A03">
        <w:t>23</w:t>
      </w:r>
      <w:r w:rsidRPr="00C205CD" w:rsidR="00B21481">
        <w:t>9</w:t>
      </w:r>
      <w:r w:rsidRPr="00C205CD" w:rsidR="00FB6A03">
        <w:t xml:space="preserve"> </w:t>
      </w:r>
      <w:r w:rsidRPr="00C205CD" w:rsidR="009B01E2">
        <w:t>total hours.</w:t>
      </w:r>
      <w:r w:rsidRPr="00C205CD" w:rsidR="00FC4BF3">
        <w:t xml:space="preserve"> </w:t>
      </w:r>
    </w:p>
    <w:p w:rsidR="001610B4" w:rsidRPr="00C205CD" w14:paraId="0C8FE7CE" w14:textId="77777777"/>
    <w:p w:rsidR="00FC4BF3" w:rsidRPr="00C205CD" w:rsidP="0018336D" w14:paraId="72A72BD9" w14:textId="34047B03">
      <w:pPr>
        <w:pStyle w:val="ListParagraph"/>
        <w:numPr>
          <w:ilvl w:val="0"/>
          <w:numId w:val="20"/>
        </w:numPr>
        <w:rPr>
          <w:sz w:val="24"/>
          <w:szCs w:val="24"/>
          <w:u w:val="single"/>
        </w:rPr>
      </w:pPr>
      <w:r w:rsidRPr="00C205CD">
        <w:rPr>
          <w:sz w:val="24"/>
          <w:szCs w:val="24"/>
        </w:rPr>
        <w:t xml:space="preserve">       </w:t>
      </w:r>
      <w:r w:rsidRPr="00C205CD" w:rsidR="00E11653">
        <w:rPr>
          <w:sz w:val="24"/>
          <w:szCs w:val="24"/>
          <w:u w:val="single"/>
        </w:rPr>
        <w:t>29 CFR</w:t>
      </w:r>
      <w:r w:rsidRPr="00C205CD" w:rsidR="00E11653">
        <w:rPr>
          <w:b/>
          <w:bCs/>
          <w:sz w:val="24"/>
          <w:szCs w:val="24"/>
          <w:u w:val="single"/>
        </w:rPr>
        <w:t xml:space="preserve"> </w:t>
      </w:r>
      <w:r w:rsidRPr="00C205CD">
        <w:rPr>
          <w:sz w:val="24"/>
          <w:szCs w:val="24"/>
          <w:u w:val="single"/>
        </w:rPr>
        <w:t>1908.10(c):</w:t>
      </w:r>
    </w:p>
    <w:p w:rsidR="00FC4BF3" w:rsidRPr="00C205CD" w:rsidP="0018336D" w14:paraId="2E0A5262" w14:textId="77777777">
      <w:pPr>
        <w:pStyle w:val="ListParagraph"/>
        <w:ind w:left="1440" w:firstLine="0"/>
        <w:rPr>
          <w:sz w:val="24"/>
          <w:szCs w:val="24"/>
        </w:rPr>
      </w:pPr>
      <w:r w:rsidRPr="00C205CD">
        <w:rPr>
          <w:sz w:val="24"/>
          <w:szCs w:val="24"/>
        </w:rPr>
        <w:t>Prepare and submit Annual Cooperative Agreement.</w:t>
      </w:r>
    </w:p>
    <w:p w:rsidR="00FC4BF3" w:rsidRPr="00C205CD" w:rsidP="0018336D" w14:paraId="41004F19" w14:textId="77777777">
      <w:pPr>
        <w:ind w:left="1440" w:hanging="720"/>
      </w:pPr>
    </w:p>
    <w:p w:rsidR="000620D3" w:rsidRPr="00C205CD" w:rsidP="00B001D2" w14:paraId="24556133" w14:textId="7280835E">
      <w:pPr>
        <w:ind w:left="1440"/>
      </w:pPr>
      <w:r w:rsidRPr="00C205CD">
        <w:t xml:space="preserve">Each of the </w:t>
      </w:r>
      <w:r w:rsidRPr="00C205CD" w:rsidR="00095E5F">
        <w:t xml:space="preserve">53 </w:t>
      </w:r>
      <w:r w:rsidRPr="00C205CD">
        <w:t xml:space="preserve">State </w:t>
      </w:r>
      <w:r w:rsidRPr="00C205CD" w:rsidR="00954BC8">
        <w:t>On-Site</w:t>
      </w:r>
      <w:r w:rsidRPr="00C205CD" w:rsidR="00C2148F">
        <w:t xml:space="preserve"> Consultation </w:t>
      </w:r>
      <w:r w:rsidRPr="00C205CD" w:rsidR="007E0254">
        <w:t>p</w:t>
      </w:r>
      <w:r w:rsidRPr="00C205CD" w:rsidR="0020737B">
        <w:t>rogram</w:t>
      </w:r>
      <w:r w:rsidRPr="00C205CD">
        <w:t xml:space="preserve">s </w:t>
      </w:r>
      <w:r w:rsidRPr="00C205CD" w:rsidR="00F84F5F">
        <w:t>prepares</w:t>
      </w:r>
      <w:r w:rsidRPr="00C205CD">
        <w:t xml:space="preserve"> and </w:t>
      </w:r>
      <w:r w:rsidRPr="00C205CD" w:rsidR="00F84F5F">
        <w:t>submits</w:t>
      </w:r>
      <w:r w:rsidRPr="00C205CD">
        <w:t xml:space="preserve"> an annual cooperative agreement</w:t>
      </w:r>
      <w:r w:rsidRPr="00C205CD" w:rsidR="00AA29DA">
        <w:t xml:space="preserve">. </w:t>
      </w:r>
    </w:p>
    <w:p w:rsidR="000620D3" w:rsidRPr="00C205CD" w:rsidP="0018336D" w14:paraId="67C0C651" w14:textId="77777777">
      <w:pPr>
        <w:ind w:left="1440" w:hanging="720"/>
      </w:pPr>
    </w:p>
    <w:p w:rsidR="001B18BA" w:rsidRPr="00C205CD" w:rsidP="00B001D2" w14:paraId="1187FE45" w14:textId="1D514F7C">
      <w:pPr>
        <w:ind w:left="1440"/>
      </w:pPr>
      <w:r w:rsidRPr="00C205CD">
        <w:t>This function is performed on an annua</w:t>
      </w:r>
      <w:r w:rsidRPr="00C205CD" w:rsidR="00C2148F">
        <w:t xml:space="preserve">l basis by </w:t>
      </w:r>
      <w:r w:rsidRPr="00C205CD" w:rsidR="00954BC8">
        <w:t>On-Site</w:t>
      </w:r>
      <w:r w:rsidRPr="00C205CD" w:rsidR="00C2148F">
        <w:t xml:space="preserve"> Consultation </w:t>
      </w:r>
      <w:r w:rsidRPr="00C205CD" w:rsidR="00F9763D">
        <w:t>p</w:t>
      </w:r>
      <w:r w:rsidRPr="00C205CD" w:rsidR="0020737B">
        <w:t>rogram</w:t>
      </w:r>
      <w:r w:rsidRPr="00C205CD">
        <w:t xml:space="preserve"> managers</w:t>
      </w:r>
      <w:r w:rsidRPr="00C205CD" w:rsidR="00AA29DA">
        <w:t xml:space="preserve">. </w:t>
      </w:r>
      <w:r w:rsidRPr="00C205CD">
        <w:t>It tak</w:t>
      </w:r>
      <w:r w:rsidRPr="00C205CD" w:rsidR="00C2148F">
        <w:t xml:space="preserve">es an average of 32 hours of an </w:t>
      </w:r>
      <w:r w:rsidRPr="00C205CD" w:rsidR="00954BC8">
        <w:t>On-Site</w:t>
      </w:r>
      <w:r w:rsidRPr="00C205CD" w:rsidR="00C2148F">
        <w:t xml:space="preserve"> Consultation </w:t>
      </w:r>
      <w:r w:rsidRPr="00C205CD" w:rsidR="00F9763D">
        <w:t>p</w:t>
      </w:r>
      <w:r w:rsidRPr="00C205CD" w:rsidR="0020737B">
        <w:t>rogram</w:t>
      </w:r>
      <w:r w:rsidRPr="00C205CD">
        <w:t xml:space="preserve"> manager</w:t>
      </w:r>
      <w:r w:rsidRPr="00C205CD" w:rsidR="00C2148F">
        <w:t>’s</w:t>
      </w:r>
      <w:r w:rsidRPr="00C205CD">
        <w:t xml:space="preserve"> time, and 8 hours of clerical time</w:t>
      </w:r>
      <w:r w:rsidRPr="00C205CD" w:rsidR="00AE7643">
        <w:t>.</w:t>
      </w:r>
      <w:r w:rsidRPr="00C205CD" w:rsidR="00AA29DA">
        <w:t xml:space="preserve">. </w:t>
      </w:r>
      <w:r w:rsidRPr="00C205CD">
        <w:t>The total burden</w:t>
      </w:r>
      <w:r w:rsidRPr="00C205CD" w:rsidR="00010C1D">
        <w:t xml:space="preserve"> hours</w:t>
      </w:r>
      <w:r w:rsidRPr="00C205CD" w:rsidR="000C7B90">
        <w:t xml:space="preserve"> for this function</w:t>
      </w:r>
      <w:r w:rsidRPr="00C205CD" w:rsidR="00010C1D">
        <w:t>, (which consists of 1,</w:t>
      </w:r>
      <w:r w:rsidRPr="00C205CD" w:rsidR="00FB6A03">
        <w:t>696</w:t>
      </w:r>
      <w:r w:rsidRPr="00C205CD" w:rsidR="00006D1C">
        <w:t>.</w:t>
      </w:r>
      <w:r w:rsidRPr="00C205CD" w:rsidR="00FB6A03">
        <w:t xml:space="preserve"> </w:t>
      </w:r>
      <w:r w:rsidRPr="00C205CD" w:rsidR="00010C1D">
        <w:t>for pro</w:t>
      </w:r>
      <w:r w:rsidRPr="00C205CD" w:rsidR="00D34084">
        <w:t>gram</w:t>
      </w:r>
      <w:r w:rsidRPr="00C205CD" w:rsidR="00010C1D">
        <w:t xml:space="preserve"> managers and </w:t>
      </w:r>
      <w:r w:rsidRPr="00C205CD" w:rsidR="00FB6A03">
        <w:t xml:space="preserve">424 </w:t>
      </w:r>
      <w:r w:rsidRPr="00C205CD" w:rsidR="00010C1D">
        <w:t>clerical),</w:t>
      </w:r>
      <w:r w:rsidRPr="00C205CD">
        <w:t xml:space="preserve"> is </w:t>
      </w:r>
      <w:r w:rsidRPr="00C205CD" w:rsidR="005D6D97">
        <w:t>2,</w:t>
      </w:r>
      <w:r w:rsidRPr="00C205CD" w:rsidR="00FB6A03">
        <w:t xml:space="preserve">120 </w:t>
      </w:r>
      <w:r w:rsidRPr="00C205CD">
        <w:t>hours.</w:t>
      </w:r>
      <w:r w:rsidRPr="00C205CD" w:rsidR="00C426FC">
        <w:t xml:space="preserve"> </w:t>
      </w:r>
    </w:p>
    <w:p w:rsidR="00DA5714" w:rsidRPr="00C205CD" w:rsidP="00DA5714" w14:paraId="74F24151" w14:textId="77777777"/>
    <w:p w:rsidR="00DA5714" w:rsidRPr="00C205CD" w:rsidP="0018336D" w14:paraId="5455945E" w14:textId="07E57309">
      <w:pPr>
        <w:pStyle w:val="ListParagraph"/>
        <w:numPr>
          <w:ilvl w:val="0"/>
          <w:numId w:val="20"/>
        </w:numPr>
        <w:rPr>
          <w:sz w:val="24"/>
          <w:szCs w:val="24"/>
        </w:rPr>
      </w:pPr>
      <w:r w:rsidRPr="00C205CD">
        <w:rPr>
          <w:sz w:val="24"/>
          <w:szCs w:val="24"/>
        </w:rPr>
        <w:t xml:space="preserve">       </w:t>
      </w:r>
      <w:r w:rsidRPr="00C205CD" w:rsidR="00E11653">
        <w:rPr>
          <w:sz w:val="24"/>
          <w:szCs w:val="24"/>
          <w:u w:val="single"/>
        </w:rPr>
        <w:t>29 CFR</w:t>
      </w:r>
      <w:r w:rsidRPr="00C205CD" w:rsidR="00E11653">
        <w:rPr>
          <w:b/>
          <w:bCs/>
          <w:sz w:val="24"/>
          <w:szCs w:val="24"/>
          <w:u w:val="single"/>
        </w:rPr>
        <w:t xml:space="preserve"> </w:t>
      </w:r>
      <w:r w:rsidRPr="00C205CD">
        <w:rPr>
          <w:sz w:val="24"/>
          <w:szCs w:val="24"/>
          <w:u w:val="single"/>
        </w:rPr>
        <w:t>1908.6(e)(3); 1910.119; 1926.64; EO 13650</w:t>
      </w:r>
      <w:r w:rsidRPr="00C205CD">
        <w:rPr>
          <w:sz w:val="24"/>
          <w:szCs w:val="24"/>
        </w:rPr>
        <w:t>:</w:t>
      </w:r>
    </w:p>
    <w:p w:rsidR="00DA5714" w:rsidRPr="00C205CD" w:rsidP="00DA5714" w14:paraId="7229B0B0" w14:textId="5363094F">
      <w:pPr>
        <w:ind w:left="1440"/>
      </w:pPr>
      <w:r w:rsidRPr="00C205CD">
        <w:t>Apply the PSM Evaluation Worksheet and optional accompanying tables</w:t>
      </w:r>
      <w:r w:rsidRPr="00C205CD" w:rsidR="00AA29DA">
        <w:t xml:space="preserve">. </w:t>
      </w:r>
    </w:p>
    <w:p w:rsidR="00DA5714" w:rsidRPr="00C205CD" w:rsidP="00DA5714" w14:paraId="4A0A5E5C" w14:textId="77777777"/>
    <w:p w:rsidR="00DA5714" w:rsidRPr="00C205CD" w:rsidP="00DA5714" w14:paraId="0AD2DACC" w14:textId="41E87A87">
      <w:pPr>
        <w:ind w:left="1440"/>
      </w:pPr>
      <w:r w:rsidRPr="00C205CD">
        <w:t>Assessment of PSM processes is only performed when employers request such services</w:t>
      </w:r>
      <w:r w:rsidRPr="00C205CD" w:rsidR="00AA29DA">
        <w:t xml:space="preserve">. </w:t>
      </w:r>
      <w:r w:rsidRPr="00C205CD">
        <w:t>In these instances, information about the quality of a site’s PSM Program will be assessed within the scope of the employer’s request for consultation services as part of the On-Site Consultation process</w:t>
      </w:r>
      <w:r w:rsidRPr="00C205CD" w:rsidR="00AA29DA">
        <w:t xml:space="preserve">. </w:t>
      </w:r>
      <w:r w:rsidRPr="00C205CD">
        <w:t xml:space="preserve">Typically, consultants review technical resources, regulations, and applicable consensus standards; identify hazards; interview employees and management staff; and review relevant workplace safety and health documents. </w:t>
      </w:r>
    </w:p>
    <w:p w:rsidR="00DA5714" w:rsidRPr="00C205CD" w:rsidP="00DA5714" w14:paraId="562082C0" w14:textId="77777777">
      <w:pPr>
        <w:ind w:left="1440"/>
      </w:pPr>
    </w:p>
    <w:p w:rsidR="00DA5714" w:rsidRPr="00C205CD" w:rsidP="00DA5714" w14:paraId="3844D3E5" w14:textId="11DF2E80">
      <w:pPr>
        <w:ind w:left="1440"/>
      </w:pPr>
      <w:r w:rsidRPr="00C205CD">
        <w:t>Consultants will enter all the information collected into the PSM Evaluation Worksheet and any of the optional assessment tables</w:t>
      </w:r>
      <w:r w:rsidRPr="00C205CD" w:rsidR="00AA29DA">
        <w:t xml:space="preserve">. </w:t>
      </w:r>
      <w:r w:rsidRPr="00C205CD">
        <w:t>The optional accompanying tables are tools that consultants may choose to use to gather the information needed to complete the PSM Evaluation Worksheet</w:t>
      </w:r>
      <w:r w:rsidRPr="00C205CD" w:rsidR="00AA29DA">
        <w:t xml:space="preserve">. </w:t>
      </w:r>
      <w:r w:rsidRPr="00C205CD" w:rsidR="0021517D">
        <w:t xml:space="preserve">Information for the optional assessment table may </w:t>
      </w:r>
      <w:r w:rsidRPr="00C205CD">
        <w:t>also be gathered by other means and this process will occur as part of the PSM Program evaluation</w:t>
      </w:r>
      <w:r w:rsidRPr="00C205CD" w:rsidR="00AA29DA">
        <w:t xml:space="preserve">. </w:t>
      </w:r>
      <w:r w:rsidRPr="00C205CD">
        <w:t>Therefore, the time estimates for completing the worksheet incorporate either using the tables or the time it will take to gather the necessary information by other means (to complete the worksheet)</w:t>
      </w:r>
      <w:r w:rsidRPr="00C205CD" w:rsidR="00AA29DA">
        <w:t xml:space="preserve">. </w:t>
      </w:r>
    </w:p>
    <w:p w:rsidR="00DA5714" w:rsidRPr="00C205CD" w:rsidP="00DA5714" w14:paraId="4381D15B" w14:textId="77777777">
      <w:pPr>
        <w:ind w:left="1440"/>
      </w:pPr>
    </w:p>
    <w:p w:rsidR="0021517D" w:rsidRPr="00C205CD" w:rsidP="0021517D" w14:paraId="027EBC7B" w14:textId="19B45247">
      <w:pPr>
        <w:ind w:left="1440"/>
      </w:pPr>
      <w:r w:rsidRPr="00C205CD">
        <w:t>OIS data</w:t>
      </w:r>
      <w:r w:rsidRPr="00C205CD">
        <w:rPr>
          <w:vertAlign w:val="superscript"/>
        </w:rPr>
        <w:t xml:space="preserve"> </w:t>
      </w:r>
      <w:r w:rsidRPr="00C205CD">
        <w:t>indicate that in FY 2023, 236 initial consultation visits were conducted at small business workplaces with PSM processes</w:t>
      </w:r>
      <w:r w:rsidRPr="00C205CD" w:rsidR="00AA29DA">
        <w:t xml:space="preserve">. </w:t>
      </w:r>
      <w:r w:rsidRPr="00C205CD">
        <w:t>Sixteen (16) of these initial consultation visits involved employers’ requests for PSM process assessment, these included SHARP and non-SHARP assessments</w:t>
      </w:r>
      <w:r w:rsidRPr="00C205CD" w:rsidR="00AA29DA">
        <w:t xml:space="preserve">. </w:t>
      </w:r>
      <w:r w:rsidRPr="00C205CD">
        <w:t>None (0) of the initial consultation visits in FY 2023 involved PSM process assessment of Pre-SHARP sites</w:t>
      </w:r>
      <w:r w:rsidRPr="00C205CD" w:rsidR="00AA29DA">
        <w:t xml:space="preserve">. </w:t>
      </w:r>
      <w:r w:rsidRPr="00C205CD">
        <w:t>Ten (10) were limited-service visits and six (6) were full-service visits.</w:t>
      </w:r>
    </w:p>
    <w:p w:rsidR="0021517D" w:rsidRPr="00C205CD" w:rsidP="0021517D" w14:paraId="46D3ECCB" w14:textId="77777777">
      <w:pPr>
        <w:ind w:left="1440"/>
      </w:pPr>
    </w:p>
    <w:p w:rsidR="00DA5714" w:rsidRPr="00C205CD" w:rsidP="00DA5714" w14:paraId="66496FBD" w14:textId="663E29E0">
      <w:pPr>
        <w:ind w:left="1440"/>
      </w:pPr>
      <w:r w:rsidRPr="00C205CD">
        <w:t>OSHA estimates that for a limited-service consultation visit 12 to 18 entries will be made in the PSM Evaluation Worksheet</w:t>
      </w:r>
      <w:r w:rsidRPr="00C205CD" w:rsidR="00C53964">
        <w:t>; and</w:t>
      </w:r>
      <w:r w:rsidRPr="00C205CD">
        <w:t xml:space="preserve">18 entries will require </w:t>
      </w:r>
      <w:r w:rsidRPr="00C205CD">
        <w:rPr>
          <w:b/>
          <w:bCs/>
        </w:rPr>
        <w:t>about 4</w:t>
      </w:r>
      <w:r w:rsidRPr="00C205CD">
        <w:t xml:space="preserve"> hours to complete</w:t>
      </w:r>
      <w:r w:rsidRPr="00C205CD" w:rsidR="00AA29DA">
        <w:t xml:space="preserve">. </w:t>
      </w:r>
      <w:r w:rsidRPr="00C205CD" w:rsidR="0021517D">
        <w:t>In FY 2023</w:t>
      </w:r>
      <w:r w:rsidRPr="00C205CD">
        <w:t xml:space="preserve">, there </w:t>
      </w:r>
      <w:r w:rsidRPr="00C205CD" w:rsidR="0009357D">
        <w:t xml:space="preserve">were </w:t>
      </w:r>
      <w:r w:rsidRPr="00C205CD" w:rsidR="0021517D">
        <w:t>10 limited service-visits, t</w:t>
      </w:r>
      <w:r w:rsidRPr="00C205CD">
        <w:t>herefore, the estimated total annual burden hours for limited</w:t>
      </w:r>
      <w:r w:rsidRPr="00C205CD" w:rsidR="0021517D">
        <w:t>-service</w:t>
      </w:r>
      <w:r w:rsidRPr="00C205CD">
        <w:t xml:space="preserve"> visits </w:t>
      </w:r>
      <w:r w:rsidRPr="00C205CD" w:rsidR="00474B50">
        <w:t>are</w:t>
      </w:r>
      <w:r w:rsidRPr="00C205CD">
        <w:t xml:space="preserve"> </w:t>
      </w:r>
      <w:r w:rsidRPr="00C205CD" w:rsidR="0021517D">
        <w:t xml:space="preserve">40 </w:t>
      </w:r>
      <w:r w:rsidRPr="00C205CD">
        <w:t>hours.</w:t>
      </w:r>
    </w:p>
    <w:p w:rsidR="00DA5714" w:rsidRPr="00C205CD" w:rsidP="00DA5714" w14:paraId="2A50A424" w14:textId="77777777">
      <w:pPr>
        <w:ind w:left="1440"/>
      </w:pPr>
    </w:p>
    <w:p w:rsidR="00DA5714" w:rsidRPr="00C205CD" w:rsidP="00DA5714" w14:paraId="72B5C3EE" w14:textId="795C530A">
      <w:pPr>
        <w:ind w:left="1440"/>
      </w:pPr>
      <w:r w:rsidRPr="00C205CD">
        <w:t>During a</w:t>
      </w:r>
      <w:r w:rsidRPr="00C205CD" w:rsidR="00BD3ACB">
        <w:t xml:space="preserve"> full-service</w:t>
      </w:r>
      <w:r w:rsidRPr="00C205CD">
        <w:t xml:space="preserve"> on-site consultation visit, consultants will conduct a complete evaluation of the worksite’s PSM Program using the PSM Evaluation Worksheet</w:t>
      </w:r>
      <w:r w:rsidRPr="00C205CD" w:rsidR="00AA29DA">
        <w:t xml:space="preserve">. </w:t>
      </w:r>
      <w:r w:rsidRPr="00C205CD">
        <w:t>This will require responding to all 53 assessment criteria of the worksheet</w:t>
      </w:r>
      <w:r w:rsidRPr="00C205CD" w:rsidR="00AA29DA">
        <w:t xml:space="preserve">. </w:t>
      </w:r>
      <w:r w:rsidRPr="00C205CD">
        <w:t xml:space="preserve">OSHA estimates that 53 entries can be assessed and entered in the </w:t>
      </w:r>
      <w:r w:rsidRPr="00C205CD" w:rsidR="0009357D">
        <w:t>worksheet</w:t>
      </w:r>
      <w:r w:rsidRPr="00C205CD">
        <w:t xml:space="preserve"> when there is adequate data to do so in 12 hours</w:t>
      </w:r>
      <w:r w:rsidRPr="00C205CD" w:rsidR="00AA29DA">
        <w:t xml:space="preserve">. </w:t>
      </w:r>
      <w:r w:rsidRPr="00C205CD" w:rsidR="0009357D">
        <w:t>In FY 2023, t</w:t>
      </w:r>
      <w:r w:rsidRPr="00C205CD">
        <w:t xml:space="preserve">here </w:t>
      </w:r>
      <w:r w:rsidRPr="00C205CD" w:rsidR="0009357D">
        <w:t>were 6</w:t>
      </w:r>
      <w:r w:rsidRPr="00C205CD">
        <w:t xml:space="preserve"> full-service visits</w:t>
      </w:r>
      <w:r w:rsidRPr="00C205CD" w:rsidR="004C675E">
        <w:t>; therefore</w:t>
      </w:r>
      <w:r w:rsidRPr="00C205CD" w:rsidR="00333B9B">
        <w:t xml:space="preserve">, the estimated </w:t>
      </w:r>
      <w:r w:rsidRPr="00C205CD">
        <w:t>total annual burden hours for full-service visits</w:t>
      </w:r>
      <w:r w:rsidRPr="00C205CD" w:rsidR="00333B9B">
        <w:t xml:space="preserve"> are</w:t>
      </w:r>
      <w:r w:rsidRPr="00C205CD">
        <w:t xml:space="preserve"> </w:t>
      </w:r>
      <w:r w:rsidRPr="00C205CD" w:rsidR="00AE55A9">
        <w:rPr>
          <w:b/>
          <w:bCs/>
        </w:rPr>
        <w:t>72</w:t>
      </w:r>
      <w:r w:rsidRPr="00C205CD">
        <w:rPr>
          <w:b/>
          <w:bCs/>
        </w:rPr>
        <w:t xml:space="preserve"> hours</w:t>
      </w:r>
      <w:r w:rsidRPr="00C205CD">
        <w:t>.</w:t>
      </w:r>
    </w:p>
    <w:p w:rsidR="00DA5714" w:rsidRPr="00C205CD" w:rsidP="00DA5714" w14:paraId="422A6CE9" w14:textId="77777777">
      <w:pPr>
        <w:ind w:firstLine="720"/>
      </w:pPr>
    </w:p>
    <w:p w:rsidR="00DA5714" w:rsidRPr="00C205CD" w:rsidP="00DA5714" w14:paraId="70A0EC66" w14:textId="321936F0">
      <w:pPr>
        <w:ind w:firstLine="720"/>
      </w:pPr>
      <w:r w:rsidRPr="00C205CD">
        <w:t xml:space="preserve">J. </w:t>
      </w:r>
      <w:r w:rsidRPr="00C205CD">
        <w:tab/>
      </w:r>
      <w:r w:rsidRPr="00C205CD" w:rsidR="00E11653">
        <w:rPr>
          <w:u w:val="single"/>
        </w:rPr>
        <w:t>29 CFR</w:t>
      </w:r>
      <w:r w:rsidRPr="00C205CD" w:rsidR="00E11653">
        <w:rPr>
          <w:b/>
          <w:bCs/>
          <w:u w:val="single"/>
        </w:rPr>
        <w:t xml:space="preserve"> </w:t>
      </w:r>
      <w:r w:rsidRPr="00C205CD">
        <w:rPr>
          <w:u w:val="single"/>
        </w:rPr>
        <w:t>1908.7(b)((4)</w:t>
      </w:r>
      <w:r w:rsidRPr="00C205CD">
        <w:t>:</w:t>
      </w:r>
    </w:p>
    <w:p w:rsidR="00DA5714" w:rsidRPr="00C205CD" w:rsidP="00DA5714" w14:paraId="689A0960" w14:textId="65EA959A">
      <w:pPr>
        <w:ind w:left="1440"/>
      </w:pPr>
      <w:r w:rsidRPr="00C205CD">
        <w:t>Review the PSM Interim Year SHARP Site Self-Evaluations submitted by employers</w:t>
      </w:r>
      <w:r w:rsidRPr="00C205CD" w:rsidR="00AA29DA">
        <w:t xml:space="preserve">. </w:t>
      </w:r>
    </w:p>
    <w:p w:rsidR="00DA5714" w:rsidRPr="00C205CD" w:rsidP="00DA5714" w14:paraId="78669FAF" w14:textId="77777777">
      <w:pPr>
        <w:ind w:left="1440"/>
      </w:pPr>
    </w:p>
    <w:p w:rsidR="00DA5714" w:rsidRPr="00C205CD" w:rsidP="00DA5714" w14:paraId="1408E76D" w14:textId="28320909">
      <w:pPr>
        <w:ind w:left="1440"/>
      </w:pPr>
      <w:r w:rsidRPr="00C205CD">
        <w:t>OIS data indicate that</w:t>
      </w:r>
      <w:r w:rsidRPr="00C205CD" w:rsidR="006C4834">
        <w:t xml:space="preserve"> 4</w:t>
      </w:r>
      <w:r w:rsidRPr="00C205CD">
        <w:t xml:space="preserve"> </w:t>
      </w:r>
      <w:r w:rsidRPr="00C205CD" w:rsidR="004079AA">
        <w:t xml:space="preserve">SHARP </w:t>
      </w:r>
      <w:r w:rsidRPr="00C205CD">
        <w:t>sites with PSM processes participated in SHARP</w:t>
      </w:r>
      <w:r w:rsidRPr="00C205CD" w:rsidR="00185438">
        <w:t xml:space="preserve"> in FY 2023</w:t>
      </w:r>
      <w:r w:rsidRPr="00C205CD" w:rsidR="00AA29DA">
        <w:t xml:space="preserve">. </w:t>
      </w:r>
      <w:r w:rsidRPr="00C205CD">
        <w:t xml:space="preserve">Employers participating in SHARP will be required to </w:t>
      </w:r>
      <w:r w:rsidRPr="00C205CD">
        <w:t>assess their PSM Program, respond to the 12 inquiries in the PSM Interim Year SHARP Site Self-Evaluation Template, and submit the information gathered to their respective Consultation program for review and technical assistance</w:t>
      </w:r>
      <w:r w:rsidRPr="00C205CD" w:rsidR="00AA29DA">
        <w:t xml:space="preserve">. </w:t>
      </w:r>
      <w:r w:rsidRPr="00C205CD">
        <w:t xml:space="preserve">OSHA estimates that on average, the review of an employer’s self-evaluation and technical assistance provided by a Consultation program will </w:t>
      </w:r>
      <w:r w:rsidRPr="00C205CD">
        <w:rPr>
          <w:i/>
          <w:iCs/>
        </w:rPr>
        <w:t>take 2.0 hours</w:t>
      </w:r>
      <w:r w:rsidRPr="00C205CD" w:rsidR="00AA29DA">
        <w:t xml:space="preserve">. </w:t>
      </w:r>
      <w:r w:rsidRPr="00C205CD">
        <w:t xml:space="preserve">For </w:t>
      </w:r>
      <w:r w:rsidRPr="00C205CD" w:rsidR="005337A8">
        <w:t>4</w:t>
      </w:r>
      <w:r w:rsidRPr="00C205CD">
        <w:t xml:space="preserve"> PSM SHARP sites, this will result in an estimated total annual average of </w:t>
      </w:r>
      <w:r w:rsidRPr="00C205CD" w:rsidR="005337A8">
        <w:t>8</w:t>
      </w:r>
      <w:r w:rsidRPr="00C205CD">
        <w:t xml:space="preserve"> hours.</w:t>
      </w:r>
    </w:p>
    <w:p w:rsidR="00DA5714" w:rsidRPr="00C205CD" w:rsidP="00DA5714" w14:paraId="34A2F4F9" w14:textId="77777777">
      <w:pPr>
        <w:ind w:firstLine="720"/>
      </w:pPr>
    </w:p>
    <w:p w:rsidR="00DA5714" w:rsidRPr="00C205CD" w:rsidP="00DA5714" w14:paraId="6A9CCD05" w14:textId="3999BDBC">
      <w:pPr>
        <w:ind w:firstLine="720"/>
      </w:pPr>
      <w:r w:rsidRPr="00C205CD">
        <w:t>K.</w:t>
      </w:r>
      <w:r w:rsidRPr="00C205CD">
        <w:tab/>
      </w:r>
      <w:r w:rsidRPr="00C205CD" w:rsidR="00E11653">
        <w:rPr>
          <w:u w:val="single"/>
        </w:rPr>
        <w:t>29 CFR</w:t>
      </w:r>
      <w:r w:rsidRPr="00C205CD" w:rsidR="00E11653">
        <w:rPr>
          <w:b/>
          <w:bCs/>
          <w:u w:val="single"/>
        </w:rPr>
        <w:t xml:space="preserve"> </w:t>
      </w:r>
      <w:r w:rsidRPr="00C205CD">
        <w:rPr>
          <w:u w:val="single"/>
        </w:rPr>
        <w:t>1908.6(e)(3)</w:t>
      </w:r>
      <w:r w:rsidRPr="00C205CD">
        <w:t>:</w:t>
      </w:r>
    </w:p>
    <w:p w:rsidR="00DA5714" w:rsidRPr="00C205CD" w:rsidP="00DA5714" w14:paraId="1C722D7B" w14:textId="40524C02">
      <w:pPr>
        <w:ind w:left="1440"/>
      </w:pPr>
      <w:r w:rsidRPr="00C205CD">
        <w:t xml:space="preserve">Apply the </w:t>
      </w:r>
      <w:r w:rsidRPr="00C205CD">
        <w:t>worksheet for Determining the Applicability of the PSM Standard to an Establishment</w:t>
      </w:r>
      <w:r w:rsidRPr="00C205CD" w:rsidR="00AA29DA">
        <w:t xml:space="preserve">. </w:t>
      </w:r>
    </w:p>
    <w:p w:rsidR="00DA5714" w:rsidRPr="00C205CD" w:rsidP="00DA5714" w14:paraId="63479A67" w14:textId="77777777">
      <w:pPr>
        <w:ind w:left="1440"/>
      </w:pPr>
    </w:p>
    <w:p w:rsidR="00DA5714" w:rsidRPr="00C205CD" w:rsidP="00DA5714" w14:paraId="4CFB4FA3" w14:textId="17560BA0">
      <w:pPr>
        <w:ind w:left="1440"/>
      </w:pPr>
      <w:r w:rsidRPr="00C205CD">
        <w:t>On-Site Consultation programs will collect and assess relevant information to determine if the PSM standard applies to a workplace</w:t>
      </w:r>
      <w:r w:rsidRPr="00C205CD" w:rsidR="00AA29DA">
        <w:t xml:space="preserve">. </w:t>
      </w:r>
      <w:r w:rsidRPr="00C205CD" w:rsidR="003A31A4">
        <w:t>OIS data indicates that i</w:t>
      </w:r>
      <w:r w:rsidRPr="00C205CD" w:rsidR="004079AA">
        <w:t xml:space="preserve">n </w:t>
      </w:r>
      <w:r w:rsidRPr="00C205CD">
        <w:t>FY 2</w:t>
      </w:r>
      <w:r w:rsidRPr="00C205CD" w:rsidR="004079AA">
        <w:t>023</w:t>
      </w:r>
      <w:r w:rsidRPr="00C205CD">
        <w:t xml:space="preserve">, </w:t>
      </w:r>
      <w:r w:rsidRPr="00C205CD" w:rsidR="00466045">
        <w:t>16</w:t>
      </w:r>
      <w:r w:rsidRPr="00C205CD">
        <w:t xml:space="preserve"> </w:t>
      </w:r>
      <w:r w:rsidRPr="00C205CD" w:rsidR="00466045">
        <w:t>initial consultation visits</w:t>
      </w:r>
      <w:r w:rsidRPr="00C205CD" w:rsidR="003A31A4">
        <w:t xml:space="preserve"> (i.e., limited-service and full-service)</w:t>
      </w:r>
      <w:r w:rsidRPr="00C205CD">
        <w:t xml:space="preserve"> involving PSM process assessments</w:t>
      </w:r>
      <w:r w:rsidRPr="00C205CD" w:rsidR="003A31A4">
        <w:t xml:space="preserve"> were conducted</w:t>
      </w:r>
      <w:r w:rsidRPr="00C205CD" w:rsidR="00AA29DA">
        <w:t xml:space="preserve">. </w:t>
      </w:r>
      <w:r w:rsidRPr="00C205CD">
        <w:t xml:space="preserve">OSHA estimates that it will take a consultant </w:t>
      </w:r>
      <w:r w:rsidRPr="00C205CD">
        <w:rPr>
          <w:b/>
          <w:bCs/>
        </w:rPr>
        <w:t>2 hours</w:t>
      </w:r>
      <w:r w:rsidRPr="00C205CD">
        <w:t xml:space="preserve"> to apply the 3 evaluation criteria in the worksheet</w:t>
      </w:r>
      <w:r w:rsidRPr="00C205CD" w:rsidR="003A31A4">
        <w:t>, therefore</w:t>
      </w:r>
      <w:r w:rsidRPr="00C205CD">
        <w:t xml:space="preserve"> for </w:t>
      </w:r>
      <w:r w:rsidRPr="00C205CD" w:rsidR="003A31A4">
        <w:rPr>
          <w:b/>
          <w:bCs/>
        </w:rPr>
        <w:t>16 initial</w:t>
      </w:r>
      <w:r w:rsidRPr="00C205CD">
        <w:rPr>
          <w:b/>
          <w:bCs/>
        </w:rPr>
        <w:t xml:space="preserve"> consultation visits</w:t>
      </w:r>
      <w:r w:rsidRPr="00C205CD">
        <w:t xml:space="preserve">, </w:t>
      </w:r>
      <w:r w:rsidRPr="00C205CD" w:rsidR="003A31A4">
        <w:t>it will result</w:t>
      </w:r>
      <w:r w:rsidRPr="00C205CD">
        <w:t xml:space="preserve"> in a total of </w:t>
      </w:r>
      <w:r w:rsidRPr="00C205CD" w:rsidR="009871F7">
        <w:rPr>
          <w:b/>
          <w:bCs/>
        </w:rPr>
        <w:t>32</w:t>
      </w:r>
      <w:r w:rsidRPr="00C205CD">
        <w:rPr>
          <w:b/>
          <w:bCs/>
        </w:rPr>
        <w:t xml:space="preserve"> hours</w:t>
      </w:r>
      <w:r w:rsidRPr="00C205CD" w:rsidR="00AA29DA">
        <w:t xml:space="preserve">. </w:t>
      </w:r>
    </w:p>
    <w:p w:rsidR="00DA5714" w:rsidRPr="00C205CD" w:rsidP="00DA5714" w14:paraId="602B0178" w14:textId="77777777"/>
    <w:p w:rsidR="00DA5714" w:rsidRPr="00C205CD" w:rsidP="00DA5714" w14:paraId="6CE44FF4" w14:textId="3FBD48AE">
      <w:pPr>
        <w:ind w:firstLine="720"/>
      </w:pPr>
      <w:r w:rsidRPr="00C205CD">
        <w:t>L.</w:t>
      </w:r>
      <w:r w:rsidRPr="00C205CD">
        <w:tab/>
      </w:r>
      <w:r w:rsidRPr="00C205CD" w:rsidR="00E11653">
        <w:rPr>
          <w:u w:val="single"/>
        </w:rPr>
        <w:t>29 CFR</w:t>
      </w:r>
      <w:r w:rsidRPr="00C205CD" w:rsidR="00E11653">
        <w:rPr>
          <w:b/>
          <w:bCs/>
          <w:u w:val="single"/>
        </w:rPr>
        <w:t xml:space="preserve"> </w:t>
      </w:r>
      <w:r w:rsidRPr="00C205CD">
        <w:rPr>
          <w:u w:val="single"/>
        </w:rPr>
        <w:t>1908.7(b)(4)</w:t>
      </w:r>
      <w:r w:rsidRPr="00C205CD">
        <w:t>:</w:t>
      </w:r>
    </w:p>
    <w:p w:rsidR="00DA5714" w:rsidRPr="00C205CD" w:rsidP="00DA5714" w14:paraId="0DDC2B0C" w14:textId="5B08AFAC">
      <w:pPr>
        <w:ind w:left="1440"/>
      </w:pPr>
      <w:r w:rsidRPr="00C205CD">
        <w:t>Review the Interim Year SHARP Site Self-Evaluation</w:t>
      </w:r>
      <w:r w:rsidRPr="00C205CD" w:rsidR="00AA29DA">
        <w:t xml:space="preserve">. </w:t>
      </w:r>
    </w:p>
    <w:p w:rsidR="00DA5714" w:rsidRPr="00C205CD" w:rsidP="00DA5714" w14:paraId="526C11F2" w14:textId="77777777">
      <w:pPr>
        <w:ind w:left="1440"/>
      </w:pPr>
    </w:p>
    <w:p w:rsidR="00DA5714" w:rsidRPr="00C205CD" w:rsidP="00DA5714" w14:paraId="16F95FA9" w14:textId="77483C50">
      <w:pPr>
        <w:ind w:left="1440"/>
      </w:pPr>
      <w:r w:rsidRPr="00C205CD">
        <w:t>All employers participating in SHARP will complete the self-evaluation and submit their report to the On-Site Consultation program</w:t>
      </w:r>
      <w:r w:rsidRPr="00C205CD" w:rsidR="00AA29DA">
        <w:t xml:space="preserve">. </w:t>
      </w:r>
      <w:r w:rsidRPr="00C205CD">
        <w:t xml:space="preserve">This self-evaluation does not include the PSM Program implementation. </w:t>
      </w:r>
    </w:p>
    <w:p w:rsidR="00DA5714" w:rsidRPr="00C205CD" w:rsidP="00DA5714" w14:paraId="77D79BB3" w14:textId="77777777"/>
    <w:p w:rsidR="00DA5714" w:rsidRPr="00C205CD" w:rsidP="00DA5714" w14:paraId="257D22E8" w14:textId="4FE36C4B">
      <w:pPr>
        <w:ind w:left="1440"/>
      </w:pPr>
      <w:bookmarkStart w:id="9" w:name="_Hlk103090802"/>
      <w:r w:rsidRPr="00C205CD">
        <w:t>In FY 2023, the number of workplaces participating in SHARP was 1,023</w:t>
      </w:r>
      <w:r w:rsidRPr="00C205CD" w:rsidR="00AA29DA">
        <w:t xml:space="preserve">. </w:t>
      </w:r>
      <w:r w:rsidRPr="00C205CD">
        <w:t>OSHA estimates that on average, it will take a consultant 2 hours to review an employer’s self-evaluation and provide technical assistance</w:t>
      </w:r>
      <w:r w:rsidRPr="00C205CD" w:rsidR="00AA29DA">
        <w:t xml:space="preserve">. </w:t>
      </w:r>
      <w:r w:rsidRPr="00C205CD">
        <w:t>Therefore, for an annual average of 1,023 SHARP participants this will result in an estimated 2,</w:t>
      </w:r>
      <w:r w:rsidRPr="00C205CD" w:rsidR="00EC09B0">
        <w:t>046</w:t>
      </w:r>
      <w:r w:rsidRPr="00C205CD">
        <w:t xml:space="preserve"> hours</w:t>
      </w:r>
      <w:r w:rsidRPr="00C205CD" w:rsidR="00AA29DA">
        <w:t xml:space="preserve">. </w:t>
      </w:r>
    </w:p>
    <w:bookmarkEnd w:id="9"/>
    <w:p w:rsidR="00DA5714" w:rsidRPr="00C205CD" w:rsidP="00DA5714" w14:paraId="4CB0E1F1" w14:textId="77777777"/>
    <w:p w:rsidR="00DA5714" w:rsidRPr="00C205CD" w:rsidP="00DA5714" w14:paraId="38D8B537" w14:textId="0512E0F0">
      <w:pPr>
        <w:ind w:firstLine="720"/>
      </w:pPr>
      <w:r w:rsidRPr="00C205CD">
        <w:t>M.</w:t>
      </w:r>
      <w:r w:rsidRPr="00C205CD">
        <w:tab/>
      </w:r>
      <w:r w:rsidRPr="00C205CD" w:rsidR="00E11653">
        <w:rPr>
          <w:u w:val="single"/>
        </w:rPr>
        <w:t>29 CFR</w:t>
      </w:r>
      <w:r w:rsidRPr="00C205CD" w:rsidR="00E11653">
        <w:rPr>
          <w:b/>
          <w:bCs/>
          <w:u w:val="single"/>
        </w:rPr>
        <w:t xml:space="preserve"> </w:t>
      </w:r>
      <w:r w:rsidRPr="00C205CD">
        <w:rPr>
          <w:u w:val="single"/>
        </w:rPr>
        <w:t>1908.6(e)(3)</w:t>
      </w:r>
      <w:r w:rsidRPr="00C205CD">
        <w:t>:</w:t>
      </w:r>
    </w:p>
    <w:p w:rsidR="00DA5714" w:rsidRPr="00C205CD" w:rsidP="00DA5714" w14:paraId="6CACD093" w14:textId="3CBAC555">
      <w:pPr>
        <w:ind w:left="1440"/>
      </w:pPr>
      <w:r w:rsidRPr="00C205CD">
        <w:t xml:space="preserve">Assist employers with applying the Action Plan Template for SHARP or </w:t>
      </w:r>
      <w:r w:rsidRPr="00C205CD">
        <w:t>Pre-SHARP Participation to improve their safety and health program</w:t>
      </w:r>
      <w:r w:rsidRPr="00C205CD" w:rsidR="00AA29DA">
        <w:t xml:space="preserve">. </w:t>
      </w:r>
    </w:p>
    <w:p w:rsidR="00DA5714" w:rsidRPr="00C205CD" w:rsidP="00DA5714" w14:paraId="3CCA9030" w14:textId="77777777">
      <w:pPr>
        <w:ind w:left="1440"/>
      </w:pPr>
    </w:p>
    <w:p w:rsidR="00DA5714" w:rsidRPr="00C205CD" w:rsidP="00DA5714" w14:paraId="420A53C9" w14:textId="64311C2D">
      <w:pPr>
        <w:ind w:left="1440"/>
      </w:pPr>
      <w:r w:rsidRPr="00C205CD">
        <w:t>In FY 2023, the number of workplaces participating in SHARP was 1,023</w:t>
      </w:r>
      <w:r w:rsidRPr="00C205CD" w:rsidR="00AA29DA">
        <w:t xml:space="preserve">. </w:t>
      </w:r>
    </w:p>
    <w:p w:rsidR="00DA5714" w:rsidRPr="00C205CD" w:rsidP="00DA5714" w14:paraId="213D1166" w14:textId="77777777">
      <w:pPr>
        <w:ind w:left="1440"/>
      </w:pPr>
    </w:p>
    <w:p w:rsidR="00DA5714" w:rsidRPr="00C205CD" w:rsidP="00DA5714" w14:paraId="3ED1458E" w14:textId="773B5733">
      <w:pPr>
        <w:ind w:left="1440"/>
      </w:pPr>
      <w:r w:rsidRPr="00C205CD">
        <w:t>Data from the Consultation Annual Program Report (CAPR) submitted by On-Site Consultation programs to OSHA indicate that 1</w:t>
      </w:r>
      <w:r w:rsidRPr="00C205CD" w:rsidR="007D3704">
        <w:t>30</w:t>
      </w:r>
      <w:r w:rsidRPr="00C205CD">
        <w:t xml:space="preserve"> workplaces participated in Pre-SHARP in FY </w:t>
      </w:r>
      <w:r w:rsidRPr="00C205CD" w:rsidR="007D3704">
        <w:t>2023</w:t>
      </w:r>
      <w:r w:rsidRPr="00C205CD">
        <w:t xml:space="preserve">. </w:t>
      </w:r>
    </w:p>
    <w:p w:rsidR="00DA5714" w:rsidRPr="00C205CD" w:rsidP="00DA5714" w14:paraId="7D6627B5" w14:textId="77777777">
      <w:pPr>
        <w:ind w:left="1440"/>
      </w:pPr>
    </w:p>
    <w:p w:rsidR="00DA5714" w:rsidRPr="00C205CD" w:rsidP="00DA5714" w14:paraId="530E43C3" w14:textId="3A8D37CA">
      <w:pPr>
        <w:ind w:left="1440"/>
      </w:pPr>
      <w:r w:rsidRPr="00C205CD">
        <w:t>OSHA estimates that each Action Plan Template will take about 4 hours to develop</w:t>
      </w:r>
      <w:r w:rsidRPr="00C205CD" w:rsidR="004C675E">
        <w:t>; therefore</w:t>
      </w:r>
      <w:r w:rsidRPr="00C205CD">
        <w:t>, 1,</w:t>
      </w:r>
      <w:r w:rsidRPr="00C205CD" w:rsidR="00934118">
        <w:t>153</w:t>
      </w:r>
      <w:r w:rsidRPr="00C205CD">
        <w:t xml:space="preserve"> templates</w:t>
      </w:r>
      <w:r w:rsidRPr="00C205CD" w:rsidR="009C68B1">
        <w:t xml:space="preserve"> (i.e., 1,023 plus 130 workplaces)</w:t>
      </w:r>
      <w:r w:rsidRPr="00C205CD">
        <w:t xml:space="preserve"> will result in an annual average of </w:t>
      </w:r>
      <w:r w:rsidRPr="00C205CD" w:rsidR="00934118">
        <w:t>4,612</w:t>
      </w:r>
      <w:r w:rsidRPr="00C205CD">
        <w:t xml:space="preserve"> hours</w:t>
      </w:r>
      <w:r w:rsidRPr="00C205CD">
        <w:rPr>
          <w:color w:val="FF0000"/>
        </w:rPr>
        <w:t>.</w:t>
      </w:r>
    </w:p>
    <w:p w:rsidR="00DA5714" w:rsidRPr="00C205CD" w:rsidP="00DA5714" w14:paraId="654A772A" w14:textId="77777777">
      <w:pPr>
        <w:ind w:left="1440"/>
      </w:pPr>
      <w:r w:rsidRPr="00C205CD">
        <w:t xml:space="preserve"> </w:t>
      </w:r>
    </w:p>
    <w:p w:rsidR="00DA5714" w:rsidRPr="00C205CD" w:rsidP="00DA5714" w14:paraId="74CA729A" w14:textId="5EDB022E">
      <w:pPr>
        <w:ind w:firstLine="720"/>
      </w:pPr>
      <w:r w:rsidRPr="00C205CD">
        <w:t>N.</w:t>
      </w:r>
      <w:r w:rsidRPr="00C205CD">
        <w:tab/>
      </w:r>
      <w:r w:rsidRPr="00C205CD" w:rsidR="00E11653">
        <w:rPr>
          <w:u w:val="single"/>
        </w:rPr>
        <w:t>29 CFR</w:t>
      </w:r>
      <w:r w:rsidRPr="00C205CD" w:rsidR="00E11653">
        <w:rPr>
          <w:b/>
          <w:bCs/>
          <w:u w:val="single"/>
        </w:rPr>
        <w:t xml:space="preserve"> </w:t>
      </w:r>
      <w:r w:rsidRPr="00C205CD">
        <w:rPr>
          <w:u w:val="single"/>
        </w:rPr>
        <w:t>1908.7(b)(4)</w:t>
      </w:r>
      <w:r w:rsidRPr="00C205CD">
        <w:t>:</w:t>
      </w:r>
    </w:p>
    <w:p w:rsidR="00DA5714" w:rsidRPr="00C205CD" w:rsidP="00DA5714" w14:paraId="159B70D0" w14:textId="4B12E36E">
      <w:pPr>
        <w:ind w:left="1440"/>
      </w:pPr>
      <w:r w:rsidRPr="00C205CD">
        <w:t>Use the Incident Investigation Reporting Template to report findings and recommendations for incidents (e.g., fatalities, catastrophes, referrals, severe injury reports) that occur at SHARP and Pre-SHARP sites</w:t>
      </w:r>
      <w:r w:rsidRPr="00C205CD" w:rsidR="00AA29DA">
        <w:t xml:space="preserve">. </w:t>
      </w:r>
      <w:r w:rsidRPr="00C205CD">
        <w:t xml:space="preserve">  </w:t>
      </w:r>
    </w:p>
    <w:p w:rsidR="00DA5714" w:rsidRPr="00C205CD" w:rsidP="00DA5714" w14:paraId="0743A093" w14:textId="77777777">
      <w:pPr>
        <w:ind w:left="1440"/>
      </w:pPr>
    </w:p>
    <w:p w:rsidR="00DA5714" w:rsidRPr="00C205CD" w:rsidP="00E208DD" w14:paraId="7D119860" w14:textId="12EA82F9">
      <w:pPr>
        <w:ind w:left="1440"/>
      </w:pPr>
      <w:bookmarkStart w:id="10" w:name="_Hlk103256374"/>
      <w:r w:rsidRPr="00C205CD">
        <w:t xml:space="preserve">In FY 2023, </w:t>
      </w:r>
      <w:bookmarkEnd w:id="10"/>
      <w:r w:rsidRPr="00C205CD">
        <w:t>th</w:t>
      </w:r>
      <w:r w:rsidRPr="00C205CD" w:rsidR="00C37271">
        <w:t xml:space="preserve">ere </w:t>
      </w:r>
      <w:r w:rsidRPr="00C205CD" w:rsidR="00055C2D">
        <w:t>seven</w:t>
      </w:r>
      <w:r w:rsidRPr="00C205CD" w:rsidR="00C37271">
        <w:t xml:space="preserve"> (</w:t>
      </w:r>
      <w:r w:rsidRPr="00C205CD" w:rsidR="00055C2D">
        <w:t>7</w:t>
      </w:r>
      <w:r w:rsidRPr="00C205CD" w:rsidR="00C37271">
        <w:t>) incidents at SHARP sites according to OSHA</w:t>
      </w:r>
      <w:r w:rsidRPr="00C205CD" w:rsidR="000D7FA9">
        <w:t>’s</w:t>
      </w:r>
      <w:r w:rsidRPr="00C205CD" w:rsidR="00C37271">
        <w:t xml:space="preserve"> DCSP/OSBA record</w:t>
      </w:r>
      <w:r w:rsidRPr="00C205CD" w:rsidR="00AA29DA">
        <w:t xml:space="preserve">. </w:t>
      </w:r>
      <w:r w:rsidRPr="00C205CD">
        <w:t>OSHA estimates that it will take an average of 6 hours for a Consultation program to conduct an on-site investigation and input findings and recommendations in the template</w:t>
      </w:r>
      <w:r w:rsidRPr="00C205CD" w:rsidR="00AA29DA">
        <w:t xml:space="preserve">. </w:t>
      </w:r>
      <w:r w:rsidRPr="00C205CD">
        <w:t xml:space="preserve">Therefore, completing the four sections of the Incident Investigation Reporting Template will take an annual average of </w:t>
      </w:r>
      <w:r w:rsidRPr="00C205CD" w:rsidR="00055C2D">
        <w:t>42</w:t>
      </w:r>
      <w:r w:rsidRPr="00C205CD">
        <w:t xml:space="preserve"> hours.</w:t>
      </w:r>
    </w:p>
    <w:p w:rsidR="00F84F5F" w:rsidRPr="00C205CD" w:rsidP="008209C8" w14:paraId="308D56CC" w14:textId="77777777">
      <w:pPr>
        <w:ind w:left="1440"/>
        <w:rPr>
          <w:b/>
          <w:bCs/>
        </w:rPr>
      </w:pPr>
    </w:p>
    <w:p w:rsidR="00C24ED1" w:rsidRPr="00C205CD" w:rsidP="00BF0615" w14:paraId="6CB0AEB1" w14:textId="783FD948">
      <w:pPr>
        <w:sectPr w:rsidSect="001A2279">
          <w:headerReference w:type="default" r:id="rId14"/>
          <w:footerReference w:type="even" r:id="rId15"/>
          <w:footerReference w:type="default" r:id="rId16"/>
          <w:headerReference w:type="first" r:id="rId17"/>
          <w:footnotePr>
            <w:pos w:val="beneathText"/>
          </w:footnotePr>
          <w:type w:val="continuous"/>
          <w:pgSz w:w="12240" w:h="15840"/>
          <w:pgMar w:top="1008" w:right="1440" w:bottom="1008" w:left="1440" w:header="720" w:footer="720" w:gutter="0"/>
          <w:cols w:space="720"/>
          <w:noEndnote/>
          <w:titlePg/>
        </w:sectPr>
      </w:pPr>
      <w:r w:rsidRPr="00C205CD">
        <w:rPr>
          <w:b/>
          <w:bCs/>
        </w:rPr>
        <w:t xml:space="preserve">OSHA estimates a total of </w:t>
      </w:r>
      <w:r w:rsidRPr="00C205CD" w:rsidR="00635B99">
        <w:rPr>
          <w:b/>
          <w:bCs/>
        </w:rPr>
        <w:t>175,56</w:t>
      </w:r>
      <w:r w:rsidRPr="00C205CD" w:rsidR="00320B5A">
        <w:rPr>
          <w:b/>
          <w:bCs/>
        </w:rPr>
        <w:t>4</w:t>
      </w:r>
      <w:r w:rsidRPr="00C205CD" w:rsidR="004918A4">
        <w:rPr>
          <w:b/>
          <w:bCs/>
        </w:rPr>
        <w:t xml:space="preserve"> </w:t>
      </w:r>
      <w:r w:rsidRPr="00C205CD" w:rsidR="00F048A3">
        <w:rPr>
          <w:b/>
          <w:bCs/>
        </w:rPr>
        <w:t>burden</w:t>
      </w:r>
      <w:r w:rsidRPr="00C205CD" w:rsidR="00FF3424">
        <w:rPr>
          <w:b/>
          <w:bCs/>
        </w:rPr>
        <w:t xml:space="preserve"> hours</w:t>
      </w:r>
      <w:r w:rsidRPr="00C205CD" w:rsidR="00F048A3">
        <w:rPr>
          <w:b/>
          <w:bCs/>
        </w:rPr>
        <w:t xml:space="preserve"> </w:t>
      </w:r>
      <w:r w:rsidRPr="00C205CD" w:rsidR="000620D3">
        <w:rPr>
          <w:b/>
          <w:bCs/>
        </w:rPr>
        <w:t xml:space="preserve">for the States to comply with the information collection and reporting requirements </w:t>
      </w:r>
      <w:r w:rsidRPr="00C205CD">
        <w:rPr>
          <w:b/>
          <w:bCs/>
        </w:rPr>
        <w:t xml:space="preserve">of 29 CFR 1908. </w:t>
      </w:r>
      <w:r w:rsidRPr="00C205CD" w:rsidR="004640E5">
        <w:t>The cost for this activity is</w:t>
      </w:r>
      <w:r w:rsidRPr="00C205CD" w:rsidR="00A72266">
        <w:t xml:space="preserve"> </w:t>
      </w:r>
      <w:r w:rsidRPr="00C205CD" w:rsidR="00635B99">
        <w:rPr>
          <w:b/>
        </w:rPr>
        <w:t>$11,689,89</w:t>
      </w:r>
      <w:r w:rsidRPr="00C205CD" w:rsidR="009A012A">
        <w:rPr>
          <w:b/>
        </w:rPr>
        <w:t>0</w:t>
      </w:r>
      <w:r w:rsidRPr="00C205CD" w:rsidR="00AA29DA">
        <w:rPr>
          <w:b/>
        </w:rPr>
        <w:t xml:space="preserve">. </w:t>
      </w:r>
      <w:r w:rsidRPr="00C205CD" w:rsidR="0033709A">
        <w:t xml:space="preserve">See </w:t>
      </w:r>
      <w:r w:rsidRPr="00C205CD" w:rsidR="008C1C2B">
        <w:t xml:space="preserve">Table </w:t>
      </w:r>
      <w:r w:rsidRPr="00C205CD" w:rsidR="00702234">
        <w:t>2</w:t>
      </w:r>
      <w:r>
        <w:t>a</w:t>
      </w:r>
      <w:r w:rsidRPr="00C205CD" w:rsidR="008C1C2B">
        <w:t xml:space="preserve"> (</w:t>
      </w:r>
      <w:r w:rsidRPr="00C205CD" w:rsidR="0033709A">
        <w:rPr>
          <w:bCs/>
          <w:i/>
          <w:color w:val="000000"/>
        </w:rPr>
        <w:t>Summary of Estimated Annualized Respondent (State Consultation Program) Hour and Cost Burden</w:t>
      </w:r>
      <w:r w:rsidRPr="00C205CD" w:rsidR="00D404EF">
        <w:t>)</w:t>
      </w:r>
      <w:r w:rsidRPr="00C205CD" w:rsidR="0033709A">
        <w:t>, as follows:</w:t>
      </w:r>
      <w:r w:rsidRPr="00C205CD" w:rsidR="00FF1A2F">
        <w:t xml:space="preserve"> </w:t>
      </w:r>
      <w:r w:rsidRPr="00C205CD" w:rsidR="00CB1D40">
        <w:t xml:space="preserve"> </w:t>
      </w:r>
    </w:p>
    <w:tbl>
      <w:tblPr>
        <w:tblStyle w:val="TableGrid"/>
        <w:tblW w:w="15068" w:type="dxa"/>
        <w:tblInd w:w="-365" w:type="dxa"/>
        <w:tblLook w:val="04A0"/>
      </w:tblPr>
      <w:tblGrid>
        <w:gridCol w:w="3420"/>
        <w:gridCol w:w="1329"/>
        <w:gridCol w:w="1415"/>
        <w:gridCol w:w="1329"/>
        <w:gridCol w:w="1182"/>
        <w:gridCol w:w="1622"/>
        <w:gridCol w:w="1440"/>
        <w:gridCol w:w="1530"/>
        <w:gridCol w:w="1579"/>
        <w:gridCol w:w="222"/>
      </w:tblGrid>
      <w:tr w14:paraId="3E0E6D71" w14:textId="77777777" w:rsidTr="004269C5">
        <w:tblPrEx>
          <w:tblW w:w="15068" w:type="dxa"/>
          <w:tblInd w:w="-365" w:type="dxa"/>
          <w:tblLook w:val="04A0"/>
        </w:tblPrEx>
        <w:trPr>
          <w:gridAfter w:val="1"/>
          <w:wAfter w:w="222" w:type="dxa"/>
          <w:trHeight w:val="503"/>
          <w:tblHeader/>
        </w:trPr>
        <w:tc>
          <w:tcPr>
            <w:tcW w:w="14846" w:type="dxa"/>
            <w:gridSpan w:val="9"/>
            <w:tcBorders>
              <w:top w:val="nil"/>
              <w:left w:val="nil"/>
              <w:bottom w:val="nil"/>
              <w:right w:val="nil"/>
            </w:tcBorders>
          </w:tcPr>
          <w:p w:rsidR="00A71874" w:rsidRPr="00C205CD" w:rsidP="00F80E46" w14:paraId="375D4411" w14:textId="4DCA6EF5">
            <w:pPr>
              <w:widowControl/>
              <w:autoSpaceDE/>
              <w:autoSpaceDN/>
              <w:adjustRightInd/>
              <w:rPr>
                <w:b/>
                <w:bCs/>
                <w:color w:val="000000"/>
              </w:rPr>
            </w:pPr>
            <w:r w:rsidRPr="00C205CD">
              <w:rPr>
                <w:b/>
                <w:bCs/>
                <w:color w:val="000000"/>
              </w:rPr>
              <w:t xml:space="preserve">                            Table 2</w:t>
            </w:r>
            <w:r w:rsidR="0043677F">
              <w:rPr>
                <w:b/>
                <w:bCs/>
                <w:color w:val="000000"/>
              </w:rPr>
              <w:t>a</w:t>
            </w:r>
            <w:r w:rsidRPr="00C205CD">
              <w:rPr>
                <w:b/>
                <w:bCs/>
                <w:color w:val="000000"/>
              </w:rPr>
              <w:t xml:space="preserve"> </w:t>
            </w:r>
            <w:r w:rsidR="00E219AE">
              <w:rPr>
                <w:b/>
                <w:bCs/>
                <w:color w:val="000000"/>
              </w:rPr>
              <w:t>–</w:t>
            </w:r>
            <w:r w:rsidRPr="00C205CD">
              <w:rPr>
                <w:b/>
                <w:bCs/>
                <w:color w:val="000000"/>
              </w:rPr>
              <w:t xml:space="preserve"> </w:t>
            </w:r>
            <w:r w:rsidR="00E219AE">
              <w:rPr>
                <w:b/>
                <w:bCs/>
                <w:color w:val="000000"/>
              </w:rPr>
              <w:t xml:space="preserve">Summary of </w:t>
            </w:r>
            <w:r w:rsidRPr="00C205CD">
              <w:rPr>
                <w:b/>
                <w:bCs/>
                <w:color w:val="000000"/>
              </w:rPr>
              <w:t xml:space="preserve">Estimated Annualized Respondent </w:t>
            </w:r>
            <w:r w:rsidR="00A72A55">
              <w:rPr>
                <w:b/>
                <w:bCs/>
                <w:color w:val="000000"/>
              </w:rPr>
              <w:t>Burden H</w:t>
            </w:r>
            <w:r w:rsidRPr="00C205CD" w:rsidR="00A72A55">
              <w:rPr>
                <w:b/>
                <w:bCs/>
                <w:color w:val="000000"/>
              </w:rPr>
              <w:t xml:space="preserve">our and Cost </w:t>
            </w:r>
            <w:r w:rsidR="00094B20">
              <w:rPr>
                <w:b/>
                <w:bCs/>
                <w:color w:val="000000"/>
              </w:rPr>
              <w:t xml:space="preserve">for </w:t>
            </w:r>
            <w:r w:rsidRPr="00C205CD">
              <w:rPr>
                <w:b/>
                <w:bCs/>
                <w:color w:val="000000"/>
                <w:u w:val="single"/>
              </w:rPr>
              <w:t>State</w:t>
            </w:r>
            <w:r w:rsidRPr="00C205CD">
              <w:rPr>
                <w:b/>
                <w:bCs/>
                <w:color w:val="000000"/>
              </w:rPr>
              <w:t xml:space="preserve"> Consultation Program</w:t>
            </w:r>
            <w:r w:rsidR="00DC094C">
              <w:rPr>
                <w:b/>
                <w:bCs/>
                <w:color w:val="000000"/>
              </w:rPr>
              <w:t>s</w:t>
            </w:r>
            <w:r w:rsidRPr="00C205CD">
              <w:rPr>
                <w:b/>
                <w:bCs/>
                <w:color w:val="000000"/>
              </w:rPr>
              <w:t xml:space="preserve"> </w:t>
            </w:r>
          </w:p>
          <w:p w:rsidR="00A71874" w:rsidRPr="00C205CD" w:rsidP="00440516" w14:paraId="40BC8A5D" w14:textId="77777777">
            <w:pPr>
              <w:widowControl/>
              <w:autoSpaceDE/>
              <w:autoSpaceDN/>
              <w:adjustRightInd/>
              <w:rPr>
                <w:color w:val="000000"/>
                <w:sz w:val="20"/>
                <w:szCs w:val="20"/>
              </w:rPr>
            </w:pPr>
          </w:p>
        </w:tc>
      </w:tr>
      <w:tr w14:paraId="45172244" w14:textId="77777777" w:rsidTr="004269C5">
        <w:tblPrEx>
          <w:tblW w:w="15068" w:type="dxa"/>
          <w:tblInd w:w="-365" w:type="dxa"/>
          <w:tblLook w:val="04A0"/>
        </w:tblPrEx>
        <w:trPr>
          <w:gridAfter w:val="1"/>
          <w:wAfter w:w="222" w:type="dxa"/>
          <w:trHeight w:val="765"/>
          <w:tblHeader/>
        </w:trPr>
        <w:tc>
          <w:tcPr>
            <w:tcW w:w="3420" w:type="dxa"/>
            <w:tcBorders>
              <w:top w:val="single" w:sz="4" w:space="0" w:color="auto"/>
            </w:tcBorders>
            <w:shd w:val="clear" w:color="auto" w:fill="B4C6E7" w:themeFill="accent1" w:themeFillTint="66"/>
            <w:hideMark/>
          </w:tcPr>
          <w:p w:rsidR="00A71874" w:rsidRPr="00C205CD" w:rsidP="00572C1D" w14:paraId="6F1E18CE" w14:textId="77777777">
            <w:pPr>
              <w:widowControl/>
              <w:autoSpaceDE/>
              <w:autoSpaceDN/>
              <w:adjustRightInd/>
              <w:jc w:val="center"/>
              <w:rPr>
                <w:b/>
                <w:bCs/>
                <w:color w:val="000000"/>
                <w:sz w:val="22"/>
                <w:szCs w:val="22"/>
              </w:rPr>
            </w:pPr>
            <w:r w:rsidRPr="00C205CD">
              <w:rPr>
                <w:b/>
                <w:bCs/>
                <w:color w:val="000000"/>
                <w:sz w:val="22"/>
                <w:szCs w:val="22"/>
              </w:rPr>
              <w:t>Information Collection Requirements</w:t>
            </w:r>
          </w:p>
        </w:tc>
        <w:tc>
          <w:tcPr>
            <w:tcW w:w="1329" w:type="dxa"/>
            <w:tcBorders>
              <w:top w:val="single" w:sz="4" w:space="0" w:color="auto"/>
            </w:tcBorders>
            <w:shd w:val="clear" w:color="auto" w:fill="B4C6E7" w:themeFill="accent1" w:themeFillTint="66"/>
            <w:hideMark/>
          </w:tcPr>
          <w:p w:rsidR="00A71874" w:rsidRPr="00C205CD" w:rsidP="00572C1D" w14:paraId="70AA7F22" w14:textId="77777777">
            <w:pPr>
              <w:widowControl/>
              <w:autoSpaceDE/>
              <w:autoSpaceDN/>
              <w:adjustRightInd/>
              <w:jc w:val="center"/>
              <w:rPr>
                <w:b/>
                <w:bCs/>
                <w:color w:val="000000"/>
                <w:sz w:val="22"/>
                <w:szCs w:val="22"/>
              </w:rPr>
            </w:pPr>
            <w:bookmarkStart w:id="11" w:name="RANGE!B9"/>
            <w:r w:rsidRPr="00C205CD">
              <w:rPr>
                <w:b/>
                <w:bCs/>
                <w:color w:val="000000"/>
                <w:sz w:val="22"/>
                <w:szCs w:val="22"/>
              </w:rPr>
              <w:t>Type of Respondent [1]</w:t>
            </w:r>
            <w:bookmarkEnd w:id="11"/>
          </w:p>
        </w:tc>
        <w:tc>
          <w:tcPr>
            <w:tcW w:w="1415" w:type="dxa"/>
            <w:tcBorders>
              <w:top w:val="single" w:sz="4" w:space="0" w:color="auto"/>
            </w:tcBorders>
            <w:shd w:val="clear" w:color="auto" w:fill="B4C6E7" w:themeFill="accent1" w:themeFillTint="66"/>
            <w:hideMark/>
          </w:tcPr>
          <w:p w:rsidR="00A71874" w:rsidRPr="00C205CD" w:rsidP="00572C1D" w14:paraId="57DC358F" w14:textId="77777777">
            <w:pPr>
              <w:widowControl/>
              <w:autoSpaceDE/>
              <w:autoSpaceDN/>
              <w:adjustRightInd/>
              <w:jc w:val="center"/>
              <w:rPr>
                <w:b/>
                <w:bCs/>
                <w:color w:val="000000"/>
                <w:sz w:val="22"/>
                <w:szCs w:val="22"/>
              </w:rPr>
            </w:pPr>
            <w:r w:rsidRPr="00C205CD">
              <w:rPr>
                <w:b/>
                <w:bCs/>
                <w:color w:val="000000"/>
                <w:sz w:val="22"/>
                <w:szCs w:val="22"/>
              </w:rPr>
              <w:t>No. of Respondents</w:t>
            </w:r>
          </w:p>
        </w:tc>
        <w:tc>
          <w:tcPr>
            <w:tcW w:w="1329" w:type="dxa"/>
            <w:tcBorders>
              <w:top w:val="single" w:sz="4" w:space="0" w:color="auto"/>
            </w:tcBorders>
            <w:shd w:val="clear" w:color="auto" w:fill="B4C6E7" w:themeFill="accent1" w:themeFillTint="66"/>
            <w:hideMark/>
          </w:tcPr>
          <w:p w:rsidR="00A71874" w:rsidRPr="00C205CD" w:rsidP="00572C1D" w14:paraId="35FF92AE" w14:textId="50936C1F">
            <w:pPr>
              <w:widowControl/>
              <w:autoSpaceDE/>
              <w:autoSpaceDN/>
              <w:adjustRightInd/>
              <w:jc w:val="center"/>
              <w:rPr>
                <w:b/>
                <w:bCs/>
                <w:color w:val="000000"/>
                <w:sz w:val="22"/>
                <w:szCs w:val="22"/>
              </w:rPr>
            </w:pPr>
            <w:r w:rsidRPr="00C205CD">
              <w:rPr>
                <w:b/>
                <w:bCs/>
                <w:color w:val="000000"/>
                <w:sz w:val="22"/>
                <w:szCs w:val="22"/>
              </w:rPr>
              <w:t xml:space="preserve">Responses per </w:t>
            </w:r>
            <w:r w:rsidRPr="00C205CD">
              <w:rPr>
                <w:b/>
                <w:bCs/>
                <w:color w:val="000000"/>
                <w:sz w:val="22"/>
                <w:szCs w:val="22"/>
              </w:rPr>
              <w:t>Respondent</w:t>
            </w:r>
          </w:p>
        </w:tc>
        <w:tc>
          <w:tcPr>
            <w:tcW w:w="1182" w:type="dxa"/>
            <w:tcBorders>
              <w:top w:val="single" w:sz="4" w:space="0" w:color="auto"/>
            </w:tcBorders>
            <w:shd w:val="clear" w:color="auto" w:fill="B4C6E7" w:themeFill="accent1" w:themeFillTint="66"/>
            <w:hideMark/>
          </w:tcPr>
          <w:p w:rsidR="00A71874" w:rsidRPr="00C205CD" w:rsidP="00572C1D" w14:paraId="28AAEDFC" w14:textId="77777777">
            <w:pPr>
              <w:widowControl/>
              <w:autoSpaceDE/>
              <w:autoSpaceDN/>
              <w:adjustRightInd/>
              <w:jc w:val="center"/>
              <w:rPr>
                <w:b/>
                <w:bCs/>
                <w:color w:val="000000"/>
                <w:sz w:val="22"/>
                <w:szCs w:val="22"/>
              </w:rPr>
            </w:pPr>
            <w:r w:rsidRPr="00C205CD">
              <w:rPr>
                <w:b/>
                <w:bCs/>
                <w:color w:val="000000"/>
                <w:sz w:val="22"/>
                <w:szCs w:val="22"/>
              </w:rPr>
              <w:t>Total Responses</w:t>
            </w:r>
          </w:p>
        </w:tc>
        <w:tc>
          <w:tcPr>
            <w:tcW w:w="1622" w:type="dxa"/>
            <w:tcBorders>
              <w:top w:val="single" w:sz="4" w:space="0" w:color="auto"/>
            </w:tcBorders>
            <w:shd w:val="clear" w:color="auto" w:fill="B4C6E7" w:themeFill="accent1" w:themeFillTint="66"/>
            <w:hideMark/>
          </w:tcPr>
          <w:p w:rsidR="00A71874" w:rsidRPr="00C205CD" w:rsidP="00572C1D" w14:paraId="4078AF0B" w14:textId="42A7D002">
            <w:pPr>
              <w:widowControl/>
              <w:autoSpaceDE/>
              <w:autoSpaceDN/>
              <w:adjustRightInd/>
              <w:jc w:val="center"/>
              <w:rPr>
                <w:b/>
                <w:bCs/>
                <w:color w:val="000000"/>
                <w:sz w:val="22"/>
                <w:szCs w:val="22"/>
              </w:rPr>
            </w:pPr>
            <w:r w:rsidRPr="00C205CD">
              <w:rPr>
                <w:b/>
                <w:bCs/>
                <w:color w:val="000000"/>
                <w:sz w:val="22"/>
                <w:szCs w:val="22"/>
              </w:rPr>
              <w:t xml:space="preserve">Time per Response </w:t>
            </w:r>
            <w:r w:rsidRPr="00C205CD" w:rsidR="00D263BD">
              <w:rPr>
                <w:b/>
                <w:bCs/>
                <w:color w:val="000000"/>
                <w:sz w:val="22"/>
                <w:szCs w:val="22"/>
              </w:rPr>
              <w:t xml:space="preserve">   </w:t>
            </w:r>
            <w:r w:rsidRPr="00C205CD" w:rsidR="00A268C5">
              <w:rPr>
                <w:b/>
                <w:bCs/>
                <w:color w:val="000000"/>
                <w:sz w:val="22"/>
                <w:szCs w:val="22"/>
              </w:rPr>
              <w:t xml:space="preserve"> </w:t>
            </w:r>
            <w:r w:rsidRPr="00C205CD">
              <w:rPr>
                <w:b/>
                <w:bCs/>
                <w:color w:val="000000"/>
                <w:sz w:val="22"/>
                <w:szCs w:val="22"/>
              </w:rPr>
              <w:t>(</w:t>
            </w:r>
            <w:r w:rsidRPr="00C205CD" w:rsidR="001B7FBC">
              <w:rPr>
                <w:b/>
                <w:bCs/>
                <w:color w:val="000000"/>
                <w:sz w:val="22"/>
                <w:szCs w:val="22"/>
              </w:rPr>
              <w:t>i</w:t>
            </w:r>
            <w:r w:rsidRPr="00C205CD">
              <w:rPr>
                <w:b/>
                <w:bCs/>
                <w:color w:val="000000"/>
                <w:sz w:val="22"/>
                <w:szCs w:val="22"/>
              </w:rPr>
              <w:t>n Hours)</w:t>
            </w:r>
          </w:p>
        </w:tc>
        <w:tc>
          <w:tcPr>
            <w:tcW w:w="1440" w:type="dxa"/>
            <w:tcBorders>
              <w:top w:val="single" w:sz="4" w:space="0" w:color="auto"/>
            </w:tcBorders>
            <w:shd w:val="clear" w:color="auto" w:fill="B4C6E7" w:themeFill="accent1" w:themeFillTint="66"/>
            <w:hideMark/>
          </w:tcPr>
          <w:p w:rsidR="00A71874" w:rsidRPr="00C205CD" w:rsidP="00572C1D" w14:paraId="70E0124F" w14:textId="5E8AF109">
            <w:pPr>
              <w:widowControl/>
              <w:autoSpaceDE/>
              <w:autoSpaceDN/>
              <w:adjustRightInd/>
              <w:jc w:val="center"/>
              <w:rPr>
                <w:b/>
                <w:bCs/>
                <w:color w:val="000000"/>
                <w:sz w:val="22"/>
                <w:szCs w:val="22"/>
              </w:rPr>
            </w:pPr>
            <w:r w:rsidRPr="00C205CD">
              <w:rPr>
                <w:b/>
                <w:bCs/>
                <w:color w:val="000000"/>
                <w:sz w:val="22"/>
                <w:szCs w:val="22"/>
              </w:rPr>
              <w:t xml:space="preserve"> Burden Hours</w:t>
            </w:r>
          </w:p>
        </w:tc>
        <w:tc>
          <w:tcPr>
            <w:tcW w:w="1530" w:type="dxa"/>
            <w:tcBorders>
              <w:top w:val="single" w:sz="4" w:space="0" w:color="auto"/>
            </w:tcBorders>
            <w:shd w:val="clear" w:color="auto" w:fill="B4C6E7" w:themeFill="accent1" w:themeFillTint="66"/>
            <w:hideMark/>
          </w:tcPr>
          <w:p w:rsidR="00A71874" w:rsidRPr="00C205CD" w:rsidP="00572C1D" w14:paraId="5F2B4E51" w14:textId="15E46B06">
            <w:pPr>
              <w:widowControl/>
              <w:autoSpaceDE/>
              <w:autoSpaceDN/>
              <w:adjustRightInd/>
              <w:jc w:val="center"/>
              <w:rPr>
                <w:b/>
                <w:bCs/>
                <w:color w:val="000000"/>
                <w:sz w:val="22"/>
                <w:szCs w:val="22"/>
              </w:rPr>
            </w:pPr>
            <w:r w:rsidRPr="00C205CD">
              <w:rPr>
                <w:b/>
                <w:bCs/>
                <w:color w:val="000000"/>
                <w:sz w:val="22"/>
                <w:szCs w:val="22"/>
              </w:rPr>
              <w:t>Loaded Hourly Wage</w:t>
            </w:r>
          </w:p>
        </w:tc>
        <w:tc>
          <w:tcPr>
            <w:tcW w:w="1579" w:type="dxa"/>
            <w:tcBorders>
              <w:top w:val="single" w:sz="4" w:space="0" w:color="auto"/>
            </w:tcBorders>
            <w:shd w:val="clear" w:color="auto" w:fill="B4C6E7" w:themeFill="accent1" w:themeFillTint="66"/>
            <w:hideMark/>
          </w:tcPr>
          <w:p w:rsidR="00A71874" w:rsidRPr="00C205CD" w:rsidP="00572C1D" w14:paraId="1B686FBD" w14:textId="2BB2E3FE">
            <w:pPr>
              <w:widowControl/>
              <w:autoSpaceDE/>
              <w:autoSpaceDN/>
              <w:adjustRightInd/>
              <w:jc w:val="center"/>
              <w:rPr>
                <w:b/>
                <w:bCs/>
                <w:color w:val="000000"/>
                <w:sz w:val="22"/>
                <w:szCs w:val="22"/>
              </w:rPr>
            </w:pPr>
            <w:r w:rsidRPr="00C205CD">
              <w:rPr>
                <w:b/>
                <w:bCs/>
                <w:color w:val="000000"/>
                <w:sz w:val="22"/>
                <w:szCs w:val="22"/>
              </w:rPr>
              <w:t xml:space="preserve"> Burden Cost</w:t>
            </w:r>
          </w:p>
        </w:tc>
      </w:tr>
      <w:tr w14:paraId="706C8BEE" w14:textId="77777777" w:rsidTr="004269C5">
        <w:tblPrEx>
          <w:tblW w:w="15068" w:type="dxa"/>
          <w:tblInd w:w="-365" w:type="dxa"/>
          <w:tblLook w:val="04A0"/>
        </w:tblPrEx>
        <w:trPr>
          <w:gridAfter w:val="1"/>
          <w:wAfter w:w="222" w:type="dxa"/>
          <w:trHeight w:val="300"/>
        </w:trPr>
        <w:tc>
          <w:tcPr>
            <w:tcW w:w="14846" w:type="dxa"/>
            <w:gridSpan w:val="9"/>
            <w:hideMark/>
          </w:tcPr>
          <w:p w:rsidR="00A71874" w:rsidRPr="00C205CD" w:rsidP="00440516" w14:paraId="04784FB8" w14:textId="72DF43F0">
            <w:pPr>
              <w:widowControl/>
              <w:autoSpaceDE/>
              <w:autoSpaceDN/>
              <w:adjustRightInd/>
              <w:rPr>
                <w:color w:val="000000"/>
                <w:sz w:val="20"/>
                <w:szCs w:val="20"/>
              </w:rPr>
            </w:pPr>
            <w:r w:rsidRPr="00C205CD">
              <w:rPr>
                <w:color w:val="000000"/>
                <w:sz w:val="20"/>
                <w:szCs w:val="20"/>
              </w:rPr>
              <w:t>A. Safety and Health Program Assessment Worksheet (</w:t>
            </w:r>
            <w:r w:rsidRPr="00C205CD">
              <w:rPr>
                <w:color w:val="000000"/>
                <w:sz w:val="20"/>
                <w:szCs w:val="20"/>
                <w:u w:val="single"/>
              </w:rPr>
              <w:t xml:space="preserve">29 CFR </w:t>
            </w:r>
            <w:r w:rsidRPr="00C205CD">
              <w:rPr>
                <w:color w:val="000000"/>
                <w:sz w:val="20"/>
                <w:szCs w:val="20"/>
              </w:rPr>
              <w:t>1908.6(e)(3))</w:t>
            </w:r>
          </w:p>
        </w:tc>
      </w:tr>
      <w:tr w14:paraId="43022278"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3B40556F" w14:textId="77777777">
            <w:pPr>
              <w:widowControl/>
              <w:autoSpaceDE/>
              <w:autoSpaceDN/>
              <w:adjustRightInd/>
              <w:rPr>
                <w:color w:val="000000"/>
                <w:sz w:val="20"/>
                <w:szCs w:val="20"/>
              </w:rPr>
            </w:pPr>
            <w:r w:rsidRPr="00C205CD">
              <w:rPr>
                <w:color w:val="000000"/>
                <w:sz w:val="20"/>
                <w:szCs w:val="20"/>
              </w:rPr>
              <w:t xml:space="preserve">Safety and Health Program Assessment Worksheet – </w:t>
            </w:r>
            <w:r w:rsidRPr="00C205CD">
              <w:rPr>
                <w:color w:val="000000"/>
                <w:sz w:val="20"/>
                <w:szCs w:val="20"/>
              </w:rPr>
              <w:t>Limited-Service Visit</w:t>
            </w:r>
          </w:p>
        </w:tc>
        <w:tc>
          <w:tcPr>
            <w:tcW w:w="1329" w:type="dxa"/>
            <w:hideMark/>
          </w:tcPr>
          <w:p w:rsidR="00A71874" w:rsidRPr="00C205CD" w:rsidP="00572C1D" w14:paraId="2E1A4B68"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41CBA495"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3C75ACC4" w14:textId="3AE3A209">
            <w:pPr>
              <w:widowControl/>
              <w:autoSpaceDE/>
              <w:autoSpaceDN/>
              <w:adjustRightInd/>
              <w:jc w:val="center"/>
              <w:rPr>
                <w:color w:val="000000"/>
                <w:sz w:val="20"/>
                <w:szCs w:val="20"/>
              </w:rPr>
            </w:pPr>
            <w:r w:rsidRPr="00C205CD">
              <w:rPr>
                <w:color w:val="000000"/>
                <w:sz w:val="20"/>
                <w:szCs w:val="20"/>
              </w:rPr>
              <w:t>143.</w:t>
            </w:r>
            <w:r w:rsidRPr="00C205CD" w:rsidR="00DC798D">
              <w:rPr>
                <w:color w:val="000000"/>
                <w:sz w:val="20"/>
                <w:szCs w:val="20"/>
              </w:rPr>
              <w:t>3</w:t>
            </w:r>
            <w:r w:rsidRPr="00C205CD" w:rsidR="00DC798D">
              <w:rPr>
                <w:sz w:val="20"/>
                <w:szCs w:val="20"/>
              </w:rPr>
              <w:t>6</w:t>
            </w:r>
          </w:p>
        </w:tc>
        <w:tc>
          <w:tcPr>
            <w:tcW w:w="1182" w:type="dxa"/>
            <w:hideMark/>
          </w:tcPr>
          <w:p w:rsidR="00A71874" w:rsidRPr="00C205CD" w:rsidP="00572C1D" w14:paraId="09719D5E" w14:textId="77777777">
            <w:pPr>
              <w:widowControl/>
              <w:autoSpaceDE/>
              <w:autoSpaceDN/>
              <w:adjustRightInd/>
              <w:jc w:val="center"/>
              <w:rPr>
                <w:color w:val="000000"/>
                <w:sz w:val="20"/>
                <w:szCs w:val="20"/>
              </w:rPr>
            </w:pPr>
            <w:r w:rsidRPr="00C205CD">
              <w:rPr>
                <w:color w:val="000000"/>
                <w:sz w:val="20"/>
                <w:szCs w:val="20"/>
              </w:rPr>
              <w:t>7,598</w:t>
            </w:r>
          </w:p>
        </w:tc>
        <w:tc>
          <w:tcPr>
            <w:tcW w:w="1622" w:type="dxa"/>
            <w:hideMark/>
          </w:tcPr>
          <w:p w:rsidR="00A71874" w:rsidRPr="00C205CD" w:rsidP="00572C1D" w14:paraId="66AEE188" w14:textId="77777777">
            <w:pPr>
              <w:widowControl/>
              <w:autoSpaceDE/>
              <w:autoSpaceDN/>
              <w:adjustRightInd/>
              <w:jc w:val="center"/>
              <w:rPr>
                <w:color w:val="000000"/>
                <w:sz w:val="20"/>
                <w:szCs w:val="20"/>
              </w:rPr>
            </w:pPr>
            <w:r w:rsidRPr="00C205CD">
              <w:rPr>
                <w:color w:val="000000"/>
                <w:sz w:val="20"/>
                <w:szCs w:val="20"/>
              </w:rPr>
              <w:t>1</w:t>
            </w:r>
          </w:p>
        </w:tc>
        <w:tc>
          <w:tcPr>
            <w:tcW w:w="1440" w:type="dxa"/>
            <w:hideMark/>
          </w:tcPr>
          <w:p w:rsidR="00A71874" w:rsidRPr="00C205CD" w:rsidP="00572C1D" w14:paraId="5E0F1C0F" w14:textId="77777777">
            <w:pPr>
              <w:widowControl/>
              <w:autoSpaceDE/>
              <w:autoSpaceDN/>
              <w:adjustRightInd/>
              <w:jc w:val="center"/>
              <w:rPr>
                <w:color w:val="000000"/>
                <w:sz w:val="20"/>
                <w:szCs w:val="20"/>
              </w:rPr>
            </w:pPr>
            <w:r w:rsidRPr="00C205CD">
              <w:rPr>
                <w:color w:val="000000"/>
                <w:sz w:val="20"/>
                <w:szCs w:val="20"/>
              </w:rPr>
              <w:t>7,598</w:t>
            </w:r>
          </w:p>
        </w:tc>
        <w:tc>
          <w:tcPr>
            <w:tcW w:w="1530" w:type="dxa"/>
            <w:hideMark/>
          </w:tcPr>
          <w:p w:rsidR="00A71874" w:rsidRPr="00C205CD" w:rsidP="00572C1D" w14:paraId="04B45CBF" w14:textId="14ABA59A">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1656B114" w14:textId="17FCCE27">
            <w:pPr>
              <w:widowControl/>
              <w:autoSpaceDE/>
              <w:autoSpaceDN/>
              <w:adjustRightInd/>
              <w:jc w:val="center"/>
              <w:rPr>
                <w:color w:val="000000"/>
                <w:sz w:val="20"/>
                <w:szCs w:val="20"/>
              </w:rPr>
            </w:pPr>
            <w:r w:rsidRPr="00C205CD">
              <w:rPr>
                <w:color w:val="000000"/>
                <w:sz w:val="20"/>
                <w:szCs w:val="20"/>
              </w:rPr>
              <w:t>$504,963</w:t>
            </w:r>
          </w:p>
        </w:tc>
      </w:tr>
      <w:tr w14:paraId="73E57F6F" w14:textId="77777777" w:rsidTr="004269C5">
        <w:tblPrEx>
          <w:tblW w:w="15068" w:type="dxa"/>
          <w:tblInd w:w="-365" w:type="dxa"/>
          <w:tblLook w:val="04A0"/>
        </w:tblPrEx>
        <w:trPr>
          <w:gridAfter w:val="1"/>
          <w:wAfter w:w="222" w:type="dxa"/>
          <w:trHeight w:val="765"/>
        </w:trPr>
        <w:tc>
          <w:tcPr>
            <w:tcW w:w="3420" w:type="dxa"/>
            <w:hideMark/>
          </w:tcPr>
          <w:p w:rsidR="00A71874" w:rsidRPr="00C205CD" w:rsidP="00440516" w14:paraId="60207582" w14:textId="77777777">
            <w:pPr>
              <w:widowControl/>
              <w:autoSpaceDE/>
              <w:autoSpaceDN/>
              <w:adjustRightInd/>
              <w:rPr>
                <w:color w:val="000000"/>
                <w:sz w:val="20"/>
                <w:szCs w:val="20"/>
              </w:rPr>
            </w:pPr>
            <w:r w:rsidRPr="00C205CD">
              <w:rPr>
                <w:color w:val="000000"/>
                <w:sz w:val="20"/>
                <w:szCs w:val="20"/>
              </w:rPr>
              <w:t xml:space="preserve">Safety and Health Program Assessment Worksheet (Complete Review) – Full-Service Safety and Health Visit, SHARP Inspection Deferral, </w:t>
            </w:r>
          </w:p>
        </w:tc>
        <w:tc>
          <w:tcPr>
            <w:tcW w:w="1329" w:type="dxa"/>
            <w:hideMark/>
          </w:tcPr>
          <w:p w:rsidR="00A71874" w:rsidRPr="00C205CD" w:rsidP="00572C1D" w14:paraId="5848F89B"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0276403C"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0D8ADCD2" w14:textId="77777777">
            <w:pPr>
              <w:widowControl/>
              <w:autoSpaceDE/>
              <w:autoSpaceDN/>
              <w:adjustRightInd/>
              <w:jc w:val="center"/>
              <w:rPr>
                <w:color w:val="000000"/>
                <w:sz w:val="20"/>
                <w:szCs w:val="20"/>
              </w:rPr>
            </w:pPr>
            <w:r w:rsidRPr="00C205CD">
              <w:rPr>
                <w:color w:val="000000"/>
                <w:sz w:val="20"/>
                <w:szCs w:val="20"/>
              </w:rPr>
              <w:t>17.42</w:t>
            </w:r>
          </w:p>
        </w:tc>
        <w:tc>
          <w:tcPr>
            <w:tcW w:w="1182" w:type="dxa"/>
            <w:hideMark/>
          </w:tcPr>
          <w:p w:rsidR="00A71874" w:rsidRPr="00C205CD" w:rsidP="00572C1D" w14:paraId="23461F69" w14:textId="77777777">
            <w:pPr>
              <w:widowControl/>
              <w:autoSpaceDE/>
              <w:autoSpaceDN/>
              <w:adjustRightInd/>
              <w:jc w:val="center"/>
              <w:rPr>
                <w:color w:val="000000"/>
                <w:sz w:val="20"/>
                <w:szCs w:val="20"/>
              </w:rPr>
            </w:pPr>
            <w:r w:rsidRPr="00C205CD">
              <w:rPr>
                <w:color w:val="000000"/>
                <w:sz w:val="20"/>
                <w:szCs w:val="20"/>
              </w:rPr>
              <w:t>923</w:t>
            </w:r>
          </w:p>
        </w:tc>
        <w:tc>
          <w:tcPr>
            <w:tcW w:w="1622" w:type="dxa"/>
            <w:hideMark/>
          </w:tcPr>
          <w:p w:rsidR="00A71874" w:rsidRPr="00C205CD" w:rsidP="00572C1D" w14:paraId="542FD5B0" w14:textId="77777777">
            <w:pPr>
              <w:widowControl/>
              <w:autoSpaceDE/>
              <w:autoSpaceDN/>
              <w:adjustRightInd/>
              <w:jc w:val="center"/>
              <w:rPr>
                <w:color w:val="000000"/>
                <w:sz w:val="20"/>
                <w:szCs w:val="20"/>
              </w:rPr>
            </w:pPr>
            <w:r w:rsidRPr="00C205CD">
              <w:rPr>
                <w:color w:val="000000"/>
                <w:sz w:val="20"/>
                <w:szCs w:val="20"/>
              </w:rPr>
              <w:t>5</w:t>
            </w:r>
          </w:p>
        </w:tc>
        <w:tc>
          <w:tcPr>
            <w:tcW w:w="1440" w:type="dxa"/>
            <w:hideMark/>
          </w:tcPr>
          <w:p w:rsidR="00A71874" w:rsidRPr="00C205CD" w:rsidP="00572C1D" w14:paraId="4A2592E9" w14:textId="77777777">
            <w:pPr>
              <w:widowControl/>
              <w:autoSpaceDE/>
              <w:autoSpaceDN/>
              <w:adjustRightInd/>
              <w:jc w:val="center"/>
              <w:rPr>
                <w:color w:val="000000"/>
                <w:sz w:val="20"/>
                <w:szCs w:val="20"/>
              </w:rPr>
            </w:pPr>
            <w:r w:rsidRPr="00C205CD">
              <w:rPr>
                <w:color w:val="000000"/>
                <w:sz w:val="20"/>
                <w:szCs w:val="20"/>
              </w:rPr>
              <w:t>4,615</w:t>
            </w:r>
          </w:p>
        </w:tc>
        <w:tc>
          <w:tcPr>
            <w:tcW w:w="1530" w:type="dxa"/>
            <w:hideMark/>
          </w:tcPr>
          <w:p w:rsidR="00A71874" w:rsidRPr="00C205CD" w:rsidP="00572C1D" w14:paraId="1E81C38C" w14:textId="02D6B24C">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73378F99" w14:textId="0182B001">
            <w:pPr>
              <w:widowControl/>
              <w:autoSpaceDE/>
              <w:autoSpaceDN/>
              <w:adjustRightInd/>
              <w:jc w:val="center"/>
              <w:rPr>
                <w:color w:val="000000"/>
                <w:sz w:val="20"/>
                <w:szCs w:val="20"/>
              </w:rPr>
            </w:pPr>
            <w:r w:rsidRPr="00C205CD">
              <w:rPr>
                <w:color w:val="000000"/>
                <w:sz w:val="20"/>
                <w:szCs w:val="20"/>
              </w:rPr>
              <w:t>$306,713</w:t>
            </w:r>
          </w:p>
        </w:tc>
      </w:tr>
      <w:tr w14:paraId="77867C24"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76B5667D" w14:textId="77777777">
            <w:pPr>
              <w:widowControl/>
              <w:autoSpaceDE/>
              <w:autoSpaceDN/>
              <w:adjustRightInd/>
              <w:rPr>
                <w:color w:val="000000"/>
                <w:sz w:val="20"/>
                <w:szCs w:val="20"/>
              </w:rPr>
            </w:pPr>
            <w:r w:rsidRPr="00C205CD">
              <w:rPr>
                <w:color w:val="000000"/>
                <w:sz w:val="20"/>
                <w:szCs w:val="20"/>
              </w:rPr>
              <w:t xml:space="preserve">Safety and Health Program Assessment Worksheet – Full-Service Safety </w:t>
            </w:r>
            <w:r w:rsidRPr="00C205CD">
              <w:rPr>
                <w:color w:val="000000"/>
                <w:sz w:val="20"/>
                <w:szCs w:val="20"/>
              </w:rPr>
              <w:t>and Health Visit</w:t>
            </w:r>
          </w:p>
        </w:tc>
        <w:tc>
          <w:tcPr>
            <w:tcW w:w="1329" w:type="dxa"/>
            <w:hideMark/>
          </w:tcPr>
          <w:p w:rsidR="00A71874" w:rsidRPr="00C205CD" w:rsidP="00572C1D" w14:paraId="2829D1EE"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67676F80"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062D6BC1" w14:textId="77777777">
            <w:pPr>
              <w:widowControl/>
              <w:autoSpaceDE/>
              <w:autoSpaceDN/>
              <w:adjustRightInd/>
              <w:jc w:val="center"/>
              <w:rPr>
                <w:color w:val="000000"/>
                <w:sz w:val="20"/>
                <w:szCs w:val="20"/>
              </w:rPr>
            </w:pPr>
            <w:r w:rsidRPr="00C205CD">
              <w:rPr>
                <w:color w:val="000000"/>
                <w:sz w:val="20"/>
                <w:szCs w:val="20"/>
              </w:rPr>
              <w:t>186.11</w:t>
            </w:r>
          </w:p>
        </w:tc>
        <w:tc>
          <w:tcPr>
            <w:tcW w:w="1182" w:type="dxa"/>
            <w:hideMark/>
          </w:tcPr>
          <w:p w:rsidR="00A71874" w:rsidRPr="00C205CD" w:rsidP="00572C1D" w14:paraId="178B6DF5" w14:textId="77777777">
            <w:pPr>
              <w:widowControl/>
              <w:autoSpaceDE/>
              <w:autoSpaceDN/>
              <w:adjustRightInd/>
              <w:jc w:val="center"/>
              <w:rPr>
                <w:color w:val="000000"/>
                <w:sz w:val="20"/>
                <w:szCs w:val="20"/>
              </w:rPr>
            </w:pPr>
            <w:r w:rsidRPr="00C205CD">
              <w:rPr>
                <w:color w:val="000000"/>
                <w:sz w:val="20"/>
                <w:szCs w:val="20"/>
              </w:rPr>
              <w:t>9,864</w:t>
            </w:r>
          </w:p>
        </w:tc>
        <w:tc>
          <w:tcPr>
            <w:tcW w:w="1622" w:type="dxa"/>
            <w:hideMark/>
          </w:tcPr>
          <w:p w:rsidR="00A71874" w:rsidRPr="00C205CD" w:rsidP="00572C1D" w14:paraId="5B06153C" w14:textId="77777777">
            <w:pPr>
              <w:widowControl/>
              <w:autoSpaceDE/>
              <w:autoSpaceDN/>
              <w:adjustRightInd/>
              <w:jc w:val="center"/>
              <w:rPr>
                <w:color w:val="000000"/>
                <w:sz w:val="20"/>
                <w:szCs w:val="20"/>
              </w:rPr>
            </w:pPr>
            <w:r w:rsidRPr="00C205CD">
              <w:rPr>
                <w:color w:val="000000"/>
                <w:sz w:val="20"/>
                <w:szCs w:val="20"/>
              </w:rPr>
              <w:t>5</w:t>
            </w:r>
          </w:p>
        </w:tc>
        <w:tc>
          <w:tcPr>
            <w:tcW w:w="1440" w:type="dxa"/>
            <w:hideMark/>
          </w:tcPr>
          <w:p w:rsidR="00A71874" w:rsidRPr="00C205CD" w:rsidP="00572C1D" w14:paraId="136998B5" w14:textId="77777777">
            <w:pPr>
              <w:widowControl/>
              <w:autoSpaceDE/>
              <w:autoSpaceDN/>
              <w:adjustRightInd/>
              <w:jc w:val="center"/>
              <w:rPr>
                <w:color w:val="000000"/>
                <w:sz w:val="20"/>
                <w:szCs w:val="20"/>
              </w:rPr>
            </w:pPr>
            <w:r w:rsidRPr="00C205CD">
              <w:rPr>
                <w:color w:val="000000"/>
                <w:sz w:val="20"/>
                <w:szCs w:val="20"/>
              </w:rPr>
              <w:t>49,320</w:t>
            </w:r>
          </w:p>
        </w:tc>
        <w:tc>
          <w:tcPr>
            <w:tcW w:w="1530" w:type="dxa"/>
            <w:hideMark/>
          </w:tcPr>
          <w:p w:rsidR="00A71874" w:rsidRPr="00C205CD" w:rsidP="00572C1D" w14:paraId="55141F89" w14:textId="0DA6D828">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000AA510" w14:textId="54BF2D12">
            <w:pPr>
              <w:widowControl/>
              <w:autoSpaceDE/>
              <w:autoSpaceDN/>
              <w:adjustRightInd/>
              <w:jc w:val="center"/>
              <w:rPr>
                <w:color w:val="000000"/>
                <w:sz w:val="20"/>
                <w:szCs w:val="20"/>
              </w:rPr>
            </w:pPr>
            <w:r w:rsidRPr="00C205CD">
              <w:rPr>
                <w:color w:val="000000"/>
                <w:sz w:val="20"/>
                <w:szCs w:val="20"/>
              </w:rPr>
              <w:t>$3,277,807</w:t>
            </w:r>
          </w:p>
        </w:tc>
      </w:tr>
      <w:tr w14:paraId="2E961BE7"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2BC172B5" w14:textId="77777777">
            <w:pPr>
              <w:widowControl/>
              <w:autoSpaceDE/>
              <w:autoSpaceDN/>
              <w:adjustRightInd/>
              <w:rPr>
                <w:color w:val="000000"/>
                <w:sz w:val="20"/>
                <w:szCs w:val="20"/>
              </w:rPr>
            </w:pPr>
            <w:r w:rsidRPr="00C205CD">
              <w:rPr>
                <w:color w:val="000000"/>
                <w:sz w:val="20"/>
                <w:szCs w:val="20"/>
              </w:rPr>
              <w:t>Subtotal A.</w:t>
            </w:r>
          </w:p>
        </w:tc>
        <w:tc>
          <w:tcPr>
            <w:tcW w:w="1329" w:type="dxa"/>
            <w:hideMark/>
          </w:tcPr>
          <w:p w:rsidR="00A71874" w:rsidRPr="00C205CD" w:rsidP="00440516" w14:paraId="375A4180" w14:textId="77777777">
            <w:pPr>
              <w:widowControl/>
              <w:autoSpaceDE/>
              <w:autoSpaceDN/>
              <w:adjustRightInd/>
              <w:rPr>
                <w:color w:val="000000"/>
                <w:sz w:val="20"/>
                <w:szCs w:val="20"/>
              </w:rPr>
            </w:pPr>
            <w:r w:rsidRPr="00C205CD">
              <w:rPr>
                <w:color w:val="000000"/>
                <w:sz w:val="20"/>
                <w:szCs w:val="20"/>
              </w:rPr>
              <w:t> </w:t>
            </w:r>
          </w:p>
        </w:tc>
        <w:tc>
          <w:tcPr>
            <w:tcW w:w="1415" w:type="dxa"/>
            <w:hideMark/>
          </w:tcPr>
          <w:p w:rsidR="00A71874" w:rsidRPr="00C205CD" w:rsidP="00440516" w14:paraId="1C8FAABD" w14:textId="77777777">
            <w:pPr>
              <w:widowControl/>
              <w:autoSpaceDE/>
              <w:autoSpaceDN/>
              <w:adjustRightInd/>
              <w:rPr>
                <w:color w:val="000000"/>
                <w:sz w:val="20"/>
                <w:szCs w:val="20"/>
              </w:rPr>
            </w:pPr>
            <w:r w:rsidRPr="00C205CD">
              <w:rPr>
                <w:color w:val="000000"/>
                <w:sz w:val="20"/>
                <w:szCs w:val="20"/>
              </w:rPr>
              <w:t> </w:t>
            </w:r>
          </w:p>
        </w:tc>
        <w:tc>
          <w:tcPr>
            <w:tcW w:w="1329" w:type="dxa"/>
            <w:hideMark/>
          </w:tcPr>
          <w:p w:rsidR="00A71874" w:rsidRPr="00C205CD" w:rsidP="00440516" w14:paraId="4E95C2F7" w14:textId="77777777">
            <w:pPr>
              <w:widowControl/>
              <w:autoSpaceDE/>
              <w:autoSpaceDN/>
              <w:adjustRightInd/>
              <w:rPr>
                <w:color w:val="000000"/>
                <w:sz w:val="20"/>
                <w:szCs w:val="20"/>
              </w:rPr>
            </w:pPr>
            <w:r w:rsidRPr="00C205CD">
              <w:rPr>
                <w:color w:val="000000"/>
                <w:sz w:val="20"/>
                <w:szCs w:val="20"/>
              </w:rPr>
              <w:t> </w:t>
            </w:r>
          </w:p>
        </w:tc>
        <w:tc>
          <w:tcPr>
            <w:tcW w:w="1182" w:type="dxa"/>
            <w:hideMark/>
          </w:tcPr>
          <w:p w:rsidR="00A71874" w:rsidRPr="00C205CD" w:rsidP="00572C1D" w14:paraId="6265614F" w14:textId="77777777">
            <w:pPr>
              <w:widowControl/>
              <w:autoSpaceDE/>
              <w:autoSpaceDN/>
              <w:adjustRightInd/>
              <w:jc w:val="center"/>
              <w:rPr>
                <w:color w:val="000000"/>
                <w:sz w:val="20"/>
                <w:szCs w:val="20"/>
              </w:rPr>
            </w:pPr>
            <w:r w:rsidRPr="00C205CD">
              <w:rPr>
                <w:color w:val="000000"/>
                <w:sz w:val="20"/>
                <w:szCs w:val="20"/>
              </w:rPr>
              <w:t>18,385</w:t>
            </w:r>
          </w:p>
        </w:tc>
        <w:tc>
          <w:tcPr>
            <w:tcW w:w="1622" w:type="dxa"/>
            <w:hideMark/>
          </w:tcPr>
          <w:p w:rsidR="00A71874" w:rsidRPr="00C205CD" w:rsidP="00572C1D" w14:paraId="6652FCE6" w14:textId="2CE4CFE0">
            <w:pPr>
              <w:widowControl/>
              <w:autoSpaceDE/>
              <w:autoSpaceDN/>
              <w:adjustRightInd/>
              <w:jc w:val="center"/>
              <w:rPr>
                <w:color w:val="000000"/>
                <w:sz w:val="20"/>
                <w:szCs w:val="20"/>
              </w:rPr>
            </w:pPr>
          </w:p>
        </w:tc>
        <w:tc>
          <w:tcPr>
            <w:tcW w:w="1440" w:type="dxa"/>
            <w:hideMark/>
          </w:tcPr>
          <w:p w:rsidR="00A71874" w:rsidRPr="00C205CD" w:rsidP="00572C1D" w14:paraId="18BCDE4C" w14:textId="77777777">
            <w:pPr>
              <w:widowControl/>
              <w:autoSpaceDE/>
              <w:autoSpaceDN/>
              <w:adjustRightInd/>
              <w:jc w:val="center"/>
              <w:rPr>
                <w:color w:val="000000"/>
                <w:sz w:val="20"/>
                <w:szCs w:val="20"/>
              </w:rPr>
            </w:pPr>
            <w:r w:rsidRPr="00C205CD">
              <w:rPr>
                <w:color w:val="000000"/>
                <w:sz w:val="20"/>
                <w:szCs w:val="20"/>
              </w:rPr>
              <w:t>61,533</w:t>
            </w:r>
          </w:p>
        </w:tc>
        <w:tc>
          <w:tcPr>
            <w:tcW w:w="1530" w:type="dxa"/>
            <w:hideMark/>
          </w:tcPr>
          <w:p w:rsidR="00A71874" w:rsidRPr="00C205CD" w:rsidP="00572C1D" w14:paraId="20A8BBD0" w14:textId="6107876F">
            <w:pPr>
              <w:widowControl/>
              <w:autoSpaceDE/>
              <w:autoSpaceDN/>
              <w:adjustRightInd/>
              <w:jc w:val="center"/>
              <w:rPr>
                <w:color w:val="000000"/>
                <w:sz w:val="20"/>
                <w:szCs w:val="20"/>
              </w:rPr>
            </w:pPr>
          </w:p>
        </w:tc>
        <w:tc>
          <w:tcPr>
            <w:tcW w:w="1579" w:type="dxa"/>
            <w:hideMark/>
          </w:tcPr>
          <w:p w:rsidR="00A71874" w:rsidRPr="00C205CD" w:rsidP="00572C1D" w14:paraId="0439E8DE" w14:textId="78E39CF7">
            <w:pPr>
              <w:widowControl/>
              <w:autoSpaceDE/>
              <w:autoSpaceDN/>
              <w:adjustRightInd/>
              <w:jc w:val="center"/>
              <w:rPr>
                <w:color w:val="000000"/>
                <w:sz w:val="20"/>
                <w:szCs w:val="20"/>
              </w:rPr>
            </w:pPr>
            <w:r w:rsidRPr="00C205CD">
              <w:rPr>
                <w:color w:val="000000"/>
                <w:sz w:val="20"/>
                <w:szCs w:val="20"/>
              </w:rPr>
              <w:t>$4,089,483</w:t>
            </w:r>
          </w:p>
        </w:tc>
      </w:tr>
      <w:tr w14:paraId="6BD7ECBA" w14:textId="77777777" w:rsidTr="004269C5">
        <w:tblPrEx>
          <w:tblW w:w="15068" w:type="dxa"/>
          <w:tblInd w:w="-365" w:type="dxa"/>
          <w:tblLook w:val="04A0"/>
        </w:tblPrEx>
        <w:trPr>
          <w:gridAfter w:val="1"/>
          <w:wAfter w:w="222" w:type="dxa"/>
          <w:trHeight w:val="540"/>
        </w:trPr>
        <w:tc>
          <w:tcPr>
            <w:tcW w:w="14846" w:type="dxa"/>
            <w:gridSpan w:val="9"/>
            <w:hideMark/>
          </w:tcPr>
          <w:p w:rsidR="00A71874" w:rsidRPr="00C205CD" w:rsidP="00440516" w14:paraId="7642C994" w14:textId="77777777">
            <w:pPr>
              <w:widowControl/>
              <w:autoSpaceDE/>
              <w:autoSpaceDN/>
              <w:adjustRightInd/>
              <w:rPr>
                <w:color w:val="000000"/>
                <w:sz w:val="20"/>
                <w:szCs w:val="20"/>
              </w:rPr>
            </w:pPr>
            <w:bookmarkStart w:id="12" w:name="RANGE!A15"/>
            <w:r w:rsidRPr="00C205CD">
              <w:rPr>
                <w:color w:val="000000"/>
                <w:sz w:val="20"/>
                <w:szCs w:val="20"/>
              </w:rPr>
              <w:t>B. Prepare and Transmit the List of Hazards</w:t>
            </w:r>
            <w:r w:rsidRPr="00C205CD">
              <w:rPr>
                <w:b/>
                <w:bCs/>
                <w:color w:val="000000"/>
                <w:sz w:val="20"/>
                <w:szCs w:val="20"/>
              </w:rPr>
              <w:t>[2]</w:t>
            </w:r>
            <w:r w:rsidRPr="00C205CD">
              <w:rPr>
                <w:color w:val="000000"/>
                <w:sz w:val="20"/>
                <w:szCs w:val="20"/>
              </w:rPr>
              <w:t xml:space="preserve"> (29 CFR 1908.6(e)(8)) </w:t>
            </w:r>
            <w:bookmarkEnd w:id="12"/>
          </w:p>
        </w:tc>
      </w:tr>
      <w:tr w14:paraId="1C53BCED"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5098B91D" w14:textId="77777777">
            <w:pPr>
              <w:widowControl/>
              <w:autoSpaceDE/>
              <w:autoSpaceDN/>
              <w:adjustRightInd/>
              <w:rPr>
                <w:color w:val="000000"/>
                <w:sz w:val="20"/>
                <w:szCs w:val="20"/>
              </w:rPr>
            </w:pPr>
            <w:r w:rsidRPr="00C205CD">
              <w:rPr>
                <w:color w:val="000000"/>
                <w:sz w:val="20"/>
                <w:szCs w:val="20"/>
              </w:rPr>
              <w:t xml:space="preserve">(Worksheet Not Currently Associated with an OMB Control </w:t>
            </w:r>
            <w:r w:rsidRPr="00C205CD">
              <w:rPr>
                <w:color w:val="000000"/>
                <w:sz w:val="20"/>
                <w:szCs w:val="20"/>
              </w:rPr>
              <w:t>Number)</w:t>
            </w:r>
          </w:p>
        </w:tc>
        <w:tc>
          <w:tcPr>
            <w:tcW w:w="1329" w:type="dxa"/>
            <w:hideMark/>
          </w:tcPr>
          <w:p w:rsidR="00A71874" w:rsidRPr="00C205CD" w:rsidP="00440516" w14:paraId="0E025C96" w14:textId="77777777">
            <w:pPr>
              <w:widowControl/>
              <w:autoSpaceDE/>
              <w:autoSpaceDN/>
              <w:adjustRightInd/>
              <w:rPr>
                <w:color w:val="000000"/>
                <w:sz w:val="20"/>
                <w:szCs w:val="20"/>
              </w:rPr>
            </w:pPr>
            <w:r w:rsidRPr="00C205CD">
              <w:rPr>
                <w:color w:val="000000"/>
                <w:sz w:val="20"/>
                <w:szCs w:val="20"/>
              </w:rPr>
              <w:t>Consultant</w:t>
            </w:r>
          </w:p>
        </w:tc>
        <w:tc>
          <w:tcPr>
            <w:tcW w:w="1415" w:type="dxa"/>
            <w:hideMark/>
          </w:tcPr>
          <w:p w:rsidR="00A71874" w:rsidRPr="00C205CD" w:rsidP="00572C1D" w14:paraId="0BA6B22C"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150E06FF" w14:textId="77777777">
            <w:pPr>
              <w:widowControl/>
              <w:autoSpaceDE/>
              <w:autoSpaceDN/>
              <w:adjustRightInd/>
              <w:jc w:val="center"/>
              <w:rPr>
                <w:color w:val="000000"/>
                <w:sz w:val="20"/>
                <w:szCs w:val="20"/>
              </w:rPr>
            </w:pPr>
            <w:r w:rsidRPr="00C205CD">
              <w:rPr>
                <w:color w:val="000000"/>
                <w:sz w:val="20"/>
                <w:szCs w:val="20"/>
              </w:rPr>
              <w:t>244.94</w:t>
            </w:r>
          </w:p>
        </w:tc>
        <w:tc>
          <w:tcPr>
            <w:tcW w:w="1182" w:type="dxa"/>
            <w:hideMark/>
          </w:tcPr>
          <w:p w:rsidR="00A71874" w:rsidRPr="00C205CD" w:rsidP="00572C1D" w14:paraId="562F2347" w14:textId="77777777">
            <w:pPr>
              <w:widowControl/>
              <w:autoSpaceDE/>
              <w:autoSpaceDN/>
              <w:adjustRightInd/>
              <w:jc w:val="center"/>
              <w:rPr>
                <w:color w:val="000000"/>
                <w:sz w:val="20"/>
                <w:szCs w:val="20"/>
              </w:rPr>
            </w:pPr>
            <w:r w:rsidRPr="00C205CD">
              <w:rPr>
                <w:color w:val="000000"/>
                <w:sz w:val="20"/>
                <w:szCs w:val="20"/>
              </w:rPr>
              <w:t>12,982</w:t>
            </w:r>
          </w:p>
        </w:tc>
        <w:tc>
          <w:tcPr>
            <w:tcW w:w="1622" w:type="dxa"/>
            <w:hideMark/>
          </w:tcPr>
          <w:p w:rsidR="00A71874" w:rsidRPr="00C205CD" w:rsidP="00572C1D" w14:paraId="69692EEF" w14:textId="05F5AE9E">
            <w:pPr>
              <w:widowControl/>
              <w:autoSpaceDE/>
              <w:autoSpaceDN/>
              <w:adjustRightInd/>
              <w:jc w:val="center"/>
              <w:rPr>
                <w:color w:val="000000"/>
                <w:sz w:val="20"/>
                <w:szCs w:val="20"/>
              </w:rPr>
            </w:pPr>
            <w:r w:rsidRPr="00C205CD">
              <w:rPr>
                <w:color w:val="000000"/>
                <w:sz w:val="20"/>
                <w:szCs w:val="20"/>
              </w:rPr>
              <w:t>5/60</w:t>
            </w:r>
          </w:p>
        </w:tc>
        <w:tc>
          <w:tcPr>
            <w:tcW w:w="1440" w:type="dxa"/>
            <w:hideMark/>
          </w:tcPr>
          <w:p w:rsidR="00A71874" w:rsidRPr="00C205CD" w:rsidP="00572C1D" w14:paraId="033A865B" w14:textId="77777777">
            <w:pPr>
              <w:widowControl/>
              <w:autoSpaceDE/>
              <w:autoSpaceDN/>
              <w:adjustRightInd/>
              <w:jc w:val="center"/>
              <w:rPr>
                <w:color w:val="000000"/>
                <w:sz w:val="20"/>
                <w:szCs w:val="20"/>
              </w:rPr>
            </w:pPr>
            <w:r w:rsidRPr="00C205CD">
              <w:rPr>
                <w:color w:val="000000"/>
                <w:sz w:val="20"/>
                <w:szCs w:val="20"/>
              </w:rPr>
              <w:t>1,082</w:t>
            </w:r>
          </w:p>
        </w:tc>
        <w:tc>
          <w:tcPr>
            <w:tcW w:w="1530" w:type="dxa"/>
            <w:hideMark/>
          </w:tcPr>
          <w:p w:rsidR="00A71874" w:rsidRPr="00C205CD" w:rsidP="00572C1D" w14:paraId="77410A60" w14:textId="3747C48F">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1538035C" w14:textId="574C64DC">
            <w:pPr>
              <w:widowControl/>
              <w:autoSpaceDE/>
              <w:autoSpaceDN/>
              <w:adjustRightInd/>
              <w:jc w:val="center"/>
              <w:rPr>
                <w:color w:val="000000"/>
                <w:sz w:val="20"/>
                <w:szCs w:val="20"/>
              </w:rPr>
            </w:pPr>
            <w:r w:rsidRPr="00C205CD">
              <w:rPr>
                <w:color w:val="000000"/>
                <w:sz w:val="20"/>
                <w:szCs w:val="20"/>
              </w:rPr>
              <w:t>$71,910</w:t>
            </w:r>
          </w:p>
        </w:tc>
      </w:tr>
      <w:tr w14:paraId="44ABA86F"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239E2243" w14:textId="77777777">
            <w:pPr>
              <w:widowControl/>
              <w:autoSpaceDE/>
              <w:autoSpaceDN/>
              <w:adjustRightInd/>
              <w:rPr>
                <w:color w:val="000000"/>
                <w:sz w:val="20"/>
                <w:szCs w:val="20"/>
              </w:rPr>
            </w:pPr>
            <w:r w:rsidRPr="00C205CD">
              <w:rPr>
                <w:color w:val="000000"/>
                <w:sz w:val="20"/>
                <w:szCs w:val="20"/>
              </w:rPr>
              <w:t>C. Referral to enforcement (29 CFR 1908.6(f)(1) and (4))</w:t>
            </w:r>
          </w:p>
        </w:tc>
        <w:tc>
          <w:tcPr>
            <w:tcW w:w="1329" w:type="dxa"/>
            <w:hideMark/>
          </w:tcPr>
          <w:p w:rsidR="00A71874" w:rsidRPr="00C205CD" w:rsidP="00440516" w14:paraId="049526A8" w14:textId="77777777">
            <w:pPr>
              <w:widowControl/>
              <w:autoSpaceDE/>
              <w:autoSpaceDN/>
              <w:adjustRightInd/>
              <w:rPr>
                <w:color w:val="000000"/>
                <w:sz w:val="20"/>
                <w:szCs w:val="20"/>
              </w:rPr>
            </w:pPr>
            <w:r w:rsidRPr="00C205CD">
              <w:rPr>
                <w:color w:val="000000"/>
                <w:sz w:val="20"/>
                <w:szCs w:val="20"/>
              </w:rPr>
              <w:t>Program Manager</w:t>
            </w:r>
          </w:p>
        </w:tc>
        <w:tc>
          <w:tcPr>
            <w:tcW w:w="1415" w:type="dxa"/>
            <w:hideMark/>
          </w:tcPr>
          <w:p w:rsidR="00A71874" w:rsidRPr="00C205CD" w:rsidP="00572C1D" w14:paraId="68F8A4FD"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25DE7353" w14:textId="77777777">
            <w:pPr>
              <w:widowControl/>
              <w:autoSpaceDE/>
              <w:autoSpaceDN/>
              <w:adjustRightInd/>
              <w:jc w:val="center"/>
              <w:rPr>
                <w:color w:val="000000"/>
                <w:sz w:val="20"/>
                <w:szCs w:val="20"/>
              </w:rPr>
            </w:pPr>
            <w:r w:rsidRPr="00C205CD">
              <w:rPr>
                <w:color w:val="000000"/>
                <w:sz w:val="20"/>
                <w:szCs w:val="20"/>
              </w:rPr>
              <w:t>0</w:t>
            </w:r>
          </w:p>
        </w:tc>
        <w:tc>
          <w:tcPr>
            <w:tcW w:w="1182" w:type="dxa"/>
            <w:hideMark/>
          </w:tcPr>
          <w:p w:rsidR="00A71874" w:rsidRPr="00C205CD" w:rsidP="00572C1D" w14:paraId="61FB02D4" w14:textId="77777777">
            <w:pPr>
              <w:widowControl/>
              <w:autoSpaceDE/>
              <w:autoSpaceDN/>
              <w:adjustRightInd/>
              <w:jc w:val="center"/>
              <w:rPr>
                <w:color w:val="000000"/>
                <w:sz w:val="20"/>
                <w:szCs w:val="20"/>
              </w:rPr>
            </w:pPr>
            <w:r w:rsidRPr="00C205CD">
              <w:rPr>
                <w:color w:val="000000"/>
                <w:sz w:val="20"/>
                <w:szCs w:val="20"/>
              </w:rPr>
              <w:t>0</w:t>
            </w:r>
          </w:p>
        </w:tc>
        <w:tc>
          <w:tcPr>
            <w:tcW w:w="1622" w:type="dxa"/>
            <w:hideMark/>
          </w:tcPr>
          <w:p w:rsidR="00A71874" w:rsidRPr="00C205CD" w:rsidP="00572C1D" w14:paraId="75A86A63" w14:textId="3D38A350">
            <w:pPr>
              <w:widowControl/>
              <w:autoSpaceDE/>
              <w:autoSpaceDN/>
              <w:adjustRightInd/>
              <w:jc w:val="center"/>
              <w:rPr>
                <w:color w:val="000000"/>
                <w:sz w:val="20"/>
                <w:szCs w:val="20"/>
              </w:rPr>
            </w:pPr>
            <w:r w:rsidRPr="00C205CD">
              <w:rPr>
                <w:color w:val="000000"/>
                <w:sz w:val="20"/>
                <w:szCs w:val="20"/>
              </w:rPr>
              <w:t>30/60</w:t>
            </w:r>
          </w:p>
        </w:tc>
        <w:tc>
          <w:tcPr>
            <w:tcW w:w="1440" w:type="dxa"/>
            <w:hideMark/>
          </w:tcPr>
          <w:p w:rsidR="00A71874" w:rsidRPr="00C205CD" w:rsidP="00572C1D" w14:paraId="59063CF8" w14:textId="77777777">
            <w:pPr>
              <w:widowControl/>
              <w:autoSpaceDE/>
              <w:autoSpaceDN/>
              <w:adjustRightInd/>
              <w:jc w:val="center"/>
              <w:rPr>
                <w:color w:val="000000"/>
                <w:sz w:val="20"/>
                <w:szCs w:val="20"/>
              </w:rPr>
            </w:pPr>
            <w:r w:rsidRPr="00C205CD">
              <w:rPr>
                <w:color w:val="000000"/>
                <w:sz w:val="20"/>
                <w:szCs w:val="20"/>
              </w:rPr>
              <w:t>0</w:t>
            </w:r>
          </w:p>
        </w:tc>
        <w:tc>
          <w:tcPr>
            <w:tcW w:w="1530" w:type="dxa"/>
            <w:hideMark/>
          </w:tcPr>
          <w:p w:rsidR="00A71874" w:rsidRPr="00C205CD" w:rsidP="00572C1D" w14:paraId="5F5DCA3D" w14:textId="28C62DA1">
            <w:pPr>
              <w:widowControl/>
              <w:autoSpaceDE/>
              <w:autoSpaceDN/>
              <w:adjustRightInd/>
              <w:jc w:val="center"/>
              <w:rPr>
                <w:color w:val="000000"/>
                <w:sz w:val="20"/>
                <w:szCs w:val="20"/>
              </w:rPr>
            </w:pPr>
            <w:r w:rsidRPr="00C205CD">
              <w:rPr>
                <w:color w:val="000000"/>
                <w:sz w:val="20"/>
                <w:szCs w:val="20"/>
              </w:rPr>
              <w:t>$91.37</w:t>
            </w:r>
          </w:p>
        </w:tc>
        <w:tc>
          <w:tcPr>
            <w:tcW w:w="1579" w:type="dxa"/>
            <w:hideMark/>
          </w:tcPr>
          <w:p w:rsidR="00A71874" w:rsidRPr="00C205CD" w:rsidP="00572C1D" w14:paraId="2C245F54" w14:textId="55D14DEE">
            <w:pPr>
              <w:widowControl/>
              <w:autoSpaceDE/>
              <w:autoSpaceDN/>
              <w:adjustRightInd/>
              <w:jc w:val="center"/>
              <w:rPr>
                <w:color w:val="000000"/>
                <w:sz w:val="20"/>
                <w:szCs w:val="20"/>
              </w:rPr>
            </w:pPr>
            <w:r w:rsidRPr="00C205CD">
              <w:rPr>
                <w:color w:val="000000"/>
                <w:sz w:val="20"/>
                <w:szCs w:val="20"/>
              </w:rPr>
              <w:t>$0.00</w:t>
            </w:r>
          </w:p>
        </w:tc>
      </w:tr>
      <w:tr w14:paraId="735B10D3" w14:textId="77777777" w:rsidTr="004269C5">
        <w:tblPrEx>
          <w:tblW w:w="15068" w:type="dxa"/>
          <w:tblInd w:w="-365" w:type="dxa"/>
          <w:tblLook w:val="04A0"/>
        </w:tblPrEx>
        <w:trPr>
          <w:gridAfter w:val="1"/>
          <w:wAfter w:w="222" w:type="dxa"/>
          <w:trHeight w:val="300"/>
        </w:trPr>
        <w:tc>
          <w:tcPr>
            <w:tcW w:w="14846" w:type="dxa"/>
            <w:gridSpan w:val="9"/>
            <w:hideMark/>
          </w:tcPr>
          <w:p w:rsidR="00A71874" w:rsidRPr="00C205CD" w:rsidP="00440516" w14:paraId="18CA33DC" w14:textId="77777777">
            <w:pPr>
              <w:widowControl/>
              <w:autoSpaceDE/>
              <w:autoSpaceDN/>
              <w:adjustRightInd/>
              <w:rPr>
                <w:color w:val="000000"/>
                <w:sz w:val="20"/>
                <w:szCs w:val="20"/>
              </w:rPr>
            </w:pPr>
            <w:r w:rsidRPr="00C205CD">
              <w:rPr>
                <w:color w:val="000000"/>
                <w:sz w:val="20"/>
                <w:szCs w:val="20"/>
              </w:rPr>
              <w:t xml:space="preserve">D.  Prepare the written report to the employer describing findings and </w:t>
            </w:r>
            <w:r w:rsidRPr="00C205CD">
              <w:rPr>
                <w:color w:val="000000"/>
                <w:sz w:val="20"/>
                <w:szCs w:val="20"/>
              </w:rPr>
              <w:t>recommendations for an initial consultation visit (1908.6(g)(1))</w:t>
            </w:r>
          </w:p>
        </w:tc>
      </w:tr>
      <w:tr w14:paraId="13741E41"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10FF1C61" w14:textId="77777777">
            <w:pPr>
              <w:widowControl/>
              <w:autoSpaceDE/>
              <w:autoSpaceDN/>
              <w:adjustRightInd/>
              <w:rPr>
                <w:color w:val="000000"/>
                <w:sz w:val="20"/>
                <w:szCs w:val="20"/>
              </w:rPr>
            </w:pPr>
            <w:r w:rsidRPr="00C205CD">
              <w:rPr>
                <w:color w:val="000000"/>
                <w:sz w:val="20"/>
                <w:szCs w:val="20"/>
              </w:rPr>
              <w:t>Written Report to the Employer – Limited-Service Safety or Health Visits</w:t>
            </w:r>
          </w:p>
        </w:tc>
        <w:tc>
          <w:tcPr>
            <w:tcW w:w="1329" w:type="dxa"/>
            <w:hideMark/>
          </w:tcPr>
          <w:p w:rsidR="00A71874" w:rsidRPr="00C205CD" w:rsidP="00572C1D" w14:paraId="25F07AD9"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15A5A6DC"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0EFEF91A" w14:textId="77777777">
            <w:pPr>
              <w:widowControl/>
              <w:autoSpaceDE/>
              <w:autoSpaceDN/>
              <w:adjustRightInd/>
              <w:jc w:val="center"/>
              <w:rPr>
                <w:color w:val="000000"/>
                <w:sz w:val="20"/>
                <w:szCs w:val="20"/>
              </w:rPr>
            </w:pPr>
            <w:r w:rsidRPr="00C205CD">
              <w:rPr>
                <w:color w:val="000000"/>
                <w:sz w:val="20"/>
                <w:szCs w:val="20"/>
              </w:rPr>
              <w:t>143.36</w:t>
            </w:r>
          </w:p>
        </w:tc>
        <w:tc>
          <w:tcPr>
            <w:tcW w:w="1182" w:type="dxa"/>
            <w:hideMark/>
          </w:tcPr>
          <w:p w:rsidR="00A71874" w:rsidRPr="00C205CD" w:rsidP="00572C1D" w14:paraId="66A7103E" w14:textId="77777777">
            <w:pPr>
              <w:widowControl/>
              <w:autoSpaceDE/>
              <w:autoSpaceDN/>
              <w:adjustRightInd/>
              <w:jc w:val="center"/>
              <w:rPr>
                <w:color w:val="000000"/>
                <w:sz w:val="20"/>
                <w:szCs w:val="20"/>
              </w:rPr>
            </w:pPr>
            <w:r w:rsidRPr="00C205CD">
              <w:rPr>
                <w:color w:val="000000"/>
                <w:sz w:val="20"/>
                <w:szCs w:val="20"/>
              </w:rPr>
              <w:t>7,598</w:t>
            </w:r>
          </w:p>
        </w:tc>
        <w:tc>
          <w:tcPr>
            <w:tcW w:w="1622" w:type="dxa"/>
            <w:hideMark/>
          </w:tcPr>
          <w:p w:rsidR="00A71874" w:rsidRPr="00C205CD" w:rsidP="00572C1D" w14:paraId="32270466" w14:textId="77777777">
            <w:pPr>
              <w:widowControl/>
              <w:autoSpaceDE/>
              <w:autoSpaceDN/>
              <w:adjustRightInd/>
              <w:jc w:val="center"/>
              <w:rPr>
                <w:color w:val="000000"/>
                <w:sz w:val="20"/>
                <w:szCs w:val="20"/>
              </w:rPr>
            </w:pPr>
            <w:r w:rsidRPr="00C205CD">
              <w:rPr>
                <w:color w:val="000000"/>
                <w:sz w:val="20"/>
                <w:szCs w:val="20"/>
              </w:rPr>
              <w:t>3</w:t>
            </w:r>
          </w:p>
        </w:tc>
        <w:tc>
          <w:tcPr>
            <w:tcW w:w="1440" w:type="dxa"/>
            <w:hideMark/>
          </w:tcPr>
          <w:p w:rsidR="00A71874" w:rsidRPr="00C205CD" w:rsidP="00572C1D" w14:paraId="1DE089C9" w14:textId="77777777">
            <w:pPr>
              <w:widowControl/>
              <w:autoSpaceDE/>
              <w:autoSpaceDN/>
              <w:adjustRightInd/>
              <w:jc w:val="center"/>
              <w:rPr>
                <w:color w:val="000000"/>
                <w:sz w:val="20"/>
                <w:szCs w:val="20"/>
              </w:rPr>
            </w:pPr>
            <w:r w:rsidRPr="00C205CD">
              <w:rPr>
                <w:color w:val="000000"/>
                <w:sz w:val="20"/>
                <w:szCs w:val="20"/>
              </w:rPr>
              <w:t>22,794</w:t>
            </w:r>
          </w:p>
        </w:tc>
        <w:tc>
          <w:tcPr>
            <w:tcW w:w="1530" w:type="dxa"/>
            <w:hideMark/>
          </w:tcPr>
          <w:p w:rsidR="00A71874" w:rsidRPr="00C205CD" w:rsidP="00572C1D" w14:paraId="4A12977F" w14:textId="3C23E938">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464AB4CF" w14:textId="48B6E3A2">
            <w:pPr>
              <w:widowControl/>
              <w:autoSpaceDE/>
              <w:autoSpaceDN/>
              <w:adjustRightInd/>
              <w:jc w:val="center"/>
              <w:rPr>
                <w:color w:val="000000"/>
                <w:sz w:val="20"/>
                <w:szCs w:val="20"/>
              </w:rPr>
            </w:pPr>
            <w:r w:rsidRPr="00C205CD">
              <w:rPr>
                <w:color w:val="000000"/>
                <w:sz w:val="20"/>
                <w:szCs w:val="20"/>
              </w:rPr>
              <w:t>$1,514,889</w:t>
            </w:r>
          </w:p>
        </w:tc>
      </w:tr>
      <w:tr w14:paraId="2033323F" w14:textId="77777777" w:rsidTr="004269C5">
        <w:tblPrEx>
          <w:tblW w:w="15068" w:type="dxa"/>
          <w:tblInd w:w="-365" w:type="dxa"/>
          <w:tblLook w:val="04A0"/>
        </w:tblPrEx>
        <w:trPr>
          <w:gridAfter w:val="1"/>
          <w:wAfter w:w="222" w:type="dxa"/>
          <w:trHeight w:val="610"/>
        </w:trPr>
        <w:tc>
          <w:tcPr>
            <w:tcW w:w="3420" w:type="dxa"/>
            <w:hideMark/>
          </w:tcPr>
          <w:p w:rsidR="004269C5" w:rsidRPr="00C205CD" w:rsidP="00440516" w14:paraId="20926915" w14:textId="77777777">
            <w:pPr>
              <w:widowControl/>
              <w:autoSpaceDE/>
              <w:autoSpaceDN/>
              <w:adjustRightInd/>
              <w:rPr>
                <w:color w:val="000000"/>
                <w:sz w:val="20"/>
                <w:szCs w:val="20"/>
              </w:rPr>
            </w:pPr>
            <w:r w:rsidRPr="00C205CD">
              <w:rPr>
                <w:color w:val="000000"/>
                <w:sz w:val="20"/>
                <w:szCs w:val="20"/>
              </w:rPr>
              <w:t xml:space="preserve">Written Report to the Employer – Full-Service Safety and Health Visits </w:t>
            </w:r>
          </w:p>
        </w:tc>
        <w:tc>
          <w:tcPr>
            <w:tcW w:w="1329" w:type="dxa"/>
            <w:hideMark/>
          </w:tcPr>
          <w:p w:rsidR="004269C5" w:rsidRPr="00C205CD" w:rsidP="00572C1D" w14:paraId="2BD61662"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4269C5" w:rsidRPr="00C205CD" w:rsidP="00572C1D" w14:paraId="4F257994"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4269C5" w:rsidRPr="00C205CD" w:rsidP="00572C1D" w14:paraId="6BB603A5" w14:textId="77777777">
            <w:pPr>
              <w:widowControl/>
              <w:autoSpaceDE/>
              <w:autoSpaceDN/>
              <w:adjustRightInd/>
              <w:jc w:val="center"/>
              <w:rPr>
                <w:color w:val="000000"/>
                <w:sz w:val="20"/>
                <w:szCs w:val="20"/>
              </w:rPr>
            </w:pPr>
            <w:r w:rsidRPr="00C205CD">
              <w:rPr>
                <w:color w:val="000000"/>
                <w:sz w:val="20"/>
                <w:szCs w:val="20"/>
              </w:rPr>
              <w:t>203.51</w:t>
            </w:r>
          </w:p>
        </w:tc>
        <w:tc>
          <w:tcPr>
            <w:tcW w:w="1182" w:type="dxa"/>
            <w:hideMark/>
          </w:tcPr>
          <w:p w:rsidR="004269C5" w:rsidRPr="00C205CD" w:rsidP="00572C1D" w14:paraId="40B6CBD3" w14:textId="77777777">
            <w:pPr>
              <w:widowControl/>
              <w:autoSpaceDE/>
              <w:autoSpaceDN/>
              <w:adjustRightInd/>
              <w:jc w:val="center"/>
              <w:rPr>
                <w:color w:val="000000"/>
                <w:sz w:val="20"/>
                <w:szCs w:val="20"/>
              </w:rPr>
            </w:pPr>
            <w:r w:rsidRPr="00C205CD">
              <w:rPr>
                <w:color w:val="000000"/>
                <w:sz w:val="20"/>
                <w:szCs w:val="20"/>
              </w:rPr>
              <w:t>10,786</w:t>
            </w:r>
          </w:p>
        </w:tc>
        <w:tc>
          <w:tcPr>
            <w:tcW w:w="1622" w:type="dxa"/>
            <w:hideMark/>
          </w:tcPr>
          <w:p w:rsidR="004269C5" w:rsidRPr="00C205CD" w:rsidP="00572C1D" w14:paraId="3FB6334C" w14:textId="77777777">
            <w:pPr>
              <w:widowControl/>
              <w:autoSpaceDE/>
              <w:autoSpaceDN/>
              <w:adjustRightInd/>
              <w:jc w:val="center"/>
              <w:rPr>
                <w:color w:val="000000"/>
                <w:sz w:val="20"/>
                <w:szCs w:val="20"/>
              </w:rPr>
            </w:pPr>
            <w:r w:rsidRPr="00C205CD">
              <w:rPr>
                <w:color w:val="000000"/>
                <w:sz w:val="20"/>
                <w:szCs w:val="20"/>
              </w:rPr>
              <w:t>7.5</w:t>
            </w:r>
          </w:p>
        </w:tc>
        <w:tc>
          <w:tcPr>
            <w:tcW w:w="1440" w:type="dxa"/>
            <w:hideMark/>
          </w:tcPr>
          <w:p w:rsidR="004269C5" w:rsidRPr="00C205CD" w:rsidP="00572C1D" w14:paraId="4BDAB5B0" w14:textId="77777777">
            <w:pPr>
              <w:widowControl/>
              <w:autoSpaceDE/>
              <w:autoSpaceDN/>
              <w:adjustRightInd/>
              <w:jc w:val="center"/>
              <w:rPr>
                <w:color w:val="000000"/>
                <w:sz w:val="20"/>
                <w:szCs w:val="20"/>
              </w:rPr>
            </w:pPr>
            <w:r w:rsidRPr="00C205CD">
              <w:rPr>
                <w:color w:val="000000"/>
                <w:sz w:val="20"/>
                <w:szCs w:val="20"/>
              </w:rPr>
              <w:t>80,895</w:t>
            </w:r>
          </w:p>
        </w:tc>
        <w:tc>
          <w:tcPr>
            <w:tcW w:w="1530" w:type="dxa"/>
            <w:hideMark/>
          </w:tcPr>
          <w:p w:rsidR="004269C5" w:rsidRPr="00C205CD" w:rsidP="00572C1D" w14:paraId="2078FAEE" w14:textId="2B4792F9">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4269C5" w:rsidRPr="00C205CD" w:rsidP="00572C1D" w14:paraId="5C3F35B4" w14:textId="73DE1B1E">
            <w:pPr>
              <w:widowControl/>
              <w:autoSpaceDE/>
              <w:autoSpaceDN/>
              <w:adjustRightInd/>
              <w:jc w:val="center"/>
              <w:rPr>
                <w:color w:val="000000"/>
                <w:sz w:val="20"/>
                <w:szCs w:val="20"/>
              </w:rPr>
            </w:pPr>
            <w:r w:rsidRPr="00C205CD">
              <w:rPr>
                <w:color w:val="000000"/>
                <w:sz w:val="20"/>
                <w:szCs w:val="20"/>
              </w:rPr>
              <w:t>$5,376,282</w:t>
            </w:r>
          </w:p>
        </w:tc>
      </w:tr>
      <w:tr w14:paraId="655CB1A6"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7B3F339C" w14:textId="77777777">
            <w:pPr>
              <w:widowControl/>
              <w:autoSpaceDE/>
              <w:autoSpaceDN/>
              <w:adjustRightInd/>
              <w:rPr>
                <w:color w:val="000000"/>
                <w:sz w:val="20"/>
                <w:szCs w:val="20"/>
              </w:rPr>
            </w:pPr>
            <w:r w:rsidRPr="00C205CD">
              <w:rPr>
                <w:color w:val="000000"/>
                <w:sz w:val="20"/>
                <w:szCs w:val="20"/>
              </w:rPr>
              <w:t>Subtotal D.</w:t>
            </w:r>
          </w:p>
        </w:tc>
        <w:tc>
          <w:tcPr>
            <w:tcW w:w="1329" w:type="dxa"/>
            <w:hideMark/>
          </w:tcPr>
          <w:p w:rsidR="00A71874" w:rsidRPr="00C205CD" w:rsidP="00572C1D" w14:paraId="42ABEEEC" w14:textId="2030BD6F">
            <w:pPr>
              <w:widowControl/>
              <w:autoSpaceDE/>
              <w:autoSpaceDN/>
              <w:adjustRightInd/>
              <w:jc w:val="center"/>
              <w:rPr>
                <w:color w:val="000000"/>
                <w:sz w:val="20"/>
                <w:szCs w:val="20"/>
              </w:rPr>
            </w:pPr>
          </w:p>
        </w:tc>
        <w:tc>
          <w:tcPr>
            <w:tcW w:w="1415" w:type="dxa"/>
            <w:hideMark/>
          </w:tcPr>
          <w:p w:rsidR="00A71874" w:rsidRPr="00C205CD" w:rsidP="00572C1D" w14:paraId="58F998E4" w14:textId="08E01CB3">
            <w:pPr>
              <w:widowControl/>
              <w:autoSpaceDE/>
              <w:autoSpaceDN/>
              <w:adjustRightInd/>
              <w:jc w:val="center"/>
              <w:rPr>
                <w:color w:val="000000"/>
                <w:sz w:val="20"/>
                <w:szCs w:val="20"/>
              </w:rPr>
            </w:pPr>
          </w:p>
        </w:tc>
        <w:tc>
          <w:tcPr>
            <w:tcW w:w="1329" w:type="dxa"/>
            <w:hideMark/>
          </w:tcPr>
          <w:p w:rsidR="00A71874" w:rsidRPr="00C205CD" w:rsidP="00572C1D" w14:paraId="7A6B55C4" w14:textId="18B9BC8C">
            <w:pPr>
              <w:widowControl/>
              <w:autoSpaceDE/>
              <w:autoSpaceDN/>
              <w:adjustRightInd/>
              <w:jc w:val="center"/>
              <w:rPr>
                <w:color w:val="000000"/>
                <w:sz w:val="20"/>
                <w:szCs w:val="20"/>
              </w:rPr>
            </w:pPr>
          </w:p>
        </w:tc>
        <w:tc>
          <w:tcPr>
            <w:tcW w:w="1182" w:type="dxa"/>
            <w:hideMark/>
          </w:tcPr>
          <w:p w:rsidR="00A71874" w:rsidRPr="00C205CD" w:rsidP="00572C1D" w14:paraId="02C63279" w14:textId="77777777">
            <w:pPr>
              <w:widowControl/>
              <w:autoSpaceDE/>
              <w:autoSpaceDN/>
              <w:adjustRightInd/>
              <w:jc w:val="center"/>
              <w:rPr>
                <w:color w:val="000000"/>
                <w:sz w:val="20"/>
                <w:szCs w:val="20"/>
              </w:rPr>
            </w:pPr>
            <w:r w:rsidRPr="00C205CD">
              <w:rPr>
                <w:color w:val="000000"/>
                <w:sz w:val="20"/>
                <w:szCs w:val="20"/>
              </w:rPr>
              <w:t>18,384</w:t>
            </w:r>
          </w:p>
        </w:tc>
        <w:tc>
          <w:tcPr>
            <w:tcW w:w="1622" w:type="dxa"/>
            <w:hideMark/>
          </w:tcPr>
          <w:p w:rsidR="00A71874" w:rsidRPr="00C205CD" w:rsidP="00572C1D" w14:paraId="088AFF96" w14:textId="2882FF35">
            <w:pPr>
              <w:widowControl/>
              <w:autoSpaceDE/>
              <w:autoSpaceDN/>
              <w:adjustRightInd/>
              <w:jc w:val="center"/>
              <w:rPr>
                <w:color w:val="000000"/>
                <w:sz w:val="20"/>
                <w:szCs w:val="20"/>
              </w:rPr>
            </w:pPr>
          </w:p>
        </w:tc>
        <w:tc>
          <w:tcPr>
            <w:tcW w:w="1440" w:type="dxa"/>
            <w:hideMark/>
          </w:tcPr>
          <w:p w:rsidR="00A71874" w:rsidRPr="00C205CD" w:rsidP="00572C1D" w14:paraId="577BD6BD" w14:textId="77777777">
            <w:pPr>
              <w:widowControl/>
              <w:autoSpaceDE/>
              <w:autoSpaceDN/>
              <w:adjustRightInd/>
              <w:jc w:val="center"/>
              <w:rPr>
                <w:color w:val="000000"/>
                <w:sz w:val="20"/>
                <w:szCs w:val="20"/>
              </w:rPr>
            </w:pPr>
            <w:r w:rsidRPr="00C205CD">
              <w:rPr>
                <w:color w:val="000000"/>
                <w:sz w:val="20"/>
                <w:szCs w:val="20"/>
              </w:rPr>
              <w:t>103,689</w:t>
            </w:r>
          </w:p>
        </w:tc>
        <w:tc>
          <w:tcPr>
            <w:tcW w:w="1530" w:type="dxa"/>
            <w:hideMark/>
          </w:tcPr>
          <w:p w:rsidR="00A71874" w:rsidRPr="00C205CD" w:rsidP="00572C1D" w14:paraId="44E9F8CD" w14:textId="44855E82">
            <w:pPr>
              <w:widowControl/>
              <w:autoSpaceDE/>
              <w:autoSpaceDN/>
              <w:adjustRightInd/>
              <w:jc w:val="center"/>
              <w:rPr>
                <w:color w:val="000000"/>
                <w:sz w:val="20"/>
                <w:szCs w:val="20"/>
              </w:rPr>
            </w:pPr>
          </w:p>
        </w:tc>
        <w:tc>
          <w:tcPr>
            <w:tcW w:w="1579" w:type="dxa"/>
            <w:hideMark/>
          </w:tcPr>
          <w:p w:rsidR="00A71874" w:rsidRPr="00C205CD" w:rsidP="00572C1D" w14:paraId="5EFAAD75" w14:textId="4B877B4A">
            <w:pPr>
              <w:widowControl/>
              <w:autoSpaceDE/>
              <w:autoSpaceDN/>
              <w:adjustRightInd/>
              <w:jc w:val="center"/>
              <w:rPr>
                <w:color w:val="000000"/>
                <w:sz w:val="20"/>
                <w:szCs w:val="20"/>
              </w:rPr>
            </w:pPr>
            <w:r w:rsidRPr="00C205CD">
              <w:rPr>
                <w:color w:val="000000"/>
                <w:sz w:val="20"/>
                <w:szCs w:val="20"/>
              </w:rPr>
              <w:t>$6,891,171</w:t>
            </w:r>
          </w:p>
        </w:tc>
      </w:tr>
      <w:tr w14:paraId="49808453" w14:textId="77777777" w:rsidTr="004269C5">
        <w:tblPrEx>
          <w:tblW w:w="15068" w:type="dxa"/>
          <w:tblInd w:w="-365" w:type="dxa"/>
          <w:tblLook w:val="04A0"/>
        </w:tblPrEx>
        <w:trPr>
          <w:gridAfter w:val="1"/>
          <w:wAfter w:w="222" w:type="dxa"/>
          <w:trHeight w:val="300"/>
        </w:trPr>
        <w:tc>
          <w:tcPr>
            <w:tcW w:w="3420" w:type="dxa"/>
            <w:vMerge w:val="restart"/>
            <w:hideMark/>
          </w:tcPr>
          <w:p w:rsidR="00A71874" w:rsidRPr="00C205CD" w:rsidP="00440516" w14:paraId="319EB518" w14:textId="77777777">
            <w:pPr>
              <w:widowControl/>
              <w:autoSpaceDE/>
              <w:autoSpaceDN/>
              <w:adjustRightInd/>
              <w:rPr>
                <w:color w:val="000000"/>
                <w:sz w:val="20"/>
                <w:szCs w:val="20"/>
              </w:rPr>
            </w:pPr>
            <w:r w:rsidRPr="00C205CD">
              <w:rPr>
                <w:color w:val="000000"/>
                <w:sz w:val="20"/>
                <w:szCs w:val="20"/>
              </w:rPr>
              <w:t xml:space="preserve">E. Inform OSHA Compliance Officer there is a Consultation "Visit in </w:t>
            </w:r>
            <w:r w:rsidRPr="00C205CD">
              <w:rPr>
                <w:color w:val="000000"/>
                <w:sz w:val="20"/>
                <w:szCs w:val="20"/>
              </w:rPr>
              <w:t>Progress" (1908.7(b)(1))</w:t>
            </w:r>
          </w:p>
        </w:tc>
        <w:tc>
          <w:tcPr>
            <w:tcW w:w="1329" w:type="dxa"/>
            <w:vMerge w:val="restart"/>
            <w:hideMark/>
          </w:tcPr>
          <w:p w:rsidR="00A71874" w:rsidRPr="00C205CD" w:rsidP="00572C1D" w14:paraId="309637AE" w14:textId="77777777">
            <w:pPr>
              <w:widowControl/>
              <w:autoSpaceDE/>
              <w:autoSpaceDN/>
              <w:adjustRightInd/>
              <w:jc w:val="center"/>
              <w:rPr>
                <w:color w:val="000000"/>
                <w:sz w:val="20"/>
                <w:szCs w:val="20"/>
              </w:rPr>
            </w:pPr>
            <w:r w:rsidRPr="00C205CD">
              <w:rPr>
                <w:color w:val="000000"/>
                <w:sz w:val="20"/>
                <w:szCs w:val="20"/>
              </w:rPr>
              <w:t>Program Manager</w:t>
            </w:r>
          </w:p>
        </w:tc>
        <w:tc>
          <w:tcPr>
            <w:tcW w:w="1415" w:type="dxa"/>
            <w:vMerge w:val="restart"/>
            <w:hideMark/>
          </w:tcPr>
          <w:p w:rsidR="00A71874" w:rsidRPr="00C205CD" w:rsidP="00572C1D" w14:paraId="0DE2DF83" w14:textId="77777777">
            <w:pPr>
              <w:widowControl/>
              <w:autoSpaceDE/>
              <w:autoSpaceDN/>
              <w:adjustRightInd/>
              <w:jc w:val="center"/>
              <w:rPr>
                <w:color w:val="000000"/>
                <w:sz w:val="20"/>
                <w:szCs w:val="20"/>
              </w:rPr>
            </w:pPr>
            <w:r w:rsidRPr="00C205CD">
              <w:rPr>
                <w:color w:val="000000"/>
                <w:sz w:val="20"/>
                <w:szCs w:val="20"/>
              </w:rPr>
              <w:t>53</w:t>
            </w:r>
          </w:p>
        </w:tc>
        <w:tc>
          <w:tcPr>
            <w:tcW w:w="1329" w:type="dxa"/>
            <w:vMerge w:val="restart"/>
            <w:hideMark/>
          </w:tcPr>
          <w:p w:rsidR="00A71874" w:rsidRPr="00C205CD" w:rsidP="00572C1D" w14:paraId="53A55B23" w14:textId="77777777">
            <w:pPr>
              <w:widowControl/>
              <w:autoSpaceDE/>
              <w:autoSpaceDN/>
              <w:adjustRightInd/>
              <w:jc w:val="center"/>
              <w:rPr>
                <w:color w:val="000000"/>
                <w:sz w:val="20"/>
                <w:szCs w:val="20"/>
              </w:rPr>
            </w:pPr>
            <w:r w:rsidRPr="00C205CD">
              <w:rPr>
                <w:color w:val="000000"/>
                <w:sz w:val="20"/>
                <w:szCs w:val="20"/>
              </w:rPr>
              <w:t>17.34</w:t>
            </w:r>
          </w:p>
        </w:tc>
        <w:tc>
          <w:tcPr>
            <w:tcW w:w="1182" w:type="dxa"/>
            <w:vMerge w:val="restart"/>
            <w:hideMark/>
          </w:tcPr>
          <w:p w:rsidR="00A71874" w:rsidRPr="00C205CD" w:rsidP="00572C1D" w14:paraId="09A6308D" w14:textId="77777777">
            <w:pPr>
              <w:widowControl/>
              <w:autoSpaceDE/>
              <w:autoSpaceDN/>
              <w:adjustRightInd/>
              <w:jc w:val="center"/>
              <w:rPr>
                <w:color w:val="000000"/>
                <w:sz w:val="20"/>
                <w:szCs w:val="20"/>
              </w:rPr>
            </w:pPr>
            <w:r w:rsidRPr="00C205CD">
              <w:rPr>
                <w:color w:val="000000"/>
                <w:sz w:val="20"/>
                <w:szCs w:val="20"/>
              </w:rPr>
              <w:t>919</w:t>
            </w:r>
          </w:p>
        </w:tc>
        <w:tc>
          <w:tcPr>
            <w:tcW w:w="1622" w:type="dxa"/>
            <w:vMerge w:val="restart"/>
            <w:hideMark/>
          </w:tcPr>
          <w:p w:rsidR="00A71874" w:rsidRPr="00C205CD" w:rsidP="00572C1D" w14:paraId="47A134BD" w14:textId="40DE0B94">
            <w:pPr>
              <w:widowControl/>
              <w:autoSpaceDE/>
              <w:autoSpaceDN/>
              <w:adjustRightInd/>
              <w:jc w:val="center"/>
              <w:rPr>
                <w:color w:val="000000"/>
                <w:sz w:val="20"/>
                <w:szCs w:val="20"/>
              </w:rPr>
            </w:pPr>
            <w:r w:rsidRPr="00C205CD">
              <w:rPr>
                <w:color w:val="000000"/>
                <w:sz w:val="20"/>
                <w:szCs w:val="20"/>
              </w:rPr>
              <w:t>6/60</w:t>
            </w:r>
          </w:p>
        </w:tc>
        <w:tc>
          <w:tcPr>
            <w:tcW w:w="1440" w:type="dxa"/>
            <w:vMerge w:val="restart"/>
            <w:hideMark/>
          </w:tcPr>
          <w:p w:rsidR="00A71874" w:rsidRPr="00C205CD" w:rsidP="00572C1D" w14:paraId="0E711440" w14:textId="77777777">
            <w:pPr>
              <w:widowControl/>
              <w:autoSpaceDE/>
              <w:autoSpaceDN/>
              <w:adjustRightInd/>
              <w:jc w:val="center"/>
              <w:rPr>
                <w:color w:val="000000"/>
                <w:sz w:val="20"/>
                <w:szCs w:val="20"/>
              </w:rPr>
            </w:pPr>
            <w:r w:rsidRPr="00C205CD">
              <w:rPr>
                <w:color w:val="000000"/>
                <w:sz w:val="20"/>
                <w:szCs w:val="20"/>
              </w:rPr>
              <w:t>92</w:t>
            </w:r>
          </w:p>
        </w:tc>
        <w:tc>
          <w:tcPr>
            <w:tcW w:w="1530" w:type="dxa"/>
            <w:vMerge w:val="restart"/>
            <w:hideMark/>
          </w:tcPr>
          <w:p w:rsidR="00A71874" w:rsidRPr="00C205CD" w:rsidP="00572C1D" w14:paraId="232289B5" w14:textId="2791AC76">
            <w:pPr>
              <w:widowControl/>
              <w:autoSpaceDE/>
              <w:autoSpaceDN/>
              <w:adjustRightInd/>
              <w:jc w:val="center"/>
              <w:rPr>
                <w:color w:val="000000"/>
                <w:sz w:val="20"/>
                <w:szCs w:val="20"/>
              </w:rPr>
            </w:pPr>
            <w:r w:rsidRPr="00C205CD">
              <w:rPr>
                <w:color w:val="000000"/>
                <w:sz w:val="20"/>
                <w:szCs w:val="20"/>
              </w:rPr>
              <w:t>$91.37</w:t>
            </w:r>
          </w:p>
        </w:tc>
        <w:tc>
          <w:tcPr>
            <w:tcW w:w="1579" w:type="dxa"/>
            <w:vMerge w:val="restart"/>
            <w:hideMark/>
          </w:tcPr>
          <w:p w:rsidR="00A71874" w:rsidRPr="00C205CD" w:rsidP="00572C1D" w14:paraId="7F09AFE7" w14:textId="1A91F7E5">
            <w:pPr>
              <w:widowControl/>
              <w:autoSpaceDE/>
              <w:autoSpaceDN/>
              <w:adjustRightInd/>
              <w:jc w:val="center"/>
              <w:rPr>
                <w:color w:val="000000"/>
                <w:sz w:val="20"/>
                <w:szCs w:val="20"/>
              </w:rPr>
            </w:pPr>
            <w:r w:rsidRPr="00C205CD">
              <w:rPr>
                <w:color w:val="000000"/>
                <w:sz w:val="20"/>
                <w:szCs w:val="20"/>
              </w:rPr>
              <w:t>$8,406.00</w:t>
            </w:r>
          </w:p>
        </w:tc>
      </w:tr>
      <w:tr w14:paraId="2AF76782" w14:textId="77777777" w:rsidTr="004269C5">
        <w:tblPrEx>
          <w:tblW w:w="15068" w:type="dxa"/>
          <w:tblInd w:w="-365" w:type="dxa"/>
          <w:tblLook w:val="04A0"/>
        </w:tblPrEx>
        <w:trPr>
          <w:gridAfter w:val="1"/>
          <w:wAfter w:w="222" w:type="dxa"/>
          <w:trHeight w:val="300"/>
        </w:trPr>
        <w:tc>
          <w:tcPr>
            <w:tcW w:w="3420" w:type="dxa"/>
            <w:vMerge/>
            <w:hideMark/>
          </w:tcPr>
          <w:p w:rsidR="00A71874" w:rsidRPr="00C205CD" w:rsidP="00440516" w14:paraId="03B057CD" w14:textId="77777777">
            <w:pPr>
              <w:widowControl/>
              <w:autoSpaceDE/>
              <w:autoSpaceDN/>
              <w:adjustRightInd/>
              <w:rPr>
                <w:color w:val="000000"/>
                <w:sz w:val="20"/>
                <w:szCs w:val="20"/>
              </w:rPr>
            </w:pPr>
          </w:p>
        </w:tc>
        <w:tc>
          <w:tcPr>
            <w:tcW w:w="1329" w:type="dxa"/>
            <w:vMerge/>
            <w:hideMark/>
          </w:tcPr>
          <w:p w:rsidR="00A71874" w:rsidRPr="00C205CD" w:rsidP="00572C1D" w14:paraId="1F250C92" w14:textId="77777777">
            <w:pPr>
              <w:widowControl/>
              <w:autoSpaceDE/>
              <w:autoSpaceDN/>
              <w:adjustRightInd/>
              <w:jc w:val="center"/>
              <w:rPr>
                <w:color w:val="000000"/>
                <w:sz w:val="20"/>
                <w:szCs w:val="20"/>
              </w:rPr>
            </w:pPr>
          </w:p>
        </w:tc>
        <w:tc>
          <w:tcPr>
            <w:tcW w:w="1415" w:type="dxa"/>
            <w:vMerge/>
            <w:hideMark/>
          </w:tcPr>
          <w:p w:rsidR="00A71874" w:rsidRPr="00C205CD" w:rsidP="00572C1D" w14:paraId="6B60003F" w14:textId="77777777">
            <w:pPr>
              <w:widowControl/>
              <w:autoSpaceDE/>
              <w:autoSpaceDN/>
              <w:adjustRightInd/>
              <w:jc w:val="center"/>
              <w:rPr>
                <w:color w:val="000000"/>
                <w:sz w:val="20"/>
                <w:szCs w:val="20"/>
              </w:rPr>
            </w:pPr>
          </w:p>
        </w:tc>
        <w:tc>
          <w:tcPr>
            <w:tcW w:w="1329" w:type="dxa"/>
            <w:vMerge/>
            <w:hideMark/>
          </w:tcPr>
          <w:p w:rsidR="00A71874" w:rsidRPr="00C205CD" w:rsidP="00572C1D" w14:paraId="5CF66E77" w14:textId="77777777">
            <w:pPr>
              <w:widowControl/>
              <w:autoSpaceDE/>
              <w:autoSpaceDN/>
              <w:adjustRightInd/>
              <w:jc w:val="center"/>
              <w:rPr>
                <w:color w:val="000000"/>
                <w:sz w:val="20"/>
                <w:szCs w:val="20"/>
              </w:rPr>
            </w:pPr>
          </w:p>
        </w:tc>
        <w:tc>
          <w:tcPr>
            <w:tcW w:w="1182" w:type="dxa"/>
            <w:vMerge/>
            <w:hideMark/>
          </w:tcPr>
          <w:p w:rsidR="00A71874" w:rsidRPr="00C205CD" w:rsidP="00572C1D" w14:paraId="74F8B58D" w14:textId="77777777">
            <w:pPr>
              <w:widowControl/>
              <w:autoSpaceDE/>
              <w:autoSpaceDN/>
              <w:adjustRightInd/>
              <w:jc w:val="center"/>
              <w:rPr>
                <w:color w:val="000000"/>
                <w:sz w:val="20"/>
                <w:szCs w:val="20"/>
              </w:rPr>
            </w:pPr>
          </w:p>
        </w:tc>
        <w:tc>
          <w:tcPr>
            <w:tcW w:w="1622" w:type="dxa"/>
            <w:vMerge/>
            <w:hideMark/>
          </w:tcPr>
          <w:p w:rsidR="00A71874" w:rsidRPr="00C205CD" w:rsidP="00572C1D" w14:paraId="0459D8C3" w14:textId="77777777">
            <w:pPr>
              <w:widowControl/>
              <w:autoSpaceDE/>
              <w:autoSpaceDN/>
              <w:adjustRightInd/>
              <w:jc w:val="center"/>
              <w:rPr>
                <w:color w:val="000000"/>
                <w:sz w:val="20"/>
                <w:szCs w:val="20"/>
              </w:rPr>
            </w:pPr>
          </w:p>
        </w:tc>
        <w:tc>
          <w:tcPr>
            <w:tcW w:w="1440" w:type="dxa"/>
            <w:vMerge/>
            <w:hideMark/>
          </w:tcPr>
          <w:p w:rsidR="00A71874" w:rsidRPr="00C205CD" w:rsidP="00572C1D" w14:paraId="05DD721B" w14:textId="77777777">
            <w:pPr>
              <w:widowControl/>
              <w:autoSpaceDE/>
              <w:autoSpaceDN/>
              <w:adjustRightInd/>
              <w:jc w:val="center"/>
              <w:rPr>
                <w:color w:val="000000"/>
                <w:sz w:val="20"/>
                <w:szCs w:val="20"/>
              </w:rPr>
            </w:pPr>
          </w:p>
        </w:tc>
        <w:tc>
          <w:tcPr>
            <w:tcW w:w="1530" w:type="dxa"/>
            <w:vMerge/>
            <w:hideMark/>
          </w:tcPr>
          <w:p w:rsidR="00A71874" w:rsidRPr="00C205CD" w:rsidP="00572C1D" w14:paraId="1B6F314E" w14:textId="77777777">
            <w:pPr>
              <w:widowControl/>
              <w:autoSpaceDE/>
              <w:autoSpaceDN/>
              <w:adjustRightInd/>
              <w:jc w:val="center"/>
              <w:rPr>
                <w:color w:val="000000"/>
                <w:sz w:val="20"/>
                <w:szCs w:val="20"/>
              </w:rPr>
            </w:pPr>
          </w:p>
        </w:tc>
        <w:tc>
          <w:tcPr>
            <w:tcW w:w="1579" w:type="dxa"/>
            <w:vMerge/>
            <w:hideMark/>
          </w:tcPr>
          <w:p w:rsidR="00A71874" w:rsidRPr="00C205CD" w:rsidP="00572C1D" w14:paraId="13C3395B" w14:textId="77777777">
            <w:pPr>
              <w:widowControl/>
              <w:autoSpaceDE/>
              <w:autoSpaceDN/>
              <w:adjustRightInd/>
              <w:jc w:val="center"/>
              <w:rPr>
                <w:color w:val="000000"/>
                <w:sz w:val="20"/>
                <w:szCs w:val="20"/>
              </w:rPr>
            </w:pPr>
          </w:p>
        </w:tc>
      </w:tr>
      <w:tr w14:paraId="2780D392" w14:textId="77777777" w:rsidTr="004269C5">
        <w:tblPrEx>
          <w:tblW w:w="15068" w:type="dxa"/>
          <w:tblInd w:w="-365" w:type="dxa"/>
          <w:tblLook w:val="04A0"/>
        </w:tblPrEx>
        <w:trPr>
          <w:gridAfter w:val="1"/>
          <w:wAfter w:w="222" w:type="dxa"/>
          <w:trHeight w:val="765"/>
        </w:trPr>
        <w:tc>
          <w:tcPr>
            <w:tcW w:w="3420" w:type="dxa"/>
            <w:hideMark/>
          </w:tcPr>
          <w:p w:rsidR="00A71874" w:rsidRPr="00C205CD" w:rsidP="00440516" w14:paraId="2A8B66C8" w14:textId="77777777">
            <w:pPr>
              <w:widowControl/>
              <w:autoSpaceDE/>
              <w:autoSpaceDN/>
              <w:adjustRightInd/>
              <w:rPr>
                <w:color w:val="000000"/>
                <w:sz w:val="20"/>
                <w:szCs w:val="20"/>
              </w:rPr>
            </w:pPr>
            <w:r w:rsidRPr="00C205CD">
              <w:rPr>
                <w:color w:val="000000"/>
                <w:sz w:val="20"/>
                <w:szCs w:val="20"/>
              </w:rPr>
              <w:t>F. Establish and maintain an organized consultant performance monitoring system. (29 CFR 1908.9(b))</w:t>
            </w:r>
          </w:p>
        </w:tc>
        <w:tc>
          <w:tcPr>
            <w:tcW w:w="1329" w:type="dxa"/>
            <w:hideMark/>
          </w:tcPr>
          <w:p w:rsidR="00A71874" w:rsidRPr="00C205CD" w:rsidP="00572C1D" w14:paraId="40F2C093" w14:textId="77777777">
            <w:pPr>
              <w:widowControl/>
              <w:autoSpaceDE/>
              <w:autoSpaceDN/>
              <w:adjustRightInd/>
              <w:jc w:val="center"/>
              <w:rPr>
                <w:color w:val="000000"/>
                <w:sz w:val="20"/>
                <w:szCs w:val="20"/>
              </w:rPr>
            </w:pPr>
            <w:r w:rsidRPr="00C205CD">
              <w:rPr>
                <w:color w:val="000000"/>
                <w:sz w:val="20"/>
                <w:szCs w:val="20"/>
              </w:rPr>
              <w:t>Program Manager</w:t>
            </w:r>
          </w:p>
        </w:tc>
        <w:tc>
          <w:tcPr>
            <w:tcW w:w="1415" w:type="dxa"/>
            <w:hideMark/>
          </w:tcPr>
          <w:p w:rsidR="00A71874" w:rsidRPr="00C205CD" w:rsidP="00572C1D" w14:paraId="3BD2B0E7"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1CD95E2B" w14:textId="77777777">
            <w:pPr>
              <w:widowControl/>
              <w:autoSpaceDE/>
              <w:autoSpaceDN/>
              <w:adjustRightInd/>
              <w:jc w:val="center"/>
              <w:rPr>
                <w:color w:val="000000"/>
                <w:sz w:val="20"/>
                <w:szCs w:val="20"/>
              </w:rPr>
            </w:pPr>
            <w:r w:rsidRPr="00C205CD">
              <w:rPr>
                <w:color w:val="000000"/>
                <w:sz w:val="20"/>
                <w:szCs w:val="20"/>
              </w:rPr>
              <w:t>0</w:t>
            </w:r>
          </w:p>
        </w:tc>
        <w:tc>
          <w:tcPr>
            <w:tcW w:w="1182" w:type="dxa"/>
            <w:hideMark/>
          </w:tcPr>
          <w:p w:rsidR="00A71874" w:rsidRPr="00C205CD" w:rsidP="00572C1D" w14:paraId="59FE5FB3" w14:textId="77777777">
            <w:pPr>
              <w:widowControl/>
              <w:autoSpaceDE/>
              <w:autoSpaceDN/>
              <w:adjustRightInd/>
              <w:jc w:val="center"/>
              <w:rPr>
                <w:color w:val="000000"/>
                <w:sz w:val="20"/>
                <w:szCs w:val="20"/>
              </w:rPr>
            </w:pPr>
            <w:r w:rsidRPr="00C205CD">
              <w:rPr>
                <w:color w:val="000000"/>
                <w:sz w:val="20"/>
                <w:szCs w:val="20"/>
              </w:rPr>
              <w:t>0</w:t>
            </w:r>
          </w:p>
        </w:tc>
        <w:tc>
          <w:tcPr>
            <w:tcW w:w="1622" w:type="dxa"/>
            <w:hideMark/>
          </w:tcPr>
          <w:p w:rsidR="00A71874" w:rsidRPr="00C205CD" w:rsidP="00572C1D" w14:paraId="0EAA4C31" w14:textId="77777777">
            <w:pPr>
              <w:widowControl/>
              <w:autoSpaceDE/>
              <w:autoSpaceDN/>
              <w:adjustRightInd/>
              <w:jc w:val="center"/>
              <w:rPr>
                <w:color w:val="000000"/>
                <w:sz w:val="20"/>
                <w:szCs w:val="20"/>
              </w:rPr>
            </w:pPr>
            <w:r w:rsidRPr="00C205CD">
              <w:rPr>
                <w:color w:val="000000"/>
                <w:sz w:val="20"/>
                <w:szCs w:val="20"/>
              </w:rPr>
              <w:t>0</w:t>
            </w:r>
          </w:p>
        </w:tc>
        <w:tc>
          <w:tcPr>
            <w:tcW w:w="1440" w:type="dxa"/>
            <w:hideMark/>
          </w:tcPr>
          <w:p w:rsidR="00A71874" w:rsidRPr="00C205CD" w:rsidP="00572C1D" w14:paraId="3639B870" w14:textId="77777777">
            <w:pPr>
              <w:widowControl/>
              <w:autoSpaceDE/>
              <w:autoSpaceDN/>
              <w:adjustRightInd/>
              <w:jc w:val="center"/>
              <w:rPr>
                <w:color w:val="000000"/>
                <w:sz w:val="20"/>
                <w:szCs w:val="20"/>
              </w:rPr>
            </w:pPr>
            <w:r w:rsidRPr="00C205CD">
              <w:rPr>
                <w:color w:val="000000"/>
                <w:sz w:val="20"/>
                <w:szCs w:val="20"/>
              </w:rPr>
              <w:t>0</w:t>
            </w:r>
          </w:p>
        </w:tc>
        <w:tc>
          <w:tcPr>
            <w:tcW w:w="1530" w:type="dxa"/>
            <w:hideMark/>
          </w:tcPr>
          <w:p w:rsidR="00A71874" w:rsidRPr="00C205CD" w:rsidP="00572C1D" w14:paraId="5F6562D9" w14:textId="6CDFDB8A">
            <w:pPr>
              <w:widowControl/>
              <w:autoSpaceDE/>
              <w:autoSpaceDN/>
              <w:adjustRightInd/>
              <w:jc w:val="center"/>
              <w:rPr>
                <w:color w:val="000000"/>
                <w:sz w:val="20"/>
                <w:szCs w:val="20"/>
              </w:rPr>
            </w:pPr>
            <w:r w:rsidRPr="00C205CD">
              <w:rPr>
                <w:color w:val="000000"/>
                <w:sz w:val="20"/>
                <w:szCs w:val="20"/>
              </w:rPr>
              <w:t>$91.37</w:t>
            </w:r>
          </w:p>
        </w:tc>
        <w:tc>
          <w:tcPr>
            <w:tcW w:w="1579" w:type="dxa"/>
            <w:hideMark/>
          </w:tcPr>
          <w:p w:rsidR="00A71874" w:rsidRPr="00C205CD" w:rsidP="00572C1D" w14:paraId="4F8E0795" w14:textId="62F624AF">
            <w:pPr>
              <w:widowControl/>
              <w:autoSpaceDE/>
              <w:autoSpaceDN/>
              <w:adjustRightInd/>
              <w:jc w:val="center"/>
              <w:rPr>
                <w:color w:val="000000"/>
                <w:sz w:val="20"/>
                <w:szCs w:val="20"/>
              </w:rPr>
            </w:pPr>
            <w:r w:rsidRPr="00C205CD">
              <w:rPr>
                <w:color w:val="000000"/>
                <w:sz w:val="20"/>
                <w:szCs w:val="20"/>
              </w:rPr>
              <w:t>$0</w:t>
            </w:r>
          </w:p>
        </w:tc>
      </w:tr>
      <w:tr w14:paraId="40A31D73"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644FCF4F" w14:textId="77777777">
            <w:pPr>
              <w:widowControl/>
              <w:autoSpaceDE/>
              <w:autoSpaceDN/>
              <w:adjustRightInd/>
              <w:rPr>
                <w:color w:val="000000"/>
                <w:sz w:val="20"/>
                <w:szCs w:val="20"/>
              </w:rPr>
            </w:pPr>
            <w:r w:rsidRPr="00C205CD">
              <w:rPr>
                <w:color w:val="000000"/>
                <w:sz w:val="20"/>
                <w:szCs w:val="20"/>
              </w:rPr>
              <w:t xml:space="preserve">G.  Preparation for </w:t>
            </w:r>
            <w:r w:rsidRPr="00C205CD">
              <w:rPr>
                <w:color w:val="000000"/>
                <w:sz w:val="20"/>
                <w:szCs w:val="20"/>
              </w:rPr>
              <w:t>Federal Project Officer review (1908.9 (c))</w:t>
            </w:r>
          </w:p>
        </w:tc>
        <w:tc>
          <w:tcPr>
            <w:tcW w:w="1329" w:type="dxa"/>
            <w:hideMark/>
          </w:tcPr>
          <w:p w:rsidR="00A71874" w:rsidRPr="00C205CD" w:rsidP="00572C1D" w14:paraId="64D0F18C" w14:textId="77777777">
            <w:pPr>
              <w:widowControl/>
              <w:autoSpaceDE/>
              <w:autoSpaceDN/>
              <w:adjustRightInd/>
              <w:jc w:val="center"/>
              <w:rPr>
                <w:color w:val="000000"/>
                <w:sz w:val="20"/>
                <w:szCs w:val="20"/>
              </w:rPr>
            </w:pPr>
            <w:r w:rsidRPr="00C205CD">
              <w:rPr>
                <w:color w:val="000000"/>
                <w:sz w:val="20"/>
                <w:szCs w:val="20"/>
              </w:rPr>
              <w:t>Clerical</w:t>
            </w:r>
          </w:p>
        </w:tc>
        <w:tc>
          <w:tcPr>
            <w:tcW w:w="1415" w:type="dxa"/>
            <w:hideMark/>
          </w:tcPr>
          <w:p w:rsidR="00A71874" w:rsidRPr="00C205CD" w:rsidP="00572C1D" w14:paraId="3ECF7E9F"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39396FC8" w14:textId="77777777">
            <w:pPr>
              <w:widowControl/>
              <w:autoSpaceDE/>
              <w:autoSpaceDN/>
              <w:adjustRightInd/>
              <w:jc w:val="center"/>
              <w:rPr>
                <w:color w:val="000000"/>
                <w:sz w:val="20"/>
                <w:szCs w:val="20"/>
              </w:rPr>
            </w:pPr>
            <w:r w:rsidRPr="00C205CD">
              <w:rPr>
                <w:color w:val="000000"/>
                <w:sz w:val="20"/>
                <w:szCs w:val="20"/>
              </w:rPr>
              <w:t>9</w:t>
            </w:r>
          </w:p>
        </w:tc>
        <w:tc>
          <w:tcPr>
            <w:tcW w:w="1182" w:type="dxa"/>
            <w:hideMark/>
          </w:tcPr>
          <w:p w:rsidR="00A71874" w:rsidRPr="00C205CD" w:rsidP="00572C1D" w14:paraId="6B821336" w14:textId="77777777">
            <w:pPr>
              <w:widowControl/>
              <w:autoSpaceDE/>
              <w:autoSpaceDN/>
              <w:adjustRightInd/>
              <w:jc w:val="center"/>
              <w:rPr>
                <w:color w:val="000000"/>
                <w:sz w:val="20"/>
                <w:szCs w:val="20"/>
              </w:rPr>
            </w:pPr>
            <w:r w:rsidRPr="00C205CD">
              <w:rPr>
                <w:color w:val="000000"/>
                <w:sz w:val="20"/>
                <w:szCs w:val="20"/>
              </w:rPr>
              <w:t>477</w:t>
            </w:r>
          </w:p>
        </w:tc>
        <w:tc>
          <w:tcPr>
            <w:tcW w:w="1622" w:type="dxa"/>
            <w:hideMark/>
          </w:tcPr>
          <w:p w:rsidR="00A71874" w:rsidRPr="00C205CD" w:rsidP="00572C1D" w14:paraId="7827EA5C" w14:textId="216F0C9A">
            <w:pPr>
              <w:widowControl/>
              <w:autoSpaceDE/>
              <w:autoSpaceDN/>
              <w:adjustRightInd/>
              <w:jc w:val="center"/>
              <w:rPr>
                <w:color w:val="000000"/>
                <w:sz w:val="20"/>
                <w:szCs w:val="20"/>
              </w:rPr>
            </w:pPr>
            <w:r w:rsidRPr="00C205CD">
              <w:rPr>
                <w:color w:val="000000"/>
                <w:sz w:val="20"/>
                <w:szCs w:val="20"/>
              </w:rPr>
              <w:t>30/60</w:t>
            </w:r>
          </w:p>
        </w:tc>
        <w:tc>
          <w:tcPr>
            <w:tcW w:w="1440" w:type="dxa"/>
            <w:hideMark/>
          </w:tcPr>
          <w:p w:rsidR="00A71874" w:rsidRPr="00C205CD" w:rsidP="00572C1D" w14:paraId="2E56D36B" w14:textId="77777777">
            <w:pPr>
              <w:widowControl/>
              <w:autoSpaceDE/>
              <w:autoSpaceDN/>
              <w:adjustRightInd/>
              <w:jc w:val="center"/>
              <w:rPr>
                <w:color w:val="000000"/>
                <w:sz w:val="20"/>
                <w:szCs w:val="20"/>
              </w:rPr>
            </w:pPr>
            <w:r w:rsidRPr="00C205CD">
              <w:rPr>
                <w:color w:val="000000"/>
                <w:sz w:val="20"/>
                <w:szCs w:val="20"/>
              </w:rPr>
              <w:t>239</w:t>
            </w:r>
          </w:p>
        </w:tc>
        <w:tc>
          <w:tcPr>
            <w:tcW w:w="1530" w:type="dxa"/>
            <w:hideMark/>
          </w:tcPr>
          <w:p w:rsidR="00A71874" w:rsidRPr="00C205CD" w:rsidP="00572C1D" w14:paraId="53F97D6C" w14:textId="17EA289D">
            <w:pPr>
              <w:widowControl/>
              <w:autoSpaceDE/>
              <w:autoSpaceDN/>
              <w:adjustRightInd/>
              <w:jc w:val="center"/>
              <w:rPr>
                <w:color w:val="000000"/>
                <w:sz w:val="20"/>
                <w:szCs w:val="20"/>
              </w:rPr>
            </w:pPr>
            <w:r w:rsidRPr="00C205CD">
              <w:rPr>
                <w:color w:val="000000"/>
                <w:sz w:val="20"/>
                <w:szCs w:val="20"/>
              </w:rPr>
              <w:t>$31.79</w:t>
            </w:r>
          </w:p>
        </w:tc>
        <w:tc>
          <w:tcPr>
            <w:tcW w:w="1579" w:type="dxa"/>
            <w:hideMark/>
          </w:tcPr>
          <w:p w:rsidR="00A71874" w:rsidRPr="00C205CD" w:rsidP="00572C1D" w14:paraId="254D7200" w14:textId="0D24DD1D">
            <w:pPr>
              <w:widowControl/>
              <w:autoSpaceDE/>
              <w:autoSpaceDN/>
              <w:adjustRightInd/>
              <w:jc w:val="center"/>
              <w:rPr>
                <w:color w:val="000000"/>
                <w:sz w:val="20"/>
                <w:szCs w:val="20"/>
              </w:rPr>
            </w:pPr>
            <w:r w:rsidRPr="00C205CD">
              <w:rPr>
                <w:color w:val="000000"/>
                <w:sz w:val="20"/>
                <w:szCs w:val="20"/>
              </w:rPr>
              <w:t>$7,598</w:t>
            </w:r>
          </w:p>
        </w:tc>
      </w:tr>
      <w:tr w14:paraId="2E3B4537" w14:textId="77777777" w:rsidTr="004269C5">
        <w:tblPrEx>
          <w:tblW w:w="15068" w:type="dxa"/>
          <w:tblInd w:w="-365" w:type="dxa"/>
          <w:tblLook w:val="04A0"/>
        </w:tblPrEx>
        <w:trPr>
          <w:gridAfter w:val="1"/>
          <w:wAfter w:w="222" w:type="dxa"/>
          <w:trHeight w:val="300"/>
        </w:trPr>
        <w:tc>
          <w:tcPr>
            <w:tcW w:w="14846" w:type="dxa"/>
            <w:gridSpan w:val="9"/>
            <w:hideMark/>
          </w:tcPr>
          <w:p w:rsidR="00A71874" w:rsidRPr="00C205CD" w:rsidP="00572C1D" w14:paraId="782BFDC4" w14:textId="77777777">
            <w:pPr>
              <w:widowControl/>
              <w:autoSpaceDE/>
              <w:autoSpaceDN/>
              <w:adjustRightInd/>
              <w:jc w:val="center"/>
              <w:rPr>
                <w:color w:val="000000"/>
                <w:sz w:val="20"/>
                <w:szCs w:val="20"/>
              </w:rPr>
            </w:pPr>
            <w:r w:rsidRPr="00C205CD">
              <w:rPr>
                <w:color w:val="000000"/>
                <w:sz w:val="20"/>
                <w:szCs w:val="20"/>
              </w:rPr>
              <w:t>H.  Annual Cooperative Agreement (29 CFR 1908.10(c))</w:t>
            </w:r>
          </w:p>
        </w:tc>
      </w:tr>
      <w:tr w14:paraId="44F9CC99"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29E29BB1" w14:textId="77777777">
            <w:pPr>
              <w:widowControl/>
              <w:autoSpaceDE/>
              <w:autoSpaceDN/>
              <w:adjustRightInd/>
              <w:rPr>
                <w:color w:val="000000"/>
                <w:sz w:val="20"/>
                <w:szCs w:val="20"/>
              </w:rPr>
            </w:pPr>
            <w:r w:rsidRPr="00C205CD">
              <w:rPr>
                <w:color w:val="000000"/>
                <w:sz w:val="20"/>
                <w:szCs w:val="20"/>
              </w:rPr>
              <w:t> </w:t>
            </w:r>
          </w:p>
        </w:tc>
        <w:tc>
          <w:tcPr>
            <w:tcW w:w="1329" w:type="dxa"/>
            <w:hideMark/>
          </w:tcPr>
          <w:p w:rsidR="00A71874" w:rsidRPr="00C205CD" w:rsidP="00572C1D" w14:paraId="757B8CD2" w14:textId="77777777">
            <w:pPr>
              <w:widowControl/>
              <w:autoSpaceDE/>
              <w:autoSpaceDN/>
              <w:adjustRightInd/>
              <w:jc w:val="center"/>
              <w:rPr>
                <w:color w:val="000000"/>
                <w:sz w:val="20"/>
                <w:szCs w:val="20"/>
              </w:rPr>
            </w:pPr>
            <w:r w:rsidRPr="00C205CD">
              <w:rPr>
                <w:color w:val="000000"/>
                <w:sz w:val="20"/>
                <w:szCs w:val="20"/>
              </w:rPr>
              <w:t>Program Manager</w:t>
            </w:r>
          </w:p>
        </w:tc>
        <w:tc>
          <w:tcPr>
            <w:tcW w:w="1415" w:type="dxa"/>
            <w:hideMark/>
          </w:tcPr>
          <w:p w:rsidR="00A71874" w:rsidRPr="00C205CD" w:rsidP="00572C1D" w14:paraId="1FD644FC"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7A213236" w14:textId="77777777">
            <w:pPr>
              <w:widowControl/>
              <w:autoSpaceDE/>
              <w:autoSpaceDN/>
              <w:adjustRightInd/>
              <w:jc w:val="center"/>
              <w:rPr>
                <w:color w:val="000000"/>
                <w:sz w:val="20"/>
                <w:szCs w:val="20"/>
              </w:rPr>
            </w:pPr>
            <w:r w:rsidRPr="00C205CD">
              <w:rPr>
                <w:color w:val="000000"/>
                <w:sz w:val="20"/>
                <w:szCs w:val="20"/>
              </w:rPr>
              <w:t>1</w:t>
            </w:r>
          </w:p>
        </w:tc>
        <w:tc>
          <w:tcPr>
            <w:tcW w:w="1182" w:type="dxa"/>
            <w:hideMark/>
          </w:tcPr>
          <w:p w:rsidR="00A71874" w:rsidRPr="00C205CD" w:rsidP="00572C1D" w14:paraId="66904A6F" w14:textId="77777777">
            <w:pPr>
              <w:widowControl/>
              <w:autoSpaceDE/>
              <w:autoSpaceDN/>
              <w:adjustRightInd/>
              <w:jc w:val="center"/>
              <w:rPr>
                <w:color w:val="000000"/>
                <w:sz w:val="20"/>
                <w:szCs w:val="20"/>
              </w:rPr>
            </w:pPr>
            <w:r w:rsidRPr="00C205CD">
              <w:rPr>
                <w:color w:val="000000"/>
                <w:sz w:val="20"/>
                <w:szCs w:val="20"/>
              </w:rPr>
              <w:t>53</w:t>
            </w:r>
          </w:p>
        </w:tc>
        <w:tc>
          <w:tcPr>
            <w:tcW w:w="1622" w:type="dxa"/>
            <w:hideMark/>
          </w:tcPr>
          <w:p w:rsidR="00A71874" w:rsidRPr="00C205CD" w:rsidP="00572C1D" w14:paraId="4884783D" w14:textId="77777777">
            <w:pPr>
              <w:widowControl/>
              <w:autoSpaceDE/>
              <w:autoSpaceDN/>
              <w:adjustRightInd/>
              <w:jc w:val="center"/>
              <w:rPr>
                <w:color w:val="000000"/>
                <w:sz w:val="20"/>
                <w:szCs w:val="20"/>
              </w:rPr>
            </w:pPr>
            <w:r w:rsidRPr="00C205CD">
              <w:rPr>
                <w:color w:val="000000"/>
                <w:sz w:val="20"/>
                <w:szCs w:val="20"/>
              </w:rPr>
              <w:t>32</w:t>
            </w:r>
          </w:p>
        </w:tc>
        <w:tc>
          <w:tcPr>
            <w:tcW w:w="1440" w:type="dxa"/>
            <w:hideMark/>
          </w:tcPr>
          <w:p w:rsidR="00A71874" w:rsidRPr="00C205CD" w:rsidP="00572C1D" w14:paraId="1D0595ED" w14:textId="77777777">
            <w:pPr>
              <w:widowControl/>
              <w:autoSpaceDE/>
              <w:autoSpaceDN/>
              <w:adjustRightInd/>
              <w:jc w:val="center"/>
              <w:rPr>
                <w:color w:val="000000"/>
                <w:sz w:val="20"/>
                <w:szCs w:val="20"/>
              </w:rPr>
            </w:pPr>
            <w:r w:rsidRPr="00C205CD">
              <w:rPr>
                <w:color w:val="000000"/>
                <w:sz w:val="20"/>
                <w:szCs w:val="20"/>
              </w:rPr>
              <w:t>1,696</w:t>
            </w:r>
          </w:p>
        </w:tc>
        <w:tc>
          <w:tcPr>
            <w:tcW w:w="1530" w:type="dxa"/>
            <w:hideMark/>
          </w:tcPr>
          <w:p w:rsidR="00A71874" w:rsidRPr="00C205CD" w:rsidP="00572C1D" w14:paraId="7A556FCC" w14:textId="5A435F5A">
            <w:pPr>
              <w:widowControl/>
              <w:autoSpaceDE/>
              <w:autoSpaceDN/>
              <w:adjustRightInd/>
              <w:jc w:val="center"/>
              <w:rPr>
                <w:color w:val="000000"/>
                <w:sz w:val="20"/>
                <w:szCs w:val="20"/>
              </w:rPr>
            </w:pPr>
            <w:r w:rsidRPr="00C205CD">
              <w:rPr>
                <w:color w:val="000000"/>
                <w:sz w:val="20"/>
                <w:szCs w:val="20"/>
              </w:rPr>
              <w:t>$91.37</w:t>
            </w:r>
          </w:p>
        </w:tc>
        <w:tc>
          <w:tcPr>
            <w:tcW w:w="1579" w:type="dxa"/>
            <w:hideMark/>
          </w:tcPr>
          <w:p w:rsidR="00A71874" w:rsidRPr="00C205CD" w:rsidP="00572C1D" w14:paraId="3AAEE8FC" w14:textId="65ADD3EA">
            <w:pPr>
              <w:widowControl/>
              <w:autoSpaceDE/>
              <w:autoSpaceDN/>
              <w:adjustRightInd/>
              <w:jc w:val="center"/>
              <w:rPr>
                <w:color w:val="000000"/>
                <w:sz w:val="20"/>
                <w:szCs w:val="20"/>
              </w:rPr>
            </w:pPr>
            <w:r w:rsidRPr="00C205CD">
              <w:rPr>
                <w:color w:val="000000"/>
                <w:sz w:val="20"/>
                <w:szCs w:val="20"/>
              </w:rPr>
              <w:t>$154,964</w:t>
            </w:r>
          </w:p>
        </w:tc>
      </w:tr>
      <w:tr w14:paraId="226C9B91" w14:textId="77777777" w:rsidTr="004269C5">
        <w:tblPrEx>
          <w:tblW w:w="15068" w:type="dxa"/>
          <w:tblInd w:w="-365" w:type="dxa"/>
          <w:tblLook w:val="04A0"/>
        </w:tblPrEx>
        <w:trPr>
          <w:gridAfter w:val="1"/>
          <w:wAfter w:w="222" w:type="dxa"/>
          <w:trHeight w:val="390"/>
        </w:trPr>
        <w:tc>
          <w:tcPr>
            <w:tcW w:w="3420" w:type="dxa"/>
            <w:hideMark/>
          </w:tcPr>
          <w:p w:rsidR="00A71874" w:rsidRPr="00C205CD" w:rsidP="00440516" w14:paraId="0149901A" w14:textId="77777777">
            <w:pPr>
              <w:widowControl/>
              <w:autoSpaceDE/>
              <w:autoSpaceDN/>
              <w:adjustRightInd/>
              <w:rPr>
                <w:color w:val="000000"/>
                <w:sz w:val="20"/>
                <w:szCs w:val="20"/>
              </w:rPr>
            </w:pPr>
            <w:r w:rsidRPr="00C205CD">
              <w:rPr>
                <w:color w:val="000000"/>
                <w:sz w:val="20"/>
                <w:szCs w:val="20"/>
              </w:rPr>
              <w:t> </w:t>
            </w:r>
          </w:p>
        </w:tc>
        <w:tc>
          <w:tcPr>
            <w:tcW w:w="1329" w:type="dxa"/>
            <w:hideMark/>
          </w:tcPr>
          <w:p w:rsidR="00A71874" w:rsidRPr="00C205CD" w:rsidP="00572C1D" w14:paraId="7E29EE16" w14:textId="77777777">
            <w:pPr>
              <w:widowControl/>
              <w:autoSpaceDE/>
              <w:autoSpaceDN/>
              <w:adjustRightInd/>
              <w:jc w:val="center"/>
              <w:rPr>
                <w:color w:val="000000"/>
                <w:sz w:val="20"/>
                <w:szCs w:val="20"/>
              </w:rPr>
            </w:pPr>
            <w:r w:rsidRPr="00C205CD">
              <w:rPr>
                <w:color w:val="000000"/>
                <w:sz w:val="20"/>
                <w:szCs w:val="20"/>
              </w:rPr>
              <w:t>Clerical</w:t>
            </w:r>
          </w:p>
        </w:tc>
        <w:tc>
          <w:tcPr>
            <w:tcW w:w="1415" w:type="dxa"/>
            <w:hideMark/>
          </w:tcPr>
          <w:p w:rsidR="00A71874" w:rsidRPr="00C205CD" w:rsidP="00572C1D" w14:paraId="299FCE7C"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72C1403D" w14:textId="77777777">
            <w:pPr>
              <w:widowControl/>
              <w:autoSpaceDE/>
              <w:autoSpaceDN/>
              <w:adjustRightInd/>
              <w:jc w:val="center"/>
              <w:rPr>
                <w:color w:val="000000"/>
                <w:sz w:val="20"/>
                <w:szCs w:val="20"/>
              </w:rPr>
            </w:pPr>
            <w:r w:rsidRPr="00C205CD">
              <w:rPr>
                <w:color w:val="000000"/>
                <w:sz w:val="20"/>
                <w:szCs w:val="20"/>
              </w:rPr>
              <w:t>1</w:t>
            </w:r>
          </w:p>
        </w:tc>
        <w:tc>
          <w:tcPr>
            <w:tcW w:w="1182" w:type="dxa"/>
            <w:hideMark/>
          </w:tcPr>
          <w:p w:rsidR="00A71874" w:rsidRPr="00C205CD" w:rsidP="00572C1D" w14:paraId="7ACA5227" w14:textId="77777777">
            <w:pPr>
              <w:widowControl/>
              <w:autoSpaceDE/>
              <w:autoSpaceDN/>
              <w:adjustRightInd/>
              <w:jc w:val="center"/>
              <w:rPr>
                <w:color w:val="000000"/>
                <w:sz w:val="20"/>
                <w:szCs w:val="20"/>
              </w:rPr>
            </w:pPr>
            <w:r w:rsidRPr="00C205CD">
              <w:rPr>
                <w:color w:val="000000"/>
                <w:sz w:val="20"/>
                <w:szCs w:val="20"/>
              </w:rPr>
              <w:t>53</w:t>
            </w:r>
          </w:p>
        </w:tc>
        <w:tc>
          <w:tcPr>
            <w:tcW w:w="1622" w:type="dxa"/>
            <w:hideMark/>
          </w:tcPr>
          <w:p w:rsidR="00A71874" w:rsidRPr="00C205CD" w:rsidP="00572C1D" w14:paraId="3EBE94E2" w14:textId="77777777">
            <w:pPr>
              <w:widowControl/>
              <w:autoSpaceDE/>
              <w:autoSpaceDN/>
              <w:adjustRightInd/>
              <w:jc w:val="center"/>
              <w:rPr>
                <w:color w:val="000000"/>
                <w:sz w:val="20"/>
                <w:szCs w:val="20"/>
              </w:rPr>
            </w:pPr>
            <w:r w:rsidRPr="00C205CD">
              <w:rPr>
                <w:color w:val="000000"/>
                <w:sz w:val="20"/>
                <w:szCs w:val="20"/>
              </w:rPr>
              <w:t>8</w:t>
            </w:r>
          </w:p>
        </w:tc>
        <w:tc>
          <w:tcPr>
            <w:tcW w:w="1440" w:type="dxa"/>
            <w:hideMark/>
          </w:tcPr>
          <w:p w:rsidR="00A71874" w:rsidRPr="00C205CD" w:rsidP="00572C1D" w14:paraId="30627F8A" w14:textId="77777777">
            <w:pPr>
              <w:widowControl/>
              <w:autoSpaceDE/>
              <w:autoSpaceDN/>
              <w:adjustRightInd/>
              <w:jc w:val="center"/>
              <w:rPr>
                <w:color w:val="000000"/>
                <w:sz w:val="20"/>
                <w:szCs w:val="20"/>
              </w:rPr>
            </w:pPr>
            <w:r w:rsidRPr="00C205CD">
              <w:rPr>
                <w:color w:val="000000"/>
                <w:sz w:val="20"/>
                <w:szCs w:val="20"/>
              </w:rPr>
              <w:t>424</w:t>
            </w:r>
          </w:p>
        </w:tc>
        <w:tc>
          <w:tcPr>
            <w:tcW w:w="1530" w:type="dxa"/>
            <w:hideMark/>
          </w:tcPr>
          <w:p w:rsidR="00A71874" w:rsidRPr="00C205CD" w:rsidP="00572C1D" w14:paraId="4DC39804" w14:textId="58A79824">
            <w:pPr>
              <w:widowControl/>
              <w:autoSpaceDE/>
              <w:autoSpaceDN/>
              <w:adjustRightInd/>
              <w:jc w:val="center"/>
              <w:rPr>
                <w:color w:val="000000"/>
                <w:sz w:val="20"/>
                <w:szCs w:val="20"/>
              </w:rPr>
            </w:pPr>
            <w:r w:rsidRPr="00C205CD">
              <w:rPr>
                <w:color w:val="000000"/>
                <w:sz w:val="20"/>
                <w:szCs w:val="20"/>
              </w:rPr>
              <w:t>$31.79</w:t>
            </w:r>
          </w:p>
        </w:tc>
        <w:tc>
          <w:tcPr>
            <w:tcW w:w="1579" w:type="dxa"/>
            <w:hideMark/>
          </w:tcPr>
          <w:p w:rsidR="00A71874" w:rsidRPr="00C205CD" w:rsidP="00572C1D" w14:paraId="63ABA4D9" w14:textId="77777777">
            <w:pPr>
              <w:widowControl/>
              <w:autoSpaceDE/>
              <w:autoSpaceDN/>
              <w:adjustRightInd/>
              <w:jc w:val="center"/>
              <w:rPr>
                <w:color w:val="000000"/>
                <w:sz w:val="20"/>
                <w:szCs w:val="20"/>
              </w:rPr>
            </w:pPr>
            <w:r w:rsidRPr="00C205CD">
              <w:rPr>
                <w:color w:val="000000"/>
                <w:sz w:val="20"/>
                <w:szCs w:val="20"/>
              </w:rPr>
              <w:t>$13,479</w:t>
            </w:r>
          </w:p>
        </w:tc>
      </w:tr>
      <w:tr w14:paraId="29FE6A38"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7D883AA0" w14:textId="77777777">
            <w:pPr>
              <w:widowControl/>
              <w:autoSpaceDE/>
              <w:autoSpaceDN/>
              <w:adjustRightInd/>
              <w:rPr>
                <w:color w:val="000000"/>
                <w:sz w:val="20"/>
                <w:szCs w:val="20"/>
              </w:rPr>
            </w:pPr>
            <w:r w:rsidRPr="00C205CD">
              <w:rPr>
                <w:color w:val="000000"/>
                <w:sz w:val="20"/>
                <w:szCs w:val="20"/>
              </w:rPr>
              <w:t>Subtotal H.</w:t>
            </w:r>
          </w:p>
        </w:tc>
        <w:tc>
          <w:tcPr>
            <w:tcW w:w="1329" w:type="dxa"/>
            <w:hideMark/>
          </w:tcPr>
          <w:p w:rsidR="00A71874" w:rsidRPr="00C205CD" w:rsidP="00572C1D" w14:paraId="6E3DFA31" w14:textId="308478A4">
            <w:pPr>
              <w:widowControl/>
              <w:autoSpaceDE/>
              <w:autoSpaceDN/>
              <w:adjustRightInd/>
              <w:jc w:val="center"/>
              <w:rPr>
                <w:color w:val="000000"/>
                <w:sz w:val="20"/>
                <w:szCs w:val="20"/>
              </w:rPr>
            </w:pPr>
          </w:p>
        </w:tc>
        <w:tc>
          <w:tcPr>
            <w:tcW w:w="1415" w:type="dxa"/>
            <w:hideMark/>
          </w:tcPr>
          <w:p w:rsidR="00A71874" w:rsidRPr="00C205CD" w:rsidP="00572C1D" w14:paraId="5AB4238F" w14:textId="65150411">
            <w:pPr>
              <w:widowControl/>
              <w:autoSpaceDE/>
              <w:autoSpaceDN/>
              <w:adjustRightInd/>
              <w:jc w:val="center"/>
              <w:rPr>
                <w:color w:val="000000"/>
                <w:sz w:val="20"/>
                <w:szCs w:val="20"/>
              </w:rPr>
            </w:pPr>
          </w:p>
        </w:tc>
        <w:tc>
          <w:tcPr>
            <w:tcW w:w="1329" w:type="dxa"/>
            <w:hideMark/>
          </w:tcPr>
          <w:p w:rsidR="00A71874" w:rsidRPr="00C205CD" w:rsidP="00572C1D" w14:paraId="4BC5053B" w14:textId="7249EDDE">
            <w:pPr>
              <w:widowControl/>
              <w:autoSpaceDE/>
              <w:autoSpaceDN/>
              <w:adjustRightInd/>
              <w:jc w:val="center"/>
              <w:rPr>
                <w:color w:val="000000"/>
                <w:sz w:val="20"/>
                <w:szCs w:val="20"/>
              </w:rPr>
            </w:pPr>
          </w:p>
        </w:tc>
        <w:tc>
          <w:tcPr>
            <w:tcW w:w="1182" w:type="dxa"/>
            <w:hideMark/>
          </w:tcPr>
          <w:p w:rsidR="00A71874" w:rsidRPr="00C205CD" w:rsidP="00572C1D" w14:paraId="606691EE" w14:textId="77777777">
            <w:pPr>
              <w:widowControl/>
              <w:autoSpaceDE/>
              <w:autoSpaceDN/>
              <w:adjustRightInd/>
              <w:jc w:val="center"/>
              <w:rPr>
                <w:color w:val="000000"/>
                <w:sz w:val="20"/>
                <w:szCs w:val="20"/>
              </w:rPr>
            </w:pPr>
            <w:r w:rsidRPr="00C205CD">
              <w:rPr>
                <w:color w:val="000000"/>
                <w:sz w:val="20"/>
                <w:szCs w:val="20"/>
              </w:rPr>
              <w:t>106</w:t>
            </w:r>
          </w:p>
        </w:tc>
        <w:tc>
          <w:tcPr>
            <w:tcW w:w="1622" w:type="dxa"/>
            <w:hideMark/>
          </w:tcPr>
          <w:p w:rsidR="00A71874" w:rsidRPr="00C205CD" w:rsidP="00572C1D" w14:paraId="59F94E12" w14:textId="19375ADB">
            <w:pPr>
              <w:widowControl/>
              <w:autoSpaceDE/>
              <w:autoSpaceDN/>
              <w:adjustRightInd/>
              <w:jc w:val="center"/>
              <w:rPr>
                <w:color w:val="000000"/>
                <w:sz w:val="20"/>
                <w:szCs w:val="20"/>
              </w:rPr>
            </w:pPr>
          </w:p>
        </w:tc>
        <w:tc>
          <w:tcPr>
            <w:tcW w:w="1440" w:type="dxa"/>
            <w:hideMark/>
          </w:tcPr>
          <w:p w:rsidR="00A71874" w:rsidRPr="00C205CD" w:rsidP="00572C1D" w14:paraId="4C34F6FC" w14:textId="77777777">
            <w:pPr>
              <w:widowControl/>
              <w:autoSpaceDE/>
              <w:autoSpaceDN/>
              <w:adjustRightInd/>
              <w:jc w:val="center"/>
              <w:rPr>
                <w:color w:val="000000"/>
                <w:sz w:val="20"/>
                <w:szCs w:val="20"/>
              </w:rPr>
            </w:pPr>
            <w:r w:rsidRPr="00C205CD">
              <w:rPr>
                <w:color w:val="000000"/>
                <w:sz w:val="20"/>
                <w:szCs w:val="20"/>
              </w:rPr>
              <w:t>2,120</w:t>
            </w:r>
          </w:p>
        </w:tc>
        <w:tc>
          <w:tcPr>
            <w:tcW w:w="1530" w:type="dxa"/>
            <w:hideMark/>
          </w:tcPr>
          <w:p w:rsidR="00A71874" w:rsidRPr="00C205CD" w:rsidP="00572C1D" w14:paraId="26F3F159" w14:textId="7BA54B1D">
            <w:pPr>
              <w:widowControl/>
              <w:autoSpaceDE/>
              <w:autoSpaceDN/>
              <w:adjustRightInd/>
              <w:jc w:val="center"/>
              <w:rPr>
                <w:color w:val="000000"/>
                <w:sz w:val="20"/>
                <w:szCs w:val="20"/>
              </w:rPr>
            </w:pPr>
          </w:p>
        </w:tc>
        <w:tc>
          <w:tcPr>
            <w:tcW w:w="1579" w:type="dxa"/>
            <w:hideMark/>
          </w:tcPr>
          <w:p w:rsidR="00A71874" w:rsidRPr="00C205CD" w:rsidP="00572C1D" w14:paraId="777EA7F7" w14:textId="0F3F8349">
            <w:pPr>
              <w:widowControl/>
              <w:autoSpaceDE/>
              <w:autoSpaceDN/>
              <w:adjustRightInd/>
              <w:jc w:val="center"/>
              <w:rPr>
                <w:color w:val="000000"/>
                <w:sz w:val="20"/>
                <w:szCs w:val="20"/>
              </w:rPr>
            </w:pPr>
            <w:r w:rsidRPr="00C205CD">
              <w:rPr>
                <w:color w:val="000000"/>
                <w:sz w:val="20"/>
                <w:szCs w:val="20"/>
              </w:rPr>
              <w:t>$168,443</w:t>
            </w:r>
          </w:p>
        </w:tc>
      </w:tr>
      <w:tr w14:paraId="129C35C5" w14:textId="77777777" w:rsidTr="004269C5">
        <w:tblPrEx>
          <w:tblW w:w="15068" w:type="dxa"/>
          <w:tblInd w:w="-365" w:type="dxa"/>
          <w:tblLook w:val="04A0"/>
        </w:tblPrEx>
        <w:trPr>
          <w:gridAfter w:val="1"/>
          <w:wAfter w:w="222" w:type="dxa"/>
          <w:trHeight w:val="683"/>
        </w:trPr>
        <w:tc>
          <w:tcPr>
            <w:tcW w:w="14846" w:type="dxa"/>
            <w:gridSpan w:val="9"/>
            <w:shd w:val="clear" w:color="auto" w:fill="auto"/>
            <w:hideMark/>
          </w:tcPr>
          <w:p w:rsidR="007071D2" w:rsidRPr="00C205CD" w:rsidP="00525437" w14:paraId="358CEFA5" w14:textId="77777777">
            <w:pPr>
              <w:widowControl/>
              <w:autoSpaceDE/>
              <w:autoSpaceDN/>
              <w:adjustRightInd/>
              <w:rPr>
                <w:b/>
                <w:bCs/>
                <w:color w:val="000000"/>
                <w:sz w:val="20"/>
                <w:szCs w:val="20"/>
              </w:rPr>
            </w:pPr>
          </w:p>
          <w:p w:rsidR="00A71874" w:rsidRPr="00C205CD" w:rsidP="00525437" w14:paraId="055B83F4" w14:textId="747E0D14">
            <w:pPr>
              <w:widowControl/>
              <w:autoSpaceDE/>
              <w:autoSpaceDN/>
              <w:adjustRightInd/>
              <w:rPr>
                <w:b/>
                <w:bCs/>
                <w:color w:val="000000"/>
                <w:sz w:val="20"/>
                <w:szCs w:val="20"/>
              </w:rPr>
            </w:pPr>
            <w:r w:rsidRPr="00C205CD">
              <w:rPr>
                <w:b/>
                <w:bCs/>
                <w:color w:val="000000"/>
                <w:sz w:val="20"/>
                <w:szCs w:val="20"/>
              </w:rPr>
              <w:t>The following paragraphs are approved in the PSM On-Site Consultation Agreements (29 CFR 1908) Information Collection, OMB Control number 1218-0281</w:t>
            </w:r>
            <w:r w:rsidRPr="00C205CD" w:rsidR="00E83AF1">
              <w:rPr>
                <w:b/>
                <w:bCs/>
                <w:color w:val="000000"/>
                <w:sz w:val="20"/>
                <w:szCs w:val="20"/>
              </w:rPr>
              <w:t>.</w:t>
            </w:r>
          </w:p>
        </w:tc>
      </w:tr>
      <w:tr w14:paraId="0E08B18C" w14:textId="77777777" w:rsidTr="004269C5">
        <w:tblPrEx>
          <w:tblW w:w="15068" w:type="dxa"/>
          <w:tblInd w:w="-365" w:type="dxa"/>
          <w:tblLook w:val="04A0"/>
        </w:tblPrEx>
        <w:trPr>
          <w:gridAfter w:val="1"/>
          <w:wAfter w:w="222" w:type="dxa"/>
          <w:trHeight w:val="525"/>
        </w:trPr>
        <w:tc>
          <w:tcPr>
            <w:tcW w:w="6164" w:type="dxa"/>
            <w:gridSpan w:val="3"/>
            <w:hideMark/>
          </w:tcPr>
          <w:p w:rsidR="00A71874" w:rsidRPr="00C205CD" w:rsidP="00572C1D" w14:paraId="1F73AD34" w14:textId="77777777">
            <w:pPr>
              <w:widowControl/>
              <w:autoSpaceDE/>
              <w:autoSpaceDN/>
              <w:adjustRightInd/>
              <w:jc w:val="center"/>
              <w:rPr>
                <w:color w:val="000000"/>
                <w:sz w:val="20"/>
                <w:szCs w:val="20"/>
              </w:rPr>
            </w:pPr>
            <w:r w:rsidRPr="00C205CD">
              <w:rPr>
                <w:color w:val="000000"/>
                <w:sz w:val="20"/>
                <w:szCs w:val="20"/>
              </w:rPr>
              <w:t xml:space="preserve">I. Apply PSM Evaluation Worksheet and optional accompanying tables (29 CFR </w:t>
            </w:r>
            <w:r w:rsidRPr="00C205CD">
              <w:rPr>
                <w:color w:val="000000"/>
                <w:sz w:val="20"/>
                <w:szCs w:val="20"/>
              </w:rPr>
              <w:t>1908.6(e)(3); 1910.119; 1926.64; EO 13650)</w:t>
            </w:r>
          </w:p>
        </w:tc>
        <w:tc>
          <w:tcPr>
            <w:tcW w:w="1329" w:type="dxa"/>
            <w:hideMark/>
          </w:tcPr>
          <w:p w:rsidR="00A71874" w:rsidRPr="00C205CD" w:rsidP="00572C1D" w14:paraId="33C85FAF" w14:textId="0FBB0CDD">
            <w:pPr>
              <w:widowControl/>
              <w:autoSpaceDE/>
              <w:autoSpaceDN/>
              <w:adjustRightInd/>
              <w:jc w:val="center"/>
              <w:rPr>
                <w:color w:val="000000"/>
                <w:sz w:val="20"/>
                <w:szCs w:val="20"/>
              </w:rPr>
            </w:pPr>
          </w:p>
        </w:tc>
        <w:tc>
          <w:tcPr>
            <w:tcW w:w="1182" w:type="dxa"/>
            <w:hideMark/>
          </w:tcPr>
          <w:p w:rsidR="00A71874" w:rsidRPr="00C205CD" w:rsidP="00572C1D" w14:paraId="290B9478" w14:textId="15E926B8">
            <w:pPr>
              <w:widowControl/>
              <w:autoSpaceDE/>
              <w:autoSpaceDN/>
              <w:adjustRightInd/>
              <w:jc w:val="center"/>
              <w:rPr>
                <w:color w:val="000000"/>
                <w:sz w:val="20"/>
                <w:szCs w:val="20"/>
              </w:rPr>
            </w:pPr>
          </w:p>
        </w:tc>
        <w:tc>
          <w:tcPr>
            <w:tcW w:w="1622" w:type="dxa"/>
            <w:hideMark/>
          </w:tcPr>
          <w:p w:rsidR="00A71874" w:rsidRPr="00C205CD" w:rsidP="00572C1D" w14:paraId="3C4B758B" w14:textId="2C7F2FAB">
            <w:pPr>
              <w:widowControl/>
              <w:autoSpaceDE/>
              <w:autoSpaceDN/>
              <w:adjustRightInd/>
              <w:jc w:val="center"/>
              <w:rPr>
                <w:color w:val="000000"/>
                <w:sz w:val="20"/>
                <w:szCs w:val="20"/>
              </w:rPr>
            </w:pPr>
          </w:p>
        </w:tc>
        <w:tc>
          <w:tcPr>
            <w:tcW w:w="1440" w:type="dxa"/>
            <w:hideMark/>
          </w:tcPr>
          <w:p w:rsidR="00A71874" w:rsidRPr="00C205CD" w:rsidP="00572C1D" w14:paraId="35E926F2" w14:textId="26549042">
            <w:pPr>
              <w:widowControl/>
              <w:autoSpaceDE/>
              <w:autoSpaceDN/>
              <w:adjustRightInd/>
              <w:jc w:val="center"/>
              <w:rPr>
                <w:color w:val="000000"/>
                <w:sz w:val="20"/>
                <w:szCs w:val="20"/>
              </w:rPr>
            </w:pPr>
          </w:p>
        </w:tc>
        <w:tc>
          <w:tcPr>
            <w:tcW w:w="1530" w:type="dxa"/>
            <w:hideMark/>
          </w:tcPr>
          <w:p w:rsidR="00A71874" w:rsidRPr="00C205CD" w:rsidP="00572C1D" w14:paraId="4C87D666" w14:textId="152F055A">
            <w:pPr>
              <w:widowControl/>
              <w:autoSpaceDE/>
              <w:autoSpaceDN/>
              <w:adjustRightInd/>
              <w:jc w:val="center"/>
              <w:rPr>
                <w:color w:val="000000"/>
                <w:sz w:val="20"/>
                <w:szCs w:val="20"/>
              </w:rPr>
            </w:pPr>
          </w:p>
        </w:tc>
        <w:tc>
          <w:tcPr>
            <w:tcW w:w="1579" w:type="dxa"/>
            <w:hideMark/>
          </w:tcPr>
          <w:p w:rsidR="00A71874" w:rsidRPr="00C205CD" w:rsidP="00572C1D" w14:paraId="1238E1A5" w14:textId="47ED0B36">
            <w:pPr>
              <w:widowControl/>
              <w:autoSpaceDE/>
              <w:autoSpaceDN/>
              <w:adjustRightInd/>
              <w:jc w:val="center"/>
              <w:rPr>
                <w:color w:val="000000"/>
                <w:sz w:val="20"/>
                <w:szCs w:val="20"/>
              </w:rPr>
            </w:pPr>
          </w:p>
        </w:tc>
      </w:tr>
      <w:bookmarkStart w:id="13" w:name="RANGE!A33"/>
      <w:tr w14:paraId="6251357F" w14:textId="77777777" w:rsidTr="004269C5">
        <w:tblPrEx>
          <w:tblW w:w="15068" w:type="dxa"/>
          <w:tblInd w:w="-365" w:type="dxa"/>
          <w:tblLook w:val="04A0"/>
        </w:tblPrEx>
        <w:trPr>
          <w:gridAfter w:val="1"/>
          <w:wAfter w:w="222" w:type="dxa"/>
          <w:trHeight w:val="600"/>
        </w:trPr>
        <w:tc>
          <w:tcPr>
            <w:tcW w:w="3420" w:type="dxa"/>
            <w:hideMark/>
          </w:tcPr>
          <w:p w:rsidR="00A71874" w:rsidRPr="00C205CD" w:rsidP="00440516" w14:paraId="5AB6AA19" w14:textId="0E80FC78">
            <w:pPr>
              <w:widowControl/>
              <w:autoSpaceDE/>
              <w:autoSpaceDN/>
              <w:adjustRightInd/>
              <w:rPr>
                <w:color w:val="000000"/>
                <w:sz w:val="20"/>
                <w:szCs w:val="20"/>
              </w:rPr>
            </w:pPr>
            <w:hyperlink r:id="rId18" w:anchor="RANGE!A47" w:history="1">
              <w:r w:rsidRPr="00C205CD">
                <w:rPr>
                  <w:rStyle w:val="Hyperlink"/>
                  <w:color w:val="auto"/>
                  <w:sz w:val="20"/>
                  <w:szCs w:val="20"/>
                  <w:u w:val="none"/>
                </w:rPr>
                <w:t xml:space="preserve">PSM Evaluation Worksheet and optional accompanying tables </w:t>
              </w:r>
              <w:r w:rsidRPr="00C205CD">
                <w:rPr>
                  <w:rStyle w:val="Hyperlink"/>
                  <w:b/>
                  <w:bCs/>
                  <w:color w:val="auto"/>
                  <w:sz w:val="20"/>
                  <w:szCs w:val="20"/>
                  <w:u w:val="none"/>
                </w:rPr>
                <w:t>[3]</w:t>
              </w:r>
              <w:r w:rsidRPr="00C205CD">
                <w:rPr>
                  <w:rStyle w:val="Hyperlink"/>
                  <w:color w:val="auto"/>
                  <w:sz w:val="20"/>
                  <w:szCs w:val="20"/>
                  <w:u w:val="none"/>
                </w:rPr>
                <w:t xml:space="preserve"> – Limited-service</w:t>
              </w:r>
            </w:hyperlink>
            <w:bookmarkEnd w:id="13"/>
          </w:p>
        </w:tc>
        <w:tc>
          <w:tcPr>
            <w:tcW w:w="1329" w:type="dxa"/>
            <w:hideMark/>
          </w:tcPr>
          <w:p w:rsidR="00A71874" w:rsidRPr="00C205CD" w:rsidP="00572C1D" w14:paraId="2CA87659"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55D0F212"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4BE39027" w14:textId="77777777">
            <w:pPr>
              <w:widowControl/>
              <w:autoSpaceDE/>
              <w:autoSpaceDN/>
              <w:adjustRightInd/>
              <w:jc w:val="center"/>
              <w:rPr>
                <w:color w:val="000000"/>
                <w:sz w:val="20"/>
                <w:szCs w:val="20"/>
              </w:rPr>
            </w:pPr>
            <w:r w:rsidRPr="00C205CD">
              <w:rPr>
                <w:color w:val="000000"/>
                <w:sz w:val="20"/>
                <w:szCs w:val="20"/>
              </w:rPr>
              <w:t>0.19</w:t>
            </w:r>
          </w:p>
        </w:tc>
        <w:tc>
          <w:tcPr>
            <w:tcW w:w="1182" w:type="dxa"/>
            <w:hideMark/>
          </w:tcPr>
          <w:p w:rsidR="00A71874" w:rsidRPr="00C205CD" w:rsidP="00572C1D" w14:paraId="741E0C6B" w14:textId="77777777">
            <w:pPr>
              <w:widowControl/>
              <w:autoSpaceDE/>
              <w:autoSpaceDN/>
              <w:adjustRightInd/>
              <w:jc w:val="center"/>
              <w:rPr>
                <w:color w:val="000000"/>
                <w:sz w:val="20"/>
                <w:szCs w:val="20"/>
              </w:rPr>
            </w:pPr>
            <w:r w:rsidRPr="00C205CD">
              <w:rPr>
                <w:color w:val="000000"/>
                <w:sz w:val="20"/>
                <w:szCs w:val="20"/>
              </w:rPr>
              <w:t>10</w:t>
            </w:r>
          </w:p>
        </w:tc>
        <w:tc>
          <w:tcPr>
            <w:tcW w:w="1622" w:type="dxa"/>
            <w:hideMark/>
          </w:tcPr>
          <w:p w:rsidR="00A71874" w:rsidRPr="00C205CD" w:rsidP="00572C1D" w14:paraId="3FCF666C" w14:textId="77777777">
            <w:pPr>
              <w:widowControl/>
              <w:autoSpaceDE/>
              <w:autoSpaceDN/>
              <w:adjustRightInd/>
              <w:jc w:val="center"/>
              <w:rPr>
                <w:color w:val="000000"/>
                <w:sz w:val="20"/>
                <w:szCs w:val="20"/>
              </w:rPr>
            </w:pPr>
            <w:r w:rsidRPr="00C205CD">
              <w:rPr>
                <w:color w:val="000000"/>
                <w:sz w:val="20"/>
                <w:szCs w:val="20"/>
              </w:rPr>
              <w:t>4</w:t>
            </w:r>
          </w:p>
        </w:tc>
        <w:tc>
          <w:tcPr>
            <w:tcW w:w="1440" w:type="dxa"/>
            <w:hideMark/>
          </w:tcPr>
          <w:p w:rsidR="00A71874" w:rsidRPr="00C205CD" w:rsidP="00572C1D" w14:paraId="12991953" w14:textId="77777777">
            <w:pPr>
              <w:widowControl/>
              <w:autoSpaceDE/>
              <w:autoSpaceDN/>
              <w:adjustRightInd/>
              <w:jc w:val="center"/>
              <w:rPr>
                <w:color w:val="000000"/>
                <w:sz w:val="20"/>
                <w:szCs w:val="20"/>
              </w:rPr>
            </w:pPr>
            <w:r w:rsidRPr="00C205CD">
              <w:rPr>
                <w:color w:val="000000"/>
                <w:sz w:val="20"/>
                <w:szCs w:val="20"/>
              </w:rPr>
              <w:t>40</w:t>
            </w:r>
          </w:p>
        </w:tc>
        <w:tc>
          <w:tcPr>
            <w:tcW w:w="1530" w:type="dxa"/>
            <w:hideMark/>
          </w:tcPr>
          <w:p w:rsidR="00A71874" w:rsidRPr="00C205CD" w:rsidP="00572C1D" w14:paraId="166D41B3" w14:textId="6BD3F553">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787E1A82" w14:textId="3D7761C5">
            <w:pPr>
              <w:widowControl/>
              <w:autoSpaceDE/>
              <w:autoSpaceDN/>
              <w:adjustRightInd/>
              <w:jc w:val="center"/>
              <w:rPr>
                <w:color w:val="000000"/>
                <w:sz w:val="20"/>
                <w:szCs w:val="20"/>
              </w:rPr>
            </w:pPr>
            <w:r w:rsidRPr="00C205CD">
              <w:rPr>
                <w:color w:val="000000"/>
                <w:sz w:val="20"/>
                <w:szCs w:val="20"/>
              </w:rPr>
              <w:t>$2,658</w:t>
            </w:r>
          </w:p>
        </w:tc>
      </w:tr>
      <w:tr w14:paraId="6D923CDE"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7FF3DC87" w14:textId="77777777">
            <w:pPr>
              <w:widowControl/>
              <w:autoSpaceDE/>
              <w:autoSpaceDN/>
              <w:adjustRightInd/>
              <w:rPr>
                <w:color w:val="000000"/>
                <w:sz w:val="20"/>
                <w:szCs w:val="20"/>
              </w:rPr>
            </w:pPr>
            <w:r w:rsidRPr="00C205CD">
              <w:rPr>
                <w:color w:val="000000"/>
                <w:sz w:val="20"/>
                <w:szCs w:val="20"/>
              </w:rPr>
              <w:t>PSM Evaluation worksheet and optional accompanying tables – Full-service</w:t>
            </w:r>
          </w:p>
        </w:tc>
        <w:tc>
          <w:tcPr>
            <w:tcW w:w="1329" w:type="dxa"/>
            <w:hideMark/>
          </w:tcPr>
          <w:p w:rsidR="00A71874" w:rsidRPr="00C205CD" w:rsidP="00572C1D" w14:paraId="49601184" w14:textId="27EE9CB5">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058CD324"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068CCBEC" w14:textId="77777777">
            <w:pPr>
              <w:widowControl/>
              <w:autoSpaceDE/>
              <w:autoSpaceDN/>
              <w:adjustRightInd/>
              <w:jc w:val="center"/>
              <w:rPr>
                <w:color w:val="000000"/>
                <w:sz w:val="20"/>
                <w:szCs w:val="20"/>
              </w:rPr>
            </w:pPr>
            <w:r w:rsidRPr="00C205CD">
              <w:rPr>
                <w:color w:val="000000"/>
                <w:sz w:val="20"/>
                <w:szCs w:val="20"/>
              </w:rPr>
              <w:t>0.11</w:t>
            </w:r>
          </w:p>
        </w:tc>
        <w:tc>
          <w:tcPr>
            <w:tcW w:w="1182" w:type="dxa"/>
            <w:hideMark/>
          </w:tcPr>
          <w:p w:rsidR="00A71874" w:rsidRPr="00C205CD" w:rsidP="00572C1D" w14:paraId="6277C6EB" w14:textId="77777777">
            <w:pPr>
              <w:widowControl/>
              <w:autoSpaceDE/>
              <w:autoSpaceDN/>
              <w:adjustRightInd/>
              <w:jc w:val="center"/>
              <w:rPr>
                <w:color w:val="000000"/>
                <w:sz w:val="20"/>
                <w:szCs w:val="20"/>
              </w:rPr>
            </w:pPr>
            <w:r w:rsidRPr="00C205CD">
              <w:rPr>
                <w:color w:val="000000"/>
                <w:sz w:val="20"/>
                <w:szCs w:val="20"/>
              </w:rPr>
              <w:t>6</w:t>
            </w:r>
          </w:p>
        </w:tc>
        <w:tc>
          <w:tcPr>
            <w:tcW w:w="1622" w:type="dxa"/>
            <w:hideMark/>
          </w:tcPr>
          <w:p w:rsidR="00A71874" w:rsidRPr="00C205CD" w:rsidP="00572C1D" w14:paraId="28170954" w14:textId="77777777">
            <w:pPr>
              <w:widowControl/>
              <w:autoSpaceDE/>
              <w:autoSpaceDN/>
              <w:adjustRightInd/>
              <w:jc w:val="center"/>
              <w:rPr>
                <w:color w:val="000000"/>
                <w:sz w:val="20"/>
                <w:szCs w:val="20"/>
              </w:rPr>
            </w:pPr>
            <w:r w:rsidRPr="00C205CD">
              <w:rPr>
                <w:color w:val="000000"/>
                <w:sz w:val="20"/>
                <w:szCs w:val="20"/>
              </w:rPr>
              <w:t>12</w:t>
            </w:r>
          </w:p>
        </w:tc>
        <w:tc>
          <w:tcPr>
            <w:tcW w:w="1440" w:type="dxa"/>
            <w:hideMark/>
          </w:tcPr>
          <w:p w:rsidR="00A71874" w:rsidRPr="00C205CD" w:rsidP="00572C1D" w14:paraId="16CD9AD5" w14:textId="77777777">
            <w:pPr>
              <w:widowControl/>
              <w:autoSpaceDE/>
              <w:autoSpaceDN/>
              <w:adjustRightInd/>
              <w:jc w:val="center"/>
              <w:rPr>
                <w:color w:val="000000"/>
                <w:sz w:val="20"/>
                <w:szCs w:val="20"/>
              </w:rPr>
            </w:pPr>
            <w:r w:rsidRPr="00C205CD">
              <w:rPr>
                <w:color w:val="000000"/>
                <w:sz w:val="20"/>
                <w:szCs w:val="20"/>
              </w:rPr>
              <w:t>72</w:t>
            </w:r>
          </w:p>
        </w:tc>
        <w:tc>
          <w:tcPr>
            <w:tcW w:w="1530" w:type="dxa"/>
            <w:hideMark/>
          </w:tcPr>
          <w:p w:rsidR="00A71874" w:rsidRPr="00C205CD" w:rsidP="00572C1D" w14:paraId="68B9A382" w14:textId="07FE92F1">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34C2B308" w14:textId="4C57CA18">
            <w:pPr>
              <w:widowControl/>
              <w:autoSpaceDE/>
              <w:autoSpaceDN/>
              <w:adjustRightInd/>
              <w:jc w:val="center"/>
              <w:rPr>
                <w:color w:val="000000"/>
                <w:sz w:val="20"/>
                <w:szCs w:val="20"/>
              </w:rPr>
            </w:pPr>
            <w:r w:rsidRPr="00C205CD">
              <w:rPr>
                <w:color w:val="000000"/>
                <w:sz w:val="20"/>
                <w:szCs w:val="20"/>
              </w:rPr>
              <w:t>$4,785</w:t>
            </w:r>
          </w:p>
        </w:tc>
      </w:tr>
      <w:tr w14:paraId="1AA959C6"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4C6D295F" w14:textId="77777777">
            <w:pPr>
              <w:widowControl/>
              <w:autoSpaceDE/>
              <w:autoSpaceDN/>
              <w:adjustRightInd/>
              <w:rPr>
                <w:color w:val="000000"/>
                <w:sz w:val="20"/>
                <w:szCs w:val="20"/>
              </w:rPr>
            </w:pPr>
            <w:r w:rsidRPr="00C205CD">
              <w:rPr>
                <w:color w:val="000000"/>
                <w:sz w:val="20"/>
                <w:szCs w:val="20"/>
              </w:rPr>
              <w:t>Subtotal I.</w:t>
            </w:r>
          </w:p>
        </w:tc>
        <w:tc>
          <w:tcPr>
            <w:tcW w:w="1329" w:type="dxa"/>
            <w:hideMark/>
          </w:tcPr>
          <w:p w:rsidR="00A71874" w:rsidRPr="00C205CD" w:rsidP="00572C1D" w14:paraId="12D8F775" w14:textId="5EF0CA71">
            <w:pPr>
              <w:widowControl/>
              <w:autoSpaceDE/>
              <w:autoSpaceDN/>
              <w:adjustRightInd/>
              <w:jc w:val="center"/>
              <w:rPr>
                <w:color w:val="000000"/>
                <w:sz w:val="20"/>
                <w:szCs w:val="20"/>
              </w:rPr>
            </w:pPr>
          </w:p>
        </w:tc>
        <w:tc>
          <w:tcPr>
            <w:tcW w:w="1415" w:type="dxa"/>
            <w:hideMark/>
          </w:tcPr>
          <w:p w:rsidR="00A71874" w:rsidRPr="00C205CD" w:rsidP="00572C1D" w14:paraId="289A0418" w14:textId="56933514">
            <w:pPr>
              <w:widowControl/>
              <w:autoSpaceDE/>
              <w:autoSpaceDN/>
              <w:adjustRightInd/>
              <w:jc w:val="center"/>
              <w:rPr>
                <w:color w:val="000000"/>
                <w:sz w:val="20"/>
                <w:szCs w:val="20"/>
              </w:rPr>
            </w:pPr>
          </w:p>
        </w:tc>
        <w:tc>
          <w:tcPr>
            <w:tcW w:w="1329" w:type="dxa"/>
            <w:hideMark/>
          </w:tcPr>
          <w:p w:rsidR="00A71874" w:rsidRPr="00C205CD" w:rsidP="00572C1D" w14:paraId="379BD639" w14:textId="68682CE9">
            <w:pPr>
              <w:widowControl/>
              <w:autoSpaceDE/>
              <w:autoSpaceDN/>
              <w:adjustRightInd/>
              <w:jc w:val="center"/>
              <w:rPr>
                <w:color w:val="000000"/>
                <w:sz w:val="20"/>
                <w:szCs w:val="20"/>
              </w:rPr>
            </w:pPr>
          </w:p>
        </w:tc>
        <w:tc>
          <w:tcPr>
            <w:tcW w:w="1182" w:type="dxa"/>
            <w:hideMark/>
          </w:tcPr>
          <w:p w:rsidR="00A71874" w:rsidRPr="00C205CD" w:rsidP="00572C1D" w14:paraId="707629D0" w14:textId="77777777">
            <w:pPr>
              <w:widowControl/>
              <w:autoSpaceDE/>
              <w:autoSpaceDN/>
              <w:adjustRightInd/>
              <w:jc w:val="center"/>
              <w:rPr>
                <w:color w:val="000000"/>
                <w:sz w:val="20"/>
                <w:szCs w:val="20"/>
              </w:rPr>
            </w:pPr>
            <w:r w:rsidRPr="00C205CD">
              <w:rPr>
                <w:color w:val="000000"/>
                <w:sz w:val="20"/>
                <w:szCs w:val="20"/>
              </w:rPr>
              <w:t>16</w:t>
            </w:r>
          </w:p>
        </w:tc>
        <w:tc>
          <w:tcPr>
            <w:tcW w:w="1622" w:type="dxa"/>
            <w:hideMark/>
          </w:tcPr>
          <w:p w:rsidR="00A71874" w:rsidRPr="00C205CD" w:rsidP="00572C1D" w14:paraId="002EF9FE" w14:textId="7F8FCF04">
            <w:pPr>
              <w:widowControl/>
              <w:autoSpaceDE/>
              <w:autoSpaceDN/>
              <w:adjustRightInd/>
              <w:jc w:val="center"/>
              <w:rPr>
                <w:color w:val="000000"/>
                <w:sz w:val="20"/>
                <w:szCs w:val="20"/>
              </w:rPr>
            </w:pPr>
          </w:p>
        </w:tc>
        <w:tc>
          <w:tcPr>
            <w:tcW w:w="1440" w:type="dxa"/>
            <w:hideMark/>
          </w:tcPr>
          <w:p w:rsidR="00A71874" w:rsidRPr="00C205CD" w:rsidP="00572C1D" w14:paraId="25392844" w14:textId="77777777">
            <w:pPr>
              <w:widowControl/>
              <w:autoSpaceDE/>
              <w:autoSpaceDN/>
              <w:adjustRightInd/>
              <w:jc w:val="center"/>
              <w:rPr>
                <w:color w:val="000000"/>
                <w:sz w:val="20"/>
                <w:szCs w:val="20"/>
              </w:rPr>
            </w:pPr>
            <w:r w:rsidRPr="00C205CD">
              <w:rPr>
                <w:color w:val="000000"/>
                <w:sz w:val="20"/>
                <w:szCs w:val="20"/>
              </w:rPr>
              <w:t>112</w:t>
            </w:r>
          </w:p>
        </w:tc>
        <w:tc>
          <w:tcPr>
            <w:tcW w:w="1530" w:type="dxa"/>
            <w:hideMark/>
          </w:tcPr>
          <w:p w:rsidR="00A71874" w:rsidRPr="00C205CD" w:rsidP="00572C1D" w14:paraId="1CCA8BE1" w14:textId="4B05CDA1">
            <w:pPr>
              <w:widowControl/>
              <w:autoSpaceDE/>
              <w:autoSpaceDN/>
              <w:adjustRightInd/>
              <w:jc w:val="center"/>
              <w:rPr>
                <w:color w:val="000000"/>
                <w:sz w:val="20"/>
                <w:szCs w:val="20"/>
              </w:rPr>
            </w:pPr>
          </w:p>
        </w:tc>
        <w:tc>
          <w:tcPr>
            <w:tcW w:w="1579" w:type="dxa"/>
            <w:hideMark/>
          </w:tcPr>
          <w:p w:rsidR="00A71874" w:rsidRPr="00C205CD" w:rsidP="00572C1D" w14:paraId="2164EA11" w14:textId="38AE7906">
            <w:pPr>
              <w:widowControl/>
              <w:autoSpaceDE/>
              <w:autoSpaceDN/>
              <w:adjustRightInd/>
              <w:jc w:val="center"/>
              <w:rPr>
                <w:color w:val="000000"/>
                <w:sz w:val="20"/>
                <w:szCs w:val="20"/>
              </w:rPr>
            </w:pPr>
            <w:r w:rsidRPr="00C205CD">
              <w:rPr>
                <w:color w:val="000000"/>
                <w:sz w:val="20"/>
                <w:szCs w:val="20"/>
              </w:rPr>
              <w:t>$7,444</w:t>
            </w:r>
          </w:p>
        </w:tc>
      </w:tr>
      <w:tr w14:paraId="598592AB"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6CDD2644" w14:textId="77777777">
            <w:pPr>
              <w:widowControl/>
              <w:autoSpaceDE/>
              <w:autoSpaceDN/>
              <w:adjustRightInd/>
              <w:rPr>
                <w:color w:val="000000"/>
                <w:sz w:val="20"/>
                <w:szCs w:val="20"/>
              </w:rPr>
            </w:pPr>
            <w:r w:rsidRPr="00C205CD">
              <w:rPr>
                <w:color w:val="000000"/>
                <w:sz w:val="20"/>
                <w:szCs w:val="20"/>
              </w:rPr>
              <w:t xml:space="preserve">J. Review the PSM Interim Year SHARP Site Self-Evaluations (29 CFR </w:t>
            </w:r>
            <w:r w:rsidRPr="00C205CD">
              <w:rPr>
                <w:color w:val="000000"/>
                <w:sz w:val="20"/>
                <w:szCs w:val="20"/>
              </w:rPr>
              <w:t>1908.7(b)(4)) Appendix E</w:t>
            </w:r>
          </w:p>
        </w:tc>
        <w:tc>
          <w:tcPr>
            <w:tcW w:w="1329" w:type="dxa"/>
            <w:hideMark/>
          </w:tcPr>
          <w:p w:rsidR="00A71874" w:rsidRPr="00C205CD" w:rsidP="00572C1D" w14:paraId="7B11F7DC"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7B5EA82E"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7966F740" w14:textId="77777777">
            <w:pPr>
              <w:widowControl/>
              <w:autoSpaceDE/>
              <w:autoSpaceDN/>
              <w:adjustRightInd/>
              <w:jc w:val="center"/>
              <w:rPr>
                <w:color w:val="000000"/>
                <w:sz w:val="20"/>
                <w:szCs w:val="20"/>
              </w:rPr>
            </w:pPr>
            <w:r w:rsidRPr="00C205CD">
              <w:rPr>
                <w:color w:val="000000"/>
                <w:sz w:val="20"/>
                <w:szCs w:val="20"/>
              </w:rPr>
              <w:t>0.08</w:t>
            </w:r>
          </w:p>
        </w:tc>
        <w:tc>
          <w:tcPr>
            <w:tcW w:w="1182" w:type="dxa"/>
            <w:hideMark/>
          </w:tcPr>
          <w:p w:rsidR="00A71874" w:rsidRPr="00C205CD" w:rsidP="00572C1D" w14:paraId="7E284CE7" w14:textId="77777777">
            <w:pPr>
              <w:widowControl/>
              <w:autoSpaceDE/>
              <w:autoSpaceDN/>
              <w:adjustRightInd/>
              <w:jc w:val="center"/>
              <w:rPr>
                <w:color w:val="000000"/>
                <w:sz w:val="20"/>
                <w:szCs w:val="20"/>
              </w:rPr>
            </w:pPr>
            <w:r w:rsidRPr="00C205CD">
              <w:rPr>
                <w:color w:val="000000"/>
                <w:sz w:val="20"/>
                <w:szCs w:val="20"/>
              </w:rPr>
              <w:t>4</w:t>
            </w:r>
          </w:p>
        </w:tc>
        <w:tc>
          <w:tcPr>
            <w:tcW w:w="1622" w:type="dxa"/>
            <w:hideMark/>
          </w:tcPr>
          <w:p w:rsidR="00A71874" w:rsidRPr="00C205CD" w:rsidP="00572C1D" w14:paraId="6B1B4775" w14:textId="77777777">
            <w:pPr>
              <w:widowControl/>
              <w:autoSpaceDE/>
              <w:autoSpaceDN/>
              <w:adjustRightInd/>
              <w:jc w:val="center"/>
              <w:rPr>
                <w:color w:val="000000"/>
                <w:sz w:val="20"/>
                <w:szCs w:val="20"/>
              </w:rPr>
            </w:pPr>
            <w:r w:rsidRPr="00C205CD">
              <w:rPr>
                <w:color w:val="000000"/>
                <w:sz w:val="20"/>
                <w:szCs w:val="20"/>
              </w:rPr>
              <w:t>2</w:t>
            </w:r>
          </w:p>
        </w:tc>
        <w:tc>
          <w:tcPr>
            <w:tcW w:w="1440" w:type="dxa"/>
            <w:hideMark/>
          </w:tcPr>
          <w:p w:rsidR="00A71874" w:rsidRPr="00C205CD" w:rsidP="00572C1D" w14:paraId="109131FE" w14:textId="77777777">
            <w:pPr>
              <w:widowControl/>
              <w:autoSpaceDE/>
              <w:autoSpaceDN/>
              <w:adjustRightInd/>
              <w:jc w:val="center"/>
              <w:rPr>
                <w:color w:val="000000"/>
                <w:sz w:val="20"/>
                <w:szCs w:val="20"/>
              </w:rPr>
            </w:pPr>
            <w:r w:rsidRPr="00C205CD">
              <w:rPr>
                <w:color w:val="000000"/>
                <w:sz w:val="20"/>
                <w:szCs w:val="20"/>
              </w:rPr>
              <w:t>8</w:t>
            </w:r>
          </w:p>
        </w:tc>
        <w:tc>
          <w:tcPr>
            <w:tcW w:w="1530" w:type="dxa"/>
            <w:hideMark/>
          </w:tcPr>
          <w:p w:rsidR="00A71874" w:rsidRPr="00C205CD" w:rsidP="00572C1D" w14:paraId="2D3792B3" w14:textId="1865A55D">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4803A40F" w14:textId="0E858D85">
            <w:pPr>
              <w:widowControl/>
              <w:autoSpaceDE/>
              <w:autoSpaceDN/>
              <w:adjustRightInd/>
              <w:jc w:val="center"/>
              <w:rPr>
                <w:color w:val="000000"/>
                <w:sz w:val="20"/>
                <w:szCs w:val="20"/>
              </w:rPr>
            </w:pPr>
            <w:r w:rsidRPr="00C205CD">
              <w:rPr>
                <w:color w:val="000000"/>
                <w:sz w:val="20"/>
                <w:szCs w:val="20"/>
              </w:rPr>
              <w:t>$532</w:t>
            </w:r>
          </w:p>
        </w:tc>
      </w:tr>
      <w:tr w14:paraId="1EF071CC" w14:textId="77777777" w:rsidTr="004269C5">
        <w:tblPrEx>
          <w:tblW w:w="15068" w:type="dxa"/>
          <w:tblInd w:w="-365" w:type="dxa"/>
          <w:tblLook w:val="04A0"/>
        </w:tblPrEx>
        <w:trPr>
          <w:gridAfter w:val="1"/>
          <w:wAfter w:w="222" w:type="dxa"/>
          <w:trHeight w:val="765"/>
        </w:trPr>
        <w:tc>
          <w:tcPr>
            <w:tcW w:w="3420" w:type="dxa"/>
            <w:hideMark/>
          </w:tcPr>
          <w:p w:rsidR="00A71874" w:rsidRPr="00C205CD" w:rsidP="00440516" w14:paraId="0A449B0C" w14:textId="77777777">
            <w:pPr>
              <w:widowControl/>
              <w:autoSpaceDE/>
              <w:autoSpaceDN/>
              <w:adjustRightInd/>
              <w:rPr>
                <w:color w:val="000000"/>
                <w:sz w:val="20"/>
                <w:szCs w:val="20"/>
              </w:rPr>
            </w:pPr>
            <w:r w:rsidRPr="00C205CD">
              <w:rPr>
                <w:color w:val="000000"/>
                <w:sz w:val="20"/>
                <w:szCs w:val="20"/>
              </w:rPr>
              <w:t>K. Apply the worksheet for Determining the Applicability of the PSM Standard to an Establishment.</w:t>
            </w:r>
          </w:p>
        </w:tc>
        <w:tc>
          <w:tcPr>
            <w:tcW w:w="1329" w:type="dxa"/>
            <w:hideMark/>
          </w:tcPr>
          <w:p w:rsidR="00A71874" w:rsidRPr="00C205CD" w:rsidP="00572C1D" w14:paraId="04FCC253"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6FB7AF02"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74C1DD27" w14:textId="77777777">
            <w:pPr>
              <w:widowControl/>
              <w:autoSpaceDE/>
              <w:autoSpaceDN/>
              <w:adjustRightInd/>
              <w:jc w:val="center"/>
              <w:rPr>
                <w:color w:val="000000"/>
                <w:sz w:val="20"/>
                <w:szCs w:val="20"/>
              </w:rPr>
            </w:pPr>
            <w:r w:rsidRPr="00C205CD">
              <w:rPr>
                <w:color w:val="000000"/>
                <w:sz w:val="20"/>
                <w:szCs w:val="20"/>
              </w:rPr>
              <w:t>0.3</w:t>
            </w:r>
          </w:p>
        </w:tc>
        <w:tc>
          <w:tcPr>
            <w:tcW w:w="1182" w:type="dxa"/>
            <w:hideMark/>
          </w:tcPr>
          <w:p w:rsidR="00A71874" w:rsidRPr="00C205CD" w:rsidP="00572C1D" w14:paraId="4C4E2411" w14:textId="77777777">
            <w:pPr>
              <w:widowControl/>
              <w:autoSpaceDE/>
              <w:autoSpaceDN/>
              <w:adjustRightInd/>
              <w:jc w:val="center"/>
              <w:rPr>
                <w:color w:val="000000"/>
                <w:sz w:val="20"/>
                <w:szCs w:val="20"/>
              </w:rPr>
            </w:pPr>
            <w:r w:rsidRPr="00C205CD">
              <w:rPr>
                <w:color w:val="000000"/>
                <w:sz w:val="20"/>
                <w:szCs w:val="20"/>
              </w:rPr>
              <w:t>16</w:t>
            </w:r>
          </w:p>
        </w:tc>
        <w:tc>
          <w:tcPr>
            <w:tcW w:w="1622" w:type="dxa"/>
            <w:hideMark/>
          </w:tcPr>
          <w:p w:rsidR="00A71874" w:rsidRPr="00C205CD" w:rsidP="00572C1D" w14:paraId="6CCA869A" w14:textId="77777777">
            <w:pPr>
              <w:widowControl/>
              <w:autoSpaceDE/>
              <w:autoSpaceDN/>
              <w:adjustRightInd/>
              <w:jc w:val="center"/>
              <w:rPr>
                <w:color w:val="000000"/>
                <w:sz w:val="20"/>
                <w:szCs w:val="20"/>
              </w:rPr>
            </w:pPr>
            <w:r w:rsidRPr="00C205CD">
              <w:rPr>
                <w:color w:val="000000"/>
                <w:sz w:val="20"/>
                <w:szCs w:val="20"/>
              </w:rPr>
              <w:t>2</w:t>
            </w:r>
          </w:p>
        </w:tc>
        <w:tc>
          <w:tcPr>
            <w:tcW w:w="1440" w:type="dxa"/>
            <w:hideMark/>
          </w:tcPr>
          <w:p w:rsidR="00A71874" w:rsidRPr="00C205CD" w:rsidP="00572C1D" w14:paraId="309AA766" w14:textId="77777777">
            <w:pPr>
              <w:widowControl/>
              <w:autoSpaceDE/>
              <w:autoSpaceDN/>
              <w:adjustRightInd/>
              <w:jc w:val="center"/>
              <w:rPr>
                <w:color w:val="000000"/>
                <w:sz w:val="20"/>
                <w:szCs w:val="20"/>
              </w:rPr>
            </w:pPr>
            <w:r w:rsidRPr="00C205CD">
              <w:rPr>
                <w:color w:val="000000"/>
                <w:sz w:val="20"/>
                <w:szCs w:val="20"/>
              </w:rPr>
              <w:t>32</w:t>
            </w:r>
          </w:p>
        </w:tc>
        <w:tc>
          <w:tcPr>
            <w:tcW w:w="1530" w:type="dxa"/>
            <w:hideMark/>
          </w:tcPr>
          <w:p w:rsidR="00A71874" w:rsidRPr="00C205CD" w:rsidP="00572C1D" w14:paraId="3814CBCC" w14:textId="3492EBA7">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10DB1F7D" w14:textId="03673253">
            <w:pPr>
              <w:widowControl/>
              <w:autoSpaceDE/>
              <w:autoSpaceDN/>
              <w:adjustRightInd/>
              <w:jc w:val="center"/>
              <w:rPr>
                <w:color w:val="000000"/>
                <w:sz w:val="20"/>
                <w:szCs w:val="20"/>
              </w:rPr>
            </w:pPr>
            <w:r w:rsidRPr="00C205CD">
              <w:rPr>
                <w:color w:val="000000"/>
                <w:sz w:val="20"/>
                <w:szCs w:val="20"/>
              </w:rPr>
              <w:t>$2,127</w:t>
            </w:r>
          </w:p>
        </w:tc>
      </w:tr>
      <w:tr w14:paraId="62096217"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35AFFB53" w14:textId="77777777">
            <w:pPr>
              <w:widowControl/>
              <w:autoSpaceDE/>
              <w:autoSpaceDN/>
              <w:adjustRightInd/>
              <w:rPr>
                <w:color w:val="000000"/>
                <w:sz w:val="20"/>
                <w:szCs w:val="20"/>
              </w:rPr>
            </w:pPr>
            <w:r w:rsidRPr="00C205CD">
              <w:rPr>
                <w:color w:val="000000"/>
                <w:sz w:val="20"/>
                <w:szCs w:val="20"/>
              </w:rPr>
              <w:t xml:space="preserve">L. Review the Interim Year SHARP Site </w:t>
            </w:r>
            <w:r w:rsidRPr="00C205CD">
              <w:rPr>
                <w:color w:val="000000"/>
                <w:sz w:val="20"/>
                <w:szCs w:val="20"/>
              </w:rPr>
              <w:t>Self-Evaluations 29 CFR (1908.7(b)(4))</w:t>
            </w:r>
          </w:p>
        </w:tc>
        <w:tc>
          <w:tcPr>
            <w:tcW w:w="1329" w:type="dxa"/>
            <w:hideMark/>
          </w:tcPr>
          <w:p w:rsidR="00A71874" w:rsidRPr="00C205CD" w:rsidP="00572C1D" w14:paraId="3B496CA1"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0AD92F4A"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48F7D258" w14:textId="77777777">
            <w:pPr>
              <w:widowControl/>
              <w:autoSpaceDE/>
              <w:autoSpaceDN/>
              <w:adjustRightInd/>
              <w:jc w:val="center"/>
              <w:rPr>
                <w:color w:val="000000"/>
                <w:sz w:val="20"/>
                <w:szCs w:val="20"/>
              </w:rPr>
            </w:pPr>
            <w:r w:rsidRPr="00C205CD">
              <w:rPr>
                <w:color w:val="000000"/>
                <w:sz w:val="20"/>
                <w:szCs w:val="20"/>
              </w:rPr>
              <w:t>19.3</w:t>
            </w:r>
          </w:p>
        </w:tc>
        <w:tc>
          <w:tcPr>
            <w:tcW w:w="1182" w:type="dxa"/>
            <w:hideMark/>
          </w:tcPr>
          <w:p w:rsidR="00A71874" w:rsidRPr="00C205CD" w:rsidP="00572C1D" w14:paraId="664D571A" w14:textId="77777777">
            <w:pPr>
              <w:widowControl/>
              <w:autoSpaceDE/>
              <w:autoSpaceDN/>
              <w:adjustRightInd/>
              <w:jc w:val="center"/>
              <w:rPr>
                <w:color w:val="000000"/>
                <w:sz w:val="20"/>
                <w:szCs w:val="20"/>
              </w:rPr>
            </w:pPr>
            <w:r w:rsidRPr="00C205CD">
              <w:rPr>
                <w:color w:val="000000"/>
                <w:sz w:val="20"/>
                <w:szCs w:val="20"/>
              </w:rPr>
              <w:t>1,023</w:t>
            </w:r>
          </w:p>
        </w:tc>
        <w:tc>
          <w:tcPr>
            <w:tcW w:w="1622" w:type="dxa"/>
            <w:hideMark/>
          </w:tcPr>
          <w:p w:rsidR="00A71874" w:rsidRPr="00C205CD" w:rsidP="00572C1D" w14:paraId="4013782E" w14:textId="77777777">
            <w:pPr>
              <w:widowControl/>
              <w:autoSpaceDE/>
              <w:autoSpaceDN/>
              <w:adjustRightInd/>
              <w:jc w:val="center"/>
              <w:rPr>
                <w:color w:val="000000"/>
                <w:sz w:val="20"/>
                <w:szCs w:val="20"/>
              </w:rPr>
            </w:pPr>
            <w:r w:rsidRPr="00C205CD">
              <w:rPr>
                <w:color w:val="000000"/>
                <w:sz w:val="20"/>
                <w:szCs w:val="20"/>
              </w:rPr>
              <w:t>2</w:t>
            </w:r>
          </w:p>
        </w:tc>
        <w:tc>
          <w:tcPr>
            <w:tcW w:w="1440" w:type="dxa"/>
            <w:hideMark/>
          </w:tcPr>
          <w:p w:rsidR="00A71874" w:rsidRPr="00C205CD" w:rsidP="00572C1D" w14:paraId="45F66097" w14:textId="77777777">
            <w:pPr>
              <w:widowControl/>
              <w:autoSpaceDE/>
              <w:autoSpaceDN/>
              <w:adjustRightInd/>
              <w:jc w:val="center"/>
              <w:rPr>
                <w:color w:val="000000"/>
                <w:sz w:val="20"/>
                <w:szCs w:val="20"/>
              </w:rPr>
            </w:pPr>
            <w:r w:rsidRPr="00C205CD">
              <w:rPr>
                <w:color w:val="000000"/>
                <w:sz w:val="20"/>
                <w:szCs w:val="20"/>
              </w:rPr>
              <w:t>2,046</w:t>
            </w:r>
          </w:p>
        </w:tc>
        <w:tc>
          <w:tcPr>
            <w:tcW w:w="1530" w:type="dxa"/>
            <w:hideMark/>
          </w:tcPr>
          <w:p w:rsidR="00A71874" w:rsidRPr="00C205CD" w:rsidP="00572C1D" w14:paraId="17E45F91" w14:textId="290246A9">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2F3307EE" w14:textId="575D9730">
            <w:pPr>
              <w:widowControl/>
              <w:autoSpaceDE/>
              <w:autoSpaceDN/>
              <w:adjustRightInd/>
              <w:jc w:val="center"/>
              <w:rPr>
                <w:color w:val="000000"/>
                <w:sz w:val="20"/>
                <w:szCs w:val="20"/>
              </w:rPr>
            </w:pPr>
            <w:r w:rsidRPr="00C205CD">
              <w:rPr>
                <w:color w:val="000000"/>
                <w:sz w:val="20"/>
                <w:szCs w:val="20"/>
              </w:rPr>
              <w:t>$135,977</w:t>
            </w:r>
          </w:p>
        </w:tc>
      </w:tr>
      <w:tr w14:paraId="3C1B1B71" w14:textId="77777777" w:rsidTr="004269C5">
        <w:tblPrEx>
          <w:tblW w:w="15068" w:type="dxa"/>
          <w:tblInd w:w="-365" w:type="dxa"/>
          <w:tblLook w:val="04A0"/>
        </w:tblPrEx>
        <w:trPr>
          <w:gridAfter w:val="1"/>
          <w:wAfter w:w="222" w:type="dxa"/>
          <w:trHeight w:val="765"/>
        </w:trPr>
        <w:tc>
          <w:tcPr>
            <w:tcW w:w="3420" w:type="dxa"/>
            <w:hideMark/>
          </w:tcPr>
          <w:p w:rsidR="00A71874" w:rsidRPr="00C205CD" w:rsidP="00440516" w14:paraId="1056A702" w14:textId="03E6FFF3">
            <w:pPr>
              <w:widowControl/>
              <w:autoSpaceDE/>
              <w:autoSpaceDN/>
              <w:adjustRightInd/>
              <w:rPr>
                <w:color w:val="000000"/>
                <w:sz w:val="20"/>
                <w:szCs w:val="20"/>
              </w:rPr>
            </w:pPr>
            <w:r w:rsidRPr="00C205CD">
              <w:rPr>
                <w:color w:val="000000"/>
                <w:sz w:val="20"/>
                <w:szCs w:val="20"/>
              </w:rPr>
              <w:t xml:space="preserve">M. Assist employers with applying the Action Plan Template for SHARP or Pre-SHARP Participation (29 CFR 1908.6(e)(3)) </w:t>
            </w:r>
            <w:r w:rsidRPr="00C205CD" w:rsidR="00C255CF">
              <w:rPr>
                <w:color w:val="000000"/>
                <w:sz w:val="20"/>
                <w:szCs w:val="20"/>
              </w:rPr>
              <w:t>Appendix F</w:t>
            </w:r>
          </w:p>
        </w:tc>
        <w:tc>
          <w:tcPr>
            <w:tcW w:w="1329" w:type="dxa"/>
            <w:hideMark/>
          </w:tcPr>
          <w:p w:rsidR="00A71874" w:rsidRPr="00C205CD" w:rsidP="00572C1D" w14:paraId="6751A0B6" w14:textId="77777777">
            <w:pPr>
              <w:widowControl/>
              <w:autoSpaceDE/>
              <w:autoSpaceDN/>
              <w:adjustRightInd/>
              <w:jc w:val="center"/>
              <w:rPr>
                <w:color w:val="000000"/>
                <w:sz w:val="20"/>
                <w:szCs w:val="20"/>
              </w:rPr>
            </w:pPr>
            <w:r w:rsidRPr="00C205CD">
              <w:rPr>
                <w:color w:val="000000"/>
                <w:sz w:val="20"/>
                <w:szCs w:val="20"/>
              </w:rPr>
              <w:t>Consultant</w:t>
            </w:r>
          </w:p>
        </w:tc>
        <w:tc>
          <w:tcPr>
            <w:tcW w:w="1415" w:type="dxa"/>
            <w:hideMark/>
          </w:tcPr>
          <w:p w:rsidR="00A71874" w:rsidRPr="00C205CD" w:rsidP="00572C1D" w14:paraId="418F4DAB"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31A37403" w14:textId="77777777">
            <w:pPr>
              <w:widowControl/>
              <w:autoSpaceDE/>
              <w:autoSpaceDN/>
              <w:adjustRightInd/>
              <w:jc w:val="center"/>
              <w:rPr>
                <w:color w:val="000000"/>
                <w:sz w:val="20"/>
                <w:szCs w:val="20"/>
              </w:rPr>
            </w:pPr>
            <w:r w:rsidRPr="00C205CD">
              <w:rPr>
                <w:color w:val="000000"/>
                <w:sz w:val="20"/>
                <w:szCs w:val="20"/>
              </w:rPr>
              <w:t>21.75</w:t>
            </w:r>
          </w:p>
        </w:tc>
        <w:tc>
          <w:tcPr>
            <w:tcW w:w="1182" w:type="dxa"/>
            <w:hideMark/>
          </w:tcPr>
          <w:p w:rsidR="00A71874" w:rsidRPr="00C205CD" w:rsidP="00572C1D" w14:paraId="66A6573A" w14:textId="77777777">
            <w:pPr>
              <w:widowControl/>
              <w:autoSpaceDE/>
              <w:autoSpaceDN/>
              <w:adjustRightInd/>
              <w:jc w:val="center"/>
              <w:rPr>
                <w:color w:val="000000"/>
                <w:sz w:val="20"/>
                <w:szCs w:val="20"/>
              </w:rPr>
            </w:pPr>
            <w:r w:rsidRPr="00C205CD">
              <w:rPr>
                <w:color w:val="000000"/>
                <w:sz w:val="20"/>
                <w:szCs w:val="20"/>
              </w:rPr>
              <w:t>1,153</w:t>
            </w:r>
          </w:p>
        </w:tc>
        <w:tc>
          <w:tcPr>
            <w:tcW w:w="1622" w:type="dxa"/>
            <w:hideMark/>
          </w:tcPr>
          <w:p w:rsidR="00A71874" w:rsidRPr="00C205CD" w:rsidP="00572C1D" w14:paraId="166D387F" w14:textId="77777777">
            <w:pPr>
              <w:widowControl/>
              <w:autoSpaceDE/>
              <w:autoSpaceDN/>
              <w:adjustRightInd/>
              <w:jc w:val="center"/>
              <w:rPr>
                <w:color w:val="000000"/>
                <w:sz w:val="20"/>
                <w:szCs w:val="20"/>
              </w:rPr>
            </w:pPr>
            <w:r w:rsidRPr="00C205CD">
              <w:rPr>
                <w:color w:val="000000"/>
                <w:sz w:val="20"/>
                <w:szCs w:val="20"/>
              </w:rPr>
              <w:t>4</w:t>
            </w:r>
          </w:p>
        </w:tc>
        <w:tc>
          <w:tcPr>
            <w:tcW w:w="1440" w:type="dxa"/>
            <w:hideMark/>
          </w:tcPr>
          <w:p w:rsidR="00A71874" w:rsidRPr="00C205CD" w:rsidP="00572C1D" w14:paraId="771D0D3E" w14:textId="77777777">
            <w:pPr>
              <w:widowControl/>
              <w:autoSpaceDE/>
              <w:autoSpaceDN/>
              <w:adjustRightInd/>
              <w:jc w:val="center"/>
              <w:rPr>
                <w:color w:val="000000"/>
                <w:sz w:val="20"/>
                <w:szCs w:val="20"/>
              </w:rPr>
            </w:pPr>
            <w:r w:rsidRPr="00C205CD">
              <w:rPr>
                <w:color w:val="000000"/>
                <w:sz w:val="20"/>
                <w:szCs w:val="20"/>
              </w:rPr>
              <w:t>4,612</w:t>
            </w:r>
          </w:p>
        </w:tc>
        <w:tc>
          <w:tcPr>
            <w:tcW w:w="1530" w:type="dxa"/>
            <w:hideMark/>
          </w:tcPr>
          <w:p w:rsidR="00A71874" w:rsidRPr="00C205CD" w:rsidP="00572C1D" w14:paraId="3091EAB3" w14:textId="3C7DE574">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68E5B382" w14:textId="44D864E3">
            <w:pPr>
              <w:widowControl/>
              <w:autoSpaceDE/>
              <w:autoSpaceDN/>
              <w:adjustRightInd/>
              <w:jc w:val="center"/>
              <w:rPr>
                <w:color w:val="000000"/>
                <w:sz w:val="20"/>
                <w:szCs w:val="20"/>
              </w:rPr>
            </w:pPr>
            <w:r w:rsidRPr="00C205CD">
              <w:rPr>
                <w:color w:val="000000"/>
                <w:sz w:val="20"/>
                <w:szCs w:val="20"/>
              </w:rPr>
              <w:t>$306,514</w:t>
            </w:r>
          </w:p>
        </w:tc>
      </w:tr>
      <w:tr w14:paraId="70890290" w14:textId="77777777" w:rsidTr="004269C5">
        <w:tblPrEx>
          <w:tblW w:w="15068" w:type="dxa"/>
          <w:tblInd w:w="-365" w:type="dxa"/>
          <w:tblLook w:val="04A0"/>
        </w:tblPrEx>
        <w:trPr>
          <w:gridAfter w:val="1"/>
          <w:wAfter w:w="222" w:type="dxa"/>
          <w:trHeight w:val="510"/>
        </w:trPr>
        <w:tc>
          <w:tcPr>
            <w:tcW w:w="3420" w:type="dxa"/>
            <w:hideMark/>
          </w:tcPr>
          <w:p w:rsidR="00A71874" w:rsidRPr="00C205CD" w:rsidP="00440516" w14:paraId="28BC8282" w14:textId="77777777">
            <w:pPr>
              <w:widowControl/>
              <w:autoSpaceDE/>
              <w:autoSpaceDN/>
              <w:adjustRightInd/>
              <w:rPr>
                <w:color w:val="000000"/>
                <w:sz w:val="20"/>
                <w:szCs w:val="20"/>
              </w:rPr>
            </w:pPr>
            <w:r w:rsidRPr="00C205CD">
              <w:rPr>
                <w:color w:val="000000"/>
                <w:sz w:val="20"/>
                <w:szCs w:val="20"/>
              </w:rPr>
              <w:t xml:space="preserve">N. Use the Incident Investigation Reporting Template (29 CFR </w:t>
            </w:r>
            <w:r w:rsidRPr="00C205CD">
              <w:rPr>
                <w:color w:val="000000"/>
                <w:sz w:val="20"/>
                <w:szCs w:val="20"/>
              </w:rPr>
              <w:t>1908.7(b)(4))</w:t>
            </w:r>
          </w:p>
        </w:tc>
        <w:tc>
          <w:tcPr>
            <w:tcW w:w="1329" w:type="dxa"/>
            <w:hideMark/>
          </w:tcPr>
          <w:p w:rsidR="00A71874" w:rsidRPr="00C205CD" w:rsidP="00440516" w14:paraId="62E78CD1" w14:textId="77777777">
            <w:pPr>
              <w:widowControl/>
              <w:autoSpaceDE/>
              <w:autoSpaceDN/>
              <w:adjustRightInd/>
              <w:rPr>
                <w:color w:val="000000"/>
                <w:sz w:val="20"/>
                <w:szCs w:val="20"/>
              </w:rPr>
            </w:pPr>
            <w:r w:rsidRPr="00C205CD">
              <w:rPr>
                <w:color w:val="000000"/>
                <w:sz w:val="20"/>
                <w:szCs w:val="20"/>
              </w:rPr>
              <w:t>Consultant</w:t>
            </w:r>
          </w:p>
        </w:tc>
        <w:tc>
          <w:tcPr>
            <w:tcW w:w="1415" w:type="dxa"/>
            <w:hideMark/>
          </w:tcPr>
          <w:p w:rsidR="00A71874" w:rsidRPr="00C205CD" w:rsidP="00572C1D" w14:paraId="681214BA" w14:textId="77777777">
            <w:pPr>
              <w:widowControl/>
              <w:autoSpaceDE/>
              <w:autoSpaceDN/>
              <w:adjustRightInd/>
              <w:jc w:val="center"/>
              <w:rPr>
                <w:color w:val="000000"/>
                <w:sz w:val="20"/>
                <w:szCs w:val="20"/>
              </w:rPr>
            </w:pPr>
            <w:r w:rsidRPr="00C205CD">
              <w:rPr>
                <w:color w:val="000000"/>
                <w:sz w:val="20"/>
                <w:szCs w:val="20"/>
              </w:rPr>
              <w:t>53</w:t>
            </w:r>
          </w:p>
        </w:tc>
        <w:tc>
          <w:tcPr>
            <w:tcW w:w="1329" w:type="dxa"/>
            <w:hideMark/>
          </w:tcPr>
          <w:p w:rsidR="00A71874" w:rsidRPr="00C205CD" w:rsidP="00572C1D" w14:paraId="18B20581" w14:textId="77777777">
            <w:pPr>
              <w:widowControl/>
              <w:autoSpaceDE/>
              <w:autoSpaceDN/>
              <w:adjustRightInd/>
              <w:jc w:val="center"/>
              <w:rPr>
                <w:color w:val="000000"/>
                <w:sz w:val="20"/>
                <w:szCs w:val="20"/>
              </w:rPr>
            </w:pPr>
            <w:r w:rsidRPr="00C205CD">
              <w:rPr>
                <w:color w:val="000000"/>
                <w:sz w:val="20"/>
                <w:szCs w:val="20"/>
              </w:rPr>
              <w:t>0.13</w:t>
            </w:r>
          </w:p>
        </w:tc>
        <w:tc>
          <w:tcPr>
            <w:tcW w:w="1182" w:type="dxa"/>
            <w:hideMark/>
          </w:tcPr>
          <w:p w:rsidR="00A71874" w:rsidRPr="00C205CD" w:rsidP="00572C1D" w14:paraId="0089E8DA" w14:textId="77777777">
            <w:pPr>
              <w:widowControl/>
              <w:autoSpaceDE/>
              <w:autoSpaceDN/>
              <w:adjustRightInd/>
              <w:jc w:val="center"/>
              <w:rPr>
                <w:color w:val="000000"/>
                <w:sz w:val="20"/>
                <w:szCs w:val="20"/>
              </w:rPr>
            </w:pPr>
            <w:r w:rsidRPr="00C205CD">
              <w:rPr>
                <w:color w:val="000000"/>
                <w:sz w:val="20"/>
                <w:szCs w:val="20"/>
              </w:rPr>
              <w:t>7</w:t>
            </w:r>
          </w:p>
        </w:tc>
        <w:tc>
          <w:tcPr>
            <w:tcW w:w="1622" w:type="dxa"/>
            <w:hideMark/>
          </w:tcPr>
          <w:p w:rsidR="00A71874" w:rsidRPr="00C205CD" w:rsidP="00572C1D" w14:paraId="45B6B582" w14:textId="77777777">
            <w:pPr>
              <w:widowControl/>
              <w:autoSpaceDE/>
              <w:autoSpaceDN/>
              <w:adjustRightInd/>
              <w:jc w:val="center"/>
              <w:rPr>
                <w:color w:val="000000"/>
                <w:sz w:val="20"/>
                <w:szCs w:val="20"/>
              </w:rPr>
            </w:pPr>
            <w:r w:rsidRPr="00C205CD">
              <w:rPr>
                <w:color w:val="000000"/>
                <w:sz w:val="20"/>
                <w:szCs w:val="20"/>
              </w:rPr>
              <w:t>6</w:t>
            </w:r>
          </w:p>
        </w:tc>
        <w:tc>
          <w:tcPr>
            <w:tcW w:w="1440" w:type="dxa"/>
            <w:hideMark/>
          </w:tcPr>
          <w:p w:rsidR="00A71874" w:rsidRPr="00C205CD" w:rsidP="00572C1D" w14:paraId="0D5E0C8E" w14:textId="77777777">
            <w:pPr>
              <w:widowControl/>
              <w:autoSpaceDE/>
              <w:autoSpaceDN/>
              <w:adjustRightInd/>
              <w:jc w:val="center"/>
              <w:rPr>
                <w:color w:val="000000"/>
                <w:sz w:val="20"/>
                <w:szCs w:val="20"/>
              </w:rPr>
            </w:pPr>
            <w:r w:rsidRPr="00C205CD">
              <w:rPr>
                <w:color w:val="000000"/>
                <w:sz w:val="20"/>
                <w:szCs w:val="20"/>
              </w:rPr>
              <w:t>42</w:t>
            </w:r>
          </w:p>
        </w:tc>
        <w:tc>
          <w:tcPr>
            <w:tcW w:w="1530" w:type="dxa"/>
            <w:hideMark/>
          </w:tcPr>
          <w:p w:rsidR="00A71874" w:rsidRPr="00C205CD" w:rsidP="00572C1D" w14:paraId="6C1457BC" w14:textId="7ADD0D0C">
            <w:pPr>
              <w:widowControl/>
              <w:autoSpaceDE/>
              <w:autoSpaceDN/>
              <w:adjustRightInd/>
              <w:jc w:val="center"/>
              <w:rPr>
                <w:color w:val="000000"/>
                <w:sz w:val="20"/>
                <w:szCs w:val="20"/>
              </w:rPr>
            </w:pPr>
            <w:r w:rsidRPr="00C205CD">
              <w:rPr>
                <w:color w:val="000000"/>
                <w:sz w:val="20"/>
                <w:szCs w:val="20"/>
              </w:rPr>
              <w:t>$66.46</w:t>
            </w:r>
          </w:p>
        </w:tc>
        <w:tc>
          <w:tcPr>
            <w:tcW w:w="1579" w:type="dxa"/>
            <w:hideMark/>
          </w:tcPr>
          <w:p w:rsidR="00A71874" w:rsidRPr="00C205CD" w:rsidP="00572C1D" w14:paraId="6376B152" w14:textId="0D4A8CFC">
            <w:pPr>
              <w:widowControl/>
              <w:autoSpaceDE/>
              <w:autoSpaceDN/>
              <w:adjustRightInd/>
              <w:jc w:val="center"/>
              <w:rPr>
                <w:color w:val="000000"/>
                <w:sz w:val="20"/>
                <w:szCs w:val="20"/>
              </w:rPr>
            </w:pPr>
            <w:r w:rsidRPr="00C205CD">
              <w:rPr>
                <w:color w:val="000000"/>
                <w:sz w:val="20"/>
                <w:szCs w:val="20"/>
              </w:rPr>
              <w:t>$2,791</w:t>
            </w:r>
          </w:p>
        </w:tc>
      </w:tr>
      <w:tr w14:paraId="4742670A" w14:textId="77777777" w:rsidTr="004269C5">
        <w:tblPrEx>
          <w:tblW w:w="15068" w:type="dxa"/>
          <w:tblInd w:w="-365" w:type="dxa"/>
          <w:tblLook w:val="04A0"/>
        </w:tblPrEx>
        <w:trPr>
          <w:gridAfter w:val="1"/>
          <w:wAfter w:w="222" w:type="dxa"/>
          <w:trHeight w:val="300"/>
        </w:trPr>
        <w:tc>
          <w:tcPr>
            <w:tcW w:w="3420" w:type="dxa"/>
            <w:hideMark/>
          </w:tcPr>
          <w:p w:rsidR="00A71874" w:rsidRPr="00C205CD" w:rsidP="00440516" w14:paraId="1FE4CEF9" w14:textId="77777777">
            <w:pPr>
              <w:widowControl/>
              <w:autoSpaceDE/>
              <w:autoSpaceDN/>
              <w:adjustRightInd/>
              <w:rPr>
                <w:b/>
                <w:bCs/>
                <w:color w:val="000000"/>
                <w:sz w:val="20"/>
                <w:szCs w:val="20"/>
              </w:rPr>
            </w:pPr>
            <w:r w:rsidRPr="00C205CD">
              <w:rPr>
                <w:b/>
                <w:bCs/>
                <w:color w:val="000000"/>
                <w:sz w:val="20"/>
                <w:szCs w:val="20"/>
              </w:rPr>
              <w:t>GRAND TOTAL</w:t>
            </w:r>
          </w:p>
        </w:tc>
        <w:tc>
          <w:tcPr>
            <w:tcW w:w="1329" w:type="dxa"/>
            <w:hideMark/>
          </w:tcPr>
          <w:p w:rsidR="00A71874" w:rsidRPr="00C205CD" w:rsidP="00440516" w14:paraId="27E4F941" w14:textId="77777777">
            <w:pPr>
              <w:widowControl/>
              <w:autoSpaceDE/>
              <w:autoSpaceDN/>
              <w:adjustRightInd/>
              <w:rPr>
                <w:b/>
                <w:bCs/>
                <w:color w:val="000000"/>
                <w:sz w:val="20"/>
                <w:szCs w:val="20"/>
              </w:rPr>
            </w:pPr>
            <w:r w:rsidRPr="00C205CD">
              <w:rPr>
                <w:b/>
                <w:bCs/>
                <w:color w:val="000000"/>
                <w:sz w:val="20"/>
                <w:szCs w:val="20"/>
              </w:rPr>
              <w:t> </w:t>
            </w:r>
          </w:p>
        </w:tc>
        <w:tc>
          <w:tcPr>
            <w:tcW w:w="1415" w:type="dxa"/>
            <w:hideMark/>
          </w:tcPr>
          <w:p w:rsidR="00A71874" w:rsidRPr="00C205CD" w:rsidP="00440516" w14:paraId="163B0171" w14:textId="77777777">
            <w:pPr>
              <w:widowControl/>
              <w:autoSpaceDE/>
              <w:autoSpaceDN/>
              <w:adjustRightInd/>
              <w:rPr>
                <w:b/>
                <w:bCs/>
                <w:color w:val="000000"/>
                <w:sz w:val="20"/>
                <w:szCs w:val="20"/>
              </w:rPr>
            </w:pPr>
            <w:r w:rsidRPr="00C205CD">
              <w:rPr>
                <w:b/>
                <w:bCs/>
                <w:color w:val="000000"/>
                <w:sz w:val="20"/>
                <w:szCs w:val="20"/>
              </w:rPr>
              <w:t> </w:t>
            </w:r>
          </w:p>
        </w:tc>
        <w:tc>
          <w:tcPr>
            <w:tcW w:w="1329" w:type="dxa"/>
            <w:hideMark/>
          </w:tcPr>
          <w:p w:rsidR="00A71874" w:rsidRPr="00C205CD" w:rsidP="00440516" w14:paraId="70B302D2" w14:textId="77777777">
            <w:pPr>
              <w:widowControl/>
              <w:autoSpaceDE/>
              <w:autoSpaceDN/>
              <w:adjustRightInd/>
              <w:rPr>
                <w:b/>
                <w:bCs/>
                <w:color w:val="000000"/>
                <w:sz w:val="20"/>
                <w:szCs w:val="20"/>
              </w:rPr>
            </w:pPr>
            <w:r w:rsidRPr="00C205CD">
              <w:rPr>
                <w:b/>
                <w:bCs/>
                <w:color w:val="000000"/>
                <w:sz w:val="20"/>
                <w:szCs w:val="20"/>
              </w:rPr>
              <w:t> </w:t>
            </w:r>
          </w:p>
        </w:tc>
        <w:tc>
          <w:tcPr>
            <w:tcW w:w="1182" w:type="dxa"/>
            <w:hideMark/>
          </w:tcPr>
          <w:p w:rsidR="00A71874" w:rsidRPr="00C205CD" w:rsidP="00572C1D" w14:paraId="1E802A07" w14:textId="77777777">
            <w:pPr>
              <w:widowControl/>
              <w:autoSpaceDE/>
              <w:autoSpaceDN/>
              <w:adjustRightInd/>
              <w:jc w:val="center"/>
              <w:rPr>
                <w:b/>
                <w:bCs/>
                <w:color w:val="000000"/>
                <w:sz w:val="20"/>
                <w:szCs w:val="20"/>
              </w:rPr>
            </w:pPr>
            <w:r w:rsidRPr="00C205CD">
              <w:rPr>
                <w:b/>
                <w:bCs/>
                <w:color w:val="000000"/>
                <w:sz w:val="20"/>
                <w:szCs w:val="20"/>
              </w:rPr>
              <w:t>53,472</w:t>
            </w:r>
          </w:p>
        </w:tc>
        <w:tc>
          <w:tcPr>
            <w:tcW w:w="1622" w:type="dxa"/>
            <w:hideMark/>
          </w:tcPr>
          <w:p w:rsidR="00A71874" w:rsidRPr="00C205CD" w:rsidP="00572C1D" w14:paraId="35D90C36" w14:textId="5AA550E8">
            <w:pPr>
              <w:widowControl/>
              <w:autoSpaceDE/>
              <w:autoSpaceDN/>
              <w:adjustRightInd/>
              <w:jc w:val="center"/>
              <w:rPr>
                <w:b/>
                <w:bCs/>
                <w:color w:val="000000"/>
                <w:sz w:val="20"/>
                <w:szCs w:val="20"/>
              </w:rPr>
            </w:pPr>
          </w:p>
        </w:tc>
        <w:tc>
          <w:tcPr>
            <w:tcW w:w="1440" w:type="dxa"/>
            <w:hideMark/>
          </w:tcPr>
          <w:p w:rsidR="00A71874" w:rsidRPr="00C205CD" w:rsidP="00572C1D" w14:paraId="62B639E6" w14:textId="31AB959E">
            <w:pPr>
              <w:widowControl/>
              <w:autoSpaceDE/>
              <w:autoSpaceDN/>
              <w:adjustRightInd/>
              <w:jc w:val="center"/>
              <w:rPr>
                <w:b/>
                <w:bCs/>
                <w:color w:val="000000"/>
                <w:sz w:val="20"/>
                <w:szCs w:val="20"/>
              </w:rPr>
            </w:pPr>
            <w:r w:rsidRPr="00C205CD">
              <w:rPr>
                <w:b/>
                <w:bCs/>
                <w:color w:val="000000"/>
                <w:sz w:val="20"/>
                <w:szCs w:val="20"/>
              </w:rPr>
              <w:t>175,</w:t>
            </w:r>
            <w:r w:rsidRPr="00C205CD" w:rsidR="001E0882">
              <w:rPr>
                <w:b/>
                <w:bCs/>
                <w:color w:val="000000"/>
                <w:sz w:val="20"/>
                <w:szCs w:val="20"/>
              </w:rPr>
              <w:t>607</w:t>
            </w:r>
          </w:p>
        </w:tc>
        <w:tc>
          <w:tcPr>
            <w:tcW w:w="1530" w:type="dxa"/>
            <w:hideMark/>
          </w:tcPr>
          <w:p w:rsidR="00A71874" w:rsidRPr="00C205CD" w:rsidP="00572C1D" w14:paraId="03D814EF" w14:textId="131DAA27">
            <w:pPr>
              <w:widowControl/>
              <w:autoSpaceDE/>
              <w:autoSpaceDN/>
              <w:adjustRightInd/>
              <w:jc w:val="center"/>
              <w:rPr>
                <w:b/>
                <w:bCs/>
                <w:color w:val="000000"/>
                <w:sz w:val="20"/>
                <w:szCs w:val="20"/>
              </w:rPr>
            </w:pPr>
          </w:p>
        </w:tc>
        <w:tc>
          <w:tcPr>
            <w:tcW w:w="1579" w:type="dxa"/>
            <w:hideMark/>
          </w:tcPr>
          <w:p w:rsidR="00A71874" w:rsidRPr="00C205CD" w:rsidP="00572C1D" w14:paraId="13A7C947" w14:textId="741553C9">
            <w:pPr>
              <w:widowControl/>
              <w:autoSpaceDE/>
              <w:autoSpaceDN/>
              <w:adjustRightInd/>
              <w:jc w:val="center"/>
              <w:rPr>
                <w:b/>
                <w:bCs/>
                <w:color w:val="000000"/>
                <w:sz w:val="20"/>
                <w:szCs w:val="20"/>
              </w:rPr>
            </w:pPr>
            <w:r w:rsidRPr="00C205CD">
              <w:rPr>
                <w:b/>
                <w:bCs/>
                <w:color w:val="000000"/>
                <w:sz w:val="20"/>
                <w:szCs w:val="20"/>
              </w:rPr>
              <w:t>$11,689,890</w:t>
            </w:r>
          </w:p>
        </w:tc>
      </w:tr>
      <w:bookmarkStart w:id="14" w:name="RANGE!A44"/>
      <w:tr w14:paraId="3AEEFF0C" w14:textId="77777777" w:rsidTr="004269C5">
        <w:tblPrEx>
          <w:tblW w:w="15068" w:type="dxa"/>
          <w:tblInd w:w="-365" w:type="dxa"/>
          <w:tblLook w:val="04A0"/>
        </w:tblPrEx>
        <w:trPr>
          <w:gridAfter w:val="1"/>
          <w:wAfter w:w="222" w:type="dxa"/>
          <w:trHeight w:val="467"/>
        </w:trPr>
        <w:tc>
          <w:tcPr>
            <w:tcW w:w="14846" w:type="dxa"/>
            <w:gridSpan w:val="9"/>
            <w:noWrap/>
            <w:hideMark/>
          </w:tcPr>
          <w:p w:rsidR="006D66DE" w:rsidRPr="00C205CD" w:rsidP="00440516" w14:paraId="21C16142" w14:textId="5316EE19">
            <w:pPr>
              <w:widowControl/>
              <w:autoSpaceDE/>
              <w:autoSpaceDN/>
              <w:adjustRightInd/>
              <w:rPr>
                <w:color w:val="000000"/>
                <w:sz w:val="20"/>
                <w:szCs w:val="20"/>
              </w:rPr>
            </w:pPr>
            <w:hyperlink r:id="rId18" w:anchor="RANGE!B9" w:history="1">
              <w:r w:rsidRPr="00C205CD">
                <w:rPr>
                  <w:rStyle w:val="Hyperlink"/>
                  <w:sz w:val="20"/>
                  <w:szCs w:val="20"/>
                </w:rPr>
                <w:t>[1] For the purpose of entering this analysis into the ROCIS system, the agency categorizes respondents reflected in Table 2</w:t>
              </w:r>
              <w:r w:rsidR="004D5A73">
                <w:rPr>
                  <w:rStyle w:val="Hyperlink"/>
                  <w:sz w:val="20"/>
                  <w:szCs w:val="20"/>
                </w:rPr>
                <w:t>a</w:t>
              </w:r>
              <w:r w:rsidRPr="00C205CD">
                <w:rPr>
                  <w:rStyle w:val="Hyperlink"/>
                  <w:sz w:val="20"/>
                  <w:szCs w:val="20"/>
                </w:rPr>
                <w:t xml:space="preserve"> as “State, Local and Tribal Governments.”</w:t>
              </w:r>
            </w:hyperlink>
            <w:bookmarkEnd w:id="14"/>
          </w:p>
        </w:tc>
      </w:tr>
      <w:bookmarkStart w:id="15" w:name="RANGE!A46"/>
      <w:tr w14:paraId="2113AD9D" w14:textId="77777777" w:rsidTr="004269C5">
        <w:tblPrEx>
          <w:tblW w:w="15068" w:type="dxa"/>
          <w:tblInd w:w="-365" w:type="dxa"/>
          <w:tblLook w:val="04A0"/>
        </w:tblPrEx>
        <w:trPr>
          <w:trHeight w:val="300"/>
        </w:trPr>
        <w:tc>
          <w:tcPr>
            <w:tcW w:w="14846" w:type="dxa"/>
            <w:gridSpan w:val="9"/>
            <w:tcBorders>
              <w:top w:val="nil"/>
              <w:left w:val="single" w:sz="4" w:space="0" w:color="auto"/>
              <w:bottom w:val="nil"/>
              <w:right w:val="nil"/>
            </w:tcBorders>
            <w:noWrap/>
            <w:hideMark/>
          </w:tcPr>
          <w:p w:rsidR="00A71874" w:rsidRPr="00C205CD" w:rsidP="00440516" w14:paraId="4FBDAE12" w14:textId="77777777">
            <w:pPr>
              <w:widowControl/>
              <w:autoSpaceDE/>
              <w:autoSpaceDN/>
              <w:adjustRightInd/>
              <w:rPr>
                <w:color w:val="000000"/>
                <w:sz w:val="20"/>
                <w:szCs w:val="20"/>
              </w:rPr>
            </w:pPr>
            <w:hyperlink r:id="rId18" w:anchor="RANGE!A15" w:history="1">
              <w:r w:rsidRPr="00C205CD">
                <w:rPr>
                  <w:rStyle w:val="Hyperlink"/>
                  <w:sz w:val="20"/>
                  <w:szCs w:val="20"/>
                </w:rPr>
                <w:t>[2] OSHA estimates these figures for the two (2) types of List of Hazards (i.e., List of Hazards (Serious) and List of Hazards (Serious and Other-than-Serious)) to avoid double counting assuming that the List of Hazards for all consultation visits contain serious and/or imminent danger hazards regardless and less than one (1) percent of Consultation programs make use of the List of Hazards (Serious and Other-than Serious).</w:t>
              </w:r>
            </w:hyperlink>
            <w:bookmarkEnd w:id="15"/>
          </w:p>
          <w:p w:rsidR="00A71874" w:rsidRPr="00C205CD" w:rsidP="00440516" w14:paraId="3F0105B3" w14:textId="77777777">
            <w:pPr>
              <w:widowControl/>
              <w:autoSpaceDE/>
              <w:autoSpaceDN/>
              <w:adjustRightInd/>
              <w:rPr>
                <w:color w:val="000000"/>
                <w:sz w:val="20"/>
                <w:szCs w:val="20"/>
                <w:u w:val="single"/>
              </w:rPr>
            </w:pPr>
          </w:p>
        </w:tc>
        <w:tc>
          <w:tcPr>
            <w:tcW w:w="222" w:type="dxa"/>
            <w:tcBorders>
              <w:top w:val="nil"/>
              <w:left w:val="nil"/>
              <w:bottom w:val="nil"/>
              <w:right w:val="single" w:sz="4" w:space="0" w:color="auto"/>
            </w:tcBorders>
            <w:hideMark/>
          </w:tcPr>
          <w:p w:rsidR="00A71874" w:rsidRPr="00C205CD" w:rsidP="00440516" w14:paraId="25447FD1" w14:textId="77777777">
            <w:pPr>
              <w:widowControl/>
              <w:autoSpaceDE/>
              <w:autoSpaceDN/>
              <w:adjustRightInd/>
              <w:rPr>
                <w:color w:val="000000"/>
                <w:sz w:val="20"/>
                <w:szCs w:val="20"/>
              </w:rPr>
            </w:pPr>
          </w:p>
        </w:tc>
      </w:tr>
      <w:bookmarkStart w:id="16" w:name="RANGE!A47"/>
      <w:tr w14:paraId="67099175" w14:textId="77777777" w:rsidTr="004269C5">
        <w:tblPrEx>
          <w:tblW w:w="15068" w:type="dxa"/>
          <w:tblInd w:w="-365" w:type="dxa"/>
          <w:tblLook w:val="04A0"/>
        </w:tblPrEx>
        <w:trPr>
          <w:trHeight w:val="1008"/>
        </w:trPr>
        <w:tc>
          <w:tcPr>
            <w:tcW w:w="14846" w:type="dxa"/>
            <w:gridSpan w:val="9"/>
            <w:tcBorders>
              <w:top w:val="nil"/>
              <w:left w:val="single" w:sz="4" w:space="0" w:color="auto"/>
              <w:bottom w:val="nil"/>
              <w:right w:val="nil"/>
            </w:tcBorders>
            <w:noWrap/>
            <w:hideMark/>
          </w:tcPr>
          <w:p w:rsidR="00A71874" w:rsidRPr="00C205CD" w:rsidP="00440516" w14:paraId="1B510757" w14:textId="270DFAAA">
            <w:pPr>
              <w:widowControl/>
              <w:autoSpaceDE/>
              <w:autoSpaceDN/>
              <w:adjustRightInd/>
              <w:rPr>
                <w:color w:val="000000"/>
                <w:sz w:val="20"/>
                <w:szCs w:val="20"/>
                <w:u w:val="single"/>
              </w:rPr>
            </w:pPr>
            <w:hyperlink r:id="rId18" w:anchor="RANGE!A33" w:history="1">
              <w:r w:rsidRPr="00C205CD">
                <w:rPr>
                  <w:rStyle w:val="Hyperlink"/>
                  <w:sz w:val="20"/>
                  <w:szCs w:val="20"/>
                </w:rPr>
                <w:t>[3] The optional accompanying tables are tools that consultants may choose to use to gather the information needed to complete the PSM Evaluation Worksheet.  This information can also be gathered by other means and this process will occur as part of the PSM Program evaluation.  Therefore, the time estimates for completing the worksheet incorporate either using the tables or the time it will take to gather the necessary information by other means (to complete the worksheet).</w:t>
              </w:r>
            </w:hyperlink>
            <w:bookmarkEnd w:id="16"/>
          </w:p>
        </w:tc>
        <w:tc>
          <w:tcPr>
            <w:tcW w:w="222" w:type="dxa"/>
            <w:tcBorders>
              <w:top w:val="nil"/>
              <w:left w:val="nil"/>
              <w:bottom w:val="nil"/>
              <w:right w:val="single" w:sz="4" w:space="0" w:color="auto"/>
            </w:tcBorders>
            <w:hideMark/>
          </w:tcPr>
          <w:p w:rsidR="00A71874" w:rsidRPr="00C205CD" w:rsidP="00440516" w14:paraId="0E934636" w14:textId="77777777">
            <w:pPr>
              <w:widowControl/>
              <w:autoSpaceDE/>
              <w:autoSpaceDN/>
              <w:adjustRightInd/>
              <w:rPr>
                <w:color w:val="000000"/>
                <w:sz w:val="20"/>
                <w:szCs w:val="20"/>
              </w:rPr>
            </w:pPr>
          </w:p>
        </w:tc>
      </w:tr>
      <w:tr w14:paraId="0D6EA219" w14:textId="77777777" w:rsidTr="004269C5">
        <w:tblPrEx>
          <w:tblW w:w="15068" w:type="dxa"/>
          <w:tblInd w:w="-365" w:type="dxa"/>
          <w:tblLook w:val="04A0"/>
        </w:tblPrEx>
        <w:trPr>
          <w:gridAfter w:val="1"/>
          <w:wAfter w:w="222" w:type="dxa"/>
          <w:trHeight w:val="80"/>
        </w:trPr>
        <w:tc>
          <w:tcPr>
            <w:tcW w:w="3420" w:type="dxa"/>
            <w:tcBorders>
              <w:top w:val="nil"/>
              <w:right w:val="nil"/>
            </w:tcBorders>
            <w:noWrap/>
            <w:hideMark/>
          </w:tcPr>
          <w:p w:rsidR="00A71874" w:rsidRPr="00C205CD" w:rsidP="00440516" w14:paraId="6F7A4F18" w14:textId="77777777">
            <w:pPr>
              <w:widowControl/>
              <w:autoSpaceDE/>
              <w:autoSpaceDN/>
              <w:adjustRightInd/>
              <w:rPr>
                <w:color w:val="000000"/>
                <w:sz w:val="20"/>
                <w:szCs w:val="20"/>
                <w:u w:val="single"/>
              </w:rPr>
            </w:pPr>
          </w:p>
        </w:tc>
        <w:tc>
          <w:tcPr>
            <w:tcW w:w="1329" w:type="dxa"/>
            <w:tcBorders>
              <w:top w:val="nil"/>
              <w:left w:val="nil"/>
              <w:right w:val="nil"/>
            </w:tcBorders>
            <w:noWrap/>
            <w:hideMark/>
          </w:tcPr>
          <w:p w:rsidR="00A71874" w:rsidRPr="00C205CD" w:rsidP="00440516" w14:paraId="423936F1" w14:textId="77777777">
            <w:pPr>
              <w:widowControl/>
              <w:autoSpaceDE/>
              <w:autoSpaceDN/>
              <w:adjustRightInd/>
              <w:rPr>
                <w:color w:val="000000"/>
                <w:sz w:val="20"/>
                <w:szCs w:val="20"/>
              </w:rPr>
            </w:pPr>
          </w:p>
        </w:tc>
        <w:tc>
          <w:tcPr>
            <w:tcW w:w="1415" w:type="dxa"/>
            <w:tcBorders>
              <w:top w:val="nil"/>
              <w:left w:val="nil"/>
              <w:right w:val="nil"/>
            </w:tcBorders>
            <w:noWrap/>
            <w:hideMark/>
          </w:tcPr>
          <w:p w:rsidR="00A71874" w:rsidRPr="00C205CD" w:rsidP="00440516" w14:paraId="27FD92B2" w14:textId="77777777">
            <w:pPr>
              <w:widowControl/>
              <w:autoSpaceDE/>
              <w:autoSpaceDN/>
              <w:adjustRightInd/>
              <w:rPr>
                <w:color w:val="000000"/>
                <w:sz w:val="20"/>
                <w:szCs w:val="20"/>
              </w:rPr>
            </w:pPr>
          </w:p>
        </w:tc>
        <w:tc>
          <w:tcPr>
            <w:tcW w:w="1329" w:type="dxa"/>
            <w:tcBorders>
              <w:top w:val="nil"/>
              <w:left w:val="nil"/>
              <w:right w:val="nil"/>
            </w:tcBorders>
            <w:noWrap/>
            <w:hideMark/>
          </w:tcPr>
          <w:p w:rsidR="00A71874" w:rsidRPr="00C205CD" w:rsidP="00440516" w14:paraId="45F173A8" w14:textId="77777777">
            <w:pPr>
              <w:widowControl/>
              <w:autoSpaceDE/>
              <w:autoSpaceDN/>
              <w:adjustRightInd/>
              <w:rPr>
                <w:color w:val="000000"/>
                <w:sz w:val="20"/>
                <w:szCs w:val="20"/>
              </w:rPr>
            </w:pPr>
          </w:p>
        </w:tc>
        <w:tc>
          <w:tcPr>
            <w:tcW w:w="1182" w:type="dxa"/>
            <w:tcBorders>
              <w:top w:val="nil"/>
              <w:left w:val="nil"/>
              <w:right w:val="nil"/>
            </w:tcBorders>
            <w:noWrap/>
            <w:hideMark/>
          </w:tcPr>
          <w:p w:rsidR="00A71874" w:rsidRPr="00C205CD" w:rsidP="00440516" w14:paraId="5AEEC853" w14:textId="77777777">
            <w:pPr>
              <w:widowControl/>
              <w:autoSpaceDE/>
              <w:autoSpaceDN/>
              <w:adjustRightInd/>
              <w:rPr>
                <w:color w:val="000000"/>
                <w:sz w:val="20"/>
                <w:szCs w:val="20"/>
              </w:rPr>
            </w:pPr>
          </w:p>
        </w:tc>
        <w:tc>
          <w:tcPr>
            <w:tcW w:w="1622" w:type="dxa"/>
            <w:tcBorders>
              <w:top w:val="nil"/>
              <w:left w:val="nil"/>
              <w:right w:val="nil"/>
            </w:tcBorders>
            <w:noWrap/>
            <w:hideMark/>
          </w:tcPr>
          <w:p w:rsidR="00A71874" w:rsidRPr="00C205CD" w:rsidP="00440516" w14:paraId="1587FF42" w14:textId="77777777">
            <w:pPr>
              <w:widowControl/>
              <w:autoSpaceDE/>
              <w:autoSpaceDN/>
              <w:adjustRightInd/>
              <w:rPr>
                <w:color w:val="000000"/>
                <w:sz w:val="20"/>
                <w:szCs w:val="20"/>
              </w:rPr>
            </w:pPr>
          </w:p>
        </w:tc>
        <w:tc>
          <w:tcPr>
            <w:tcW w:w="1440" w:type="dxa"/>
            <w:tcBorders>
              <w:top w:val="nil"/>
              <w:left w:val="nil"/>
              <w:right w:val="nil"/>
            </w:tcBorders>
            <w:noWrap/>
            <w:hideMark/>
          </w:tcPr>
          <w:p w:rsidR="00A71874" w:rsidRPr="00C205CD" w:rsidP="00440516" w14:paraId="1D58380F" w14:textId="77777777">
            <w:pPr>
              <w:widowControl/>
              <w:autoSpaceDE/>
              <w:autoSpaceDN/>
              <w:adjustRightInd/>
              <w:rPr>
                <w:color w:val="000000"/>
                <w:sz w:val="20"/>
                <w:szCs w:val="20"/>
              </w:rPr>
            </w:pPr>
          </w:p>
        </w:tc>
        <w:tc>
          <w:tcPr>
            <w:tcW w:w="1530" w:type="dxa"/>
            <w:tcBorders>
              <w:top w:val="nil"/>
              <w:left w:val="nil"/>
              <w:right w:val="nil"/>
            </w:tcBorders>
            <w:noWrap/>
            <w:hideMark/>
          </w:tcPr>
          <w:p w:rsidR="00A71874" w:rsidRPr="00C205CD" w:rsidP="00440516" w14:paraId="5C6B49F3" w14:textId="77777777">
            <w:pPr>
              <w:widowControl/>
              <w:autoSpaceDE/>
              <w:autoSpaceDN/>
              <w:adjustRightInd/>
              <w:rPr>
                <w:color w:val="000000"/>
                <w:sz w:val="20"/>
                <w:szCs w:val="20"/>
              </w:rPr>
            </w:pPr>
          </w:p>
        </w:tc>
        <w:tc>
          <w:tcPr>
            <w:tcW w:w="1579" w:type="dxa"/>
            <w:tcBorders>
              <w:top w:val="nil"/>
              <w:left w:val="nil"/>
            </w:tcBorders>
            <w:noWrap/>
            <w:hideMark/>
          </w:tcPr>
          <w:p w:rsidR="00A71874" w:rsidRPr="00C205CD" w:rsidP="00440516" w14:paraId="1B00D974" w14:textId="77777777">
            <w:pPr>
              <w:widowControl/>
              <w:autoSpaceDE/>
              <w:autoSpaceDN/>
              <w:adjustRightInd/>
              <w:rPr>
                <w:color w:val="000000"/>
                <w:sz w:val="20"/>
                <w:szCs w:val="20"/>
              </w:rPr>
            </w:pPr>
          </w:p>
        </w:tc>
      </w:tr>
    </w:tbl>
    <w:p w:rsidR="00440516" w:rsidRPr="00C205CD" w:rsidP="00572C1D" w14:paraId="007DDD01" w14:textId="77777777">
      <w:pPr>
        <w:widowControl/>
        <w:pBdr>
          <w:between w:val="single" w:sz="4" w:space="1" w:color="auto"/>
        </w:pBdr>
        <w:autoSpaceDE/>
        <w:autoSpaceDN/>
        <w:adjustRightInd/>
        <w:rPr>
          <w:color w:val="000000"/>
          <w:sz w:val="20"/>
          <w:szCs w:val="20"/>
        </w:rPr>
      </w:pPr>
    </w:p>
    <w:p w:rsidR="007E5B3C" w:rsidRPr="00C205CD" w:rsidP="00A97382" w14:paraId="797E50C6" w14:textId="77777777">
      <w:pPr>
        <w:widowControl/>
        <w:autoSpaceDE/>
        <w:autoSpaceDN/>
        <w:adjustRightInd/>
        <w:jc w:val="center"/>
      </w:pPr>
    </w:p>
    <w:p w:rsidR="005E3EFF" w:rsidRPr="00C205CD" w14:paraId="59FCFD3F" w14:textId="58A83D77">
      <w:pPr>
        <w:ind w:firstLine="720"/>
      </w:pPr>
      <w:r w:rsidRPr="00C205CD">
        <w:t>The total number of State respondents is:  53</w:t>
      </w:r>
    </w:p>
    <w:p w:rsidR="005E3EFF" w:rsidRPr="00C205CD" w14:paraId="54AB5FF9" w14:textId="613DEBA8">
      <w:pPr>
        <w:ind w:firstLine="720"/>
      </w:pPr>
      <w:r w:rsidRPr="00C205CD">
        <w:t xml:space="preserve">The total State Burden Hours is: </w:t>
      </w:r>
      <w:r w:rsidRPr="00C205CD" w:rsidR="00340C47">
        <w:t>175,</w:t>
      </w:r>
      <w:r w:rsidRPr="00C205CD" w:rsidR="00CF28B7">
        <w:t>607</w:t>
      </w:r>
    </w:p>
    <w:p w:rsidR="00F73F89" w:rsidRPr="00C205CD" w14:paraId="508C98E9" w14:textId="2874C47B">
      <w:pPr>
        <w:ind w:firstLine="720"/>
        <w:sectPr w:rsidSect="009724AA">
          <w:footnotePr>
            <w:pos w:val="beneathText"/>
          </w:footnotePr>
          <w:pgSz w:w="15840" w:h="12240" w:orient="landscape"/>
          <w:pgMar w:top="1440" w:right="1008" w:bottom="1440" w:left="1008" w:header="720" w:footer="720" w:gutter="0"/>
          <w:cols w:space="720"/>
          <w:noEndnote/>
          <w:titlePg/>
          <w:docGrid w:linePitch="326"/>
        </w:sectPr>
      </w:pPr>
      <w:r w:rsidRPr="00C205CD">
        <w:t xml:space="preserve">The total </w:t>
      </w:r>
      <w:r w:rsidRPr="00C205CD" w:rsidR="009B572C">
        <w:t>State Wage</w:t>
      </w:r>
      <w:r w:rsidRPr="00C205CD" w:rsidR="009C5FDF">
        <w:t xml:space="preserve"> hour </w:t>
      </w:r>
      <w:r w:rsidRPr="00C205CD">
        <w:t>Burden cost is:</w:t>
      </w:r>
      <w:r w:rsidRPr="00C205CD" w:rsidR="009C5FDF">
        <w:t xml:space="preserve"> $11,689</w:t>
      </w:r>
      <w:r w:rsidRPr="00C205CD" w:rsidR="00D74F16">
        <w:t>,890</w:t>
      </w:r>
      <w:r w:rsidRPr="00C205CD">
        <w:t xml:space="preserve"> </w:t>
      </w:r>
      <w:r w:rsidRPr="00C205CD" w:rsidR="00325456">
        <w:br w:type="page"/>
      </w:r>
    </w:p>
    <w:p w:rsidR="00FC4BF3" w:rsidRPr="00C205CD" w14:paraId="07FAD5BB" w14:textId="77777777">
      <w:pPr>
        <w:ind w:firstLine="720"/>
      </w:pPr>
      <w:r w:rsidRPr="00C205CD">
        <w:rPr>
          <w:b/>
          <w:bCs/>
        </w:rPr>
        <w:t>ii.</w:t>
      </w:r>
      <w:r w:rsidRPr="00C205CD">
        <w:rPr>
          <w:b/>
          <w:bCs/>
        </w:rPr>
        <w:tab/>
        <w:t>Estimate of Burden Hours to Employers:</w:t>
      </w:r>
    </w:p>
    <w:p w:rsidR="00FC4BF3" w:rsidRPr="00C205CD" w14:paraId="779F8E76" w14:textId="77777777"/>
    <w:p w:rsidR="00CB3C62" w:rsidRPr="00C205CD" w:rsidP="00241A20" w14:paraId="637D54BF" w14:textId="358A52BB">
      <w:pPr>
        <w:ind w:left="1440"/>
        <w:rPr>
          <w:bCs/>
        </w:rPr>
      </w:pPr>
      <w:r w:rsidRPr="00C205CD">
        <w:t>OSHA estimates</w:t>
      </w:r>
      <w:r w:rsidRPr="00C205CD" w:rsidR="0098083E">
        <w:t xml:space="preserve"> the</w:t>
      </w:r>
      <w:r w:rsidRPr="00C205CD">
        <w:t xml:space="preserve"> burden hours </w:t>
      </w:r>
      <w:r w:rsidRPr="00C205CD" w:rsidR="00EC796F">
        <w:t xml:space="preserve">and costs </w:t>
      </w:r>
      <w:r w:rsidRPr="00C205CD">
        <w:t>to employers using the free consultation services as fo</w:t>
      </w:r>
      <w:r w:rsidRPr="00C205CD" w:rsidR="00D404EF">
        <w:t>llows</w:t>
      </w:r>
      <w:r w:rsidRPr="00C205CD" w:rsidR="00760693">
        <w:t xml:space="preserve"> </w:t>
      </w:r>
      <w:r w:rsidRPr="00C205CD" w:rsidR="00DE3839">
        <w:t>(See</w:t>
      </w:r>
      <w:r w:rsidRPr="00C205CD" w:rsidR="00BE0263">
        <w:t xml:space="preserve"> below</w:t>
      </w:r>
      <w:r w:rsidRPr="00C205CD" w:rsidR="00DE3839">
        <w:t xml:space="preserve"> Table </w:t>
      </w:r>
      <w:r>
        <w:t>2b</w:t>
      </w:r>
      <w:r w:rsidRPr="00C205CD" w:rsidR="00543E69">
        <w:t>)</w:t>
      </w:r>
      <w:r w:rsidRPr="00C205CD" w:rsidR="00DE3839">
        <w:t>.</w:t>
      </w:r>
      <w:r w:rsidRPr="00C205CD" w:rsidR="00241A20">
        <w:rPr>
          <w:bCs/>
        </w:rPr>
        <w:t xml:space="preserve"> </w:t>
      </w:r>
      <w:r w:rsidRPr="00C205CD" w:rsidR="00241A20">
        <w:rPr>
          <w:bCs/>
          <w:i/>
        </w:rPr>
        <w:t>Summary of Estimated Annualized Respondent (Employer) Hour and Cost Burden</w:t>
      </w:r>
      <w:r w:rsidRPr="00C205CD" w:rsidR="00DE3839">
        <w:rPr>
          <w:bCs/>
        </w:rPr>
        <w:t>)</w:t>
      </w:r>
      <w:r w:rsidRPr="00C205CD" w:rsidR="00760693">
        <w:rPr>
          <w:bCs/>
        </w:rPr>
        <w:t>:</w:t>
      </w:r>
    </w:p>
    <w:p w:rsidR="000D72F8" w:rsidRPr="00C205CD" w:rsidP="008209C8" w14:paraId="7818863E" w14:textId="77777777">
      <w:pPr>
        <w:ind w:left="1440"/>
        <w:rPr>
          <w:bCs/>
        </w:rPr>
      </w:pPr>
    </w:p>
    <w:p w:rsidR="00FC4BF3" w:rsidRPr="00C205CD" w14:paraId="5D386EEE" w14:textId="1FB9CCD2">
      <w:pPr>
        <w:ind w:firstLine="720"/>
      </w:pPr>
      <w:r w:rsidRPr="00C205CD">
        <w:t>A.</w:t>
      </w:r>
      <w:r w:rsidRPr="00C205CD">
        <w:tab/>
      </w:r>
      <w:bookmarkStart w:id="17" w:name="_Hlk175490693"/>
      <w:r w:rsidRPr="00C205CD" w:rsidR="00B302FA">
        <w:rPr>
          <w:u w:val="single"/>
        </w:rPr>
        <w:t xml:space="preserve">29 CFR </w:t>
      </w:r>
      <w:bookmarkEnd w:id="17"/>
      <w:r w:rsidRPr="00C205CD">
        <w:rPr>
          <w:u w:val="single"/>
        </w:rPr>
        <w:t>1908.6</w:t>
      </w:r>
      <w:r w:rsidRPr="00C205CD" w:rsidR="004C5AC3">
        <w:rPr>
          <w:u w:val="single"/>
        </w:rPr>
        <w:t>(e)(8); 1908.6(f)(5)</w:t>
      </w:r>
      <w:r w:rsidRPr="00C205CD">
        <w:rPr>
          <w:u w:val="single"/>
        </w:rPr>
        <w:t>:</w:t>
      </w:r>
    </w:p>
    <w:p w:rsidR="00325A4A" w:rsidRPr="00C205CD" w:rsidP="00B53542" w14:paraId="2853DCFF" w14:textId="24D90869">
      <w:pPr>
        <w:ind w:left="1440"/>
      </w:pPr>
      <w:r w:rsidRPr="00C205CD">
        <w:t>Employers post the List of Hazards</w:t>
      </w:r>
      <w:r w:rsidRPr="00C205CD" w:rsidR="0065302E">
        <w:t xml:space="preserve"> and notify </w:t>
      </w:r>
      <w:r w:rsidRPr="00C205CD" w:rsidR="00827A4D">
        <w:t>On-Site Consultation program</w:t>
      </w:r>
      <w:r w:rsidRPr="00C205CD" w:rsidR="004304BC">
        <w:t>s</w:t>
      </w:r>
      <w:r w:rsidRPr="00C205CD" w:rsidR="00827A4D">
        <w:t xml:space="preserve"> of hazard correction</w:t>
      </w:r>
      <w:r w:rsidRPr="00C205CD">
        <w:t>.</w:t>
      </w:r>
    </w:p>
    <w:p w:rsidR="00325A4A" w:rsidRPr="00C205CD" w:rsidP="00B53542" w14:paraId="72B4A8C5" w14:textId="77777777">
      <w:pPr>
        <w:ind w:left="1440"/>
      </w:pPr>
    </w:p>
    <w:p w:rsidR="00D404EF" w:rsidRPr="00C205CD" w:rsidP="00B53542" w14:paraId="3BBF61F9" w14:textId="7679A679">
      <w:pPr>
        <w:ind w:left="1440"/>
      </w:pPr>
      <w:r w:rsidRPr="00C205CD">
        <w:t>Employers must p</w:t>
      </w:r>
      <w:r w:rsidRPr="00C205CD" w:rsidR="00FC4BF3">
        <w:t xml:space="preserve">ost the list of serious </w:t>
      </w:r>
      <w:r w:rsidRPr="00C205CD" w:rsidR="00C9751A">
        <w:t xml:space="preserve">and any imminent danger </w:t>
      </w:r>
      <w:r w:rsidRPr="00C205CD" w:rsidR="00FC4BF3">
        <w:t>hazards</w:t>
      </w:r>
      <w:r w:rsidRPr="00C205CD" w:rsidR="00215E3B">
        <w:t xml:space="preserve"> with their</w:t>
      </w:r>
      <w:r w:rsidRPr="00C205CD" w:rsidR="00FC4BF3">
        <w:t xml:space="preserve"> correction due dates and notify the </w:t>
      </w:r>
      <w:r w:rsidRPr="00C205CD" w:rsidR="00954BC8">
        <w:t>On-Site</w:t>
      </w:r>
      <w:r w:rsidRPr="00C205CD" w:rsidR="00880AAC">
        <w:t xml:space="preserve"> Consultation </w:t>
      </w:r>
      <w:r w:rsidRPr="00C205CD" w:rsidR="00215E3B">
        <w:t>p</w:t>
      </w:r>
      <w:r w:rsidRPr="00C205CD" w:rsidR="0020737B">
        <w:t>rogram</w:t>
      </w:r>
      <w:r w:rsidRPr="00C205CD" w:rsidR="00FC4BF3">
        <w:t xml:space="preserve"> manager in writing when </w:t>
      </w:r>
      <w:r w:rsidRPr="00C205CD" w:rsidR="00C9751A">
        <w:t>the</w:t>
      </w:r>
      <w:r w:rsidRPr="00C205CD" w:rsidR="00FC4BF3">
        <w:t xml:space="preserve"> hazards are corrected</w:t>
      </w:r>
      <w:r w:rsidRPr="00C205CD" w:rsidR="00AA29DA">
        <w:t xml:space="preserve">. </w:t>
      </w:r>
      <w:r w:rsidRPr="00C205CD" w:rsidR="00FC4BF3">
        <w:t xml:space="preserve">This requirement is necessary to ensure that </w:t>
      </w:r>
      <w:r w:rsidRPr="00C205CD" w:rsidR="008440CF">
        <w:t>worker</w:t>
      </w:r>
      <w:r w:rsidRPr="00C205CD" w:rsidR="00FC4BF3">
        <w:t>s are informed of the hazards in the workplace, and employers take the necessary action to correct those hazards</w:t>
      </w:r>
      <w:r w:rsidRPr="00C205CD" w:rsidR="00AA29DA">
        <w:t xml:space="preserve">. </w:t>
      </w:r>
      <w:r w:rsidRPr="00C205CD" w:rsidR="00C60505">
        <w:t xml:space="preserve">Since the On-Site Consultation program prepares the List of Hazards for the employer </w:t>
      </w:r>
      <w:r w:rsidRPr="00C205CD" w:rsidR="00B70156">
        <w:t>and the language is already provided by the state government then there is no</w:t>
      </w:r>
      <w:r w:rsidRPr="00C205CD" w:rsidR="00E54426">
        <w:t xml:space="preserve"> burden for this</w:t>
      </w:r>
      <w:r w:rsidRPr="00C205CD" w:rsidR="00363BBC">
        <w:t xml:space="preserve"> </w:t>
      </w:r>
      <w:r w:rsidRPr="00C205CD" w:rsidR="00E54426">
        <w:t>requirement</w:t>
      </w:r>
      <w:r w:rsidRPr="00C205CD" w:rsidR="00C60505">
        <w:t>.</w:t>
      </w:r>
    </w:p>
    <w:p w:rsidR="005B6812" w:rsidRPr="00C205CD" w14:paraId="44F69B9A" w14:textId="77777777">
      <w:pPr>
        <w:ind w:left="1440"/>
      </w:pPr>
    </w:p>
    <w:p w:rsidR="00F27130" w:rsidRPr="00C205CD" w:rsidP="00DF2B76" w14:paraId="2D802200" w14:textId="145BBAE0">
      <w:pPr>
        <w:ind w:left="1440"/>
      </w:pPr>
      <w:r w:rsidRPr="00C205CD">
        <w:t>Some hazards are corrected while the consultant is still at the employer’s work</w:t>
      </w:r>
      <w:r w:rsidRPr="00C205CD" w:rsidR="00811893">
        <w:t>place</w:t>
      </w:r>
      <w:r w:rsidRPr="00C205CD">
        <w:t xml:space="preserve">, so the consultant can </w:t>
      </w:r>
      <w:r w:rsidRPr="00C205CD" w:rsidR="00693C05">
        <w:t>verify correction</w:t>
      </w:r>
      <w:r w:rsidRPr="00C205CD">
        <w:t xml:space="preserve"> before leaving</w:t>
      </w:r>
      <w:r w:rsidRPr="00C205CD" w:rsidR="00AA29DA">
        <w:t xml:space="preserve">. </w:t>
      </w:r>
      <w:r w:rsidRPr="00C205CD">
        <w:t xml:space="preserve">For those </w:t>
      </w:r>
      <w:r w:rsidRPr="00C205CD" w:rsidR="00693C05">
        <w:t xml:space="preserve">hazards </w:t>
      </w:r>
      <w:r w:rsidRPr="00C205CD">
        <w:t xml:space="preserve">that are not corrected immediately, </w:t>
      </w:r>
      <w:r w:rsidRPr="00C205CD" w:rsidR="00D404EF">
        <w:t>OSHA estimates that it takes 15 minute</w:t>
      </w:r>
      <w:r w:rsidRPr="00C205CD" w:rsidR="005B6812">
        <w:t>s</w:t>
      </w:r>
      <w:r w:rsidRPr="00C205CD" w:rsidR="0027087D">
        <w:t xml:space="preserve"> (</w:t>
      </w:r>
      <w:r w:rsidRPr="00C205CD" w:rsidR="00B8004B">
        <w:t>15/60</w:t>
      </w:r>
      <w:r w:rsidRPr="00C205CD" w:rsidR="0027087D">
        <w:t xml:space="preserve"> hour)</w:t>
      </w:r>
      <w:r w:rsidRPr="00C205CD" w:rsidR="005B6812">
        <w:t xml:space="preserve"> for an employer to notify the </w:t>
      </w:r>
      <w:r w:rsidRPr="00C205CD" w:rsidR="00954BC8">
        <w:t>On-Site</w:t>
      </w:r>
      <w:r w:rsidRPr="00C205CD" w:rsidR="00E26637">
        <w:t xml:space="preserve"> Consultation </w:t>
      </w:r>
      <w:r w:rsidRPr="00C205CD" w:rsidR="00693C05">
        <w:t>p</w:t>
      </w:r>
      <w:r w:rsidRPr="00C205CD" w:rsidR="0020737B">
        <w:t>rogram</w:t>
      </w:r>
      <w:r w:rsidRPr="00C205CD" w:rsidR="00D404EF">
        <w:t xml:space="preserve"> when hazards are corrected</w:t>
      </w:r>
      <w:r w:rsidRPr="00C205CD" w:rsidR="00AA29DA">
        <w:t xml:space="preserve">. </w:t>
      </w:r>
      <w:r w:rsidRPr="00C205CD" w:rsidR="006C0821">
        <w:t xml:space="preserve">The total burden for </w:t>
      </w:r>
      <w:r w:rsidRPr="00C205CD" w:rsidR="006321F9">
        <w:t>18,384</w:t>
      </w:r>
      <w:r w:rsidRPr="00C205CD" w:rsidR="00C35A38">
        <w:t xml:space="preserve"> </w:t>
      </w:r>
      <w:r w:rsidRPr="00C205CD" w:rsidR="00034521">
        <w:t xml:space="preserve">initial consultation </w:t>
      </w:r>
      <w:r w:rsidRPr="00C205CD" w:rsidR="00D404EF">
        <w:t xml:space="preserve">visits is </w:t>
      </w:r>
      <w:r w:rsidRPr="00C205CD" w:rsidR="006321F9">
        <w:rPr>
          <w:b/>
        </w:rPr>
        <w:t xml:space="preserve">4,596 </w:t>
      </w:r>
      <w:r w:rsidRPr="00C205CD" w:rsidR="00D404EF">
        <w:rPr>
          <w:b/>
        </w:rPr>
        <w:t>hours</w:t>
      </w:r>
      <w:r w:rsidRPr="00C205CD" w:rsidR="00D404EF">
        <w:t>.</w:t>
      </w:r>
    </w:p>
    <w:p w:rsidR="00155E68" w:rsidRPr="00C205CD" w:rsidP="00155E68" w14:paraId="5F07D11E" w14:textId="77777777">
      <w:pPr>
        <w:ind w:left="720"/>
        <w:rPr>
          <w:u w:val="single"/>
        </w:rPr>
      </w:pPr>
    </w:p>
    <w:p w:rsidR="00155E68" w:rsidRPr="00C205CD" w:rsidP="008138F3" w14:paraId="6FF8375A" w14:textId="6E4B9B96">
      <w:pPr>
        <w:numPr>
          <w:ilvl w:val="0"/>
          <w:numId w:val="3"/>
        </w:numPr>
        <w:rPr>
          <w:u w:val="single"/>
        </w:rPr>
      </w:pPr>
      <w:r w:rsidRPr="00C205CD">
        <w:rPr>
          <w:u w:val="single"/>
        </w:rPr>
        <w:t>29 CFR 1908.7(b)(1):</w:t>
      </w:r>
    </w:p>
    <w:p w:rsidR="00AD16F4" w:rsidRPr="00C205CD" w14:paraId="70D15E37" w14:textId="1E1CD4D4">
      <w:pPr>
        <w:ind w:left="1440"/>
      </w:pPr>
      <w:r w:rsidRPr="00C205CD">
        <w:t>Employers i</w:t>
      </w:r>
      <w:r w:rsidRPr="00C205CD" w:rsidR="00FC4BF3">
        <w:t xml:space="preserve">nform any OSHA or State </w:t>
      </w:r>
      <w:r w:rsidRPr="00C205CD" w:rsidR="005158CD">
        <w:t xml:space="preserve">Plan </w:t>
      </w:r>
      <w:r w:rsidRPr="00C205CD" w:rsidR="00FC4BF3">
        <w:t xml:space="preserve">compliance officer who arrives </w:t>
      </w:r>
      <w:r w:rsidRPr="00C205CD">
        <w:t>when</w:t>
      </w:r>
      <w:r w:rsidRPr="00C205CD" w:rsidR="00FC4BF3">
        <w:t xml:space="preserve"> a</w:t>
      </w:r>
      <w:r w:rsidRPr="00C205CD" w:rsidR="00880AAC">
        <w:t xml:space="preserve">n </w:t>
      </w:r>
      <w:r w:rsidRPr="00C205CD" w:rsidR="00954BC8">
        <w:t>On-Site</w:t>
      </w:r>
      <w:r w:rsidRPr="00C205CD" w:rsidR="00FC4BF3">
        <w:t xml:space="preserve"> </w:t>
      </w:r>
      <w:r w:rsidRPr="00C205CD" w:rsidR="00FE6A01">
        <w:t xml:space="preserve">Consultation </w:t>
      </w:r>
      <w:r w:rsidRPr="00C205CD" w:rsidR="00FC4BF3">
        <w:t>visit is in progress</w:t>
      </w:r>
      <w:r w:rsidRPr="00C205CD" w:rsidR="00AA29DA">
        <w:t xml:space="preserve">. </w:t>
      </w:r>
    </w:p>
    <w:p w:rsidR="00AD16F4" w:rsidRPr="00C205CD" w14:paraId="0479E678" w14:textId="77777777">
      <w:pPr>
        <w:ind w:left="1440"/>
      </w:pPr>
    </w:p>
    <w:p w:rsidR="00FC4BF3" w:rsidRPr="00C205CD" w:rsidP="00AD16F4" w14:paraId="6574454A" w14:textId="24F3D65E">
      <w:pPr>
        <w:ind w:left="1440"/>
      </w:pPr>
      <w:r w:rsidRPr="00C205CD">
        <w:t xml:space="preserve">This requirement applies to any employer using the free </w:t>
      </w:r>
      <w:r w:rsidRPr="00C205CD" w:rsidR="00034521">
        <w:t>C</w:t>
      </w:r>
      <w:r w:rsidRPr="00C205CD">
        <w:t>onsult</w:t>
      </w:r>
      <w:r w:rsidRPr="00C205CD" w:rsidR="00DA2F0C">
        <w:t>ation service</w:t>
      </w:r>
      <w:r w:rsidRPr="00C205CD" w:rsidR="00034521">
        <w:t>s</w:t>
      </w:r>
      <w:r w:rsidRPr="00C205CD" w:rsidR="00DA2F0C">
        <w:t xml:space="preserve"> and</w:t>
      </w:r>
      <w:r w:rsidRPr="00C205CD">
        <w:t xml:space="preserve"> is designed to prevent duplication of effort between</w:t>
      </w:r>
      <w:r w:rsidRPr="00C205CD" w:rsidR="00DA2F0C">
        <w:t xml:space="preserve"> </w:t>
      </w:r>
      <w:r w:rsidRPr="00C205CD" w:rsidR="00954BC8">
        <w:t>On-Site</w:t>
      </w:r>
      <w:r w:rsidRPr="00C205CD" w:rsidR="00DA2F0C">
        <w:t xml:space="preserve"> </w:t>
      </w:r>
      <w:r w:rsidRPr="00C205CD" w:rsidR="00FE6A01">
        <w:t xml:space="preserve">Consultation </w:t>
      </w:r>
      <w:r w:rsidRPr="00C205CD">
        <w:t xml:space="preserve">and </w:t>
      </w:r>
      <w:r w:rsidRPr="00C205CD" w:rsidR="00AA2392">
        <w:t xml:space="preserve">OSHA </w:t>
      </w:r>
      <w:r w:rsidRPr="00C205CD">
        <w:t>enforcement</w:t>
      </w:r>
      <w:r w:rsidRPr="00C205CD" w:rsidR="00AA29DA">
        <w:t xml:space="preserve">. </w:t>
      </w:r>
      <w:r w:rsidRPr="00C205CD" w:rsidR="00AB7993">
        <w:t>OSHA estimates that 5 percent</w:t>
      </w:r>
      <w:r w:rsidRPr="00C205CD">
        <w:t xml:space="preserve"> of all </w:t>
      </w:r>
      <w:r w:rsidRPr="00C205CD" w:rsidR="009E4292">
        <w:t>high-hazard</w:t>
      </w:r>
      <w:r w:rsidRPr="00C205CD">
        <w:t xml:space="preserve"> employers eligible for</w:t>
      </w:r>
      <w:r w:rsidRPr="00C205CD" w:rsidR="003A6129">
        <w:t xml:space="preserve"> programmed</w:t>
      </w:r>
      <w:r w:rsidRPr="00C205CD">
        <w:t xml:space="preserve"> inspections are actually inspected in any given </w:t>
      </w:r>
      <w:r w:rsidRPr="00C205CD" w:rsidR="00AD16F4">
        <w:t>FY</w:t>
      </w:r>
      <w:r w:rsidRPr="00C205CD" w:rsidR="00AA29DA">
        <w:t xml:space="preserve">. </w:t>
      </w:r>
      <w:r w:rsidRPr="00C205CD">
        <w:t xml:space="preserve">Priority for </w:t>
      </w:r>
      <w:r w:rsidRPr="00C205CD" w:rsidR="00466541">
        <w:t xml:space="preserve">initial </w:t>
      </w:r>
      <w:r w:rsidRPr="00C205CD" w:rsidR="00954BC8">
        <w:t>On-Site</w:t>
      </w:r>
      <w:r w:rsidRPr="00C205CD" w:rsidR="00E26637">
        <w:t xml:space="preserve"> Consultation </w:t>
      </w:r>
      <w:r w:rsidRPr="00C205CD">
        <w:t>visit</w:t>
      </w:r>
      <w:r w:rsidRPr="00C205CD" w:rsidR="00AB7993">
        <w:t>s</w:t>
      </w:r>
      <w:r w:rsidRPr="00C205CD">
        <w:t xml:space="preserve"> are given to small</w:t>
      </w:r>
      <w:r w:rsidRPr="00C205CD" w:rsidR="008A3628">
        <w:t>,</w:t>
      </w:r>
      <w:r w:rsidRPr="00C205CD">
        <w:t xml:space="preserve"> high</w:t>
      </w:r>
      <w:r w:rsidRPr="00C205CD" w:rsidR="008A3628">
        <w:t>-</w:t>
      </w:r>
      <w:r w:rsidRPr="00C205CD">
        <w:t>hazard companies</w:t>
      </w:r>
      <w:r w:rsidRPr="00C205CD" w:rsidR="00AA29DA">
        <w:t xml:space="preserve">. </w:t>
      </w:r>
      <w:r w:rsidRPr="00C205CD">
        <w:t xml:space="preserve">By extension of the </w:t>
      </w:r>
      <w:r w:rsidRPr="00C205CD">
        <w:t>fact that both OSHA and the</w:t>
      </w:r>
      <w:r w:rsidRPr="00C205CD" w:rsidR="008A3628">
        <w:t xml:space="preserve"> </w:t>
      </w:r>
      <w:r w:rsidRPr="00C205CD" w:rsidR="00954BC8">
        <w:t>On-Site</w:t>
      </w:r>
      <w:r w:rsidRPr="00C205CD">
        <w:t xml:space="preserve"> </w:t>
      </w:r>
      <w:r w:rsidRPr="00C205CD" w:rsidR="008A3628">
        <w:t>C</w:t>
      </w:r>
      <w:r w:rsidRPr="00C205CD">
        <w:t xml:space="preserve">onsultation </w:t>
      </w:r>
      <w:r w:rsidRPr="00C205CD" w:rsidR="00466541">
        <w:t>p</w:t>
      </w:r>
      <w:r w:rsidRPr="00C205CD" w:rsidR="0020737B">
        <w:t>rogram</w:t>
      </w:r>
      <w:r w:rsidRPr="00C205CD">
        <w:t>s place a higher priority on high hazard companies, and t</w:t>
      </w:r>
      <w:r w:rsidRPr="00C205CD" w:rsidR="00CD6B12">
        <w:t>he fact that five</w:t>
      </w:r>
      <w:r w:rsidRPr="00C205CD">
        <w:t xml:space="preserve"> percent of companies receive compliance inspection</w:t>
      </w:r>
      <w:r w:rsidRPr="00C205CD" w:rsidR="004C5AC3">
        <w:t>s</w:t>
      </w:r>
      <w:r w:rsidRPr="00C205CD">
        <w:t xml:space="preserve">, OSHA estimates that a compliance officer will arrive at </w:t>
      </w:r>
      <w:r w:rsidRPr="00C205CD" w:rsidR="00B55805">
        <w:t>five percent of</w:t>
      </w:r>
      <w:r w:rsidRPr="00C205CD">
        <w:t xml:space="preserve"> facilit</w:t>
      </w:r>
      <w:r w:rsidRPr="00C205CD" w:rsidR="00B55805">
        <w:t>ies</w:t>
      </w:r>
      <w:r w:rsidRPr="00C205CD">
        <w:t xml:space="preserve"> rece</w:t>
      </w:r>
      <w:r w:rsidRPr="00C205CD" w:rsidR="00CD6B12">
        <w:t>iving a</w:t>
      </w:r>
      <w:r w:rsidRPr="00C205CD" w:rsidR="00E26637">
        <w:t xml:space="preserve">n </w:t>
      </w:r>
      <w:r w:rsidRPr="00C205CD" w:rsidR="001E7D5B">
        <w:t xml:space="preserve">initial </w:t>
      </w:r>
      <w:r w:rsidRPr="00C205CD" w:rsidR="00954BC8">
        <w:t>On-Site</w:t>
      </w:r>
      <w:r w:rsidRPr="00C205CD" w:rsidR="00CD6B12">
        <w:t xml:space="preserve"> </w:t>
      </w:r>
      <w:r w:rsidRPr="00C205CD" w:rsidR="00E26637">
        <w:t>C</w:t>
      </w:r>
      <w:r w:rsidRPr="00C205CD" w:rsidR="00CD6B12">
        <w:t xml:space="preserve">onsultation visit </w:t>
      </w:r>
      <w:r w:rsidRPr="00C205CD">
        <w:t xml:space="preserve">(i.e. </w:t>
      </w:r>
      <w:r w:rsidRPr="00C205CD" w:rsidR="006321F9">
        <w:t>887</w:t>
      </w:r>
      <w:r w:rsidRPr="00C205CD" w:rsidR="00C35A38">
        <w:t xml:space="preserve"> </w:t>
      </w:r>
      <w:r w:rsidRPr="00C205CD" w:rsidR="00AB7993">
        <w:t>employers)</w:t>
      </w:r>
      <w:r w:rsidRPr="00C205CD" w:rsidR="00AA29DA">
        <w:t xml:space="preserve">. </w:t>
      </w:r>
      <w:r w:rsidRPr="00C205CD" w:rsidR="00AB7993">
        <w:t>It takes approximately</w:t>
      </w:r>
      <w:r w:rsidRPr="00C205CD">
        <w:t xml:space="preserve"> 0.1 hour to inform a compliance officer that a</w:t>
      </w:r>
      <w:r w:rsidRPr="00C205CD" w:rsidR="00E26637">
        <w:t xml:space="preserve">n </w:t>
      </w:r>
      <w:r w:rsidRPr="00C205CD" w:rsidR="00954BC8">
        <w:t>On-Site</w:t>
      </w:r>
      <w:r w:rsidRPr="00C205CD" w:rsidR="00E26637">
        <w:t xml:space="preserve"> C</w:t>
      </w:r>
      <w:r w:rsidRPr="00C205CD">
        <w:t>onsultation visit is in progress</w:t>
      </w:r>
      <w:r w:rsidRPr="00C205CD" w:rsidR="00AA29DA">
        <w:t xml:space="preserve">. </w:t>
      </w:r>
      <w:r w:rsidRPr="00C205CD">
        <w:t xml:space="preserve">This function is performed by a management </w:t>
      </w:r>
      <w:r w:rsidRPr="00C205CD" w:rsidR="008440CF">
        <w:t>worker</w:t>
      </w:r>
      <w:r w:rsidRPr="00C205CD" w:rsidR="00AB7993">
        <w:t>,</w:t>
      </w:r>
      <w:r w:rsidRPr="00C205CD">
        <w:t xml:space="preserve"> or</w:t>
      </w:r>
      <w:r w:rsidRPr="00C205CD" w:rsidR="00AB7993">
        <w:t xml:space="preserve"> by</w:t>
      </w:r>
      <w:r w:rsidRPr="00C205CD">
        <w:t xml:space="preserve"> </w:t>
      </w:r>
      <w:r w:rsidRPr="00C205CD" w:rsidR="00AA0DD8">
        <w:t xml:space="preserve">the business </w:t>
      </w:r>
      <w:r w:rsidRPr="00C205CD">
        <w:t>owner</w:t>
      </w:r>
      <w:r w:rsidRPr="00C205CD" w:rsidR="00AB7993">
        <w:t>,</w:t>
      </w:r>
      <w:r w:rsidRPr="00C205CD">
        <w:t xml:space="preserve"> and </w:t>
      </w:r>
      <w:r w:rsidRPr="00C205CD" w:rsidR="00AA0DD8">
        <w:t xml:space="preserve">OSHA estimates would </w:t>
      </w:r>
      <w:r w:rsidRPr="00C205CD">
        <w:t xml:space="preserve">result in </w:t>
      </w:r>
      <w:r w:rsidRPr="00C205CD" w:rsidR="00AA0DD8">
        <w:t>about</w:t>
      </w:r>
      <w:r w:rsidRPr="00C205CD">
        <w:t xml:space="preserve"> </w:t>
      </w:r>
      <w:r w:rsidRPr="00C205CD" w:rsidR="006321F9">
        <w:rPr>
          <w:bCs/>
        </w:rPr>
        <w:t>8</w:t>
      </w:r>
      <w:r w:rsidRPr="00C205CD" w:rsidR="002B2604">
        <w:rPr>
          <w:bCs/>
        </w:rPr>
        <w:t>9</w:t>
      </w:r>
      <w:r w:rsidRPr="00C205CD" w:rsidR="006321F9">
        <w:rPr>
          <w:bCs/>
        </w:rPr>
        <w:t xml:space="preserve"> </w:t>
      </w:r>
      <w:r w:rsidRPr="00C205CD">
        <w:rPr>
          <w:bCs/>
        </w:rPr>
        <w:t>burden hours</w:t>
      </w:r>
      <w:r w:rsidRPr="00C205CD">
        <w:rPr>
          <w:b/>
        </w:rPr>
        <w:t xml:space="preserve"> </w:t>
      </w:r>
      <w:r w:rsidRPr="00C205CD">
        <w:t>nationwide.</w:t>
      </w:r>
    </w:p>
    <w:p w:rsidR="00FC4BF3" w:rsidRPr="00C205CD" w14:paraId="43D6B1D6" w14:textId="77777777"/>
    <w:p w:rsidR="00FC4BF3" w:rsidRPr="00C205CD" w14:paraId="404BC7E0" w14:textId="7E5E5EDE">
      <w:pPr>
        <w:ind w:firstLine="720"/>
      </w:pPr>
      <w:r w:rsidRPr="00C205CD">
        <w:t>C.</w:t>
      </w:r>
      <w:r w:rsidRPr="00C205CD">
        <w:tab/>
      </w:r>
      <w:r w:rsidRPr="00C205CD" w:rsidR="00B302FA">
        <w:rPr>
          <w:u w:val="single"/>
        </w:rPr>
        <w:t xml:space="preserve">29 CFR </w:t>
      </w:r>
      <w:r w:rsidRPr="00C205CD" w:rsidR="00483E57">
        <w:rPr>
          <w:u w:val="single"/>
        </w:rPr>
        <w:t>1908.7(b</w:t>
      </w:r>
      <w:r w:rsidRPr="00C205CD">
        <w:rPr>
          <w:u w:val="single"/>
        </w:rPr>
        <w:t>)(4):</w:t>
      </w:r>
    </w:p>
    <w:p w:rsidR="002F5165" w:rsidRPr="00C205CD" w14:paraId="12C85A1E" w14:textId="33D9339B">
      <w:pPr>
        <w:ind w:left="1440"/>
      </w:pPr>
      <w:r w:rsidRPr="00C205CD">
        <w:t>Small business employers</w:t>
      </w:r>
      <w:r w:rsidRPr="00C205CD" w:rsidR="00B77B19">
        <w:t xml:space="preserve"> that demonstrate the implementation of effective safety and health programs at their workplaces</w:t>
      </w:r>
      <w:r w:rsidRPr="00C205CD" w:rsidR="00F21264">
        <w:t xml:space="preserve"> </w:t>
      </w:r>
      <w:r w:rsidRPr="00C205CD" w:rsidR="00CF786A">
        <w:t xml:space="preserve">may voluntarily </w:t>
      </w:r>
      <w:r w:rsidRPr="00C205CD" w:rsidR="002B19F4">
        <w:t xml:space="preserve">request to participate </w:t>
      </w:r>
      <w:r w:rsidRPr="00C205CD" w:rsidR="00CF786A">
        <w:t>in</w:t>
      </w:r>
      <w:r w:rsidRPr="00C205CD" w:rsidR="00F21264">
        <w:t xml:space="preserve"> </w:t>
      </w:r>
      <w:r w:rsidRPr="00C205CD" w:rsidR="00D8580F">
        <w:t>SHARP</w:t>
      </w:r>
      <w:r w:rsidRPr="00C205CD">
        <w:t>.</w:t>
      </w:r>
    </w:p>
    <w:p w:rsidR="002F5165" w:rsidRPr="00C205CD" w14:paraId="2872396B" w14:textId="77777777">
      <w:pPr>
        <w:ind w:left="1440"/>
      </w:pPr>
    </w:p>
    <w:p w:rsidR="007C46C6" w:rsidRPr="00C205CD" w14:paraId="14CDFC4E" w14:textId="2D8D97F4">
      <w:pPr>
        <w:ind w:left="1440"/>
      </w:pPr>
      <w:r w:rsidRPr="00C205CD">
        <w:t>SHARP</w:t>
      </w:r>
      <w:r w:rsidRPr="00C205CD" w:rsidR="00CF786A">
        <w:t xml:space="preserve"> is a programmed</w:t>
      </w:r>
      <w:r w:rsidRPr="00C205CD" w:rsidR="00F21264">
        <w:t xml:space="preserve"> </w:t>
      </w:r>
      <w:r w:rsidRPr="00C205CD" w:rsidR="00CF786A">
        <w:t xml:space="preserve">inspection </w:t>
      </w:r>
      <w:r w:rsidRPr="00C205CD" w:rsidR="00B77B19">
        <w:t xml:space="preserve">deferral </w:t>
      </w:r>
      <w:r w:rsidRPr="00C205CD" w:rsidR="00CF786A">
        <w:t xml:space="preserve">program for employers that meet </w:t>
      </w:r>
      <w:r w:rsidRPr="00C205CD" w:rsidR="00B77B19">
        <w:t>specific participation requirements</w:t>
      </w:r>
      <w:r w:rsidRPr="00C205CD" w:rsidR="00AA29DA">
        <w:t xml:space="preserve">. </w:t>
      </w:r>
      <w:r w:rsidRPr="00C205CD" w:rsidR="00930B8E">
        <w:t xml:space="preserve">It takes approximately 3 minutes </w:t>
      </w:r>
      <w:r w:rsidRPr="00C205CD" w:rsidR="00F217E2">
        <w:t>(</w:t>
      </w:r>
      <w:r w:rsidRPr="00C205CD" w:rsidR="00BA01AA">
        <w:t>3/60</w:t>
      </w:r>
      <w:r w:rsidRPr="00C205CD" w:rsidR="00F217E2">
        <w:t xml:space="preserve">) </w:t>
      </w:r>
      <w:r w:rsidRPr="00C205CD" w:rsidR="00B524C3">
        <w:t xml:space="preserve">for an employer </w:t>
      </w:r>
      <w:r w:rsidRPr="00C205CD" w:rsidR="00930B8E">
        <w:t xml:space="preserve">to </w:t>
      </w:r>
      <w:r w:rsidRPr="00C205CD" w:rsidR="00AC0973">
        <w:t>submit</w:t>
      </w:r>
      <w:r w:rsidRPr="00C205CD" w:rsidR="00A447A2">
        <w:t xml:space="preserve"> the</w:t>
      </w:r>
      <w:r w:rsidRPr="00C205CD" w:rsidR="00CD2935">
        <w:t xml:space="preserve"> SHARP</w:t>
      </w:r>
      <w:r w:rsidRPr="00C205CD" w:rsidR="00A447A2">
        <w:t xml:space="preserve"> </w:t>
      </w:r>
      <w:r w:rsidRPr="00C205CD" w:rsidR="005B5B1A">
        <w:t xml:space="preserve">participation </w:t>
      </w:r>
      <w:r w:rsidRPr="00C205CD" w:rsidR="004007F7">
        <w:t>request</w:t>
      </w:r>
      <w:r w:rsidRPr="00C205CD" w:rsidR="00AA29DA">
        <w:t xml:space="preserve">. </w:t>
      </w:r>
      <w:r w:rsidRPr="00C205CD" w:rsidR="00930B8E">
        <w:t>O</w:t>
      </w:r>
      <w:r w:rsidRPr="00C205CD" w:rsidR="00F74543">
        <w:t>SH</w:t>
      </w:r>
      <w:r w:rsidRPr="00C205CD" w:rsidR="00930B8E">
        <w:t xml:space="preserve">A </w:t>
      </w:r>
      <w:r w:rsidRPr="00C205CD" w:rsidR="003E3F22">
        <w:t>received</w:t>
      </w:r>
      <w:r w:rsidRPr="00C205CD" w:rsidR="0035692C">
        <w:t xml:space="preserve"> </w:t>
      </w:r>
      <w:r w:rsidRPr="00C205CD" w:rsidR="006321F9">
        <w:t xml:space="preserve">97 </w:t>
      </w:r>
      <w:r w:rsidRPr="00C205CD" w:rsidR="0035692C">
        <w:t xml:space="preserve">new applications for SHARP </w:t>
      </w:r>
      <w:r w:rsidRPr="00C205CD" w:rsidR="003E3F22">
        <w:t xml:space="preserve">in FY </w:t>
      </w:r>
      <w:r w:rsidRPr="00C205CD" w:rsidR="006321F9">
        <w:t>2023</w:t>
      </w:r>
      <w:r w:rsidRPr="00C205CD" w:rsidR="00AA29DA">
        <w:t xml:space="preserve">. </w:t>
      </w:r>
      <w:r w:rsidRPr="00C205CD" w:rsidR="00204886">
        <w:t xml:space="preserve">The total burden of initial SHARP applications </w:t>
      </w:r>
      <w:r w:rsidRPr="00C205CD" w:rsidR="00204886">
        <w:rPr>
          <w:bCs/>
        </w:rPr>
        <w:t xml:space="preserve">is </w:t>
      </w:r>
      <w:r w:rsidRPr="00C205CD" w:rsidR="002B2604">
        <w:rPr>
          <w:bCs/>
        </w:rPr>
        <w:t>5</w:t>
      </w:r>
      <w:r w:rsidRPr="00C205CD" w:rsidR="004A5C8B">
        <w:rPr>
          <w:bCs/>
        </w:rPr>
        <w:t xml:space="preserve"> </w:t>
      </w:r>
      <w:r w:rsidRPr="00C205CD" w:rsidR="00204886">
        <w:rPr>
          <w:bCs/>
        </w:rPr>
        <w:t>hours</w:t>
      </w:r>
      <w:r w:rsidRPr="00C205CD" w:rsidR="00204886">
        <w:t xml:space="preserve">. </w:t>
      </w:r>
    </w:p>
    <w:p w:rsidR="007C46C6" w:rsidRPr="00C205CD" w14:paraId="17DBC151" w14:textId="77777777">
      <w:pPr>
        <w:ind w:left="1440"/>
      </w:pPr>
    </w:p>
    <w:p w:rsidR="0033583B" w:rsidRPr="00C205CD" w:rsidP="0033583B" w14:paraId="09F06AB2" w14:textId="1271AB85">
      <w:pPr>
        <w:ind w:left="1440"/>
      </w:pPr>
      <w:r w:rsidRPr="00C205CD">
        <w:t>SHARP</w:t>
      </w:r>
      <w:r w:rsidRPr="00C205CD" w:rsidR="003B493B">
        <w:t xml:space="preserve"> </w:t>
      </w:r>
      <w:r w:rsidRPr="00C205CD" w:rsidR="00A62951">
        <w:t xml:space="preserve">had </w:t>
      </w:r>
      <w:r w:rsidRPr="00C205CD" w:rsidR="006321F9">
        <w:t>1,023</w:t>
      </w:r>
      <w:r w:rsidRPr="00C205CD" w:rsidR="004A5C8B">
        <w:t xml:space="preserve"> </w:t>
      </w:r>
      <w:r w:rsidRPr="00C205CD">
        <w:t>active participants nationwide</w:t>
      </w:r>
      <w:r w:rsidRPr="00C205CD" w:rsidR="00C35A38">
        <w:t xml:space="preserve"> in FY </w:t>
      </w:r>
      <w:r w:rsidRPr="00C205CD" w:rsidR="006321F9">
        <w:t>2023</w:t>
      </w:r>
      <w:r w:rsidRPr="00C205CD" w:rsidR="00AA29DA">
        <w:t xml:space="preserve">. </w:t>
      </w:r>
      <w:r w:rsidRPr="00C205CD">
        <w:t xml:space="preserve">This figure has been relatively </w:t>
      </w:r>
      <w:r w:rsidRPr="00C205CD" w:rsidR="007776DC">
        <w:t xml:space="preserve">unchanged in recent years as new participants join and others drop out because they either no longer meet the requirements of the program or choose </w:t>
      </w:r>
      <w:r w:rsidRPr="00C205CD" w:rsidR="0034545E">
        <w:t>not to continue</w:t>
      </w:r>
      <w:r w:rsidRPr="00C205CD" w:rsidR="007776DC">
        <w:t xml:space="preserve"> partic</w:t>
      </w:r>
      <w:r w:rsidRPr="00C205CD" w:rsidR="0034545E">
        <w:t>ipating</w:t>
      </w:r>
      <w:r w:rsidRPr="00C205CD" w:rsidR="00AA29DA">
        <w:t xml:space="preserve">. </w:t>
      </w:r>
      <w:r w:rsidRPr="00C205CD" w:rsidR="00204886">
        <w:t xml:space="preserve">Initial approvals of SHARP </w:t>
      </w:r>
      <w:r w:rsidRPr="00C205CD" w:rsidR="003215D7">
        <w:t>participation</w:t>
      </w:r>
      <w:r w:rsidRPr="00C205CD" w:rsidR="00204886">
        <w:t xml:space="preserve"> (and</w:t>
      </w:r>
      <w:r w:rsidRPr="00C205CD" w:rsidR="003215D7">
        <w:t xml:space="preserve"> programmed</w:t>
      </w:r>
      <w:r w:rsidRPr="00C205CD" w:rsidR="00204886">
        <w:t xml:space="preserve"> inspection</w:t>
      </w:r>
      <w:r w:rsidRPr="00C205CD" w:rsidR="001145C1">
        <w:t xml:space="preserve"> deferrals</w:t>
      </w:r>
      <w:r w:rsidRPr="00C205CD" w:rsidR="00204886">
        <w:t>) are</w:t>
      </w:r>
      <w:r w:rsidRPr="00C205CD" w:rsidR="000D5AD3">
        <w:t xml:space="preserve"> for a period of up to two</w:t>
      </w:r>
      <w:r w:rsidRPr="00C205CD" w:rsidR="0035692C">
        <w:t xml:space="preserve"> (2) years</w:t>
      </w:r>
      <w:r w:rsidRPr="00C205CD" w:rsidR="00AA29DA">
        <w:t xml:space="preserve">. </w:t>
      </w:r>
      <w:r w:rsidRPr="00C205CD" w:rsidR="0035692C">
        <w:t xml:space="preserve">After the initial approval, SHARP renewals </w:t>
      </w:r>
      <w:r w:rsidRPr="00C205CD" w:rsidR="001145C1">
        <w:t>may</w:t>
      </w:r>
      <w:r w:rsidRPr="00C205CD" w:rsidR="0035692C">
        <w:t xml:space="preserve"> be for a period of two</w:t>
      </w:r>
      <w:r w:rsidRPr="00C205CD" w:rsidR="00660CC8">
        <w:t xml:space="preserve"> (2)</w:t>
      </w:r>
      <w:r w:rsidRPr="00C205CD" w:rsidR="0035692C">
        <w:t xml:space="preserve"> to three</w:t>
      </w:r>
      <w:r w:rsidRPr="00C205CD" w:rsidR="00660CC8">
        <w:t xml:space="preserve"> (3)</w:t>
      </w:r>
      <w:r w:rsidRPr="00C205CD" w:rsidR="0035692C">
        <w:t xml:space="preserve"> years</w:t>
      </w:r>
      <w:r w:rsidRPr="00C205CD" w:rsidR="00AA29DA">
        <w:t xml:space="preserve">. </w:t>
      </w:r>
    </w:p>
    <w:p w:rsidR="0033583B" w:rsidRPr="00C205CD" w:rsidP="0033583B" w14:paraId="203C0C5F" w14:textId="77777777">
      <w:pPr>
        <w:ind w:left="1440"/>
      </w:pPr>
    </w:p>
    <w:p w:rsidR="00DF5341" w:rsidRPr="00C205CD" w:rsidP="0033583B" w14:paraId="3993EFD2" w14:textId="29CF2FBD">
      <w:pPr>
        <w:ind w:left="1440"/>
      </w:pPr>
      <w:r w:rsidRPr="00C205CD">
        <w:t xml:space="preserve">OSHA received </w:t>
      </w:r>
      <w:r w:rsidRPr="00C205CD" w:rsidR="006321F9">
        <w:t xml:space="preserve">412 </w:t>
      </w:r>
      <w:r w:rsidRPr="00C205CD">
        <w:t xml:space="preserve">requests for </w:t>
      </w:r>
      <w:r w:rsidRPr="00C205CD" w:rsidR="00073C6D">
        <w:t xml:space="preserve">SHARP </w:t>
      </w:r>
      <w:r w:rsidRPr="00C205CD">
        <w:t xml:space="preserve">renewal </w:t>
      </w:r>
      <w:r w:rsidRPr="00C205CD" w:rsidR="00073C6D">
        <w:t xml:space="preserve">from employers </w:t>
      </w:r>
      <w:r w:rsidRPr="00C205CD">
        <w:t xml:space="preserve">in FY </w:t>
      </w:r>
      <w:r w:rsidRPr="00C205CD" w:rsidR="006321F9">
        <w:t>2023</w:t>
      </w:r>
      <w:r w:rsidRPr="00C205CD" w:rsidR="00AA29DA">
        <w:t xml:space="preserve">. </w:t>
      </w:r>
      <w:r w:rsidRPr="00C205CD" w:rsidR="000D5AD3">
        <w:t>Renewal requires</w:t>
      </w:r>
      <w:r w:rsidRPr="00C205CD" w:rsidR="00204886">
        <w:t xml:space="preserve"> </w:t>
      </w:r>
      <w:r w:rsidRPr="00C205CD" w:rsidR="000D5AD3">
        <w:t xml:space="preserve">the employer to </w:t>
      </w:r>
      <w:r w:rsidRPr="00C205CD" w:rsidR="00683DC6">
        <w:t xml:space="preserve">continue to demonstrate the implementation of an effective safety and health program, </w:t>
      </w:r>
      <w:r w:rsidRPr="00C205CD" w:rsidR="000D5AD3">
        <w:t xml:space="preserve">provide an explanation of what </w:t>
      </w:r>
      <w:r w:rsidRPr="00C205CD" w:rsidR="00297A94">
        <w:t>workplace systems</w:t>
      </w:r>
      <w:r w:rsidRPr="00C205CD" w:rsidR="000D5AD3">
        <w:t xml:space="preserve"> are </w:t>
      </w:r>
      <w:r w:rsidRPr="00C205CD" w:rsidR="00297A94">
        <w:t>continually being maintained effectively</w:t>
      </w:r>
      <w:r w:rsidRPr="00C205CD" w:rsidR="000D5AD3">
        <w:t xml:space="preserve"> or </w:t>
      </w:r>
      <w:r w:rsidRPr="00C205CD" w:rsidR="00297A94">
        <w:t>improved upon</w:t>
      </w:r>
      <w:r w:rsidRPr="00C205CD" w:rsidR="000D5AD3">
        <w:t xml:space="preserve">, </w:t>
      </w:r>
      <w:r w:rsidRPr="00C205CD" w:rsidR="00B67A6F">
        <w:t xml:space="preserve">the </w:t>
      </w:r>
      <w:r w:rsidRPr="00C205CD" w:rsidR="00DC5D39">
        <w:t>status of On</w:t>
      </w:r>
      <w:r w:rsidRPr="00C205CD" w:rsidR="00954BC8">
        <w:t>-Site</w:t>
      </w:r>
      <w:r w:rsidRPr="00C205CD" w:rsidR="00E26637">
        <w:t xml:space="preserve"> C</w:t>
      </w:r>
      <w:r w:rsidRPr="00C205CD" w:rsidR="000D5AD3">
        <w:t xml:space="preserve">onsultation recommendations, </w:t>
      </w:r>
      <w:r w:rsidRPr="00C205CD" w:rsidR="00DC5D39">
        <w:t>maintenance of</w:t>
      </w:r>
      <w:r w:rsidRPr="00C205CD" w:rsidR="006C59F9">
        <w:t xml:space="preserve"> injury and illness rates</w:t>
      </w:r>
      <w:r w:rsidRPr="00C205CD" w:rsidR="00DC5D39">
        <w:t xml:space="preserve"> at or below the BLS averages for the specific industry</w:t>
      </w:r>
      <w:r w:rsidRPr="00C205CD" w:rsidR="006C59F9">
        <w:t xml:space="preserve">, </w:t>
      </w:r>
      <w:r w:rsidRPr="00C205CD" w:rsidR="000D5AD3">
        <w:t>and</w:t>
      </w:r>
      <w:r w:rsidRPr="00C205CD" w:rsidR="00DC5D39">
        <w:t xml:space="preserve"> all </w:t>
      </w:r>
      <w:r w:rsidRPr="00C205CD" w:rsidR="000D5AD3">
        <w:t xml:space="preserve">actions </w:t>
      </w:r>
      <w:r w:rsidRPr="00C205CD" w:rsidR="006C59F9">
        <w:t>the employer has</w:t>
      </w:r>
      <w:r w:rsidRPr="00C205CD" w:rsidR="000D5AD3">
        <w:t xml:space="preserve"> </w:t>
      </w:r>
      <w:r w:rsidRPr="00C205CD" w:rsidR="00204886">
        <w:t>taken in the previous year</w:t>
      </w:r>
      <w:r w:rsidRPr="00C205CD" w:rsidR="00DD7CD5">
        <w:t>s</w:t>
      </w:r>
      <w:r w:rsidRPr="00C205CD" w:rsidR="005736BE">
        <w:t xml:space="preserve"> to promote a safe and healthful workplace</w:t>
      </w:r>
      <w:r w:rsidRPr="00C205CD" w:rsidR="00AA29DA">
        <w:t xml:space="preserve">. </w:t>
      </w:r>
      <w:r w:rsidRPr="00C205CD" w:rsidR="00204886">
        <w:t xml:space="preserve">This </w:t>
      </w:r>
      <w:r w:rsidRPr="00C205CD" w:rsidR="00DD7CD5">
        <w:t>renewal process</w:t>
      </w:r>
      <w:r w:rsidRPr="00C205CD" w:rsidR="00204886">
        <w:t xml:space="preserve"> is estimated </w:t>
      </w:r>
      <w:r w:rsidRPr="00C205CD" w:rsidR="00DD7CD5">
        <w:t xml:space="preserve">to take </w:t>
      </w:r>
      <w:r w:rsidRPr="00C205CD" w:rsidR="00204886">
        <w:t>2 hours</w:t>
      </w:r>
      <w:r w:rsidRPr="00C205CD" w:rsidR="00AA29DA">
        <w:t xml:space="preserve">. </w:t>
      </w:r>
      <w:r w:rsidRPr="00C205CD" w:rsidR="001D629B">
        <w:t xml:space="preserve">The burden hours for requesting renewal activity in FY 2023 for 412 SHARP renewals was </w:t>
      </w:r>
      <w:r w:rsidRPr="00C205CD" w:rsidR="001D629B">
        <w:rPr>
          <w:bCs/>
        </w:rPr>
        <w:t>824 hours.</w:t>
      </w:r>
      <w:r w:rsidRPr="00C205CD" w:rsidR="001D629B">
        <w:t xml:space="preserve"> </w:t>
      </w:r>
      <w:r w:rsidRPr="00C205CD" w:rsidR="00FC4BF3">
        <w:t xml:space="preserve">The total burden </w:t>
      </w:r>
      <w:r w:rsidRPr="00C205CD" w:rsidR="00CD6B12">
        <w:t xml:space="preserve">hours for </w:t>
      </w:r>
      <w:r w:rsidRPr="00C205CD" w:rsidR="001D629B">
        <w:t>all SHAR</w:t>
      </w:r>
      <w:r w:rsidRPr="00C205CD" w:rsidR="009A012A">
        <w:t>P</w:t>
      </w:r>
      <w:r w:rsidRPr="00C205CD" w:rsidR="001D629B">
        <w:t xml:space="preserve"> participation requests </w:t>
      </w:r>
      <w:r w:rsidRPr="00C205CD" w:rsidR="00A62951">
        <w:t xml:space="preserve">in FY </w:t>
      </w:r>
      <w:r w:rsidRPr="00C205CD" w:rsidR="006321F9">
        <w:t xml:space="preserve">2023 </w:t>
      </w:r>
      <w:r w:rsidRPr="00C205CD" w:rsidR="00A62951">
        <w:t xml:space="preserve">for </w:t>
      </w:r>
      <w:r w:rsidRPr="00C205CD" w:rsidR="001D629B">
        <w:t xml:space="preserve">the 97 new SHARP requests and the </w:t>
      </w:r>
      <w:r w:rsidRPr="00C205CD" w:rsidR="006321F9">
        <w:t xml:space="preserve">412 </w:t>
      </w:r>
      <w:r w:rsidRPr="00C205CD" w:rsidR="00A62951">
        <w:t xml:space="preserve">SHARP renewals was </w:t>
      </w:r>
      <w:r w:rsidRPr="00C205CD" w:rsidR="006321F9">
        <w:rPr>
          <w:bCs/>
        </w:rPr>
        <w:t>82</w:t>
      </w:r>
      <w:r w:rsidRPr="00C205CD" w:rsidR="00BB540B">
        <w:rPr>
          <w:bCs/>
        </w:rPr>
        <w:t>9</w:t>
      </w:r>
      <w:r w:rsidRPr="00C205CD" w:rsidR="004A5C8B">
        <w:rPr>
          <w:bCs/>
        </w:rPr>
        <w:t xml:space="preserve"> </w:t>
      </w:r>
      <w:r w:rsidRPr="00C205CD" w:rsidR="00FC4BF3">
        <w:rPr>
          <w:bCs/>
        </w:rPr>
        <w:t>hours</w:t>
      </w:r>
      <w:r w:rsidRPr="00C205CD" w:rsidR="00AA29DA">
        <w:t xml:space="preserve">. </w:t>
      </w:r>
    </w:p>
    <w:p w:rsidR="00CA3BA2" w:rsidRPr="00C205CD" w:rsidP="00CA3BA2" w14:paraId="6D3A278E" w14:textId="77777777"/>
    <w:p w:rsidR="00CA3BA2" w:rsidRPr="00C205CD" w:rsidP="00A46EAD" w14:paraId="519E2E79" w14:textId="731643C6">
      <w:pPr>
        <w:ind w:firstLine="720"/>
      </w:pPr>
      <w:r w:rsidRPr="00C205CD">
        <w:t>D.</w:t>
      </w:r>
      <w:r w:rsidRPr="00C205CD">
        <w:tab/>
      </w:r>
      <w:r w:rsidRPr="00C205CD" w:rsidR="00B302FA">
        <w:rPr>
          <w:u w:val="single"/>
        </w:rPr>
        <w:t xml:space="preserve">29 CFR </w:t>
      </w:r>
      <w:r w:rsidRPr="00C205CD">
        <w:rPr>
          <w:u w:val="single"/>
        </w:rPr>
        <w:t>1908.7(b)(4)</w:t>
      </w:r>
      <w:r w:rsidRPr="00C205CD">
        <w:t>:</w:t>
      </w:r>
    </w:p>
    <w:p w:rsidR="00CA3BA2" w:rsidRPr="00C205CD" w:rsidP="00CA3BA2" w14:paraId="3C69C487" w14:textId="0C673C95">
      <w:pPr>
        <w:ind w:left="1440"/>
      </w:pPr>
      <w:r w:rsidRPr="00C205CD">
        <w:t>Employers participating in SHARP with processes covered by the PSM standard will complete and submit the PSM Interim Year SHARP Site Self-Evaluation</w:t>
      </w:r>
      <w:r w:rsidRPr="00C205CD" w:rsidR="00AA29DA">
        <w:t xml:space="preserve">. </w:t>
      </w:r>
    </w:p>
    <w:p w:rsidR="00CA3BA2" w:rsidRPr="00C205CD" w:rsidP="00CA3BA2" w14:paraId="40A55073" w14:textId="77777777">
      <w:pPr>
        <w:ind w:left="1440"/>
      </w:pPr>
    </w:p>
    <w:p w:rsidR="00CA3BA2" w:rsidRPr="00C205CD" w:rsidP="00CA3BA2" w14:paraId="210C2AB7" w14:textId="608CC6A3">
      <w:pPr>
        <w:ind w:left="1440"/>
      </w:pPr>
      <w:r w:rsidRPr="00C205CD">
        <w:t xml:space="preserve">Employers participating in SHARP will be required to assess </w:t>
      </w:r>
      <w:r w:rsidRPr="00C205CD">
        <w:t>their PSM Program, respond to the 12 inquiries in the PSM Interim Year SHARP Site Self-Evaluation Template, and submit the information gathered to their respective Consultation program for review and technical assistance</w:t>
      </w:r>
      <w:r w:rsidRPr="00C205CD" w:rsidR="00AA29DA">
        <w:t xml:space="preserve">. </w:t>
      </w:r>
      <w:r w:rsidRPr="00C205CD">
        <w:t>OSHA estimates that</w:t>
      </w:r>
      <w:r w:rsidRPr="00C205CD" w:rsidR="00B67A6F">
        <w:t>,</w:t>
      </w:r>
      <w:r w:rsidRPr="00C205CD">
        <w:t xml:space="preserve"> on average, it will take an employer 4 hours to complete the self-evaluation</w:t>
      </w:r>
      <w:r w:rsidRPr="00C205CD" w:rsidR="00AA29DA">
        <w:t xml:space="preserve">. </w:t>
      </w:r>
      <w:r w:rsidRPr="00C205CD">
        <w:t xml:space="preserve">For </w:t>
      </w:r>
      <w:r w:rsidRPr="00C205CD" w:rsidR="00371C33">
        <w:t>4</w:t>
      </w:r>
      <w:r w:rsidRPr="00C205CD">
        <w:t xml:space="preserve"> PSM SHARP sites, this will result in an estimated total annual average of </w:t>
      </w:r>
      <w:r w:rsidRPr="00C205CD" w:rsidR="00371C33">
        <w:t>16</w:t>
      </w:r>
      <w:r w:rsidRPr="00C205CD">
        <w:t xml:space="preserve"> hours.</w:t>
      </w:r>
    </w:p>
    <w:p w:rsidR="00CA3BA2" w:rsidRPr="00C205CD" w:rsidP="00CA3BA2" w14:paraId="6ACF6746" w14:textId="77777777">
      <w:pPr>
        <w:ind w:left="1440"/>
      </w:pPr>
    </w:p>
    <w:p w:rsidR="00CA3BA2" w:rsidRPr="00C205CD" w:rsidP="00CA3BA2" w14:paraId="31B9DC7F" w14:textId="77777777">
      <w:pPr>
        <w:ind w:firstLine="720"/>
      </w:pPr>
    </w:p>
    <w:p w:rsidR="00CA3BA2" w:rsidRPr="00C205CD" w:rsidP="00CA3BA2" w14:paraId="424CB58D" w14:textId="019C2628">
      <w:pPr>
        <w:ind w:firstLine="720"/>
      </w:pPr>
      <w:r w:rsidRPr="00C205CD">
        <w:t>E.</w:t>
      </w:r>
      <w:r w:rsidRPr="00C205CD">
        <w:tab/>
      </w:r>
      <w:r w:rsidRPr="00C205CD" w:rsidR="00B302FA">
        <w:rPr>
          <w:u w:val="single"/>
        </w:rPr>
        <w:t xml:space="preserve">29 CFR </w:t>
      </w:r>
      <w:r w:rsidRPr="00C205CD">
        <w:rPr>
          <w:u w:val="single"/>
        </w:rPr>
        <w:t>1908.7(b)(4)</w:t>
      </w:r>
      <w:r w:rsidRPr="00C205CD">
        <w:t xml:space="preserve">: </w:t>
      </w:r>
      <w:r w:rsidRPr="00C205CD">
        <w:tab/>
      </w:r>
    </w:p>
    <w:p w:rsidR="00CA3BA2" w:rsidRPr="00C205CD" w:rsidP="00CA3BA2" w14:paraId="13DDABA8" w14:textId="13AD4158">
      <w:pPr>
        <w:ind w:left="1440"/>
      </w:pPr>
      <w:r w:rsidRPr="00C205CD">
        <w:t>All employers participating in SHARP will complete and submit the Interim Year SHARP Site Self-Evaluation</w:t>
      </w:r>
      <w:r w:rsidRPr="00C205CD" w:rsidR="00AA29DA">
        <w:t xml:space="preserve">. </w:t>
      </w:r>
    </w:p>
    <w:p w:rsidR="00CA3BA2" w:rsidRPr="00C205CD" w:rsidP="00CA3BA2" w14:paraId="3A0EFFCF" w14:textId="77777777">
      <w:pPr>
        <w:ind w:left="1440"/>
      </w:pPr>
    </w:p>
    <w:p w:rsidR="00CA3BA2" w:rsidRPr="00C205CD" w:rsidP="00CA3BA2" w14:paraId="6C786F61" w14:textId="78B0968C">
      <w:pPr>
        <w:ind w:left="1440"/>
      </w:pPr>
      <w:r w:rsidRPr="00C205CD">
        <w:t xml:space="preserve">1,023 SHARP participants in FY 2023 will assess their safety and health </w:t>
      </w:r>
      <w:r w:rsidRPr="00C205CD">
        <w:t>programs, respond to the 4 inquiries in their Interim Year SHARP Site Self-Evaluation Template, and submit the information gathered to their respective Consultation program for review and technical assistance</w:t>
      </w:r>
      <w:r w:rsidRPr="00C205CD" w:rsidR="00AA29DA">
        <w:t xml:space="preserve">. </w:t>
      </w:r>
    </w:p>
    <w:p w:rsidR="00CA3BA2" w:rsidRPr="00C205CD" w:rsidP="00CA3BA2" w14:paraId="6355CB81" w14:textId="77777777"/>
    <w:p w:rsidR="00CA3BA2" w:rsidRPr="00C205CD" w:rsidP="0008451B" w14:paraId="0B26732E" w14:textId="18E21984">
      <w:pPr>
        <w:ind w:left="1440"/>
      </w:pPr>
      <w:r w:rsidRPr="00C205CD">
        <w:t xml:space="preserve">OSHA estimates that on average, it </w:t>
      </w:r>
      <w:r w:rsidRPr="00C205CD" w:rsidR="006C14F7">
        <w:t xml:space="preserve">takes </w:t>
      </w:r>
      <w:r w:rsidRPr="00C205CD">
        <w:t>an employer 3 hours to complete this self-evaluation</w:t>
      </w:r>
      <w:r w:rsidRPr="00C205CD" w:rsidR="00AA29DA">
        <w:t xml:space="preserve">. </w:t>
      </w:r>
      <w:r w:rsidRPr="00C205CD">
        <w:t>Therefore, 1,</w:t>
      </w:r>
      <w:r w:rsidRPr="00C205CD" w:rsidR="00F02AE4">
        <w:t xml:space="preserve">023 </w:t>
      </w:r>
      <w:r w:rsidRPr="00C205CD">
        <w:t>SHARP employers completing the self-evaluations annually will result in an estimated 3,</w:t>
      </w:r>
      <w:r w:rsidRPr="00C205CD" w:rsidR="004F3FF7">
        <w:t>069</w:t>
      </w:r>
      <w:r w:rsidRPr="00C205CD">
        <w:t xml:space="preserve"> hours</w:t>
      </w:r>
      <w:r w:rsidRPr="00C205CD" w:rsidR="00AA29DA">
        <w:t xml:space="preserve">. </w:t>
      </w:r>
    </w:p>
    <w:p w:rsidR="00CA3BA2" w:rsidRPr="00C205CD" w:rsidP="00CA3BA2" w14:paraId="5D1D6DDF" w14:textId="77777777">
      <w:pPr>
        <w:ind w:firstLine="720"/>
      </w:pPr>
    </w:p>
    <w:p w:rsidR="00CA3BA2" w:rsidRPr="00C205CD" w:rsidP="00CA3BA2" w14:paraId="4D0CECC3" w14:textId="2DDF7BAA">
      <w:pPr>
        <w:ind w:firstLine="720"/>
      </w:pPr>
      <w:r w:rsidRPr="00C205CD">
        <w:t>F.</w:t>
      </w:r>
      <w:r w:rsidRPr="00C205CD">
        <w:tab/>
      </w:r>
      <w:r w:rsidRPr="00C205CD" w:rsidR="00B302FA">
        <w:rPr>
          <w:u w:val="single"/>
        </w:rPr>
        <w:t xml:space="preserve">29 CFR </w:t>
      </w:r>
      <w:r w:rsidRPr="00C205CD">
        <w:rPr>
          <w:u w:val="single"/>
        </w:rPr>
        <w:t>1908.7(b)(4)</w:t>
      </w:r>
      <w:r w:rsidRPr="00C205CD">
        <w:t>:</w:t>
      </w:r>
    </w:p>
    <w:p w:rsidR="00CA3BA2" w:rsidRPr="00C205CD" w:rsidP="00CA3BA2" w14:paraId="03E3CC23" w14:textId="77777777">
      <w:pPr>
        <w:ind w:left="1440"/>
      </w:pPr>
      <w:r w:rsidRPr="00C205CD">
        <w:t>Employers participating in SHARP or Pre-SHARP work with On-Site Consultation programs to develop the Action Plan Template for SHARP or Pre-SHARP Participation.</w:t>
      </w:r>
    </w:p>
    <w:p w:rsidR="00CA3BA2" w:rsidRPr="00C205CD" w:rsidP="00CA3BA2" w14:paraId="551AFF47" w14:textId="77777777">
      <w:pPr>
        <w:ind w:left="1440"/>
      </w:pPr>
    </w:p>
    <w:p w:rsidR="00CA3BA2" w:rsidRPr="00C205CD" w:rsidP="0008451B" w14:paraId="745F8E1A" w14:textId="4C307850">
      <w:pPr>
        <w:ind w:left="1440"/>
      </w:pPr>
      <w:r w:rsidRPr="00C205CD">
        <w:t xml:space="preserve">OIS data indicate that in FY 2023, there were </w:t>
      </w:r>
      <w:r w:rsidRPr="00C205CD" w:rsidR="00CE7B31">
        <w:t>1,153</w:t>
      </w:r>
      <w:r w:rsidRPr="00C205CD">
        <w:t xml:space="preserve"> SHARP and Pre-SHARP sites</w:t>
      </w:r>
      <w:r w:rsidRPr="00C205CD" w:rsidR="00AA29DA">
        <w:t xml:space="preserve">. </w:t>
      </w:r>
      <w:r w:rsidRPr="00C205CD">
        <w:t>OSHA estimates that each SHARP or Pre-SHARP take</w:t>
      </w:r>
      <w:r w:rsidRPr="00C205CD" w:rsidR="00A20103">
        <w:t>s</w:t>
      </w:r>
      <w:r w:rsidRPr="00C205CD">
        <w:t xml:space="preserve"> an average of 4 hours to work with On-Site Consultation programs to develop an Action Plan</w:t>
      </w:r>
      <w:r w:rsidRPr="00C205CD" w:rsidR="00AA29DA">
        <w:t xml:space="preserve">. </w:t>
      </w:r>
      <w:r w:rsidRPr="00C205CD">
        <w:t>Therefore, for 1,</w:t>
      </w:r>
      <w:r w:rsidRPr="00C205CD" w:rsidR="00CE7B31">
        <w:t>153</w:t>
      </w:r>
      <w:r w:rsidRPr="00C205CD">
        <w:t xml:space="preserve"> employers, it will take an annual average of </w:t>
      </w:r>
      <w:r w:rsidRPr="00C205CD" w:rsidR="00160BED">
        <w:t>4,612</w:t>
      </w:r>
      <w:r w:rsidRPr="00C205CD">
        <w:t xml:space="preserve"> hours.</w:t>
      </w:r>
    </w:p>
    <w:p w:rsidR="00CA3BA2" w:rsidRPr="00C205CD" w:rsidP="00CA3BA2" w14:paraId="10DB7236" w14:textId="77777777">
      <w:pPr>
        <w:ind w:firstLine="720"/>
      </w:pPr>
    </w:p>
    <w:p w:rsidR="00CA3BA2" w:rsidRPr="00C205CD" w:rsidP="00CA3BA2" w14:paraId="4DB93159" w14:textId="475981F2">
      <w:pPr>
        <w:ind w:firstLine="720"/>
      </w:pPr>
      <w:r w:rsidRPr="00C205CD">
        <w:t>G.</w:t>
      </w:r>
      <w:r w:rsidRPr="00C205CD">
        <w:tab/>
      </w:r>
      <w:r w:rsidRPr="00C205CD" w:rsidR="00B302FA">
        <w:rPr>
          <w:u w:val="single"/>
        </w:rPr>
        <w:t xml:space="preserve">29 CFR </w:t>
      </w:r>
      <w:r w:rsidRPr="00C205CD">
        <w:rPr>
          <w:u w:val="single"/>
        </w:rPr>
        <w:t>1908.7(b)(4)</w:t>
      </w:r>
      <w:r w:rsidRPr="00C205CD">
        <w:t>:</w:t>
      </w:r>
    </w:p>
    <w:p w:rsidR="00CA3BA2" w:rsidRPr="00C205CD" w:rsidP="00CA3BA2" w14:paraId="54A6F1DB" w14:textId="7A846BFA">
      <w:pPr>
        <w:ind w:left="1440"/>
      </w:pPr>
      <w:r w:rsidRPr="00C205CD">
        <w:t>Employers participating in SHARP or Pre-SHARP may apply the Optional Safety and Health Program Action Plan Tool for Implementation at Workplaces</w:t>
      </w:r>
      <w:r w:rsidRPr="00C205CD" w:rsidR="00AA29DA">
        <w:t xml:space="preserve">. </w:t>
      </w:r>
    </w:p>
    <w:p w:rsidR="00CA3BA2" w:rsidRPr="00C205CD" w:rsidP="00CA3BA2" w14:paraId="23994630" w14:textId="77777777">
      <w:pPr>
        <w:ind w:left="1440"/>
        <w:rPr>
          <w:bCs/>
        </w:rPr>
      </w:pPr>
    </w:p>
    <w:p w:rsidR="00F037B2" w:rsidRPr="00C205CD" w:rsidP="00457449" w14:paraId="76DADEB0" w14:textId="424F0996">
      <w:pPr>
        <w:ind w:left="1350"/>
      </w:pPr>
      <w:r w:rsidRPr="00C205CD">
        <w:rPr>
          <w:bCs/>
        </w:rPr>
        <w:t xml:space="preserve">OSHA estimates that a SHARP or Pre-SHARP employer </w:t>
      </w:r>
      <w:r w:rsidRPr="00C205CD" w:rsidR="004B3AC8">
        <w:rPr>
          <w:bCs/>
        </w:rPr>
        <w:t>who chooses to use this tool will spend an average of 6 hours working with employees to gather relevant information and complete the worksheet. Assuming all SHARP or Pre-SHARP employers (1,153) choose to use this tool, the annual average will be</w:t>
      </w:r>
      <w:r w:rsidRPr="00C205CD">
        <w:rPr>
          <w:b/>
        </w:rPr>
        <w:t xml:space="preserve"> </w:t>
      </w:r>
      <w:r w:rsidRPr="00C205CD" w:rsidR="00096027">
        <w:rPr>
          <w:bCs/>
        </w:rPr>
        <w:t>6,918</w:t>
      </w:r>
      <w:r w:rsidRPr="00C205CD">
        <w:rPr>
          <w:bCs/>
        </w:rPr>
        <w:t xml:space="preserve"> hours</w:t>
      </w:r>
      <w:r w:rsidRPr="00C205CD" w:rsidR="00AA29DA">
        <w:rPr>
          <w:b/>
        </w:rPr>
        <w:t xml:space="preserve">. </w:t>
      </w:r>
    </w:p>
    <w:p w:rsidR="006E3387" w:rsidRPr="00C205CD" w:rsidP="00262CCD" w14:paraId="3C6E5DCF" w14:textId="77777777">
      <w:pPr>
        <w:ind w:left="1440"/>
      </w:pPr>
    </w:p>
    <w:p w:rsidR="002C6867" w:rsidRPr="00C205CD" w:rsidP="00262CCD" w14:paraId="6F8BD81B" w14:textId="77777777"/>
    <w:p w:rsidR="009F6D39" w:rsidRPr="00C205CD" w:rsidP="00E7026A" w14:paraId="5D3BA5CA" w14:textId="355AFE05">
      <w:pPr>
        <w:rPr>
          <w:b/>
        </w:rPr>
      </w:pPr>
      <w:r w:rsidRPr="00C205CD">
        <w:rPr>
          <w:b/>
        </w:rPr>
        <w:t>The</w:t>
      </w:r>
      <w:r w:rsidRPr="00C205CD">
        <w:t xml:space="preserve"> </w:t>
      </w:r>
      <w:r w:rsidRPr="00C205CD">
        <w:rPr>
          <w:b/>
        </w:rPr>
        <w:t xml:space="preserve">total estimated burden hours for </w:t>
      </w:r>
      <w:r w:rsidRPr="00C205CD" w:rsidR="00963BEA">
        <w:rPr>
          <w:b/>
        </w:rPr>
        <w:t>private sector employers is 20,12</w:t>
      </w:r>
      <w:r w:rsidRPr="00C205CD" w:rsidR="00B01FD1">
        <w:rPr>
          <w:b/>
        </w:rPr>
        <w:t>9</w:t>
      </w:r>
      <w:r w:rsidRPr="00C205CD" w:rsidR="00963BEA">
        <w:rPr>
          <w:b/>
        </w:rPr>
        <w:t>,</w:t>
      </w:r>
      <w:r w:rsidRPr="00C205CD" w:rsidR="00AE736B">
        <w:rPr>
          <w:b/>
        </w:rPr>
        <w:t xml:space="preserve"> </w:t>
      </w:r>
      <w:r w:rsidRPr="00C205CD">
        <w:rPr>
          <w:b/>
        </w:rPr>
        <w:t xml:space="preserve">and the total estimated cost is </w:t>
      </w:r>
      <w:r w:rsidRPr="00C205CD" w:rsidR="006321F9">
        <w:rPr>
          <w:b/>
        </w:rPr>
        <w:t>$</w:t>
      </w:r>
      <w:r w:rsidRPr="00C205CD" w:rsidR="00AE736B">
        <w:rPr>
          <w:b/>
        </w:rPr>
        <w:t>1,819,176</w:t>
      </w:r>
      <w:r w:rsidRPr="00C205CD" w:rsidR="00AA29DA">
        <w:rPr>
          <w:b/>
        </w:rPr>
        <w:t>.</w:t>
      </w:r>
    </w:p>
    <w:p w:rsidR="009F6D39" w:rsidRPr="00C205CD" w:rsidP="00E7026A" w14:paraId="190062C9" w14:textId="77777777">
      <w:pPr>
        <w:rPr>
          <w:b/>
        </w:rPr>
      </w:pPr>
    </w:p>
    <w:p w:rsidR="00C24ED1" w:rsidRPr="00C205CD" w:rsidP="00E7026A" w14:paraId="50841B8E" w14:textId="236C43D7">
      <w:r w:rsidRPr="00C205CD">
        <w:rPr>
          <w:b/>
        </w:rPr>
        <w:t xml:space="preserve"> </w:t>
      </w:r>
      <w:r w:rsidRPr="00C205CD" w:rsidR="00E7026A">
        <w:t xml:space="preserve">See Table </w:t>
      </w:r>
      <w:r>
        <w:t>2b</w:t>
      </w:r>
      <w:r w:rsidRPr="00C205CD" w:rsidR="00E7026A">
        <w:t xml:space="preserve"> (</w:t>
      </w:r>
      <w:r w:rsidRPr="00C205CD" w:rsidR="00E7026A">
        <w:rPr>
          <w:bCs/>
          <w:color w:val="000000"/>
        </w:rPr>
        <w:t>Summary of Estimated Annualized Respondent (Employer) Hour and Cost Burden</w:t>
      </w:r>
      <w:r w:rsidRPr="00C205CD" w:rsidR="00E7026A">
        <w:t xml:space="preserve">), as follows:  </w:t>
      </w:r>
    </w:p>
    <w:p w:rsidR="00401558" w:rsidRPr="00C205CD" w:rsidP="00E7026A" w14:paraId="59C1CF2B" w14:textId="77777777"/>
    <w:p w:rsidR="00401558" w:rsidRPr="00C205CD" w:rsidP="00E7026A" w14:paraId="7202B79B" w14:textId="77777777"/>
    <w:p w:rsidR="00401558" w:rsidRPr="00C205CD" w:rsidP="00E7026A" w14:paraId="242F0F3E" w14:textId="4255AB17">
      <w:pPr>
        <w:sectPr w:rsidSect="00B6448B">
          <w:footnotePr>
            <w:pos w:val="beneathText"/>
          </w:footnotePr>
          <w:pgSz w:w="12240" w:h="15840"/>
          <w:pgMar w:top="1008" w:right="1440" w:bottom="1008" w:left="1440" w:header="720" w:footer="720" w:gutter="0"/>
          <w:cols w:space="720"/>
          <w:noEndnote/>
          <w:titlePg/>
          <w:docGrid w:linePitch="326"/>
        </w:sectPr>
      </w:pPr>
    </w:p>
    <w:p w:rsidR="00DF5341" w:rsidRPr="00C205CD" w:rsidP="00E7026A" w14:paraId="2613E9C1" w14:textId="77777777">
      <w:pPr>
        <w:rPr>
          <w:b/>
        </w:rPr>
      </w:pPr>
    </w:p>
    <w:p w:rsidR="007624F1" w:rsidRPr="00C205CD" w:rsidP="00B6448B" w14:paraId="438F675A" w14:textId="7704344F">
      <w:pPr>
        <w:widowControl/>
        <w:autoSpaceDE/>
        <w:autoSpaceDN/>
        <w:adjustRightInd/>
        <w:rPr>
          <w:b/>
          <w:bCs/>
          <w:color w:val="000000"/>
        </w:rPr>
      </w:pPr>
    </w:p>
    <w:tbl>
      <w:tblPr>
        <w:tblW w:w="14310" w:type="dxa"/>
        <w:tblInd w:w="-540" w:type="dxa"/>
        <w:tblLook w:val="04A0"/>
      </w:tblPr>
      <w:tblGrid>
        <w:gridCol w:w="2905"/>
        <w:gridCol w:w="2199"/>
        <w:gridCol w:w="1466"/>
        <w:gridCol w:w="1601"/>
        <w:gridCol w:w="1189"/>
        <w:gridCol w:w="1311"/>
        <w:gridCol w:w="1195"/>
        <w:gridCol w:w="1184"/>
        <w:gridCol w:w="1260"/>
      </w:tblGrid>
      <w:tr w14:paraId="51308628" w14:textId="77777777" w:rsidTr="00DA5069">
        <w:tblPrEx>
          <w:tblW w:w="14310" w:type="dxa"/>
          <w:tblInd w:w="-540" w:type="dxa"/>
          <w:tblLook w:val="04A0"/>
        </w:tblPrEx>
        <w:trPr>
          <w:trHeight w:val="300"/>
          <w:tblHeader/>
        </w:trPr>
        <w:tc>
          <w:tcPr>
            <w:tcW w:w="14310" w:type="dxa"/>
            <w:gridSpan w:val="9"/>
            <w:tcBorders>
              <w:top w:val="nil"/>
              <w:left w:val="nil"/>
              <w:bottom w:val="nil"/>
              <w:right w:val="nil"/>
            </w:tcBorders>
            <w:shd w:val="clear" w:color="auto" w:fill="auto"/>
            <w:noWrap/>
            <w:vAlign w:val="center"/>
            <w:hideMark/>
          </w:tcPr>
          <w:p w:rsidR="00DF584D" w:rsidRPr="00C205CD" w:rsidP="00C375B3" w14:paraId="5DC4943B" w14:textId="08BE8187">
            <w:pPr>
              <w:widowControl/>
              <w:autoSpaceDE/>
              <w:autoSpaceDN/>
              <w:adjustRightInd/>
              <w:rPr>
                <w:b/>
                <w:bCs/>
                <w:color w:val="000000"/>
              </w:rPr>
            </w:pPr>
            <w:r w:rsidRPr="00C205CD">
              <w:rPr>
                <w:b/>
                <w:bCs/>
                <w:color w:val="000000"/>
              </w:rPr>
              <w:t xml:space="preserve">                                            T</w:t>
            </w:r>
            <w:r w:rsidRPr="00C205CD">
              <w:rPr>
                <w:color w:val="000000"/>
              </w:rPr>
              <w:t>a</w:t>
            </w:r>
            <w:r w:rsidRPr="00C205CD">
              <w:rPr>
                <w:b/>
                <w:bCs/>
                <w:color w:val="000000"/>
              </w:rPr>
              <w:t xml:space="preserve">ble </w:t>
            </w:r>
            <w:r>
              <w:rPr>
                <w:b/>
                <w:bCs/>
                <w:color w:val="000000"/>
              </w:rPr>
              <w:t>2b</w:t>
            </w:r>
            <w:r w:rsidRPr="00C205CD">
              <w:rPr>
                <w:b/>
                <w:bCs/>
                <w:color w:val="000000"/>
              </w:rPr>
              <w:t xml:space="preserve"> Summary of Estimated Annualized Respondent (Employer) Burden Hours and Cost </w:t>
            </w:r>
          </w:p>
        </w:tc>
      </w:tr>
      <w:tr w14:paraId="44462188" w14:textId="77777777" w:rsidTr="00DA5069">
        <w:tblPrEx>
          <w:tblW w:w="14310" w:type="dxa"/>
          <w:tblInd w:w="-540" w:type="dxa"/>
          <w:tblLook w:val="04A0"/>
        </w:tblPrEx>
        <w:trPr>
          <w:trHeight w:val="315"/>
          <w:tblHeader/>
        </w:trPr>
        <w:tc>
          <w:tcPr>
            <w:tcW w:w="2905" w:type="dxa"/>
            <w:tcBorders>
              <w:top w:val="nil"/>
              <w:left w:val="nil"/>
              <w:bottom w:val="nil"/>
              <w:right w:val="nil"/>
            </w:tcBorders>
            <w:shd w:val="clear" w:color="auto" w:fill="auto"/>
            <w:noWrap/>
            <w:vAlign w:val="bottom"/>
            <w:hideMark/>
          </w:tcPr>
          <w:p w:rsidR="00DF584D" w:rsidRPr="00C205CD" w:rsidP="00C375B3" w14:paraId="5B081FFE" w14:textId="77777777">
            <w:pPr>
              <w:widowControl/>
              <w:autoSpaceDE/>
              <w:autoSpaceDN/>
              <w:adjustRightInd/>
              <w:rPr>
                <w:rFonts w:ascii="Calibri" w:hAnsi="Calibri" w:cs="Calibri"/>
                <w:b/>
                <w:bCs/>
                <w:color w:val="000000"/>
                <w:sz w:val="22"/>
                <w:szCs w:val="22"/>
              </w:rPr>
            </w:pPr>
          </w:p>
        </w:tc>
        <w:tc>
          <w:tcPr>
            <w:tcW w:w="2199" w:type="dxa"/>
            <w:tcBorders>
              <w:top w:val="nil"/>
              <w:left w:val="nil"/>
              <w:bottom w:val="nil"/>
              <w:right w:val="nil"/>
            </w:tcBorders>
            <w:shd w:val="clear" w:color="auto" w:fill="auto"/>
            <w:noWrap/>
            <w:vAlign w:val="bottom"/>
            <w:hideMark/>
          </w:tcPr>
          <w:p w:rsidR="00DF584D" w:rsidRPr="00C205CD" w:rsidP="00C375B3" w14:paraId="61C02E29" w14:textId="77777777">
            <w:pPr>
              <w:widowControl/>
              <w:autoSpaceDE/>
              <w:autoSpaceDN/>
              <w:adjustRightInd/>
              <w:rPr>
                <w:sz w:val="20"/>
                <w:szCs w:val="20"/>
              </w:rPr>
            </w:pPr>
          </w:p>
        </w:tc>
        <w:tc>
          <w:tcPr>
            <w:tcW w:w="1466" w:type="dxa"/>
            <w:tcBorders>
              <w:top w:val="nil"/>
              <w:left w:val="nil"/>
              <w:bottom w:val="nil"/>
              <w:right w:val="nil"/>
            </w:tcBorders>
            <w:shd w:val="clear" w:color="auto" w:fill="auto"/>
            <w:noWrap/>
            <w:vAlign w:val="bottom"/>
            <w:hideMark/>
          </w:tcPr>
          <w:p w:rsidR="00DF584D" w:rsidRPr="00C205CD" w:rsidP="00C375B3" w14:paraId="24B7C166" w14:textId="77777777">
            <w:pPr>
              <w:widowControl/>
              <w:autoSpaceDE/>
              <w:autoSpaceDN/>
              <w:adjustRightInd/>
              <w:rPr>
                <w:sz w:val="20"/>
                <w:szCs w:val="20"/>
              </w:rPr>
            </w:pPr>
          </w:p>
        </w:tc>
        <w:tc>
          <w:tcPr>
            <w:tcW w:w="1601" w:type="dxa"/>
            <w:tcBorders>
              <w:top w:val="nil"/>
              <w:left w:val="nil"/>
              <w:bottom w:val="nil"/>
              <w:right w:val="nil"/>
            </w:tcBorders>
            <w:shd w:val="clear" w:color="auto" w:fill="auto"/>
            <w:noWrap/>
            <w:vAlign w:val="bottom"/>
            <w:hideMark/>
          </w:tcPr>
          <w:p w:rsidR="00DF584D" w:rsidRPr="00C205CD" w:rsidP="00C375B3" w14:paraId="38832C1D" w14:textId="77777777">
            <w:pPr>
              <w:widowControl/>
              <w:autoSpaceDE/>
              <w:autoSpaceDN/>
              <w:adjustRightInd/>
              <w:rPr>
                <w:sz w:val="20"/>
                <w:szCs w:val="20"/>
              </w:rPr>
            </w:pPr>
          </w:p>
        </w:tc>
        <w:tc>
          <w:tcPr>
            <w:tcW w:w="1189" w:type="dxa"/>
            <w:tcBorders>
              <w:top w:val="nil"/>
              <w:left w:val="nil"/>
              <w:bottom w:val="nil"/>
              <w:right w:val="nil"/>
            </w:tcBorders>
            <w:shd w:val="clear" w:color="auto" w:fill="auto"/>
            <w:noWrap/>
            <w:vAlign w:val="bottom"/>
            <w:hideMark/>
          </w:tcPr>
          <w:p w:rsidR="00DF584D" w:rsidRPr="00C205CD" w:rsidP="00C375B3" w14:paraId="1B402802" w14:textId="77777777">
            <w:pPr>
              <w:widowControl/>
              <w:autoSpaceDE/>
              <w:autoSpaceDN/>
              <w:adjustRightInd/>
              <w:rPr>
                <w:sz w:val="20"/>
                <w:szCs w:val="20"/>
              </w:rPr>
            </w:pPr>
          </w:p>
        </w:tc>
        <w:tc>
          <w:tcPr>
            <w:tcW w:w="1311" w:type="dxa"/>
            <w:tcBorders>
              <w:top w:val="nil"/>
              <w:left w:val="nil"/>
              <w:bottom w:val="nil"/>
              <w:right w:val="nil"/>
            </w:tcBorders>
            <w:shd w:val="clear" w:color="auto" w:fill="auto"/>
            <w:noWrap/>
            <w:vAlign w:val="bottom"/>
            <w:hideMark/>
          </w:tcPr>
          <w:p w:rsidR="00DF584D" w:rsidRPr="00C205CD" w:rsidP="00C375B3" w14:paraId="074B958B" w14:textId="77777777">
            <w:pPr>
              <w:widowControl/>
              <w:autoSpaceDE/>
              <w:autoSpaceDN/>
              <w:adjustRightInd/>
              <w:rPr>
                <w:sz w:val="20"/>
                <w:szCs w:val="20"/>
              </w:rPr>
            </w:pPr>
          </w:p>
        </w:tc>
        <w:tc>
          <w:tcPr>
            <w:tcW w:w="1195" w:type="dxa"/>
            <w:tcBorders>
              <w:top w:val="nil"/>
              <w:left w:val="nil"/>
              <w:bottom w:val="nil"/>
              <w:right w:val="nil"/>
            </w:tcBorders>
            <w:shd w:val="clear" w:color="auto" w:fill="auto"/>
            <w:noWrap/>
            <w:vAlign w:val="bottom"/>
            <w:hideMark/>
          </w:tcPr>
          <w:p w:rsidR="00DF584D" w:rsidRPr="00C205CD" w:rsidP="00C375B3" w14:paraId="79B4AD8A" w14:textId="77777777">
            <w:pPr>
              <w:widowControl/>
              <w:autoSpaceDE/>
              <w:autoSpaceDN/>
              <w:adjustRightInd/>
              <w:rPr>
                <w:sz w:val="20"/>
                <w:szCs w:val="20"/>
              </w:rPr>
            </w:pPr>
          </w:p>
        </w:tc>
        <w:tc>
          <w:tcPr>
            <w:tcW w:w="1184" w:type="dxa"/>
            <w:tcBorders>
              <w:top w:val="nil"/>
              <w:left w:val="nil"/>
              <w:bottom w:val="nil"/>
              <w:right w:val="nil"/>
            </w:tcBorders>
            <w:shd w:val="clear" w:color="auto" w:fill="auto"/>
            <w:noWrap/>
            <w:vAlign w:val="bottom"/>
            <w:hideMark/>
          </w:tcPr>
          <w:p w:rsidR="00DF584D" w:rsidRPr="00C205CD" w:rsidP="00C375B3" w14:paraId="2372823E"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DF584D" w:rsidRPr="00C205CD" w:rsidP="00C375B3" w14:paraId="7AFB48C8" w14:textId="77777777">
            <w:pPr>
              <w:widowControl/>
              <w:autoSpaceDE/>
              <w:autoSpaceDN/>
              <w:adjustRightInd/>
              <w:rPr>
                <w:sz w:val="20"/>
                <w:szCs w:val="20"/>
              </w:rPr>
            </w:pPr>
          </w:p>
        </w:tc>
      </w:tr>
      <w:tr w14:paraId="43B82B52" w14:textId="77777777" w:rsidTr="00DA5069">
        <w:tblPrEx>
          <w:tblW w:w="14310" w:type="dxa"/>
          <w:tblInd w:w="-540" w:type="dxa"/>
          <w:tblLook w:val="04A0"/>
        </w:tblPrEx>
        <w:trPr>
          <w:trHeight w:val="1155"/>
          <w:tblHeader/>
        </w:trPr>
        <w:tc>
          <w:tcPr>
            <w:tcW w:w="2905" w:type="dxa"/>
            <w:tcBorders>
              <w:top w:val="single" w:sz="8" w:space="0" w:color="auto"/>
              <w:left w:val="single" w:sz="8" w:space="0" w:color="auto"/>
              <w:bottom w:val="single" w:sz="8" w:space="0" w:color="auto"/>
              <w:right w:val="single" w:sz="8" w:space="0" w:color="auto"/>
            </w:tcBorders>
            <w:shd w:val="clear" w:color="000000" w:fill="D9E2F3"/>
            <w:vAlign w:val="center"/>
            <w:hideMark/>
          </w:tcPr>
          <w:p w:rsidR="00DF584D" w:rsidRPr="00C205CD" w:rsidP="00C375B3" w14:paraId="23082C89" w14:textId="77777777">
            <w:pPr>
              <w:widowControl/>
              <w:autoSpaceDE/>
              <w:autoSpaceDN/>
              <w:adjustRightInd/>
              <w:jc w:val="center"/>
              <w:rPr>
                <w:b/>
                <w:bCs/>
                <w:color w:val="000000"/>
                <w:sz w:val="20"/>
                <w:szCs w:val="20"/>
              </w:rPr>
            </w:pPr>
            <w:r w:rsidRPr="00C205CD">
              <w:rPr>
                <w:b/>
                <w:bCs/>
                <w:color w:val="000000"/>
                <w:sz w:val="20"/>
                <w:szCs w:val="20"/>
              </w:rPr>
              <w:t>Information Collection Requirements</w:t>
            </w:r>
          </w:p>
        </w:tc>
        <w:tc>
          <w:tcPr>
            <w:tcW w:w="2199"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0BA140C4" w14:textId="77777777">
            <w:pPr>
              <w:widowControl/>
              <w:autoSpaceDE/>
              <w:autoSpaceDN/>
              <w:adjustRightInd/>
              <w:jc w:val="center"/>
              <w:rPr>
                <w:color w:val="0563C1"/>
                <w:sz w:val="20"/>
                <w:szCs w:val="20"/>
                <w:u w:val="single"/>
              </w:rPr>
            </w:pPr>
            <w:r>
              <w:rPr>
                <w:color w:val="0563C1"/>
                <w:sz w:val="20"/>
                <w:szCs w:val="20"/>
                <w:u w:val="single"/>
              </w:rPr>
              <w:footnoteReference w:customMarkFollows="1" w:id="10"/>
              <w:t xml:space="preserve">Type of </w:t>
            </w:r>
            <w:r w:rsidRPr="00C205CD">
              <w:rPr>
                <w:color w:val="0563C1"/>
                <w:sz w:val="20"/>
                <w:szCs w:val="20"/>
                <w:u w:val="single"/>
              </w:rPr>
              <w:t>Respondent[1]</w:t>
            </w:r>
          </w:p>
        </w:tc>
        <w:tc>
          <w:tcPr>
            <w:tcW w:w="1466"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443E4D22" w14:textId="77777777">
            <w:pPr>
              <w:widowControl/>
              <w:autoSpaceDE/>
              <w:autoSpaceDN/>
              <w:adjustRightInd/>
              <w:jc w:val="center"/>
              <w:rPr>
                <w:b/>
                <w:bCs/>
                <w:color w:val="000000"/>
                <w:sz w:val="20"/>
                <w:szCs w:val="20"/>
              </w:rPr>
            </w:pPr>
            <w:r w:rsidRPr="00C205CD">
              <w:rPr>
                <w:b/>
                <w:bCs/>
                <w:color w:val="000000"/>
                <w:sz w:val="20"/>
                <w:szCs w:val="20"/>
              </w:rPr>
              <w:t>No. of Respondents</w:t>
            </w:r>
          </w:p>
        </w:tc>
        <w:tc>
          <w:tcPr>
            <w:tcW w:w="1601"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2521F874" w14:textId="6CE07B00">
            <w:pPr>
              <w:widowControl/>
              <w:autoSpaceDE/>
              <w:autoSpaceDN/>
              <w:adjustRightInd/>
              <w:jc w:val="center"/>
              <w:rPr>
                <w:b/>
                <w:bCs/>
                <w:color w:val="000000"/>
                <w:sz w:val="20"/>
                <w:szCs w:val="20"/>
              </w:rPr>
            </w:pPr>
            <w:r w:rsidRPr="00C205CD">
              <w:rPr>
                <w:b/>
                <w:bCs/>
                <w:color w:val="000000"/>
                <w:sz w:val="20"/>
                <w:szCs w:val="20"/>
              </w:rPr>
              <w:t>Responses per Respondent</w:t>
            </w:r>
          </w:p>
        </w:tc>
        <w:tc>
          <w:tcPr>
            <w:tcW w:w="1189"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23455196" w14:textId="77777777">
            <w:pPr>
              <w:widowControl/>
              <w:autoSpaceDE/>
              <w:autoSpaceDN/>
              <w:adjustRightInd/>
              <w:jc w:val="center"/>
              <w:rPr>
                <w:b/>
                <w:bCs/>
                <w:color w:val="000000"/>
                <w:sz w:val="20"/>
                <w:szCs w:val="20"/>
              </w:rPr>
            </w:pPr>
            <w:r w:rsidRPr="00C205CD">
              <w:rPr>
                <w:b/>
                <w:bCs/>
                <w:color w:val="000000"/>
                <w:sz w:val="20"/>
                <w:szCs w:val="20"/>
              </w:rPr>
              <w:t>Total Responses</w:t>
            </w:r>
          </w:p>
        </w:tc>
        <w:tc>
          <w:tcPr>
            <w:tcW w:w="1311"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355799FF" w14:textId="77777777">
            <w:pPr>
              <w:widowControl/>
              <w:autoSpaceDE/>
              <w:autoSpaceDN/>
              <w:adjustRightInd/>
              <w:jc w:val="center"/>
              <w:rPr>
                <w:b/>
                <w:bCs/>
                <w:color w:val="000000"/>
                <w:sz w:val="20"/>
                <w:szCs w:val="20"/>
              </w:rPr>
            </w:pPr>
            <w:r w:rsidRPr="00C205CD">
              <w:rPr>
                <w:b/>
                <w:bCs/>
                <w:color w:val="000000"/>
                <w:sz w:val="20"/>
                <w:szCs w:val="20"/>
              </w:rPr>
              <w:t>Time per Response (In Hours)</w:t>
            </w:r>
          </w:p>
        </w:tc>
        <w:tc>
          <w:tcPr>
            <w:tcW w:w="1195"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7CBB8F72" w14:textId="0607E9CF">
            <w:pPr>
              <w:widowControl/>
              <w:autoSpaceDE/>
              <w:autoSpaceDN/>
              <w:adjustRightInd/>
              <w:jc w:val="center"/>
              <w:rPr>
                <w:b/>
                <w:bCs/>
                <w:color w:val="000000"/>
                <w:sz w:val="20"/>
                <w:szCs w:val="20"/>
              </w:rPr>
            </w:pPr>
            <w:r w:rsidRPr="00C205CD">
              <w:rPr>
                <w:b/>
                <w:bCs/>
                <w:color w:val="000000"/>
                <w:sz w:val="20"/>
                <w:szCs w:val="20"/>
              </w:rPr>
              <w:t xml:space="preserve">Burden Hours </w:t>
            </w:r>
          </w:p>
        </w:tc>
        <w:tc>
          <w:tcPr>
            <w:tcW w:w="1184"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427AF104" w14:textId="54560C83">
            <w:pPr>
              <w:widowControl/>
              <w:autoSpaceDE/>
              <w:autoSpaceDN/>
              <w:adjustRightInd/>
              <w:jc w:val="center"/>
              <w:rPr>
                <w:b/>
                <w:bCs/>
                <w:color w:val="000000"/>
                <w:sz w:val="20"/>
                <w:szCs w:val="20"/>
              </w:rPr>
            </w:pPr>
            <w:r w:rsidRPr="00C205CD">
              <w:rPr>
                <w:b/>
                <w:bCs/>
                <w:color w:val="000000"/>
                <w:sz w:val="20"/>
                <w:szCs w:val="20"/>
              </w:rPr>
              <w:t xml:space="preserve">Loaded Hourly Wage </w:t>
            </w:r>
          </w:p>
        </w:tc>
        <w:tc>
          <w:tcPr>
            <w:tcW w:w="1260" w:type="dxa"/>
            <w:tcBorders>
              <w:top w:val="single" w:sz="8" w:space="0" w:color="auto"/>
              <w:left w:val="nil"/>
              <w:bottom w:val="single" w:sz="8" w:space="0" w:color="auto"/>
              <w:right w:val="single" w:sz="8" w:space="0" w:color="auto"/>
            </w:tcBorders>
            <w:shd w:val="clear" w:color="000000" w:fill="D9E2F3"/>
            <w:vAlign w:val="center"/>
            <w:hideMark/>
          </w:tcPr>
          <w:p w:rsidR="00DF584D" w:rsidRPr="00C205CD" w:rsidP="00C375B3" w14:paraId="017CEFD0" w14:textId="47C1156B">
            <w:pPr>
              <w:widowControl/>
              <w:autoSpaceDE/>
              <w:autoSpaceDN/>
              <w:adjustRightInd/>
              <w:jc w:val="center"/>
              <w:rPr>
                <w:b/>
                <w:bCs/>
                <w:color w:val="000000"/>
                <w:sz w:val="20"/>
                <w:szCs w:val="20"/>
              </w:rPr>
            </w:pPr>
            <w:r w:rsidRPr="00C205CD">
              <w:rPr>
                <w:b/>
                <w:bCs/>
                <w:color w:val="000000"/>
                <w:sz w:val="20"/>
                <w:szCs w:val="20"/>
              </w:rPr>
              <w:t>Burden Cost</w:t>
            </w:r>
          </w:p>
        </w:tc>
      </w:tr>
      <w:tr w14:paraId="7F70A117" w14:textId="77777777" w:rsidTr="00FD7242">
        <w:tblPrEx>
          <w:tblW w:w="14310" w:type="dxa"/>
          <w:tblInd w:w="-540" w:type="dxa"/>
          <w:tblLook w:val="04A0"/>
        </w:tblPrEx>
        <w:trPr>
          <w:trHeight w:val="885"/>
        </w:trPr>
        <w:tc>
          <w:tcPr>
            <w:tcW w:w="290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34A326D1" w14:textId="77777777">
            <w:pPr>
              <w:widowControl/>
              <w:autoSpaceDE/>
              <w:autoSpaceDN/>
              <w:adjustRightInd/>
              <w:rPr>
                <w:color w:val="000000"/>
                <w:sz w:val="20"/>
                <w:szCs w:val="20"/>
              </w:rPr>
            </w:pPr>
            <w:r w:rsidRPr="00C205CD">
              <w:rPr>
                <w:color w:val="000000"/>
                <w:sz w:val="20"/>
                <w:szCs w:val="20"/>
              </w:rPr>
              <w:t>A. Hazard correction notification to Consultation program (29 CFR 1908.6 (e)(8)and (f)(5)</w:t>
            </w:r>
          </w:p>
        </w:tc>
        <w:tc>
          <w:tcPr>
            <w:tcW w:w="219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7214F3F5" w14:textId="77777777">
            <w:pPr>
              <w:widowControl/>
              <w:autoSpaceDE/>
              <w:autoSpaceDN/>
              <w:adjustRightInd/>
              <w:jc w:val="center"/>
              <w:rPr>
                <w:color w:val="000000"/>
                <w:sz w:val="20"/>
                <w:szCs w:val="20"/>
              </w:rPr>
            </w:pPr>
            <w:r w:rsidRPr="00C205CD">
              <w:rPr>
                <w:color w:val="000000"/>
                <w:sz w:val="20"/>
                <w:szCs w:val="20"/>
              </w:rPr>
              <w:t xml:space="preserve">General / </w:t>
            </w:r>
            <w:r w:rsidRPr="00C205CD">
              <w:rPr>
                <w:color w:val="000000"/>
                <w:sz w:val="20"/>
                <w:szCs w:val="20"/>
              </w:rPr>
              <w:t>Operations Managers (Employers)</w:t>
            </w:r>
          </w:p>
        </w:tc>
        <w:tc>
          <w:tcPr>
            <w:tcW w:w="1466"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28DFDFE6" w14:textId="77777777">
            <w:pPr>
              <w:widowControl/>
              <w:autoSpaceDE/>
              <w:autoSpaceDN/>
              <w:adjustRightInd/>
              <w:jc w:val="center"/>
              <w:rPr>
                <w:color w:val="000000"/>
                <w:sz w:val="20"/>
                <w:szCs w:val="20"/>
              </w:rPr>
            </w:pPr>
            <w:r w:rsidRPr="00C205CD">
              <w:rPr>
                <w:color w:val="000000"/>
                <w:sz w:val="20"/>
                <w:szCs w:val="20"/>
              </w:rPr>
              <w:t>18,384</w:t>
            </w:r>
          </w:p>
        </w:tc>
        <w:tc>
          <w:tcPr>
            <w:tcW w:w="160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2F9D4D5A" w14:textId="77777777">
            <w:pPr>
              <w:widowControl/>
              <w:autoSpaceDE/>
              <w:autoSpaceDN/>
              <w:adjustRightInd/>
              <w:jc w:val="center"/>
              <w:rPr>
                <w:color w:val="000000"/>
                <w:sz w:val="20"/>
                <w:szCs w:val="20"/>
              </w:rPr>
            </w:pPr>
            <w:r w:rsidRPr="00C205CD">
              <w:rPr>
                <w:color w:val="000000"/>
                <w:sz w:val="20"/>
                <w:szCs w:val="20"/>
              </w:rPr>
              <w:t>1</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0AD4485" w14:textId="77777777">
            <w:pPr>
              <w:widowControl/>
              <w:autoSpaceDE/>
              <w:autoSpaceDN/>
              <w:adjustRightInd/>
              <w:jc w:val="center"/>
              <w:rPr>
                <w:color w:val="000000"/>
                <w:sz w:val="20"/>
                <w:szCs w:val="20"/>
              </w:rPr>
            </w:pPr>
            <w:r w:rsidRPr="00C205CD">
              <w:rPr>
                <w:color w:val="000000"/>
                <w:sz w:val="20"/>
                <w:szCs w:val="20"/>
              </w:rPr>
              <w:t>18,384</w:t>
            </w:r>
          </w:p>
        </w:tc>
        <w:tc>
          <w:tcPr>
            <w:tcW w:w="131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22A7F74" w14:textId="7757A073">
            <w:pPr>
              <w:widowControl/>
              <w:autoSpaceDE/>
              <w:autoSpaceDN/>
              <w:adjustRightInd/>
              <w:jc w:val="center"/>
              <w:rPr>
                <w:sz w:val="20"/>
                <w:szCs w:val="20"/>
              </w:rPr>
            </w:pPr>
            <w:r w:rsidRPr="00C205CD">
              <w:rPr>
                <w:sz w:val="20"/>
                <w:szCs w:val="20"/>
              </w:rPr>
              <w:t>15/60</w:t>
            </w:r>
          </w:p>
        </w:tc>
        <w:tc>
          <w:tcPr>
            <w:tcW w:w="119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3685683" w14:textId="77777777">
            <w:pPr>
              <w:widowControl/>
              <w:autoSpaceDE/>
              <w:autoSpaceDN/>
              <w:adjustRightInd/>
              <w:jc w:val="center"/>
              <w:rPr>
                <w:b/>
                <w:bCs/>
                <w:color w:val="000000"/>
                <w:sz w:val="20"/>
                <w:szCs w:val="20"/>
              </w:rPr>
            </w:pPr>
            <w:r w:rsidRPr="00C205CD">
              <w:rPr>
                <w:b/>
                <w:bCs/>
                <w:color w:val="000000"/>
                <w:sz w:val="20"/>
                <w:szCs w:val="20"/>
              </w:rPr>
              <w:t>4,596</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4CBC379" w14:textId="77777777">
            <w:pPr>
              <w:widowControl/>
              <w:autoSpaceDE/>
              <w:autoSpaceDN/>
              <w:adjustRightInd/>
              <w:jc w:val="center"/>
              <w:rPr>
                <w:color w:val="000000"/>
                <w:sz w:val="20"/>
                <w:szCs w:val="20"/>
              </w:rPr>
            </w:pPr>
            <w:r w:rsidRPr="00C205CD">
              <w:rPr>
                <w:color w:val="000000"/>
                <w:sz w:val="20"/>
                <w:szCs w:val="20"/>
              </w:rPr>
              <w:t>$90.38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816B14D" w14:textId="77777777">
            <w:pPr>
              <w:widowControl/>
              <w:autoSpaceDE/>
              <w:autoSpaceDN/>
              <w:adjustRightInd/>
              <w:jc w:val="center"/>
              <w:rPr>
                <w:b/>
                <w:bCs/>
                <w:color w:val="000000"/>
                <w:sz w:val="20"/>
                <w:szCs w:val="20"/>
              </w:rPr>
            </w:pPr>
            <w:r w:rsidRPr="00C205CD">
              <w:rPr>
                <w:b/>
                <w:bCs/>
                <w:color w:val="000000" w:themeColor="text1"/>
                <w:sz w:val="20"/>
                <w:szCs w:val="20"/>
              </w:rPr>
              <w:t>$415,386</w:t>
            </w:r>
          </w:p>
        </w:tc>
      </w:tr>
      <w:tr w14:paraId="6B5125ED" w14:textId="77777777" w:rsidTr="00FD7242">
        <w:tblPrEx>
          <w:tblW w:w="14310" w:type="dxa"/>
          <w:tblInd w:w="-540" w:type="dxa"/>
          <w:tblLook w:val="04A0"/>
        </w:tblPrEx>
        <w:trPr>
          <w:trHeight w:val="276"/>
        </w:trPr>
        <w:tc>
          <w:tcPr>
            <w:tcW w:w="2905" w:type="dxa"/>
            <w:vMerge/>
            <w:tcBorders>
              <w:top w:val="nil"/>
              <w:left w:val="single" w:sz="8" w:space="0" w:color="auto"/>
              <w:bottom w:val="single" w:sz="8" w:space="0" w:color="000000"/>
              <w:right w:val="single" w:sz="8" w:space="0" w:color="auto"/>
            </w:tcBorders>
            <w:vAlign w:val="center"/>
            <w:hideMark/>
          </w:tcPr>
          <w:p w:rsidR="00DF584D" w:rsidRPr="00C205CD" w:rsidP="00C375B3" w14:paraId="1EA1C5EC" w14:textId="77777777">
            <w:pPr>
              <w:widowControl/>
              <w:autoSpaceDE/>
              <w:autoSpaceDN/>
              <w:adjustRightInd/>
              <w:rPr>
                <w:color w:val="000000"/>
                <w:sz w:val="20"/>
                <w:szCs w:val="20"/>
              </w:rPr>
            </w:pPr>
          </w:p>
        </w:tc>
        <w:tc>
          <w:tcPr>
            <w:tcW w:w="2199" w:type="dxa"/>
            <w:vMerge/>
            <w:tcBorders>
              <w:top w:val="nil"/>
              <w:left w:val="single" w:sz="8" w:space="0" w:color="auto"/>
              <w:bottom w:val="single" w:sz="8" w:space="0" w:color="000000"/>
              <w:right w:val="single" w:sz="8" w:space="0" w:color="auto"/>
            </w:tcBorders>
            <w:vAlign w:val="center"/>
            <w:hideMark/>
          </w:tcPr>
          <w:p w:rsidR="00DF584D" w:rsidRPr="00C205CD" w:rsidP="00C375B3" w14:paraId="3F32AEF3" w14:textId="77777777">
            <w:pPr>
              <w:widowControl/>
              <w:autoSpaceDE/>
              <w:autoSpaceDN/>
              <w:adjustRightInd/>
              <w:rPr>
                <w:color w:val="000000"/>
                <w:sz w:val="20"/>
                <w:szCs w:val="20"/>
              </w:rPr>
            </w:pPr>
          </w:p>
        </w:tc>
        <w:tc>
          <w:tcPr>
            <w:tcW w:w="1466" w:type="dxa"/>
            <w:vMerge/>
            <w:tcBorders>
              <w:top w:val="nil"/>
              <w:left w:val="single" w:sz="8" w:space="0" w:color="auto"/>
              <w:bottom w:val="single" w:sz="8" w:space="0" w:color="000000"/>
              <w:right w:val="single" w:sz="8" w:space="0" w:color="auto"/>
            </w:tcBorders>
            <w:vAlign w:val="center"/>
            <w:hideMark/>
          </w:tcPr>
          <w:p w:rsidR="00DF584D" w:rsidRPr="00C205CD" w:rsidP="00C375B3" w14:paraId="166E6D4E" w14:textId="77777777">
            <w:pPr>
              <w:widowControl/>
              <w:autoSpaceDE/>
              <w:autoSpaceDN/>
              <w:adjustRightInd/>
              <w:rPr>
                <w:color w:val="000000"/>
                <w:sz w:val="20"/>
                <w:szCs w:val="20"/>
              </w:rPr>
            </w:pPr>
          </w:p>
        </w:tc>
        <w:tc>
          <w:tcPr>
            <w:tcW w:w="1601" w:type="dxa"/>
            <w:vMerge/>
            <w:tcBorders>
              <w:top w:val="nil"/>
              <w:left w:val="single" w:sz="8" w:space="0" w:color="auto"/>
              <w:bottom w:val="single" w:sz="8" w:space="0" w:color="000000"/>
              <w:right w:val="single" w:sz="8" w:space="0" w:color="auto"/>
            </w:tcBorders>
            <w:vAlign w:val="center"/>
            <w:hideMark/>
          </w:tcPr>
          <w:p w:rsidR="00DF584D" w:rsidRPr="00C205CD" w:rsidP="00C375B3" w14:paraId="256418B0" w14:textId="77777777">
            <w:pPr>
              <w:widowControl/>
              <w:autoSpaceDE/>
              <w:autoSpaceDN/>
              <w:adjustRightInd/>
              <w:rPr>
                <w:color w:val="000000"/>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rsidR="00DF584D" w:rsidRPr="00C205CD" w:rsidP="00C375B3" w14:paraId="0C13D921" w14:textId="77777777">
            <w:pPr>
              <w:widowControl/>
              <w:autoSpaceDE/>
              <w:autoSpaceDN/>
              <w:adjustRightInd/>
              <w:rPr>
                <w:color w:val="000000"/>
                <w:sz w:val="20"/>
                <w:szCs w:val="20"/>
              </w:rPr>
            </w:pPr>
          </w:p>
        </w:tc>
        <w:tc>
          <w:tcPr>
            <w:tcW w:w="1311" w:type="dxa"/>
            <w:vMerge/>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707D7B83" w14:textId="77777777">
            <w:pPr>
              <w:widowControl/>
              <w:autoSpaceDE/>
              <w:autoSpaceDN/>
              <w:adjustRightInd/>
              <w:rPr>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rsidR="00DF584D" w:rsidRPr="00C205CD" w:rsidP="00C375B3" w14:paraId="18F83718" w14:textId="77777777">
            <w:pPr>
              <w:widowControl/>
              <w:autoSpaceDE/>
              <w:autoSpaceDN/>
              <w:adjustRightInd/>
              <w:rPr>
                <w:b/>
                <w:bCs/>
                <w:color w:val="000000"/>
                <w:sz w:val="20"/>
                <w:szCs w:val="20"/>
              </w:rPr>
            </w:pPr>
          </w:p>
        </w:tc>
        <w:tc>
          <w:tcPr>
            <w:tcW w:w="1184" w:type="dxa"/>
            <w:vMerge/>
            <w:tcBorders>
              <w:top w:val="nil"/>
              <w:left w:val="single" w:sz="8" w:space="0" w:color="auto"/>
              <w:bottom w:val="single" w:sz="8" w:space="0" w:color="000000"/>
              <w:right w:val="single" w:sz="8" w:space="0" w:color="auto"/>
            </w:tcBorders>
            <w:vAlign w:val="center"/>
            <w:hideMark/>
          </w:tcPr>
          <w:p w:rsidR="00DF584D" w:rsidRPr="00C205CD" w:rsidP="00C375B3" w14:paraId="056659C8" w14:textId="77777777">
            <w:pPr>
              <w:widowControl/>
              <w:autoSpaceDE/>
              <w:autoSpaceDN/>
              <w:adjustRightInd/>
              <w:rPr>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DF584D" w:rsidRPr="00C205CD" w:rsidP="00C375B3" w14:paraId="428EFAC3" w14:textId="77777777">
            <w:pPr>
              <w:widowControl/>
              <w:autoSpaceDE/>
              <w:autoSpaceDN/>
              <w:adjustRightInd/>
              <w:rPr>
                <w:b/>
                <w:bCs/>
                <w:color w:val="000000"/>
                <w:sz w:val="20"/>
                <w:szCs w:val="20"/>
              </w:rPr>
            </w:pPr>
          </w:p>
        </w:tc>
      </w:tr>
      <w:tr w14:paraId="647728DC" w14:textId="77777777" w:rsidTr="00FD7242">
        <w:tblPrEx>
          <w:tblW w:w="14310" w:type="dxa"/>
          <w:tblInd w:w="-540" w:type="dxa"/>
          <w:tblLook w:val="04A0"/>
        </w:tblPrEx>
        <w:trPr>
          <w:trHeight w:val="1185"/>
        </w:trPr>
        <w:tc>
          <w:tcPr>
            <w:tcW w:w="290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A8A3008" w14:textId="77777777">
            <w:pPr>
              <w:widowControl/>
              <w:autoSpaceDE/>
              <w:autoSpaceDN/>
              <w:adjustRightInd/>
              <w:rPr>
                <w:color w:val="000000"/>
                <w:sz w:val="20"/>
                <w:szCs w:val="20"/>
              </w:rPr>
            </w:pPr>
            <w:r w:rsidRPr="00C205CD">
              <w:rPr>
                <w:color w:val="000000"/>
                <w:sz w:val="20"/>
                <w:szCs w:val="20"/>
              </w:rPr>
              <w:t>B. Inform OSHA Compliance Officer there is a Consultation "Visit in Progress" (29 CFR</w:t>
            </w:r>
            <w:r w:rsidRPr="00C205CD">
              <w:rPr>
                <w:color w:val="000000"/>
                <w:sz w:val="20"/>
                <w:szCs w:val="20"/>
                <w:u w:val="single"/>
              </w:rPr>
              <w:t xml:space="preserve"> </w:t>
            </w:r>
            <w:r w:rsidRPr="00C205CD">
              <w:rPr>
                <w:color w:val="000000"/>
                <w:sz w:val="20"/>
                <w:szCs w:val="20"/>
              </w:rPr>
              <w:t>1908.7(b)(1))</w:t>
            </w:r>
          </w:p>
        </w:tc>
        <w:tc>
          <w:tcPr>
            <w:tcW w:w="219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32617E18" w14:textId="77777777">
            <w:pPr>
              <w:widowControl/>
              <w:autoSpaceDE/>
              <w:autoSpaceDN/>
              <w:adjustRightInd/>
              <w:jc w:val="center"/>
              <w:rPr>
                <w:color w:val="000000"/>
                <w:sz w:val="20"/>
                <w:szCs w:val="20"/>
              </w:rPr>
            </w:pPr>
            <w:r w:rsidRPr="00C205CD">
              <w:rPr>
                <w:color w:val="000000"/>
                <w:sz w:val="20"/>
                <w:szCs w:val="20"/>
              </w:rPr>
              <w:t>General / Operations Managers (Employers)</w:t>
            </w:r>
          </w:p>
        </w:tc>
        <w:tc>
          <w:tcPr>
            <w:tcW w:w="1466"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12F3ABB" w14:textId="77777777">
            <w:pPr>
              <w:widowControl/>
              <w:autoSpaceDE/>
              <w:autoSpaceDN/>
              <w:adjustRightInd/>
              <w:jc w:val="center"/>
              <w:rPr>
                <w:color w:val="000000"/>
                <w:sz w:val="20"/>
                <w:szCs w:val="20"/>
              </w:rPr>
            </w:pPr>
            <w:r w:rsidRPr="00C205CD">
              <w:rPr>
                <w:color w:val="000000"/>
                <w:sz w:val="20"/>
                <w:szCs w:val="20"/>
              </w:rPr>
              <w:t>887</w:t>
            </w:r>
          </w:p>
        </w:tc>
        <w:tc>
          <w:tcPr>
            <w:tcW w:w="160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BECF3DE" w14:textId="77777777">
            <w:pPr>
              <w:widowControl/>
              <w:autoSpaceDE/>
              <w:autoSpaceDN/>
              <w:adjustRightInd/>
              <w:jc w:val="center"/>
              <w:rPr>
                <w:color w:val="000000"/>
                <w:sz w:val="20"/>
                <w:szCs w:val="20"/>
              </w:rPr>
            </w:pPr>
            <w:r w:rsidRPr="00C205CD">
              <w:rPr>
                <w:color w:val="000000"/>
                <w:sz w:val="20"/>
                <w:szCs w:val="20"/>
              </w:rPr>
              <w:t>1</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7C5486FA" w14:textId="77777777">
            <w:pPr>
              <w:widowControl/>
              <w:autoSpaceDE/>
              <w:autoSpaceDN/>
              <w:adjustRightInd/>
              <w:jc w:val="center"/>
              <w:rPr>
                <w:color w:val="000000"/>
                <w:sz w:val="20"/>
                <w:szCs w:val="20"/>
              </w:rPr>
            </w:pPr>
            <w:r w:rsidRPr="00C205CD">
              <w:rPr>
                <w:color w:val="000000"/>
                <w:sz w:val="20"/>
                <w:szCs w:val="20"/>
              </w:rPr>
              <w:t>887</w:t>
            </w:r>
          </w:p>
        </w:tc>
        <w:tc>
          <w:tcPr>
            <w:tcW w:w="131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1CB246C" w14:textId="77B34F63">
            <w:pPr>
              <w:widowControl/>
              <w:autoSpaceDE/>
              <w:autoSpaceDN/>
              <w:adjustRightInd/>
              <w:jc w:val="center"/>
              <w:rPr>
                <w:sz w:val="20"/>
                <w:szCs w:val="20"/>
              </w:rPr>
            </w:pPr>
            <w:r w:rsidRPr="00C205CD">
              <w:rPr>
                <w:sz w:val="20"/>
                <w:szCs w:val="20"/>
              </w:rPr>
              <w:t>6/60</w:t>
            </w:r>
          </w:p>
        </w:tc>
        <w:tc>
          <w:tcPr>
            <w:tcW w:w="119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794129F5" w14:textId="77777777">
            <w:pPr>
              <w:widowControl/>
              <w:autoSpaceDE/>
              <w:autoSpaceDN/>
              <w:adjustRightInd/>
              <w:jc w:val="center"/>
              <w:rPr>
                <w:b/>
                <w:bCs/>
                <w:color w:val="000000"/>
                <w:sz w:val="20"/>
                <w:szCs w:val="20"/>
              </w:rPr>
            </w:pPr>
            <w:r w:rsidRPr="00C205CD">
              <w:rPr>
                <w:b/>
                <w:bCs/>
                <w:color w:val="000000"/>
                <w:sz w:val="20"/>
                <w:szCs w:val="20"/>
              </w:rPr>
              <w:t>89</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3F39D54" w14:textId="77777777">
            <w:pPr>
              <w:widowControl/>
              <w:autoSpaceDE/>
              <w:autoSpaceDN/>
              <w:adjustRightInd/>
              <w:jc w:val="center"/>
              <w:rPr>
                <w:color w:val="000000"/>
                <w:sz w:val="20"/>
                <w:szCs w:val="20"/>
              </w:rPr>
            </w:pPr>
            <w:r w:rsidRPr="00C205CD">
              <w:rPr>
                <w:color w:val="000000"/>
                <w:sz w:val="20"/>
                <w:szCs w:val="20"/>
              </w:rPr>
              <w:t xml:space="preserve">$90.38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3E78D23" w14:textId="77777777">
            <w:pPr>
              <w:widowControl/>
              <w:autoSpaceDE/>
              <w:autoSpaceDN/>
              <w:adjustRightInd/>
              <w:jc w:val="center"/>
              <w:rPr>
                <w:b/>
                <w:bCs/>
                <w:color w:val="000000"/>
                <w:sz w:val="20"/>
                <w:szCs w:val="20"/>
              </w:rPr>
            </w:pPr>
            <w:r w:rsidRPr="00C205CD">
              <w:rPr>
                <w:b/>
                <w:bCs/>
                <w:color w:val="000000" w:themeColor="text1"/>
                <w:sz w:val="20"/>
                <w:szCs w:val="20"/>
              </w:rPr>
              <w:t xml:space="preserve">$8,044 </w:t>
            </w:r>
          </w:p>
        </w:tc>
      </w:tr>
      <w:tr w14:paraId="0956046B" w14:textId="77777777" w:rsidTr="00FD7242">
        <w:tblPrEx>
          <w:tblW w:w="14310" w:type="dxa"/>
          <w:tblInd w:w="-540" w:type="dxa"/>
          <w:tblLook w:val="04A0"/>
        </w:tblPrEx>
        <w:trPr>
          <w:trHeight w:val="276"/>
        </w:trPr>
        <w:tc>
          <w:tcPr>
            <w:tcW w:w="2905" w:type="dxa"/>
            <w:vMerge/>
            <w:tcBorders>
              <w:top w:val="nil"/>
              <w:left w:val="single" w:sz="8" w:space="0" w:color="auto"/>
              <w:bottom w:val="single" w:sz="8" w:space="0" w:color="000000"/>
              <w:right w:val="single" w:sz="8" w:space="0" w:color="auto"/>
            </w:tcBorders>
            <w:vAlign w:val="center"/>
            <w:hideMark/>
          </w:tcPr>
          <w:p w:rsidR="00DF584D" w:rsidRPr="00C205CD" w:rsidP="00C375B3" w14:paraId="313567E9" w14:textId="77777777">
            <w:pPr>
              <w:widowControl/>
              <w:autoSpaceDE/>
              <w:autoSpaceDN/>
              <w:adjustRightInd/>
              <w:rPr>
                <w:color w:val="000000"/>
                <w:sz w:val="20"/>
                <w:szCs w:val="20"/>
              </w:rPr>
            </w:pPr>
          </w:p>
        </w:tc>
        <w:tc>
          <w:tcPr>
            <w:tcW w:w="2199" w:type="dxa"/>
            <w:vMerge/>
            <w:tcBorders>
              <w:top w:val="nil"/>
              <w:left w:val="single" w:sz="8" w:space="0" w:color="auto"/>
              <w:bottom w:val="single" w:sz="8" w:space="0" w:color="000000"/>
              <w:right w:val="single" w:sz="8" w:space="0" w:color="auto"/>
            </w:tcBorders>
            <w:vAlign w:val="center"/>
            <w:hideMark/>
          </w:tcPr>
          <w:p w:rsidR="00DF584D" w:rsidRPr="00C205CD" w:rsidP="00C375B3" w14:paraId="68E01867" w14:textId="77777777">
            <w:pPr>
              <w:widowControl/>
              <w:autoSpaceDE/>
              <w:autoSpaceDN/>
              <w:adjustRightInd/>
              <w:rPr>
                <w:color w:val="000000"/>
                <w:sz w:val="20"/>
                <w:szCs w:val="20"/>
              </w:rPr>
            </w:pPr>
          </w:p>
        </w:tc>
        <w:tc>
          <w:tcPr>
            <w:tcW w:w="1466" w:type="dxa"/>
            <w:vMerge/>
            <w:tcBorders>
              <w:top w:val="nil"/>
              <w:left w:val="single" w:sz="8" w:space="0" w:color="auto"/>
              <w:bottom w:val="single" w:sz="8" w:space="0" w:color="000000"/>
              <w:right w:val="single" w:sz="8" w:space="0" w:color="auto"/>
            </w:tcBorders>
            <w:vAlign w:val="center"/>
            <w:hideMark/>
          </w:tcPr>
          <w:p w:rsidR="00DF584D" w:rsidRPr="00C205CD" w:rsidP="00C375B3" w14:paraId="7815218C" w14:textId="77777777">
            <w:pPr>
              <w:widowControl/>
              <w:autoSpaceDE/>
              <w:autoSpaceDN/>
              <w:adjustRightInd/>
              <w:rPr>
                <w:color w:val="000000"/>
                <w:sz w:val="20"/>
                <w:szCs w:val="20"/>
              </w:rPr>
            </w:pPr>
          </w:p>
        </w:tc>
        <w:tc>
          <w:tcPr>
            <w:tcW w:w="1601" w:type="dxa"/>
            <w:vMerge/>
            <w:tcBorders>
              <w:top w:val="nil"/>
              <w:left w:val="single" w:sz="8" w:space="0" w:color="auto"/>
              <w:bottom w:val="single" w:sz="8" w:space="0" w:color="000000"/>
              <w:right w:val="single" w:sz="8" w:space="0" w:color="auto"/>
            </w:tcBorders>
            <w:vAlign w:val="center"/>
            <w:hideMark/>
          </w:tcPr>
          <w:p w:rsidR="00DF584D" w:rsidRPr="00C205CD" w:rsidP="00C375B3" w14:paraId="5DB4FAE8" w14:textId="77777777">
            <w:pPr>
              <w:widowControl/>
              <w:autoSpaceDE/>
              <w:autoSpaceDN/>
              <w:adjustRightInd/>
              <w:rPr>
                <w:color w:val="000000"/>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rsidR="00DF584D" w:rsidRPr="00C205CD" w:rsidP="00C375B3" w14:paraId="030A8AA6" w14:textId="77777777">
            <w:pPr>
              <w:widowControl/>
              <w:autoSpaceDE/>
              <w:autoSpaceDN/>
              <w:adjustRightInd/>
              <w:rPr>
                <w:color w:val="000000"/>
                <w:sz w:val="20"/>
                <w:szCs w:val="20"/>
              </w:rPr>
            </w:pPr>
          </w:p>
        </w:tc>
        <w:tc>
          <w:tcPr>
            <w:tcW w:w="1311" w:type="dxa"/>
            <w:vMerge/>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675B927" w14:textId="77777777">
            <w:pPr>
              <w:widowControl/>
              <w:autoSpaceDE/>
              <w:autoSpaceDN/>
              <w:adjustRightInd/>
              <w:rPr>
                <w:color w:val="FF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rsidR="00DF584D" w:rsidRPr="00C205CD" w:rsidP="00C375B3" w14:paraId="2D4CE583" w14:textId="77777777">
            <w:pPr>
              <w:widowControl/>
              <w:autoSpaceDE/>
              <w:autoSpaceDN/>
              <w:adjustRightInd/>
              <w:rPr>
                <w:b/>
                <w:bCs/>
                <w:color w:val="000000"/>
                <w:sz w:val="20"/>
                <w:szCs w:val="20"/>
              </w:rPr>
            </w:pPr>
          </w:p>
        </w:tc>
        <w:tc>
          <w:tcPr>
            <w:tcW w:w="1184" w:type="dxa"/>
            <w:vMerge/>
            <w:tcBorders>
              <w:top w:val="nil"/>
              <w:left w:val="single" w:sz="8" w:space="0" w:color="auto"/>
              <w:bottom w:val="single" w:sz="8" w:space="0" w:color="000000"/>
              <w:right w:val="single" w:sz="8" w:space="0" w:color="auto"/>
            </w:tcBorders>
            <w:vAlign w:val="center"/>
            <w:hideMark/>
          </w:tcPr>
          <w:p w:rsidR="00DF584D" w:rsidRPr="00C205CD" w:rsidP="00C375B3" w14:paraId="7A0DA2FC" w14:textId="77777777">
            <w:pPr>
              <w:widowControl/>
              <w:autoSpaceDE/>
              <w:autoSpaceDN/>
              <w:adjustRightInd/>
              <w:rPr>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DF584D" w:rsidRPr="00C205CD" w:rsidP="00C375B3" w14:paraId="783299ED" w14:textId="77777777">
            <w:pPr>
              <w:widowControl/>
              <w:autoSpaceDE/>
              <w:autoSpaceDN/>
              <w:adjustRightInd/>
              <w:rPr>
                <w:b/>
                <w:bCs/>
                <w:color w:val="000000"/>
                <w:sz w:val="20"/>
                <w:szCs w:val="20"/>
              </w:rPr>
            </w:pPr>
          </w:p>
        </w:tc>
      </w:tr>
      <w:tr w14:paraId="0B2779AE" w14:textId="77777777" w:rsidTr="00DF584D">
        <w:tblPrEx>
          <w:tblW w:w="14310" w:type="dxa"/>
          <w:tblInd w:w="-540" w:type="dxa"/>
          <w:tblLook w:val="04A0"/>
        </w:tblPrEx>
        <w:trPr>
          <w:trHeight w:val="315"/>
        </w:trPr>
        <w:tc>
          <w:tcPr>
            <w:tcW w:w="14310"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DF584D" w:rsidRPr="00C205CD" w:rsidP="00C375B3" w14:paraId="177735E2" w14:textId="77777777">
            <w:pPr>
              <w:widowControl/>
              <w:autoSpaceDE/>
              <w:autoSpaceDN/>
              <w:adjustRightInd/>
              <w:rPr>
                <w:color w:val="000000"/>
                <w:sz w:val="20"/>
                <w:szCs w:val="20"/>
              </w:rPr>
            </w:pPr>
            <w:r w:rsidRPr="00C205CD">
              <w:rPr>
                <w:color w:val="000000" w:themeColor="text1"/>
                <w:sz w:val="20"/>
                <w:szCs w:val="20"/>
              </w:rPr>
              <w:t>C. Employers voluntarily request to participate in SHARP/Pre-SHARP (1908.7(b)(4))</w:t>
            </w:r>
          </w:p>
        </w:tc>
      </w:tr>
      <w:tr w14:paraId="67C007FD" w14:textId="77777777" w:rsidTr="00941B37">
        <w:tblPrEx>
          <w:tblW w:w="14310" w:type="dxa"/>
          <w:tblInd w:w="-540" w:type="dxa"/>
          <w:tblLook w:val="04A0"/>
        </w:tblPrEx>
        <w:trPr>
          <w:trHeight w:val="60"/>
        </w:trPr>
        <w:tc>
          <w:tcPr>
            <w:tcW w:w="2905" w:type="dxa"/>
            <w:tcBorders>
              <w:top w:val="nil"/>
              <w:left w:val="single" w:sz="8" w:space="0" w:color="auto"/>
              <w:bottom w:val="single" w:sz="8" w:space="0" w:color="000000"/>
              <w:right w:val="single" w:sz="8" w:space="0" w:color="auto"/>
            </w:tcBorders>
            <w:hideMark/>
          </w:tcPr>
          <w:p w:rsidR="00BB540B" w:rsidRPr="00C205CD" w:rsidP="00BB540B" w14:paraId="75676E0A" w14:textId="50684040">
            <w:pPr>
              <w:widowControl/>
              <w:autoSpaceDE/>
              <w:autoSpaceDN/>
              <w:adjustRightInd/>
              <w:rPr>
                <w:color w:val="000000"/>
                <w:sz w:val="20"/>
                <w:szCs w:val="20"/>
              </w:rPr>
            </w:pPr>
            <w:r w:rsidRPr="00C205CD">
              <w:rPr>
                <w:sz w:val="20"/>
                <w:szCs w:val="20"/>
              </w:rPr>
              <w:t>Submit SHARP participation request.</w:t>
            </w:r>
          </w:p>
        </w:tc>
        <w:tc>
          <w:tcPr>
            <w:tcW w:w="2199" w:type="dxa"/>
            <w:tcBorders>
              <w:top w:val="nil"/>
              <w:left w:val="single" w:sz="8" w:space="0" w:color="auto"/>
              <w:bottom w:val="single" w:sz="8" w:space="0" w:color="000000"/>
              <w:right w:val="single" w:sz="8" w:space="0" w:color="auto"/>
            </w:tcBorders>
            <w:hideMark/>
          </w:tcPr>
          <w:p w:rsidR="00BB540B" w:rsidRPr="00C205CD" w:rsidP="00BB540B" w14:paraId="1BF56DBF" w14:textId="4A75CACA">
            <w:pPr>
              <w:widowControl/>
              <w:autoSpaceDE/>
              <w:autoSpaceDN/>
              <w:adjustRightInd/>
              <w:rPr>
                <w:color w:val="000000"/>
                <w:sz w:val="20"/>
                <w:szCs w:val="20"/>
              </w:rPr>
            </w:pPr>
            <w:r w:rsidRPr="00C205CD">
              <w:rPr>
                <w:sz w:val="20"/>
                <w:szCs w:val="20"/>
              </w:rPr>
              <w:t>General / Operations Managers (Employers)</w:t>
            </w:r>
          </w:p>
        </w:tc>
        <w:tc>
          <w:tcPr>
            <w:tcW w:w="1466" w:type="dxa"/>
            <w:tcBorders>
              <w:top w:val="nil"/>
              <w:left w:val="single" w:sz="8" w:space="0" w:color="auto"/>
              <w:bottom w:val="single" w:sz="8" w:space="0" w:color="000000"/>
              <w:right w:val="single" w:sz="8" w:space="0" w:color="auto"/>
            </w:tcBorders>
            <w:hideMark/>
          </w:tcPr>
          <w:p w:rsidR="00BB540B" w:rsidRPr="00C205CD" w:rsidP="00572C1D" w14:paraId="317FF275" w14:textId="23F184AC">
            <w:pPr>
              <w:widowControl/>
              <w:autoSpaceDE/>
              <w:autoSpaceDN/>
              <w:adjustRightInd/>
              <w:jc w:val="center"/>
              <w:rPr>
                <w:color w:val="000000"/>
                <w:sz w:val="20"/>
                <w:szCs w:val="20"/>
              </w:rPr>
            </w:pPr>
            <w:r w:rsidRPr="00C205CD">
              <w:rPr>
                <w:sz w:val="20"/>
                <w:szCs w:val="20"/>
              </w:rPr>
              <w:t>97</w:t>
            </w:r>
          </w:p>
        </w:tc>
        <w:tc>
          <w:tcPr>
            <w:tcW w:w="1601" w:type="dxa"/>
            <w:tcBorders>
              <w:top w:val="nil"/>
              <w:left w:val="single" w:sz="8" w:space="0" w:color="auto"/>
              <w:bottom w:val="single" w:sz="8" w:space="0" w:color="000000"/>
              <w:right w:val="single" w:sz="8" w:space="0" w:color="auto"/>
            </w:tcBorders>
            <w:hideMark/>
          </w:tcPr>
          <w:p w:rsidR="00BB540B" w:rsidRPr="00C205CD" w:rsidP="00572C1D" w14:paraId="14854394" w14:textId="037B736F">
            <w:pPr>
              <w:widowControl/>
              <w:autoSpaceDE/>
              <w:autoSpaceDN/>
              <w:adjustRightInd/>
              <w:jc w:val="center"/>
              <w:rPr>
                <w:color w:val="000000"/>
                <w:sz w:val="20"/>
                <w:szCs w:val="20"/>
              </w:rPr>
            </w:pPr>
            <w:r w:rsidRPr="00C205CD">
              <w:rPr>
                <w:sz w:val="20"/>
                <w:szCs w:val="20"/>
              </w:rPr>
              <w:t>1</w:t>
            </w:r>
          </w:p>
        </w:tc>
        <w:tc>
          <w:tcPr>
            <w:tcW w:w="1189" w:type="dxa"/>
            <w:tcBorders>
              <w:top w:val="nil"/>
              <w:left w:val="single" w:sz="8" w:space="0" w:color="auto"/>
              <w:bottom w:val="single" w:sz="8" w:space="0" w:color="000000"/>
              <w:right w:val="single" w:sz="8" w:space="0" w:color="auto"/>
            </w:tcBorders>
            <w:hideMark/>
          </w:tcPr>
          <w:p w:rsidR="00BB540B" w:rsidRPr="00C205CD" w:rsidP="00572C1D" w14:paraId="577E4CC5" w14:textId="32081E99">
            <w:pPr>
              <w:widowControl/>
              <w:autoSpaceDE/>
              <w:autoSpaceDN/>
              <w:adjustRightInd/>
              <w:jc w:val="center"/>
              <w:rPr>
                <w:color w:val="000000"/>
                <w:sz w:val="20"/>
                <w:szCs w:val="20"/>
              </w:rPr>
            </w:pPr>
            <w:r w:rsidRPr="00C205CD">
              <w:rPr>
                <w:sz w:val="20"/>
                <w:szCs w:val="20"/>
              </w:rPr>
              <w:t>97</w:t>
            </w:r>
          </w:p>
        </w:tc>
        <w:tc>
          <w:tcPr>
            <w:tcW w:w="1311" w:type="dxa"/>
            <w:tcBorders>
              <w:top w:val="nil"/>
              <w:left w:val="single" w:sz="8" w:space="0" w:color="auto"/>
              <w:bottom w:val="single" w:sz="8" w:space="0" w:color="000000"/>
              <w:right w:val="single" w:sz="8" w:space="0" w:color="auto"/>
            </w:tcBorders>
            <w:hideMark/>
          </w:tcPr>
          <w:p w:rsidR="00BB540B" w:rsidRPr="00C205CD" w:rsidP="00572C1D" w14:paraId="235410C3" w14:textId="3FFDDD8D">
            <w:pPr>
              <w:widowControl/>
              <w:autoSpaceDE/>
              <w:autoSpaceDN/>
              <w:adjustRightInd/>
              <w:jc w:val="center"/>
              <w:rPr>
                <w:color w:val="000000"/>
                <w:sz w:val="20"/>
                <w:szCs w:val="20"/>
              </w:rPr>
            </w:pPr>
            <w:r w:rsidRPr="00C205CD">
              <w:rPr>
                <w:color w:val="000000"/>
                <w:sz w:val="20"/>
                <w:szCs w:val="20"/>
              </w:rPr>
              <w:t>3/60</w:t>
            </w:r>
          </w:p>
        </w:tc>
        <w:tc>
          <w:tcPr>
            <w:tcW w:w="1195" w:type="dxa"/>
            <w:tcBorders>
              <w:top w:val="nil"/>
              <w:left w:val="single" w:sz="8" w:space="0" w:color="auto"/>
              <w:bottom w:val="single" w:sz="8" w:space="0" w:color="000000"/>
              <w:right w:val="single" w:sz="8" w:space="0" w:color="auto"/>
            </w:tcBorders>
            <w:hideMark/>
          </w:tcPr>
          <w:p w:rsidR="00BB540B" w:rsidRPr="00C205CD" w:rsidP="00572C1D" w14:paraId="6B13D198" w14:textId="70037034">
            <w:pPr>
              <w:widowControl/>
              <w:autoSpaceDE/>
              <w:autoSpaceDN/>
              <w:adjustRightInd/>
              <w:jc w:val="center"/>
              <w:rPr>
                <w:b/>
                <w:bCs/>
                <w:color w:val="000000"/>
                <w:sz w:val="20"/>
                <w:szCs w:val="20"/>
              </w:rPr>
            </w:pPr>
            <w:r w:rsidRPr="00C205CD">
              <w:rPr>
                <w:sz w:val="20"/>
                <w:szCs w:val="20"/>
              </w:rPr>
              <w:t>5</w:t>
            </w:r>
          </w:p>
        </w:tc>
        <w:tc>
          <w:tcPr>
            <w:tcW w:w="1184" w:type="dxa"/>
            <w:tcBorders>
              <w:top w:val="nil"/>
              <w:left w:val="single" w:sz="8" w:space="0" w:color="auto"/>
              <w:bottom w:val="single" w:sz="8" w:space="0" w:color="000000"/>
              <w:right w:val="single" w:sz="8" w:space="0" w:color="auto"/>
            </w:tcBorders>
            <w:hideMark/>
          </w:tcPr>
          <w:p w:rsidR="00BB540B" w:rsidRPr="00C205CD" w:rsidP="00572C1D" w14:paraId="725C9C5E" w14:textId="4EF4788B">
            <w:pPr>
              <w:widowControl/>
              <w:autoSpaceDE/>
              <w:autoSpaceDN/>
              <w:adjustRightInd/>
              <w:jc w:val="center"/>
              <w:rPr>
                <w:color w:val="000000"/>
                <w:sz w:val="20"/>
                <w:szCs w:val="20"/>
              </w:rPr>
            </w:pPr>
            <w:r w:rsidRPr="00C205CD">
              <w:rPr>
                <w:sz w:val="20"/>
                <w:szCs w:val="20"/>
              </w:rPr>
              <w:t>$90.38</w:t>
            </w:r>
          </w:p>
        </w:tc>
        <w:tc>
          <w:tcPr>
            <w:tcW w:w="1260" w:type="dxa"/>
            <w:tcBorders>
              <w:top w:val="nil"/>
              <w:left w:val="single" w:sz="8" w:space="0" w:color="auto"/>
              <w:bottom w:val="single" w:sz="8" w:space="0" w:color="000000"/>
              <w:right w:val="single" w:sz="8" w:space="0" w:color="auto"/>
            </w:tcBorders>
            <w:hideMark/>
          </w:tcPr>
          <w:p w:rsidR="00BB540B" w:rsidRPr="00C205CD" w:rsidP="00572C1D" w14:paraId="65E7AE91" w14:textId="13C15DDE">
            <w:pPr>
              <w:widowControl/>
              <w:autoSpaceDE/>
              <w:autoSpaceDN/>
              <w:adjustRightInd/>
              <w:jc w:val="center"/>
              <w:rPr>
                <w:b/>
                <w:bCs/>
                <w:color w:val="000000"/>
                <w:sz w:val="20"/>
                <w:szCs w:val="20"/>
              </w:rPr>
            </w:pPr>
            <w:r w:rsidRPr="00C205CD">
              <w:rPr>
                <w:sz w:val="20"/>
                <w:szCs w:val="20"/>
              </w:rPr>
              <w:t>$452</w:t>
            </w:r>
          </w:p>
        </w:tc>
      </w:tr>
      <w:tr w14:paraId="7CDF5735" w14:textId="77777777" w:rsidTr="00DF584D">
        <w:tblPrEx>
          <w:tblW w:w="14310" w:type="dxa"/>
          <w:tblInd w:w="-540" w:type="dxa"/>
          <w:tblLook w:val="04A0"/>
        </w:tblPrEx>
        <w:trPr>
          <w:trHeight w:val="885"/>
        </w:trPr>
        <w:tc>
          <w:tcPr>
            <w:tcW w:w="290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34C0BB8" w14:textId="77777777">
            <w:pPr>
              <w:widowControl/>
              <w:autoSpaceDE/>
              <w:autoSpaceDN/>
              <w:adjustRightInd/>
              <w:rPr>
                <w:color w:val="000000"/>
                <w:sz w:val="20"/>
                <w:szCs w:val="20"/>
              </w:rPr>
            </w:pPr>
            <w:r w:rsidRPr="00C205CD">
              <w:rPr>
                <w:color w:val="000000"/>
                <w:sz w:val="20"/>
                <w:szCs w:val="20"/>
              </w:rPr>
              <w:t xml:space="preserve">Existing SHARP participants </w:t>
            </w:r>
            <w:r w:rsidRPr="00C205CD">
              <w:rPr>
                <w:color w:val="000000"/>
                <w:sz w:val="20"/>
                <w:szCs w:val="20"/>
              </w:rPr>
              <w:t>requesting renewal</w:t>
            </w:r>
          </w:p>
        </w:tc>
        <w:tc>
          <w:tcPr>
            <w:tcW w:w="219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276A670A" w14:textId="77777777">
            <w:pPr>
              <w:widowControl/>
              <w:autoSpaceDE/>
              <w:autoSpaceDN/>
              <w:adjustRightInd/>
              <w:jc w:val="center"/>
              <w:rPr>
                <w:color w:val="000000"/>
                <w:sz w:val="20"/>
                <w:szCs w:val="20"/>
              </w:rPr>
            </w:pPr>
            <w:r w:rsidRPr="00C205CD">
              <w:rPr>
                <w:color w:val="000000"/>
                <w:sz w:val="20"/>
                <w:szCs w:val="20"/>
              </w:rPr>
              <w:t>General / Operations Managers (Employers)</w:t>
            </w:r>
          </w:p>
        </w:tc>
        <w:tc>
          <w:tcPr>
            <w:tcW w:w="1466"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37FFB244" w14:textId="77777777">
            <w:pPr>
              <w:widowControl/>
              <w:autoSpaceDE/>
              <w:autoSpaceDN/>
              <w:adjustRightInd/>
              <w:jc w:val="center"/>
              <w:rPr>
                <w:color w:val="000000"/>
                <w:sz w:val="20"/>
                <w:szCs w:val="20"/>
              </w:rPr>
            </w:pPr>
            <w:r w:rsidRPr="00C205CD">
              <w:rPr>
                <w:color w:val="000000"/>
                <w:sz w:val="20"/>
                <w:szCs w:val="20"/>
              </w:rPr>
              <w:t>412</w:t>
            </w:r>
          </w:p>
        </w:tc>
        <w:tc>
          <w:tcPr>
            <w:tcW w:w="160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766A70E" w14:textId="77777777">
            <w:pPr>
              <w:widowControl/>
              <w:autoSpaceDE/>
              <w:autoSpaceDN/>
              <w:adjustRightInd/>
              <w:jc w:val="center"/>
              <w:rPr>
                <w:color w:val="000000"/>
                <w:sz w:val="20"/>
                <w:szCs w:val="20"/>
              </w:rPr>
            </w:pPr>
            <w:r w:rsidRPr="00C205CD">
              <w:rPr>
                <w:color w:val="000000"/>
                <w:sz w:val="20"/>
                <w:szCs w:val="20"/>
              </w:rPr>
              <w:t>1</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823A172" w14:textId="77777777">
            <w:pPr>
              <w:widowControl/>
              <w:autoSpaceDE/>
              <w:autoSpaceDN/>
              <w:adjustRightInd/>
              <w:jc w:val="center"/>
              <w:rPr>
                <w:color w:val="000000"/>
                <w:sz w:val="20"/>
                <w:szCs w:val="20"/>
              </w:rPr>
            </w:pPr>
            <w:r w:rsidRPr="00C205CD">
              <w:rPr>
                <w:color w:val="000000"/>
                <w:sz w:val="20"/>
                <w:szCs w:val="20"/>
              </w:rPr>
              <w:t>412</w:t>
            </w:r>
          </w:p>
        </w:tc>
        <w:tc>
          <w:tcPr>
            <w:tcW w:w="131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39F578B1" w14:textId="77777777">
            <w:pPr>
              <w:widowControl/>
              <w:autoSpaceDE/>
              <w:autoSpaceDN/>
              <w:adjustRightInd/>
              <w:jc w:val="center"/>
              <w:rPr>
                <w:color w:val="000000"/>
                <w:sz w:val="20"/>
                <w:szCs w:val="20"/>
              </w:rPr>
            </w:pPr>
            <w:r w:rsidRPr="00C205CD">
              <w:rPr>
                <w:color w:val="000000"/>
                <w:sz w:val="20"/>
                <w:szCs w:val="20"/>
              </w:rPr>
              <w:t>2</w:t>
            </w:r>
          </w:p>
        </w:tc>
        <w:tc>
          <w:tcPr>
            <w:tcW w:w="119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923F5D2" w14:textId="77777777">
            <w:pPr>
              <w:widowControl/>
              <w:autoSpaceDE/>
              <w:autoSpaceDN/>
              <w:adjustRightInd/>
              <w:jc w:val="center"/>
              <w:rPr>
                <w:color w:val="000000"/>
                <w:sz w:val="20"/>
                <w:szCs w:val="20"/>
              </w:rPr>
            </w:pPr>
            <w:r w:rsidRPr="00C205CD">
              <w:rPr>
                <w:color w:val="000000"/>
                <w:sz w:val="20"/>
                <w:szCs w:val="20"/>
              </w:rPr>
              <w:t>824</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39A32C3" w14:textId="77777777">
            <w:pPr>
              <w:widowControl/>
              <w:autoSpaceDE/>
              <w:autoSpaceDN/>
              <w:adjustRightInd/>
              <w:jc w:val="center"/>
              <w:rPr>
                <w:color w:val="000000"/>
                <w:sz w:val="20"/>
                <w:szCs w:val="20"/>
              </w:rPr>
            </w:pPr>
            <w:r w:rsidRPr="00C205CD">
              <w:rPr>
                <w:color w:val="000000"/>
                <w:sz w:val="20"/>
                <w:szCs w:val="20"/>
              </w:rPr>
              <w:t>$90.38</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D9A2288" w14:textId="77777777">
            <w:pPr>
              <w:widowControl/>
              <w:autoSpaceDE/>
              <w:autoSpaceDN/>
              <w:adjustRightInd/>
              <w:jc w:val="center"/>
              <w:rPr>
                <w:b/>
                <w:bCs/>
                <w:color w:val="000000"/>
                <w:sz w:val="20"/>
                <w:szCs w:val="20"/>
              </w:rPr>
            </w:pPr>
            <w:r w:rsidRPr="00C205CD">
              <w:rPr>
                <w:b/>
                <w:bCs/>
                <w:color w:val="000000" w:themeColor="text1"/>
                <w:sz w:val="20"/>
                <w:szCs w:val="20"/>
              </w:rPr>
              <w:t>$74,473</w:t>
            </w:r>
          </w:p>
        </w:tc>
      </w:tr>
      <w:tr w14:paraId="445D4FB9" w14:textId="77777777" w:rsidTr="00C039E5">
        <w:tblPrEx>
          <w:tblW w:w="14310" w:type="dxa"/>
          <w:tblInd w:w="-540" w:type="dxa"/>
          <w:tblLook w:val="04A0"/>
        </w:tblPrEx>
        <w:trPr>
          <w:trHeight w:val="276"/>
        </w:trPr>
        <w:tc>
          <w:tcPr>
            <w:tcW w:w="2905" w:type="dxa"/>
            <w:vMerge/>
            <w:tcBorders>
              <w:top w:val="nil"/>
              <w:left w:val="single" w:sz="8" w:space="0" w:color="auto"/>
              <w:bottom w:val="single" w:sz="8" w:space="0" w:color="000000"/>
              <w:right w:val="single" w:sz="8" w:space="0" w:color="auto"/>
            </w:tcBorders>
            <w:vAlign w:val="center"/>
            <w:hideMark/>
          </w:tcPr>
          <w:p w:rsidR="00DF584D" w:rsidRPr="00C205CD" w:rsidP="00C375B3" w14:paraId="15F9043C" w14:textId="77777777">
            <w:pPr>
              <w:widowControl/>
              <w:autoSpaceDE/>
              <w:autoSpaceDN/>
              <w:adjustRightInd/>
              <w:rPr>
                <w:color w:val="000000"/>
                <w:sz w:val="20"/>
                <w:szCs w:val="20"/>
              </w:rPr>
            </w:pPr>
          </w:p>
        </w:tc>
        <w:tc>
          <w:tcPr>
            <w:tcW w:w="2199" w:type="dxa"/>
            <w:vMerge/>
            <w:tcBorders>
              <w:top w:val="nil"/>
              <w:left w:val="single" w:sz="8" w:space="0" w:color="auto"/>
              <w:bottom w:val="single" w:sz="8" w:space="0" w:color="000000"/>
              <w:right w:val="single" w:sz="8" w:space="0" w:color="auto"/>
            </w:tcBorders>
            <w:vAlign w:val="center"/>
            <w:hideMark/>
          </w:tcPr>
          <w:p w:rsidR="00DF584D" w:rsidRPr="00C205CD" w:rsidP="00C375B3" w14:paraId="0D243EFA" w14:textId="77777777">
            <w:pPr>
              <w:widowControl/>
              <w:autoSpaceDE/>
              <w:autoSpaceDN/>
              <w:adjustRightInd/>
              <w:rPr>
                <w:color w:val="000000"/>
                <w:sz w:val="20"/>
                <w:szCs w:val="20"/>
              </w:rPr>
            </w:pPr>
          </w:p>
        </w:tc>
        <w:tc>
          <w:tcPr>
            <w:tcW w:w="1466" w:type="dxa"/>
            <w:vMerge/>
            <w:tcBorders>
              <w:top w:val="nil"/>
              <w:left w:val="single" w:sz="8" w:space="0" w:color="auto"/>
              <w:bottom w:val="single" w:sz="8" w:space="0" w:color="000000"/>
              <w:right w:val="single" w:sz="8" w:space="0" w:color="auto"/>
            </w:tcBorders>
            <w:vAlign w:val="center"/>
            <w:hideMark/>
          </w:tcPr>
          <w:p w:rsidR="00DF584D" w:rsidRPr="00C205CD" w:rsidP="00C375B3" w14:paraId="4290B3BE" w14:textId="77777777">
            <w:pPr>
              <w:widowControl/>
              <w:autoSpaceDE/>
              <w:autoSpaceDN/>
              <w:adjustRightInd/>
              <w:rPr>
                <w:color w:val="000000"/>
                <w:sz w:val="20"/>
                <w:szCs w:val="20"/>
              </w:rPr>
            </w:pPr>
          </w:p>
        </w:tc>
        <w:tc>
          <w:tcPr>
            <w:tcW w:w="1601" w:type="dxa"/>
            <w:vMerge/>
            <w:tcBorders>
              <w:top w:val="nil"/>
              <w:left w:val="single" w:sz="8" w:space="0" w:color="auto"/>
              <w:bottom w:val="single" w:sz="8" w:space="0" w:color="000000"/>
              <w:right w:val="single" w:sz="8" w:space="0" w:color="auto"/>
            </w:tcBorders>
            <w:vAlign w:val="center"/>
            <w:hideMark/>
          </w:tcPr>
          <w:p w:rsidR="00DF584D" w:rsidRPr="00C205CD" w:rsidP="00C375B3" w14:paraId="444C5F55" w14:textId="77777777">
            <w:pPr>
              <w:widowControl/>
              <w:autoSpaceDE/>
              <w:autoSpaceDN/>
              <w:adjustRightInd/>
              <w:rPr>
                <w:color w:val="000000"/>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rsidR="00DF584D" w:rsidRPr="00C205CD" w:rsidP="00C375B3" w14:paraId="40F21B84" w14:textId="77777777">
            <w:pPr>
              <w:widowControl/>
              <w:autoSpaceDE/>
              <w:autoSpaceDN/>
              <w:adjustRightInd/>
              <w:rPr>
                <w:color w:val="000000"/>
                <w:sz w:val="20"/>
                <w:szCs w:val="20"/>
              </w:rPr>
            </w:pPr>
          </w:p>
        </w:tc>
        <w:tc>
          <w:tcPr>
            <w:tcW w:w="1311" w:type="dxa"/>
            <w:vMerge/>
            <w:tcBorders>
              <w:top w:val="nil"/>
              <w:left w:val="single" w:sz="8" w:space="0" w:color="auto"/>
              <w:bottom w:val="single" w:sz="8" w:space="0" w:color="000000"/>
              <w:right w:val="single" w:sz="8" w:space="0" w:color="auto"/>
            </w:tcBorders>
            <w:vAlign w:val="center"/>
            <w:hideMark/>
          </w:tcPr>
          <w:p w:rsidR="00DF584D" w:rsidRPr="00C205CD" w:rsidP="00C375B3" w14:paraId="2316766A" w14:textId="77777777">
            <w:pPr>
              <w:widowControl/>
              <w:autoSpaceDE/>
              <w:autoSpaceDN/>
              <w:adjustRightInd/>
              <w:rPr>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rsidR="00DF584D" w:rsidRPr="00C205CD" w:rsidP="00C375B3" w14:paraId="2FC983B8" w14:textId="77777777">
            <w:pPr>
              <w:widowControl/>
              <w:autoSpaceDE/>
              <w:autoSpaceDN/>
              <w:adjustRightInd/>
              <w:rPr>
                <w:b/>
                <w:bCs/>
                <w:color w:val="000000"/>
                <w:sz w:val="20"/>
                <w:szCs w:val="20"/>
              </w:rPr>
            </w:pPr>
          </w:p>
        </w:tc>
        <w:tc>
          <w:tcPr>
            <w:tcW w:w="1184" w:type="dxa"/>
            <w:vMerge/>
            <w:tcBorders>
              <w:top w:val="nil"/>
              <w:left w:val="single" w:sz="8" w:space="0" w:color="auto"/>
              <w:bottom w:val="single" w:sz="8" w:space="0" w:color="000000"/>
              <w:right w:val="single" w:sz="8" w:space="0" w:color="auto"/>
            </w:tcBorders>
            <w:vAlign w:val="center"/>
            <w:hideMark/>
          </w:tcPr>
          <w:p w:rsidR="00DF584D" w:rsidRPr="00C205CD" w:rsidP="00C375B3" w14:paraId="60CF010F" w14:textId="77777777">
            <w:pPr>
              <w:widowControl/>
              <w:autoSpaceDE/>
              <w:autoSpaceDN/>
              <w:adjustRightInd/>
              <w:rPr>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DF584D" w:rsidRPr="00C205CD" w:rsidP="00C375B3" w14:paraId="006886C7" w14:textId="77777777">
            <w:pPr>
              <w:widowControl/>
              <w:autoSpaceDE/>
              <w:autoSpaceDN/>
              <w:adjustRightInd/>
              <w:rPr>
                <w:b/>
                <w:bCs/>
                <w:color w:val="000000"/>
                <w:sz w:val="20"/>
                <w:szCs w:val="20"/>
              </w:rPr>
            </w:pPr>
          </w:p>
        </w:tc>
      </w:tr>
      <w:tr w14:paraId="6CBEA800" w14:textId="77777777" w:rsidTr="00DF584D">
        <w:tblPrEx>
          <w:tblW w:w="14310" w:type="dxa"/>
          <w:tblInd w:w="-540" w:type="dxa"/>
          <w:tblLook w:val="04A0"/>
        </w:tblPrEx>
        <w:trPr>
          <w:trHeight w:val="300"/>
        </w:trPr>
        <w:tc>
          <w:tcPr>
            <w:tcW w:w="290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134560A" w14:textId="77777777">
            <w:pPr>
              <w:widowControl/>
              <w:autoSpaceDE/>
              <w:autoSpaceDN/>
              <w:adjustRightInd/>
              <w:jc w:val="right"/>
              <w:rPr>
                <w:b/>
                <w:bCs/>
                <w:color w:val="000000"/>
                <w:sz w:val="20"/>
                <w:szCs w:val="20"/>
              </w:rPr>
            </w:pPr>
            <w:r w:rsidRPr="00C205CD">
              <w:rPr>
                <w:b/>
                <w:bCs/>
                <w:color w:val="000000" w:themeColor="text1"/>
                <w:sz w:val="20"/>
                <w:szCs w:val="20"/>
              </w:rPr>
              <w:t> Subtotal C.</w:t>
            </w:r>
          </w:p>
        </w:tc>
        <w:tc>
          <w:tcPr>
            <w:tcW w:w="2199" w:type="dxa"/>
            <w:vMerge w:val="restart"/>
            <w:tcBorders>
              <w:top w:val="nil"/>
              <w:left w:val="single" w:sz="8" w:space="0" w:color="auto"/>
              <w:bottom w:val="single" w:sz="8" w:space="0" w:color="000000"/>
              <w:right w:val="single" w:sz="8" w:space="0" w:color="auto"/>
            </w:tcBorders>
            <w:shd w:val="clear" w:color="000000" w:fill="F2F2F2"/>
            <w:vAlign w:val="center"/>
            <w:hideMark/>
          </w:tcPr>
          <w:p w:rsidR="00DF584D" w:rsidRPr="00C205CD" w:rsidP="00C375B3" w14:paraId="0FD5A377" w14:textId="77777777">
            <w:pPr>
              <w:widowControl/>
              <w:autoSpaceDE/>
              <w:autoSpaceDN/>
              <w:adjustRightInd/>
              <w:rPr>
                <w:color w:val="000000"/>
                <w:sz w:val="20"/>
                <w:szCs w:val="20"/>
              </w:rPr>
            </w:pPr>
            <w:r w:rsidRPr="00C205CD">
              <w:rPr>
                <w:color w:val="000000"/>
                <w:sz w:val="20"/>
                <w:szCs w:val="20"/>
              </w:rPr>
              <w:t> </w:t>
            </w:r>
          </w:p>
        </w:tc>
        <w:tc>
          <w:tcPr>
            <w:tcW w:w="1466" w:type="dxa"/>
            <w:vMerge w:val="restart"/>
            <w:tcBorders>
              <w:top w:val="nil"/>
              <w:left w:val="single" w:sz="8" w:space="0" w:color="auto"/>
              <w:bottom w:val="single" w:sz="8" w:space="0" w:color="000000"/>
              <w:right w:val="single" w:sz="8" w:space="0" w:color="auto"/>
            </w:tcBorders>
            <w:shd w:val="clear" w:color="000000" w:fill="F2F2F2"/>
            <w:vAlign w:val="center"/>
            <w:hideMark/>
          </w:tcPr>
          <w:p w:rsidR="00DF584D" w:rsidRPr="00C205CD" w:rsidP="00C375B3" w14:paraId="11ECB9F1" w14:textId="77777777">
            <w:pPr>
              <w:widowControl/>
              <w:autoSpaceDE/>
              <w:autoSpaceDN/>
              <w:adjustRightInd/>
              <w:rPr>
                <w:color w:val="000000"/>
                <w:sz w:val="20"/>
                <w:szCs w:val="20"/>
              </w:rPr>
            </w:pPr>
            <w:r w:rsidRPr="00C205CD">
              <w:rPr>
                <w:color w:val="000000"/>
                <w:sz w:val="20"/>
                <w:szCs w:val="20"/>
              </w:rPr>
              <w:t> </w:t>
            </w:r>
          </w:p>
        </w:tc>
        <w:tc>
          <w:tcPr>
            <w:tcW w:w="160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DF584D" w:rsidRPr="00C205CD" w:rsidP="00C375B3" w14:paraId="41A5FE62" w14:textId="77777777">
            <w:pPr>
              <w:widowControl/>
              <w:autoSpaceDE/>
              <w:autoSpaceDN/>
              <w:adjustRightInd/>
              <w:rPr>
                <w:color w:val="000000"/>
                <w:sz w:val="20"/>
                <w:szCs w:val="20"/>
              </w:rPr>
            </w:pPr>
            <w:r w:rsidRPr="00C205CD">
              <w:rPr>
                <w:color w:val="000000"/>
                <w:sz w:val="20"/>
                <w:szCs w:val="20"/>
              </w:rPr>
              <w:t> </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81CD969" w14:textId="77777777">
            <w:pPr>
              <w:widowControl/>
              <w:autoSpaceDE/>
              <w:autoSpaceDN/>
              <w:adjustRightInd/>
              <w:jc w:val="center"/>
              <w:rPr>
                <w:b/>
                <w:bCs/>
                <w:color w:val="000000"/>
                <w:sz w:val="20"/>
                <w:szCs w:val="20"/>
              </w:rPr>
            </w:pPr>
            <w:r w:rsidRPr="00C205CD">
              <w:rPr>
                <w:b/>
                <w:bCs/>
                <w:color w:val="000000" w:themeColor="text1"/>
                <w:sz w:val="20"/>
                <w:szCs w:val="20"/>
              </w:rPr>
              <w:t>509</w:t>
            </w:r>
          </w:p>
        </w:tc>
        <w:tc>
          <w:tcPr>
            <w:tcW w:w="1311" w:type="dxa"/>
            <w:vMerge w:val="restart"/>
            <w:tcBorders>
              <w:top w:val="nil"/>
              <w:left w:val="single" w:sz="8" w:space="0" w:color="auto"/>
              <w:bottom w:val="single" w:sz="8" w:space="0" w:color="000000"/>
              <w:right w:val="single" w:sz="8" w:space="0" w:color="auto"/>
            </w:tcBorders>
            <w:shd w:val="clear" w:color="000000" w:fill="F2F2F2"/>
            <w:vAlign w:val="center"/>
            <w:hideMark/>
          </w:tcPr>
          <w:p w:rsidR="00DF584D" w:rsidRPr="00C205CD" w:rsidP="00C375B3" w14:paraId="25CD4286" w14:textId="77777777">
            <w:pPr>
              <w:widowControl/>
              <w:autoSpaceDE/>
              <w:autoSpaceDN/>
              <w:adjustRightInd/>
              <w:rPr>
                <w:color w:val="000000"/>
                <w:sz w:val="20"/>
                <w:szCs w:val="20"/>
              </w:rPr>
            </w:pPr>
            <w:r w:rsidRPr="00C205CD">
              <w:rPr>
                <w:color w:val="000000"/>
                <w:sz w:val="20"/>
                <w:szCs w:val="20"/>
              </w:rPr>
              <w:t> </w:t>
            </w:r>
          </w:p>
        </w:tc>
        <w:tc>
          <w:tcPr>
            <w:tcW w:w="119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4E7DDD0E" w14:textId="77777777">
            <w:pPr>
              <w:widowControl/>
              <w:autoSpaceDE/>
              <w:autoSpaceDN/>
              <w:adjustRightInd/>
              <w:jc w:val="center"/>
              <w:rPr>
                <w:b/>
                <w:bCs/>
                <w:color w:val="000000"/>
                <w:sz w:val="20"/>
                <w:szCs w:val="20"/>
              </w:rPr>
            </w:pPr>
            <w:r w:rsidRPr="00C205CD">
              <w:rPr>
                <w:b/>
                <w:bCs/>
                <w:color w:val="000000" w:themeColor="text1"/>
                <w:sz w:val="20"/>
                <w:szCs w:val="20"/>
              </w:rPr>
              <w:t>829</w:t>
            </w:r>
          </w:p>
        </w:tc>
        <w:tc>
          <w:tcPr>
            <w:tcW w:w="1184" w:type="dxa"/>
            <w:vMerge w:val="restart"/>
            <w:tcBorders>
              <w:top w:val="nil"/>
              <w:left w:val="single" w:sz="8" w:space="0" w:color="auto"/>
              <w:bottom w:val="single" w:sz="8" w:space="0" w:color="000000"/>
              <w:right w:val="single" w:sz="8" w:space="0" w:color="auto"/>
            </w:tcBorders>
            <w:shd w:val="clear" w:color="000000" w:fill="F2F2F2"/>
            <w:vAlign w:val="center"/>
            <w:hideMark/>
          </w:tcPr>
          <w:p w:rsidR="00DF584D" w:rsidRPr="00C205CD" w:rsidP="00C375B3" w14:paraId="4D963BC6" w14:textId="77777777">
            <w:pPr>
              <w:widowControl/>
              <w:autoSpaceDE/>
              <w:autoSpaceDN/>
              <w:adjustRightInd/>
              <w:rPr>
                <w:color w:val="000000"/>
                <w:sz w:val="20"/>
                <w:szCs w:val="20"/>
              </w:rPr>
            </w:pPr>
            <w:r w:rsidRPr="00C205CD">
              <w:rPr>
                <w:color w:val="000000"/>
                <w:sz w:val="20"/>
                <w:szCs w:val="20"/>
              </w:rPr>
              <w:t>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7800508" w14:textId="77777777">
            <w:pPr>
              <w:widowControl/>
              <w:autoSpaceDE/>
              <w:autoSpaceDN/>
              <w:adjustRightInd/>
              <w:jc w:val="center"/>
              <w:rPr>
                <w:b/>
                <w:bCs/>
                <w:color w:val="000000"/>
                <w:sz w:val="20"/>
                <w:szCs w:val="20"/>
              </w:rPr>
            </w:pPr>
            <w:r w:rsidRPr="00C205CD">
              <w:rPr>
                <w:b/>
                <w:bCs/>
                <w:color w:val="000000" w:themeColor="text1"/>
                <w:sz w:val="20"/>
                <w:szCs w:val="20"/>
              </w:rPr>
              <w:t>$74,925</w:t>
            </w:r>
          </w:p>
        </w:tc>
      </w:tr>
      <w:tr w14:paraId="3F232992" w14:textId="77777777" w:rsidTr="00DF584D">
        <w:tblPrEx>
          <w:tblW w:w="14310" w:type="dxa"/>
          <w:tblInd w:w="-540" w:type="dxa"/>
          <w:tblLook w:val="04A0"/>
        </w:tblPrEx>
        <w:trPr>
          <w:trHeight w:val="276"/>
        </w:trPr>
        <w:tc>
          <w:tcPr>
            <w:tcW w:w="2905" w:type="dxa"/>
            <w:vMerge/>
            <w:tcBorders>
              <w:top w:val="nil"/>
              <w:left w:val="single" w:sz="8" w:space="0" w:color="auto"/>
              <w:bottom w:val="single" w:sz="8" w:space="0" w:color="000000"/>
              <w:right w:val="single" w:sz="8" w:space="0" w:color="auto"/>
            </w:tcBorders>
            <w:vAlign w:val="center"/>
            <w:hideMark/>
          </w:tcPr>
          <w:p w:rsidR="00DF584D" w:rsidRPr="00C205CD" w:rsidP="00C375B3" w14:paraId="08F5E774" w14:textId="77777777">
            <w:pPr>
              <w:widowControl/>
              <w:autoSpaceDE/>
              <w:autoSpaceDN/>
              <w:adjustRightInd/>
              <w:rPr>
                <w:b/>
                <w:bCs/>
                <w:color w:val="000000"/>
                <w:sz w:val="20"/>
                <w:szCs w:val="20"/>
              </w:rPr>
            </w:pPr>
          </w:p>
        </w:tc>
        <w:tc>
          <w:tcPr>
            <w:tcW w:w="2199" w:type="dxa"/>
            <w:vMerge/>
            <w:tcBorders>
              <w:top w:val="nil"/>
              <w:left w:val="single" w:sz="8" w:space="0" w:color="auto"/>
              <w:bottom w:val="single" w:sz="8" w:space="0" w:color="000000"/>
              <w:right w:val="single" w:sz="8" w:space="0" w:color="auto"/>
            </w:tcBorders>
            <w:vAlign w:val="center"/>
            <w:hideMark/>
          </w:tcPr>
          <w:p w:rsidR="00DF584D" w:rsidRPr="00C205CD" w:rsidP="00C375B3" w14:paraId="5CBCF59A" w14:textId="77777777">
            <w:pPr>
              <w:widowControl/>
              <w:autoSpaceDE/>
              <w:autoSpaceDN/>
              <w:adjustRightInd/>
              <w:rPr>
                <w:color w:val="000000"/>
                <w:sz w:val="20"/>
                <w:szCs w:val="20"/>
              </w:rPr>
            </w:pPr>
          </w:p>
        </w:tc>
        <w:tc>
          <w:tcPr>
            <w:tcW w:w="1466" w:type="dxa"/>
            <w:vMerge/>
            <w:tcBorders>
              <w:top w:val="nil"/>
              <w:left w:val="single" w:sz="8" w:space="0" w:color="auto"/>
              <w:bottom w:val="single" w:sz="8" w:space="0" w:color="000000"/>
              <w:right w:val="single" w:sz="8" w:space="0" w:color="auto"/>
            </w:tcBorders>
            <w:vAlign w:val="center"/>
            <w:hideMark/>
          </w:tcPr>
          <w:p w:rsidR="00DF584D" w:rsidRPr="00C205CD" w:rsidP="00C375B3" w14:paraId="5826F214" w14:textId="77777777">
            <w:pPr>
              <w:widowControl/>
              <w:autoSpaceDE/>
              <w:autoSpaceDN/>
              <w:adjustRightInd/>
              <w:rPr>
                <w:color w:val="000000"/>
                <w:sz w:val="20"/>
                <w:szCs w:val="20"/>
              </w:rPr>
            </w:pPr>
          </w:p>
        </w:tc>
        <w:tc>
          <w:tcPr>
            <w:tcW w:w="1601" w:type="dxa"/>
            <w:vMerge/>
            <w:tcBorders>
              <w:top w:val="nil"/>
              <w:left w:val="single" w:sz="8" w:space="0" w:color="auto"/>
              <w:bottom w:val="single" w:sz="8" w:space="0" w:color="000000"/>
              <w:right w:val="single" w:sz="8" w:space="0" w:color="auto"/>
            </w:tcBorders>
            <w:vAlign w:val="center"/>
            <w:hideMark/>
          </w:tcPr>
          <w:p w:rsidR="00DF584D" w:rsidRPr="00C205CD" w:rsidP="00C375B3" w14:paraId="6921E100" w14:textId="77777777">
            <w:pPr>
              <w:widowControl/>
              <w:autoSpaceDE/>
              <w:autoSpaceDN/>
              <w:adjustRightInd/>
              <w:rPr>
                <w:color w:val="000000"/>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rsidR="00DF584D" w:rsidRPr="00C205CD" w:rsidP="00C375B3" w14:paraId="53C1A0E1" w14:textId="77777777">
            <w:pPr>
              <w:widowControl/>
              <w:autoSpaceDE/>
              <w:autoSpaceDN/>
              <w:adjustRightInd/>
              <w:rPr>
                <w:b/>
                <w:bCs/>
                <w:color w:val="000000"/>
                <w:sz w:val="20"/>
                <w:szCs w:val="20"/>
              </w:rPr>
            </w:pPr>
          </w:p>
        </w:tc>
        <w:tc>
          <w:tcPr>
            <w:tcW w:w="1311" w:type="dxa"/>
            <w:vMerge/>
            <w:tcBorders>
              <w:top w:val="nil"/>
              <w:left w:val="single" w:sz="8" w:space="0" w:color="auto"/>
              <w:bottom w:val="single" w:sz="8" w:space="0" w:color="000000"/>
              <w:right w:val="single" w:sz="8" w:space="0" w:color="auto"/>
            </w:tcBorders>
            <w:vAlign w:val="center"/>
            <w:hideMark/>
          </w:tcPr>
          <w:p w:rsidR="00DF584D" w:rsidRPr="00C205CD" w:rsidP="00C375B3" w14:paraId="4645B673" w14:textId="77777777">
            <w:pPr>
              <w:widowControl/>
              <w:autoSpaceDE/>
              <w:autoSpaceDN/>
              <w:adjustRightInd/>
              <w:rPr>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rsidR="00DF584D" w:rsidRPr="00C205CD" w:rsidP="00C375B3" w14:paraId="7B752407" w14:textId="77777777">
            <w:pPr>
              <w:widowControl/>
              <w:autoSpaceDE/>
              <w:autoSpaceDN/>
              <w:adjustRightInd/>
              <w:rPr>
                <w:b/>
                <w:bCs/>
                <w:color w:val="000000"/>
                <w:sz w:val="20"/>
                <w:szCs w:val="20"/>
              </w:rPr>
            </w:pPr>
          </w:p>
        </w:tc>
        <w:tc>
          <w:tcPr>
            <w:tcW w:w="1184" w:type="dxa"/>
            <w:vMerge/>
            <w:tcBorders>
              <w:top w:val="nil"/>
              <w:left w:val="single" w:sz="8" w:space="0" w:color="auto"/>
              <w:bottom w:val="single" w:sz="8" w:space="0" w:color="000000"/>
              <w:right w:val="single" w:sz="8" w:space="0" w:color="auto"/>
            </w:tcBorders>
            <w:vAlign w:val="center"/>
            <w:hideMark/>
          </w:tcPr>
          <w:p w:rsidR="00DF584D" w:rsidRPr="00C205CD" w:rsidP="00C375B3" w14:paraId="57F420F8" w14:textId="77777777">
            <w:pPr>
              <w:widowControl/>
              <w:autoSpaceDE/>
              <w:autoSpaceDN/>
              <w:adjustRightInd/>
              <w:rPr>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DF584D" w:rsidRPr="00C205CD" w:rsidP="00C375B3" w14:paraId="4BA1B0D2" w14:textId="77777777">
            <w:pPr>
              <w:widowControl/>
              <w:autoSpaceDE/>
              <w:autoSpaceDN/>
              <w:adjustRightInd/>
              <w:rPr>
                <w:b/>
                <w:bCs/>
                <w:color w:val="000000"/>
                <w:sz w:val="20"/>
                <w:szCs w:val="20"/>
              </w:rPr>
            </w:pPr>
          </w:p>
        </w:tc>
      </w:tr>
      <w:tr w14:paraId="482E0F47" w14:textId="77777777" w:rsidTr="00D04F60">
        <w:tblPrEx>
          <w:tblW w:w="14310" w:type="dxa"/>
          <w:tblInd w:w="-540" w:type="dxa"/>
          <w:tblLook w:val="04A0"/>
        </w:tblPrEx>
        <w:trPr>
          <w:trHeight w:val="1033"/>
        </w:trPr>
        <w:tc>
          <w:tcPr>
            <w:tcW w:w="2905" w:type="dxa"/>
            <w:tcBorders>
              <w:top w:val="nil"/>
              <w:left w:val="single" w:sz="8" w:space="0" w:color="auto"/>
              <w:bottom w:val="single" w:sz="8" w:space="0" w:color="auto"/>
              <w:right w:val="single" w:sz="8" w:space="0" w:color="auto"/>
            </w:tcBorders>
            <w:shd w:val="clear" w:color="auto" w:fill="auto"/>
            <w:vAlign w:val="center"/>
            <w:hideMark/>
          </w:tcPr>
          <w:p w:rsidR="00DF584D" w:rsidRPr="00C205CD" w:rsidP="00C375B3" w14:paraId="21AB0A25" w14:textId="77777777">
            <w:pPr>
              <w:widowControl/>
              <w:autoSpaceDE/>
              <w:autoSpaceDN/>
              <w:adjustRightInd/>
              <w:rPr>
                <w:color w:val="000000"/>
                <w:sz w:val="20"/>
                <w:szCs w:val="20"/>
              </w:rPr>
            </w:pPr>
            <w:r w:rsidRPr="00C205CD">
              <w:rPr>
                <w:color w:val="000000"/>
                <w:sz w:val="20"/>
                <w:szCs w:val="20"/>
              </w:rPr>
              <w:t xml:space="preserve">D. PSM SHARP employers complete and submit the PSM Interim Year SHARP Site </w:t>
            </w:r>
            <w:r w:rsidRPr="00C205CD">
              <w:rPr>
                <w:color w:val="000000"/>
                <w:sz w:val="20"/>
                <w:szCs w:val="20"/>
              </w:rPr>
              <w:t>Self-Evaluation (29 CFR</w:t>
            </w:r>
            <w:r w:rsidRPr="00C205CD">
              <w:rPr>
                <w:color w:val="000000"/>
                <w:sz w:val="20"/>
                <w:szCs w:val="20"/>
                <w:u w:val="single"/>
              </w:rPr>
              <w:t xml:space="preserve"> </w:t>
            </w:r>
            <w:r w:rsidRPr="00C205CD">
              <w:rPr>
                <w:color w:val="000000"/>
                <w:sz w:val="20"/>
                <w:szCs w:val="20"/>
              </w:rPr>
              <w:t>1908.7(b)(4))</w:t>
            </w:r>
          </w:p>
        </w:tc>
        <w:tc>
          <w:tcPr>
            <w:tcW w:w="2199" w:type="dxa"/>
            <w:tcBorders>
              <w:top w:val="nil"/>
              <w:left w:val="nil"/>
              <w:bottom w:val="single" w:sz="8" w:space="0" w:color="auto"/>
              <w:right w:val="single" w:sz="8" w:space="0" w:color="auto"/>
            </w:tcBorders>
            <w:shd w:val="clear" w:color="auto" w:fill="auto"/>
            <w:vAlign w:val="center"/>
            <w:hideMark/>
          </w:tcPr>
          <w:p w:rsidR="00DF584D" w:rsidRPr="00C205CD" w:rsidP="00C375B3" w14:paraId="39B10149" w14:textId="77777777">
            <w:pPr>
              <w:widowControl/>
              <w:autoSpaceDE/>
              <w:autoSpaceDN/>
              <w:adjustRightInd/>
              <w:rPr>
                <w:color w:val="000000"/>
                <w:sz w:val="20"/>
                <w:szCs w:val="20"/>
              </w:rPr>
            </w:pPr>
            <w:r w:rsidRPr="00C205CD">
              <w:rPr>
                <w:color w:val="000000"/>
                <w:sz w:val="20"/>
                <w:szCs w:val="20"/>
              </w:rPr>
              <w:t>General / Operations Managers (Employers)</w:t>
            </w:r>
          </w:p>
        </w:tc>
        <w:tc>
          <w:tcPr>
            <w:tcW w:w="1466" w:type="dxa"/>
            <w:tcBorders>
              <w:top w:val="nil"/>
              <w:left w:val="nil"/>
              <w:bottom w:val="single" w:sz="8" w:space="0" w:color="auto"/>
              <w:right w:val="single" w:sz="8" w:space="0" w:color="auto"/>
            </w:tcBorders>
            <w:shd w:val="clear" w:color="auto" w:fill="auto"/>
            <w:vAlign w:val="center"/>
            <w:hideMark/>
          </w:tcPr>
          <w:p w:rsidR="00DF584D" w:rsidRPr="00C205CD" w:rsidP="00C375B3" w14:paraId="568B312C" w14:textId="77777777">
            <w:pPr>
              <w:widowControl/>
              <w:autoSpaceDE/>
              <w:autoSpaceDN/>
              <w:adjustRightInd/>
              <w:jc w:val="center"/>
              <w:rPr>
                <w:color w:val="000000"/>
                <w:sz w:val="20"/>
                <w:szCs w:val="20"/>
              </w:rPr>
            </w:pPr>
            <w:r w:rsidRPr="00C205CD">
              <w:rPr>
                <w:color w:val="000000"/>
                <w:sz w:val="20"/>
                <w:szCs w:val="20"/>
              </w:rPr>
              <w:t>4</w:t>
            </w:r>
          </w:p>
        </w:tc>
        <w:tc>
          <w:tcPr>
            <w:tcW w:w="1601" w:type="dxa"/>
            <w:tcBorders>
              <w:top w:val="nil"/>
              <w:left w:val="nil"/>
              <w:bottom w:val="single" w:sz="8" w:space="0" w:color="auto"/>
              <w:right w:val="single" w:sz="8" w:space="0" w:color="auto"/>
            </w:tcBorders>
            <w:shd w:val="clear" w:color="auto" w:fill="auto"/>
            <w:vAlign w:val="center"/>
            <w:hideMark/>
          </w:tcPr>
          <w:p w:rsidR="00DF584D" w:rsidRPr="00C205CD" w:rsidP="00C375B3" w14:paraId="34EA5527" w14:textId="77777777">
            <w:pPr>
              <w:widowControl/>
              <w:autoSpaceDE/>
              <w:autoSpaceDN/>
              <w:adjustRightInd/>
              <w:jc w:val="center"/>
              <w:rPr>
                <w:color w:val="000000"/>
                <w:sz w:val="20"/>
                <w:szCs w:val="20"/>
              </w:rPr>
            </w:pPr>
            <w:r w:rsidRPr="00C205CD">
              <w:rPr>
                <w:color w:val="000000"/>
                <w:sz w:val="20"/>
                <w:szCs w:val="20"/>
              </w:rPr>
              <w:t>1</w:t>
            </w:r>
          </w:p>
        </w:tc>
        <w:tc>
          <w:tcPr>
            <w:tcW w:w="1189" w:type="dxa"/>
            <w:tcBorders>
              <w:top w:val="nil"/>
              <w:left w:val="nil"/>
              <w:bottom w:val="single" w:sz="8" w:space="0" w:color="auto"/>
              <w:right w:val="single" w:sz="8" w:space="0" w:color="auto"/>
            </w:tcBorders>
            <w:shd w:val="clear" w:color="auto" w:fill="auto"/>
            <w:vAlign w:val="center"/>
            <w:hideMark/>
          </w:tcPr>
          <w:p w:rsidR="00DF584D" w:rsidRPr="00C205CD" w:rsidP="00C375B3" w14:paraId="1CD18FCA" w14:textId="77777777">
            <w:pPr>
              <w:widowControl/>
              <w:autoSpaceDE/>
              <w:autoSpaceDN/>
              <w:adjustRightInd/>
              <w:jc w:val="center"/>
              <w:rPr>
                <w:color w:val="000000"/>
                <w:sz w:val="20"/>
                <w:szCs w:val="20"/>
              </w:rPr>
            </w:pPr>
            <w:r w:rsidRPr="00C205CD">
              <w:rPr>
                <w:color w:val="000000"/>
                <w:sz w:val="20"/>
                <w:szCs w:val="20"/>
              </w:rPr>
              <w:t>4</w:t>
            </w:r>
          </w:p>
        </w:tc>
        <w:tc>
          <w:tcPr>
            <w:tcW w:w="1311" w:type="dxa"/>
            <w:tcBorders>
              <w:top w:val="nil"/>
              <w:left w:val="nil"/>
              <w:bottom w:val="single" w:sz="8" w:space="0" w:color="auto"/>
              <w:right w:val="single" w:sz="8" w:space="0" w:color="auto"/>
            </w:tcBorders>
            <w:shd w:val="clear" w:color="auto" w:fill="auto"/>
            <w:vAlign w:val="center"/>
            <w:hideMark/>
          </w:tcPr>
          <w:p w:rsidR="00DF584D" w:rsidRPr="00C205CD" w:rsidP="00C375B3" w14:paraId="2E85EAF6" w14:textId="3F565EC2">
            <w:pPr>
              <w:widowControl/>
              <w:autoSpaceDE/>
              <w:autoSpaceDN/>
              <w:adjustRightInd/>
              <w:jc w:val="center"/>
              <w:rPr>
                <w:color w:val="000000"/>
                <w:sz w:val="20"/>
                <w:szCs w:val="20"/>
              </w:rPr>
            </w:pPr>
            <w:r>
              <w:rPr>
                <w:color w:val="000000"/>
                <w:sz w:val="20"/>
                <w:szCs w:val="20"/>
              </w:rPr>
              <w:t>T</w:t>
            </w:r>
            <w:r w:rsidRPr="00C205CD">
              <w:rPr>
                <w:color w:val="000000"/>
                <w:sz w:val="20"/>
                <w:szCs w:val="20"/>
              </w:rPr>
              <w:t>4</w:t>
            </w:r>
          </w:p>
        </w:tc>
        <w:tc>
          <w:tcPr>
            <w:tcW w:w="1195" w:type="dxa"/>
            <w:tcBorders>
              <w:top w:val="nil"/>
              <w:left w:val="nil"/>
              <w:bottom w:val="single" w:sz="8" w:space="0" w:color="auto"/>
              <w:right w:val="single" w:sz="8" w:space="0" w:color="auto"/>
            </w:tcBorders>
            <w:shd w:val="clear" w:color="auto" w:fill="auto"/>
            <w:vAlign w:val="center"/>
            <w:hideMark/>
          </w:tcPr>
          <w:p w:rsidR="00DF584D" w:rsidRPr="00C205CD" w:rsidP="00C375B3" w14:paraId="6293AA25" w14:textId="77777777">
            <w:pPr>
              <w:widowControl/>
              <w:autoSpaceDE/>
              <w:autoSpaceDN/>
              <w:adjustRightInd/>
              <w:jc w:val="center"/>
              <w:rPr>
                <w:b/>
                <w:bCs/>
                <w:color w:val="000000"/>
                <w:sz w:val="20"/>
                <w:szCs w:val="20"/>
              </w:rPr>
            </w:pPr>
            <w:r w:rsidRPr="00C205CD">
              <w:rPr>
                <w:b/>
                <w:bCs/>
                <w:color w:val="000000"/>
                <w:sz w:val="20"/>
                <w:szCs w:val="20"/>
              </w:rPr>
              <w:t>16</w:t>
            </w:r>
          </w:p>
        </w:tc>
        <w:tc>
          <w:tcPr>
            <w:tcW w:w="1184" w:type="dxa"/>
            <w:tcBorders>
              <w:top w:val="nil"/>
              <w:left w:val="nil"/>
              <w:bottom w:val="single" w:sz="8" w:space="0" w:color="auto"/>
              <w:right w:val="single" w:sz="8" w:space="0" w:color="auto"/>
            </w:tcBorders>
            <w:shd w:val="clear" w:color="auto" w:fill="auto"/>
            <w:vAlign w:val="center"/>
            <w:hideMark/>
          </w:tcPr>
          <w:p w:rsidR="00DF584D" w:rsidRPr="00C205CD" w:rsidP="00C375B3" w14:paraId="55F331EB" w14:textId="77777777">
            <w:pPr>
              <w:widowControl/>
              <w:autoSpaceDE/>
              <w:autoSpaceDN/>
              <w:adjustRightInd/>
              <w:jc w:val="center"/>
              <w:rPr>
                <w:color w:val="000000"/>
                <w:sz w:val="20"/>
                <w:szCs w:val="20"/>
              </w:rPr>
            </w:pPr>
            <w:r w:rsidRPr="00C205CD">
              <w:rPr>
                <w:color w:val="000000"/>
                <w:sz w:val="20"/>
                <w:szCs w:val="20"/>
              </w:rPr>
              <w:t xml:space="preserve">$90.38 </w:t>
            </w:r>
          </w:p>
        </w:tc>
        <w:tc>
          <w:tcPr>
            <w:tcW w:w="1260" w:type="dxa"/>
            <w:tcBorders>
              <w:top w:val="nil"/>
              <w:left w:val="nil"/>
              <w:bottom w:val="single" w:sz="8" w:space="0" w:color="auto"/>
              <w:right w:val="single" w:sz="8" w:space="0" w:color="auto"/>
            </w:tcBorders>
            <w:shd w:val="clear" w:color="auto" w:fill="auto"/>
            <w:vAlign w:val="center"/>
            <w:hideMark/>
          </w:tcPr>
          <w:p w:rsidR="00DF584D" w:rsidRPr="00C205CD" w:rsidP="00C375B3" w14:paraId="6DCEF476" w14:textId="77777777">
            <w:pPr>
              <w:widowControl/>
              <w:autoSpaceDE/>
              <w:autoSpaceDN/>
              <w:adjustRightInd/>
              <w:jc w:val="center"/>
              <w:rPr>
                <w:color w:val="000000"/>
                <w:sz w:val="20"/>
                <w:szCs w:val="20"/>
              </w:rPr>
            </w:pPr>
            <w:r w:rsidRPr="00C205CD">
              <w:rPr>
                <w:color w:val="000000" w:themeColor="text1"/>
                <w:sz w:val="20"/>
                <w:szCs w:val="20"/>
              </w:rPr>
              <w:t xml:space="preserve">$1,446 </w:t>
            </w:r>
          </w:p>
        </w:tc>
      </w:tr>
      <w:tr w14:paraId="3C664AC7" w14:textId="77777777" w:rsidTr="00D04F60">
        <w:tblPrEx>
          <w:tblW w:w="14310" w:type="dxa"/>
          <w:tblInd w:w="-540" w:type="dxa"/>
          <w:tblLook w:val="04A0"/>
        </w:tblPrEx>
        <w:trPr>
          <w:trHeight w:val="1312"/>
        </w:trPr>
        <w:tc>
          <w:tcPr>
            <w:tcW w:w="2905" w:type="dxa"/>
            <w:tcBorders>
              <w:top w:val="nil"/>
              <w:left w:val="single" w:sz="8" w:space="0" w:color="auto"/>
              <w:bottom w:val="single" w:sz="8" w:space="0" w:color="auto"/>
              <w:right w:val="single" w:sz="8" w:space="0" w:color="auto"/>
            </w:tcBorders>
            <w:shd w:val="clear" w:color="auto" w:fill="auto"/>
            <w:vAlign w:val="center"/>
            <w:hideMark/>
          </w:tcPr>
          <w:p w:rsidR="00DF584D" w:rsidRPr="00C205CD" w:rsidP="00C375B3" w14:paraId="1ADFAEC0" w14:textId="77777777">
            <w:pPr>
              <w:widowControl/>
              <w:autoSpaceDE/>
              <w:autoSpaceDN/>
              <w:adjustRightInd/>
              <w:rPr>
                <w:color w:val="000000"/>
                <w:sz w:val="20"/>
                <w:szCs w:val="20"/>
              </w:rPr>
            </w:pPr>
            <w:r w:rsidRPr="00C205CD">
              <w:rPr>
                <w:color w:val="000000"/>
                <w:sz w:val="20"/>
                <w:szCs w:val="20"/>
              </w:rPr>
              <w:t>E. All SHARP employers complete and submit the Interim Year SHARP Site Self-Evaluation (29 CFR</w:t>
            </w:r>
            <w:r w:rsidRPr="00C205CD">
              <w:rPr>
                <w:color w:val="000000"/>
                <w:sz w:val="20"/>
                <w:szCs w:val="20"/>
                <w:u w:val="single"/>
              </w:rPr>
              <w:t xml:space="preserve"> </w:t>
            </w:r>
            <w:r w:rsidRPr="00C205CD">
              <w:rPr>
                <w:color w:val="000000"/>
                <w:sz w:val="20"/>
                <w:szCs w:val="20"/>
              </w:rPr>
              <w:t>1908.7(b)(4))</w:t>
            </w:r>
          </w:p>
        </w:tc>
        <w:tc>
          <w:tcPr>
            <w:tcW w:w="2199" w:type="dxa"/>
            <w:tcBorders>
              <w:top w:val="nil"/>
              <w:left w:val="nil"/>
              <w:bottom w:val="single" w:sz="8" w:space="0" w:color="auto"/>
              <w:right w:val="single" w:sz="8" w:space="0" w:color="auto"/>
            </w:tcBorders>
            <w:shd w:val="clear" w:color="auto" w:fill="auto"/>
            <w:vAlign w:val="center"/>
            <w:hideMark/>
          </w:tcPr>
          <w:p w:rsidR="00DF584D" w:rsidRPr="00C205CD" w:rsidP="00C375B3" w14:paraId="123FB945" w14:textId="77777777">
            <w:pPr>
              <w:widowControl/>
              <w:autoSpaceDE/>
              <w:autoSpaceDN/>
              <w:adjustRightInd/>
              <w:rPr>
                <w:color w:val="000000"/>
                <w:sz w:val="20"/>
                <w:szCs w:val="20"/>
              </w:rPr>
            </w:pPr>
            <w:r w:rsidRPr="00C205CD">
              <w:rPr>
                <w:color w:val="000000"/>
                <w:sz w:val="20"/>
                <w:szCs w:val="20"/>
              </w:rPr>
              <w:t xml:space="preserve">General / Operations Managers </w:t>
            </w:r>
            <w:r w:rsidRPr="00C205CD">
              <w:rPr>
                <w:color w:val="000000"/>
                <w:sz w:val="20"/>
                <w:szCs w:val="20"/>
              </w:rPr>
              <w:t>(Employers)</w:t>
            </w:r>
          </w:p>
        </w:tc>
        <w:tc>
          <w:tcPr>
            <w:tcW w:w="1466" w:type="dxa"/>
            <w:tcBorders>
              <w:top w:val="nil"/>
              <w:left w:val="nil"/>
              <w:bottom w:val="single" w:sz="8" w:space="0" w:color="auto"/>
              <w:right w:val="single" w:sz="8" w:space="0" w:color="auto"/>
            </w:tcBorders>
            <w:shd w:val="clear" w:color="auto" w:fill="auto"/>
            <w:vAlign w:val="center"/>
            <w:hideMark/>
          </w:tcPr>
          <w:p w:rsidR="00DF584D" w:rsidRPr="00C205CD" w:rsidP="00C375B3" w14:paraId="31B3446A" w14:textId="77777777">
            <w:pPr>
              <w:widowControl/>
              <w:autoSpaceDE/>
              <w:autoSpaceDN/>
              <w:adjustRightInd/>
              <w:jc w:val="center"/>
              <w:rPr>
                <w:color w:val="000000"/>
                <w:sz w:val="20"/>
                <w:szCs w:val="20"/>
              </w:rPr>
            </w:pPr>
            <w:r w:rsidRPr="00C205CD">
              <w:rPr>
                <w:color w:val="000000"/>
                <w:sz w:val="20"/>
                <w:szCs w:val="20"/>
              </w:rPr>
              <w:t>1,023</w:t>
            </w:r>
          </w:p>
        </w:tc>
        <w:tc>
          <w:tcPr>
            <w:tcW w:w="1601" w:type="dxa"/>
            <w:tcBorders>
              <w:top w:val="nil"/>
              <w:left w:val="nil"/>
              <w:bottom w:val="single" w:sz="8" w:space="0" w:color="auto"/>
              <w:right w:val="single" w:sz="8" w:space="0" w:color="auto"/>
            </w:tcBorders>
            <w:shd w:val="clear" w:color="auto" w:fill="auto"/>
            <w:vAlign w:val="center"/>
            <w:hideMark/>
          </w:tcPr>
          <w:p w:rsidR="00DF584D" w:rsidRPr="00C205CD" w:rsidP="00C375B3" w14:paraId="455460C3" w14:textId="77777777">
            <w:pPr>
              <w:widowControl/>
              <w:autoSpaceDE/>
              <w:autoSpaceDN/>
              <w:adjustRightInd/>
              <w:jc w:val="center"/>
              <w:rPr>
                <w:color w:val="000000"/>
                <w:sz w:val="20"/>
                <w:szCs w:val="20"/>
              </w:rPr>
            </w:pPr>
            <w:r w:rsidRPr="00C205CD">
              <w:rPr>
                <w:color w:val="000000"/>
                <w:sz w:val="20"/>
                <w:szCs w:val="20"/>
              </w:rPr>
              <w:t>1</w:t>
            </w:r>
          </w:p>
        </w:tc>
        <w:tc>
          <w:tcPr>
            <w:tcW w:w="1189" w:type="dxa"/>
            <w:tcBorders>
              <w:top w:val="nil"/>
              <w:left w:val="nil"/>
              <w:bottom w:val="single" w:sz="8" w:space="0" w:color="auto"/>
              <w:right w:val="single" w:sz="8" w:space="0" w:color="auto"/>
            </w:tcBorders>
            <w:shd w:val="clear" w:color="auto" w:fill="auto"/>
            <w:vAlign w:val="center"/>
            <w:hideMark/>
          </w:tcPr>
          <w:p w:rsidR="00DF584D" w:rsidRPr="00C205CD" w:rsidP="00C375B3" w14:paraId="5110F2E7" w14:textId="77777777">
            <w:pPr>
              <w:widowControl/>
              <w:autoSpaceDE/>
              <w:autoSpaceDN/>
              <w:adjustRightInd/>
              <w:jc w:val="center"/>
              <w:rPr>
                <w:color w:val="000000"/>
                <w:sz w:val="20"/>
                <w:szCs w:val="20"/>
              </w:rPr>
            </w:pPr>
            <w:r w:rsidRPr="00C205CD">
              <w:rPr>
                <w:color w:val="000000"/>
                <w:sz w:val="20"/>
                <w:szCs w:val="20"/>
              </w:rPr>
              <w:t>1,023</w:t>
            </w:r>
          </w:p>
        </w:tc>
        <w:tc>
          <w:tcPr>
            <w:tcW w:w="1311" w:type="dxa"/>
            <w:tcBorders>
              <w:top w:val="nil"/>
              <w:left w:val="nil"/>
              <w:bottom w:val="single" w:sz="8" w:space="0" w:color="auto"/>
              <w:right w:val="single" w:sz="8" w:space="0" w:color="auto"/>
            </w:tcBorders>
            <w:shd w:val="clear" w:color="auto" w:fill="auto"/>
            <w:vAlign w:val="center"/>
            <w:hideMark/>
          </w:tcPr>
          <w:p w:rsidR="00DF584D" w:rsidRPr="00C205CD" w:rsidP="00C375B3" w14:paraId="12436E7F" w14:textId="77777777">
            <w:pPr>
              <w:widowControl/>
              <w:autoSpaceDE/>
              <w:autoSpaceDN/>
              <w:adjustRightInd/>
              <w:jc w:val="center"/>
              <w:rPr>
                <w:color w:val="000000"/>
                <w:sz w:val="20"/>
                <w:szCs w:val="20"/>
              </w:rPr>
            </w:pPr>
            <w:r w:rsidRPr="00C205CD">
              <w:rPr>
                <w:color w:val="000000"/>
                <w:sz w:val="20"/>
                <w:szCs w:val="20"/>
              </w:rPr>
              <w:t>3</w:t>
            </w:r>
          </w:p>
        </w:tc>
        <w:tc>
          <w:tcPr>
            <w:tcW w:w="1195" w:type="dxa"/>
            <w:tcBorders>
              <w:top w:val="nil"/>
              <w:left w:val="nil"/>
              <w:bottom w:val="single" w:sz="8" w:space="0" w:color="auto"/>
              <w:right w:val="single" w:sz="8" w:space="0" w:color="auto"/>
            </w:tcBorders>
            <w:shd w:val="clear" w:color="auto" w:fill="auto"/>
            <w:vAlign w:val="center"/>
            <w:hideMark/>
          </w:tcPr>
          <w:p w:rsidR="00DF584D" w:rsidRPr="00C205CD" w:rsidP="00C375B3" w14:paraId="3FF2CB2A" w14:textId="77777777">
            <w:pPr>
              <w:widowControl/>
              <w:autoSpaceDE/>
              <w:autoSpaceDN/>
              <w:adjustRightInd/>
              <w:jc w:val="center"/>
              <w:rPr>
                <w:b/>
                <w:bCs/>
                <w:color w:val="000000"/>
                <w:sz w:val="20"/>
                <w:szCs w:val="20"/>
              </w:rPr>
            </w:pPr>
            <w:r w:rsidRPr="00C205CD">
              <w:rPr>
                <w:b/>
                <w:bCs/>
                <w:color w:val="000000"/>
                <w:sz w:val="20"/>
                <w:szCs w:val="20"/>
              </w:rPr>
              <w:t>3,069</w:t>
            </w:r>
          </w:p>
        </w:tc>
        <w:tc>
          <w:tcPr>
            <w:tcW w:w="1184" w:type="dxa"/>
            <w:tcBorders>
              <w:top w:val="nil"/>
              <w:left w:val="nil"/>
              <w:bottom w:val="single" w:sz="8" w:space="0" w:color="auto"/>
              <w:right w:val="single" w:sz="8" w:space="0" w:color="auto"/>
            </w:tcBorders>
            <w:shd w:val="clear" w:color="auto" w:fill="auto"/>
            <w:vAlign w:val="center"/>
            <w:hideMark/>
          </w:tcPr>
          <w:p w:rsidR="00DF584D" w:rsidRPr="00C205CD" w:rsidP="00C375B3" w14:paraId="6068D99B" w14:textId="77777777">
            <w:pPr>
              <w:widowControl/>
              <w:autoSpaceDE/>
              <w:autoSpaceDN/>
              <w:adjustRightInd/>
              <w:jc w:val="center"/>
              <w:rPr>
                <w:color w:val="000000"/>
                <w:sz w:val="20"/>
                <w:szCs w:val="20"/>
              </w:rPr>
            </w:pPr>
            <w:r w:rsidRPr="00C205CD">
              <w:rPr>
                <w:color w:val="000000"/>
                <w:sz w:val="20"/>
                <w:szCs w:val="20"/>
              </w:rPr>
              <w:t xml:space="preserve">$90.38 </w:t>
            </w:r>
          </w:p>
        </w:tc>
        <w:tc>
          <w:tcPr>
            <w:tcW w:w="1260" w:type="dxa"/>
            <w:tcBorders>
              <w:top w:val="nil"/>
              <w:left w:val="nil"/>
              <w:bottom w:val="single" w:sz="8" w:space="0" w:color="auto"/>
              <w:right w:val="single" w:sz="8" w:space="0" w:color="auto"/>
            </w:tcBorders>
            <w:shd w:val="clear" w:color="auto" w:fill="auto"/>
            <w:vAlign w:val="center"/>
            <w:hideMark/>
          </w:tcPr>
          <w:p w:rsidR="00DF584D" w:rsidRPr="00C205CD" w:rsidP="00C375B3" w14:paraId="3170F6DC" w14:textId="77777777">
            <w:pPr>
              <w:widowControl/>
              <w:autoSpaceDE/>
              <w:autoSpaceDN/>
              <w:adjustRightInd/>
              <w:jc w:val="center"/>
              <w:rPr>
                <w:color w:val="000000"/>
                <w:sz w:val="20"/>
                <w:szCs w:val="20"/>
              </w:rPr>
            </w:pPr>
            <w:r w:rsidRPr="00C205CD">
              <w:rPr>
                <w:color w:val="000000" w:themeColor="text1"/>
                <w:sz w:val="20"/>
                <w:szCs w:val="20"/>
              </w:rPr>
              <w:t xml:space="preserve">$277,376 </w:t>
            </w:r>
          </w:p>
        </w:tc>
      </w:tr>
      <w:tr w14:paraId="2379C041" w14:textId="77777777" w:rsidTr="00D04F60">
        <w:tblPrEx>
          <w:tblW w:w="14310" w:type="dxa"/>
          <w:tblInd w:w="-540" w:type="dxa"/>
          <w:tblLook w:val="04A0"/>
        </w:tblPrEx>
        <w:trPr>
          <w:trHeight w:val="1222"/>
        </w:trPr>
        <w:tc>
          <w:tcPr>
            <w:tcW w:w="2905" w:type="dxa"/>
            <w:tcBorders>
              <w:top w:val="nil"/>
              <w:left w:val="single" w:sz="8" w:space="0" w:color="auto"/>
              <w:bottom w:val="single" w:sz="8" w:space="0" w:color="auto"/>
              <w:right w:val="single" w:sz="8" w:space="0" w:color="auto"/>
            </w:tcBorders>
            <w:shd w:val="clear" w:color="auto" w:fill="auto"/>
            <w:vAlign w:val="center"/>
            <w:hideMark/>
          </w:tcPr>
          <w:p w:rsidR="00DF584D" w:rsidRPr="00C205CD" w:rsidP="00C375B3" w14:paraId="5166CE73" w14:textId="77777777">
            <w:pPr>
              <w:widowControl/>
              <w:autoSpaceDE/>
              <w:autoSpaceDN/>
              <w:adjustRightInd/>
              <w:rPr>
                <w:color w:val="000000"/>
                <w:sz w:val="20"/>
                <w:szCs w:val="20"/>
              </w:rPr>
            </w:pPr>
            <w:r w:rsidRPr="00C205CD">
              <w:rPr>
                <w:color w:val="000000"/>
                <w:sz w:val="20"/>
                <w:szCs w:val="20"/>
              </w:rPr>
              <w:t>F. Employers participating in SHARP or Pre-SHARP work with On-Site Consultation programs to develop the Action Plan Template (1908.7(b)(4))</w:t>
            </w:r>
          </w:p>
        </w:tc>
        <w:tc>
          <w:tcPr>
            <w:tcW w:w="2199" w:type="dxa"/>
            <w:tcBorders>
              <w:top w:val="nil"/>
              <w:left w:val="nil"/>
              <w:bottom w:val="single" w:sz="8" w:space="0" w:color="auto"/>
              <w:right w:val="single" w:sz="8" w:space="0" w:color="auto"/>
            </w:tcBorders>
            <w:shd w:val="clear" w:color="auto" w:fill="auto"/>
            <w:vAlign w:val="center"/>
            <w:hideMark/>
          </w:tcPr>
          <w:p w:rsidR="00DF584D" w:rsidRPr="00C205CD" w:rsidP="00C375B3" w14:paraId="700AE53F" w14:textId="77777777">
            <w:pPr>
              <w:widowControl/>
              <w:autoSpaceDE/>
              <w:autoSpaceDN/>
              <w:adjustRightInd/>
              <w:rPr>
                <w:color w:val="000000"/>
                <w:sz w:val="20"/>
                <w:szCs w:val="20"/>
              </w:rPr>
            </w:pPr>
            <w:r w:rsidRPr="00C205CD">
              <w:rPr>
                <w:color w:val="000000"/>
                <w:sz w:val="20"/>
                <w:szCs w:val="20"/>
              </w:rPr>
              <w:t>General / Operations Managers (Employers)</w:t>
            </w:r>
          </w:p>
        </w:tc>
        <w:tc>
          <w:tcPr>
            <w:tcW w:w="1466" w:type="dxa"/>
            <w:tcBorders>
              <w:top w:val="nil"/>
              <w:left w:val="nil"/>
              <w:bottom w:val="single" w:sz="8" w:space="0" w:color="auto"/>
              <w:right w:val="single" w:sz="8" w:space="0" w:color="auto"/>
            </w:tcBorders>
            <w:shd w:val="clear" w:color="auto" w:fill="auto"/>
            <w:vAlign w:val="center"/>
            <w:hideMark/>
          </w:tcPr>
          <w:p w:rsidR="00DF584D" w:rsidRPr="00C205CD" w:rsidP="00C375B3" w14:paraId="6D098910" w14:textId="77777777">
            <w:pPr>
              <w:widowControl/>
              <w:autoSpaceDE/>
              <w:autoSpaceDN/>
              <w:adjustRightInd/>
              <w:jc w:val="center"/>
              <w:rPr>
                <w:color w:val="000000"/>
                <w:sz w:val="20"/>
                <w:szCs w:val="20"/>
              </w:rPr>
            </w:pPr>
            <w:r w:rsidRPr="00C205CD">
              <w:rPr>
                <w:color w:val="000000"/>
                <w:sz w:val="20"/>
                <w:szCs w:val="20"/>
              </w:rPr>
              <w:t>1,153</w:t>
            </w:r>
          </w:p>
        </w:tc>
        <w:tc>
          <w:tcPr>
            <w:tcW w:w="1601" w:type="dxa"/>
            <w:tcBorders>
              <w:top w:val="nil"/>
              <w:left w:val="nil"/>
              <w:bottom w:val="single" w:sz="8" w:space="0" w:color="auto"/>
              <w:right w:val="single" w:sz="8" w:space="0" w:color="auto"/>
            </w:tcBorders>
            <w:shd w:val="clear" w:color="auto" w:fill="auto"/>
            <w:vAlign w:val="center"/>
            <w:hideMark/>
          </w:tcPr>
          <w:p w:rsidR="00DF584D" w:rsidRPr="00C205CD" w:rsidP="00C375B3" w14:paraId="21DC094D" w14:textId="77777777">
            <w:pPr>
              <w:widowControl/>
              <w:autoSpaceDE/>
              <w:autoSpaceDN/>
              <w:adjustRightInd/>
              <w:jc w:val="center"/>
              <w:rPr>
                <w:color w:val="000000"/>
                <w:sz w:val="20"/>
                <w:szCs w:val="20"/>
              </w:rPr>
            </w:pPr>
            <w:r w:rsidRPr="00C205CD">
              <w:rPr>
                <w:color w:val="000000"/>
                <w:sz w:val="20"/>
                <w:szCs w:val="20"/>
              </w:rPr>
              <w:t>1</w:t>
            </w:r>
          </w:p>
        </w:tc>
        <w:tc>
          <w:tcPr>
            <w:tcW w:w="1189" w:type="dxa"/>
            <w:tcBorders>
              <w:top w:val="nil"/>
              <w:left w:val="nil"/>
              <w:bottom w:val="single" w:sz="8" w:space="0" w:color="auto"/>
              <w:right w:val="single" w:sz="8" w:space="0" w:color="auto"/>
            </w:tcBorders>
            <w:shd w:val="clear" w:color="auto" w:fill="auto"/>
            <w:vAlign w:val="center"/>
            <w:hideMark/>
          </w:tcPr>
          <w:p w:rsidR="00DF584D" w:rsidRPr="00C205CD" w:rsidP="00C375B3" w14:paraId="115D8466" w14:textId="77777777">
            <w:pPr>
              <w:widowControl/>
              <w:autoSpaceDE/>
              <w:autoSpaceDN/>
              <w:adjustRightInd/>
              <w:jc w:val="center"/>
              <w:rPr>
                <w:color w:val="000000"/>
                <w:sz w:val="20"/>
                <w:szCs w:val="20"/>
              </w:rPr>
            </w:pPr>
            <w:r w:rsidRPr="00C205CD">
              <w:rPr>
                <w:color w:val="000000"/>
                <w:sz w:val="20"/>
                <w:szCs w:val="20"/>
              </w:rPr>
              <w:t>1,153</w:t>
            </w:r>
          </w:p>
        </w:tc>
        <w:tc>
          <w:tcPr>
            <w:tcW w:w="1311" w:type="dxa"/>
            <w:tcBorders>
              <w:top w:val="nil"/>
              <w:left w:val="nil"/>
              <w:bottom w:val="single" w:sz="8" w:space="0" w:color="auto"/>
              <w:right w:val="single" w:sz="8" w:space="0" w:color="auto"/>
            </w:tcBorders>
            <w:shd w:val="clear" w:color="auto" w:fill="auto"/>
            <w:vAlign w:val="center"/>
            <w:hideMark/>
          </w:tcPr>
          <w:p w:rsidR="00DF584D" w:rsidRPr="00C205CD" w:rsidP="00C375B3" w14:paraId="4BAD0416" w14:textId="77777777">
            <w:pPr>
              <w:widowControl/>
              <w:autoSpaceDE/>
              <w:autoSpaceDN/>
              <w:adjustRightInd/>
              <w:jc w:val="center"/>
              <w:rPr>
                <w:color w:val="000000"/>
                <w:sz w:val="20"/>
                <w:szCs w:val="20"/>
              </w:rPr>
            </w:pPr>
            <w:r w:rsidRPr="00C205CD">
              <w:rPr>
                <w:color w:val="000000"/>
                <w:sz w:val="20"/>
                <w:szCs w:val="20"/>
              </w:rPr>
              <w:t>4</w:t>
            </w:r>
          </w:p>
        </w:tc>
        <w:tc>
          <w:tcPr>
            <w:tcW w:w="1195" w:type="dxa"/>
            <w:tcBorders>
              <w:top w:val="nil"/>
              <w:left w:val="nil"/>
              <w:bottom w:val="single" w:sz="8" w:space="0" w:color="auto"/>
              <w:right w:val="single" w:sz="8" w:space="0" w:color="auto"/>
            </w:tcBorders>
            <w:shd w:val="clear" w:color="auto" w:fill="auto"/>
            <w:vAlign w:val="center"/>
            <w:hideMark/>
          </w:tcPr>
          <w:p w:rsidR="00DF584D" w:rsidRPr="00C205CD" w:rsidP="00C375B3" w14:paraId="4782A153" w14:textId="77777777">
            <w:pPr>
              <w:widowControl/>
              <w:autoSpaceDE/>
              <w:autoSpaceDN/>
              <w:adjustRightInd/>
              <w:jc w:val="center"/>
              <w:rPr>
                <w:b/>
                <w:bCs/>
                <w:color w:val="000000"/>
                <w:sz w:val="20"/>
                <w:szCs w:val="20"/>
              </w:rPr>
            </w:pPr>
            <w:r w:rsidRPr="00C205CD">
              <w:rPr>
                <w:b/>
                <w:bCs/>
                <w:color w:val="000000"/>
                <w:sz w:val="20"/>
                <w:szCs w:val="20"/>
              </w:rPr>
              <w:t>4,612</w:t>
            </w:r>
          </w:p>
        </w:tc>
        <w:tc>
          <w:tcPr>
            <w:tcW w:w="1184" w:type="dxa"/>
            <w:tcBorders>
              <w:top w:val="nil"/>
              <w:left w:val="nil"/>
              <w:bottom w:val="single" w:sz="8" w:space="0" w:color="auto"/>
              <w:right w:val="single" w:sz="8" w:space="0" w:color="auto"/>
            </w:tcBorders>
            <w:shd w:val="clear" w:color="auto" w:fill="auto"/>
            <w:vAlign w:val="center"/>
            <w:hideMark/>
          </w:tcPr>
          <w:p w:rsidR="00DF584D" w:rsidRPr="00C205CD" w:rsidP="00C375B3" w14:paraId="7973C51D" w14:textId="77777777">
            <w:pPr>
              <w:widowControl/>
              <w:autoSpaceDE/>
              <w:autoSpaceDN/>
              <w:adjustRightInd/>
              <w:jc w:val="center"/>
              <w:rPr>
                <w:color w:val="000000"/>
                <w:sz w:val="20"/>
                <w:szCs w:val="20"/>
              </w:rPr>
            </w:pPr>
            <w:r w:rsidRPr="00C205CD">
              <w:rPr>
                <w:color w:val="000000"/>
                <w:sz w:val="20"/>
                <w:szCs w:val="20"/>
              </w:rPr>
              <w:t xml:space="preserve">$90.38 </w:t>
            </w:r>
          </w:p>
        </w:tc>
        <w:tc>
          <w:tcPr>
            <w:tcW w:w="1260" w:type="dxa"/>
            <w:tcBorders>
              <w:top w:val="nil"/>
              <w:left w:val="nil"/>
              <w:bottom w:val="single" w:sz="8" w:space="0" w:color="auto"/>
              <w:right w:val="single" w:sz="8" w:space="0" w:color="auto"/>
            </w:tcBorders>
            <w:shd w:val="clear" w:color="auto" w:fill="auto"/>
            <w:vAlign w:val="center"/>
            <w:hideMark/>
          </w:tcPr>
          <w:p w:rsidR="00DF584D" w:rsidRPr="00C205CD" w:rsidP="00C375B3" w14:paraId="695DF32D" w14:textId="77777777">
            <w:pPr>
              <w:widowControl/>
              <w:autoSpaceDE/>
              <w:autoSpaceDN/>
              <w:adjustRightInd/>
              <w:jc w:val="center"/>
              <w:rPr>
                <w:color w:val="000000"/>
                <w:sz w:val="20"/>
                <w:szCs w:val="20"/>
              </w:rPr>
            </w:pPr>
            <w:r w:rsidRPr="00C205CD">
              <w:rPr>
                <w:color w:val="000000"/>
                <w:sz w:val="20"/>
                <w:szCs w:val="20"/>
              </w:rPr>
              <w:t xml:space="preserve">$416,823 </w:t>
            </w:r>
          </w:p>
        </w:tc>
      </w:tr>
      <w:tr w14:paraId="4B1CE3BD" w14:textId="77777777" w:rsidTr="00DF584D">
        <w:tblPrEx>
          <w:tblW w:w="14310" w:type="dxa"/>
          <w:tblInd w:w="-540" w:type="dxa"/>
          <w:tblLook w:val="04A0"/>
        </w:tblPrEx>
        <w:trPr>
          <w:trHeight w:val="1185"/>
        </w:trPr>
        <w:tc>
          <w:tcPr>
            <w:tcW w:w="290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43B57BB" w14:textId="77777777">
            <w:pPr>
              <w:widowControl/>
              <w:autoSpaceDE/>
              <w:autoSpaceDN/>
              <w:adjustRightInd/>
              <w:rPr>
                <w:color w:val="000000"/>
                <w:sz w:val="20"/>
                <w:szCs w:val="20"/>
              </w:rPr>
            </w:pPr>
            <w:r w:rsidRPr="00C205CD">
              <w:rPr>
                <w:color w:val="000000"/>
                <w:sz w:val="20"/>
                <w:szCs w:val="20"/>
              </w:rPr>
              <w:t>G. Employers participating in SHARP or Pre-SHARP may apply the Optional Safety and Health Program Action Plan Tool (29 CFR</w:t>
            </w:r>
            <w:r w:rsidRPr="00C205CD">
              <w:rPr>
                <w:color w:val="000000"/>
                <w:sz w:val="20"/>
                <w:szCs w:val="20"/>
                <w:u w:val="single"/>
              </w:rPr>
              <w:t xml:space="preserve"> </w:t>
            </w:r>
            <w:r w:rsidRPr="00C205CD">
              <w:rPr>
                <w:color w:val="000000"/>
                <w:sz w:val="20"/>
                <w:szCs w:val="20"/>
              </w:rPr>
              <w:t>1908.7(b)(4))</w:t>
            </w:r>
          </w:p>
        </w:tc>
        <w:tc>
          <w:tcPr>
            <w:tcW w:w="219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03A17DB3" w14:textId="77777777">
            <w:pPr>
              <w:widowControl/>
              <w:autoSpaceDE/>
              <w:autoSpaceDN/>
              <w:adjustRightInd/>
              <w:rPr>
                <w:color w:val="000000"/>
                <w:sz w:val="20"/>
                <w:szCs w:val="20"/>
              </w:rPr>
            </w:pPr>
            <w:r w:rsidRPr="00C205CD">
              <w:rPr>
                <w:color w:val="000000"/>
                <w:sz w:val="20"/>
                <w:szCs w:val="20"/>
              </w:rPr>
              <w:t>General / Operations Managers (Employers)</w:t>
            </w:r>
          </w:p>
        </w:tc>
        <w:tc>
          <w:tcPr>
            <w:tcW w:w="1466"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655FEA8E" w14:textId="77777777">
            <w:pPr>
              <w:widowControl/>
              <w:autoSpaceDE/>
              <w:autoSpaceDN/>
              <w:adjustRightInd/>
              <w:jc w:val="center"/>
              <w:rPr>
                <w:color w:val="000000"/>
                <w:sz w:val="20"/>
                <w:szCs w:val="20"/>
              </w:rPr>
            </w:pPr>
            <w:r w:rsidRPr="00C205CD">
              <w:rPr>
                <w:color w:val="000000"/>
                <w:sz w:val="20"/>
                <w:szCs w:val="20"/>
              </w:rPr>
              <w:t>1,153</w:t>
            </w:r>
          </w:p>
        </w:tc>
        <w:tc>
          <w:tcPr>
            <w:tcW w:w="160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2BB64212" w14:textId="77777777">
            <w:pPr>
              <w:widowControl/>
              <w:autoSpaceDE/>
              <w:autoSpaceDN/>
              <w:adjustRightInd/>
              <w:jc w:val="center"/>
              <w:rPr>
                <w:color w:val="000000"/>
                <w:sz w:val="20"/>
                <w:szCs w:val="20"/>
              </w:rPr>
            </w:pPr>
            <w:r w:rsidRPr="00C205CD">
              <w:rPr>
                <w:color w:val="000000"/>
                <w:sz w:val="20"/>
                <w:szCs w:val="20"/>
              </w:rPr>
              <w:t>1</w:t>
            </w:r>
          </w:p>
        </w:tc>
        <w:tc>
          <w:tcPr>
            <w:tcW w:w="1189"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0A118961" w14:textId="77777777">
            <w:pPr>
              <w:widowControl/>
              <w:autoSpaceDE/>
              <w:autoSpaceDN/>
              <w:adjustRightInd/>
              <w:jc w:val="center"/>
              <w:rPr>
                <w:color w:val="000000"/>
                <w:sz w:val="20"/>
                <w:szCs w:val="20"/>
              </w:rPr>
            </w:pPr>
            <w:r w:rsidRPr="00C205CD">
              <w:rPr>
                <w:color w:val="000000"/>
                <w:sz w:val="20"/>
                <w:szCs w:val="20"/>
              </w:rPr>
              <w:t>1,153</w:t>
            </w:r>
          </w:p>
        </w:tc>
        <w:tc>
          <w:tcPr>
            <w:tcW w:w="1311"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5DD003BC" w14:textId="77777777">
            <w:pPr>
              <w:widowControl/>
              <w:autoSpaceDE/>
              <w:autoSpaceDN/>
              <w:adjustRightInd/>
              <w:jc w:val="center"/>
              <w:rPr>
                <w:color w:val="000000"/>
                <w:sz w:val="20"/>
                <w:szCs w:val="20"/>
              </w:rPr>
            </w:pPr>
            <w:r w:rsidRPr="00C205CD">
              <w:rPr>
                <w:color w:val="000000"/>
                <w:sz w:val="20"/>
                <w:szCs w:val="20"/>
              </w:rPr>
              <w:t>6</w:t>
            </w:r>
          </w:p>
        </w:tc>
        <w:tc>
          <w:tcPr>
            <w:tcW w:w="1195"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102C37AA" w14:textId="77777777">
            <w:pPr>
              <w:widowControl/>
              <w:autoSpaceDE/>
              <w:autoSpaceDN/>
              <w:adjustRightInd/>
              <w:jc w:val="center"/>
              <w:rPr>
                <w:b/>
                <w:bCs/>
                <w:color w:val="000000"/>
                <w:sz w:val="20"/>
                <w:szCs w:val="20"/>
              </w:rPr>
            </w:pPr>
            <w:r w:rsidRPr="00C205CD">
              <w:rPr>
                <w:b/>
                <w:bCs/>
                <w:color w:val="000000"/>
                <w:sz w:val="20"/>
                <w:szCs w:val="20"/>
              </w:rPr>
              <w:t>6,918</w:t>
            </w:r>
          </w:p>
        </w:tc>
        <w:tc>
          <w:tcPr>
            <w:tcW w:w="1184"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0B602B9C" w14:textId="77777777">
            <w:pPr>
              <w:widowControl/>
              <w:autoSpaceDE/>
              <w:autoSpaceDN/>
              <w:adjustRightInd/>
              <w:jc w:val="center"/>
              <w:rPr>
                <w:color w:val="000000"/>
                <w:sz w:val="20"/>
                <w:szCs w:val="20"/>
              </w:rPr>
            </w:pPr>
            <w:r w:rsidRPr="00C205CD">
              <w:rPr>
                <w:color w:val="000000"/>
                <w:sz w:val="20"/>
                <w:szCs w:val="20"/>
              </w:rPr>
              <w:t xml:space="preserve">$90.38 </w:t>
            </w:r>
          </w:p>
        </w:tc>
        <w:tc>
          <w:tcPr>
            <w:tcW w:w="1260" w:type="dxa"/>
            <w:vMerge w:val="restart"/>
            <w:tcBorders>
              <w:top w:val="nil"/>
              <w:left w:val="single" w:sz="8" w:space="0" w:color="auto"/>
              <w:bottom w:val="single" w:sz="8" w:space="0" w:color="000000"/>
              <w:right w:val="single" w:sz="8" w:space="0" w:color="auto"/>
            </w:tcBorders>
            <w:shd w:val="clear" w:color="auto" w:fill="auto"/>
            <w:vAlign w:val="center"/>
            <w:hideMark/>
          </w:tcPr>
          <w:p w:rsidR="00DF584D" w:rsidRPr="00C205CD" w:rsidP="00C375B3" w14:paraId="0375B1A7" w14:textId="77777777">
            <w:pPr>
              <w:widowControl/>
              <w:autoSpaceDE/>
              <w:autoSpaceDN/>
              <w:adjustRightInd/>
              <w:jc w:val="center"/>
              <w:rPr>
                <w:color w:val="000000"/>
                <w:sz w:val="20"/>
                <w:szCs w:val="20"/>
              </w:rPr>
            </w:pPr>
            <w:r w:rsidRPr="00C205CD">
              <w:rPr>
                <w:color w:val="000000"/>
                <w:sz w:val="20"/>
                <w:szCs w:val="20"/>
              </w:rPr>
              <w:t xml:space="preserve">$625,234 </w:t>
            </w:r>
          </w:p>
        </w:tc>
      </w:tr>
      <w:tr w14:paraId="5168BF7B" w14:textId="77777777" w:rsidTr="00D04F60">
        <w:tblPrEx>
          <w:tblW w:w="14310" w:type="dxa"/>
          <w:tblInd w:w="-540" w:type="dxa"/>
          <w:tblLook w:val="04A0"/>
        </w:tblPrEx>
        <w:trPr>
          <w:trHeight w:val="276"/>
        </w:trPr>
        <w:tc>
          <w:tcPr>
            <w:tcW w:w="2905" w:type="dxa"/>
            <w:vMerge/>
            <w:tcBorders>
              <w:top w:val="nil"/>
              <w:left w:val="single" w:sz="8" w:space="0" w:color="auto"/>
              <w:bottom w:val="single" w:sz="8" w:space="0" w:color="000000"/>
              <w:right w:val="single" w:sz="8" w:space="0" w:color="auto"/>
            </w:tcBorders>
            <w:vAlign w:val="center"/>
            <w:hideMark/>
          </w:tcPr>
          <w:p w:rsidR="00DF584D" w:rsidRPr="00C205CD" w:rsidP="00C375B3" w14:paraId="09CB274A" w14:textId="77777777">
            <w:pPr>
              <w:widowControl/>
              <w:autoSpaceDE/>
              <w:autoSpaceDN/>
              <w:adjustRightInd/>
              <w:rPr>
                <w:color w:val="000000"/>
                <w:sz w:val="20"/>
                <w:szCs w:val="20"/>
              </w:rPr>
            </w:pPr>
          </w:p>
        </w:tc>
        <w:tc>
          <w:tcPr>
            <w:tcW w:w="2199" w:type="dxa"/>
            <w:vMerge/>
            <w:tcBorders>
              <w:top w:val="nil"/>
              <w:left w:val="single" w:sz="8" w:space="0" w:color="auto"/>
              <w:bottom w:val="single" w:sz="8" w:space="0" w:color="000000"/>
              <w:right w:val="single" w:sz="8" w:space="0" w:color="auto"/>
            </w:tcBorders>
            <w:vAlign w:val="center"/>
            <w:hideMark/>
          </w:tcPr>
          <w:p w:rsidR="00DF584D" w:rsidRPr="00C205CD" w:rsidP="00C375B3" w14:paraId="51AF0757" w14:textId="77777777">
            <w:pPr>
              <w:widowControl/>
              <w:autoSpaceDE/>
              <w:autoSpaceDN/>
              <w:adjustRightInd/>
              <w:rPr>
                <w:color w:val="000000"/>
                <w:sz w:val="20"/>
                <w:szCs w:val="20"/>
              </w:rPr>
            </w:pPr>
          </w:p>
        </w:tc>
        <w:tc>
          <w:tcPr>
            <w:tcW w:w="1466" w:type="dxa"/>
            <w:vMerge/>
            <w:tcBorders>
              <w:top w:val="nil"/>
              <w:left w:val="single" w:sz="8" w:space="0" w:color="auto"/>
              <w:bottom w:val="single" w:sz="8" w:space="0" w:color="000000"/>
              <w:right w:val="single" w:sz="8" w:space="0" w:color="auto"/>
            </w:tcBorders>
            <w:vAlign w:val="center"/>
            <w:hideMark/>
          </w:tcPr>
          <w:p w:rsidR="00DF584D" w:rsidRPr="00C205CD" w:rsidP="00C375B3" w14:paraId="42B97D0E" w14:textId="77777777">
            <w:pPr>
              <w:widowControl/>
              <w:autoSpaceDE/>
              <w:autoSpaceDN/>
              <w:adjustRightInd/>
              <w:rPr>
                <w:color w:val="000000"/>
                <w:sz w:val="20"/>
                <w:szCs w:val="20"/>
              </w:rPr>
            </w:pPr>
          </w:p>
        </w:tc>
        <w:tc>
          <w:tcPr>
            <w:tcW w:w="1601" w:type="dxa"/>
            <w:vMerge/>
            <w:tcBorders>
              <w:top w:val="nil"/>
              <w:left w:val="single" w:sz="8" w:space="0" w:color="auto"/>
              <w:bottom w:val="single" w:sz="8" w:space="0" w:color="000000"/>
              <w:right w:val="single" w:sz="8" w:space="0" w:color="auto"/>
            </w:tcBorders>
            <w:vAlign w:val="center"/>
            <w:hideMark/>
          </w:tcPr>
          <w:p w:rsidR="00DF584D" w:rsidRPr="00C205CD" w:rsidP="00C375B3" w14:paraId="60FF63DE" w14:textId="77777777">
            <w:pPr>
              <w:widowControl/>
              <w:autoSpaceDE/>
              <w:autoSpaceDN/>
              <w:adjustRightInd/>
              <w:rPr>
                <w:color w:val="000000"/>
                <w:sz w:val="20"/>
                <w:szCs w:val="20"/>
              </w:rPr>
            </w:pPr>
          </w:p>
        </w:tc>
        <w:tc>
          <w:tcPr>
            <w:tcW w:w="1189" w:type="dxa"/>
            <w:vMerge/>
            <w:tcBorders>
              <w:top w:val="nil"/>
              <w:left w:val="single" w:sz="8" w:space="0" w:color="auto"/>
              <w:bottom w:val="single" w:sz="8" w:space="0" w:color="000000"/>
              <w:right w:val="single" w:sz="8" w:space="0" w:color="auto"/>
            </w:tcBorders>
            <w:vAlign w:val="center"/>
            <w:hideMark/>
          </w:tcPr>
          <w:p w:rsidR="00DF584D" w:rsidRPr="00C205CD" w:rsidP="00C375B3" w14:paraId="40A71710" w14:textId="77777777">
            <w:pPr>
              <w:widowControl/>
              <w:autoSpaceDE/>
              <w:autoSpaceDN/>
              <w:adjustRightInd/>
              <w:rPr>
                <w:color w:val="000000"/>
                <w:sz w:val="20"/>
                <w:szCs w:val="20"/>
              </w:rPr>
            </w:pPr>
          </w:p>
        </w:tc>
        <w:tc>
          <w:tcPr>
            <w:tcW w:w="1311" w:type="dxa"/>
            <w:vMerge/>
            <w:tcBorders>
              <w:top w:val="nil"/>
              <w:left w:val="single" w:sz="8" w:space="0" w:color="auto"/>
              <w:bottom w:val="single" w:sz="8" w:space="0" w:color="000000"/>
              <w:right w:val="single" w:sz="8" w:space="0" w:color="auto"/>
            </w:tcBorders>
            <w:vAlign w:val="center"/>
            <w:hideMark/>
          </w:tcPr>
          <w:p w:rsidR="00DF584D" w:rsidRPr="00C205CD" w:rsidP="00C375B3" w14:paraId="652C8B5D" w14:textId="77777777">
            <w:pPr>
              <w:widowControl/>
              <w:autoSpaceDE/>
              <w:autoSpaceDN/>
              <w:adjustRightInd/>
              <w:rPr>
                <w:color w:val="000000"/>
                <w:sz w:val="20"/>
                <w:szCs w:val="20"/>
              </w:rPr>
            </w:pPr>
          </w:p>
        </w:tc>
        <w:tc>
          <w:tcPr>
            <w:tcW w:w="1195" w:type="dxa"/>
            <w:vMerge/>
            <w:tcBorders>
              <w:top w:val="nil"/>
              <w:left w:val="single" w:sz="8" w:space="0" w:color="auto"/>
              <w:bottom w:val="single" w:sz="8" w:space="0" w:color="000000"/>
              <w:right w:val="single" w:sz="8" w:space="0" w:color="auto"/>
            </w:tcBorders>
            <w:vAlign w:val="center"/>
            <w:hideMark/>
          </w:tcPr>
          <w:p w:rsidR="00DF584D" w:rsidRPr="00C205CD" w:rsidP="00C375B3" w14:paraId="78EB64B8" w14:textId="77777777">
            <w:pPr>
              <w:widowControl/>
              <w:autoSpaceDE/>
              <w:autoSpaceDN/>
              <w:adjustRightInd/>
              <w:rPr>
                <w:b/>
                <w:bCs/>
                <w:color w:val="000000"/>
                <w:sz w:val="20"/>
                <w:szCs w:val="20"/>
              </w:rPr>
            </w:pPr>
          </w:p>
        </w:tc>
        <w:tc>
          <w:tcPr>
            <w:tcW w:w="1184" w:type="dxa"/>
            <w:vMerge/>
            <w:tcBorders>
              <w:top w:val="nil"/>
              <w:left w:val="single" w:sz="8" w:space="0" w:color="auto"/>
              <w:bottom w:val="single" w:sz="8" w:space="0" w:color="000000"/>
              <w:right w:val="single" w:sz="8" w:space="0" w:color="auto"/>
            </w:tcBorders>
            <w:vAlign w:val="center"/>
            <w:hideMark/>
          </w:tcPr>
          <w:p w:rsidR="00DF584D" w:rsidRPr="00C205CD" w:rsidP="00C375B3" w14:paraId="7983E34C" w14:textId="77777777">
            <w:pPr>
              <w:widowControl/>
              <w:autoSpaceDE/>
              <w:autoSpaceDN/>
              <w:adjustRightInd/>
              <w:rPr>
                <w:color w:val="000000"/>
                <w:sz w:val="20"/>
                <w:szCs w:val="20"/>
              </w:rPr>
            </w:pPr>
          </w:p>
        </w:tc>
        <w:tc>
          <w:tcPr>
            <w:tcW w:w="1260" w:type="dxa"/>
            <w:vMerge/>
            <w:tcBorders>
              <w:top w:val="nil"/>
              <w:left w:val="single" w:sz="8" w:space="0" w:color="auto"/>
              <w:bottom w:val="single" w:sz="8" w:space="0" w:color="000000"/>
              <w:right w:val="single" w:sz="8" w:space="0" w:color="auto"/>
            </w:tcBorders>
            <w:vAlign w:val="center"/>
            <w:hideMark/>
          </w:tcPr>
          <w:p w:rsidR="00DF584D" w:rsidRPr="00C205CD" w:rsidP="00C375B3" w14:paraId="53B3CF92" w14:textId="77777777">
            <w:pPr>
              <w:widowControl/>
              <w:autoSpaceDE/>
              <w:autoSpaceDN/>
              <w:adjustRightInd/>
              <w:rPr>
                <w:color w:val="000000"/>
                <w:sz w:val="20"/>
                <w:szCs w:val="20"/>
              </w:rPr>
            </w:pPr>
          </w:p>
        </w:tc>
      </w:tr>
      <w:tr w14:paraId="6430351F" w14:textId="77777777" w:rsidTr="00DF584D">
        <w:tblPrEx>
          <w:tblW w:w="14310" w:type="dxa"/>
          <w:tblInd w:w="-540" w:type="dxa"/>
          <w:tblLook w:val="04A0"/>
        </w:tblPrEx>
        <w:trPr>
          <w:trHeight w:val="315"/>
        </w:trPr>
        <w:tc>
          <w:tcPr>
            <w:tcW w:w="2905" w:type="dxa"/>
            <w:tcBorders>
              <w:top w:val="nil"/>
              <w:left w:val="single" w:sz="8" w:space="0" w:color="auto"/>
              <w:bottom w:val="single" w:sz="8" w:space="0" w:color="auto"/>
              <w:right w:val="single" w:sz="8" w:space="0" w:color="auto"/>
            </w:tcBorders>
            <w:shd w:val="clear" w:color="auto" w:fill="auto"/>
            <w:vAlign w:val="center"/>
            <w:hideMark/>
          </w:tcPr>
          <w:p w:rsidR="00DF584D" w:rsidRPr="00C205CD" w:rsidP="00C375B3" w14:paraId="14A26D24" w14:textId="77777777">
            <w:pPr>
              <w:widowControl/>
              <w:autoSpaceDE/>
              <w:autoSpaceDN/>
              <w:adjustRightInd/>
              <w:rPr>
                <w:b/>
                <w:bCs/>
                <w:color w:val="000000"/>
                <w:sz w:val="20"/>
                <w:szCs w:val="20"/>
              </w:rPr>
            </w:pPr>
            <w:r w:rsidRPr="00C205CD">
              <w:rPr>
                <w:b/>
                <w:bCs/>
                <w:color w:val="000000"/>
                <w:sz w:val="20"/>
                <w:szCs w:val="20"/>
              </w:rPr>
              <w:t>GRAND TOTAL</w:t>
            </w:r>
          </w:p>
        </w:tc>
        <w:tc>
          <w:tcPr>
            <w:tcW w:w="2199" w:type="dxa"/>
            <w:tcBorders>
              <w:top w:val="nil"/>
              <w:left w:val="nil"/>
              <w:bottom w:val="single" w:sz="8" w:space="0" w:color="auto"/>
              <w:right w:val="single" w:sz="8" w:space="0" w:color="auto"/>
            </w:tcBorders>
            <w:shd w:val="clear" w:color="auto" w:fill="auto"/>
            <w:vAlign w:val="center"/>
            <w:hideMark/>
          </w:tcPr>
          <w:p w:rsidR="00DF584D" w:rsidRPr="00C205CD" w:rsidP="00C375B3" w14:paraId="3641C15D" w14:textId="77777777">
            <w:pPr>
              <w:widowControl/>
              <w:autoSpaceDE/>
              <w:autoSpaceDN/>
              <w:adjustRightInd/>
              <w:rPr>
                <w:b/>
                <w:bCs/>
                <w:color w:val="000000"/>
                <w:sz w:val="20"/>
                <w:szCs w:val="20"/>
              </w:rPr>
            </w:pPr>
            <w:r w:rsidRPr="00C205CD">
              <w:rPr>
                <w:b/>
                <w:bCs/>
                <w:color w:val="000000"/>
                <w:sz w:val="20"/>
                <w:szCs w:val="20"/>
              </w:rPr>
              <w:t> </w:t>
            </w:r>
          </w:p>
        </w:tc>
        <w:tc>
          <w:tcPr>
            <w:tcW w:w="1466" w:type="dxa"/>
            <w:tcBorders>
              <w:top w:val="nil"/>
              <w:left w:val="nil"/>
              <w:bottom w:val="single" w:sz="8" w:space="0" w:color="auto"/>
              <w:right w:val="single" w:sz="8" w:space="0" w:color="auto"/>
            </w:tcBorders>
            <w:shd w:val="clear" w:color="auto" w:fill="auto"/>
            <w:vAlign w:val="center"/>
            <w:hideMark/>
          </w:tcPr>
          <w:p w:rsidR="00DF584D" w:rsidRPr="00C205CD" w:rsidP="00C375B3" w14:paraId="13A3EAF9" w14:textId="77777777">
            <w:pPr>
              <w:widowControl/>
              <w:autoSpaceDE/>
              <w:autoSpaceDN/>
              <w:adjustRightInd/>
              <w:jc w:val="center"/>
              <w:rPr>
                <w:b/>
                <w:bCs/>
                <w:color w:val="FF0000"/>
                <w:sz w:val="20"/>
                <w:szCs w:val="20"/>
              </w:rPr>
            </w:pPr>
            <w:r w:rsidRPr="00C205CD">
              <w:rPr>
                <w:b/>
                <w:bCs/>
                <w:color w:val="FF0000"/>
                <w:sz w:val="20"/>
                <w:szCs w:val="20"/>
              </w:rPr>
              <w:t> </w:t>
            </w:r>
          </w:p>
        </w:tc>
        <w:tc>
          <w:tcPr>
            <w:tcW w:w="1601" w:type="dxa"/>
            <w:tcBorders>
              <w:top w:val="nil"/>
              <w:left w:val="nil"/>
              <w:bottom w:val="single" w:sz="8" w:space="0" w:color="auto"/>
              <w:right w:val="single" w:sz="8" w:space="0" w:color="auto"/>
            </w:tcBorders>
            <w:shd w:val="clear" w:color="auto" w:fill="auto"/>
            <w:vAlign w:val="center"/>
            <w:hideMark/>
          </w:tcPr>
          <w:p w:rsidR="00DF584D" w:rsidRPr="00C205CD" w:rsidP="00C375B3" w14:paraId="127A124D" w14:textId="77777777">
            <w:pPr>
              <w:widowControl/>
              <w:autoSpaceDE/>
              <w:autoSpaceDN/>
              <w:adjustRightInd/>
              <w:jc w:val="center"/>
              <w:rPr>
                <w:b/>
                <w:bCs/>
                <w:color w:val="FF0000"/>
                <w:sz w:val="20"/>
                <w:szCs w:val="20"/>
              </w:rPr>
            </w:pPr>
            <w:r w:rsidRPr="00C205CD">
              <w:rPr>
                <w:b/>
                <w:bCs/>
                <w:color w:val="FF0000"/>
                <w:sz w:val="20"/>
                <w:szCs w:val="20"/>
              </w:rPr>
              <w:t> </w:t>
            </w:r>
          </w:p>
        </w:tc>
        <w:tc>
          <w:tcPr>
            <w:tcW w:w="1189" w:type="dxa"/>
            <w:tcBorders>
              <w:top w:val="nil"/>
              <w:left w:val="nil"/>
              <w:bottom w:val="single" w:sz="8" w:space="0" w:color="auto"/>
              <w:right w:val="single" w:sz="8" w:space="0" w:color="auto"/>
            </w:tcBorders>
            <w:shd w:val="clear" w:color="auto" w:fill="auto"/>
            <w:vAlign w:val="center"/>
            <w:hideMark/>
          </w:tcPr>
          <w:p w:rsidR="00DF584D" w:rsidRPr="00C205CD" w:rsidP="00C375B3" w14:paraId="701CBE28" w14:textId="77777777">
            <w:pPr>
              <w:widowControl/>
              <w:autoSpaceDE/>
              <w:autoSpaceDN/>
              <w:adjustRightInd/>
              <w:jc w:val="center"/>
              <w:rPr>
                <w:b/>
                <w:bCs/>
                <w:color w:val="000000"/>
                <w:sz w:val="20"/>
                <w:szCs w:val="20"/>
              </w:rPr>
            </w:pPr>
            <w:r w:rsidRPr="00C205CD">
              <w:rPr>
                <w:b/>
                <w:bCs/>
                <w:color w:val="000000"/>
                <w:sz w:val="20"/>
                <w:szCs w:val="20"/>
              </w:rPr>
              <w:t>23,113</w:t>
            </w:r>
          </w:p>
        </w:tc>
        <w:tc>
          <w:tcPr>
            <w:tcW w:w="1311" w:type="dxa"/>
            <w:tcBorders>
              <w:top w:val="nil"/>
              <w:left w:val="nil"/>
              <w:bottom w:val="single" w:sz="8" w:space="0" w:color="auto"/>
              <w:right w:val="single" w:sz="8" w:space="0" w:color="auto"/>
            </w:tcBorders>
            <w:shd w:val="clear" w:color="auto" w:fill="auto"/>
            <w:vAlign w:val="center"/>
            <w:hideMark/>
          </w:tcPr>
          <w:p w:rsidR="00DF584D" w:rsidRPr="00C205CD" w:rsidP="00C375B3" w14:paraId="19B7E87D" w14:textId="77777777">
            <w:pPr>
              <w:widowControl/>
              <w:autoSpaceDE/>
              <w:autoSpaceDN/>
              <w:adjustRightInd/>
              <w:jc w:val="center"/>
              <w:rPr>
                <w:b/>
                <w:bCs/>
                <w:color w:val="000000"/>
                <w:sz w:val="20"/>
                <w:szCs w:val="20"/>
              </w:rPr>
            </w:pPr>
            <w:r w:rsidRPr="00C205CD">
              <w:rPr>
                <w:b/>
                <w:bCs/>
                <w:color w:val="000000"/>
                <w:sz w:val="20"/>
                <w:szCs w:val="20"/>
              </w:rPr>
              <w:t> </w:t>
            </w:r>
          </w:p>
        </w:tc>
        <w:tc>
          <w:tcPr>
            <w:tcW w:w="1195" w:type="dxa"/>
            <w:tcBorders>
              <w:top w:val="nil"/>
              <w:left w:val="nil"/>
              <w:bottom w:val="single" w:sz="8" w:space="0" w:color="auto"/>
              <w:right w:val="single" w:sz="8" w:space="0" w:color="auto"/>
            </w:tcBorders>
            <w:shd w:val="clear" w:color="auto" w:fill="auto"/>
            <w:vAlign w:val="center"/>
            <w:hideMark/>
          </w:tcPr>
          <w:p w:rsidR="00DF584D" w:rsidRPr="00C205CD" w:rsidP="00C375B3" w14:paraId="3F5EC2E0" w14:textId="77777777">
            <w:pPr>
              <w:widowControl/>
              <w:autoSpaceDE/>
              <w:autoSpaceDN/>
              <w:adjustRightInd/>
              <w:jc w:val="center"/>
              <w:rPr>
                <w:b/>
                <w:bCs/>
                <w:color w:val="000000"/>
                <w:sz w:val="20"/>
                <w:szCs w:val="20"/>
              </w:rPr>
            </w:pPr>
            <w:r w:rsidRPr="00C205CD">
              <w:rPr>
                <w:b/>
                <w:bCs/>
                <w:color w:val="000000"/>
                <w:sz w:val="20"/>
                <w:szCs w:val="20"/>
              </w:rPr>
              <w:t>20,129</w:t>
            </w:r>
          </w:p>
        </w:tc>
        <w:tc>
          <w:tcPr>
            <w:tcW w:w="1184" w:type="dxa"/>
            <w:tcBorders>
              <w:top w:val="nil"/>
              <w:left w:val="nil"/>
              <w:bottom w:val="single" w:sz="8" w:space="0" w:color="auto"/>
              <w:right w:val="single" w:sz="8" w:space="0" w:color="auto"/>
            </w:tcBorders>
            <w:shd w:val="clear" w:color="auto" w:fill="auto"/>
            <w:vAlign w:val="center"/>
            <w:hideMark/>
          </w:tcPr>
          <w:p w:rsidR="00DF584D" w:rsidRPr="00C205CD" w:rsidP="00C375B3" w14:paraId="3166DF72" w14:textId="77777777">
            <w:pPr>
              <w:widowControl/>
              <w:autoSpaceDE/>
              <w:autoSpaceDN/>
              <w:adjustRightInd/>
              <w:jc w:val="center"/>
              <w:rPr>
                <w:b/>
                <w:bCs/>
                <w:color w:val="000000"/>
                <w:sz w:val="20"/>
                <w:szCs w:val="20"/>
              </w:rPr>
            </w:pPr>
            <w:r w:rsidRPr="00C205CD">
              <w:rPr>
                <w:b/>
                <w:bCs/>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DF584D" w:rsidRPr="00C205CD" w:rsidP="00C375B3" w14:paraId="5296EA9C" w14:textId="77777777">
            <w:pPr>
              <w:widowControl/>
              <w:autoSpaceDE/>
              <w:autoSpaceDN/>
              <w:adjustRightInd/>
              <w:jc w:val="center"/>
              <w:rPr>
                <w:b/>
                <w:bCs/>
                <w:color w:val="000000"/>
                <w:sz w:val="20"/>
                <w:szCs w:val="20"/>
              </w:rPr>
            </w:pPr>
            <w:r w:rsidRPr="00C205CD">
              <w:rPr>
                <w:b/>
                <w:bCs/>
                <w:color w:val="000000"/>
                <w:sz w:val="20"/>
                <w:szCs w:val="20"/>
              </w:rPr>
              <w:t xml:space="preserve">$1,819,176 </w:t>
            </w:r>
          </w:p>
        </w:tc>
      </w:tr>
      <w:tr w14:paraId="4EF4AE65" w14:textId="77777777" w:rsidTr="00DF584D">
        <w:tblPrEx>
          <w:tblW w:w="14310" w:type="dxa"/>
          <w:tblInd w:w="-540" w:type="dxa"/>
          <w:tblLook w:val="04A0"/>
        </w:tblPrEx>
        <w:trPr>
          <w:trHeight w:val="645"/>
        </w:trPr>
        <w:tc>
          <w:tcPr>
            <w:tcW w:w="14310" w:type="dxa"/>
            <w:gridSpan w:val="9"/>
            <w:tcBorders>
              <w:top w:val="nil"/>
              <w:left w:val="nil"/>
              <w:bottom w:val="nil"/>
              <w:right w:val="nil"/>
            </w:tcBorders>
            <w:shd w:val="clear" w:color="auto" w:fill="auto"/>
            <w:vAlign w:val="bottom"/>
            <w:hideMark/>
          </w:tcPr>
          <w:p w:rsidR="00851D5C" w:rsidRPr="00C205CD" w:rsidP="00C375B3" w14:paraId="46935F68" w14:textId="756C43AB">
            <w:pPr>
              <w:widowControl/>
              <w:autoSpaceDE/>
              <w:autoSpaceDN/>
              <w:adjustRightInd/>
              <w:rPr>
                <w:color w:val="000000"/>
                <w:sz w:val="22"/>
                <w:szCs w:val="22"/>
              </w:rPr>
            </w:pPr>
            <w:r w:rsidRPr="00C205CD">
              <w:rPr>
                <w:color w:val="000000"/>
                <w:sz w:val="22"/>
                <w:szCs w:val="22"/>
              </w:rPr>
              <w:footnoteRef/>
            </w:r>
            <w:r w:rsidRPr="00C205CD">
              <w:rPr>
                <w:color w:val="000000"/>
                <w:sz w:val="22"/>
                <w:szCs w:val="22"/>
              </w:rPr>
              <w:t xml:space="preserve"> For the purpose of</w:t>
            </w:r>
            <w:r w:rsidRPr="00C205CD">
              <w:rPr>
                <w:color w:val="000000"/>
                <w:sz w:val="22"/>
                <w:szCs w:val="22"/>
              </w:rPr>
              <w:t xml:space="preserve"> entering this analysis into the ROCIS system, the agency categorizes respondents reflected in Table 2</w:t>
            </w:r>
            <w:r>
              <w:rPr>
                <w:color w:val="000000"/>
                <w:sz w:val="22"/>
                <w:szCs w:val="22"/>
              </w:rPr>
              <w:t>b</w:t>
            </w:r>
            <w:r w:rsidRPr="00C205CD">
              <w:rPr>
                <w:color w:val="000000"/>
                <w:sz w:val="22"/>
                <w:szCs w:val="22"/>
              </w:rPr>
              <w:t xml:space="preserve"> as “Private Sector – businesses or other for-profits.</w:t>
            </w:r>
          </w:p>
          <w:p w:rsidR="00DF584D" w:rsidRPr="00C205CD" w:rsidP="00C375B3" w14:paraId="2A286477" w14:textId="46D077DE">
            <w:pPr>
              <w:widowControl/>
              <w:autoSpaceDE/>
              <w:autoSpaceDN/>
              <w:adjustRightInd/>
              <w:rPr>
                <w:color w:val="000000"/>
                <w:sz w:val="22"/>
                <w:szCs w:val="22"/>
              </w:rPr>
            </w:pPr>
            <w:r w:rsidRPr="00C205CD">
              <w:rPr>
                <w:color w:val="000000"/>
                <w:sz w:val="22"/>
                <w:szCs w:val="22"/>
              </w:rPr>
              <w:t>”</w:t>
            </w:r>
          </w:p>
        </w:tc>
      </w:tr>
    </w:tbl>
    <w:p w:rsidR="00AE736B" w:rsidRPr="00C205CD" w:rsidP="00AE736B" w14:paraId="0042483D" w14:textId="33B5E846">
      <w:pPr>
        <w:ind w:firstLine="720"/>
      </w:pPr>
      <w:r w:rsidRPr="00C205CD">
        <w:t xml:space="preserve">The total number of </w:t>
      </w:r>
      <w:r w:rsidRPr="00C205CD">
        <w:rPr>
          <w:b/>
          <w:bCs/>
        </w:rPr>
        <w:t>employer</w:t>
      </w:r>
      <w:r w:rsidRPr="00C205CD">
        <w:t xml:space="preserve"> respondents is:  23,113</w:t>
      </w:r>
    </w:p>
    <w:p w:rsidR="00AE736B" w:rsidRPr="00C205CD" w:rsidP="00AE736B" w14:paraId="09D9FBBE" w14:textId="649CA08A">
      <w:pPr>
        <w:ind w:firstLine="720"/>
      </w:pPr>
      <w:r w:rsidRPr="00C205CD">
        <w:t xml:space="preserve">The total employer Burden Hours is: </w:t>
      </w:r>
      <w:r w:rsidRPr="00C205CD" w:rsidR="00473A61">
        <w:t>20,12</w:t>
      </w:r>
      <w:r w:rsidRPr="00C205CD" w:rsidR="00863DD9">
        <w:t>9</w:t>
      </w:r>
    </w:p>
    <w:p w:rsidR="004C31B5" w:rsidRPr="00C205CD" w:rsidP="00744F93" w14:paraId="4F16B3BB" w14:textId="67C7C98A">
      <w:pPr>
        <w:widowControl/>
        <w:ind w:firstLine="720"/>
      </w:pPr>
      <w:r w:rsidRPr="00C205CD">
        <w:t>The total employer Burden Cost is: $1,819,176</w:t>
      </w:r>
    </w:p>
    <w:p w:rsidR="004C31B5" w:rsidRPr="00C205CD" w:rsidP="00861BAA" w14:paraId="47854A4E" w14:textId="77777777">
      <w:pPr>
        <w:ind w:left="720"/>
        <w:rPr>
          <w:b/>
          <w:bCs/>
          <w:u w:val="single"/>
        </w:rPr>
      </w:pPr>
    </w:p>
    <w:p w:rsidR="00990C13" w:rsidRPr="00C205CD" w:rsidP="00861BAA" w14:paraId="734A2DAE" w14:textId="51093859">
      <w:pPr>
        <w:ind w:left="720"/>
        <w:rPr>
          <w:b/>
          <w:bCs/>
        </w:rPr>
      </w:pPr>
      <w:r>
        <w:rPr>
          <w:b/>
          <w:bCs/>
          <w:u w:val="single"/>
        </w:rPr>
        <w:t>The</w:t>
      </w:r>
      <w:r w:rsidRPr="00C205CD">
        <w:rPr>
          <w:b/>
          <w:bCs/>
          <w:u w:val="single"/>
        </w:rPr>
        <w:t xml:space="preserve"> </w:t>
      </w:r>
      <w:r w:rsidR="00F23B38">
        <w:rPr>
          <w:b/>
          <w:bCs/>
          <w:u w:val="single"/>
        </w:rPr>
        <w:t>Burden Hours and Cost for the States</w:t>
      </w:r>
      <w:r w:rsidRPr="00C205CD">
        <w:rPr>
          <w:b/>
          <w:bCs/>
          <w:u w:val="single"/>
        </w:rPr>
        <w:t xml:space="preserve"> and Employers</w:t>
      </w:r>
      <w:r w:rsidRPr="00C205CD" w:rsidR="005B3B0F">
        <w:rPr>
          <w:b/>
          <w:bCs/>
          <w:u w:val="single"/>
        </w:rPr>
        <w:t xml:space="preserve"> </w:t>
      </w:r>
      <w:r w:rsidR="00F23B38">
        <w:rPr>
          <w:b/>
          <w:bCs/>
          <w:u w:val="single"/>
        </w:rPr>
        <w:t xml:space="preserve">from </w:t>
      </w:r>
      <w:r w:rsidRPr="00C205CD" w:rsidR="005B3B0F">
        <w:rPr>
          <w:b/>
          <w:bCs/>
          <w:u w:val="single"/>
        </w:rPr>
        <w:t>Table</w:t>
      </w:r>
      <w:r w:rsidR="00F23B38">
        <w:rPr>
          <w:b/>
          <w:bCs/>
          <w:u w:val="single"/>
        </w:rPr>
        <w:t>s</w:t>
      </w:r>
      <w:r w:rsidRPr="00C205CD" w:rsidR="005B3B0F">
        <w:rPr>
          <w:b/>
          <w:bCs/>
          <w:u w:val="single"/>
        </w:rPr>
        <w:t xml:space="preserve"> </w:t>
      </w:r>
      <w:r w:rsidRPr="00C205CD" w:rsidR="00324ADF">
        <w:rPr>
          <w:b/>
          <w:bCs/>
          <w:u w:val="single"/>
        </w:rPr>
        <w:t>2</w:t>
      </w:r>
      <w:r>
        <w:rPr>
          <w:b/>
          <w:bCs/>
          <w:u w:val="single"/>
        </w:rPr>
        <w:t>a</w:t>
      </w:r>
      <w:r w:rsidRPr="00C205CD" w:rsidR="005B3B0F">
        <w:rPr>
          <w:b/>
          <w:bCs/>
          <w:u w:val="single"/>
        </w:rPr>
        <w:t xml:space="preserve"> and </w:t>
      </w:r>
      <w:r>
        <w:rPr>
          <w:b/>
          <w:bCs/>
          <w:u w:val="single"/>
        </w:rPr>
        <w:t>2b are listed as follows</w:t>
      </w:r>
      <w:r w:rsidRPr="00C205CD">
        <w:rPr>
          <w:bCs/>
        </w:rPr>
        <w:t>:</w:t>
      </w:r>
    </w:p>
    <w:p w:rsidR="00990C13" w:rsidRPr="00C205CD" w:rsidP="00861BAA" w14:paraId="3B88899E" w14:textId="77777777">
      <w:pPr>
        <w:ind w:left="720"/>
        <w:rPr>
          <w:b/>
          <w:bCs/>
        </w:rPr>
      </w:pPr>
    </w:p>
    <w:p w:rsidR="00F8466A" w:rsidP="00861BAA" w14:paraId="1EF2435D" w14:textId="77777777">
      <w:pPr>
        <w:ind w:left="720"/>
        <w:rPr>
          <w:b/>
          <w:bCs/>
        </w:rPr>
      </w:pPr>
    </w:p>
    <w:p w:rsidR="0088476F" w:rsidP="0088476F" w14:paraId="3CE46E0C" w14:textId="10738D52">
      <w:pPr>
        <w:ind w:left="720"/>
        <w:rPr>
          <w:b/>
          <w:bCs/>
        </w:rPr>
      </w:pPr>
      <w:r>
        <w:rPr>
          <w:b/>
          <w:bCs/>
        </w:rPr>
        <w:t>Table 3</w:t>
      </w:r>
      <w:r>
        <w:rPr>
          <w:b/>
          <w:bCs/>
        </w:rPr>
        <w:t xml:space="preserve"> – </w:t>
      </w:r>
      <w:r w:rsidR="00E23A25">
        <w:rPr>
          <w:b/>
          <w:bCs/>
        </w:rPr>
        <w:t xml:space="preserve">Summary of the Total Annualized </w:t>
      </w:r>
      <w:r>
        <w:rPr>
          <w:b/>
          <w:bCs/>
        </w:rPr>
        <w:t xml:space="preserve">Estimated </w:t>
      </w:r>
      <w:r w:rsidR="00E23A25">
        <w:rPr>
          <w:b/>
          <w:bCs/>
        </w:rPr>
        <w:t>Respondent</w:t>
      </w:r>
      <w:r w:rsidR="00E23A25">
        <w:rPr>
          <w:b/>
          <w:bCs/>
        </w:rPr>
        <w:t xml:space="preserve"> </w:t>
      </w:r>
      <w:r>
        <w:rPr>
          <w:b/>
          <w:bCs/>
        </w:rPr>
        <w:t>Burden Hours and Cost</w:t>
      </w:r>
    </w:p>
    <w:p w:rsidR="0088476F" w:rsidP="0088476F" w14:paraId="225E9D40" w14:textId="77777777">
      <w:pPr>
        <w:ind w:left="720"/>
        <w:rPr>
          <w:b/>
          <w:bCs/>
        </w:rPr>
      </w:pPr>
    </w:p>
    <w:tbl>
      <w:tblPr>
        <w:tblStyle w:val="TableGrid"/>
        <w:tblW w:w="0" w:type="auto"/>
        <w:tblInd w:w="720" w:type="dxa"/>
        <w:tblLook w:val="04A0"/>
      </w:tblPr>
      <w:tblGrid>
        <w:gridCol w:w="5346"/>
        <w:gridCol w:w="2229"/>
        <w:gridCol w:w="1613"/>
        <w:gridCol w:w="1513"/>
        <w:gridCol w:w="1529"/>
      </w:tblGrid>
      <w:tr w14:paraId="73AB43C1" w14:textId="77777777" w:rsidTr="009D39EB">
        <w:tblPrEx>
          <w:tblW w:w="0" w:type="auto"/>
          <w:tblInd w:w="720" w:type="dxa"/>
          <w:tblLook w:val="04A0"/>
        </w:tblPrEx>
        <w:trPr>
          <w:tblHeader/>
        </w:trPr>
        <w:tc>
          <w:tcPr>
            <w:tcW w:w="534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E43BDB" w:rsidRPr="00F87306" w:rsidP="00DC0B0E" w14:paraId="021CE0A8" w14:textId="77777777">
            <w:pPr>
              <w:widowControl/>
              <w:autoSpaceDE/>
              <w:autoSpaceDN/>
              <w:adjustRightInd/>
              <w:spacing w:after="160" w:line="278" w:lineRule="auto"/>
              <w:rPr>
                <w:b/>
                <w:bCs/>
              </w:rPr>
            </w:pPr>
            <w:r w:rsidRPr="00F87306">
              <w:rPr>
                <w:b/>
                <w:bCs/>
              </w:rPr>
              <w:t>Collection of Information</w:t>
            </w:r>
          </w:p>
        </w:tc>
        <w:tc>
          <w:tcPr>
            <w:tcW w:w="22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E43BDB" w:rsidRPr="00F87306" w:rsidP="00DC0B0E" w14:paraId="28E349F3" w14:textId="77777777">
            <w:pPr>
              <w:widowControl/>
              <w:autoSpaceDE/>
              <w:autoSpaceDN/>
              <w:adjustRightInd/>
              <w:spacing w:after="160" w:line="278" w:lineRule="auto"/>
              <w:rPr>
                <w:b/>
                <w:bCs/>
              </w:rPr>
            </w:pPr>
            <w:r w:rsidRPr="00F87306">
              <w:rPr>
                <w:b/>
                <w:bCs/>
              </w:rPr>
              <w:t>Number of Respondents</w:t>
            </w:r>
          </w:p>
        </w:tc>
        <w:tc>
          <w:tcPr>
            <w:tcW w:w="16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E43BDB" w:rsidRPr="00F87306" w:rsidP="00DC0B0E" w14:paraId="3298BC9B" w14:textId="77777777">
            <w:pPr>
              <w:widowControl/>
              <w:autoSpaceDE/>
              <w:autoSpaceDN/>
              <w:adjustRightInd/>
              <w:spacing w:after="160" w:line="278" w:lineRule="auto"/>
              <w:rPr>
                <w:b/>
                <w:bCs/>
              </w:rPr>
            </w:pPr>
            <w:r w:rsidRPr="00F87306">
              <w:rPr>
                <w:b/>
                <w:bCs/>
              </w:rPr>
              <w:t>Total Responses</w:t>
            </w:r>
          </w:p>
        </w:tc>
        <w:tc>
          <w:tcPr>
            <w:tcW w:w="1513"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E43BDB" w:rsidRPr="00F87306" w:rsidP="00DC0B0E" w14:paraId="2888622C" w14:textId="77777777">
            <w:pPr>
              <w:widowControl/>
              <w:autoSpaceDE/>
              <w:autoSpaceDN/>
              <w:adjustRightInd/>
              <w:spacing w:after="160" w:line="278" w:lineRule="auto"/>
              <w:rPr>
                <w:b/>
                <w:bCs/>
              </w:rPr>
            </w:pPr>
            <w:r w:rsidRPr="00F87306">
              <w:rPr>
                <w:b/>
                <w:bCs/>
              </w:rPr>
              <w:t>Burden Hours</w:t>
            </w:r>
          </w:p>
        </w:tc>
        <w:tc>
          <w:tcPr>
            <w:tcW w:w="152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E43BDB" w:rsidRPr="00F87306" w:rsidP="00DC0B0E" w14:paraId="132AFFFD" w14:textId="77777777">
            <w:pPr>
              <w:widowControl/>
              <w:autoSpaceDE/>
              <w:autoSpaceDN/>
              <w:adjustRightInd/>
              <w:spacing w:after="160" w:line="278" w:lineRule="auto"/>
              <w:rPr>
                <w:b/>
                <w:bCs/>
              </w:rPr>
            </w:pPr>
            <w:r w:rsidRPr="00F87306">
              <w:rPr>
                <w:b/>
                <w:bCs/>
              </w:rPr>
              <w:t>Cost</w:t>
            </w:r>
          </w:p>
        </w:tc>
      </w:tr>
      <w:tr w14:paraId="791F3403" w14:textId="77777777" w:rsidTr="00C8684A">
        <w:tblPrEx>
          <w:tblW w:w="0" w:type="auto"/>
          <w:tblInd w:w="720" w:type="dxa"/>
          <w:tblLook w:val="04A0"/>
        </w:tblPrEx>
        <w:tc>
          <w:tcPr>
            <w:tcW w:w="1223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tcPr>
          <w:p w:rsidR="00E43BDB" w:rsidP="00DC0B0E" w14:paraId="59C51764" w14:textId="3C012EB3">
            <w:pPr>
              <w:rPr>
                <w:color w:val="000000"/>
                <w:sz w:val="20"/>
                <w:szCs w:val="20"/>
                <w:lang w:eastAsia="ja-JP"/>
              </w:rPr>
            </w:pPr>
            <w:r w:rsidRPr="00F87306">
              <w:rPr>
                <w:b/>
                <w:bCs/>
              </w:rPr>
              <w:t xml:space="preserve">Estimated Annualized Respondent Burden Hour and Cost for </w:t>
            </w:r>
            <w:r w:rsidRPr="00F87306">
              <w:rPr>
                <w:b/>
                <w:bCs/>
                <w:u w:val="single"/>
              </w:rPr>
              <w:t>State</w:t>
            </w:r>
            <w:r w:rsidRPr="00F87306">
              <w:rPr>
                <w:b/>
                <w:bCs/>
              </w:rPr>
              <w:t xml:space="preserve"> Consultation Programs (Table 2</w:t>
            </w:r>
            <w:r w:rsidR="004D5A73">
              <w:rPr>
                <w:b/>
                <w:bCs/>
              </w:rPr>
              <w:t>a</w:t>
            </w:r>
            <w:r w:rsidR="00C8684A">
              <w:rPr>
                <w:b/>
                <w:bCs/>
              </w:rPr>
              <w:t>)</w:t>
            </w:r>
          </w:p>
        </w:tc>
      </w:tr>
      <w:tr w14:paraId="6C3D4B50"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3D1B4B61" w14:textId="77777777">
            <w:pPr>
              <w:rPr>
                <w:sz w:val="22"/>
                <w:szCs w:val="22"/>
              </w:rPr>
            </w:pPr>
            <w:r w:rsidRPr="009D39EB">
              <w:rPr>
                <w:sz w:val="22"/>
                <w:szCs w:val="22"/>
              </w:rPr>
              <w:t>A. Safety and Health Program Assessment Worksheet (</w:t>
            </w:r>
            <w:r w:rsidRPr="009D39EB">
              <w:rPr>
                <w:sz w:val="22"/>
                <w:szCs w:val="22"/>
                <w:u w:val="single"/>
              </w:rPr>
              <w:t xml:space="preserve">29 CFR </w:t>
            </w:r>
            <w:r w:rsidRPr="009D39EB">
              <w:rPr>
                <w:sz w:val="22"/>
                <w:szCs w:val="22"/>
              </w:rPr>
              <w:t>1908.6(e)(3))</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B279E7B" w14:textId="77777777">
            <w:pPr>
              <w:jc w:val="center"/>
            </w:pPr>
            <w:r w:rsidRPr="00F87306">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9F7B126" w14:textId="77777777">
            <w:pPr>
              <w:jc w:val="center"/>
            </w:pPr>
            <w:r w:rsidRPr="00C8684A">
              <w:rPr>
                <w:color w:val="000000"/>
                <w:sz w:val="20"/>
                <w:szCs w:val="20"/>
                <w:lang w:eastAsia="ja-JP"/>
              </w:rPr>
              <w:t>18,385</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E53B7D3" w14:textId="77777777">
            <w:pPr>
              <w:jc w:val="center"/>
            </w:pPr>
            <w:r w:rsidRPr="00C8684A">
              <w:rPr>
                <w:color w:val="000000"/>
                <w:sz w:val="20"/>
                <w:szCs w:val="20"/>
                <w:lang w:eastAsia="ja-JP"/>
              </w:rPr>
              <w:t>61,533</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CBFFC41" w14:textId="77777777">
            <w:pPr>
              <w:jc w:val="center"/>
            </w:pPr>
            <w:r w:rsidRPr="00C8684A">
              <w:rPr>
                <w:color w:val="000000"/>
                <w:sz w:val="20"/>
                <w:szCs w:val="20"/>
                <w:lang w:eastAsia="ja-JP"/>
              </w:rPr>
              <w:t>$4,089,483</w:t>
            </w:r>
          </w:p>
        </w:tc>
      </w:tr>
      <w:tr w14:paraId="5C042B05"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067F2617" w14:textId="77777777">
            <w:r w:rsidRPr="009D39EB">
              <w:rPr>
                <w:color w:val="000000"/>
                <w:sz w:val="20"/>
                <w:szCs w:val="20"/>
                <w:lang w:eastAsia="ja-JP"/>
              </w:rPr>
              <w:t xml:space="preserve">B. Prepare and Transmit the List of Hazards[2] (29 CFR 1908.6(e)(8)) </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6E4F4BB" w14:textId="77777777">
            <w:pPr>
              <w:jc w:val="center"/>
            </w:pPr>
            <w:r w:rsidRPr="00F87306">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88D8280" w14:textId="77777777">
            <w:pPr>
              <w:jc w:val="center"/>
            </w:pPr>
            <w:r w:rsidRPr="00C8684A">
              <w:rPr>
                <w:color w:val="000000"/>
                <w:sz w:val="20"/>
                <w:szCs w:val="20"/>
                <w:lang w:eastAsia="ja-JP"/>
              </w:rPr>
              <w:t>12,982</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7D436CD" w14:textId="77777777">
            <w:pPr>
              <w:jc w:val="center"/>
            </w:pPr>
            <w:r w:rsidRPr="00C8684A">
              <w:rPr>
                <w:color w:val="000000"/>
                <w:sz w:val="20"/>
                <w:szCs w:val="20"/>
                <w:lang w:eastAsia="ja-JP"/>
              </w:rPr>
              <w:t>1,082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3472933" w14:textId="77777777">
            <w:pPr>
              <w:jc w:val="center"/>
            </w:pPr>
            <w:r w:rsidRPr="00C8684A">
              <w:rPr>
                <w:color w:val="000000"/>
                <w:sz w:val="20"/>
                <w:szCs w:val="20"/>
                <w:lang w:eastAsia="ja-JP"/>
              </w:rPr>
              <w:t>$71,910</w:t>
            </w:r>
          </w:p>
        </w:tc>
      </w:tr>
      <w:tr w14:paraId="26C0EE8F"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26F34014" w14:textId="77777777">
            <w:pPr>
              <w:rPr>
                <w:color w:val="000000"/>
                <w:lang w:eastAsia="ja-JP"/>
              </w:rPr>
            </w:pPr>
            <w:r w:rsidRPr="009D39EB">
              <w:rPr>
                <w:color w:val="000000"/>
                <w:sz w:val="20"/>
                <w:szCs w:val="20"/>
              </w:rPr>
              <w:t>F. Establish and maintain an organized consultant performance monitoring system. (29 CFR 1908.9(b))</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CEE00E7"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1A57C41" w14:textId="77777777">
            <w:pPr>
              <w:jc w:val="center"/>
              <w:rPr>
                <w:color w:val="000000"/>
                <w:sz w:val="20"/>
                <w:szCs w:val="20"/>
              </w:rPr>
            </w:pPr>
            <w:r w:rsidRPr="00C8684A">
              <w:rPr>
                <w:color w:val="000000"/>
                <w:sz w:val="20"/>
                <w:szCs w:val="20"/>
              </w:rPr>
              <w:t>0</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49C9764" w14:textId="77777777">
            <w:pPr>
              <w:jc w:val="center"/>
              <w:rPr>
                <w:color w:val="000000"/>
                <w:sz w:val="20"/>
                <w:szCs w:val="20"/>
              </w:rPr>
            </w:pPr>
            <w:r w:rsidRPr="00C8684A">
              <w:rPr>
                <w:color w:val="000000"/>
                <w:sz w:val="20"/>
                <w:szCs w:val="20"/>
              </w:rPr>
              <w:t>0</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6689FA2" w14:textId="77777777">
            <w:pPr>
              <w:jc w:val="center"/>
              <w:rPr>
                <w:color w:val="000000"/>
                <w:sz w:val="20"/>
                <w:szCs w:val="20"/>
              </w:rPr>
            </w:pPr>
            <w:r w:rsidRPr="00C8684A">
              <w:rPr>
                <w:color w:val="000000"/>
                <w:sz w:val="20"/>
                <w:szCs w:val="20"/>
              </w:rPr>
              <w:t>$0</w:t>
            </w:r>
          </w:p>
        </w:tc>
      </w:tr>
      <w:tr w14:paraId="46B3BBFA"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528C9C38" w14:textId="77777777">
            <w:pPr>
              <w:rPr>
                <w:color w:val="000000"/>
                <w:lang w:eastAsia="ja-JP"/>
              </w:rPr>
            </w:pPr>
            <w:r w:rsidRPr="009D39EB">
              <w:rPr>
                <w:color w:val="000000"/>
                <w:lang w:eastAsia="ja-JP"/>
              </w:rPr>
              <w:t>D.  Prepare the written report to the employer describing findings and recommendations for an initial consultation visit (1908.6(g)(1))</w:t>
            </w:r>
          </w:p>
          <w:p w:rsidR="00E43BDB" w:rsidRPr="009D39EB" w:rsidP="00DC0B0E" w14:paraId="7751F9FD" w14:textId="77777777"/>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EF06376" w14:textId="77777777">
            <w:pPr>
              <w:jc w:val="center"/>
            </w:pPr>
            <w:r w:rsidRPr="00F87306">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72465C9" w14:textId="77777777">
            <w:pPr>
              <w:jc w:val="center"/>
            </w:pPr>
            <w:r w:rsidRPr="00C8684A">
              <w:rPr>
                <w:color w:val="000000"/>
                <w:sz w:val="20"/>
                <w:szCs w:val="20"/>
              </w:rPr>
              <w:t>18,384</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A61812D" w14:textId="77777777">
            <w:pPr>
              <w:jc w:val="center"/>
            </w:pPr>
            <w:r w:rsidRPr="00C8684A">
              <w:rPr>
                <w:color w:val="000000"/>
                <w:sz w:val="20"/>
                <w:szCs w:val="20"/>
              </w:rPr>
              <w:t>103,689</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9A554D2" w14:textId="77777777">
            <w:pPr>
              <w:jc w:val="center"/>
            </w:pPr>
            <w:r w:rsidRPr="00C8684A">
              <w:rPr>
                <w:color w:val="000000"/>
                <w:sz w:val="20"/>
                <w:szCs w:val="20"/>
              </w:rPr>
              <w:t>$6,891,171</w:t>
            </w:r>
          </w:p>
        </w:tc>
      </w:tr>
      <w:tr w14:paraId="7138CB8F"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783F4ECB" w14:textId="77777777">
            <w:r w:rsidRPr="009D39EB">
              <w:rPr>
                <w:color w:val="000000"/>
                <w:sz w:val="20"/>
                <w:szCs w:val="20"/>
              </w:rPr>
              <w:t>E. Inform OSHA Compliance Officer there is a Consultation "Visit in Progress" (1908.7(b)(1))</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FBEADF2"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123DB7B" w14:textId="77777777">
            <w:pPr>
              <w:jc w:val="center"/>
            </w:pPr>
            <w:r w:rsidRPr="00C8684A">
              <w:rPr>
                <w:color w:val="000000"/>
                <w:sz w:val="20"/>
                <w:szCs w:val="20"/>
              </w:rPr>
              <w:t>919</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7A7CADD" w14:textId="77777777">
            <w:pPr>
              <w:jc w:val="center"/>
            </w:pPr>
            <w:r w:rsidRPr="00C8684A">
              <w:rPr>
                <w:color w:val="000000"/>
                <w:sz w:val="20"/>
                <w:szCs w:val="20"/>
              </w:rPr>
              <w:t>92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B1E3736" w14:textId="77777777">
            <w:pPr>
              <w:jc w:val="center"/>
            </w:pPr>
            <w:r w:rsidRPr="00C8684A">
              <w:rPr>
                <w:color w:val="000000"/>
                <w:sz w:val="20"/>
                <w:szCs w:val="20"/>
              </w:rPr>
              <w:t>$8,406.00</w:t>
            </w:r>
          </w:p>
        </w:tc>
      </w:tr>
      <w:tr w14:paraId="0555833D"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2AE62EF4" w14:textId="77777777">
            <w:r w:rsidRPr="009D39EB">
              <w:rPr>
                <w:color w:val="000000"/>
                <w:sz w:val="20"/>
                <w:szCs w:val="20"/>
              </w:rPr>
              <w:t>F. Establish and maintain an organized consultant performance monitoring system. (29 CFR 1908.9(b))</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BA3FFCF"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D9998BE" w14:textId="77777777">
            <w:pPr>
              <w:jc w:val="center"/>
            </w:pPr>
            <w:r w:rsidRPr="00C8684A">
              <w:t>0</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885841E" w14:textId="77777777">
            <w:pPr>
              <w:jc w:val="center"/>
            </w:pPr>
            <w:r w:rsidRPr="00C8684A">
              <w:t>0</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52A5D99" w14:textId="77777777">
            <w:pPr>
              <w:jc w:val="center"/>
            </w:pPr>
            <w:r w:rsidRPr="00C8684A">
              <w:t>$0</w:t>
            </w:r>
          </w:p>
        </w:tc>
      </w:tr>
      <w:tr w14:paraId="305DC79C"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3C9867AB" w14:textId="77777777">
            <w:r w:rsidRPr="009D39EB">
              <w:rPr>
                <w:color w:val="000000"/>
                <w:sz w:val="20"/>
                <w:szCs w:val="20"/>
              </w:rPr>
              <w:t>F. Establish and maintain an organized consultant performance monitoring system. (29 CFR 1908.9(b))</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DCDE0EA"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E3A4A06" w14:textId="77777777">
            <w:pPr>
              <w:jc w:val="center"/>
            </w:pPr>
            <w:r w:rsidRPr="00C8684A">
              <w:t>477</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D3699ED" w14:textId="77777777">
            <w:pPr>
              <w:jc w:val="center"/>
            </w:pPr>
            <w:r w:rsidRPr="00C8684A">
              <w:t>239</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2BBF974" w14:textId="77777777">
            <w:pPr>
              <w:jc w:val="center"/>
            </w:pPr>
            <w:r w:rsidRPr="00C8684A">
              <w:t>$7,598</w:t>
            </w:r>
          </w:p>
        </w:tc>
      </w:tr>
      <w:tr w14:paraId="7612F20C"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18BF77E0" w14:textId="77777777">
            <w:r w:rsidRPr="009D39EB">
              <w:rPr>
                <w:color w:val="000000"/>
                <w:sz w:val="20"/>
                <w:szCs w:val="20"/>
              </w:rPr>
              <w:t>H.  Annual Cooperative Agreement (29 CFR 1908.10(c))</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4669BCE"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F73CFA0" w14:textId="77777777">
            <w:pPr>
              <w:jc w:val="center"/>
            </w:pPr>
            <w:r w:rsidRPr="00C8684A">
              <w:t>53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8F12A41" w14:textId="77777777">
            <w:pPr>
              <w:jc w:val="center"/>
            </w:pPr>
            <w:r w:rsidRPr="00C8684A">
              <w:t>2,120</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6EEE6A3" w14:textId="77777777">
            <w:pPr>
              <w:jc w:val="center"/>
            </w:pPr>
            <w:r w:rsidRPr="00C8684A">
              <w:t>$168,443</w:t>
            </w:r>
          </w:p>
        </w:tc>
      </w:tr>
      <w:tr w14:paraId="700A89C1"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4FDCB9B5" w14:textId="77777777">
            <w:r w:rsidRPr="009D39EB">
              <w:rPr>
                <w:color w:val="000000"/>
                <w:sz w:val="20"/>
                <w:szCs w:val="20"/>
              </w:rPr>
              <w:t>I. Apply PSM Evaluation Worksheet and optional accompanying tables (29 CFR 1908.6(e)(3); 1910.119; 1926.64; EO 13650)</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1CD3EA0"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9E87338" w14:textId="77777777">
            <w:pPr>
              <w:jc w:val="center"/>
            </w:pPr>
            <w:r w:rsidRPr="00C8684A">
              <w:t>16</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598DED3" w14:textId="77777777">
            <w:pPr>
              <w:jc w:val="center"/>
            </w:pPr>
            <w:r w:rsidRPr="00C8684A">
              <w:t>112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4A8EFF6" w14:textId="77777777">
            <w:pPr>
              <w:jc w:val="center"/>
            </w:pPr>
            <w:r w:rsidRPr="00C8684A">
              <w:t>$7,444</w:t>
            </w:r>
          </w:p>
        </w:tc>
      </w:tr>
      <w:tr w14:paraId="5432167E"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5F53A5B3" w14:textId="77777777">
            <w:r w:rsidRPr="009D39EB">
              <w:rPr>
                <w:color w:val="000000"/>
                <w:sz w:val="20"/>
                <w:szCs w:val="20"/>
              </w:rPr>
              <w:t xml:space="preserve">J. Review the PSM Interim Year SHARP Site Self-Evaluations </w:t>
            </w:r>
            <w:r w:rsidRPr="009D39EB">
              <w:rPr>
                <w:color w:val="000000"/>
                <w:sz w:val="20"/>
                <w:szCs w:val="20"/>
              </w:rPr>
              <w:t>(29 CFR 1908.7(b)(4)) Appendix E</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708B625"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440756C" w14:textId="77777777">
            <w:pPr>
              <w:jc w:val="center"/>
            </w:pPr>
            <w:r w:rsidRPr="00C8684A">
              <w:t>4</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7E56AC2" w14:textId="77777777">
            <w:pPr>
              <w:jc w:val="center"/>
            </w:pPr>
            <w:r w:rsidRPr="00C8684A">
              <w:t>8</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73D42A3" w14:textId="77777777">
            <w:pPr>
              <w:jc w:val="center"/>
            </w:pPr>
            <w:r w:rsidRPr="00C8684A">
              <w:t>$532</w:t>
            </w:r>
          </w:p>
        </w:tc>
      </w:tr>
      <w:tr w14:paraId="17D26AE2"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2095D138" w14:textId="77777777">
            <w:r w:rsidRPr="009D39EB">
              <w:rPr>
                <w:color w:val="000000"/>
                <w:sz w:val="20"/>
                <w:szCs w:val="20"/>
              </w:rPr>
              <w:t>K. Apply the worksheet for Determining the Applicability of the PSM Standard to an Establishment.</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E8804F9"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3337DB4" w14:textId="77777777">
            <w:pPr>
              <w:jc w:val="center"/>
            </w:pPr>
            <w:r w:rsidRPr="00C8684A">
              <w:t>16</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96A3389" w14:textId="77777777">
            <w:pPr>
              <w:jc w:val="center"/>
            </w:pPr>
            <w:r w:rsidRPr="00C8684A">
              <w:t>32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A48041B" w14:textId="77777777">
            <w:pPr>
              <w:jc w:val="center"/>
            </w:pPr>
            <w:r w:rsidRPr="00C8684A">
              <w:t>$2,127</w:t>
            </w:r>
          </w:p>
        </w:tc>
      </w:tr>
      <w:tr w14:paraId="5B639D2F"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7E5B293A" w14:textId="77777777">
            <w:r w:rsidRPr="009D39EB">
              <w:rPr>
                <w:color w:val="000000"/>
                <w:sz w:val="20"/>
                <w:szCs w:val="20"/>
              </w:rPr>
              <w:t>L. Review the Interim Year SHARP Site Self-Evaluations 29 CFR (1908.7(b)(4))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A49A111"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5B4BA8E" w14:textId="77777777">
            <w:pPr>
              <w:jc w:val="center"/>
            </w:pPr>
            <w:r w:rsidRPr="00C8684A">
              <w:rPr>
                <w:color w:val="000000"/>
                <w:sz w:val="20"/>
                <w:szCs w:val="20"/>
              </w:rPr>
              <w:t>1,023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165A7F6" w14:textId="77777777">
            <w:pPr>
              <w:jc w:val="center"/>
            </w:pPr>
            <w:r w:rsidRPr="00C8684A">
              <w:rPr>
                <w:color w:val="000000"/>
                <w:sz w:val="20"/>
                <w:szCs w:val="20"/>
              </w:rPr>
              <w:t>2,046</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3E9620E" w14:textId="77777777">
            <w:pPr>
              <w:jc w:val="center"/>
            </w:pPr>
            <w:r w:rsidRPr="00C8684A">
              <w:rPr>
                <w:color w:val="000000"/>
                <w:sz w:val="20"/>
                <w:szCs w:val="20"/>
              </w:rPr>
              <w:t>$135,977</w:t>
            </w:r>
          </w:p>
        </w:tc>
      </w:tr>
      <w:tr w14:paraId="62C43CE8"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1791F5B5" w14:textId="77777777">
            <w:r w:rsidRPr="009D39EB">
              <w:rPr>
                <w:color w:val="000000"/>
                <w:sz w:val="20"/>
                <w:szCs w:val="20"/>
              </w:rPr>
              <w:t>M. Assist employers with applying the Action Plan Template for SHARP or Pre-SHARP Participation (29 CFR 1908.6(e)(3)) Appendix F</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58BEE3B"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43F203A" w14:textId="77777777">
            <w:pPr>
              <w:jc w:val="center"/>
            </w:pPr>
            <w:r w:rsidRPr="00C8684A">
              <w:rPr>
                <w:color w:val="000000"/>
                <w:sz w:val="20"/>
                <w:szCs w:val="20"/>
              </w:rPr>
              <w:t>1,153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4C44642" w14:textId="77777777">
            <w:pPr>
              <w:jc w:val="center"/>
            </w:pPr>
            <w:r w:rsidRPr="00C8684A">
              <w:rPr>
                <w:color w:val="000000"/>
                <w:sz w:val="20"/>
                <w:szCs w:val="20"/>
              </w:rPr>
              <w:t>4,612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8C82F1C" w14:textId="77777777">
            <w:pPr>
              <w:jc w:val="center"/>
            </w:pPr>
            <w:r w:rsidRPr="00C8684A">
              <w:rPr>
                <w:color w:val="000000"/>
                <w:sz w:val="20"/>
                <w:szCs w:val="20"/>
              </w:rPr>
              <w:t>$306,514</w:t>
            </w:r>
          </w:p>
        </w:tc>
      </w:tr>
      <w:tr w14:paraId="0012FD2C"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RPr="009D39EB" w:rsidP="00DC0B0E" w14:paraId="1D61742A" w14:textId="77777777">
            <w:r w:rsidRPr="009D39EB">
              <w:rPr>
                <w:color w:val="000000"/>
                <w:sz w:val="20"/>
                <w:szCs w:val="20"/>
              </w:rPr>
              <w:t>N. Use the Incident Investigation Reporting Template (29 CFR 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EB2279B" w14:textId="77777777">
            <w:pPr>
              <w:jc w:val="center"/>
            </w:pPr>
            <w:r w:rsidRPr="00C8684A">
              <w:t>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3A62F90" w14:textId="77777777">
            <w:pPr>
              <w:jc w:val="center"/>
            </w:pPr>
            <w:r w:rsidRPr="00C8684A">
              <w:rPr>
                <w:color w:val="000000"/>
                <w:sz w:val="20"/>
                <w:szCs w:val="20"/>
              </w:rPr>
              <w:t>7</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97B8161" w14:textId="77777777">
            <w:pPr>
              <w:jc w:val="center"/>
            </w:pPr>
            <w:r w:rsidRPr="00C8684A">
              <w:rPr>
                <w:color w:val="000000"/>
                <w:sz w:val="20"/>
                <w:szCs w:val="20"/>
              </w:rPr>
              <w:t>42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21F2675" w14:textId="77777777">
            <w:pPr>
              <w:jc w:val="center"/>
            </w:pPr>
            <w:r w:rsidRPr="00C8684A">
              <w:rPr>
                <w:color w:val="000000"/>
                <w:sz w:val="20"/>
                <w:szCs w:val="20"/>
              </w:rPr>
              <w:t>$2,791</w:t>
            </w:r>
          </w:p>
        </w:tc>
      </w:tr>
      <w:tr w14:paraId="1684F831" w14:textId="77777777" w:rsidTr="00C8684A">
        <w:tblPrEx>
          <w:tblW w:w="0" w:type="auto"/>
          <w:tblInd w:w="720" w:type="dxa"/>
          <w:tblLook w:val="04A0"/>
        </w:tblPrEx>
        <w:trPr>
          <w:trHeight w:val="314"/>
        </w:trPr>
        <w:tc>
          <w:tcPr>
            <w:tcW w:w="5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43BDB" w:rsidRPr="00F87306" w:rsidP="00DC0B0E" w14:paraId="738729F8" w14:textId="0E9963C1">
            <w:pPr>
              <w:widowControl/>
              <w:autoSpaceDE/>
              <w:autoSpaceDN/>
              <w:adjustRightInd/>
              <w:spacing w:after="160" w:line="278" w:lineRule="auto"/>
              <w:rPr>
                <w:b/>
                <w:bCs/>
              </w:rPr>
            </w:pPr>
            <w:r>
              <w:rPr>
                <w:b/>
                <w:bCs/>
              </w:rPr>
              <w:t>Table 2</w:t>
            </w:r>
            <w:r w:rsidR="004D5A73">
              <w:rPr>
                <w:b/>
                <w:bCs/>
              </w:rPr>
              <w:t>a</w:t>
            </w:r>
            <w:r>
              <w:rPr>
                <w:b/>
                <w:bCs/>
              </w:rPr>
              <w:t xml:space="preserve"> Total</w:t>
            </w:r>
          </w:p>
        </w:tc>
        <w:tc>
          <w:tcPr>
            <w:tcW w:w="2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23620DA5" w14:textId="77777777">
            <w:pPr>
              <w:widowControl/>
              <w:autoSpaceDE/>
              <w:autoSpaceDN/>
              <w:adjustRightInd/>
              <w:spacing w:after="160" w:line="278" w:lineRule="auto"/>
              <w:jc w:val="center"/>
              <w:rPr>
                <w:b/>
                <w:bCs/>
              </w:rPr>
            </w:pPr>
            <w:r w:rsidRPr="00F87306">
              <w:rPr>
                <w:b/>
                <w:bCs/>
              </w:rPr>
              <w:t>53</w:t>
            </w:r>
          </w:p>
        </w:tc>
        <w:tc>
          <w:tcPr>
            <w:tcW w:w="1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03B233E9" w14:textId="77777777">
            <w:pPr>
              <w:widowControl/>
              <w:autoSpaceDE/>
              <w:autoSpaceDN/>
              <w:adjustRightInd/>
              <w:spacing w:after="160" w:line="278" w:lineRule="auto"/>
              <w:jc w:val="center"/>
              <w:rPr>
                <w:b/>
                <w:bCs/>
              </w:rPr>
            </w:pPr>
            <w:r w:rsidRPr="00F87306">
              <w:rPr>
                <w:b/>
                <w:bCs/>
              </w:rPr>
              <w:t>53,472</w:t>
            </w:r>
          </w:p>
        </w:tc>
        <w:tc>
          <w:tcPr>
            <w:tcW w:w="1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667E1143" w14:textId="77777777">
            <w:pPr>
              <w:widowControl/>
              <w:autoSpaceDE/>
              <w:autoSpaceDN/>
              <w:adjustRightInd/>
              <w:spacing w:after="160" w:line="278" w:lineRule="auto"/>
              <w:jc w:val="center"/>
              <w:rPr>
                <w:b/>
                <w:bCs/>
              </w:rPr>
            </w:pPr>
            <w:r w:rsidRPr="00F87306">
              <w:rPr>
                <w:b/>
                <w:bCs/>
              </w:rPr>
              <w:t>175,607</w:t>
            </w:r>
          </w:p>
        </w:tc>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0D692A35" w14:textId="77777777">
            <w:pPr>
              <w:widowControl/>
              <w:autoSpaceDE/>
              <w:autoSpaceDN/>
              <w:adjustRightInd/>
              <w:spacing w:after="160" w:line="278" w:lineRule="auto"/>
              <w:jc w:val="center"/>
              <w:rPr>
                <w:b/>
                <w:bCs/>
              </w:rPr>
            </w:pPr>
            <w:r w:rsidRPr="00F87306">
              <w:rPr>
                <w:b/>
                <w:bCs/>
              </w:rPr>
              <w:t>$11,689,890</w:t>
            </w:r>
          </w:p>
        </w:tc>
      </w:tr>
      <w:tr w14:paraId="434F647F" w14:textId="77777777" w:rsidTr="00C8684A">
        <w:tblPrEx>
          <w:tblW w:w="0" w:type="auto"/>
          <w:tblInd w:w="720" w:type="dxa"/>
          <w:tblLook w:val="04A0"/>
        </w:tblPrEx>
        <w:tc>
          <w:tcPr>
            <w:tcW w:w="12230" w:type="dxa"/>
            <w:gridSpan w:val="5"/>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rsidR="00C8684A" w:rsidRPr="00C8684A" w:rsidP="00C8684A" w14:paraId="0303C955" w14:textId="1188C674">
            <w:r w:rsidRPr="00F87306">
              <w:rPr>
                <w:b/>
                <w:bCs/>
              </w:rPr>
              <w:t xml:space="preserve">Estimated Annualized Respondent (Employer) Burden Hours and Cost (Table </w:t>
            </w:r>
            <w:r w:rsidR="004D5A73">
              <w:rPr>
                <w:b/>
                <w:bCs/>
              </w:rPr>
              <w:t>2b</w:t>
            </w:r>
            <w:r w:rsidRPr="00F87306">
              <w:rPr>
                <w:b/>
                <w:bCs/>
              </w:rPr>
              <w:t>)</w:t>
            </w:r>
          </w:p>
        </w:tc>
      </w:tr>
      <w:tr w14:paraId="0FDBD1AA"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P="00DC0B0E" w14:paraId="57CF32D4" w14:textId="77777777">
            <w:pPr>
              <w:rPr>
                <w:b/>
                <w:bCs/>
              </w:rPr>
            </w:pPr>
            <w:r w:rsidRPr="00C205CD">
              <w:rPr>
                <w:color w:val="000000"/>
                <w:sz w:val="20"/>
                <w:szCs w:val="20"/>
              </w:rPr>
              <w:t>A. Hazard correction notification to Consultation program (29 CFR 1908.6 (e)(8)and (f)(5)</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2DDE5ED" w14:textId="77777777">
            <w:pPr>
              <w:jc w:val="center"/>
            </w:pPr>
            <w:r w:rsidRPr="00C8684A">
              <w:rPr>
                <w:color w:val="000000"/>
                <w:sz w:val="20"/>
                <w:szCs w:val="20"/>
              </w:rPr>
              <w:t>18,384</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5CA990D" w14:textId="77777777">
            <w:pPr>
              <w:jc w:val="center"/>
            </w:pPr>
            <w:r w:rsidRPr="00C8684A">
              <w:rPr>
                <w:color w:val="000000"/>
                <w:sz w:val="20"/>
                <w:szCs w:val="20"/>
              </w:rPr>
              <w:t>18,384</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85E6D66" w14:textId="77777777">
            <w:pPr>
              <w:jc w:val="center"/>
            </w:pPr>
            <w:r w:rsidRPr="00C8684A">
              <w:t>4,596</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997CE8D" w14:textId="77777777">
            <w:pPr>
              <w:jc w:val="center"/>
            </w:pPr>
            <w:r w:rsidRPr="00C8684A">
              <w:rPr>
                <w:color w:val="000000" w:themeColor="text1"/>
                <w:sz w:val="20"/>
                <w:szCs w:val="20"/>
              </w:rPr>
              <w:t>$415,386</w:t>
            </w:r>
          </w:p>
        </w:tc>
      </w:tr>
      <w:tr w14:paraId="0B69C440"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tcPr>
          <w:p w:rsidR="00E43BDB" w:rsidP="00DC0B0E" w14:paraId="7F072372" w14:textId="77777777">
            <w:pPr>
              <w:rPr>
                <w:b/>
                <w:bCs/>
              </w:rPr>
            </w:pPr>
            <w:r w:rsidRPr="00C205CD">
              <w:rPr>
                <w:color w:val="000000"/>
                <w:sz w:val="20"/>
                <w:szCs w:val="20"/>
              </w:rPr>
              <w:t>B. Inform OSHA Compliance Officer there is a Consultation "Visit in Progress" (29 CFR</w:t>
            </w:r>
            <w:r w:rsidRPr="00C205CD">
              <w:rPr>
                <w:color w:val="000000"/>
                <w:sz w:val="20"/>
                <w:szCs w:val="20"/>
                <w:u w:val="single"/>
              </w:rPr>
              <w:t xml:space="preserve"> </w:t>
            </w:r>
            <w:r w:rsidRPr="00C205CD">
              <w:rPr>
                <w:color w:val="000000"/>
                <w:sz w:val="20"/>
                <w:szCs w:val="20"/>
              </w:rPr>
              <w:t>1908.7(b)(1))</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FE7D190" w14:textId="77777777">
            <w:pPr>
              <w:jc w:val="center"/>
            </w:pPr>
            <w:r w:rsidRPr="00C8684A">
              <w:t>887</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B5F529D" w14:textId="77777777">
            <w:pPr>
              <w:jc w:val="center"/>
            </w:pPr>
            <w:r w:rsidRPr="00C8684A">
              <w:t>887</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2F10795" w14:textId="77777777">
            <w:pPr>
              <w:jc w:val="center"/>
            </w:pPr>
            <w:r w:rsidRPr="00C8684A">
              <w:t>89</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3BCC1F5" w14:textId="257DE6C5">
            <w:pPr>
              <w:jc w:val="center"/>
            </w:pPr>
            <w:r w:rsidRPr="00C8684A">
              <w:rPr>
                <w:color w:val="000000" w:themeColor="text1"/>
                <w:sz w:val="20"/>
                <w:szCs w:val="20"/>
              </w:rPr>
              <w:t>$8,044</w:t>
            </w:r>
          </w:p>
        </w:tc>
      </w:tr>
      <w:tr w14:paraId="58D8F085"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vAlign w:val="center"/>
          </w:tcPr>
          <w:p w:rsidR="00E43BDB" w:rsidP="00DC0B0E" w14:paraId="739A8278" w14:textId="77777777">
            <w:pPr>
              <w:rPr>
                <w:b/>
                <w:bCs/>
              </w:rPr>
            </w:pPr>
            <w:r w:rsidRPr="00C205CD">
              <w:rPr>
                <w:color w:val="000000" w:themeColor="text1"/>
                <w:sz w:val="20"/>
                <w:szCs w:val="20"/>
              </w:rPr>
              <w:t>C. Employers voluntarily request to participate in SHARP/Pre-SHARP (1908.7(b)(4))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98C30C8" w14:textId="77777777">
            <w:pPr>
              <w:jc w:val="center"/>
            </w:pPr>
            <w:r w:rsidRPr="00C8684A">
              <w:t>509</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62380D72" w14:textId="77777777">
            <w:pPr>
              <w:jc w:val="center"/>
            </w:pPr>
            <w:r w:rsidRPr="00C8684A">
              <w:t>509</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B68AF60" w14:textId="77777777">
            <w:pPr>
              <w:jc w:val="center"/>
            </w:pPr>
            <w:r w:rsidRPr="00C8684A">
              <w:t>829</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A1CAB00" w14:textId="77777777">
            <w:pPr>
              <w:jc w:val="center"/>
            </w:pPr>
            <w:r w:rsidRPr="00C8684A">
              <w:t>$74,925</w:t>
            </w:r>
          </w:p>
        </w:tc>
      </w:tr>
      <w:tr w14:paraId="60E5B418"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vAlign w:val="center"/>
          </w:tcPr>
          <w:p w:rsidR="00E43BDB" w:rsidP="00DC0B0E" w14:paraId="15901023" w14:textId="77777777">
            <w:pPr>
              <w:rPr>
                <w:b/>
                <w:bCs/>
              </w:rPr>
            </w:pPr>
            <w:r w:rsidRPr="00C205CD">
              <w:rPr>
                <w:color w:val="000000"/>
                <w:sz w:val="20"/>
                <w:szCs w:val="20"/>
              </w:rPr>
              <w:t>D. PSM SHARP employers complete and submit the PSM Interim Year SHARP Site Self-Evaluation (29 CFR</w:t>
            </w:r>
            <w:r w:rsidRPr="00C205CD">
              <w:rPr>
                <w:color w:val="000000"/>
                <w:sz w:val="20"/>
                <w:szCs w:val="20"/>
                <w:u w:val="single"/>
              </w:rPr>
              <w:t xml:space="preserve"> </w:t>
            </w:r>
            <w:r w:rsidRPr="00C205CD">
              <w:rPr>
                <w:color w:val="000000"/>
                <w:sz w:val="20"/>
                <w:szCs w:val="20"/>
              </w:rPr>
              <w:t>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2C7BED1" w14:textId="77777777">
            <w:pPr>
              <w:jc w:val="center"/>
            </w:pPr>
            <w:r w:rsidRPr="00C8684A">
              <w:rPr>
                <w:color w:val="000000"/>
                <w:sz w:val="20"/>
                <w:szCs w:val="20"/>
              </w:rPr>
              <w:t>4</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3F0494B" w14:textId="77777777">
            <w:pPr>
              <w:jc w:val="center"/>
            </w:pPr>
            <w:r w:rsidRPr="00C8684A">
              <w:rPr>
                <w:color w:val="000000"/>
                <w:sz w:val="20"/>
                <w:szCs w:val="20"/>
              </w:rPr>
              <w:t>4</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4389544" w14:textId="77777777">
            <w:pPr>
              <w:jc w:val="center"/>
            </w:pPr>
            <w:r w:rsidRPr="00C8684A">
              <w:rPr>
                <w:color w:val="000000"/>
                <w:sz w:val="20"/>
                <w:szCs w:val="20"/>
              </w:rPr>
              <w:t>16</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9C3356F" w14:textId="6A0AD593">
            <w:pPr>
              <w:jc w:val="center"/>
            </w:pPr>
            <w:r w:rsidRPr="00C8684A">
              <w:rPr>
                <w:color w:val="000000" w:themeColor="text1"/>
                <w:sz w:val="20"/>
                <w:szCs w:val="20"/>
              </w:rPr>
              <w:t>$1,446</w:t>
            </w:r>
          </w:p>
        </w:tc>
      </w:tr>
      <w:tr w14:paraId="5DF7CEA8"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vAlign w:val="center"/>
          </w:tcPr>
          <w:p w:rsidR="00E43BDB" w:rsidP="00DC0B0E" w14:paraId="673AF593" w14:textId="77777777">
            <w:pPr>
              <w:rPr>
                <w:b/>
                <w:bCs/>
              </w:rPr>
            </w:pPr>
            <w:r w:rsidRPr="00C205CD">
              <w:rPr>
                <w:color w:val="000000"/>
                <w:sz w:val="20"/>
                <w:szCs w:val="20"/>
              </w:rPr>
              <w:t>E. All SHARP employers complete and submit the Interim Year SHARP Site Self-Evaluation (29 CFR</w:t>
            </w:r>
            <w:r w:rsidRPr="00C205CD">
              <w:rPr>
                <w:color w:val="000000"/>
                <w:sz w:val="20"/>
                <w:szCs w:val="20"/>
                <w:u w:val="single"/>
              </w:rPr>
              <w:t xml:space="preserve"> </w:t>
            </w:r>
            <w:r w:rsidRPr="00C205CD">
              <w:rPr>
                <w:color w:val="000000"/>
                <w:sz w:val="20"/>
                <w:szCs w:val="20"/>
              </w:rPr>
              <w:t>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BEC0814" w14:textId="77777777">
            <w:pPr>
              <w:jc w:val="center"/>
            </w:pPr>
            <w:r w:rsidRPr="00C8684A">
              <w:rPr>
                <w:color w:val="000000"/>
                <w:sz w:val="20"/>
                <w:szCs w:val="20"/>
              </w:rPr>
              <w:t>1,023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8FED4E4" w14:textId="77777777">
            <w:pPr>
              <w:jc w:val="center"/>
            </w:pPr>
            <w:r w:rsidRPr="00C8684A">
              <w:rPr>
                <w:color w:val="000000"/>
                <w:sz w:val="20"/>
                <w:szCs w:val="20"/>
              </w:rPr>
              <w:t>1,023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3339D857" w14:textId="77777777">
            <w:pPr>
              <w:jc w:val="center"/>
            </w:pPr>
            <w:r w:rsidRPr="00C8684A">
              <w:rPr>
                <w:color w:val="000000"/>
                <w:sz w:val="20"/>
                <w:szCs w:val="20"/>
              </w:rPr>
              <w:t>3,069</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D2D4D35" w14:textId="3CB06994">
            <w:pPr>
              <w:jc w:val="center"/>
            </w:pPr>
            <w:r w:rsidRPr="00C8684A">
              <w:rPr>
                <w:color w:val="000000" w:themeColor="text1"/>
                <w:sz w:val="20"/>
                <w:szCs w:val="20"/>
              </w:rPr>
              <w:t>$277,376</w:t>
            </w:r>
          </w:p>
        </w:tc>
      </w:tr>
      <w:tr w14:paraId="733E8471"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vAlign w:val="center"/>
          </w:tcPr>
          <w:p w:rsidR="00E43BDB" w:rsidP="00DC0B0E" w14:paraId="06BFEC29" w14:textId="77777777">
            <w:pPr>
              <w:rPr>
                <w:b/>
                <w:bCs/>
              </w:rPr>
            </w:pPr>
            <w:r w:rsidRPr="00C205CD">
              <w:rPr>
                <w:color w:val="000000"/>
                <w:sz w:val="20"/>
                <w:szCs w:val="20"/>
              </w:rPr>
              <w:t>F. Employers participating in SHARP or Pre-SHARP work with On-Site Consultation programs to develop the Action Plan Template (1908.7(b)(4))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BD38E4E" w14:textId="77777777">
            <w:pPr>
              <w:jc w:val="center"/>
            </w:pPr>
            <w:r w:rsidRPr="00C8684A">
              <w:rPr>
                <w:color w:val="000000"/>
                <w:sz w:val="20"/>
                <w:szCs w:val="20"/>
              </w:rPr>
              <w:t>1,153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E06FCA9" w14:textId="77777777">
            <w:pPr>
              <w:jc w:val="center"/>
            </w:pPr>
            <w:r w:rsidRPr="00C8684A">
              <w:rPr>
                <w:color w:val="000000"/>
                <w:sz w:val="20"/>
                <w:szCs w:val="20"/>
              </w:rPr>
              <w:t>1,153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7D17AD51" w14:textId="77777777">
            <w:pPr>
              <w:jc w:val="center"/>
            </w:pPr>
            <w:r w:rsidRPr="00C8684A">
              <w:rPr>
                <w:color w:val="000000"/>
                <w:sz w:val="20"/>
                <w:szCs w:val="20"/>
              </w:rPr>
              <w:t>4,612</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1060F909" w14:textId="56CF324C">
            <w:pPr>
              <w:jc w:val="center"/>
            </w:pPr>
            <w:r w:rsidRPr="00C8684A">
              <w:rPr>
                <w:color w:val="000000"/>
                <w:sz w:val="20"/>
                <w:szCs w:val="20"/>
              </w:rPr>
              <w:t>$416,823</w:t>
            </w:r>
          </w:p>
        </w:tc>
      </w:tr>
      <w:tr w14:paraId="3233107F"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vAlign w:val="center"/>
          </w:tcPr>
          <w:p w:rsidR="00E43BDB" w:rsidP="00DC0B0E" w14:paraId="406BC967" w14:textId="77777777">
            <w:pPr>
              <w:rPr>
                <w:b/>
                <w:bCs/>
              </w:rPr>
            </w:pPr>
            <w:r w:rsidRPr="00C205CD">
              <w:rPr>
                <w:color w:val="000000"/>
                <w:sz w:val="20"/>
                <w:szCs w:val="20"/>
              </w:rPr>
              <w:t>G. Employers participating in SHARP or Pre-SHARP may apply the Optional Safety and Health Program Action Plan Tool (29 CFR</w:t>
            </w:r>
            <w:r w:rsidRPr="00C205CD">
              <w:rPr>
                <w:color w:val="000000"/>
                <w:sz w:val="20"/>
                <w:szCs w:val="20"/>
                <w:u w:val="single"/>
              </w:rPr>
              <w:t xml:space="preserve"> </w:t>
            </w:r>
            <w:r w:rsidRPr="00C205CD">
              <w:rPr>
                <w:color w:val="000000"/>
                <w:sz w:val="20"/>
                <w:szCs w:val="20"/>
              </w:rPr>
              <w:t>1908.7(b)(4))</w:t>
            </w:r>
          </w:p>
        </w:tc>
        <w:tc>
          <w:tcPr>
            <w:tcW w:w="22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021A530E" w14:textId="77777777">
            <w:pPr>
              <w:jc w:val="center"/>
            </w:pPr>
            <w:r w:rsidRPr="00C8684A">
              <w:rPr>
                <w:color w:val="000000"/>
                <w:sz w:val="20"/>
                <w:szCs w:val="20"/>
              </w:rPr>
              <w:t>1,153</w:t>
            </w:r>
          </w:p>
        </w:tc>
        <w:tc>
          <w:tcPr>
            <w:tcW w:w="16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46F1035F" w14:textId="77777777">
            <w:pPr>
              <w:jc w:val="center"/>
            </w:pPr>
            <w:r w:rsidRPr="00C8684A">
              <w:rPr>
                <w:color w:val="000000"/>
                <w:sz w:val="20"/>
                <w:szCs w:val="20"/>
              </w:rPr>
              <w:t>1,153</w:t>
            </w:r>
          </w:p>
        </w:tc>
        <w:tc>
          <w:tcPr>
            <w:tcW w:w="1513"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271B31B3" w14:textId="77777777">
            <w:pPr>
              <w:jc w:val="center"/>
            </w:pPr>
            <w:r w:rsidRPr="00C8684A">
              <w:rPr>
                <w:color w:val="000000"/>
                <w:sz w:val="20"/>
                <w:szCs w:val="20"/>
              </w:rPr>
              <w:t>6,918</w:t>
            </w:r>
          </w:p>
        </w:tc>
        <w:tc>
          <w:tcPr>
            <w:tcW w:w="1529" w:type="dxa"/>
            <w:tcBorders>
              <w:top w:val="single" w:sz="4" w:space="0" w:color="auto"/>
              <w:left w:val="single" w:sz="4" w:space="0" w:color="auto"/>
              <w:bottom w:val="single" w:sz="4" w:space="0" w:color="auto"/>
              <w:right w:val="single" w:sz="4" w:space="0" w:color="auto"/>
            </w:tcBorders>
            <w:vAlign w:val="center"/>
          </w:tcPr>
          <w:p w:rsidR="00E43BDB" w:rsidRPr="00C8684A" w:rsidP="00C8684A" w14:paraId="594E76DE" w14:textId="65C97E26">
            <w:pPr>
              <w:jc w:val="center"/>
            </w:pPr>
            <w:r w:rsidRPr="00C8684A">
              <w:rPr>
                <w:color w:val="000000"/>
                <w:sz w:val="20"/>
                <w:szCs w:val="20"/>
              </w:rPr>
              <w:t>$625,234</w:t>
            </w:r>
          </w:p>
        </w:tc>
      </w:tr>
      <w:tr w14:paraId="2788A9B2" w14:textId="77777777" w:rsidTr="00C8684A">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43BDB" w:rsidRPr="00F87306" w:rsidP="00DC0B0E" w14:paraId="6C0C968D" w14:textId="562CC549">
            <w:pPr>
              <w:widowControl/>
              <w:autoSpaceDE/>
              <w:autoSpaceDN/>
              <w:adjustRightInd/>
              <w:spacing w:after="160" w:line="278" w:lineRule="auto"/>
              <w:rPr>
                <w:b/>
                <w:bCs/>
              </w:rPr>
            </w:pPr>
            <w:r>
              <w:rPr>
                <w:b/>
                <w:bCs/>
              </w:rPr>
              <w:t xml:space="preserve">Table </w:t>
            </w:r>
            <w:r w:rsidR="004D5A73">
              <w:rPr>
                <w:b/>
                <w:bCs/>
              </w:rPr>
              <w:t>2b</w:t>
            </w:r>
            <w:r>
              <w:rPr>
                <w:b/>
                <w:bCs/>
              </w:rPr>
              <w:t xml:space="preserve"> Total</w:t>
            </w:r>
          </w:p>
        </w:tc>
        <w:tc>
          <w:tcPr>
            <w:tcW w:w="2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39F884D3" w14:textId="77777777">
            <w:pPr>
              <w:widowControl/>
              <w:autoSpaceDE/>
              <w:autoSpaceDN/>
              <w:adjustRightInd/>
              <w:spacing w:after="160" w:line="278" w:lineRule="auto"/>
              <w:jc w:val="center"/>
              <w:rPr>
                <w:b/>
                <w:bCs/>
              </w:rPr>
            </w:pPr>
            <w:r w:rsidRPr="00F87306">
              <w:rPr>
                <w:b/>
                <w:bCs/>
              </w:rPr>
              <w:t>23,113</w:t>
            </w:r>
          </w:p>
        </w:tc>
        <w:tc>
          <w:tcPr>
            <w:tcW w:w="1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0E0C782F" w14:textId="77777777">
            <w:pPr>
              <w:widowControl/>
              <w:autoSpaceDE/>
              <w:autoSpaceDN/>
              <w:adjustRightInd/>
              <w:spacing w:after="160" w:line="278" w:lineRule="auto"/>
              <w:jc w:val="center"/>
              <w:rPr>
                <w:b/>
                <w:bCs/>
              </w:rPr>
            </w:pPr>
            <w:r w:rsidRPr="00F87306">
              <w:rPr>
                <w:b/>
                <w:bCs/>
              </w:rPr>
              <w:t>23,113</w:t>
            </w:r>
          </w:p>
        </w:tc>
        <w:tc>
          <w:tcPr>
            <w:tcW w:w="1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0F6B5B46" w14:textId="77777777">
            <w:pPr>
              <w:widowControl/>
              <w:autoSpaceDE/>
              <w:autoSpaceDN/>
              <w:adjustRightInd/>
              <w:spacing w:after="160" w:line="278" w:lineRule="auto"/>
              <w:jc w:val="center"/>
              <w:rPr>
                <w:b/>
                <w:bCs/>
              </w:rPr>
            </w:pPr>
            <w:r w:rsidRPr="00F87306">
              <w:rPr>
                <w:b/>
                <w:bCs/>
              </w:rPr>
              <w:t>20,129</w:t>
            </w:r>
          </w:p>
        </w:tc>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C8684A" w14:paraId="249948C0" w14:textId="77777777">
            <w:pPr>
              <w:widowControl/>
              <w:autoSpaceDE/>
              <w:autoSpaceDN/>
              <w:adjustRightInd/>
              <w:spacing w:after="160" w:line="278" w:lineRule="auto"/>
              <w:jc w:val="center"/>
              <w:rPr>
                <w:b/>
                <w:bCs/>
              </w:rPr>
            </w:pPr>
            <w:r w:rsidRPr="00F87306">
              <w:rPr>
                <w:b/>
                <w:bCs/>
              </w:rPr>
              <w:t>$1,819,176</w:t>
            </w:r>
          </w:p>
        </w:tc>
      </w:tr>
      <w:tr w14:paraId="5A74B85D" w14:textId="77777777" w:rsidTr="00DC0B0E">
        <w:tblPrEx>
          <w:tblW w:w="0" w:type="auto"/>
          <w:tblInd w:w="720" w:type="dxa"/>
          <w:tblLook w:val="04A0"/>
        </w:tblPrEx>
        <w:tc>
          <w:tcPr>
            <w:tcW w:w="534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43BDB" w:rsidRPr="00F87306" w:rsidP="00DC0B0E" w14:paraId="40E2D121" w14:textId="77777777">
            <w:pPr>
              <w:widowControl/>
              <w:autoSpaceDE/>
              <w:autoSpaceDN/>
              <w:adjustRightInd/>
              <w:spacing w:after="160" w:line="278" w:lineRule="auto"/>
              <w:rPr>
                <w:b/>
                <w:bCs/>
              </w:rPr>
            </w:pPr>
            <w:r>
              <w:rPr>
                <w:b/>
                <w:bCs/>
              </w:rPr>
              <w:t>Grand T</w:t>
            </w:r>
            <w:r w:rsidRPr="00F87306">
              <w:rPr>
                <w:b/>
                <w:bCs/>
              </w:rPr>
              <w:t>otal</w:t>
            </w:r>
          </w:p>
        </w:tc>
        <w:tc>
          <w:tcPr>
            <w:tcW w:w="22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DC0B0E" w14:paraId="587DB30F" w14:textId="77777777">
            <w:pPr>
              <w:widowControl/>
              <w:autoSpaceDE/>
              <w:autoSpaceDN/>
              <w:adjustRightInd/>
              <w:spacing w:after="160" w:line="278" w:lineRule="auto"/>
              <w:rPr>
                <w:b/>
                <w:bCs/>
              </w:rPr>
            </w:pPr>
          </w:p>
        </w:tc>
        <w:tc>
          <w:tcPr>
            <w:tcW w:w="16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DC0B0E" w14:paraId="694B18A5" w14:textId="77777777">
            <w:pPr>
              <w:widowControl/>
              <w:autoSpaceDE/>
              <w:autoSpaceDN/>
              <w:adjustRightInd/>
              <w:spacing w:after="160" w:line="278" w:lineRule="auto"/>
              <w:rPr>
                <w:b/>
                <w:bCs/>
              </w:rPr>
            </w:pPr>
            <w:r w:rsidRPr="00F87306">
              <w:rPr>
                <w:b/>
                <w:bCs/>
              </w:rPr>
              <w:t>76,585</w:t>
            </w:r>
          </w:p>
        </w:tc>
        <w:tc>
          <w:tcPr>
            <w:tcW w:w="15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DC0B0E" w14:paraId="00FD55C0" w14:textId="77777777">
            <w:pPr>
              <w:widowControl/>
              <w:autoSpaceDE/>
              <w:autoSpaceDN/>
              <w:adjustRightInd/>
              <w:spacing w:after="160" w:line="278" w:lineRule="auto"/>
              <w:rPr>
                <w:b/>
                <w:bCs/>
              </w:rPr>
            </w:pPr>
            <w:r w:rsidRPr="00F87306">
              <w:rPr>
                <w:b/>
                <w:bCs/>
              </w:rPr>
              <w:t>195,736</w:t>
            </w:r>
          </w:p>
        </w:tc>
        <w:tc>
          <w:tcPr>
            <w:tcW w:w="1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E43BDB" w:rsidRPr="00F87306" w:rsidP="00DC0B0E" w14:paraId="11CF5822" w14:textId="77777777">
            <w:pPr>
              <w:widowControl/>
              <w:autoSpaceDE/>
              <w:autoSpaceDN/>
              <w:adjustRightInd/>
              <w:spacing w:after="160" w:line="278" w:lineRule="auto"/>
              <w:rPr>
                <w:b/>
                <w:bCs/>
              </w:rPr>
            </w:pPr>
            <w:r w:rsidRPr="00F87306">
              <w:rPr>
                <w:b/>
                <w:bCs/>
              </w:rPr>
              <w:t>$15,328,242</w:t>
            </w:r>
          </w:p>
        </w:tc>
      </w:tr>
    </w:tbl>
    <w:p w:rsidR="00E43BDB" w:rsidRPr="00C205CD" w:rsidP="0088476F" w14:paraId="58386327" w14:textId="77777777">
      <w:pPr>
        <w:ind w:left="720"/>
        <w:rPr>
          <w:b/>
          <w:bCs/>
        </w:rPr>
        <w:sectPr w:rsidSect="0088476F">
          <w:footnotePr>
            <w:pos w:val="beneathText"/>
          </w:footnotePr>
          <w:pgSz w:w="15840" w:h="12240" w:orient="landscape"/>
          <w:pgMar w:top="1440" w:right="1008" w:bottom="1440" w:left="1008" w:header="720" w:footer="720" w:gutter="0"/>
          <w:cols w:space="720"/>
          <w:noEndnote/>
          <w:titlePg/>
          <w:docGrid w:linePitch="326"/>
        </w:sectPr>
      </w:pPr>
    </w:p>
    <w:p w:rsidR="00342B04" w:rsidRPr="00C205CD" w:rsidP="00861BAA" w14:paraId="57C0D796" w14:textId="77777777">
      <w:pPr>
        <w:ind w:left="720"/>
        <w:rPr>
          <w:b/>
        </w:rPr>
      </w:pPr>
    </w:p>
    <w:p w:rsidR="00BD5F6D" w:rsidRPr="00C205CD" w:rsidP="00861BAA" w14:paraId="19A240CD" w14:textId="0A05DC8A">
      <w:pPr>
        <w:rPr>
          <w:color w:val="000000"/>
        </w:rPr>
      </w:pPr>
      <w:r w:rsidRPr="00C205CD">
        <w:rPr>
          <w:b/>
          <w:bCs/>
          <w:color w:val="000000"/>
        </w:rPr>
        <w:t>13</w:t>
      </w:r>
      <w:r w:rsidRPr="00C205CD" w:rsidR="00AA29DA">
        <w:rPr>
          <w:b/>
          <w:bCs/>
          <w:color w:val="000000"/>
        </w:rPr>
        <w:t xml:space="preserve">. </w:t>
      </w:r>
      <w:r w:rsidRPr="00C205CD">
        <w:rPr>
          <w:b/>
          <w:bCs/>
          <w:color w:val="000000"/>
        </w:rPr>
        <w:t xml:space="preserve">Provide an estimate of the total annual cost burden to respondents or recordkeepers resulting from the collection of </w:t>
      </w:r>
      <w:r w:rsidRPr="00C205CD">
        <w:rPr>
          <w:b/>
          <w:bCs/>
          <w:color w:val="000000"/>
        </w:rPr>
        <w:t>information</w:t>
      </w:r>
      <w:r w:rsidRPr="00C205CD" w:rsidR="00AA29DA">
        <w:rPr>
          <w:b/>
          <w:bCs/>
          <w:color w:val="000000"/>
        </w:rPr>
        <w:t xml:space="preserve">. </w:t>
      </w:r>
      <w:r w:rsidRPr="00C205CD">
        <w:rPr>
          <w:b/>
          <w:bCs/>
          <w:color w:val="000000"/>
        </w:rPr>
        <w:t>(Do not include the cost of any hour burden shown in Items 12 and 14.)</w:t>
      </w:r>
    </w:p>
    <w:p w:rsidR="00BD5F6D" w:rsidRPr="00C205CD" w:rsidP="00BD5F6D" w14:paraId="0D142F6F" w14:textId="77777777">
      <w:pPr>
        <w:pStyle w:val="Level1"/>
        <w:widowControl/>
        <w:tabs>
          <w:tab w:val="left" w:pos="-990"/>
          <w:tab w:val="left" w:pos="-720"/>
          <w:tab w:val="left" w:pos="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rFonts w:ascii="Times New Roman" w:hAnsi="Times New Roman"/>
          <w:b/>
          <w:bCs/>
          <w:color w:val="000000"/>
        </w:rPr>
      </w:pPr>
    </w:p>
    <w:p w:rsidR="00BD5F6D" w:rsidRPr="00C205CD" w:rsidP="00BD5F6D" w14:paraId="561F7550" w14:textId="26FE8D26">
      <w:pPr>
        <w:pStyle w:val="Level1"/>
        <w:widowControl/>
        <w:tabs>
          <w:tab w:val="left" w:pos="-990"/>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rPr>
          <w:rFonts w:ascii="Times New Roman" w:hAnsi="Times New Roman"/>
          <w:b/>
          <w:bCs/>
          <w:color w:val="000000"/>
        </w:rPr>
      </w:pPr>
      <w:r w:rsidRPr="00C205CD">
        <w:rPr>
          <w:rFonts w:ascii="Times New Roman" w:hAnsi="Times New Roman"/>
          <w:b/>
          <w:bCs/>
          <w:color w:val="000000"/>
        </w:rPr>
        <w:t>•</w:t>
      </w:r>
      <w:r w:rsidRPr="00C205CD">
        <w:rPr>
          <w:rFonts w:ascii="Times New Roman" w:hAnsi="Times New Roman"/>
          <w:b/>
          <w:bCs/>
          <w:color w:val="000000"/>
        </w:rPr>
        <w:tab/>
        <w:t>The cost estimate should be split into two components: (a) a total capital and start-up cost component annualized over its expected useful life); and (b) a total operation and maintenance and purchase of service component</w:t>
      </w:r>
      <w:r w:rsidRPr="00C205CD" w:rsidR="00AA29DA">
        <w:rPr>
          <w:rFonts w:ascii="Times New Roman" w:hAnsi="Times New Roman"/>
          <w:b/>
          <w:bCs/>
          <w:color w:val="000000"/>
        </w:rPr>
        <w:t xml:space="preserve">. </w:t>
      </w:r>
      <w:r w:rsidRPr="00C205CD">
        <w:rPr>
          <w:rFonts w:ascii="Times New Roman" w:hAnsi="Times New Roman"/>
          <w:b/>
          <w:bCs/>
          <w:color w:val="000000"/>
        </w:rPr>
        <w:t>The estimates should take into account costs associated with generating, maintaining, and disclosing or providing the information</w:t>
      </w:r>
      <w:r w:rsidRPr="00C205CD" w:rsidR="00AA29DA">
        <w:rPr>
          <w:rFonts w:ascii="Times New Roman" w:hAnsi="Times New Roman"/>
          <w:b/>
          <w:bCs/>
          <w:color w:val="000000"/>
        </w:rPr>
        <w:t xml:space="preserve">. </w:t>
      </w:r>
      <w:r w:rsidRPr="00C205CD">
        <w:rPr>
          <w:rFonts w:ascii="Times New Roman" w:hAnsi="Times New Roman"/>
          <w:b/>
          <w:bCs/>
          <w:color w:val="000000"/>
        </w:rPr>
        <w:t xml:space="preserve">Include descriptions of methods used to estimate major cost </w:t>
      </w:r>
      <w:r w:rsidRPr="00C205CD">
        <w:rPr>
          <w:rFonts w:ascii="Times New Roman" w:hAnsi="Times New Roman"/>
          <w:b/>
          <w:bCs/>
          <w:color w:val="000000"/>
        </w:rPr>
        <w:t>factors including system and technology acquisition, expected useful life of capital equipment, the discount rate(s), and the time period over which costs will be incurred</w:t>
      </w:r>
      <w:r w:rsidRPr="00C205CD" w:rsidR="00AA29DA">
        <w:rPr>
          <w:rFonts w:ascii="Times New Roman" w:hAnsi="Times New Roman"/>
          <w:b/>
          <w:bCs/>
          <w:color w:val="000000"/>
        </w:rPr>
        <w:t xml:space="preserve">. </w:t>
      </w:r>
      <w:r w:rsidRPr="00C205CD">
        <w:rPr>
          <w:rFonts w:ascii="Times New Roman" w:hAnsi="Times New Roman"/>
          <w:b/>
          <w:bCs/>
          <w:color w:val="000000"/>
        </w:rPr>
        <w:t>Capital and start-up costs include, among other items, preparations for collecting information such as purchasing computers and software; monitoring, sampling, drilling and testing equipment; and record storage facilities.</w:t>
      </w:r>
    </w:p>
    <w:p w:rsidR="00BD5F6D" w:rsidRPr="00C205CD" w:rsidP="00BD5F6D" w14:paraId="4475AD14" w14:textId="77777777">
      <w:pPr>
        <w:widowControl/>
        <w:tabs>
          <w:tab w:val="left" w:pos="-990"/>
          <w:tab w:val="left" w:pos="-720"/>
          <w:tab w:val="left" w:pos="0"/>
          <w:tab w:val="left" w:pos="450"/>
          <w:tab w:val="left" w:pos="540"/>
          <w:tab w:val="left" w:pos="72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bCs/>
          <w:color w:val="000000"/>
        </w:rPr>
      </w:pPr>
    </w:p>
    <w:p w:rsidR="00BD5F6D" w:rsidRPr="00C205CD" w:rsidP="084F941C" w14:paraId="073B4FBF" w14:textId="6ADF6025">
      <w:pPr>
        <w:pStyle w:val="Level1"/>
        <w:widowControl/>
        <w:tabs>
          <w:tab w:val="left" w:pos="450"/>
          <w:tab w:val="left" w:pos="5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630"/>
        <w:rPr>
          <w:rFonts w:ascii="Times New Roman" w:hAnsi="Times New Roman"/>
          <w:color w:val="000000"/>
        </w:rPr>
      </w:pPr>
      <w:r w:rsidRPr="00C205CD">
        <w:rPr>
          <w:rFonts w:ascii="Times New Roman" w:hAnsi="Times New Roman"/>
          <w:b/>
          <w:bCs/>
          <w:color w:val="000000"/>
        </w:rPr>
        <w:tab/>
      </w:r>
      <w:r w:rsidRPr="00C205CD" w:rsidR="47CCF1FD">
        <w:rPr>
          <w:rFonts w:ascii="Times New Roman" w:hAnsi="Times New Roman"/>
          <w:b/>
          <w:bCs/>
          <w:color w:val="000000"/>
        </w:rPr>
        <w:t>•</w:t>
      </w:r>
      <w:r w:rsidRPr="00C205CD">
        <w:rPr>
          <w:rFonts w:ascii="Times New Roman" w:hAnsi="Times New Roman"/>
          <w:b/>
          <w:bCs/>
          <w:color w:val="000000"/>
        </w:rPr>
        <w:tab/>
      </w:r>
      <w:r w:rsidRPr="00C205CD">
        <w:rPr>
          <w:rFonts w:ascii="Times New Roman" w:hAnsi="Times New Roman"/>
          <w:b/>
          <w:bCs/>
          <w:color w:val="000000"/>
        </w:rPr>
        <w:tab/>
      </w:r>
      <w:r w:rsidRPr="00C205CD" w:rsidR="12006E0A">
        <w:rPr>
          <w:rFonts w:ascii="Times New Roman" w:hAnsi="Times New Roman"/>
          <w:b/>
          <w:bCs/>
          <w:color w:val="000000"/>
        </w:rPr>
        <w:t xml:space="preserve">      </w:t>
      </w:r>
      <w:r w:rsidRPr="00C205CD" w:rsidR="47CCF1FD">
        <w:rPr>
          <w:rFonts w:ascii="Times New Roman" w:hAnsi="Times New Roman"/>
          <w:b/>
          <w:bCs/>
          <w:color w:val="000000"/>
        </w:rPr>
        <w:t>If cost estimates are expected to vary widely, agencies should present ranges of cost burdens and explain the reasons for the variance</w:t>
      </w:r>
      <w:r w:rsidRPr="00C205CD" w:rsidR="00AA29DA">
        <w:rPr>
          <w:rFonts w:ascii="Times New Roman" w:hAnsi="Times New Roman"/>
          <w:b/>
          <w:bCs/>
          <w:color w:val="000000"/>
        </w:rPr>
        <w:t xml:space="preserve">. </w:t>
      </w:r>
      <w:r w:rsidRPr="00C205CD" w:rsidR="47CCF1FD">
        <w:rPr>
          <w:rFonts w:ascii="Times New Roman" w:hAnsi="Times New Roman"/>
          <w:b/>
          <w:bCs/>
          <w:color w:val="000000"/>
        </w:rPr>
        <w:t>The cost of purchasing or contracting out information collection services should be a part of this cost burden estimate</w:t>
      </w:r>
      <w:r w:rsidRPr="00C205CD" w:rsidR="00AA29DA">
        <w:rPr>
          <w:rFonts w:ascii="Times New Roman" w:hAnsi="Times New Roman"/>
          <w:b/>
          <w:bCs/>
          <w:color w:val="000000"/>
        </w:rPr>
        <w:t xml:space="preserve">. </w:t>
      </w:r>
      <w:r w:rsidRPr="00C205CD" w:rsidR="47CCF1FD">
        <w:rPr>
          <w:rFonts w:ascii="Times New Roman" w:hAnsi="Times New Roman"/>
          <w:b/>
          <w:bCs/>
          <w:color w:val="000000"/>
        </w:rPr>
        <w:t>In developing cost burden estimates, agencies may consult with a sample of respondent (fewer than 10), utilize the 60-day pre-OMB submission public comment process and use existing economic or regulatory impact</w:t>
      </w:r>
      <w:r w:rsidRPr="00C205CD" w:rsidR="47CCF1FD">
        <w:rPr>
          <w:rFonts w:ascii="Times New Roman" w:hAnsi="Times New Roman"/>
          <w:b/>
          <w:bCs/>
          <w:color w:val="000000"/>
          <w:sz w:val="20"/>
          <w:szCs w:val="20"/>
        </w:rPr>
        <w:t xml:space="preserve"> </w:t>
      </w:r>
      <w:r w:rsidRPr="00C205CD" w:rsidR="47CCF1FD">
        <w:rPr>
          <w:rFonts w:ascii="Times New Roman" w:hAnsi="Times New Roman"/>
          <w:b/>
          <w:bCs/>
          <w:color w:val="000000"/>
        </w:rPr>
        <w:t>analysis associated with the rulemaking containing the information collection, as appropriate</w:t>
      </w:r>
      <w:r w:rsidRPr="00C205CD" w:rsidR="47CCF1FD">
        <w:rPr>
          <w:rFonts w:ascii="Times New Roman" w:hAnsi="Times New Roman"/>
          <w:color w:val="000000"/>
        </w:rPr>
        <w:t>.</w:t>
      </w:r>
    </w:p>
    <w:p w:rsidR="00FC4BF3" w:rsidRPr="00C205CD" w14:paraId="120C4E94" w14:textId="77777777">
      <w:pPr>
        <w:rPr>
          <w:sz w:val="20"/>
          <w:szCs w:val="20"/>
          <w:u w:val="single"/>
        </w:rPr>
      </w:pPr>
    </w:p>
    <w:p w:rsidR="00361393" w:rsidRPr="00C205CD" w14:paraId="42AFC42D" w14:textId="77777777">
      <w:pPr>
        <w:rPr>
          <w:sz w:val="20"/>
          <w:szCs w:val="20"/>
          <w:u w:val="single"/>
        </w:rPr>
      </w:pPr>
    </w:p>
    <w:p w:rsidR="00361393" w:rsidRPr="00C205CD" w14:paraId="484FF3A3" w14:textId="6EDAC177">
      <w:r w:rsidRPr="00C205CD">
        <w:t>Items</w:t>
      </w:r>
      <w:r w:rsidRPr="00C205CD">
        <w:rPr>
          <w:spacing w:val="-2"/>
        </w:rPr>
        <w:t xml:space="preserve"> </w:t>
      </w:r>
      <w:r w:rsidRPr="00C205CD">
        <w:t>12</w:t>
      </w:r>
      <w:r w:rsidRPr="00C205CD">
        <w:rPr>
          <w:spacing w:val="1"/>
        </w:rPr>
        <w:t xml:space="preserve"> and 14 </w:t>
      </w:r>
      <w:r w:rsidRPr="00C205CD">
        <w:t>provide</w:t>
      </w:r>
      <w:r w:rsidRPr="00C205CD">
        <w:rPr>
          <w:spacing w:val="-1"/>
        </w:rPr>
        <w:t xml:space="preserve"> </w:t>
      </w:r>
      <w:r w:rsidRPr="00C205CD">
        <w:t>the</w:t>
      </w:r>
      <w:r w:rsidRPr="00C205CD">
        <w:rPr>
          <w:spacing w:val="-2"/>
        </w:rPr>
        <w:t xml:space="preserve"> </w:t>
      </w:r>
      <w:r w:rsidRPr="00C205CD">
        <w:t>total</w:t>
      </w:r>
      <w:r w:rsidRPr="00C205CD">
        <w:rPr>
          <w:spacing w:val="-1"/>
        </w:rPr>
        <w:t xml:space="preserve"> </w:t>
      </w:r>
      <w:r w:rsidRPr="00C205CD">
        <w:t>cost</w:t>
      </w:r>
      <w:r w:rsidRPr="00C205CD">
        <w:rPr>
          <w:spacing w:val="-1"/>
        </w:rPr>
        <w:t xml:space="preserve"> </w:t>
      </w:r>
      <w:r w:rsidRPr="00C205CD" w:rsidR="00D60F8E">
        <w:rPr>
          <w:spacing w:val="-1"/>
        </w:rPr>
        <w:t xml:space="preserve">burden for the </w:t>
      </w:r>
      <w:r w:rsidRPr="00C205CD">
        <w:rPr>
          <w:spacing w:val="-1"/>
        </w:rPr>
        <w:t xml:space="preserve">ICR </w:t>
      </w:r>
      <w:r w:rsidRPr="00C205CD">
        <w:t>specified</w:t>
      </w:r>
      <w:r w:rsidRPr="00C205CD">
        <w:rPr>
          <w:spacing w:val="-1"/>
        </w:rPr>
        <w:t xml:space="preserve"> </w:t>
      </w:r>
      <w:r w:rsidRPr="00C205CD" w:rsidR="00E72379">
        <w:t>herein</w:t>
      </w:r>
      <w:r w:rsidRPr="00C205CD">
        <w:t>.</w:t>
      </w:r>
    </w:p>
    <w:p w:rsidR="00E864D0" w:rsidRPr="00C205CD" w14:paraId="271CA723" w14:textId="77777777">
      <w:pPr>
        <w:rPr>
          <w:sz w:val="20"/>
          <w:szCs w:val="20"/>
          <w:u w:val="single"/>
        </w:rPr>
      </w:pPr>
    </w:p>
    <w:p w:rsidR="003A4940" w:rsidRPr="00C205CD" w:rsidP="008138F3" w14:paraId="0236CA0D" w14:textId="7548430C">
      <w:pPr>
        <w:numPr>
          <w:ilvl w:val="0"/>
          <w:numId w:val="7"/>
        </w:numPr>
      </w:pPr>
      <w:r w:rsidRPr="00C205CD">
        <w:t xml:space="preserve">This is a continuation of an existing </w:t>
      </w:r>
      <w:r w:rsidRPr="00C205CD" w:rsidR="000F4544">
        <w:t>program;</w:t>
      </w:r>
      <w:r w:rsidRPr="00C205CD">
        <w:t xml:space="preserve"> </w:t>
      </w:r>
      <w:r w:rsidRPr="00C205CD" w:rsidR="004B3AC8">
        <w:t>therefore,</w:t>
      </w:r>
      <w:r w:rsidRPr="00C205CD" w:rsidR="00DD5FF6">
        <w:t xml:space="preserve"> there are</w:t>
      </w:r>
      <w:r w:rsidRPr="00C205CD">
        <w:t xml:space="preserve"> no capital or start-up cost </w:t>
      </w:r>
      <w:r w:rsidRPr="00C205CD" w:rsidR="0099135F">
        <w:t>component</w:t>
      </w:r>
      <w:r w:rsidRPr="00C205CD" w:rsidR="00DD5FF6">
        <w:t>s</w:t>
      </w:r>
      <w:r w:rsidRPr="00C205CD" w:rsidR="0099135F">
        <w:t>.</w:t>
      </w:r>
    </w:p>
    <w:p w:rsidR="00E864D0" w:rsidRPr="00C205CD" w:rsidP="00B6448B" w14:paraId="75FBE423" w14:textId="77777777">
      <w:pPr>
        <w:ind w:left="720"/>
      </w:pPr>
    </w:p>
    <w:p w:rsidR="00B87C01" w:rsidRPr="00C205CD" w:rsidP="008138F3" w14:paraId="2B27B7E9" w14:textId="7ADE9739">
      <w:pPr>
        <w:numPr>
          <w:ilvl w:val="0"/>
          <w:numId w:val="7"/>
        </w:numPr>
      </w:pPr>
      <w:r w:rsidRPr="00C205CD">
        <w:t>Ninety percent</w:t>
      </w:r>
      <w:r w:rsidRPr="00C205CD" w:rsidR="00FC4BF3">
        <w:t xml:space="preserve"> of the program cost is borne by the Federal Government including the cost of capital equipment such as comp</w:t>
      </w:r>
      <w:r w:rsidRPr="00C205CD">
        <w:t>uters</w:t>
      </w:r>
      <w:r w:rsidRPr="00C205CD" w:rsidR="00AA29DA">
        <w:t xml:space="preserve">. </w:t>
      </w:r>
      <w:r w:rsidRPr="00C205CD">
        <w:t>OSHA also reimburses 90 percent</w:t>
      </w:r>
      <w:r w:rsidRPr="00C205CD" w:rsidR="00FC4BF3">
        <w:t xml:space="preserve"> of the cost for operation and maintenance as well as any cost of purchase of service, such as computer equipment repair</w:t>
      </w:r>
      <w:r w:rsidRPr="00C205CD" w:rsidR="00AA29DA">
        <w:t xml:space="preserve">. </w:t>
      </w:r>
      <w:r w:rsidRPr="00C205CD" w:rsidR="00FC4BF3">
        <w:t>Such costs are included in the annual cooperative agreement</w:t>
      </w:r>
      <w:r w:rsidRPr="00C205CD">
        <w:t>,</w:t>
      </w:r>
      <w:r w:rsidRPr="00C205CD" w:rsidR="00FC4BF3">
        <w:t xml:space="preserve"> which is the mechanism for funding the </w:t>
      </w:r>
      <w:r w:rsidRPr="00C205CD" w:rsidR="00954BC8">
        <w:t>On-Site</w:t>
      </w:r>
      <w:r w:rsidRPr="00C205CD" w:rsidR="00BA600E">
        <w:t xml:space="preserve"> Consultation </w:t>
      </w:r>
      <w:r w:rsidRPr="00C205CD" w:rsidR="006D4624">
        <w:t>p</w:t>
      </w:r>
      <w:r w:rsidRPr="00C205CD" w:rsidR="0020737B">
        <w:t>rogram</w:t>
      </w:r>
      <w:r w:rsidRPr="00C205CD" w:rsidR="00BA600E">
        <w:t>s</w:t>
      </w:r>
      <w:r w:rsidRPr="00C205CD" w:rsidR="00AA29DA">
        <w:t xml:space="preserve">. </w:t>
      </w:r>
      <w:r w:rsidRPr="00C205CD" w:rsidR="00FC4BF3">
        <w:t xml:space="preserve">OSHA considers information collection as incidental and integral to the </w:t>
      </w:r>
      <w:r w:rsidRPr="00C205CD" w:rsidR="00954BC8">
        <w:t>On-Site</w:t>
      </w:r>
      <w:r w:rsidRPr="00C205CD" w:rsidR="00BA600E">
        <w:t xml:space="preserve"> Consultation Program</w:t>
      </w:r>
      <w:r w:rsidRPr="00C205CD" w:rsidR="00AA29DA">
        <w:t xml:space="preserve">. </w:t>
      </w:r>
    </w:p>
    <w:p w:rsidR="00B87C01" w:rsidRPr="00C205CD" w:rsidP="0008451B" w14:paraId="2DC73080" w14:textId="77777777">
      <w:pPr>
        <w:pStyle w:val="ListParagraph"/>
      </w:pPr>
    </w:p>
    <w:p w:rsidR="00814DD5" w:rsidRPr="00C205CD" w:rsidP="008138F3" w14:paraId="02E76208" w14:textId="7CC2FB1A">
      <w:pPr>
        <w:numPr>
          <w:ilvl w:val="0"/>
          <w:numId w:val="7"/>
        </w:numPr>
      </w:pPr>
      <w:r w:rsidRPr="00C205CD">
        <w:t>The cost of information collection</w:t>
      </w:r>
      <w:r w:rsidRPr="00C205CD" w:rsidR="00B87C01">
        <w:t xml:space="preserve"> to employers</w:t>
      </w:r>
      <w:r w:rsidRPr="00C205CD" w:rsidR="00B66BD5">
        <w:t xml:space="preserve"> who voluntarily use On-Site Consultation services</w:t>
      </w:r>
      <w:r w:rsidRPr="00C205CD">
        <w:t xml:space="preserve"> is therefore limited to the cost that can</w:t>
      </w:r>
      <w:r w:rsidRPr="00C205CD" w:rsidR="00B870FC">
        <w:t xml:space="preserve"> be</w:t>
      </w:r>
      <w:r w:rsidRPr="00C205CD">
        <w:t xml:space="preserve"> attributed to the proportion of time spent on information collection and/or transmittal</w:t>
      </w:r>
      <w:r w:rsidRPr="00C205CD" w:rsidR="00AA29DA">
        <w:t xml:space="preserve">. </w:t>
      </w:r>
      <w:r w:rsidRPr="00C205CD">
        <w:t xml:space="preserve">This time component was calculated in </w:t>
      </w:r>
      <w:r w:rsidRPr="00C205CD" w:rsidR="001638CF">
        <w:t xml:space="preserve">Table </w:t>
      </w:r>
      <w:r>
        <w:t>2b</w:t>
      </w:r>
      <w:r w:rsidRPr="00C205CD" w:rsidR="001638CF">
        <w:t xml:space="preserve"> (</w:t>
      </w:r>
      <w:r w:rsidRPr="00C205CD" w:rsidR="00241A20">
        <w:rPr>
          <w:i/>
        </w:rPr>
        <w:t>Summary of Estimated Annualized Respondent (Employer) Hour and Cost Burden</w:t>
      </w:r>
      <w:r w:rsidRPr="00C205CD" w:rsidR="001638CF">
        <w:t>)</w:t>
      </w:r>
      <w:r w:rsidRPr="00C205CD" w:rsidR="00B642DA">
        <w:t xml:space="preserve"> in question 12</w:t>
      </w:r>
      <w:r w:rsidRPr="00C205CD" w:rsidR="001638CF">
        <w:t xml:space="preserve"> above</w:t>
      </w:r>
      <w:r w:rsidRPr="00C205CD">
        <w:t>.</w:t>
      </w:r>
    </w:p>
    <w:p w:rsidR="00814DD5" w:rsidRPr="00C205CD" w:rsidP="00814DD5" w14:paraId="2D3F0BEC" w14:textId="77777777">
      <w:pPr>
        <w:rPr>
          <w:b/>
          <w:sz w:val="20"/>
          <w:szCs w:val="20"/>
        </w:rPr>
      </w:pPr>
    </w:p>
    <w:p w:rsidR="00BD5F6D" w:rsidRPr="00C205CD" w:rsidP="00BD5F6D" w14:paraId="2BFCCE5D" w14:textId="443E6D4B">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14</w:t>
      </w:r>
      <w:r w:rsidRPr="00C205CD" w:rsidR="00AA29DA">
        <w:rPr>
          <w:b/>
          <w:bCs/>
        </w:rPr>
        <w:t xml:space="preserve">. </w:t>
      </w:r>
      <w:r w:rsidRPr="00C205CD">
        <w:rPr>
          <w:b/>
          <w:bCs/>
        </w:rPr>
        <w:t>Provide estimates of the annualized cost to the Federal Government</w:t>
      </w:r>
      <w:r w:rsidRPr="00C205CD" w:rsidR="00AA29DA">
        <w:rPr>
          <w:b/>
          <w:bCs/>
        </w:rPr>
        <w:t xml:space="preserve">. </w:t>
      </w:r>
      <w:r w:rsidRPr="00C205CD">
        <w:rPr>
          <w:b/>
          <w:bCs/>
        </w:rPr>
        <w:t>Also, provide a description of the method used to estimate cost, which should include quantification of hours, operational expenses (such as equipment, overhead, printing, and support staff), any other expense that would not have been incurred without this collection of information</w:t>
      </w:r>
      <w:r w:rsidRPr="00C205CD" w:rsidR="00AA29DA">
        <w:rPr>
          <w:b/>
          <w:bCs/>
        </w:rPr>
        <w:t xml:space="preserve">. </w:t>
      </w:r>
      <w:r w:rsidRPr="00C205CD">
        <w:rPr>
          <w:b/>
          <w:bCs/>
        </w:rPr>
        <w:t>Agencies also may aggregate cost estimates from Items 12, 13, and 14 into a single table.</w:t>
      </w:r>
    </w:p>
    <w:p w:rsidR="00BD5F6D" w:rsidRPr="00C205CD" w:rsidP="00BD5F6D" w14:paraId="75CF4315" w14:textId="77777777"/>
    <w:p w:rsidR="00FC6C80" w:rsidRPr="00C205CD" w:rsidP="00BD5F6D" w14:paraId="01BA282F" w14:textId="2505F2BE">
      <w:r w:rsidRPr="00C205CD">
        <w:t xml:space="preserve">OSHA performs three categories of </w:t>
      </w:r>
      <w:r w:rsidRPr="00C205CD" w:rsidR="00954BC8">
        <w:t>On-Site</w:t>
      </w:r>
      <w:r w:rsidRPr="00C205CD" w:rsidR="00BA600E">
        <w:t xml:space="preserve"> Consultation </w:t>
      </w:r>
      <w:r w:rsidRPr="00C205CD" w:rsidR="0020737B">
        <w:t>Program</w:t>
      </w:r>
      <w:r w:rsidRPr="00C205CD">
        <w:t xml:space="preserve"> performance review and monitoring</w:t>
      </w:r>
      <w:r w:rsidRPr="00C205CD" w:rsidR="00C74CB9">
        <w:t xml:space="preserve"> (i.e., Quarterly Monitoring Discussions; Biennial </w:t>
      </w:r>
      <w:r w:rsidRPr="00C205CD" w:rsidR="0071210A">
        <w:t>Review</w:t>
      </w:r>
      <w:r w:rsidRPr="00C205CD" w:rsidR="0058501C">
        <w:t>s</w:t>
      </w:r>
      <w:r w:rsidRPr="00C205CD" w:rsidR="0044697E">
        <w:t xml:space="preserve"> and Annual Evaluation</w:t>
      </w:r>
      <w:r w:rsidRPr="00C205CD" w:rsidR="0058501C">
        <w:t>s</w:t>
      </w:r>
      <w:r w:rsidRPr="00C205CD" w:rsidR="0071210A">
        <w:t>)</w:t>
      </w:r>
      <w:r w:rsidRPr="00C205CD">
        <w:t xml:space="preserve">, and a fourth category for review of </w:t>
      </w:r>
      <w:r w:rsidRPr="00C205CD" w:rsidR="0058501C">
        <w:t>A</w:t>
      </w:r>
      <w:r w:rsidRPr="00C205CD">
        <w:t xml:space="preserve">nnual </w:t>
      </w:r>
      <w:r w:rsidRPr="00C205CD" w:rsidR="0058501C">
        <w:t>C</w:t>
      </w:r>
      <w:r w:rsidRPr="00C205CD">
        <w:t xml:space="preserve">ooperative </w:t>
      </w:r>
      <w:r w:rsidRPr="00C205CD" w:rsidR="0058501C">
        <w:t>A</w:t>
      </w:r>
      <w:r w:rsidRPr="00C205CD">
        <w:t>greement</w:t>
      </w:r>
      <w:r w:rsidRPr="00C205CD" w:rsidR="0071210A">
        <w:t xml:space="preserve"> </w:t>
      </w:r>
      <w:r w:rsidRPr="00C205CD" w:rsidR="0058501C">
        <w:t>A</w:t>
      </w:r>
      <w:r w:rsidRPr="00C205CD" w:rsidR="0071210A">
        <w:t>pplications</w:t>
      </w:r>
      <w:r w:rsidRPr="00C205CD" w:rsidR="004D337C">
        <w:t xml:space="preserve"> submitted by On-Site Consultation programs</w:t>
      </w:r>
      <w:r w:rsidRPr="00C205CD" w:rsidR="00AA29DA">
        <w:t xml:space="preserve">. </w:t>
      </w:r>
      <w:r w:rsidRPr="00C205CD" w:rsidR="00D74971">
        <w:t>These reviews</w:t>
      </w:r>
      <w:r w:rsidRPr="00C205CD" w:rsidR="00F230C1">
        <w:t xml:space="preserve"> </w:t>
      </w:r>
      <w:r w:rsidRPr="00C205CD">
        <w:t xml:space="preserve">result in </w:t>
      </w:r>
      <w:r w:rsidRPr="00C205CD" w:rsidR="00E660DA">
        <w:t xml:space="preserve">costs </w:t>
      </w:r>
      <w:r w:rsidRPr="00C205CD">
        <w:t>to the Federal government</w:t>
      </w:r>
      <w:r w:rsidRPr="00C205CD" w:rsidR="00AA29DA">
        <w:t xml:space="preserve">. </w:t>
      </w:r>
      <w:r w:rsidRPr="00C205CD">
        <w:t>All re</w:t>
      </w:r>
      <w:r w:rsidRPr="00C205CD" w:rsidR="008D6F59">
        <w:t xml:space="preserve">views are conducted by </w:t>
      </w:r>
      <w:r w:rsidRPr="00C205CD" w:rsidR="009F28A9">
        <w:t xml:space="preserve">Federal </w:t>
      </w:r>
      <w:r w:rsidRPr="00C205CD" w:rsidR="00FF2711">
        <w:t xml:space="preserve">Regional Consultation </w:t>
      </w:r>
      <w:r w:rsidRPr="00C205CD" w:rsidR="008D6F59">
        <w:t>Program O</w:t>
      </w:r>
      <w:r w:rsidRPr="00C205CD">
        <w:t xml:space="preserve">fficers </w:t>
      </w:r>
      <w:r w:rsidRPr="00C205CD" w:rsidR="00FF2711">
        <w:t xml:space="preserve">(RPOs) </w:t>
      </w:r>
      <w:r w:rsidRPr="00C205CD">
        <w:t>in the Regional Office</w:t>
      </w:r>
      <w:r w:rsidRPr="00C205CD" w:rsidR="00AA29DA">
        <w:t xml:space="preserve">. </w:t>
      </w:r>
      <w:r w:rsidRPr="00C205CD">
        <w:t>Depending on the complexity of the review, the Program Officer may be assisted by a Program Analyst and/or clerk</w:t>
      </w:r>
      <w:r w:rsidRPr="00C205CD" w:rsidR="00AA29DA">
        <w:t xml:space="preserve">. </w:t>
      </w:r>
    </w:p>
    <w:p w:rsidR="00FC6C80" w:rsidRPr="00C205CD" w:rsidP="00BD5F6D" w14:paraId="31AE51DD" w14:textId="77777777"/>
    <w:p w:rsidR="00FC4BF3" w:rsidRPr="00C205CD" w:rsidP="00BD5F6D" w14:paraId="419D7187" w14:textId="4FCBA1E0">
      <w:r w:rsidRPr="00C205CD">
        <w:t xml:space="preserve">The quarterly review </w:t>
      </w:r>
      <w:r w:rsidRPr="00C205CD" w:rsidR="000D1BCC">
        <w:t>allow</w:t>
      </w:r>
      <w:r w:rsidRPr="00C205CD" w:rsidR="004C5BC5">
        <w:t>s</w:t>
      </w:r>
      <w:r w:rsidRPr="00C205CD" w:rsidR="000D1BCC">
        <w:t xml:space="preserve"> the Regional Office and the On-Consultation program manager to </w:t>
      </w:r>
      <w:r w:rsidRPr="00C205CD" w:rsidR="00BD2728">
        <w:t>assess</w:t>
      </w:r>
      <w:r w:rsidRPr="00C205CD" w:rsidR="000D1BCC">
        <w:t xml:space="preserve"> the Consultation program’s progress in meeting the goals of the Consultation Annual Program Plan (CAPP) and the Mandated Activities Report for Consultation (MARC) </w:t>
      </w:r>
      <w:r w:rsidRPr="00C205CD" w:rsidR="00580419">
        <w:t xml:space="preserve">and address any </w:t>
      </w:r>
      <w:r w:rsidRPr="00C205CD" w:rsidR="00BD2728">
        <w:t>challenges</w:t>
      </w:r>
      <w:r w:rsidRPr="00C205CD" w:rsidR="00AA29DA">
        <w:t xml:space="preserve">. </w:t>
      </w:r>
      <w:r w:rsidRPr="00C205CD" w:rsidR="00176C19">
        <w:t>CAPP and MARC data</w:t>
      </w:r>
      <w:r w:rsidRPr="00C205CD" w:rsidR="0071210A">
        <w:t xml:space="preserve"> for each On-Site Consultation program</w:t>
      </w:r>
      <w:r w:rsidRPr="00C205CD" w:rsidR="00176C19">
        <w:t xml:space="preserve"> are extracted from </w:t>
      </w:r>
      <w:r w:rsidRPr="00C205CD" w:rsidR="00101BF8">
        <w:t xml:space="preserve">the </w:t>
      </w:r>
      <w:r w:rsidRPr="00C205CD" w:rsidR="00176C19">
        <w:t>OIS and reviewed</w:t>
      </w:r>
      <w:r w:rsidRPr="00C205CD" w:rsidR="00101BF8">
        <w:t xml:space="preserve"> to identify and address any challenges</w:t>
      </w:r>
      <w:r w:rsidRPr="00C205CD" w:rsidR="00AA29DA">
        <w:t xml:space="preserve">. </w:t>
      </w:r>
      <w:r w:rsidRPr="00C205CD">
        <w:t xml:space="preserve">The </w:t>
      </w:r>
      <w:r w:rsidRPr="00C205CD" w:rsidR="003263A1">
        <w:t>P</w:t>
      </w:r>
      <w:r w:rsidRPr="00C205CD">
        <w:t xml:space="preserve">rogram </w:t>
      </w:r>
      <w:r w:rsidRPr="00C205CD" w:rsidR="003263A1">
        <w:t>O</w:t>
      </w:r>
      <w:r w:rsidRPr="00C205CD">
        <w:t>fficer holds an informal phone conference with</w:t>
      </w:r>
      <w:r w:rsidRPr="00C205CD" w:rsidR="002C0EBF">
        <w:t xml:space="preserve"> the</w:t>
      </w:r>
      <w:r w:rsidRPr="00C205CD">
        <w:t xml:space="preserve"> </w:t>
      </w:r>
      <w:r w:rsidRPr="00C205CD" w:rsidR="00954BC8">
        <w:t>On-Site</w:t>
      </w:r>
      <w:r w:rsidRPr="00C205CD" w:rsidR="00BA600E">
        <w:t xml:space="preserve"> C</w:t>
      </w:r>
      <w:r w:rsidRPr="00C205CD">
        <w:t>onsultation pro</w:t>
      </w:r>
      <w:r w:rsidRPr="00C205CD" w:rsidR="00DD64C2">
        <w:t>gram</w:t>
      </w:r>
      <w:r w:rsidRPr="00C205CD">
        <w:t xml:space="preserve"> man</w:t>
      </w:r>
      <w:r w:rsidRPr="00C205CD" w:rsidR="00B642DA">
        <w:t>a</w:t>
      </w:r>
      <w:r w:rsidRPr="00C205CD">
        <w:t>ger to dis</w:t>
      </w:r>
      <w:r w:rsidRPr="00C205CD">
        <w:t>cuss findings</w:t>
      </w:r>
      <w:r w:rsidRPr="00C205CD" w:rsidR="008D673B">
        <w:t xml:space="preserve"> and recommendations</w:t>
      </w:r>
      <w:r w:rsidRPr="00C205CD" w:rsidR="00AA29DA">
        <w:t xml:space="preserve">. </w:t>
      </w:r>
      <w:r w:rsidRPr="00C205CD">
        <w:t>The</w:t>
      </w:r>
      <w:r w:rsidRPr="00C205CD" w:rsidR="008D6F59">
        <w:t xml:space="preserve"> quarterly review is a process </w:t>
      </w:r>
      <w:r w:rsidRPr="00C205CD">
        <w:t>quality check</w:t>
      </w:r>
      <w:r w:rsidRPr="00C205CD" w:rsidR="00CF1340">
        <w:t xml:space="preserve"> </w:t>
      </w:r>
      <w:r w:rsidRPr="00C205CD">
        <w:t xml:space="preserve">and is a way to identify and correct </w:t>
      </w:r>
      <w:r w:rsidRPr="00C205CD" w:rsidR="008D673B">
        <w:t xml:space="preserve">challenges </w:t>
      </w:r>
      <w:r w:rsidRPr="00C205CD">
        <w:t>before the annual review</w:t>
      </w:r>
      <w:r w:rsidRPr="00C205CD" w:rsidR="00AA29DA">
        <w:t xml:space="preserve">. </w:t>
      </w:r>
      <w:r w:rsidRPr="00C205CD">
        <w:t xml:space="preserve">There are no site visits </w:t>
      </w:r>
      <w:r w:rsidRPr="00C205CD" w:rsidR="00BA5004">
        <w:t xml:space="preserve">to the Consultation program </w:t>
      </w:r>
      <w:r w:rsidRPr="00C205CD">
        <w:t>or formal reports associated with the quarterly review</w:t>
      </w:r>
      <w:r w:rsidRPr="00C205CD" w:rsidR="00AA29DA">
        <w:t xml:space="preserve">. </w:t>
      </w:r>
    </w:p>
    <w:p w:rsidR="00FC4BF3" w:rsidRPr="00C205CD" w14:paraId="3CB648E9" w14:textId="77777777"/>
    <w:p w:rsidR="00FD175C" w:rsidRPr="00C205CD" w:rsidP="00FD175C" w14:paraId="61430F09" w14:textId="523DF5FB">
      <w:r w:rsidRPr="00C205CD">
        <w:t xml:space="preserve">The biennial review is a comprehensive </w:t>
      </w:r>
      <w:r w:rsidRPr="00C205CD" w:rsidR="17FDE159">
        <w:t>o</w:t>
      </w:r>
      <w:r w:rsidRPr="00C205CD" w:rsidR="5D7D50CB">
        <w:t>nsite</w:t>
      </w:r>
      <w:r w:rsidRPr="00C205CD">
        <w:t xml:space="preserve"> review </w:t>
      </w:r>
      <w:r w:rsidRPr="00C205CD" w:rsidR="005319E3">
        <w:t xml:space="preserve">(which may be held remotely or as an hybrid </w:t>
      </w:r>
      <w:r w:rsidRPr="00C205CD" w:rsidR="00F30959">
        <w:t>with remote and on-site aspects</w:t>
      </w:r>
      <w:r w:rsidRPr="00C205CD" w:rsidR="00FB315D">
        <w:t xml:space="preserve"> as logistics</w:t>
      </w:r>
      <w:r w:rsidRPr="00C205CD" w:rsidR="00971E54">
        <w:t xml:space="preserve"> and funding</w:t>
      </w:r>
      <w:r w:rsidRPr="00C205CD" w:rsidR="00FB315D">
        <w:t xml:space="preserve"> permit</w:t>
      </w:r>
      <w:r w:rsidRPr="00C205CD" w:rsidR="005319E3">
        <w:t>)</w:t>
      </w:r>
      <w:r w:rsidRPr="00C205CD" w:rsidR="00AA29DA">
        <w:t xml:space="preserve">. </w:t>
      </w:r>
      <w:r w:rsidRPr="00C205CD">
        <w:t>The biennial review is</w:t>
      </w:r>
      <w:r w:rsidRPr="00C205CD" w:rsidR="005319E3">
        <w:t xml:space="preserve"> </w:t>
      </w:r>
      <w:r w:rsidRPr="00C205CD" w:rsidR="00A6489C">
        <w:t>conducted by the Regional Office to assess the quality of a Consultation program’s services and</w:t>
      </w:r>
      <w:r w:rsidRPr="00C205CD" w:rsidR="00FE3034">
        <w:t xml:space="preserve"> </w:t>
      </w:r>
      <w:r w:rsidRPr="00C205CD" w:rsidR="00A6489C">
        <w:t>its</w:t>
      </w:r>
      <w:r w:rsidRPr="00C205CD" w:rsidR="00D81F85">
        <w:t xml:space="preserve"> Internal Quality Assurance Program (IQAP)</w:t>
      </w:r>
      <w:r w:rsidRPr="00C205CD" w:rsidR="00AA29DA">
        <w:t xml:space="preserve">. </w:t>
      </w:r>
      <w:r w:rsidRPr="00C205CD" w:rsidR="00FE3034">
        <w:t>It c</w:t>
      </w:r>
      <w:r w:rsidRPr="00C205CD" w:rsidR="002D4679">
        <w:t>omprises a revie</w:t>
      </w:r>
      <w:r w:rsidRPr="00C205CD" w:rsidR="00AA40D0">
        <w:t>w</w:t>
      </w:r>
      <w:r w:rsidRPr="00C205CD" w:rsidR="002D4679">
        <w:t xml:space="preserve"> of operational elements (e.g., consultants training, on-the-job evaluations, </w:t>
      </w:r>
      <w:r w:rsidRPr="00C205CD" w:rsidR="00F510F5">
        <w:t xml:space="preserve">management reports such as data on pending written reports to employers, </w:t>
      </w:r>
      <w:r w:rsidRPr="00C205CD" w:rsidR="00E31D19">
        <w:t xml:space="preserve">hiring and vacancies, </w:t>
      </w:r>
      <w:r w:rsidRPr="00C205CD" w:rsidR="00AA40D0">
        <w:t xml:space="preserve">marketing initiatives, IQAP); </w:t>
      </w:r>
      <w:r w:rsidRPr="00C205CD" w:rsidR="003B2371">
        <w:t xml:space="preserve">case files; </w:t>
      </w:r>
      <w:r w:rsidRPr="00C205CD" w:rsidR="005B3DA4">
        <w:t xml:space="preserve">and </w:t>
      </w:r>
      <w:r w:rsidRPr="00C205CD" w:rsidR="003B2371">
        <w:t>recent Consultation program developments such as staffing changes</w:t>
      </w:r>
      <w:r w:rsidRPr="00C205CD" w:rsidR="004544A4">
        <w:t xml:space="preserve"> and status of previously discussed performance issues</w:t>
      </w:r>
      <w:r w:rsidRPr="00C205CD" w:rsidR="003F1F3A">
        <w:t>.</w:t>
      </w:r>
      <w:r w:rsidRPr="00C205CD" w:rsidR="00F510F5">
        <w:t xml:space="preserve"> </w:t>
      </w:r>
      <w:r w:rsidRPr="00C205CD">
        <w:t>The Regional Office prepares a draft report that is shared with the Consultation program fo</w:t>
      </w:r>
      <w:r w:rsidRPr="00C205CD">
        <w:t>r review and comments</w:t>
      </w:r>
      <w:r w:rsidRPr="00C205CD" w:rsidR="00AA29DA">
        <w:t xml:space="preserve">. </w:t>
      </w:r>
      <w:r w:rsidRPr="00C205CD">
        <w:t>A copy of the final report is sent to the National Office, and the On-Site Consultation program for use in program improvement as necessary</w:t>
      </w:r>
      <w:r w:rsidRPr="00C205CD" w:rsidR="00AA29DA">
        <w:t xml:space="preserve">. </w:t>
      </w:r>
      <w:r w:rsidRPr="00C205CD">
        <w:t>Upon request, copies of the report are made available to Members of Congress.</w:t>
      </w:r>
    </w:p>
    <w:p w:rsidR="00D14BB6" w:rsidRPr="00C205CD" w:rsidP="00BD5F6D" w14:paraId="5DACF04F" w14:textId="4CBFC3AF">
      <w:r w:rsidRPr="00C205CD">
        <w:t xml:space="preserve">  </w:t>
      </w:r>
    </w:p>
    <w:p w:rsidR="0058501C" w:rsidRPr="00C205CD" w:rsidP="00E70EB6" w14:paraId="61F16C59" w14:textId="674537DB">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C205CD">
        <w:t xml:space="preserve">The </w:t>
      </w:r>
      <w:r w:rsidRPr="00C205CD" w:rsidR="00E660DA">
        <w:t>Regional Annual Consultation Evaluation Report (RACER) documents the annual evaluation findings and recommendations. The Regional Office uses the RACER to analyze the Consultation program's results and evaluate the performance of its mandated activities. The report includes documentation of findings and recommendations and a summary of the quarterly discussion reports</w:t>
      </w:r>
      <w:r w:rsidRPr="00C205CD" w:rsidR="00E10FE5">
        <w:t>.</w:t>
      </w:r>
      <w:r w:rsidRPr="00C205CD">
        <w:t xml:space="preserve"> </w:t>
      </w:r>
    </w:p>
    <w:p w:rsidR="00844611" w:rsidRPr="00C205CD" w:rsidP="00BD5F6D" w14:paraId="06880978" w14:textId="77777777"/>
    <w:p w:rsidR="00E70EB6" w:rsidRPr="00C205CD" w:rsidP="00E70EB6" w14:paraId="0C178E9E" w14:textId="187BCE5C">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r w:rsidRPr="00C205CD">
        <w:t>The States are responsible for submitting annual On-Site Consultation Cooperative Agreement Applications to OSHA and developing the Consultation Annual Program Plan (CAPP) submitted with the agreement, in accordance with their respective OSHA or State Plan Strategic Plan</w:t>
      </w:r>
      <w:r w:rsidRPr="00C205CD" w:rsidR="00AA29DA">
        <w:t xml:space="preserve">. </w:t>
      </w:r>
      <w:r w:rsidRPr="00C205CD" w:rsidR="006537F5">
        <w:t xml:space="preserve">The </w:t>
      </w:r>
      <w:r w:rsidRPr="00C205CD" w:rsidR="006537F5">
        <w:t>OSHA Regional and National Offices</w:t>
      </w:r>
      <w:r w:rsidRPr="00C205CD">
        <w:t xml:space="preserve"> conduct program and financial reviews of all On-Site Consultation Cooperative Agreement</w:t>
      </w:r>
      <w:r w:rsidRPr="00C205CD" w:rsidR="007C16DC">
        <w:t>s to assure that they meet the objectives of the OSHA On-Site Consultation Program in accordance with 29 CFR Part 1908.</w:t>
      </w:r>
    </w:p>
    <w:p w:rsidR="00095D35" w:rsidRPr="00C205CD" w:rsidP="00E70EB6" w14:paraId="2CDDEA89" w14:textId="77777777">
      <w:pPr>
        <w:widowControl/>
        <w:tabs>
          <w:tab w:val="left" w:pos="0"/>
          <w:tab w:val="left" w:pos="720"/>
          <w:tab w:val="left" w:pos="1710"/>
          <w:tab w:val="left" w:pos="2880"/>
          <w:tab w:val="left" w:pos="3600"/>
          <w:tab w:val="left" w:pos="4320"/>
          <w:tab w:val="left" w:pos="5040"/>
          <w:tab w:val="left" w:pos="5760"/>
          <w:tab w:val="left" w:pos="6480"/>
          <w:tab w:val="left" w:pos="7200"/>
          <w:tab w:val="left" w:pos="7920"/>
          <w:tab w:val="left" w:pos="8640"/>
          <w:tab w:val="left" w:pos="9360"/>
        </w:tabs>
      </w:pPr>
    </w:p>
    <w:p w:rsidR="00FC4BF3" w:rsidRPr="00C205CD" w:rsidP="00BF0615" w14:paraId="405B8742" w14:textId="01FCDD37">
      <w:r w:rsidRPr="00C205CD">
        <w:t xml:space="preserve">The </w:t>
      </w:r>
      <w:r w:rsidRPr="00C205CD" w:rsidR="00F27252">
        <w:t>a</w:t>
      </w:r>
      <w:r w:rsidRPr="00C205CD">
        <w:t xml:space="preserve">gency estimates the total </w:t>
      </w:r>
      <w:r w:rsidRPr="00C205CD" w:rsidR="006321F9">
        <w:t xml:space="preserve">annual </w:t>
      </w:r>
      <w:r w:rsidRPr="00C205CD">
        <w:t xml:space="preserve">cost to the Federal government is </w:t>
      </w:r>
      <w:r w:rsidRPr="00C205CD">
        <w:rPr>
          <w:b/>
        </w:rPr>
        <w:t>$</w:t>
      </w:r>
      <w:r w:rsidRPr="00C205CD" w:rsidR="00473A61">
        <w:rPr>
          <w:b/>
        </w:rPr>
        <w:t>233,705</w:t>
      </w:r>
      <w:r w:rsidRPr="00C205CD" w:rsidR="00EB3F13">
        <w:t xml:space="preserve"> </w:t>
      </w:r>
      <w:r w:rsidRPr="00C205CD">
        <w:t xml:space="preserve">(See Table </w:t>
      </w:r>
      <w:r>
        <w:t>4</w:t>
      </w:r>
      <w:r w:rsidRPr="00C205CD">
        <w:t xml:space="preserve"> – </w:t>
      </w:r>
      <w:r w:rsidRPr="00C205CD">
        <w:rPr>
          <w:i/>
        </w:rPr>
        <w:t>Cost to the Federal Government</w:t>
      </w:r>
      <w:r w:rsidRPr="00C205CD">
        <w:t>)</w:t>
      </w:r>
      <w:r w:rsidRPr="00C205CD" w:rsidR="00AA29DA">
        <w:t xml:space="preserve">. </w:t>
      </w:r>
      <w:r w:rsidRPr="00C205CD">
        <w:t xml:space="preserve">Table </w:t>
      </w:r>
      <w:r>
        <w:t>4</w:t>
      </w:r>
      <w:r w:rsidRPr="00C205CD">
        <w:t xml:space="preserve"> estimates t</w:t>
      </w:r>
      <w:r w:rsidRPr="00C205CD" w:rsidR="00601F5F">
        <w:t>he c</w:t>
      </w:r>
      <w:r w:rsidRPr="00C205CD">
        <w:t>ost to the Federal Government by identifying</w:t>
      </w:r>
      <w:r w:rsidRPr="00C205CD" w:rsidR="00C02F7B">
        <w:t xml:space="preserve"> categories of Federal g</w:t>
      </w:r>
      <w:r w:rsidRPr="00C205CD">
        <w:t xml:space="preserve">overnment </w:t>
      </w:r>
      <w:r w:rsidRPr="00C205CD" w:rsidR="008440CF">
        <w:t>worker</w:t>
      </w:r>
      <w:r w:rsidRPr="00C205CD">
        <w:t>s involved with the task of evaluating</w:t>
      </w:r>
      <w:r w:rsidRPr="00C205CD" w:rsidR="00CE5DBA">
        <w:t xml:space="preserve"> and preparing</w:t>
      </w:r>
      <w:r w:rsidRPr="00C205CD">
        <w:t xml:space="preserve"> the </w:t>
      </w:r>
      <w:r w:rsidRPr="00C205CD" w:rsidR="00CD17C1">
        <w:t>On-Site C</w:t>
      </w:r>
      <w:r w:rsidRPr="00C205CD">
        <w:t>onsultation</w:t>
      </w:r>
      <w:r w:rsidRPr="00C205CD" w:rsidR="00CE5DBA">
        <w:t xml:space="preserve"> documentation</w:t>
      </w:r>
      <w:r w:rsidRPr="00C205CD" w:rsidR="00E70EB6">
        <w:t xml:space="preserve"> and their wage rates</w:t>
      </w:r>
      <w:r w:rsidRPr="00C205CD">
        <w:t>.</w:t>
      </w:r>
      <w:r>
        <w:rPr>
          <w:vertAlign w:val="superscript"/>
        </w:rPr>
        <w:footnoteReference w:id="11"/>
      </w:r>
      <w:r w:rsidRPr="00C205CD">
        <w:t xml:space="preserve">  </w:t>
      </w:r>
      <w:r w:rsidRPr="00C205CD" w:rsidR="00E70EB6">
        <w:t xml:space="preserve">A fringe benefit rate of </w:t>
      </w:r>
      <w:r w:rsidRPr="00C205CD" w:rsidR="00095E5F">
        <w:t>38.1</w:t>
      </w:r>
      <w:r w:rsidRPr="00C205CD" w:rsidR="00E70EB6">
        <w:t xml:space="preserve"> percent is applied</w:t>
      </w:r>
      <w:r w:rsidRPr="00C205CD" w:rsidR="00AA29DA">
        <w:t xml:space="preserve">. </w:t>
      </w:r>
      <w:r w:rsidRPr="00C205CD" w:rsidR="00CE5DBA">
        <w:t xml:space="preserve">The total labor cost was then </w:t>
      </w:r>
      <w:r w:rsidRPr="00C205CD">
        <w:t xml:space="preserve">multiplied by </w:t>
      </w:r>
      <w:r w:rsidRPr="00C205CD" w:rsidR="00095E5F">
        <w:t xml:space="preserve">53 </w:t>
      </w:r>
      <w:r w:rsidRPr="00C205CD">
        <w:t xml:space="preserve">(the number of </w:t>
      </w:r>
      <w:r w:rsidRPr="00C205CD" w:rsidR="00954BC8">
        <w:t>On-Site</w:t>
      </w:r>
      <w:r w:rsidRPr="00C205CD" w:rsidR="00BA600E">
        <w:t xml:space="preserve"> C</w:t>
      </w:r>
      <w:r w:rsidRPr="00C205CD">
        <w:t xml:space="preserve">onsultation </w:t>
      </w:r>
      <w:r w:rsidRPr="00C205CD" w:rsidR="001F09B1">
        <w:t>p</w:t>
      </w:r>
      <w:r w:rsidRPr="00C205CD" w:rsidR="0020737B">
        <w:t>rogram</w:t>
      </w:r>
      <w:r w:rsidRPr="00C205CD" w:rsidR="00BA600E">
        <w:t>s</w:t>
      </w:r>
      <w:r w:rsidRPr="00C205CD">
        <w:t xml:space="preserve">) and then by the frequency </w:t>
      </w:r>
      <w:r w:rsidRPr="00C205CD" w:rsidR="007E5B3C">
        <w:t>of recordkeeping discussed in the above paragraphs</w:t>
      </w:r>
      <w:r w:rsidRPr="00C205CD">
        <w:t>.</w:t>
      </w:r>
    </w:p>
    <w:p w:rsidR="0012364F" w:rsidRPr="00C205CD" w14:paraId="3C0395D3" w14:textId="77777777">
      <w:pPr>
        <w:ind w:left="1440"/>
      </w:pPr>
    </w:p>
    <w:p w:rsidR="00361393" w:rsidRPr="00C205CD" w14:paraId="3254BC2F" w14:textId="77777777">
      <w:pPr>
        <w:ind w:left="1440"/>
        <w:sectPr w:rsidSect="00C24ED1">
          <w:footnotePr>
            <w:pos w:val="beneathText"/>
          </w:footnotePr>
          <w:pgSz w:w="12240" w:h="15840"/>
          <w:pgMar w:top="1008" w:right="1440" w:bottom="1008" w:left="1440" w:header="720" w:footer="720" w:gutter="0"/>
          <w:cols w:space="720"/>
          <w:noEndnote/>
          <w:titlePg/>
          <w:docGrid w:linePitch="326"/>
        </w:sectPr>
      </w:pPr>
    </w:p>
    <w:p w:rsidR="00361393" w:rsidRPr="00C205CD" w14:paraId="651E9592" w14:textId="77777777">
      <w:pPr>
        <w:ind w:left="1440"/>
      </w:pPr>
    </w:p>
    <w:p w:rsidR="00361393" w:rsidRPr="00C205CD" w:rsidP="006B3AC3" w14:paraId="269E314A"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361393" w14:paraId="47341341" w14:textId="77777777">
      <w:pPr>
        <w:tabs>
          <w:tab w:val="left" w:pos="-2160"/>
        </w:tabs>
        <w:ind w:left="720" w:hanging="720"/>
        <w:rPr>
          <w:b/>
          <w:bCs/>
        </w:rPr>
      </w:pPr>
    </w:p>
    <w:p w:rsidR="00361393" w:rsidRPr="00C205CD" w:rsidP="00361393" w14:paraId="42EF2083" w14:textId="77777777">
      <w:pPr>
        <w:tabs>
          <w:tab w:val="left" w:pos="-2160"/>
        </w:tabs>
        <w:ind w:left="720" w:hanging="720"/>
        <w:rPr>
          <w:b/>
          <w:bCs/>
        </w:rPr>
      </w:pPr>
    </w:p>
    <w:p w:rsidR="00361393" w:rsidRPr="00C205CD" w:rsidP="00361393" w14:paraId="740AFDDF" w14:textId="21B25EC6">
      <w:pPr>
        <w:tabs>
          <w:tab w:val="left" w:pos="-2160"/>
        </w:tabs>
        <w:ind w:left="720" w:hanging="720"/>
        <w:rPr>
          <w:b/>
          <w:bCs/>
        </w:rPr>
      </w:pPr>
      <w:r w:rsidRPr="00C205CD">
        <w:rPr>
          <w:b/>
          <w:bCs/>
        </w:rPr>
        <w:t xml:space="preserve">Table </w:t>
      </w:r>
      <w:r>
        <w:rPr>
          <w:b/>
          <w:bCs/>
        </w:rPr>
        <w:t>4</w:t>
      </w:r>
      <w:r w:rsidRPr="00C205CD">
        <w:rPr>
          <w:b/>
          <w:bCs/>
        </w:rPr>
        <w:t xml:space="preserve"> - Estimate of Cost to the Federal Government</w:t>
      </w:r>
      <w:r w:rsidRPr="00C205CD" w:rsidR="00BB5B74">
        <w:rPr>
          <w:b/>
          <w:bCs/>
        </w:rPr>
        <w:t xml:space="preserve"> </w:t>
      </w:r>
    </w:p>
    <w:p w:rsidR="00361393" w:rsidRPr="00C205CD" w:rsidP="00361393" w14:paraId="7B40C95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16"/>
          <w:szCs w:val="16"/>
        </w:rPr>
      </w:pPr>
    </w:p>
    <w:tbl>
      <w:tblPr>
        <w:tblW w:w="13320" w:type="dxa"/>
        <w:tblInd w:w="120" w:type="dxa"/>
        <w:tblLayout w:type="fixed"/>
        <w:tblCellMar>
          <w:left w:w="120" w:type="dxa"/>
          <w:right w:w="120" w:type="dxa"/>
        </w:tblCellMar>
        <w:tblLook w:val="0000"/>
      </w:tblPr>
      <w:tblGrid>
        <w:gridCol w:w="2700"/>
        <w:gridCol w:w="2700"/>
        <w:gridCol w:w="3240"/>
        <w:gridCol w:w="1170"/>
        <w:gridCol w:w="810"/>
        <w:gridCol w:w="1440"/>
        <w:gridCol w:w="1260"/>
      </w:tblGrid>
      <w:tr w14:paraId="52313D3C" w14:textId="77777777" w:rsidTr="00572C1D">
        <w:tblPrEx>
          <w:tblW w:w="13320" w:type="dxa"/>
          <w:tblInd w:w="120" w:type="dxa"/>
          <w:tblLayout w:type="fixed"/>
          <w:tblCellMar>
            <w:left w:w="120" w:type="dxa"/>
            <w:right w:w="120" w:type="dxa"/>
          </w:tblCellMar>
          <w:tblLook w:val="0000"/>
        </w:tblPrEx>
        <w:trPr>
          <w:tblHeader/>
        </w:trPr>
        <w:tc>
          <w:tcPr>
            <w:tcW w:w="2700" w:type="dxa"/>
            <w:tcBorders>
              <w:top w:val="single" w:sz="7" w:space="0" w:color="000000"/>
              <w:left w:val="single" w:sz="7" w:space="0" w:color="000000"/>
              <w:bottom w:val="single" w:sz="15" w:space="0" w:color="000000"/>
              <w:right w:val="single" w:sz="15" w:space="0" w:color="000000"/>
            </w:tcBorders>
            <w:shd w:val="pct10" w:color="000000" w:fill="FFFFFF"/>
          </w:tcPr>
          <w:p w:rsidR="00361393" w:rsidRPr="00C205CD" w:rsidP="00A11020" w14:paraId="4B4D723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p>
          <w:p w:rsidR="00361393" w:rsidRPr="00C205CD" w:rsidP="00A11020" w14:paraId="1828346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C205CD">
              <w:rPr>
                <w:b/>
                <w:bCs/>
                <w:sz w:val="20"/>
                <w:szCs w:val="20"/>
              </w:rPr>
              <w:t>Activity</w:t>
            </w:r>
          </w:p>
        </w:tc>
        <w:tc>
          <w:tcPr>
            <w:tcW w:w="2700" w:type="dxa"/>
            <w:tcBorders>
              <w:top w:val="single" w:sz="7" w:space="0" w:color="000000"/>
              <w:left w:val="single" w:sz="7" w:space="0" w:color="000000"/>
              <w:bottom w:val="single" w:sz="15" w:space="0" w:color="000000"/>
              <w:right w:val="single" w:sz="7" w:space="0" w:color="000000"/>
            </w:tcBorders>
            <w:shd w:val="pct10" w:color="000000" w:fill="FFFFFF"/>
          </w:tcPr>
          <w:p w:rsidR="00361393" w:rsidRPr="00C205CD" w:rsidP="00A11020" w14:paraId="2093CA6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p>
          <w:p w:rsidR="00361393" w:rsidRPr="00C205CD" w:rsidP="00A11020" w14:paraId="5EF8972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C205CD">
              <w:rPr>
                <w:b/>
                <w:bCs/>
                <w:sz w:val="20"/>
                <w:szCs w:val="20"/>
              </w:rPr>
              <w:t>Position</w:t>
            </w:r>
          </w:p>
        </w:tc>
        <w:tc>
          <w:tcPr>
            <w:tcW w:w="3240" w:type="dxa"/>
            <w:tcBorders>
              <w:top w:val="single" w:sz="7" w:space="0" w:color="000000"/>
              <w:left w:val="single" w:sz="7" w:space="0" w:color="000000"/>
              <w:bottom w:val="single" w:sz="15" w:space="0" w:color="000000"/>
              <w:right w:val="single" w:sz="7" w:space="0" w:color="000000"/>
            </w:tcBorders>
            <w:shd w:val="pct10" w:color="000000" w:fill="FFFFFF"/>
          </w:tcPr>
          <w:p w:rsidR="00361393" w:rsidRPr="00C205CD" w:rsidP="00A11020" w14:paraId="2503B19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p>
          <w:p w:rsidR="00361393" w:rsidRPr="00C205CD" w:rsidP="00A11020" w14:paraId="45BDA06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C205CD">
              <w:rPr>
                <w:b/>
                <w:bCs/>
                <w:sz w:val="20"/>
                <w:szCs w:val="20"/>
              </w:rPr>
              <w:t>Tasks</w:t>
            </w:r>
          </w:p>
        </w:tc>
        <w:tc>
          <w:tcPr>
            <w:tcW w:w="1170" w:type="dxa"/>
            <w:tcBorders>
              <w:top w:val="single" w:sz="7" w:space="0" w:color="000000"/>
              <w:left w:val="single" w:sz="7" w:space="0" w:color="000000"/>
              <w:bottom w:val="single" w:sz="15" w:space="0" w:color="000000"/>
              <w:right w:val="single" w:sz="7" w:space="0" w:color="000000"/>
            </w:tcBorders>
            <w:shd w:val="pct10" w:color="000000" w:fill="FFFFFF"/>
          </w:tcPr>
          <w:p w:rsidR="00361393" w:rsidRPr="00C205CD" w:rsidP="00A11020" w14:paraId="6D6C56D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center"/>
              <w:rPr>
                <w:b/>
                <w:bCs/>
                <w:sz w:val="20"/>
                <w:szCs w:val="20"/>
              </w:rPr>
            </w:pPr>
            <w:r w:rsidRPr="00C205CD">
              <w:rPr>
                <w:b/>
                <w:bCs/>
                <w:sz w:val="20"/>
                <w:szCs w:val="20"/>
              </w:rPr>
              <w:t xml:space="preserve">Hourly </w:t>
            </w:r>
          </w:p>
          <w:p w:rsidR="00361393" w:rsidRPr="00C205CD" w:rsidP="00A11020" w14:paraId="123B8D1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C205CD">
              <w:rPr>
                <w:b/>
                <w:bCs/>
                <w:sz w:val="20"/>
                <w:szCs w:val="20"/>
              </w:rPr>
              <w:t>Pay</w:t>
            </w:r>
          </w:p>
        </w:tc>
        <w:tc>
          <w:tcPr>
            <w:tcW w:w="810" w:type="dxa"/>
            <w:tcBorders>
              <w:top w:val="single" w:sz="7" w:space="0" w:color="000000"/>
              <w:left w:val="single" w:sz="7" w:space="0" w:color="000000"/>
              <w:bottom w:val="single" w:sz="15" w:space="0" w:color="000000"/>
              <w:right w:val="single" w:sz="7" w:space="0" w:color="000000"/>
            </w:tcBorders>
            <w:shd w:val="pct10" w:color="000000" w:fill="FFFFFF"/>
          </w:tcPr>
          <w:p w:rsidR="00361393" w:rsidRPr="00C205CD" w:rsidP="00A11020" w14:paraId="3828874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p>
          <w:p w:rsidR="00361393" w:rsidRPr="00C205CD" w:rsidP="00A11020" w14:paraId="310018A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r w:rsidRPr="00C205CD">
              <w:rPr>
                <w:b/>
                <w:bCs/>
                <w:sz w:val="20"/>
                <w:szCs w:val="20"/>
              </w:rPr>
              <w:t>Hours</w:t>
            </w:r>
          </w:p>
        </w:tc>
        <w:tc>
          <w:tcPr>
            <w:tcW w:w="2700" w:type="dxa"/>
            <w:gridSpan w:val="2"/>
            <w:tcBorders>
              <w:top w:val="single" w:sz="7" w:space="0" w:color="000000"/>
              <w:left w:val="single" w:sz="7" w:space="0" w:color="000000"/>
              <w:bottom w:val="single" w:sz="15" w:space="0" w:color="000000"/>
              <w:right w:val="single" w:sz="7" w:space="0" w:color="000000"/>
            </w:tcBorders>
            <w:shd w:val="pct10" w:color="000000" w:fill="FFFFFF"/>
          </w:tcPr>
          <w:p w:rsidR="00361393" w:rsidRPr="00C205CD" w:rsidP="00A11020" w14:paraId="3C47FCD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b/>
                <w:bCs/>
                <w:sz w:val="20"/>
                <w:szCs w:val="20"/>
              </w:rPr>
            </w:pPr>
            <w:r w:rsidRPr="00C205CD">
              <w:rPr>
                <w:b/>
                <w:bCs/>
                <w:sz w:val="20"/>
                <w:szCs w:val="20"/>
              </w:rPr>
              <w:t>Total Per Review</w:t>
            </w:r>
          </w:p>
          <w:p w:rsidR="00361393" w:rsidRPr="00C205CD" w:rsidP="00A11020" w14:paraId="20BD9A1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b/>
                <w:bCs/>
                <w:sz w:val="20"/>
                <w:szCs w:val="20"/>
              </w:rPr>
            </w:pPr>
          </w:p>
        </w:tc>
      </w:tr>
      <w:tr w14:paraId="00C79670" w14:textId="77777777" w:rsidTr="00B6448B">
        <w:tblPrEx>
          <w:tblW w:w="13320" w:type="dxa"/>
          <w:tblInd w:w="120" w:type="dxa"/>
          <w:tblLayout w:type="fixed"/>
          <w:tblCellMar>
            <w:left w:w="120" w:type="dxa"/>
            <w:right w:w="120" w:type="dxa"/>
          </w:tblCellMar>
          <w:tblLook w:val="0000"/>
        </w:tblPrEx>
        <w:tc>
          <w:tcPr>
            <w:tcW w:w="2700" w:type="dxa"/>
            <w:vMerge w:val="restart"/>
            <w:tcBorders>
              <w:top w:val="single" w:sz="7" w:space="0" w:color="000000"/>
              <w:left w:val="single" w:sz="7" w:space="0" w:color="000000"/>
              <w:bottom w:val="nil"/>
              <w:right w:val="single" w:sz="15" w:space="0" w:color="000000"/>
            </w:tcBorders>
            <w:shd w:val="pct10" w:color="000000" w:fill="FFFFFF"/>
          </w:tcPr>
          <w:p w:rsidR="00361393" w:rsidRPr="00C205CD" w:rsidP="00A11020" w14:paraId="0C136CF1" w14:textId="77777777">
            <w:pPr>
              <w:spacing w:line="120" w:lineRule="exact"/>
              <w:rPr>
                <w:b/>
                <w:bCs/>
                <w:sz w:val="20"/>
                <w:szCs w:val="20"/>
              </w:rPr>
            </w:pPr>
          </w:p>
          <w:p w:rsidR="00361393" w:rsidRPr="00C205CD" w:rsidP="00A11020" w14:paraId="5B8F182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Comprehensive Biennial Review</w:t>
            </w: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0A392C6A" w14:textId="77777777">
            <w:pPr>
              <w:spacing w:line="120" w:lineRule="exact"/>
              <w:rPr>
                <w:sz w:val="20"/>
                <w:szCs w:val="20"/>
              </w:rPr>
            </w:pPr>
          </w:p>
          <w:p w:rsidR="00361393" w:rsidRPr="00C205CD" w:rsidP="00A11020" w14:paraId="516854F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GS-13 Program Officer</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290583F9" w14:textId="77777777">
            <w:pPr>
              <w:spacing w:line="120" w:lineRule="exact"/>
              <w:rPr>
                <w:sz w:val="20"/>
                <w:szCs w:val="20"/>
              </w:rPr>
            </w:pPr>
          </w:p>
          <w:p w:rsidR="00361393" w:rsidRPr="00C205CD" w:rsidP="00A11020" w14:paraId="3D0DB50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Monitoring &amp; Report Preparation</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704D7BC4" w14:textId="326B81B4">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5AC53F2D" w14:textId="01BA8072">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E34AC0">
              <w:rPr>
                <w:color w:val="000000"/>
                <w:sz w:val="20"/>
                <w:szCs w:val="20"/>
              </w:rPr>
              <w:t>49.48</w:t>
            </w:r>
            <w:r w:rsidRPr="00C205CD">
              <w:rPr>
                <w:color w:val="000000"/>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68F21D90" w14:textId="77777777">
            <w:pPr>
              <w:spacing w:line="120" w:lineRule="exact"/>
              <w:rPr>
                <w:sz w:val="20"/>
                <w:szCs w:val="20"/>
              </w:rPr>
            </w:pPr>
          </w:p>
          <w:p w:rsidR="00361393" w:rsidRPr="00C205CD" w:rsidP="00A11020" w14:paraId="6089FD3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48</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77623411" w14:textId="615BA729">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44CB7640" w14:textId="1C05652B">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$2,375</w:t>
            </w:r>
          </w:p>
        </w:tc>
        <w:tc>
          <w:tcPr>
            <w:tcW w:w="1260" w:type="dxa"/>
            <w:vMerge w:val="restart"/>
            <w:tcBorders>
              <w:top w:val="single" w:sz="7" w:space="0" w:color="000000"/>
              <w:left w:val="single" w:sz="7" w:space="0" w:color="000000"/>
              <w:bottom w:val="nil"/>
              <w:right w:val="single" w:sz="7" w:space="0" w:color="000000"/>
            </w:tcBorders>
          </w:tcPr>
          <w:p w:rsidR="00361393" w:rsidRPr="00C205CD" w:rsidP="00A11020" w14:paraId="13C326F3" w14:textId="77777777">
            <w:pPr>
              <w:spacing w:line="120" w:lineRule="exact"/>
              <w:rPr>
                <w:sz w:val="20"/>
                <w:szCs w:val="20"/>
              </w:rPr>
            </w:pPr>
          </w:p>
          <w:p w:rsidR="00361393" w:rsidRPr="00C205CD" w:rsidP="00A11020" w14:paraId="4853B84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00361393" w:rsidRPr="00C205CD" w:rsidP="00A11020" w14:paraId="5012523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00361393" w:rsidRPr="00C205CD" w:rsidP="00A11020" w14:paraId="5A25747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006321F9" w:rsidRPr="00C205CD" w:rsidP="00A11020" w14:paraId="437FAD45" w14:textId="1EC654F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$4,62</w:t>
            </w:r>
            <w:r w:rsidRPr="00C205CD" w:rsidR="00C44A0D">
              <w:rPr>
                <w:sz w:val="20"/>
                <w:szCs w:val="20"/>
              </w:rPr>
              <w:t>3</w:t>
            </w:r>
          </w:p>
          <w:p w:rsidR="00361393" w:rsidRPr="00C205CD" w:rsidP="00A11020" w14:paraId="454C6B34" w14:textId="1428C8C2">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058B4539" w14:textId="77777777" w:rsidTr="00B6448B">
        <w:tblPrEx>
          <w:tblW w:w="13320" w:type="dxa"/>
          <w:tblInd w:w="120" w:type="dxa"/>
          <w:tblLayout w:type="fixed"/>
          <w:tblCellMar>
            <w:left w:w="120" w:type="dxa"/>
            <w:right w:w="120" w:type="dxa"/>
          </w:tblCellMar>
          <w:tblLook w:val="0000"/>
        </w:tblPrEx>
        <w:tc>
          <w:tcPr>
            <w:tcW w:w="2700" w:type="dxa"/>
            <w:vMerge/>
            <w:tcBorders>
              <w:top w:val="nil"/>
              <w:left w:val="single" w:sz="7" w:space="0" w:color="000000"/>
              <w:bottom w:val="nil"/>
              <w:right w:val="single" w:sz="15" w:space="0" w:color="000000"/>
            </w:tcBorders>
            <w:shd w:val="pct10" w:color="000000" w:fill="FFFFFF"/>
          </w:tcPr>
          <w:p w:rsidR="00361393" w:rsidRPr="00C205CD" w:rsidP="00A11020" w14:paraId="09B8D95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78BEFD2A" w14:textId="77777777">
            <w:pPr>
              <w:spacing w:line="120" w:lineRule="exact"/>
              <w:rPr>
                <w:sz w:val="20"/>
                <w:szCs w:val="20"/>
              </w:rPr>
            </w:pPr>
          </w:p>
          <w:p w:rsidR="00361393" w:rsidRPr="00C205CD" w:rsidP="00A11020" w14:paraId="139683B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 xml:space="preserve">GS-13 Program </w:t>
            </w:r>
            <w:r w:rsidRPr="00C205CD">
              <w:rPr>
                <w:sz w:val="20"/>
                <w:szCs w:val="20"/>
              </w:rPr>
              <w:t>Officer</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27A76422" w14:textId="77777777">
            <w:pPr>
              <w:spacing w:line="120" w:lineRule="exact"/>
              <w:rPr>
                <w:sz w:val="20"/>
                <w:szCs w:val="20"/>
              </w:rPr>
            </w:pPr>
          </w:p>
          <w:p w:rsidR="00361393" w:rsidRPr="00C205CD" w:rsidP="00A11020" w14:paraId="45306D3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National Office Review</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7B40F7C9" w14:textId="07B55311">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r w:rsidRPr="00C205CD">
              <w:rPr>
                <w:color w:val="000000"/>
                <w:sz w:val="20"/>
                <w:szCs w:val="20"/>
              </w:rPr>
              <w:t>$</w:t>
            </w:r>
            <w:r w:rsidRPr="00C205CD" w:rsidR="00E34AC0">
              <w:rPr>
                <w:color w:val="000000"/>
                <w:sz w:val="20"/>
                <w:szCs w:val="20"/>
              </w:rPr>
              <w:t>49.48</w:t>
            </w:r>
          </w:p>
          <w:p w:rsidR="00361393" w:rsidRPr="00C205CD" w:rsidP="00A11020" w14:paraId="55D77286" w14:textId="7BAA6D6D">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49206A88" w14:textId="77777777">
            <w:pPr>
              <w:spacing w:line="120" w:lineRule="exact"/>
              <w:rPr>
                <w:sz w:val="20"/>
                <w:szCs w:val="20"/>
              </w:rPr>
            </w:pPr>
          </w:p>
          <w:p w:rsidR="00361393" w:rsidRPr="00C205CD" w:rsidP="00A11020" w14:paraId="7144751B"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2</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1D8A424C" w14:textId="5434DC38">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20438097" w14:textId="39B640C0">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$9</w:t>
            </w:r>
            <w:r w:rsidRPr="00C205CD" w:rsidR="00C44A0D">
              <w:rPr>
                <w:color w:val="000000"/>
                <w:sz w:val="20"/>
                <w:szCs w:val="20"/>
              </w:rPr>
              <w:t>9</w:t>
            </w:r>
          </w:p>
        </w:tc>
        <w:tc>
          <w:tcPr>
            <w:tcW w:w="1260" w:type="dxa"/>
            <w:vMerge/>
            <w:tcBorders>
              <w:top w:val="nil"/>
              <w:left w:val="single" w:sz="7" w:space="0" w:color="000000"/>
              <w:bottom w:val="nil"/>
              <w:right w:val="single" w:sz="7" w:space="0" w:color="000000"/>
            </w:tcBorders>
          </w:tcPr>
          <w:p w:rsidR="00361393" w:rsidRPr="00C205CD" w:rsidP="00A11020" w14:paraId="67B7A70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76328E44" w14:textId="77777777" w:rsidTr="00B6448B">
        <w:tblPrEx>
          <w:tblW w:w="13320" w:type="dxa"/>
          <w:tblInd w:w="120" w:type="dxa"/>
          <w:tblLayout w:type="fixed"/>
          <w:tblCellMar>
            <w:left w:w="120" w:type="dxa"/>
            <w:right w:w="120" w:type="dxa"/>
          </w:tblCellMar>
          <w:tblLook w:val="0000"/>
        </w:tblPrEx>
        <w:tc>
          <w:tcPr>
            <w:tcW w:w="2700" w:type="dxa"/>
            <w:vMerge/>
            <w:tcBorders>
              <w:top w:val="nil"/>
              <w:left w:val="single" w:sz="7" w:space="0" w:color="000000"/>
              <w:bottom w:val="nil"/>
              <w:right w:val="single" w:sz="15" w:space="0" w:color="000000"/>
            </w:tcBorders>
            <w:shd w:val="pct10" w:color="000000" w:fill="FFFFFF"/>
          </w:tcPr>
          <w:p w:rsidR="00361393" w:rsidRPr="00C205CD" w:rsidP="00A11020" w14:paraId="71887C7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3B7FD67C" w14:textId="77777777">
            <w:pPr>
              <w:spacing w:line="120" w:lineRule="exact"/>
              <w:rPr>
                <w:sz w:val="20"/>
                <w:szCs w:val="20"/>
              </w:rPr>
            </w:pPr>
          </w:p>
          <w:p w:rsidR="00361393" w:rsidRPr="00C205CD" w:rsidP="00A11020" w14:paraId="7D6B248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GS-12 Program Analyst</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38D6B9B6" w14:textId="77777777">
            <w:pPr>
              <w:spacing w:line="120" w:lineRule="exact"/>
              <w:rPr>
                <w:sz w:val="20"/>
                <w:szCs w:val="20"/>
              </w:rPr>
            </w:pPr>
          </w:p>
          <w:p w:rsidR="00361393" w:rsidRPr="00C205CD" w:rsidP="00A11020" w14:paraId="2D3809D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Monitoring &amp; Report Preparation</w:t>
            </w:r>
          </w:p>
        </w:tc>
        <w:tc>
          <w:tcPr>
            <w:tcW w:w="1170" w:type="dxa"/>
            <w:tcBorders>
              <w:top w:val="single" w:sz="7" w:space="0" w:color="000000"/>
              <w:left w:val="single" w:sz="7" w:space="0" w:color="000000"/>
              <w:bottom w:val="single" w:sz="7" w:space="0" w:color="000000"/>
              <w:right w:val="single" w:sz="7" w:space="0" w:color="000000"/>
            </w:tcBorders>
            <w:vAlign w:val="center"/>
          </w:tcPr>
          <w:p w:rsidR="00361393" w:rsidRPr="00C205CD" w:rsidP="00A11020" w14:paraId="45BB8A2F" w14:textId="7B71BF00">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$41.</w:t>
            </w:r>
            <w:r w:rsidRPr="00C205CD" w:rsidR="00E34AC0">
              <w:rPr>
                <w:color w:val="000000"/>
                <w:sz w:val="20"/>
                <w:szCs w:val="20"/>
              </w:rPr>
              <w:t>61</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22F860BB" w14:textId="77777777">
            <w:pPr>
              <w:spacing w:line="120" w:lineRule="exact"/>
              <w:rPr>
                <w:sz w:val="20"/>
                <w:szCs w:val="20"/>
              </w:rPr>
            </w:pPr>
          </w:p>
          <w:p w:rsidR="00361393" w:rsidRPr="00C205CD" w:rsidP="00A11020" w14:paraId="779F5E7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48</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582B0EA0" w14:textId="5F70AFD1">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2A4F718F" w14:textId="1FDEE85C">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$1,997</w:t>
            </w:r>
          </w:p>
        </w:tc>
        <w:tc>
          <w:tcPr>
            <w:tcW w:w="1260" w:type="dxa"/>
            <w:vMerge/>
            <w:tcBorders>
              <w:top w:val="nil"/>
              <w:left w:val="single" w:sz="7" w:space="0" w:color="000000"/>
              <w:bottom w:val="nil"/>
              <w:right w:val="single" w:sz="7" w:space="0" w:color="000000"/>
            </w:tcBorders>
          </w:tcPr>
          <w:p w:rsidR="00361393" w:rsidRPr="00C205CD" w:rsidP="00A11020" w14:paraId="698536F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1D05F3D3" w14:textId="77777777" w:rsidTr="00B6448B">
        <w:tblPrEx>
          <w:tblW w:w="13320" w:type="dxa"/>
          <w:tblInd w:w="120" w:type="dxa"/>
          <w:tblLayout w:type="fixed"/>
          <w:tblCellMar>
            <w:left w:w="120" w:type="dxa"/>
            <w:right w:w="120" w:type="dxa"/>
          </w:tblCellMar>
          <w:tblLook w:val="0000"/>
        </w:tblPrEx>
        <w:tc>
          <w:tcPr>
            <w:tcW w:w="2700" w:type="dxa"/>
            <w:vMerge/>
            <w:tcBorders>
              <w:top w:val="nil"/>
              <w:left w:val="single" w:sz="7" w:space="0" w:color="000000"/>
              <w:bottom w:val="single" w:sz="7" w:space="0" w:color="000000"/>
              <w:right w:val="single" w:sz="15" w:space="0" w:color="000000"/>
            </w:tcBorders>
            <w:shd w:val="pct10" w:color="000000" w:fill="FFFFFF"/>
          </w:tcPr>
          <w:p w:rsidR="00361393" w:rsidRPr="00C205CD" w:rsidP="00A11020" w14:paraId="7BC1BAF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61C988F9" w14:textId="77777777">
            <w:pPr>
              <w:spacing w:line="120" w:lineRule="exact"/>
              <w:rPr>
                <w:sz w:val="20"/>
                <w:szCs w:val="20"/>
              </w:rPr>
            </w:pPr>
          </w:p>
          <w:p w:rsidR="00361393" w:rsidRPr="00C205CD" w:rsidP="00A11020" w14:paraId="64B1A32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GS-05 Clerk</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3B22BB7D" w14:textId="77777777">
            <w:pPr>
              <w:spacing w:line="120" w:lineRule="exact"/>
              <w:rPr>
                <w:sz w:val="20"/>
                <w:szCs w:val="20"/>
              </w:rPr>
            </w:pPr>
          </w:p>
          <w:p w:rsidR="00361393" w:rsidRPr="00C205CD" w:rsidP="00A11020" w14:paraId="5294D0B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Extraction of Data</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550C9BEF" w14:textId="0115C536">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6321F9" w14:paraId="13D00C1D" w14:textId="39C8AD9A">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r w:rsidRPr="00C205CD">
              <w:rPr>
                <w:color w:val="000000"/>
                <w:sz w:val="20"/>
                <w:szCs w:val="20"/>
              </w:rPr>
              <w:t>$</w:t>
            </w:r>
            <w:r w:rsidRPr="00C205CD" w:rsidR="00E34AC0">
              <w:rPr>
                <w:color w:val="000000"/>
                <w:sz w:val="20"/>
                <w:szCs w:val="20"/>
              </w:rPr>
              <w:t>18.94</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17B246DD" w14:textId="77777777">
            <w:pPr>
              <w:spacing w:line="120" w:lineRule="exact"/>
              <w:rPr>
                <w:sz w:val="20"/>
                <w:szCs w:val="20"/>
              </w:rPr>
            </w:pPr>
          </w:p>
          <w:p w:rsidR="00361393" w:rsidRPr="00C205CD" w:rsidP="00A11020" w14:paraId="03853697"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8</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62093105" w14:textId="71A19B5C">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F62973" w14:paraId="5FC8C783" w14:textId="4584C66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center"/>
              <w:rPr>
                <w:sz w:val="20"/>
                <w:szCs w:val="20"/>
              </w:rPr>
            </w:pPr>
            <w:r w:rsidRPr="00C205CD">
              <w:rPr>
                <w:color w:val="000000"/>
                <w:sz w:val="20"/>
                <w:szCs w:val="20"/>
              </w:rPr>
              <w:t>$15</w:t>
            </w:r>
            <w:r w:rsidRPr="00C205CD" w:rsidR="00C44A0D">
              <w:rPr>
                <w:color w:val="000000"/>
                <w:sz w:val="20"/>
                <w:szCs w:val="20"/>
              </w:rPr>
              <w:t>2</w:t>
            </w:r>
          </w:p>
        </w:tc>
        <w:tc>
          <w:tcPr>
            <w:tcW w:w="1260" w:type="dxa"/>
            <w:vMerge/>
            <w:tcBorders>
              <w:top w:val="nil"/>
              <w:left w:val="single" w:sz="7" w:space="0" w:color="000000"/>
              <w:bottom w:val="single" w:sz="7" w:space="0" w:color="000000"/>
              <w:right w:val="single" w:sz="7" w:space="0" w:color="000000"/>
            </w:tcBorders>
          </w:tcPr>
          <w:p w:rsidR="00361393" w:rsidRPr="00C205CD" w:rsidP="00A11020" w14:paraId="6BF89DA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02398A44" w14:textId="77777777" w:rsidTr="00B6448B">
        <w:tblPrEx>
          <w:tblW w:w="13320" w:type="dxa"/>
          <w:tblInd w:w="120" w:type="dxa"/>
          <w:tblLayout w:type="fixed"/>
          <w:tblCellMar>
            <w:left w:w="120" w:type="dxa"/>
            <w:right w:w="120" w:type="dxa"/>
          </w:tblCellMar>
          <w:tblLook w:val="0000"/>
        </w:tblPrEx>
        <w:tc>
          <w:tcPr>
            <w:tcW w:w="2700" w:type="dxa"/>
            <w:vMerge w:val="restart"/>
            <w:tcBorders>
              <w:top w:val="single" w:sz="7" w:space="0" w:color="000000"/>
              <w:left w:val="single" w:sz="7" w:space="0" w:color="000000"/>
              <w:bottom w:val="nil"/>
              <w:right w:val="single" w:sz="15" w:space="0" w:color="000000"/>
            </w:tcBorders>
            <w:shd w:val="pct10" w:color="000000" w:fill="FFFFFF"/>
          </w:tcPr>
          <w:p w:rsidR="00361393" w:rsidRPr="00C205CD" w:rsidP="00A11020" w14:paraId="5C3E0E74" w14:textId="77777777">
            <w:pPr>
              <w:spacing w:line="120" w:lineRule="exact"/>
              <w:rPr>
                <w:sz w:val="20"/>
                <w:szCs w:val="20"/>
              </w:rPr>
            </w:pPr>
          </w:p>
          <w:p w:rsidR="00361393" w:rsidRPr="00C205CD" w:rsidP="00A11020" w14:paraId="3B07E23C" w14:textId="006FAE34">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Annual Evaluation</w:t>
            </w: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66A1FAB9" w14:textId="77777777">
            <w:pPr>
              <w:spacing w:line="120" w:lineRule="exact"/>
              <w:rPr>
                <w:sz w:val="20"/>
                <w:szCs w:val="20"/>
              </w:rPr>
            </w:pPr>
          </w:p>
          <w:p w:rsidR="00361393" w:rsidRPr="00C205CD" w:rsidP="00A11020" w14:paraId="79BE10F3"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GS-13 Program Officer</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76BB753C" w14:textId="77777777">
            <w:pPr>
              <w:spacing w:line="120" w:lineRule="exact"/>
              <w:rPr>
                <w:sz w:val="20"/>
                <w:szCs w:val="20"/>
              </w:rPr>
            </w:pPr>
          </w:p>
          <w:p w:rsidR="00361393" w:rsidRPr="00C205CD" w:rsidP="00A11020" w14:paraId="2CD3D56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 xml:space="preserve">Monitoring &amp; Report </w:t>
            </w:r>
            <w:r w:rsidRPr="00C205CD">
              <w:rPr>
                <w:sz w:val="20"/>
                <w:szCs w:val="20"/>
              </w:rPr>
              <w:t>Preparation</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50A720B2" w14:textId="5FD21254">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5DE1A75E" w14:textId="5037B420">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E34AC0">
              <w:rPr>
                <w:color w:val="000000"/>
                <w:sz w:val="20"/>
                <w:szCs w:val="20"/>
              </w:rPr>
              <w:t>49.48</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513DA1E0" w14:textId="77777777">
            <w:pPr>
              <w:spacing w:line="120" w:lineRule="exact"/>
              <w:rPr>
                <w:sz w:val="20"/>
                <w:szCs w:val="20"/>
              </w:rPr>
            </w:pPr>
          </w:p>
          <w:p w:rsidR="00361393" w:rsidRPr="00C205CD" w:rsidP="00A11020" w14:paraId="1D8EB8E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24</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15AD4FB6" w14:textId="11BBFAA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r w:rsidRPr="00C205CD">
              <w:rPr>
                <w:color w:val="000000"/>
                <w:sz w:val="20"/>
                <w:szCs w:val="20"/>
              </w:rPr>
              <w:t>$</w:t>
            </w:r>
            <w:r w:rsidRPr="00C205CD" w:rsidR="0029259E">
              <w:rPr>
                <w:color w:val="000000"/>
                <w:sz w:val="20"/>
                <w:szCs w:val="20"/>
              </w:rPr>
              <w:t>1,18</w:t>
            </w:r>
            <w:r w:rsidRPr="00C205CD" w:rsidR="00C44A0D">
              <w:rPr>
                <w:color w:val="000000"/>
                <w:sz w:val="20"/>
                <w:szCs w:val="20"/>
              </w:rPr>
              <w:t>8</w:t>
            </w:r>
          </w:p>
          <w:p w:rsidR="00361393" w:rsidRPr="00C205CD" w:rsidP="00A11020" w14:paraId="3C0899F2" w14:textId="76C86A59">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c>
          <w:tcPr>
            <w:tcW w:w="1260" w:type="dxa"/>
            <w:vMerge w:val="restart"/>
            <w:tcBorders>
              <w:top w:val="single" w:sz="7" w:space="0" w:color="000000"/>
              <w:left w:val="single" w:sz="7" w:space="0" w:color="000000"/>
              <w:bottom w:val="nil"/>
              <w:right w:val="single" w:sz="7" w:space="0" w:color="000000"/>
            </w:tcBorders>
          </w:tcPr>
          <w:p w:rsidR="00361393" w:rsidRPr="00C205CD" w:rsidP="00A11020" w14:paraId="75CAC6F5" w14:textId="77777777">
            <w:pPr>
              <w:spacing w:line="120" w:lineRule="exact"/>
              <w:rPr>
                <w:sz w:val="20"/>
                <w:szCs w:val="20"/>
              </w:rPr>
            </w:pPr>
          </w:p>
          <w:p w:rsidR="00361393" w:rsidRPr="00C205CD" w:rsidP="00A11020" w14:paraId="6606042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006321F9" w:rsidRPr="00C205CD" w:rsidP="00A11020" w14:paraId="1DD9C4E1" w14:textId="7E40238D">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p w:rsidR="00361393" w:rsidRPr="00C205CD" w:rsidP="00A11020" w14:paraId="1BD02DB6" w14:textId="738B394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w:t>
            </w:r>
            <w:r w:rsidRPr="00C205CD" w:rsidR="007261DE">
              <w:rPr>
                <w:sz w:val="20"/>
                <w:szCs w:val="20"/>
              </w:rPr>
              <w:t>1,263</w:t>
            </w:r>
          </w:p>
        </w:tc>
      </w:tr>
      <w:tr w14:paraId="5FE960E7" w14:textId="77777777" w:rsidTr="00B6448B">
        <w:tblPrEx>
          <w:tblW w:w="13320" w:type="dxa"/>
          <w:tblInd w:w="120" w:type="dxa"/>
          <w:tblLayout w:type="fixed"/>
          <w:tblCellMar>
            <w:left w:w="120" w:type="dxa"/>
            <w:right w:w="120" w:type="dxa"/>
          </w:tblCellMar>
          <w:tblLook w:val="0000"/>
        </w:tblPrEx>
        <w:tc>
          <w:tcPr>
            <w:tcW w:w="2700" w:type="dxa"/>
            <w:vMerge/>
            <w:tcBorders>
              <w:top w:val="nil"/>
              <w:left w:val="single" w:sz="7" w:space="0" w:color="000000"/>
              <w:bottom w:val="single" w:sz="7" w:space="0" w:color="000000"/>
              <w:right w:val="single" w:sz="15" w:space="0" w:color="000000"/>
            </w:tcBorders>
            <w:shd w:val="pct10" w:color="000000" w:fill="FFFFFF"/>
          </w:tcPr>
          <w:p w:rsidR="00361393" w:rsidRPr="00C205CD" w:rsidP="00A11020" w14:paraId="1D0656F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7B37605A" w14:textId="77777777">
            <w:pPr>
              <w:spacing w:line="120" w:lineRule="exact"/>
              <w:rPr>
                <w:sz w:val="20"/>
                <w:szCs w:val="20"/>
              </w:rPr>
            </w:pPr>
          </w:p>
          <w:p w:rsidR="00361393" w:rsidRPr="00C205CD" w:rsidP="00A11020" w14:paraId="32C2F8F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GS-05 Clerk</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394798F2" w14:textId="77777777">
            <w:pPr>
              <w:spacing w:line="120" w:lineRule="exact"/>
              <w:rPr>
                <w:sz w:val="20"/>
                <w:szCs w:val="20"/>
              </w:rPr>
            </w:pPr>
          </w:p>
          <w:p w:rsidR="00361393" w:rsidRPr="00C205CD" w:rsidP="00A11020" w14:paraId="5B5DCDC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Extraction of Data</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20568EE2" w14:textId="7DA0CF94">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40BB40B5" w14:textId="2A59256F">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E34AC0">
              <w:rPr>
                <w:color w:val="000000"/>
                <w:sz w:val="20"/>
                <w:szCs w:val="20"/>
              </w:rPr>
              <w:t>18.94</w:t>
            </w:r>
            <w:r w:rsidRPr="00C205CD">
              <w:rPr>
                <w:color w:val="000000"/>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3889A505" w14:textId="77777777">
            <w:pPr>
              <w:spacing w:line="120" w:lineRule="exact"/>
              <w:rPr>
                <w:sz w:val="20"/>
                <w:szCs w:val="20"/>
              </w:rPr>
            </w:pPr>
          </w:p>
          <w:p w:rsidR="00361393" w:rsidRPr="00C205CD" w:rsidP="00A11020" w14:paraId="2598DEE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4</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7F486D18" w14:textId="1D486E9B">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3501C010" w14:textId="3F210826">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29259E">
              <w:rPr>
                <w:color w:val="000000"/>
                <w:sz w:val="20"/>
                <w:szCs w:val="20"/>
              </w:rPr>
              <w:t>76</w:t>
            </w:r>
          </w:p>
        </w:tc>
        <w:tc>
          <w:tcPr>
            <w:tcW w:w="1260" w:type="dxa"/>
            <w:vMerge/>
            <w:tcBorders>
              <w:top w:val="nil"/>
              <w:left w:val="single" w:sz="7" w:space="0" w:color="000000"/>
              <w:bottom w:val="single" w:sz="7" w:space="0" w:color="000000"/>
              <w:right w:val="single" w:sz="7" w:space="0" w:color="000000"/>
            </w:tcBorders>
          </w:tcPr>
          <w:p w:rsidR="00361393" w:rsidRPr="00C205CD" w:rsidP="00A11020" w14:paraId="29079D35"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7EB32714" w14:textId="77777777" w:rsidTr="00B6448B">
        <w:tblPrEx>
          <w:tblW w:w="13320" w:type="dxa"/>
          <w:tblInd w:w="120" w:type="dxa"/>
          <w:tblLayout w:type="fixed"/>
          <w:tblCellMar>
            <w:left w:w="120" w:type="dxa"/>
            <w:right w:w="120" w:type="dxa"/>
          </w:tblCellMar>
          <w:tblLook w:val="0000"/>
        </w:tblPrEx>
        <w:trPr>
          <w:trHeight w:val="523"/>
        </w:trPr>
        <w:tc>
          <w:tcPr>
            <w:tcW w:w="2700" w:type="dxa"/>
            <w:tcBorders>
              <w:top w:val="single" w:sz="7" w:space="0" w:color="000000"/>
              <w:left w:val="single" w:sz="7" w:space="0" w:color="000000"/>
              <w:bottom w:val="single" w:sz="7" w:space="0" w:color="000000"/>
              <w:right w:val="single" w:sz="15" w:space="0" w:color="000000"/>
            </w:tcBorders>
            <w:shd w:val="pct10" w:color="000000" w:fill="FFFFFF"/>
          </w:tcPr>
          <w:p w:rsidR="00361393" w:rsidRPr="00C205CD" w:rsidP="00A11020" w14:paraId="17686DC7" w14:textId="77777777">
            <w:pPr>
              <w:spacing w:line="120" w:lineRule="exact"/>
              <w:rPr>
                <w:sz w:val="20"/>
                <w:szCs w:val="20"/>
              </w:rPr>
            </w:pPr>
          </w:p>
          <w:p w:rsidR="00361393" w:rsidRPr="00C205CD" w:rsidP="00A11020" w14:paraId="53BD644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00361393" w:rsidRPr="00C205CD" w:rsidP="00A11020" w14:paraId="551A0BA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Quarterly Review</w:t>
            </w: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1A3FAC43" w14:textId="77777777">
            <w:pPr>
              <w:spacing w:line="120" w:lineRule="exact"/>
              <w:rPr>
                <w:sz w:val="20"/>
                <w:szCs w:val="20"/>
              </w:rPr>
            </w:pPr>
          </w:p>
          <w:p w:rsidR="00361393" w:rsidRPr="00C205CD" w:rsidP="00A11020" w14:paraId="2BBD94B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00361393" w:rsidRPr="00C205CD" w:rsidP="00A11020" w14:paraId="78A87B0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GS-13 Program Officer</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5854DE7F" w14:textId="77777777">
            <w:pPr>
              <w:spacing w:line="120" w:lineRule="exact"/>
              <w:rPr>
                <w:sz w:val="20"/>
                <w:szCs w:val="20"/>
              </w:rPr>
            </w:pPr>
          </w:p>
          <w:p w:rsidR="00361393" w:rsidRPr="00C205CD" w:rsidP="00A11020" w14:paraId="2CA7ADD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p>
          <w:p w:rsidR="00361393" w:rsidRPr="00C205CD" w:rsidP="00A11020" w14:paraId="784541D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Extraction and Review of Data</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3E3E08EC" w14:textId="7EC8044D">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216703E4" w14:textId="7ED9B470">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E34AC0">
              <w:rPr>
                <w:color w:val="000000"/>
                <w:sz w:val="20"/>
                <w:szCs w:val="20"/>
              </w:rPr>
              <w:t>49.48</w:t>
            </w:r>
            <w:r w:rsidRPr="00C205CD">
              <w:rPr>
                <w:color w:val="000000"/>
                <w:sz w:val="20"/>
                <w:szCs w:val="20"/>
              </w:rPr>
              <w:t xml:space="preserve"> </w:t>
            </w: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314EE24A" w14:textId="77777777">
            <w:pPr>
              <w:spacing w:line="120" w:lineRule="exact"/>
              <w:rPr>
                <w:sz w:val="20"/>
                <w:szCs w:val="20"/>
              </w:rPr>
            </w:pPr>
          </w:p>
          <w:p w:rsidR="00361393" w:rsidRPr="00C205CD" w:rsidP="00A11020" w14:paraId="706FBB2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 xml:space="preserve"> 4</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2DD49DBB" w14:textId="5A59EF90">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5FB728B0" w14:textId="71426BD9">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29259E">
              <w:rPr>
                <w:color w:val="000000"/>
                <w:sz w:val="20"/>
                <w:szCs w:val="20"/>
              </w:rPr>
              <w:t>19</w:t>
            </w:r>
            <w:r w:rsidRPr="00C205CD" w:rsidR="0025178D">
              <w:rPr>
                <w:color w:val="000000"/>
                <w:sz w:val="20"/>
                <w:szCs w:val="20"/>
              </w:rPr>
              <w:t>8</w:t>
            </w:r>
          </w:p>
        </w:tc>
        <w:tc>
          <w:tcPr>
            <w:tcW w:w="1260" w:type="dxa"/>
            <w:tcBorders>
              <w:top w:val="single" w:sz="7" w:space="0" w:color="000000"/>
              <w:left w:val="single" w:sz="7" w:space="0" w:color="000000"/>
              <w:bottom w:val="single" w:sz="7" w:space="0" w:color="000000"/>
              <w:right w:val="single" w:sz="7" w:space="0" w:color="000000"/>
            </w:tcBorders>
          </w:tcPr>
          <w:p w:rsidR="00361393" w:rsidRPr="00C205CD" w:rsidP="00A11020" w14:paraId="76614669" w14:textId="77777777">
            <w:pPr>
              <w:spacing w:line="120" w:lineRule="exact"/>
              <w:rPr>
                <w:sz w:val="20"/>
                <w:szCs w:val="20"/>
              </w:rPr>
            </w:pPr>
          </w:p>
          <w:p w:rsidR="00361393" w:rsidRPr="00C205CD" w:rsidP="00A11020" w14:paraId="57590049"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jc w:val="right"/>
              <w:rPr>
                <w:sz w:val="20"/>
                <w:szCs w:val="20"/>
              </w:rPr>
            </w:pPr>
          </w:p>
          <w:p w:rsidR="006321F9" w:rsidRPr="00C205CD" w:rsidP="00A11020" w14:paraId="0E311DA2" w14:textId="47484F3D">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p w:rsidR="00361393" w:rsidRPr="00C205CD" w:rsidP="00A11020" w14:paraId="2CBA71CB" w14:textId="1C306011">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w:t>
            </w:r>
            <w:r w:rsidRPr="00C205CD" w:rsidR="007261DE">
              <w:rPr>
                <w:sz w:val="20"/>
                <w:szCs w:val="20"/>
              </w:rPr>
              <w:t>19</w:t>
            </w:r>
            <w:r w:rsidRPr="00C205CD" w:rsidR="0025178D">
              <w:rPr>
                <w:sz w:val="20"/>
                <w:szCs w:val="20"/>
              </w:rPr>
              <w:t>8</w:t>
            </w:r>
          </w:p>
        </w:tc>
      </w:tr>
      <w:tr w14:paraId="5276FA2D" w14:textId="77777777" w:rsidTr="00B6448B">
        <w:tblPrEx>
          <w:tblW w:w="13320" w:type="dxa"/>
          <w:tblInd w:w="120" w:type="dxa"/>
          <w:tblLayout w:type="fixed"/>
          <w:tblCellMar>
            <w:left w:w="120" w:type="dxa"/>
            <w:right w:w="120" w:type="dxa"/>
          </w:tblCellMar>
          <w:tblLook w:val="0000"/>
        </w:tblPrEx>
        <w:tc>
          <w:tcPr>
            <w:tcW w:w="2700" w:type="dxa"/>
            <w:vMerge w:val="restart"/>
            <w:tcBorders>
              <w:top w:val="single" w:sz="15" w:space="0" w:color="000000"/>
              <w:left w:val="single" w:sz="7" w:space="0" w:color="000000"/>
              <w:bottom w:val="nil"/>
              <w:right w:val="single" w:sz="15" w:space="0" w:color="000000"/>
            </w:tcBorders>
            <w:shd w:val="pct10" w:color="000000" w:fill="FFFFFF"/>
          </w:tcPr>
          <w:p w:rsidR="00361393" w:rsidRPr="00C205CD" w:rsidP="00A11020" w14:paraId="0C5B615A" w14:textId="77777777">
            <w:pPr>
              <w:spacing w:line="120" w:lineRule="exact"/>
              <w:rPr>
                <w:sz w:val="20"/>
                <w:szCs w:val="20"/>
              </w:rPr>
            </w:pPr>
          </w:p>
          <w:p w:rsidR="00361393" w:rsidRPr="00C205CD" w:rsidP="00A11020" w14:paraId="30B96E9F" w14:textId="52888506">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rPr>
                <w:sz w:val="20"/>
                <w:szCs w:val="20"/>
              </w:rPr>
            </w:pPr>
            <w:r w:rsidRPr="00C205CD">
              <w:rPr>
                <w:sz w:val="20"/>
                <w:szCs w:val="20"/>
              </w:rPr>
              <w:t>Annual Cooperative Agreements</w:t>
            </w:r>
          </w:p>
          <w:p w:rsidR="00361393" w:rsidRPr="00C205CD" w:rsidP="00A11020" w14:paraId="1118921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Review</w:t>
            </w:r>
          </w:p>
        </w:tc>
        <w:tc>
          <w:tcPr>
            <w:tcW w:w="2700" w:type="dxa"/>
            <w:tcBorders>
              <w:top w:val="single" w:sz="15" w:space="0" w:color="000000"/>
              <w:left w:val="single" w:sz="7" w:space="0" w:color="000000"/>
              <w:bottom w:val="single" w:sz="7" w:space="0" w:color="000000"/>
              <w:right w:val="single" w:sz="7" w:space="0" w:color="000000"/>
            </w:tcBorders>
          </w:tcPr>
          <w:p w:rsidR="00361393" w:rsidRPr="00C205CD" w:rsidP="00A11020" w14:paraId="792F1AA2" w14:textId="77777777">
            <w:pPr>
              <w:spacing w:line="120" w:lineRule="exact"/>
              <w:rPr>
                <w:sz w:val="20"/>
                <w:szCs w:val="20"/>
              </w:rPr>
            </w:pPr>
          </w:p>
          <w:p w:rsidR="00361393" w:rsidRPr="00C205CD" w:rsidP="00A11020" w14:paraId="02D9DE22"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 xml:space="preserve">GS-13 </w:t>
            </w:r>
            <w:r w:rsidRPr="00C205CD">
              <w:rPr>
                <w:sz w:val="20"/>
                <w:szCs w:val="20"/>
              </w:rPr>
              <w:t>Program Officer</w:t>
            </w:r>
          </w:p>
        </w:tc>
        <w:tc>
          <w:tcPr>
            <w:tcW w:w="3240" w:type="dxa"/>
            <w:tcBorders>
              <w:top w:val="single" w:sz="15" w:space="0" w:color="000000"/>
              <w:left w:val="single" w:sz="7" w:space="0" w:color="000000"/>
              <w:bottom w:val="single" w:sz="7" w:space="0" w:color="000000"/>
              <w:right w:val="single" w:sz="7" w:space="0" w:color="000000"/>
            </w:tcBorders>
          </w:tcPr>
          <w:p w:rsidR="00361393" w:rsidRPr="00C205CD" w:rsidP="00A11020" w14:paraId="1A499DFC" w14:textId="77777777">
            <w:pPr>
              <w:spacing w:line="120" w:lineRule="exact"/>
              <w:rPr>
                <w:sz w:val="20"/>
                <w:szCs w:val="20"/>
              </w:rPr>
            </w:pPr>
          </w:p>
          <w:p w:rsidR="00361393" w:rsidRPr="00C205CD" w:rsidP="00A11020" w14:paraId="54797490"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Regional Office Review</w:t>
            </w:r>
          </w:p>
        </w:tc>
        <w:tc>
          <w:tcPr>
            <w:tcW w:w="1170" w:type="dxa"/>
            <w:tcBorders>
              <w:top w:val="single" w:sz="15" w:space="0" w:color="000000"/>
              <w:left w:val="single" w:sz="7" w:space="0" w:color="000000"/>
              <w:bottom w:val="single" w:sz="7" w:space="0" w:color="000000"/>
              <w:right w:val="single" w:sz="7" w:space="0" w:color="000000"/>
            </w:tcBorders>
            <w:vAlign w:val="center"/>
          </w:tcPr>
          <w:p w:rsidR="006321F9" w:rsidRPr="00C205CD" w:rsidP="00A11020" w14:paraId="2A195AB5" w14:textId="3C14AE8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4B497467" w14:textId="7C131C29">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E34AC0">
              <w:rPr>
                <w:color w:val="000000"/>
                <w:sz w:val="20"/>
                <w:szCs w:val="20"/>
              </w:rPr>
              <w:t>49.48</w:t>
            </w:r>
          </w:p>
        </w:tc>
        <w:tc>
          <w:tcPr>
            <w:tcW w:w="810" w:type="dxa"/>
            <w:tcBorders>
              <w:top w:val="single" w:sz="15" w:space="0" w:color="000000"/>
              <w:left w:val="single" w:sz="7" w:space="0" w:color="000000"/>
              <w:bottom w:val="single" w:sz="7" w:space="0" w:color="000000"/>
              <w:right w:val="single" w:sz="7" w:space="0" w:color="000000"/>
            </w:tcBorders>
          </w:tcPr>
          <w:p w:rsidR="00361393" w:rsidRPr="00C205CD" w:rsidP="00A11020" w14:paraId="5E7E3C41" w14:textId="77777777">
            <w:pPr>
              <w:spacing w:line="120" w:lineRule="exact"/>
              <w:rPr>
                <w:sz w:val="20"/>
                <w:szCs w:val="20"/>
              </w:rPr>
            </w:pPr>
          </w:p>
          <w:p w:rsidR="00361393" w:rsidRPr="00C205CD" w:rsidP="00A11020" w14:paraId="78E884CA"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2</w:t>
            </w:r>
          </w:p>
        </w:tc>
        <w:tc>
          <w:tcPr>
            <w:tcW w:w="1440" w:type="dxa"/>
            <w:tcBorders>
              <w:top w:val="single" w:sz="15" w:space="0" w:color="000000"/>
              <w:left w:val="single" w:sz="7" w:space="0" w:color="000000"/>
              <w:bottom w:val="single" w:sz="7" w:space="0" w:color="000000"/>
              <w:right w:val="single" w:sz="7" w:space="0" w:color="000000"/>
            </w:tcBorders>
            <w:vAlign w:val="center"/>
          </w:tcPr>
          <w:p w:rsidR="00361393" w:rsidRPr="00C205CD" w:rsidP="00A11020" w14:paraId="79C3FDA4" w14:textId="06E225F3">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61616F">
              <w:rPr>
                <w:color w:val="000000"/>
                <w:sz w:val="20"/>
                <w:szCs w:val="20"/>
              </w:rPr>
              <w:t>99</w:t>
            </w:r>
          </w:p>
        </w:tc>
        <w:tc>
          <w:tcPr>
            <w:tcW w:w="1260" w:type="dxa"/>
            <w:vMerge w:val="restart"/>
            <w:tcBorders>
              <w:top w:val="single" w:sz="15" w:space="0" w:color="000000"/>
              <w:left w:val="single" w:sz="7" w:space="0" w:color="000000"/>
              <w:bottom w:val="nil"/>
              <w:right w:val="single" w:sz="7" w:space="0" w:color="000000"/>
            </w:tcBorders>
          </w:tcPr>
          <w:p w:rsidR="00361393" w:rsidRPr="00C205CD" w:rsidP="00A11020" w14:paraId="749B1FDE" w14:textId="2CD6907A">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$19</w:t>
            </w:r>
            <w:r w:rsidRPr="00C205CD" w:rsidR="0025178D">
              <w:rPr>
                <w:sz w:val="20"/>
                <w:szCs w:val="20"/>
              </w:rPr>
              <w:t>8</w:t>
            </w:r>
          </w:p>
        </w:tc>
      </w:tr>
      <w:tr w14:paraId="0D7D98A3" w14:textId="77777777" w:rsidTr="003D6FBD">
        <w:tblPrEx>
          <w:tblW w:w="13320" w:type="dxa"/>
          <w:tblInd w:w="120" w:type="dxa"/>
          <w:tblLayout w:type="fixed"/>
          <w:tblCellMar>
            <w:left w:w="120" w:type="dxa"/>
            <w:right w:w="120" w:type="dxa"/>
          </w:tblCellMar>
          <w:tblLook w:val="0000"/>
        </w:tblPrEx>
        <w:trPr>
          <w:trHeight w:val="63"/>
        </w:trPr>
        <w:tc>
          <w:tcPr>
            <w:tcW w:w="2700" w:type="dxa"/>
            <w:vMerge/>
            <w:tcBorders>
              <w:top w:val="nil"/>
              <w:left w:val="single" w:sz="7" w:space="0" w:color="000000"/>
              <w:bottom w:val="nil"/>
              <w:right w:val="single" w:sz="15" w:space="0" w:color="000000"/>
            </w:tcBorders>
            <w:shd w:val="pct10" w:color="000000" w:fill="FFFFFF"/>
          </w:tcPr>
          <w:p w:rsidR="00361393" w:rsidRPr="00C205CD" w:rsidP="00A11020" w14:paraId="5186B13D"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61393" w:rsidRPr="00C205CD" w:rsidP="00A11020" w14:paraId="6C57C439" w14:textId="77777777">
            <w:pPr>
              <w:spacing w:line="120" w:lineRule="exact"/>
              <w:rPr>
                <w:sz w:val="20"/>
                <w:szCs w:val="20"/>
              </w:rPr>
            </w:pPr>
          </w:p>
          <w:p w:rsidR="00361393" w:rsidRPr="00C205CD" w:rsidP="00A11020" w14:paraId="59E8BE4F"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GS-13 Program Officer</w:t>
            </w:r>
          </w:p>
        </w:tc>
        <w:tc>
          <w:tcPr>
            <w:tcW w:w="3240" w:type="dxa"/>
            <w:tcBorders>
              <w:top w:val="single" w:sz="7" w:space="0" w:color="000000"/>
              <w:left w:val="single" w:sz="7" w:space="0" w:color="000000"/>
              <w:bottom w:val="single" w:sz="7" w:space="0" w:color="000000"/>
              <w:right w:val="single" w:sz="7" w:space="0" w:color="000000"/>
            </w:tcBorders>
          </w:tcPr>
          <w:p w:rsidR="00361393" w:rsidRPr="00C205CD" w:rsidP="00A11020" w14:paraId="3D404BC9" w14:textId="77777777">
            <w:pPr>
              <w:spacing w:line="120" w:lineRule="exact"/>
              <w:rPr>
                <w:sz w:val="20"/>
                <w:szCs w:val="20"/>
              </w:rPr>
            </w:pPr>
          </w:p>
          <w:p w:rsidR="00361393" w:rsidRPr="00C205CD" w:rsidP="00A11020" w14:paraId="754DDE48"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r w:rsidRPr="00C205CD">
              <w:rPr>
                <w:sz w:val="20"/>
                <w:szCs w:val="20"/>
              </w:rPr>
              <w:t>National Office Review</w:t>
            </w:r>
          </w:p>
        </w:tc>
        <w:tc>
          <w:tcPr>
            <w:tcW w:w="117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423149C9" w14:textId="230659EA">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15623D16" w14:textId="1E2CE7A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361393" w:rsidRPr="00C205CD" w:rsidP="00A11020" w14:paraId="61319B8A" w14:textId="77777777">
            <w:pPr>
              <w:spacing w:line="120" w:lineRule="exact"/>
              <w:rPr>
                <w:sz w:val="20"/>
                <w:szCs w:val="20"/>
              </w:rPr>
            </w:pPr>
          </w:p>
          <w:p w:rsidR="00361393" w:rsidRPr="00C205CD" w:rsidP="00A11020" w14:paraId="7842F596"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sz w:val="20"/>
                <w:szCs w:val="20"/>
              </w:rPr>
              <w:t>2</w:t>
            </w:r>
          </w:p>
        </w:tc>
        <w:tc>
          <w:tcPr>
            <w:tcW w:w="1440" w:type="dxa"/>
            <w:tcBorders>
              <w:top w:val="single" w:sz="7" w:space="0" w:color="000000"/>
              <w:left w:val="single" w:sz="7" w:space="0" w:color="000000"/>
              <w:bottom w:val="single" w:sz="7" w:space="0" w:color="000000"/>
              <w:right w:val="single" w:sz="7" w:space="0" w:color="000000"/>
            </w:tcBorders>
            <w:vAlign w:val="center"/>
          </w:tcPr>
          <w:p w:rsidR="006321F9" w:rsidRPr="00C205CD" w:rsidP="00A11020" w14:paraId="6E7BBF6B" w14:textId="45B41806">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p w:rsidR="00361393" w:rsidRPr="00C205CD" w:rsidP="00A11020" w14:paraId="21FC4500" w14:textId="19C1E08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r w:rsidRPr="00C205CD">
              <w:rPr>
                <w:color w:val="000000"/>
                <w:sz w:val="20"/>
                <w:szCs w:val="20"/>
              </w:rPr>
              <w:t>$</w:t>
            </w:r>
            <w:r w:rsidRPr="00C205CD" w:rsidR="0061616F">
              <w:rPr>
                <w:color w:val="000000"/>
                <w:sz w:val="20"/>
                <w:szCs w:val="20"/>
              </w:rPr>
              <w:t>99</w:t>
            </w:r>
            <w:r w:rsidRPr="00C205CD">
              <w:rPr>
                <w:color w:val="000000"/>
                <w:sz w:val="20"/>
                <w:szCs w:val="20"/>
              </w:rPr>
              <w:t xml:space="preserve"> </w:t>
            </w:r>
          </w:p>
        </w:tc>
        <w:tc>
          <w:tcPr>
            <w:tcW w:w="1260" w:type="dxa"/>
            <w:vMerge/>
            <w:tcBorders>
              <w:top w:val="nil"/>
              <w:left w:val="single" w:sz="7" w:space="0" w:color="000000"/>
              <w:bottom w:val="single" w:sz="4" w:space="0" w:color="auto"/>
              <w:right w:val="single" w:sz="7" w:space="0" w:color="000000"/>
            </w:tcBorders>
          </w:tcPr>
          <w:p w:rsidR="00361393" w:rsidRPr="00C205CD" w:rsidP="00A11020" w14:paraId="31A560F4"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sz w:val="20"/>
                <w:szCs w:val="20"/>
              </w:rPr>
            </w:pPr>
          </w:p>
        </w:tc>
      </w:tr>
      <w:tr w14:paraId="6DA6EA3C" w14:textId="77777777" w:rsidTr="003D6FBD">
        <w:tblPrEx>
          <w:tblW w:w="13320" w:type="dxa"/>
          <w:tblInd w:w="120" w:type="dxa"/>
          <w:tblLayout w:type="fixed"/>
          <w:tblCellMar>
            <w:left w:w="120" w:type="dxa"/>
            <w:right w:w="120" w:type="dxa"/>
          </w:tblCellMar>
          <w:tblLook w:val="0000"/>
        </w:tblPrEx>
        <w:trPr>
          <w:trHeight w:val="63"/>
        </w:trPr>
        <w:tc>
          <w:tcPr>
            <w:tcW w:w="2700" w:type="dxa"/>
            <w:tcBorders>
              <w:top w:val="nil"/>
              <w:left w:val="single" w:sz="7" w:space="0" w:color="000000"/>
              <w:bottom w:val="single" w:sz="7" w:space="0" w:color="000000"/>
              <w:right w:val="single" w:sz="15" w:space="0" w:color="000000"/>
            </w:tcBorders>
            <w:shd w:val="pct10" w:color="000000" w:fill="FFFFFF"/>
          </w:tcPr>
          <w:p w:rsidR="003D6FBD" w:rsidRPr="00C205CD" w:rsidP="00A11020" w14:paraId="60E70CB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rPr>
                <w:sz w:val="20"/>
                <w:szCs w:val="20"/>
              </w:rPr>
            </w:pPr>
          </w:p>
        </w:tc>
        <w:tc>
          <w:tcPr>
            <w:tcW w:w="2700" w:type="dxa"/>
            <w:tcBorders>
              <w:top w:val="single" w:sz="7" w:space="0" w:color="000000"/>
              <w:left w:val="single" w:sz="7" w:space="0" w:color="000000"/>
              <w:bottom w:val="single" w:sz="7" w:space="0" w:color="000000"/>
              <w:right w:val="single" w:sz="7" w:space="0" w:color="000000"/>
            </w:tcBorders>
          </w:tcPr>
          <w:p w:rsidR="003D6FBD" w:rsidRPr="00C205CD" w:rsidP="00A11020" w14:paraId="1AE07000" w14:textId="77777777">
            <w:pPr>
              <w:spacing w:line="120" w:lineRule="exact"/>
              <w:rPr>
                <w:sz w:val="20"/>
                <w:szCs w:val="20"/>
              </w:rPr>
            </w:pPr>
          </w:p>
        </w:tc>
        <w:tc>
          <w:tcPr>
            <w:tcW w:w="3240" w:type="dxa"/>
            <w:tcBorders>
              <w:top w:val="single" w:sz="7" w:space="0" w:color="000000"/>
              <w:left w:val="single" w:sz="7" w:space="0" w:color="000000"/>
              <w:bottom w:val="single" w:sz="7" w:space="0" w:color="000000"/>
              <w:right w:val="single" w:sz="7" w:space="0" w:color="000000"/>
            </w:tcBorders>
          </w:tcPr>
          <w:p w:rsidR="003D6FBD" w:rsidRPr="00C205CD" w:rsidP="00A11020" w14:paraId="2F357276" w14:textId="77777777">
            <w:pPr>
              <w:spacing w:line="120" w:lineRule="exact"/>
              <w:rPr>
                <w:sz w:val="20"/>
                <w:szCs w:val="20"/>
              </w:rPr>
            </w:pPr>
          </w:p>
        </w:tc>
        <w:tc>
          <w:tcPr>
            <w:tcW w:w="1170" w:type="dxa"/>
            <w:tcBorders>
              <w:top w:val="single" w:sz="7" w:space="0" w:color="000000"/>
              <w:left w:val="single" w:sz="7" w:space="0" w:color="000000"/>
              <w:bottom w:val="single" w:sz="7" w:space="0" w:color="000000"/>
              <w:right w:val="single" w:sz="7" w:space="0" w:color="000000"/>
            </w:tcBorders>
            <w:vAlign w:val="center"/>
          </w:tcPr>
          <w:p w:rsidR="003D6FBD" w:rsidRPr="00C205CD" w:rsidP="00A11020" w14:paraId="3074F72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color w:val="000000"/>
                <w:sz w:val="20"/>
                <w:szCs w:val="20"/>
              </w:rPr>
            </w:pPr>
          </w:p>
        </w:tc>
        <w:tc>
          <w:tcPr>
            <w:tcW w:w="810" w:type="dxa"/>
            <w:tcBorders>
              <w:top w:val="single" w:sz="7" w:space="0" w:color="000000"/>
              <w:left w:val="single" w:sz="7" w:space="0" w:color="000000"/>
              <w:bottom w:val="single" w:sz="7" w:space="0" w:color="000000"/>
              <w:right w:val="single" w:sz="7" w:space="0" w:color="000000"/>
            </w:tcBorders>
          </w:tcPr>
          <w:p w:rsidR="003D6FBD" w:rsidRPr="00C205CD" w:rsidP="00A11020" w14:paraId="123973CC" w14:textId="77777777">
            <w:pPr>
              <w:spacing w:line="120" w:lineRule="exact"/>
              <w:rPr>
                <w:sz w:val="20"/>
                <w:szCs w:val="20"/>
              </w:rPr>
            </w:pPr>
          </w:p>
        </w:tc>
        <w:tc>
          <w:tcPr>
            <w:tcW w:w="1440" w:type="dxa"/>
            <w:tcBorders>
              <w:top w:val="single" w:sz="7" w:space="0" w:color="000000"/>
              <w:left w:val="single" w:sz="7" w:space="0" w:color="000000"/>
              <w:bottom w:val="single" w:sz="7" w:space="0" w:color="000000"/>
              <w:right w:val="single" w:sz="4" w:space="0" w:color="auto"/>
            </w:tcBorders>
            <w:vAlign w:val="center"/>
          </w:tcPr>
          <w:p w:rsidR="003D6FBD" w:rsidRPr="00C205CD" w:rsidP="00A11020" w14:paraId="411C2589" w14:textId="2CED6941">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b/>
                <w:bCs/>
                <w:sz w:val="20"/>
                <w:szCs w:val="20"/>
              </w:rPr>
            </w:pPr>
            <w:r w:rsidRPr="00C205CD">
              <w:rPr>
                <w:b/>
                <w:bCs/>
                <w:sz w:val="20"/>
                <w:szCs w:val="20"/>
              </w:rPr>
              <w:t>Total</w:t>
            </w:r>
          </w:p>
        </w:tc>
        <w:tc>
          <w:tcPr>
            <w:tcW w:w="1260" w:type="dxa"/>
            <w:tcBorders>
              <w:top w:val="single" w:sz="4" w:space="0" w:color="auto"/>
              <w:left w:val="single" w:sz="4" w:space="0" w:color="auto"/>
              <w:bottom w:val="single" w:sz="4" w:space="0" w:color="auto"/>
              <w:right w:val="single" w:sz="4" w:space="0" w:color="auto"/>
            </w:tcBorders>
          </w:tcPr>
          <w:p w:rsidR="003D6FBD" w:rsidRPr="00C205CD" w:rsidP="00A11020" w14:paraId="6FD8DD19" w14:textId="7D2329A5">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spacing w:after="58"/>
              <w:jc w:val="right"/>
              <w:rPr>
                <w:b/>
                <w:bCs/>
                <w:sz w:val="20"/>
                <w:szCs w:val="20"/>
              </w:rPr>
            </w:pPr>
            <w:r w:rsidRPr="00C205CD">
              <w:rPr>
                <w:b/>
                <w:bCs/>
                <w:sz w:val="20"/>
                <w:szCs w:val="20"/>
              </w:rPr>
              <w:t>$6,282</w:t>
            </w:r>
          </w:p>
        </w:tc>
      </w:tr>
    </w:tbl>
    <w:p w:rsidR="00361393" w:rsidRPr="00C205CD" w:rsidP="00361393" w14:paraId="70DF735C"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rPr>
          <w:b/>
          <w:sz w:val="18"/>
          <w:szCs w:val="18"/>
        </w:rPr>
      </w:pPr>
    </w:p>
    <w:tbl>
      <w:tblPr>
        <w:tblpPr w:leftFromText="180" w:rightFromText="180" w:vertAnchor="text" w:tblpY="1"/>
        <w:tblOverlap w:val="never"/>
        <w:tblW w:w="13040" w:type="dxa"/>
        <w:tblLook w:val="04A0"/>
      </w:tblPr>
      <w:tblGrid>
        <w:gridCol w:w="2560"/>
        <w:gridCol w:w="2216"/>
        <w:gridCol w:w="2016"/>
        <w:gridCol w:w="2016"/>
        <w:gridCol w:w="2016"/>
        <w:gridCol w:w="2216"/>
      </w:tblGrid>
      <w:tr w14:paraId="1947F967" w14:textId="77777777" w:rsidTr="00572C1D">
        <w:tblPrEx>
          <w:tblW w:w="13040" w:type="dxa"/>
          <w:tblLook w:val="04A0"/>
        </w:tblPrEx>
        <w:trPr>
          <w:trHeight w:val="255"/>
        </w:trPr>
        <w:tc>
          <w:tcPr>
            <w:tcW w:w="2560" w:type="dxa"/>
            <w:tcBorders>
              <w:top w:val="nil"/>
              <w:left w:val="nil"/>
              <w:bottom w:val="single" w:sz="4" w:space="0" w:color="auto"/>
              <w:right w:val="nil"/>
            </w:tcBorders>
            <w:shd w:val="clear" w:color="auto" w:fill="auto"/>
            <w:noWrap/>
            <w:vAlign w:val="bottom"/>
            <w:hideMark/>
          </w:tcPr>
          <w:p w:rsidR="00361393" w:rsidRPr="00C205CD" w:rsidP="00B6448B" w14:paraId="24E4ED14" w14:textId="77777777">
            <w:pPr>
              <w:widowControl/>
              <w:autoSpaceDE/>
              <w:autoSpaceDN/>
              <w:adjustRightInd/>
              <w:rPr>
                <w:b/>
                <w:color w:val="000000"/>
                <w:sz w:val="20"/>
                <w:szCs w:val="20"/>
                <w:u w:val="single"/>
              </w:rPr>
            </w:pPr>
            <w:r w:rsidRPr="00C205CD">
              <w:rPr>
                <w:b/>
                <w:color w:val="000000"/>
                <w:sz w:val="20"/>
                <w:szCs w:val="20"/>
                <w:u w:val="single"/>
              </w:rPr>
              <w:t>Grand Total Calculations</w:t>
            </w:r>
            <w:r w:rsidRPr="00C205CD" w:rsidR="00F77A7D">
              <w:rPr>
                <w:b/>
                <w:color w:val="000000"/>
                <w:sz w:val="20"/>
                <w:szCs w:val="20"/>
                <w:u w:val="single"/>
              </w:rPr>
              <w:t>:</w:t>
            </w:r>
          </w:p>
        </w:tc>
        <w:tc>
          <w:tcPr>
            <w:tcW w:w="2216" w:type="dxa"/>
            <w:tcBorders>
              <w:top w:val="nil"/>
              <w:left w:val="nil"/>
              <w:bottom w:val="single" w:sz="4" w:space="0" w:color="auto"/>
              <w:right w:val="nil"/>
            </w:tcBorders>
            <w:shd w:val="clear" w:color="auto" w:fill="auto"/>
            <w:noWrap/>
            <w:vAlign w:val="bottom"/>
            <w:hideMark/>
          </w:tcPr>
          <w:p w:rsidR="00361393" w:rsidRPr="00C205CD" w:rsidP="00B6448B" w14:paraId="3A413BF6" w14:textId="77777777">
            <w:pPr>
              <w:widowControl/>
              <w:autoSpaceDE/>
              <w:autoSpaceDN/>
              <w:adjustRightInd/>
              <w:rPr>
                <w:color w:val="000000"/>
                <w:sz w:val="20"/>
                <w:szCs w:val="20"/>
              </w:rPr>
            </w:pPr>
          </w:p>
        </w:tc>
        <w:tc>
          <w:tcPr>
            <w:tcW w:w="2016" w:type="dxa"/>
            <w:tcBorders>
              <w:top w:val="nil"/>
              <w:left w:val="nil"/>
              <w:bottom w:val="single" w:sz="4" w:space="0" w:color="auto"/>
              <w:right w:val="nil"/>
            </w:tcBorders>
            <w:shd w:val="clear" w:color="auto" w:fill="auto"/>
            <w:noWrap/>
            <w:vAlign w:val="bottom"/>
            <w:hideMark/>
          </w:tcPr>
          <w:p w:rsidR="00361393" w:rsidRPr="00C205CD" w:rsidP="00B6448B" w14:paraId="33D28B4B" w14:textId="77777777">
            <w:pPr>
              <w:widowControl/>
              <w:autoSpaceDE/>
              <w:autoSpaceDN/>
              <w:adjustRightInd/>
              <w:rPr>
                <w:color w:val="000000"/>
                <w:sz w:val="20"/>
                <w:szCs w:val="20"/>
              </w:rPr>
            </w:pPr>
          </w:p>
        </w:tc>
        <w:tc>
          <w:tcPr>
            <w:tcW w:w="2016" w:type="dxa"/>
            <w:tcBorders>
              <w:top w:val="nil"/>
              <w:left w:val="nil"/>
              <w:bottom w:val="single" w:sz="4" w:space="0" w:color="auto"/>
              <w:right w:val="nil"/>
            </w:tcBorders>
            <w:shd w:val="clear" w:color="auto" w:fill="auto"/>
            <w:noWrap/>
            <w:vAlign w:val="bottom"/>
            <w:hideMark/>
          </w:tcPr>
          <w:p w:rsidR="00361393" w:rsidRPr="00C205CD" w:rsidP="00B6448B" w14:paraId="37EFA3E3" w14:textId="77777777">
            <w:pPr>
              <w:widowControl/>
              <w:autoSpaceDE/>
              <w:autoSpaceDN/>
              <w:adjustRightInd/>
              <w:rPr>
                <w:color w:val="000000"/>
                <w:sz w:val="20"/>
                <w:szCs w:val="20"/>
              </w:rPr>
            </w:pPr>
          </w:p>
        </w:tc>
        <w:tc>
          <w:tcPr>
            <w:tcW w:w="2016" w:type="dxa"/>
            <w:tcBorders>
              <w:top w:val="nil"/>
              <w:left w:val="nil"/>
              <w:bottom w:val="single" w:sz="4" w:space="0" w:color="auto"/>
              <w:right w:val="nil"/>
            </w:tcBorders>
            <w:shd w:val="clear" w:color="auto" w:fill="auto"/>
            <w:noWrap/>
            <w:vAlign w:val="bottom"/>
            <w:hideMark/>
          </w:tcPr>
          <w:p w:rsidR="00361393" w:rsidRPr="00C205CD" w:rsidP="00B6448B" w14:paraId="41C6AC2A" w14:textId="77777777">
            <w:pPr>
              <w:widowControl/>
              <w:autoSpaceDE/>
              <w:autoSpaceDN/>
              <w:adjustRightInd/>
              <w:rPr>
                <w:color w:val="000000"/>
                <w:sz w:val="20"/>
                <w:szCs w:val="20"/>
              </w:rPr>
            </w:pPr>
          </w:p>
        </w:tc>
        <w:tc>
          <w:tcPr>
            <w:tcW w:w="2216" w:type="dxa"/>
            <w:tcBorders>
              <w:top w:val="nil"/>
              <w:left w:val="nil"/>
              <w:bottom w:val="single" w:sz="4" w:space="0" w:color="auto"/>
              <w:right w:val="nil"/>
            </w:tcBorders>
            <w:shd w:val="clear" w:color="auto" w:fill="auto"/>
            <w:noWrap/>
            <w:vAlign w:val="bottom"/>
            <w:hideMark/>
          </w:tcPr>
          <w:p w:rsidR="00361393" w:rsidRPr="00C205CD" w:rsidP="00B6448B" w14:paraId="2DC44586" w14:textId="77777777">
            <w:pPr>
              <w:widowControl/>
              <w:autoSpaceDE/>
              <w:autoSpaceDN/>
              <w:adjustRightInd/>
              <w:rPr>
                <w:color w:val="000000"/>
                <w:sz w:val="20"/>
                <w:szCs w:val="20"/>
              </w:rPr>
            </w:pPr>
          </w:p>
        </w:tc>
      </w:tr>
      <w:tr w14:paraId="46358271" w14:textId="77777777" w:rsidTr="00572C1D">
        <w:tblPrEx>
          <w:tblW w:w="13040" w:type="dxa"/>
          <w:tblLook w:val="04A0"/>
        </w:tblPrEx>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4FFCBC07" w14:textId="77777777">
            <w:pPr>
              <w:widowControl/>
              <w:autoSpaceDE/>
              <w:autoSpaceDN/>
              <w:adjustRightInd/>
              <w:rPr>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5C52C904" w14:textId="77777777">
            <w:pPr>
              <w:widowControl/>
              <w:autoSpaceDE/>
              <w:autoSpaceDN/>
              <w:adjustRightInd/>
              <w:rPr>
                <w:b/>
                <w:bCs/>
                <w:color w:val="000000"/>
                <w:sz w:val="20"/>
                <w:szCs w:val="20"/>
              </w:rPr>
            </w:pPr>
            <w:r w:rsidRPr="00C205CD">
              <w:rPr>
                <w:b/>
                <w:bCs/>
                <w:color w:val="000000"/>
                <w:sz w:val="20"/>
                <w:szCs w:val="20"/>
              </w:rPr>
              <w:t>Comprehensive</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010DEC45" w14:textId="77777777">
            <w:pPr>
              <w:widowControl/>
              <w:autoSpaceDE/>
              <w:autoSpaceDN/>
              <w:adjustRightInd/>
              <w:rPr>
                <w:b/>
                <w:bCs/>
                <w:color w:val="000000"/>
                <w:sz w:val="20"/>
                <w:szCs w:val="20"/>
              </w:rPr>
            </w:pPr>
            <w:r w:rsidRPr="00C205CD">
              <w:rPr>
                <w:b/>
                <w:bCs/>
                <w:color w:val="000000"/>
                <w:sz w:val="20"/>
                <w:szCs w:val="20"/>
              </w:rPr>
              <w:t>Interim</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2F7AF8B3" w14:textId="77777777">
            <w:pPr>
              <w:widowControl/>
              <w:autoSpaceDE/>
              <w:autoSpaceDN/>
              <w:adjustRightInd/>
              <w:rPr>
                <w:b/>
                <w:bCs/>
                <w:color w:val="000000"/>
                <w:sz w:val="20"/>
                <w:szCs w:val="20"/>
              </w:rPr>
            </w:pPr>
            <w:r w:rsidRPr="00C205CD">
              <w:rPr>
                <w:b/>
                <w:bCs/>
                <w:color w:val="000000"/>
                <w:sz w:val="20"/>
                <w:szCs w:val="20"/>
              </w:rPr>
              <w:t>Quarterly</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1393" w:rsidRPr="00C205CD" w:rsidP="00B6448B" w14:paraId="3DADD0B4" w14:textId="77777777">
            <w:pPr>
              <w:widowControl/>
              <w:autoSpaceDE/>
              <w:autoSpaceDN/>
              <w:adjustRightInd/>
              <w:rPr>
                <w:b/>
                <w:bCs/>
                <w:color w:val="000000"/>
                <w:sz w:val="20"/>
                <w:szCs w:val="20"/>
              </w:rPr>
            </w:pPr>
            <w:r w:rsidRPr="00C205CD">
              <w:rPr>
                <w:b/>
                <w:bCs/>
                <w:color w:val="000000"/>
                <w:sz w:val="20"/>
                <w:szCs w:val="20"/>
              </w:rPr>
              <w:t>Cooperative Agreements</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30C80894" w14:textId="77777777">
            <w:pPr>
              <w:widowControl/>
              <w:autoSpaceDE/>
              <w:autoSpaceDN/>
              <w:adjustRightInd/>
              <w:jc w:val="center"/>
              <w:rPr>
                <w:b/>
                <w:color w:val="000000"/>
                <w:sz w:val="20"/>
                <w:szCs w:val="20"/>
              </w:rPr>
            </w:pPr>
            <w:r w:rsidRPr="00C205CD">
              <w:rPr>
                <w:b/>
                <w:color w:val="000000"/>
                <w:sz w:val="20"/>
                <w:szCs w:val="20"/>
              </w:rPr>
              <w:t>GRAND TOTAL</w:t>
            </w:r>
          </w:p>
        </w:tc>
      </w:tr>
      <w:tr w14:paraId="724428A9" w14:textId="77777777" w:rsidTr="00572C1D">
        <w:tblPrEx>
          <w:tblW w:w="13040" w:type="dxa"/>
          <w:tblLook w:val="04A0"/>
        </w:tblPrEx>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4C93E251" w14:textId="77777777">
            <w:pPr>
              <w:widowControl/>
              <w:autoSpaceDE/>
              <w:autoSpaceDN/>
              <w:adjustRightInd/>
              <w:rPr>
                <w:b/>
                <w:bCs/>
                <w:color w:val="000000"/>
                <w:sz w:val="20"/>
                <w:szCs w:val="20"/>
              </w:rPr>
            </w:pPr>
            <w:r w:rsidRPr="00C205CD">
              <w:rPr>
                <w:b/>
                <w:bCs/>
                <w:color w:val="000000"/>
                <w:sz w:val="20"/>
                <w:szCs w:val="20"/>
              </w:rPr>
              <w:t>Government:</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1728B4D0" w14:textId="77777777">
            <w:pPr>
              <w:widowControl/>
              <w:autoSpaceDE/>
              <w:autoSpaceDN/>
              <w:adjustRightInd/>
              <w:rPr>
                <w:color w:val="000000"/>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34959D4B" w14:textId="77777777">
            <w:pPr>
              <w:widowControl/>
              <w:autoSpaceDE/>
              <w:autoSpaceDN/>
              <w:adjustRightInd/>
              <w:rPr>
                <w:color w:val="000000"/>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7BD58BA2" w14:textId="77777777">
            <w:pPr>
              <w:widowControl/>
              <w:autoSpaceDE/>
              <w:autoSpaceDN/>
              <w:adjustRightInd/>
              <w:rPr>
                <w:color w:val="000000"/>
                <w:sz w:val="20"/>
                <w:szCs w:val="20"/>
              </w:rPr>
            </w:pP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4357A966" w14:textId="77777777">
            <w:pPr>
              <w:widowControl/>
              <w:autoSpaceDE/>
              <w:autoSpaceDN/>
              <w:adjustRightInd/>
              <w:rPr>
                <w:color w:val="000000"/>
                <w:sz w:val="20"/>
                <w:szCs w:val="20"/>
              </w:rPr>
            </w:pP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44690661" w14:textId="77777777">
            <w:pPr>
              <w:widowControl/>
              <w:autoSpaceDE/>
              <w:autoSpaceDN/>
              <w:adjustRightInd/>
              <w:rPr>
                <w:color w:val="000000"/>
                <w:sz w:val="20"/>
                <w:szCs w:val="20"/>
              </w:rPr>
            </w:pPr>
          </w:p>
        </w:tc>
      </w:tr>
      <w:tr w14:paraId="36D3D5A0" w14:textId="77777777" w:rsidTr="00572C1D">
        <w:tblPrEx>
          <w:tblW w:w="13040" w:type="dxa"/>
          <w:tblLook w:val="04A0"/>
        </w:tblPrEx>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3A29FD46" w14:textId="77777777">
            <w:pPr>
              <w:widowControl/>
              <w:autoSpaceDE/>
              <w:autoSpaceDN/>
              <w:adjustRightInd/>
              <w:rPr>
                <w:color w:val="000000"/>
                <w:sz w:val="20"/>
                <w:szCs w:val="20"/>
              </w:rPr>
            </w:pPr>
            <w:r w:rsidRPr="00C205CD">
              <w:rPr>
                <w:color w:val="000000"/>
                <w:sz w:val="20"/>
                <w:szCs w:val="20"/>
              </w:rPr>
              <w:t>Labor Costs</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1F9" w:rsidRPr="00C205CD" w:rsidP="00B6448B" w14:paraId="5F948912" w14:textId="10340A68">
            <w:pPr>
              <w:widowControl/>
              <w:autoSpaceDE/>
              <w:autoSpaceDN/>
              <w:adjustRightInd/>
              <w:jc w:val="right"/>
              <w:rPr>
                <w:color w:val="000000"/>
                <w:sz w:val="20"/>
                <w:szCs w:val="20"/>
              </w:rPr>
            </w:pPr>
          </w:p>
          <w:p w:rsidR="00361393" w:rsidRPr="00C205CD" w:rsidP="00B6448B" w14:paraId="6ACC7C9F" w14:textId="3E7170D0">
            <w:pPr>
              <w:widowControl/>
              <w:autoSpaceDE/>
              <w:autoSpaceDN/>
              <w:adjustRightInd/>
              <w:jc w:val="right"/>
              <w:rPr>
                <w:color w:val="000000"/>
                <w:sz w:val="20"/>
                <w:szCs w:val="20"/>
              </w:rPr>
            </w:pPr>
            <w:r w:rsidRPr="00C205CD">
              <w:rPr>
                <w:color w:val="000000"/>
                <w:sz w:val="20"/>
                <w:szCs w:val="20"/>
              </w:rPr>
              <w:t>$</w:t>
            </w:r>
            <w:r w:rsidRPr="00C205CD" w:rsidR="007261DE">
              <w:rPr>
                <w:color w:val="000000"/>
                <w:sz w:val="20"/>
                <w:szCs w:val="20"/>
              </w:rPr>
              <w:t>4,62</w:t>
            </w:r>
            <w:r w:rsidRPr="00C205CD" w:rsidR="00751F24">
              <w:rPr>
                <w:color w:val="000000"/>
                <w:sz w:val="20"/>
                <w:szCs w:val="20"/>
              </w:rPr>
              <w:t>3</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1F9" w:rsidRPr="00C205CD" w:rsidP="00B6448B" w14:paraId="674B3C12" w14:textId="377FEF01">
            <w:pPr>
              <w:widowControl/>
              <w:autoSpaceDE/>
              <w:autoSpaceDN/>
              <w:adjustRightInd/>
              <w:jc w:val="right"/>
              <w:rPr>
                <w:color w:val="000000"/>
                <w:sz w:val="20"/>
                <w:szCs w:val="20"/>
              </w:rPr>
            </w:pPr>
          </w:p>
          <w:p w:rsidR="00361393" w:rsidRPr="00C205CD" w:rsidP="00B6448B" w14:paraId="381BDC64" w14:textId="2101A2E5">
            <w:pPr>
              <w:widowControl/>
              <w:autoSpaceDE/>
              <w:autoSpaceDN/>
              <w:adjustRightInd/>
              <w:jc w:val="right"/>
              <w:rPr>
                <w:color w:val="000000"/>
                <w:sz w:val="20"/>
                <w:szCs w:val="20"/>
              </w:rPr>
            </w:pPr>
            <w:r w:rsidRPr="00C205CD">
              <w:rPr>
                <w:color w:val="000000"/>
                <w:sz w:val="20"/>
                <w:szCs w:val="20"/>
              </w:rPr>
              <w:t>$</w:t>
            </w:r>
            <w:r w:rsidRPr="00C205CD" w:rsidR="00DE35A3">
              <w:rPr>
                <w:color w:val="000000"/>
                <w:sz w:val="20"/>
                <w:szCs w:val="20"/>
              </w:rPr>
              <w:t>1,263</w:t>
            </w:r>
            <w:r w:rsidRPr="00C205CD">
              <w:rPr>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1F9" w:rsidRPr="00C205CD" w:rsidP="00B6448B" w14:paraId="62CF6168" w14:textId="4200CE2F">
            <w:pPr>
              <w:widowControl/>
              <w:autoSpaceDE/>
              <w:autoSpaceDN/>
              <w:adjustRightInd/>
              <w:jc w:val="right"/>
              <w:rPr>
                <w:color w:val="000000"/>
                <w:sz w:val="20"/>
                <w:szCs w:val="20"/>
              </w:rPr>
            </w:pPr>
          </w:p>
          <w:p w:rsidR="00361393" w:rsidRPr="00C205CD" w:rsidP="00B6448B" w14:paraId="4B84C89E" w14:textId="56D30208">
            <w:pPr>
              <w:widowControl/>
              <w:autoSpaceDE/>
              <w:autoSpaceDN/>
              <w:adjustRightInd/>
              <w:jc w:val="right"/>
              <w:rPr>
                <w:color w:val="000000"/>
                <w:sz w:val="20"/>
                <w:szCs w:val="20"/>
              </w:rPr>
            </w:pPr>
            <w:r w:rsidRPr="00C205CD">
              <w:rPr>
                <w:color w:val="000000"/>
                <w:sz w:val="20"/>
                <w:szCs w:val="20"/>
              </w:rPr>
              <w:t>$</w:t>
            </w:r>
            <w:r w:rsidRPr="00C205CD" w:rsidR="00473A61">
              <w:rPr>
                <w:color w:val="000000"/>
                <w:sz w:val="20"/>
                <w:szCs w:val="20"/>
              </w:rPr>
              <w:t>19</w:t>
            </w:r>
            <w:r w:rsidRPr="00C205CD" w:rsidR="00751F24">
              <w:rPr>
                <w:color w:val="000000"/>
                <w:sz w:val="20"/>
                <w:szCs w:val="20"/>
              </w:rPr>
              <w:t>8</w:t>
            </w:r>
            <w:r w:rsidRPr="00C205CD">
              <w:rPr>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21F9" w:rsidRPr="00C205CD" w:rsidP="00B6448B" w14:paraId="6DE17716" w14:textId="33F2AC3A">
            <w:pPr>
              <w:widowControl/>
              <w:autoSpaceDE/>
              <w:autoSpaceDN/>
              <w:adjustRightInd/>
              <w:jc w:val="right"/>
              <w:rPr>
                <w:color w:val="000000"/>
                <w:sz w:val="20"/>
                <w:szCs w:val="20"/>
              </w:rPr>
            </w:pPr>
          </w:p>
          <w:p w:rsidR="00361393" w:rsidRPr="00C205CD" w:rsidP="00B6448B" w14:paraId="126412D4" w14:textId="7801DABF">
            <w:pPr>
              <w:widowControl/>
              <w:autoSpaceDE/>
              <w:autoSpaceDN/>
              <w:adjustRightInd/>
              <w:jc w:val="right"/>
              <w:rPr>
                <w:color w:val="000000"/>
                <w:sz w:val="20"/>
                <w:szCs w:val="20"/>
              </w:rPr>
            </w:pPr>
            <w:r w:rsidRPr="00C205CD">
              <w:rPr>
                <w:color w:val="000000"/>
                <w:sz w:val="20"/>
                <w:szCs w:val="20"/>
              </w:rPr>
              <w:t>$</w:t>
            </w:r>
            <w:r w:rsidRPr="00C205CD" w:rsidR="00473A61">
              <w:rPr>
                <w:color w:val="000000"/>
                <w:sz w:val="20"/>
                <w:szCs w:val="20"/>
              </w:rPr>
              <w:t>19</w:t>
            </w:r>
            <w:r w:rsidRPr="00C205CD" w:rsidR="00751F24">
              <w:rPr>
                <w:color w:val="000000"/>
                <w:sz w:val="20"/>
                <w:szCs w:val="20"/>
              </w:rPr>
              <w:t>8</w:t>
            </w:r>
            <w:r w:rsidRPr="00C205CD">
              <w:rPr>
                <w:color w:val="000000"/>
                <w:sz w:val="20"/>
                <w:szCs w:val="20"/>
              </w:rPr>
              <w:t xml:space="preserve"> </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74539910" w14:textId="77777777">
            <w:pPr>
              <w:widowControl/>
              <w:autoSpaceDE/>
              <w:autoSpaceDN/>
              <w:adjustRightInd/>
              <w:rPr>
                <w:color w:val="000000"/>
                <w:sz w:val="20"/>
                <w:szCs w:val="20"/>
              </w:rPr>
            </w:pPr>
          </w:p>
        </w:tc>
      </w:tr>
      <w:tr w14:paraId="6A208AA3" w14:textId="77777777" w:rsidTr="00572C1D">
        <w:tblPrEx>
          <w:tblW w:w="13040" w:type="dxa"/>
          <w:tblLook w:val="04A0"/>
        </w:tblPrEx>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68D82F34" w14:textId="7FC60E06">
            <w:pPr>
              <w:widowControl/>
              <w:autoSpaceDE/>
              <w:autoSpaceDN/>
              <w:adjustRightInd/>
              <w:rPr>
                <w:color w:val="000000"/>
                <w:sz w:val="20"/>
                <w:szCs w:val="20"/>
                <w:u w:val="single"/>
              </w:rPr>
            </w:pPr>
            <w:r w:rsidRPr="00C205CD">
              <w:rPr>
                <w:color w:val="000000"/>
                <w:sz w:val="20"/>
                <w:szCs w:val="20"/>
                <w:u w:val="single"/>
              </w:rPr>
              <w:t xml:space="preserve"> x </w:t>
            </w:r>
            <w:r w:rsidRPr="00C205CD" w:rsidR="006321F9">
              <w:rPr>
                <w:color w:val="000000"/>
                <w:sz w:val="20"/>
                <w:szCs w:val="20"/>
                <w:u w:val="single"/>
              </w:rPr>
              <w:t>36</w:t>
            </w:r>
            <w:r w:rsidRPr="00C205CD">
              <w:rPr>
                <w:color w:val="000000"/>
                <w:sz w:val="20"/>
                <w:szCs w:val="20"/>
                <w:u w:val="single"/>
              </w:rPr>
              <w:t>.1% Benefits</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002043B4" w14:textId="6C14FE07">
            <w:pPr>
              <w:widowControl/>
              <w:autoSpaceDE/>
              <w:autoSpaceDN/>
              <w:adjustRightInd/>
              <w:jc w:val="right"/>
              <w:rPr>
                <w:color w:val="000000"/>
                <w:sz w:val="20"/>
                <w:szCs w:val="20"/>
                <w:u w:val="single"/>
              </w:rPr>
            </w:pPr>
            <w:r w:rsidRPr="00C205CD">
              <w:rPr>
                <w:color w:val="000000"/>
                <w:sz w:val="20"/>
                <w:szCs w:val="20"/>
                <w:u w:val="single"/>
              </w:rPr>
              <w:t>1.361</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202CB1F4" w14:textId="7C624A80">
            <w:pPr>
              <w:widowControl/>
              <w:autoSpaceDE/>
              <w:autoSpaceDN/>
              <w:adjustRightInd/>
              <w:jc w:val="right"/>
              <w:rPr>
                <w:color w:val="000000"/>
                <w:sz w:val="20"/>
                <w:szCs w:val="20"/>
                <w:u w:val="single"/>
              </w:rPr>
            </w:pPr>
            <w:r w:rsidRPr="00C205CD">
              <w:rPr>
                <w:color w:val="000000"/>
                <w:sz w:val="20"/>
                <w:szCs w:val="20"/>
                <w:u w:val="single"/>
              </w:rPr>
              <w:t>1.361</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1D13CE48" w14:textId="61D1095C">
            <w:pPr>
              <w:widowControl/>
              <w:autoSpaceDE/>
              <w:autoSpaceDN/>
              <w:adjustRightInd/>
              <w:jc w:val="right"/>
              <w:rPr>
                <w:color w:val="000000"/>
                <w:sz w:val="20"/>
                <w:szCs w:val="20"/>
                <w:u w:val="single"/>
              </w:rPr>
            </w:pPr>
            <w:r w:rsidRPr="00C205CD">
              <w:rPr>
                <w:color w:val="000000"/>
                <w:sz w:val="20"/>
                <w:szCs w:val="20"/>
                <w:u w:val="single"/>
              </w:rPr>
              <w:t>1.361</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62D85EA1" w14:textId="2B60E7D0">
            <w:pPr>
              <w:widowControl/>
              <w:autoSpaceDE/>
              <w:autoSpaceDN/>
              <w:adjustRightInd/>
              <w:jc w:val="right"/>
              <w:rPr>
                <w:color w:val="000000"/>
                <w:sz w:val="20"/>
                <w:szCs w:val="20"/>
                <w:u w:val="single"/>
              </w:rPr>
            </w:pPr>
            <w:r w:rsidRPr="00C205CD">
              <w:rPr>
                <w:color w:val="000000"/>
                <w:sz w:val="20"/>
                <w:szCs w:val="20"/>
                <w:u w:val="single"/>
              </w:rPr>
              <w:t>1.361</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5A7E0CF2" w14:textId="77777777">
            <w:pPr>
              <w:widowControl/>
              <w:autoSpaceDE/>
              <w:autoSpaceDN/>
              <w:adjustRightInd/>
              <w:rPr>
                <w:color w:val="000000"/>
                <w:sz w:val="20"/>
                <w:szCs w:val="20"/>
              </w:rPr>
            </w:pPr>
          </w:p>
        </w:tc>
      </w:tr>
      <w:tr w14:paraId="2956E098" w14:textId="77777777" w:rsidTr="00572C1D">
        <w:tblPrEx>
          <w:tblW w:w="13040" w:type="dxa"/>
          <w:tblLook w:val="04A0"/>
        </w:tblPrEx>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1393" w:rsidRPr="00C205CD" w:rsidP="00B6448B" w14:paraId="0372926C" w14:textId="6E232B53">
            <w:pPr>
              <w:widowControl/>
              <w:autoSpaceDE/>
              <w:autoSpaceDN/>
              <w:adjustRightInd/>
              <w:rPr>
                <w:color w:val="000000"/>
                <w:sz w:val="20"/>
                <w:szCs w:val="20"/>
              </w:rPr>
            </w:pPr>
            <w:r w:rsidRPr="00C205CD">
              <w:rPr>
                <w:color w:val="000000"/>
                <w:sz w:val="20"/>
                <w:szCs w:val="20"/>
              </w:rPr>
              <w:t>Total Labor Costs per Consultation</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1F9" w:rsidRPr="00C205CD" w:rsidP="00BA1F1C" w14:paraId="65FD0A2E" w14:textId="63F53BB1">
            <w:pPr>
              <w:widowControl/>
              <w:autoSpaceDE/>
              <w:autoSpaceDN/>
              <w:adjustRightInd/>
              <w:jc w:val="right"/>
              <w:rPr>
                <w:b/>
                <w:bCs/>
                <w:color w:val="000000"/>
                <w:sz w:val="20"/>
                <w:szCs w:val="20"/>
              </w:rPr>
            </w:pPr>
          </w:p>
          <w:p w:rsidR="00361393" w:rsidRPr="00C205CD" w:rsidP="00BA1F1C" w14:paraId="06605FB7" w14:textId="3541A9E9">
            <w:pPr>
              <w:widowControl/>
              <w:autoSpaceDE/>
              <w:autoSpaceDN/>
              <w:adjustRightInd/>
              <w:jc w:val="right"/>
              <w:rPr>
                <w:b/>
                <w:bCs/>
                <w:color w:val="000000"/>
                <w:sz w:val="20"/>
                <w:szCs w:val="20"/>
              </w:rPr>
            </w:pPr>
            <w:r w:rsidRPr="00C205CD">
              <w:rPr>
                <w:b/>
                <w:bCs/>
                <w:color w:val="000000"/>
                <w:sz w:val="20"/>
                <w:szCs w:val="20"/>
              </w:rPr>
              <w:t>$</w:t>
            </w:r>
            <w:r w:rsidRPr="00C205CD" w:rsidR="007261DE">
              <w:rPr>
                <w:b/>
                <w:bCs/>
                <w:color w:val="000000"/>
                <w:sz w:val="20"/>
                <w:szCs w:val="20"/>
              </w:rPr>
              <w:t>6,2</w:t>
            </w:r>
            <w:r w:rsidRPr="00C205CD" w:rsidR="00304688">
              <w:rPr>
                <w:b/>
                <w:bCs/>
                <w:color w:val="000000"/>
                <w:sz w:val="20"/>
                <w:szCs w:val="20"/>
              </w:rPr>
              <w:t>9</w:t>
            </w:r>
            <w:r w:rsidRPr="00C205CD" w:rsidR="00751F24">
              <w:rPr>
                <w:b/>
                <w:bCs/>
                <w:color w:val="000000"/>
                <w:sz w:val="20"/>
                <w:szCs w:val="20"/>
              </w:rPr>
              <w:t>2</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1F9" w:rsidRPr="00C205CD" w:rsidP="00BE29C1" w14:paraId="0BFDA176" w14:textId="5ECE5D55">
            <w:pPr>
              <w:widowControl/>
              <w:autoSpaceDE/>
              <w:autoSpaceDN/>
              <w:adjustRightInd/>
              <w:jc w:val="right"/>
              <w:rPr>
                <w:b/>
                <w:bCs/>
                <w:color w:val="000000" w:themeColor="text1"/>
                <w:sz w:val="20"/>
                <w:szCs w:val="20"/>
              </w:rPr>
            </w:pPr>
          </w:p>
          <w:p w:rsidR="00361393" w:rsidRPr="00C205CD" w:rsidP="00BE29C1" w14:paraId="0F05622B" w14:textId="4582DB6A">
            <w:pPr>
              <w:widowControl/>
              <w:autoSpaceDE/>
              <w:autoSpaceDN/>
              <w:adjustRightInd/>
              <w:jc w:val="right"/>
              <w:rPr>
                <w:b/>
                <w:bCs/>
                <w:color w:val="000000"/>
                <w:sz w:val="20"/>
                <w:szCs w:val="20"/>
              </w:rPr>
            </w:pPr>
            <w:r w:rsidRPr="00C205CD">
              <w:rPr>
                <w:b/>
                <w:bCs/>
                <w:color w:val="000000" w:themeColor="text1"/>
                <w:sz w:val="20"/>
                <w:szCs w:val="20"/>
              </w:rPr>
              <w:t>$</w:t>
            </w:r>
            <w:r w:rsidRPr="00C205CD" w:rsidR="00DE35A3">
              <w:rPr>
                <w:b/>
                <w:bCs/>
                <w:color w:val="000000" w:themeColor="text1"/>
                <w:sz w:val="20"/>
                <w:szCs w:val="20"/>
              </w:rPr>
              <w:t>1,719</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1F9" w:rsidRPr="00C205CD" w:rsidP="006321F9" w14:paraId="720D260A" w14:textId="2DDF79A5">
            <w:pPr>
              <w:widowControl/>
              <w:autoSpaceDE/>
              <w:autoSpaceDN/>
              <w:adjustRightInd/>
              <w:jc w:val="right"/>
              <w:rPr>
                <w:b/>
                <w:bCs/>
                <w:color w:val="000000"/>
                <w:sz w:val="20"/>
                <w:szCs w:val="20"/>
              </w:rPr>
            </w:pPr>
          </w:p>
          <w:p w:rsidR="00361393" w:rsidRPr="00C205CD" w:rsidP="006321F9" w14:paraId="18329EE8" w14:textId="482852EA">
            <w:pPr>
              <w:widowControl/>
              <w:autoSpaceDE/>
              <w:autoSpaceDN/>
              <w:adjustRightInd/>
              <w:jc w:val="right"/>
              <w:rPr>
                <w:b/>
                <w:bCs/>
                <w:color w:val="000000"/>
                <w:sz w:val="20"/>
                <w:szCs w:val="20"/>
              </w:rPr>
            </w:pPr>
            <w:r w:rsidRPr="00C205CD">
              <w:rPr>
                <w:b/>
                <w:bCs/>
                <w:color w:val="000000"/>
                <w:sz w:val="20"/>
                <w:szCs w:val="20"/>
              </w:rPr>
              <w:t>$</w:t>
            </w:r>
            <w:r w:rsidRPr="00C205CD" w:rsidR="00473A61">
              <w:rPr>
                <w:b/>
                <w:bCs/>
                <w:color w:val="000000"/>
                <w:sz w:val="20"/>
                <w:szCs w:val="20"/>
              </w:rPr>
              <w:t>269</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321F9" w:rsidRPr="00C205CD" w:rsidP="00B6448B" w14:paraId="4C0B2D1C" w14:textId="714A7AC4">
            <w:pPr>
              <w:widowControl/>
              <w:autoSpaceDE/>
              <w:autoSpaceDN/>
              <w:adjustRightInd/>
              <w:jc w:val="right"/>
              <w:rPr>
                <w:b/>
                <w:bCs/>
                <w:color w:val="000000"/>
                <w:sz w:val="20"/>
                <w:szCs w:val="20"/>
              </w:rPr>
            </w:pPr>
          </w:p>
          <w:p w:rsidR="00361393" w:rsidRPr="00C205CD" w:rsidP="00B6448B" w14:paraId="61EE76BD" w14:textId="4E01B9F1">
            <w:pPr>
              <w:widowControl/>
              <w:autoSpaceDE/>
              <w:autoSpaceDN/>
              <w:adjustRightInd/>
              <w:jc w:val="right"/>
              <w:rPr>
                <w:b/>
                <w:bCs/>
                <w:color w:val="000000"/>
                <w:sz w:val="20"/>
                <w:szCs w:val="20"/>
              </w:rPr>
            </w:pPr>
            <w:r w:rsidRPr="00C205CD">
              <w:rPr>
                <w:b/>
                <w:bCs/>
                <w:color w:val="000000"/>
                <w:sz w:val="20"/>
                <w:szCs w:val="20"/>
              </w:rPr>
              <w:t>$</w:t>
            </w:r>
            <w:r w:rsidRPr="00C205CD" w:rsidR="00473A61">
              <w:rPr>
                <w:b/>
                <w:bCs/>
                <w:color w:val="000000"/>
                <w:sz w:val="20"/>
                <w:szCs w:val="20"/>
              </w:rPr>
              <w:t>269</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60FA6563" w14:textId="77777777">
            <w:pPr>
              <w:widowControl/>
              <w:autoSpaceDE/>
              <w:autoSpaceDN/>
              <w:adjustRightInd/>
              <w:rPr>
                <w:color w:val="000000"/>
                <w:sz w:val="20"/>
                <w:szCs w:val="20"/>
              </w:rPr>
            </w:pPr>
          </w:p>
        </w:tc>
      </w:tr>
      <w:tr w14:paraId="312A7746" w14:textId="77777777" w:rsidTr="00572C1D">
        <w:tblPrEx>
          <w:tblW w:w="13040" w:type="dxa"/>
          <w:tblLook w:val="04A0"/>
        </w:tblPrEx>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1393" w:rsidRPr="00C205CD" w:rsidP="00B6448B" w14:paraId="3FB781A9" w14:textId="577AAED2">
            <w:pPr>
              <w:widowControl/>
              <w:autoSpaceDE/>
              <w:autoSpaceDN/>
              <w:adjustRightInd/>
              <w:rPr>
                <w:color w:val="000000"/>
                <w:sz w:val="20"/>
                <w:szCs w:val="20"/>
              </w:rPr>
            </w:pPr>
            <w:r w:rsidRPr="00C205CD">
              <w:rPr>
                <w:color w:val="000000"/>
                <w:sz w:val="20"/>
                <w:szCs w:val="20"/>
              </w:rPr>
              <w:t xml:space="preserve">x Number of Consultation </w:t>
            </w:r>
            <w:r w:rsidRPr="00C205CD" w:rsidR="001F09B1">
              <w:rPr>
                <w:color w:val="000000"/>
                <w:sz w:val="20"/>
                <w:szCs w:val="20"/>
              </w:rPr>
              <w:t>p</w:t>
            </w:r>
            <w:r w:rsidRPr="00C205CD">
              <w:rPr>
                <w:color w:val="000000"/>
                <w:sz w:val="20"/>
                <w:szCs w:val="20"/>
              </w:rPr>
              <w:t>rograms</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75A96932" w14:textId="77777777">
            <w:pPr>
              <w:widowControl/>
              <w:autoSpaceDE/>
              <w:autoSpaceDN/>
              <w:adjustRightInd/>
              <w:jc w:val="right"/>
              <w:rPr>
                <w:color w:val="000000"/>
                <w:sz w:val="20"/>
                <w:szCs w:val="20"/>
              </w:rPr>
            </w:pPr>
            <w:r w:rsidRPr="00C205CD">
              <w:rPr>
                <w:color w:val="000000"/>
                <w:sz w:val="20"/>
                <w:szCs w:val="20"/>
              </w:rPr>
              <w:t>53</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0156A849" w14:textId="77777777">
            <w:pPr>
              <w:widowControl/>
              <w:autoSpaceDE/>
              <w:autoSpaceDN/>
              <w:adjustRightInd/>
              <w:jc w:val="right"/>
              <w:rPr>
                <w:color w:val="000000"/>
                <w:sz w:val="20"/>
                <w:szCs w:val="20"/>
              </w:rPr>
            </w:pPr>
            <w:r w:rsidRPr="00C205CD">
              <w:rPr>
                <w:color w:val="000000"/>
                <w:sz w:val="20"/>
                <w:szCs w:val="20"/>
              </w:rPr>
              <w:t>53</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172BA0D5" w14:textId="77777777">
            <w:pPr>
              <w:widowControl/>
              <w:autoSpaceDE/>
              <w:autoSpaceDN/>
              <w:adjustRightInd/>
              <w:jc w:val="right"/>
              <w:rPr>
                <w:color w:val="000000"/>
                <w:sz w:val="20"/>
                <w:szCs w:val="20"/>
              </w:rPr>
            </w:pPr>
            <w:r w:rsidRPr="00C205CD">
              <w:rPr>
                <w:color w:val="000000"/>
                <w:sz w:val="20"/>
                <w:szCs w:val="20"/>
              </w:rPr>
              <w:t>53</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7496BD11" w14:textId="77777777">
            <w:pPr>
              <w:widowControl/>
              <w:autoSpaceDE/>
              <w:autoSpaceDN/>
              <w:adjustRightInd/>
              <w:jc w:val="right"/>
              <w:rPr>
                <w:color w:val="000000"/>
                <w:sz w:val="20"/>
                <w:szCs w:val="20"/>
              </w:rPr>
            </w:pPr>
            <w:r w:rsidRPr="00C205CD">
              <w:rPr>
                <w:color w:val="000000"/>
                <w:sz w:val="20"/>
                <w:szCs w:val="20"/>
              </w:rPr>
              <w:t>53</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1AC5CDBE" w14:textId="77777777">
            <w:pPr>
              <w:widowControl/>
              <w:autoSpaceDE/>
              <w:autoSpaceDN/>
              <w:adjustRightInd/>
              <w:rPr>
                <w:color w:val="000000"/>
                <w:sz w:val="20"/>
                <w:szCs w:val="20"/>
              </w:rPr>
            </w:pPr>
          </w:p>
        </w:tc>
      </w:tr>
      <w:tr w14:paraId="6565A2DF" w14:textId="77777777" w:rsidTr="00572C1D">
        <w:tblPrEx>
          <w:tblW w:w="13040" w:type="dxa"/>
          <w:tblLook w:val="04A0"/>
        </w:tblPrEx>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4A0ABE4E" w14:textId="77777777">
            <w:pPr>
              <w:widowControl/>
              <w:autoSpaceDE/>
              <w:autoSpaceDN/>
              <w:adjustRightInd/>
              <w:rPr>
                <w:color w:val="000000"/>
                <w:sz w:val="20"/>
                <w:szCs w:val="20"/>
              </w:rPr>
            </w:pPr>
            <w:r w:rsidRPr="00C205CD">
              <w:rPr>
                <w:color w:val="000000"/>
                <w:sz w:val="20"/>
                <w:szCs w:val="20"/>
              </w:rPr>
              <w:t>Subtotals</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0B8A64DA" w14:textId="334731B6">
            <w:pPr>
              <w:widowControl/>
              <w:autoSpaceDE/>
              <w:autoSpaceDN/>
              <w:adjustRightInd/>
              <w:jc w:val="right"/>
              <w:rPr>
                <w:color w:val="000000"/>
                <w:sz w:val="20"/>
                <w:szCs w:val="20"/>
              </w:rPr>
            </w:pPr>
            <w:r w:rsidRPr="00C205CD">
              <w:rPr>
                <w:color w:val="000000"/>
                <w:sz w:val="20"/>
                <w:szCs w:val="20"/>
              </w:rPr>
              <w:t>$</w:t>
            </w:r>
            <w:r w:rsidRPr="00C205CD" w:rsidR="007261DE">
              <w:rPr>
                <w:color w:val="000000"/>
                <w:sz w:val="20"/>
                <w:szCs w:val="20"/>
              </w:rPr>
              <w:t>333,456</w:t>
            </w:r>
            <w:r w:rsidRPr="00C205CD">
              <w:rPr>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5B6690C4" w14:textId="4D4AE0D1">
            <w:pPr>
              <w:widowControl/>
              <w:autoSpaceDE/>
              <w:autoSpaceDN/>
              <w:adjustRightInd/>
              <w:jc w:val="right"/>
              <w:rPr>
                <w:color w:val="000000"/>
                <w:sz w:val="20"/>
                <w:szCs w:val="20"/>
              </w:rPr>
            </w:pPr>
            <w:r w:rsidRPr="00C205CD">
              <w:rPr>
                <w:color w:val="000000"/>
                <w:sz w:val="20"/>
                <w:szCs w:val="20"/>
              </w:rPr>
              <w:t>$</w:t>
            </w:r>
            <w:r w:rsidRPr="00C205CD" w:rsidR="00DE35A3">
              <w:rPr>
                <w:color w:val="000000"/>
                <w:sz w:val="20"/>
                <w:szCs w:val="20"/>
              </w:rPr>
              <w:t>91,124</w:t>
            </w:r>
            <w:r w:rsidRPr="00C205CD">
              <w:rPr>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2039374A" w14:textId="4C9F99A0">
            <w:pPr>
              <w:widowControl/>
              <w:autoSpaceDE/>
              <w:autoSpaceDN/>
              <w:adjustRightInd/>
              <w:jc w:val="right"/>
              <w:rPr>
                <w:color w:val="000000"/>
                <w:sz w:val="20"/>
                <w:szCs w:val="20"/>
              </w:rPr>
            </w:pPr>
            <w:r w:rsidRPr="00C205CD">
              <w:rPr>
                <w:color w:val="000000"/>
                <w:sz w:val="20"/>
                <w:szCs w:val="20"/>
              </w:rPr>
              <w:t>$</w:t>
            </w:r>
            <w:r w:rsidRPr="00C205CD" w:rsidR="00473A61">
              <w:rPr>
                <w:color w:val="000000"/>
                <w:sz w:val="20"/>
                <w:szCs w:val="20"/>
              </w:rPr>
              <w:t>14,27</w:t>
            </w:r>
            <w:r w:rsidRPr="00C205CD" w:rsidR="00AC0228">
              <w:rPr>
                <w:color w:val="000000"/>
                <w:sz w:val="20"/>
                <w:szCs w:val="20"/>
              </w:rPr>
              <w:t>7</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10166D2C" w14:textId="21D577F4">
            <w:pPr>
              <w:widowControl/>
              <w:autoSpaceDE/>
              <w:autoSpaceDN/>
              <w:adjustRightInd/>
              <w:jc w:val="right"/>
              <w:rPr>
                <w:color w:val="000000"/>
                <w:sz w:val="20"/>
                <w:szCs w:val="20"/>
              </w:rPr>
            </w:pPr>
            <w:r w:rsidRPr="00C205CD">
              <w:rPr>
                <w:color w:val="000000" w:themeColor="text1"/>
                <w:sz w:val="20"/>
                <w:szCs w:val="20"/>
              </w:rPr>
              <w:t>$</w:t>
            </w:r>
            <w:r w:rsidRPr="00C205CD" w:rsidR="00473A61">
              <w:rPr>
                <w:color w:val="000000" w:themeColor="text1"/>
                <w:sz w:val="20"/>
                <w:szCs w:val="20"/>
              </w:rPr>
              <w:t>14,27</w:t>
            </w:r>
            <w:r w:rsidRPr="00C205CD" w:rsidR="00AC0228">
              <w:rPr>
                <w:color w:val="000000" w:themeColor="text1"/>
                <w:sz w:val="20"/>
                <w:szCs w:val="20"/>
              </w:rPr>
              <w:t>7</w:t>
            </w:r>
            <w:r w:rsidRPr="00C205CD">
              <w:rPr>
                <w:color w:val="000000" w:themeColor="text1"/>
                <w:sz w:val="20"/>
                <w:szCs w:val="20"/>
              </w:rPr>
              <w:t xml:space="preserve"> </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342D4C27" w14:textId="77777777">
            <w:pPr>
              <w:widowControl/>
              <w:autoSpaceDE/>
              <w:autoSpaceDN/>
              <w:adjustRightInd/>
              <w:rPr>
                <w:color w:val="000000"/>
                <w:sz w:val="20"/>
                <w:szCs w:val="20"/>
              </w:rPr>
            </w:pPr>
          </w:p>
        </w:tc>
      </w:tr>
      <w:tr w14:paraId="69686764" w14:textId="77777777" w:rsidTr="00572C1D">
        <w:tblPrEx>
          <w:tblW w:w="13040" w:type="dxa"/>
          <w:tblLook w:val="04A0"/>
        </w:tblPrEx>
        <w:trPr>
          <w:trHeight w:val="51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5F701A1C" w14:textId="77777777">
            <w:pPr>
              <w:widowControl/>
              <w:autoSpaceDE/>
              <w:autoSpaceDN/>
              <w:adjustRightInd/>
              <w:rPr>
                <w:color w:val="000000"/>
                <w:sz w:val="20"/>
                <w:szCs w:val="20"/>
              </w:rPr>
            </w:pPr>
            <w:r w:rsidRPr="00C205CD">
              <w:rPr>
                <w:color w:val="000000"/>
                <w:sz w:val="20"/>
                <w:szCs w:val="20"/>
              </w:rPr>
              <w:t xml:space="preserve"> x  Frequency</w:t>
            </w:r>
          </w:p>
        </w:tc>
        <w:tc>
          <w:tcPr>
            <w:tcW w:w="2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393" w:rsidRPr="00C205CD" w:rsidP="00B6448B" w14:paraId="062479EB" w14:textId="77777777">
            <w:pPr>
              <w:widowControl/>
              <w:autoSpaceDE/>
              <w:autoSpaceDN/>
              <w:adjustRightInd/>
              <w:jc w:val="right"/>
              <w:rPr>
                <w:color w:val="000000"/>
                <w:sz w:val="20"/>
                <w:szCs w:val="20"/>
              </w:rPr>
            </w:pPr>
            <w:r w:rsidRPr="00C205CD">
              <w:rPr>
                <w:color w:val="000000"/>
                <w:sz w:val="20"/>
                <w:szCs w:val="20"/>
              </w:rPr>
              <w:t>Every Two Years</w:t>
            </w:r>
          </w:p>
        </w:tc>
        <w:tc>
          <w:tcPr>
            <w:tcW w:w="20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1393" w:rsidRPr="00C205CD" w:rsidP="00B6448B" w14:paraId="21962B48" w14:textId="6EA09F00">
            <w:pPr>
              <w:widowControl/>
              <w:autoSpaceDE/>
              <w:autoSpaceDN/>
              <w:adjustRightInd/>
              <w:jc w:val="right"/>
              <w:rPr>
                <w:color w:val="000000"/>
                <w:sz w:val="20"/>
                <w:szCs w:val="20"/>
              </w:rPr>
            </w:pPr>
            <w:r w:rsidRPr="00C205CD">
              <w:rPr>
                <w:color w:val="000000"/>
                <w:sz w:val="20"/>
                <w:szCs w:val="20"/>
              </w:rPr>
              <w:t xml:space="preserve"> Every Two Years</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182DB2A9" w14:textId="77777777">
            <w:pPr>
              <w:widowControl/>
              <w:autoSpaceDE/>
              <w:autoSpaceDN/>
              <w:adjustRightInd/>
              <w:jc w:val="right"/>
              <w:rPr>
                <w:color w:val="000000"/>
                <w:sz w:val="20"/>
                <w:szCs w:val="20"/>
              </w:rPr>
            </w:pPr>
            <w:r w:rsidRPr="00C205CD">
              <w:rPr>
                <w:color w:val="000000"/>
                <w:sz w:val="20"/>
                <w:szCs w:val="20"/>
              </w:rPr>
              <w:t xml:space="preserve">Every Quarter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6448B" w14:paraId="6867D454" w14:textId="77777777">
            <w:pPr>
              <w:widowControl/>
              <w:autoSpaceDE/>
              <w:autoSpaceDN/>
              <w:adjustRightInd/>
              <w:jc w:val="right"/>
              <w:rPr>
                <w:color w:val="000000"/>
                <w:sz w:val="20"/>
                <w:szCs w:val="20"/>
              </w:rPr>
            </w:pPr>
            <w:r w:rsidRPr="00C205CD">
              <w:rPr>
                <w:color w:val="000000"/>
                <w:sz w:val="20"/>
                <w:szCs w:val="20"/>
              </w:rPr>
              <w:t>Yearly</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3572E399" w14:textId="77777777">
            <w:pPr>
              <w:widowControl/>
              <w:autoSpaceDE/>
              <w:autoSpaceDN/>
              <w:adjustRightInd/>
              <w:rPr>
                <w:color w:val="000000"/>
                <w:sz w:val="20"/>
                <w:szCs w:val="20"/>
              </w:rPr>
            </w:pPr>
          </w:p>
        </w:tc>
      </w:tr>
      <w:tr w14:paraId="08B8D90C" w14:textId="77777777" w:rsidTr="00572C1D">
        <w:tblPrEx>
          <w:tblW w:w="13040" w:type="dxa"/>
          <w:tblLook w:val="04A0"/>
        </w:tblPrEx>
        <w:trPr>
          <w:trHeight w:val="255"/>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B6448B" w14:paraId="0BF8237E" w14:textId="77777777">
            <w:pPr>
              <w:widowControl/>
              <w:autoSpaceDE/>
              <w:autoSpaceDN/>
              <w:adjustRightInd/>
              <w:rPr>
                <w:color w:val="000000"/>
                <w:sz w:val="20"/>
                <w:szCs w:val="20"/>
              </w:rPr>
            </w:pPr>
            <w:r w:rsidRPr="00C205CD">
              <w:rPr>
                <w:color w:val="000000"/>
                <w:sz w:val="20"/>
                <w:szCs w:val="20"/>
              </w:rPr>
              <w:t>Totals Rounded</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5425A409" w14:textId="1567838A">
            <w:pPr>
              <w:widowControl/>
              <w:autoSpaceDE/>
              <w:autoSpaceDN/>
              <w:adjustRightInd/>
              <w:jc w:val="right"/>
              <w:rPr>
                <w:b/>
                <w:bCs/>
                <w:color w:val="000000"/>
                <w:sz w:val="20"/>
                <w:szCs w:val="20"/>
              </w:rPr>
            </w:pPr>
            <w:r w:rsidRPr="00C205CD">
              <w:rPr>
                <w:b/>
                <w:bCs/>
                <w:color w:val="000000"/>
                <w:sz w:val="20"/>
                <w:szCs w:val="20"/>
              </w:rPr>
              <w:t>$</w:t>
            </w:r>
            <w:r w:rsidRPr="00C205CD" w:rsidR="007261DE">
              <w:rPr>
                <w:b/>
                <w:bCs/>
                <w:color w:val="000000"/>
                <w:sz w:val="20"/>
                <w:szCs w:val="20"/>
              </w:rPr>
              <w:t>166,728</w:t>
            </w:r>
            <w:r w:rsidRPr="00C205CD">
              <w:rPr>
                <w:b/>
                <w:bCs/>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BA1F1C" w14:paraId="7110C81F" w14:textId="3F2E0BF1">
            <w:pPr>
              <w:widowControl/>
              <w:autoSpaceDE/>
              <w:autoSpaceDN/>
              <w:adjustRightInd/>
              <w:jc w:val="right"/>
              <w:rPr>
                <w:b/>
                <w:bCs/>
                <w:color w:val="000000"/>
                <w:sz w:val="20"/>
                <w:szCs w:val="20"/>
              </w:rPr>
            </w:pPr>
            <w:r w:rsidRPr="00C205CD">
              <w:rPr>
                <w:b/>
                <w:bCs/>
                <w:color w:val="000000"/>
                <w:sz w:val="20"/>
                <w:szCs w:val="20"/>
              </w:rPr>
              <w:t>$</w:t>
            </w:r>
            <w:r w:rsidRPr="00C205CD" w:rsidR="00DE35A3">
              <w:rPr>
                <w:b/>
                <w:bCs/>
                <w:color w:val="000000"/>
                <w:sz w:val="20"/>
                <w:szCs w:val="20"/>
              </w:rPr>
              <w:t>45,562</w:t>
            </w:r>
            <w:r w:rsidRPr="00C205CD">
              <w:rPr>
                <w:b/>
                <w:bCs/>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2A1471" w14:paraId="1D1E6BA9" w14:textId="648CE8FA">
            <w:pPr>
              <w:widowControl/>
              <w:autoSpaceDE/>
              <w:autoSpaceDN/>
              <w:adjustRightInd/>
              <w:jc w:val="right"/>
              <w:rPr>
                <w:b/>
                <w:bCs/>
                <w:color w:val="000000"/>
                <w:sz w:val="20"/>
                <w:szCs w:val="20"/>
              </w:rPr>
            </w:pPr>
            <w:r w:rsidRPr="00C205CD">
              <w:rPr>
                <w:b/>
                <w:bCs/>
                <w:color w:val="000000"/>
                <w:sz w:val="20"/>
                <w:szCs w:val="20"/>
              </w:rPr>
              <w:t>$</w:t>
            </w:r>
            <w:r w:rsidRPr="00C205CD" w:rsidR="00473A61">
              <w:rPr>
                <w:b/>
                <w:bCs/>
                <w:color w:val="000000"/>
                <w:sz w:val="20"/>
                <w:szCs w:val="20"/>
              </w:rPr>
              <w:t>7,138</w:t>
            </w:r>
            <w:r w:rsidRPr="00C205CD">
              <w:rPr>
                <w:b/>
                <w:bCs/>
                <w:color w:val="000000"/>
                <w:sz w:val="20"/>
                <w:szCs w:val="20"/>
              </w:rPr>
              <w:t xml:space="preserve"> </w:t>
            </w:r>
          </w:p>
        </w:tc>
        <w:tc>
          <w:tcPr>
            <w:tcW w:w="2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1393" w:rsidRPr="00C205CD" w:rsidP="002A1471" w14:paraId="1A06001E" w14:textId="0CD2A327">
            <w:pPr>
              <w:widowControl/>
              <w:autoSpaceDE/>
              <w:autoSpaceDN/>
              <w:adjustRightInd/>
              <w:jc w:val="right"/>
              <w:rPr>
                <w:b/>
                <w:bCs/>
                <w:color w:val="000000"/>
                <w:sz w:val="20"/>
                <w:szCs w:val="20"/>
              </w:rPr>
            </w:pPr>
            <w:r w:rsidRPr="00C205CD">
              <w:rPr>
                <w:b/>
                <w:bCs/>
                <w:color w:val="000000"/>
                <w:sz w:val="20"/>
                <w:szCs w:val="20"/>
              </w:rPr>
              <w:t>$</w:t>
            </w:r>
            <w:r w:rsidRPr="00C205CD" w:rsidR="00473A61">
              <w:rPr>
                <w:b/>
                <w:bCs/>
                <w:color w:val="000000"/>
                <w:sz w:val="20"/>
                <w:szCs w:val="20"/>
              </w:rPr>
              <w:t>14,27</w:t>
            </w:r>
            <w:r w:rsidRPr="00C205CD" w:rsidR="000F75EE">
              <w:rPr>
                <w:b/>
                <w:bCs/>
                <w:color w:val="000000"/>
                <w:sz w:val="20"/>
                <w:szCs w:val="20"/>
              </w:rPr>
              <w:t>7</w:t>
            </w:r>
            <w:r w:rsidRPr="00C205CD">
              <w:rPr>
                <w:b/>
                <w:bCs/>
                <w:color w:val="000000"/>
                <w:sz w:val="20"/>
                <w:szCs w:val="20"/>
              </w:rPr>
              <w:t xml:space="preserve"> </w:t>
            </w:r>
          </w:p>
        </w:tc>
        <w:tc>
          <w:tcPr>
            <w:tcW w:w="22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1393" w:rsidRPr="00C205CD" w:rsidP="002A1471" w14:paraId="006449E1" w14:textId="07C9CAF7">
            <w:pPr>
              <w:widowControl/>
              <w:autoSpaceDE/>
              <w:autoSpaceDN/>
              <w:adjustRightInd/>
              <w:jc w:val="right"/>
              <w:rPr>
                <w:b/>
                <w:bCs/>
                <w:color w:val="000000"/>
                <w:sz w:val="20"/>
                <w:szCs w:val="20"/>
              </w:rPr>
            </w:pPr>
            <w:r w:rsidRPr="00C205CD">
              <w:rPr>
                <w:b/>
                <w:bCs/>
                <w:color w:val="000000" w:themeColor="text1"/>
                <w:sz w:val="20"/>
                <w:szCs w:val="20"/>
              </w:rPr>
              <w:t>$</w:t>
            </w:r>
            <w:r w:rsidRPr="00C205CD" w:rsidR="00473A61">
              <w:rPr>
                <w:b/>
                <w:bCs/>
                <w:color w:val="000000" w:themeColor="text1"/>
                <w:sz w:val="20"/>
                <w:szCs w:val="20"/>
              </w:rPr>
              <w:t>233,705</w:t>
            </w:r>
          </w:p>
        </w:tc>
      </w:tr>
    </w:tbl>
    <w:p w:rsidR="00361393" w:rsidRPr="00C205CD" w:rsidP="00361393" w14:paraId="6CEB15CE"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rPr>
          <w:sz w:val="20"/>
          <w:szCs w:val="20"/>
        </w:rPr>
      </w:pPr>
    </w:p>
    <w:p w:rsidR="00361393" w:rsidRPr="00C205CD" w:rsidP="006B3AC3" w14:paraId="66518E3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E75FCD0"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10FDAA0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74AF2BF"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A29289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2191599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673E5A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041D98D7"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5AB7C0C5"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55B33694"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4455F193"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1C2776EB"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15342E60"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5EB89DE8"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D62D461"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078B034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492506DD"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31CD0C16"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7FD8715F"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6BDFDFC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41F9AE5E"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00F03A6D"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6930E822"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20E36DAB"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32D85219"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361393" w:rsidRPr="00C205CD" w:rsidP="006B3AC3" w14:paraId="0CE19BC3" w14:textId="77777777">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sectPr w:rsidSect="00361393">
          <w:footnotePr>
            <w:pos w:val="beneathText"/>
          </w:footnotePr>
          <w:pgSz w:w="15840" w:h="12240" w:orient="landscape"/>
          <w:pgMar w:top="1440" w:right="1008" w:bottom="1440" w:left="1008" w:header="720" w:footer="720" w:gutter="0"/>
          <w:cols w:space="720"/>
          <w:noEndnote/>
          <w:titlePg/>
          <w:docGrid w:linePitch="326"/>
        </w:sectPr>
      </w:pPr>
    </w:p>
    <w:p w:rsidR="006B3AC3" w:rsidRPr="00C205CD" w:rsidP="006B3AC3" w14:paraId="001B2DF7" w14:textId="564208E9">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15</w:t>
      </w:r>
      <w:r w:rsidRPr="00C205CD" w:rsidR="00AA29DA">
        <w:rPr>
          <w:b/>
          <w:bCs/>
        </w:rPr>
        <w:t xml:space="preserve">. </w:t>
      </w:r>
      <w:r w:rsidRPr="00C205CD">
        <w:rPr>
          <w:b/>
          <w:bCs/>
        </w:rPr>
        <w:t xml:space="preserve">Explain the reasons for any program changes or </w:t>
      </w:r>
      <w:r w:rsidRPr="00C205CD">
        <w:rPr>
          <w:b/>
          <w:bCs/>
        </w:rPr>
        <w:t>adjustments</w:t>
      </w:r>
      <w:r w:rsidRPr="00C205CD" w:rsidR="000E47BE">
        <w:rPr>
          <w:b/>
          <w:bCs/>
        </w:rPr>
        <w:t>.</w:t>
      </w:r>
    </w:p>
    <w:p w:rsidR="00C61729" w:rsidRPr="00C205CD" w:rsidP="00C61729" w14:paraId="63966B72" w14:textId="77777777">
      <w:pPr>
        <w:tabs>
          <w:tab w:val="left" w:pos="-1440"/>
        </w:tabs>
        <w:ind w:left="360"/>
        <w:rPr>
          <w:b/>
          <w:sz w:val="20"/>
          <w:szCs w:val="20"/>
        </w:rPr>
      </w:pPr>
    </w:p>
    <w:p w:rsidR="003D19D8" w:rsidRPr="00C205CD" w:rsidP="003D19D8" w14:paraId="13353E18" w14:textId="4E7724FE">
      <w:r w:rsidRPr="00C205CD">
        <w:t xml:space="preserve">OSHA </w:t>
      </w:r>
      <w:r w:rsidRPr="00C205CD" w:rsidR="00280DC8">
        <w:t xml:space="preserve">is </w:t>
      </w:r>
      <w:r w:rsidRPr="00C205CD" w:rsidR="00EF5027">
        <w:t>proposing to revise</w:t>
      </w:r>
      <w:r w:rsidRPr="00C205CD" w:rsidR="00C4525F">
        <w:t xml:space="preserve"> this </w:t>
      </w:r>
      <w:r w:rsidRPr="00C205CD" w:rsidR="00633881">
        <w:t>ICR</w:t>
      </w:r>
      <w:r w:rsidRPr="00C205CD" w:rsidR="00483CCB">
        <w:t xml:space="preserve"> to include</w:t>
      </w:r>
      <w:r w:rsidRPr="00C205CD" w:rsidR="006B4A49">
        <w:t xml:space="preserve"> the collection of information requirements contain</w:t>
      </w:r>
      <w:r w:rsidRPr="00C205CD" w:rsidR="00AF4993">
        <w:t xml:space="preserve">ed </w:t>
      </w:r>
      <w:r w:rsidRPr="00C205CD" w:rsidR="00954D8D">
        <w:t xml:space="preserve">under </w:t>
      </w:r>
      <w:r w:rsidRPr="00C205CD" w:rsidR="00962B25">
        <w:t xml:space="preserve">the paperwork package for </w:t>
      </w:r>
      <w:r w:rsidRPr="00C205CD" w:rsidR="00954D8D">
        <w:t>OMB Control Number 121</w:t>
      </w:r>
      <w:r w:rsidRPr="00C205CD" w:rsidR="00F422B9">
        <w:t>8-0281</w:t>
      </w:r>
      <w:r w:rsidR="004B2409">
        <w:t xml:space="preserve"> and to discontinue </w:t>
      </w:r>
      <w:r w:rsidRPr="004B2409" w:rsidR="004B2409">
        <w:t>the paperwork package for OMB Control Number 1218-0281</w:t>
      </w:r>
      <w:r w:rsidR="004B2409">
        <w:t xml:space="preserve"> upon the approval of this </w:t>
      </w:r>
      <w:r w:rsidRPr="00DD4492" w:rsidR="00DD4492">
        <w:t>combined request for OMB Control Number1219-0110.</w:t>
      </w:r>
      <w:r w:rsidRPr="00C205CD" w:rsidR="00171C6A">
        <w:t xml:space="preserve">The agency is requesting </w:t>
      </w:r>
      <w:r w:rsidRPr="00C205CD" w:rsidR="00FA5517">
        <w:t xml:space="preserve">an adjustment </w:t>
      </w:r>
      <w:r w:rsidRPr="00C205CD" w:rsidR="00A74AF9">
        <w:t>decrease</w:t>
      </w:r>
      <w:r w:rsidRPr="00C205CD" w:rsidR="002C16F1">
        <w:t xml:space="preserve"> and</w:t>
      </w:r>
      <w:r w:rsidRPr="00C205CD" w:rsidR="00166044">
        <w:t xml:space="preserve"> </w:t>
      </w:r>
      <w:r w:rsidRPr="00C205CD" w:rsidR="00846931">
        <w:t>a</w:t>
      </w:r>
      <w:r w:rsidRPr="00C205CD" w:rsidR="002C16F1">
        <w:t xml:space="preserve"> program change to incorporate the </w:t>
      </w:r>
      <w:r w:rsidRPr="00C205CD" w:rsidR="00FF3851">
        <w:t>collec</w:t>
      </w:r>
      <w:r w:rsidRPr="00C205CD" w:rsidR="00C42E79">
        <w:t>tion</w:t>
      </w:r>
      <w:r w:rsidRPr="00C205CD" w:rsidR="00F60789">
        <w:t>s</w:t>
      </w:r>
      <w:r w:rsidRPr="00C205CD" w:rsidR="00C42E79">
        <w:t xml:space="preserve"> from OMB Control </w:t>
      </w:r>
      <w:r w:rsidRPr="00C205CD" w:rsidR="00D8665D">
        <w:t xml:space="preserve">Number 1218-0281. </w:t>
      </w:r>
      <w:r w:rsidRPr="00C205CD" w:rsidR="00023128">
        <w:t>The number of burden hours ha</w:t>
      </w:r>
      <w:r w:rsidRPr="00C205CD" w:rsidR="00062D91">
        <w:t>ve</w:t>
      </w:r>
      <w:r w:rsidRPr="00C205CD" w:rsidR="00023128">
        <w:t xml:space="preserve"> decreased</w:t>
      </w:r>
      <w:r w:rsidRPr="00C205CD">
        <w:t xml:space="preserve"> from 223,495 to 195,</w:t>
      </w:r>
      <w:r w:rsidRPr="00C205CD" w:rsidR="00556CAC">
        <w:t>736</w:t>
      </w:r>
      <w:r w:rsidRPr="00C205CD" w:rsidR="00AA03E2">
        <w:t xml:space="preserve"> hours</w:t>
      </w:r>
      <w:r w:rsidRPr="00C205CD" w:rsidR="00352FC7">
        <w:t xml:space="preserve">, a difference of </w:t>
      </w:r>
      <w:r w:rsidRPr="00C205CD" w:rsidR="009231E4">
        <w:t>27,</w:t>
      </w:r>
      <w:r w:rsidRPr="00C205CD" w:rsidR="009A4B66">
        <w:t>759 hours</w:t>
      </w:r>
      <w:r w:rsidRPr="00C205CD" w:rsidR="00AA29DA">
        <w:t xml:space="preserve">. </w:t>
      </w:r>
      <w:r w:rsidRPr="00C205CD">
        <w:t> OSHA attributes this to fewer visits being conducted in recent years, including FY 2023</w:t>
      </w:r>
      <w:r w:rsidRPr="00C205CD" w:rsidR="00AA29DA">
        <w:t xml:space="preserve">. </w:t>
      </w:r>
      <w:r w:rsidRPr="00C205CD">
        <w:t>The reason for the fewer visits is likely flat funding of the program and inflationary pressures due to cost-of-living increases</w:t>
      </w:r>
      <w:r w:rsidRPr="00C205CD" w:rsidR="00AA29DA">
        <w:t xml:space="preserve">. </w:t>
      </w:r>
      <w:r w:rsidRPr="00C205CD">
        <w:t>Also, some programs are only now reestablishing onsite visits to worksites that were inaccessible during travel restrictions that resulted from the COVID-19 pandemic</w:t>
      </w:r>
      <w:r w:rsidRPr="00C205CD" w:rsidR="00AA29DA">
        <w:t xml:space="preserve">. </w:t>
      </w:r>
      <w:r w:rsidRPr="00C205CD">
        <w:t xml:space="preserve"> Although there </w:t>
      </w:r>
      <w:r w:rsidRPr="00C205CD" w:rsidR="00A43C92">
        <w:t>has</w:t>
      </w:r>
      <w:r w:rsidRPr="00C205CD">
        <w:t xml:space="preserve"> been burden hour increases associ</w:t>
      </w:r>
      <w:r w:rsidRPr="00C205CD">
        <w:t>ated with some activities (e.g., adding activities associated with visits involving assessment of worksites where PSM evaluations are conducted that were previously approved in OMB</w:t>
      </w:r>
      <w:r w:rsidR="001D7075">
        <w:t xml:space="preserve"> Control Number</w:t>
      </w:r>
      <w:r w:rsidRPr="00C205CD">
        <w:t xml:space="preserve"> 1218-0281), and OSHA’s instructions to consultation programs to use the entire </w:t>
      </w:r>
      <w:r w:rsidR="004B2409">
        <w:t xml:space="preserve">OSHA </w:t>
      </w:r>
      <w:r w:rsidRPr="00C205CD">
        <w:t>Form 33 on more consultation visits, these burden hour increases have been fewer than the decreased burden hours associated with fewer visits</w:t>
      </w:r>
      <w:r w:rsidRPr="00C205CD" w:rsidR="00AA29DA">
        <w:t xml:space="preserve">. </w:t>
      </w:r>
      <w:r w:rsidRPr="00C205CD">
        <w:t>Subsequently, there are fewer burden hours in this ICR package as compared to the previou</w:t>
      </w:r>
      <w:r w:rsidRPr="00C205CD">
        <w:t>s package.</w:t>
      </w:r>
    </w:p>
    <w:p w:rsidR="00BC344D" w:rsidRPr="00C205CD" w:rsidP="003D19D8" w14:paraId="2A43BEEC" w14:textId="77777777"/>
    <w:p w:rsidR="006B3AC3" w:rsidRPr="00C205CD" w:rsidP="00BF0615" w14:paraId="0B82C580" w14:textId="6C53075C">
      <w:r w:rsidRPr="00C205CD">
        <w:rPr>
          <w:b/>
          <w:bCs/>
        </w:rPr>
        <w:t>16</w:t>
      </w:r>
      <w:r w:rsidRPr="00C205CD" w:rsidR="00AA29DA">
        <w:rPr>
          <w:b/>
          <w:bCs/>
        </w:rPr>
        <w:t xml:space="preserve">. </w:t>
      </w:r>
      <w:r w:rsidRPr="00C205CD">
        <w:rPr>
          <w:b/>
          <w:bCs/>
        </w:rPr>
        <w:t>For collections of information whose results will be published, outline plans for tabulation, and publication</w:t>
      </w:r>
      <w:r w:rsidRPr="00C205CD" w:rsidR="00AA29DA">
        <w:rPr>
          <w:b/>
          <w:bCs/>
        </w:rPr>
        <w:t xml:space="preserve">. </w:t>
      </w:r>
      <w:r w:rsidRPr="00C205CD">
        <w:rPr>
          <w:b/>
          <w:bCs/>
        </w:rPr>
        <w:t>Address any complex analytical techniques that will be used</w:t>
      </w:r>
      <w:r w:rsidRPr="00C205CD" w:rsidR="00AA29DA">
        <w:rPr>
          <w:b/>
          <w:bCs/>
        </w:rPr>
        <w:t xml:space="preserve">. </w:t>
      </w:r>
      <w:r w:rsidRPr="00C205CD">
        <w:rPr>
          <w:b/>
          <w:bCs/>
        </w:rPr>
        <w:t xml:space="preserve">Provide the time schedule for the entire project, including </w:t>
      </w:r>
      <w:r w:rsidRPr="00C205CD">
        <w:rPr>
          <w:b/>
          <w:bCs/>
        </w:rPr>
        <w:t>beginning and ending dates of the collection information, completion of report, publication dates, and other actions.</w:t>
      </w:r>
    </w:p>
    <w:p w:rsidR="00FC4BF3" w:rsidRPr="00C205CD" w14:paraId="4AE5B7AF" w14:textId="77777777">
      <w:pPr>
        <w:rPr>
          <w:sz w:val="20"/>
          <w:szCs w:val="20"/>
        </w:rPr>
      </w:pPr>
    </w:p>
    <w:p w:rsidR="00FC4BF3" w:rsidRPr="00C205CD" w:rsidP="006B3AC3" w14:paraId="7BF40006" w14:textId="0F8B7412">
      <w:r w:rsidRPr="00C205CD">
        <w:t>D</w:t>
      </w:r>
      <w:r w:rsidRPr="00C205CD" w:rsidR="00001B3F">
        <w:t>ata collected may be analyzed</w:t>
      </w:r>
      <w:r w:rsidRPr="00C205CD" w:rsidR="00DF5555">
        <w:t xml:space="preserve"> and published with strict adherence to confidentiality requirements specified in 29 CFR 1908</w:t>
      </w:r>
      <w:r w:rsidRPr="00C205CD" w:rsidR="00E61629">
        <w:t xml:space="preserve"> (i.e., without revealing the identities of employers that use On-Site Consultation services)</w:t>
      </w:r>
      <w:r w:rsidRPr="00C205CD" w:rsidR="00DF5555">
        <w:t>.</w:t>
      </w:r>
    </w:p>
    <w:p w:rsidR="00FC4BF3" w:rsidRPr="00C205CD" w14:paraId="3955E093" w14:textId="77777777"/>
    <w:p w:rsidR="006B3AC3" w:rsidRPr="00C205CD" w:rsidP="006B3AC3" w14:paraId="034C9F9A" w14:textId="484E4078">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 xml:space="preserve">17. If seeking approval to not display the expiration date for OMB approval of the information collection, explain the reasons that display would be </w:t>
      </w:r>
      <w:r w:rsidRPr="00C205CD" w:rsidR="00414A77">
        <w:rPr>
          <w:b/>
          <w:bCs/>
        </w:rPr>
        <w:t>in</w:t>
      </w:r>
      <w:r w:rsidRPr="00C205CD">
        <w:rPr>
          <w:b/>
          <w:bCs/>
        </w:rPr>
        <w:t>appropriate.</w:t>
      </w:r>
    </w:p>
    <w:p w:rsidR="00FC4BF3" w:rsidRPr="00C205CD" w14:paraId="12C42424" w14:textId="77777777"/>
    <w:p w:rsidR="008068FD" w:rsidRPr="00C205CD" w:rsidP="008068FD" w14:paraId="383FD312" w14:textId="57A36517">
      <w:r w:rsidRPr="00C205CD">
        <w:t>OSHA display</w:t>
      </w:r>
      <w:r w:rsidRPr="00C205CD" w:rsidR="00943DBE">
        <w:t>s</w:t>
      </w:r>
      <w:r w:rsidRPr="00C205CD">
        <w:t xml:space="preserve"> the OMB control number and the expiration date on all approved worksheets but will not require State On-Site Consultation programs to display this information on the List of Hazards</w:t>
      </w:r>
      <w:r w:rsidRPr="00C205CD" w:rsidR="00AA29DA">
        <w:t xml:space="preserve">. </w:t>
      </w:r>
      <w:r w:rsidRPr="00C205CD">
        <w:t>This is because OSHA merely provides a “Sample” List of Hazards to State On-Site Consultation programs, allowing them to make adjustments to the template as they deem necessary</w:t>
      </w:r>
      <w:r w:rsidRPr="00C205CD" w:rsidR="00AA29DA">
        <w:t xml:space="preserve">. </w:t>
      </w:r>
      <w:r w:rsidRPr="00C205CD">
        <w:t xml:space="preserve">Imposing the requirement to display the OMB control number and PRA notice on the List of Hazards might be impractical and impose unnecessary burdens </w:t>
      </w:r>
      <w:r w:rsidRPr="00C205CD">
        <w:t>(e.g., need to update state templates). Other collection of information by State On-Site Consultation programs from employers addressed in this report do not involve forms</w:t>
      </w:r>
      <w:r w:rsidRPr="00C205CD" w:rsidR="00AA29DA">
        <w:t xml:space="preserve">. </w:t>
      </w:r>
      <w:r w:rsidRPr="00C205CD">
        <w:t>Consequently, that information is assembled in a way that the display of an OMB control number and expiration date is not possible.</w:t>
      </w:r>
    </w:p>
    <w:p w:rsidR="008068FD" w:rsidRPr="00C205CD" w:rsidP="006038C8" w14:paraId="20B46A03" w14:textId="77777777"/>
    <w:p w:rsidR="006B3AC3" w:rsidRPr="00C205CD" w:rsidP="006B3AC3" w14:paraId="36CC0D43" w14:textId="326A16D2">
      <w:pPr>
        <w:widowControl/>
        <w:tabs>
          <w:tab w:val="left" w:pos="-990"/>
          <w:tab w:val="left" w:pos="-720"/>
          <w:tab w:val="left" w:pos="0"/>
          <w:tab w:val="left" w:pos="450"/>
          <w:tab w:val="left" w:pos="540"/>
          <w:tab w:val="left" w:pos="720"/>
          <w:tab w:val="left" w:pos="9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205CD">
        <w:rPr>
          <w:b/>
          <w:bCs/>
        </w:rPr>
        <w:t>18. Explain each exception to the certification statement.</w:t>
      </w:r>
    </w:p>
    <w:p w:rsidR="00FC4BF3" w:rsidRPr="00C205CD" w14:paraId="5ABF93C4" w14:textId="77777777">
      <w:pPr>
        <w:rPr>
          <w:sz w:val="20"/>
          <w:szCs w:val="20"/>
        </w:rPr>
      </w:pPr>
    </w:p>
    <w:p w:rsidR="00FC4BF3" w:rsidRPr="00C205CD" w:rsidP="006B3AC3" w14:paraId="6A1B0F52" w14:textId="77777777">
      <w:r w:rsidRPr="00C205CD">
        <w:t>OSHA is not seeking an exception to the certification statement</w:t>
      </w:r>
      <w:r w:rsidRPr="00C205CD" w:rsidR="000E47BE">
        <w:t>.</w:t>
      </w:r>
    </w:p>
    <w:p w:rsidR="00923729" w:rsidRPr="00C205CD" w:rsidP="00AD3339" w14:paraId="71DCB018" w14:textId="77777777">
      <w:pPr>
        <w:ind w:firstLine="720"/>
      </w:pPr>
    </w:p>
    <w:p w:rsidR="000E47BE" w:rsidRPr="00C205CD" w:rsidP="000E47BE" w14:paraId="6C249C75" w14:textId="1A7F0E6B">
      <w:r w:rsidRPr="00C205CD">
        <w:rPr>
          <w:b/>
        </w:rPr>
        <w:t>B. COLLECTION</w:t>
      </w:r>
      <w:r w:rsidRPr="00C205CD" w:rsidR="00414A77">
        <w:rPr>
          <w:b/>
        </w:rPr>
        <w:t>S</w:t>
      </w:r>
      <w:r w:rsidRPr="00C205CD">
        <w:rPr>
          <w:b/>
        </w:rPr>
        <w:t xml:space="preserve"> OF INFORMATION EMPLOYING STATIS</w:t>
      </w:r>
      <w:r w:rsidRPr="00C205CD" w:rsidR="00023128">
        <w:rPr>
          <w:b/>
        </w:rPr>
        <w:t>T</w:t>
      </w:r>
      <w:r w:rsidRPr="00C205CD">
        <w:rPr>
          <w:b/>
        </w:rPr>
        <w:t>ICAL METHODS</w:t>
      </w:r>
      <w:r w:rsidRPr="00C205CD">
        <w:t>.</w:t>
      </w:r>
    </w:p>
    <w:p w:rsidR="000E47BE" w:rsidRPr="00C205CD" w:rsidP="000E47BE" w14:paraId="4B644A8D" w14:textId="77777777"/>
    <w:p w:rsidR="00F02D62" w:rsidRPr="001B2492" w:rsidP="00BF0615" w14:paraId="55B91B0D" w14:textId="6C16F692">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bookmarkStart w:id="18" w:name="OLE_LINK1"/>
      <w:r w:rsidRPr="00C205CD">
        <w:rPr>
          <w:bCs/>
        </w:rPr>
        <w:t xml:space="preserve">This Supporting Statement does not contain any </w:t>
      </w:r>
      <w:r w:rsidRPr="00C205CD" w:rsidR="00EB59D8">
        <w:rPr>
          <w:bCs/>
        </w:rPr>
        <w:t xml:space="preserve">information collection </w:t>
      </w:r>
      <w:r w:rsidRPr="00C205CD">
        <w:rPr>
          <w:bCs/>
        </w:rPr>
        <w:t>requirements that employ statistical methods.</w:t>
      </w:r>
      <w:bookmarkEnd w:id="18"/>
    </w:p>
    <w:p w:rsidR="00F02D62" w:rsidRPr="001B2492" w:rsidP="00BF0615" w14:paraId="6810F0D1" w14:textId="77777777">
      <w:pPr>
        <w:tabs>
          <w:tab w:val="left" w:pos="-1152"/>
          <w:tab w:val="left" w:pos="-720"/>
          <w:tab w:val="left" w:pos="0"/>
          <w:tab w:val="left" w:pos="720"/>
          <w:tab w:val="left" w:pos="1440"/>
          <w:tab w:val="left" w:pos="2160"/>
          <w:tab w:val="left" w:pos="2520"/>
          <w:tab w:val="left" w:pos="2880"/>
          <w:tab w:val="left" w:pos="3600"/>
          <w:tab w:val="left" w:pos="4320"/>
          <w:tab w:val="left" w:pos="5040"/>
          <w:tab w:val="left" w:pos="5760"/>
          <w:tab w:val="left" w:pos="6480"/>
          <w:tab w:val="left" w:pos="7200"/>
          <w:tab w:val="left" w:pos="7380"/>
        </w:tabs>
        <w:ind w:right="-720"/>
      </w:pPr>
    </w:p>
    <w:p w:rsidR="008138F3" w:rsidRPr="00B6448B" w:rsidP="008138F3" w14:paraId="32D8EEAF" w14:textId="77777777"/>
    <w:sectPr w:rsidSect="00B6448B">
      <w:footnotePr>
        <w:pos w:val="beneathText"/>
        <w:numRestart w:val="eachPage"/>
      </w:footnotePr>
      <w:pgSz w:w="12240" w:h="15840"/>
      <w:pgMar w:top="1008" w:right="1440" w:bottom="1008"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EB6" w:rsidP="00DC3A89" w14:paraId="5392812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03EB6" w:rsidP="00616D60" w14:paraId="17A1CA9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3EB6" w14:paraId="4649379A" w14:textId="64B49F9A">
    <w:pPr>
      <w:pStyle w:val="Footer"/>
      <w:jc w:val="center"/>
    </w:pPr>
    <w:r>
      <w:fldChar w:fldCharType="begin"/>
    </w:r>
    <w:r>
      <w:instrText xml:space="preserve"> PAGE   \* MERGEFORMAT </w:instrText>
    </w:r>
    <w:r>
      <w:fldChar w:fldCharType="separate"/>
    </w:r>
    <w:r w:rsidR="00312909">
      <w:rPr>
        <w:noProof/>
      </w:rPr>
      <w:t>14</w:t>
    </w:r>
    <w:r>
      <w:rPr>
        <w:noProof/>
      </w:rPr>
      <w:fldChar w:fldCharType="end"/>
    </w:r>
  </w:p>
  <w:p w:rsidR="00A03EB6" w:rsidP="00616D60" w14:paraId="040360B8"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4A67" w14:paraId="0F90B246" w14:textId="77777777">
      <w:r>
        <w:separator/>
      </w:r>
    </w:p>
  </w:footnote>
  <w:footnote w:type="continuationSeparator" w:id="1">
    <w:p w:rsidR="001A4A67" w14:paraId="3C6037DC" w14:textId="77777777">
      <w:r>
        <w:continuationSeparator/>
      </w:r>
    </w:p>
  </w:footnote>
  <w:footnote w:type="continuationNotice" w:id="2">
    <w:p w:rsidR="001A4A67" w14:paraId="42233931" w14:textId="77777777"/>
  </w:footnote>
  <w:footnote w:id="3">
    <w:p w:rsidR="00F375FC" w:rsidRPr="00B62840" w:rsidP="00F375FC" w14:paraId="1CDBF67F" w14:textId="77777777">
      <w:pPr>
        <w:spacing w:after="120"/>
        <w:rPr>
          <w:sz w:val="18"/>
          <w:szCs w:val="18"/>
        </w:rPr>
      </w:pPr>
      <w:r w:rsidRPr="00B62840">
        <w:rPr>
          <w:rStyle w:val="FootnoteReference"/>
          <w:sz w:val="18"/>
          <w:szCs w:val="18"/>
          <w:vertAlign w:val="superscript"/>
        </w:rPr>
        <w:footnoteRef/>
      </w:r>
      <w:r w:rsidRPr="00B62840">
        <w:rPr>
          <w:rStyle w:val="FootnoteReference"/>
          <w:sz w:val="18"/>
          <w:szCs w:val="18"/>
        </w:rPr>
        <w:t xml:space="preserve"> Use of State within this document refers to both State governments and U.S. Territories.</w:t>
      </w:r>
    </w:p>
  </w:footnote>
  <w:footnote w:id="4">
    <w:p w:rsidR="00F375FC" w:rsidRPr="005C626D" w:rsidP="00F375FC" w14:paraId="3D8C248D" w14:textId="77777777">
      <w:pPr>
        <w:pStyle w:val="FootnoteText"/>
        <w:rPr>
          <w:vertAlign w:val="superscript"/>
        </w:rPr>
      </w:pPr>
      <w:r w:rsidRPr="005C626D">
        <w:rPr>
          <w:rStyle w:val="FootnoteReference"/>
          <w:vertAlign w:val="superscript"/>
        </w:rPr>
        <w:footnoteRef/>
      </w:r>
      <w:r w:rsidRPr="005C626D">
        <w:rPr>
          <w:vertAlign w:val="superscript"/>
        </w:rPr>
        <w:t xml:space="preserve"> The consultant is a state employee who provides consultation services under the 21(d) cooperative agreement.</w:t>
      </w:r>
    </w:p>
  </w:footnote>
  <w:footnote w:id="5">
    <w:p w:rsidR="00A03EB6" w:rsidP="006A78DE" w14:paraId="635EA859" w14:textId="77777777">
      <w:pPr>
        <w:spacing w:after="72"/>
        <w:rPr>
          <w:sz w:val="20"/>
          <w:szCs w:val="20"/>
        </w:rPr>
      </w:pPr>
      <w:r>
        <w:rPr>
          <w:rStyle w:val="FootnoteReference"/>
          <w:sz w:val="20"/>
          <w:szCs w:val="20"/>
          <w:vertAlign w:val="superscript"/>
        </w:rPr>
        <w:footnoteRef/>
      </w:r>
      <w:r>
        <w:rPr>
          <w:sz w:val="20"/>
          <w:szCs w:val="20"/>
        </w:rPr>
        <w:t>The purpose of this Supporting Statement is to analyze and describe the burden hours and costs associated with provisions of this standard that contain paperwork requirements; this Supporting Statement does not provide information or guidance on how to comply with, or how to enforce, these provisions.</w:t>
      </w:r>
    </w:p>
  </w:footnote>
  <w:footnote w:id="6">
    <w:p w:rsidR="00DD58C6" w:rsidP="00DD58C6" w14:paraId="3258C276" w14:textId="792B29C7">
      <w:pPr>
        <w:pStyle w:val="FootnoteText"/>
      </w:pPr>
      <w:r w:rsidRPr="001F5B9D">
        <w:rPr>
          <w:rStyle w:val="FootnoteReference"/>
          <w:vertAlign w:val="superscript"/>
        </w:rPr>
        <w:footnoteRef/>
      </w:r>
      <w:r>
        <w:t xml:space="preserve"> </w:t>
      </w:r>
      <w:r w:rsidRPr="000E3F7C">
        <w:t>State Plans are OSHA-approved workplace safety and health programs operated by individual states or U.S. territories</w:t>
      </w:r>
      <w:r w:rsidR="00AA29DA">
        <w:t xml:space="preserve">. </w:t>
      </w:r>
      <w:r w:rsidRPr="000E3F7C">
        <w:t>There are currently 22 State Plans covering both private sector and state and local government workers, and seven State Plans covering only state and local government workers</w:t>
      </w:r>
      <w:r w:rsidR="00AA29DA">
        <w:t xml:space="preserve">. </w:t>
      </w:r>
      <w:r w:rsidRPr="000E3F7C">
        <w:t>State Plans are monitored by OSHA and must be at least as effective as OSHA in protecting workers and in preventing work-related injuries, illnesses and deaths.</w:t>
      </w:r>
    </w:p>
  </w:footnote>
  <w:footnote w:id="7">
    <w:p w:rsidR="00DD58C6" w:rsidRPr="00831F0E" w:rsidP="00DD58C6" w14:paraId="1228EE67" w14:textId="2951487E">
      <w:pPr>
        <w:pStyle w:val="FootnoteText"/>
      </w:pPr>
      <w:r w:rsidRPr="00831F0E">
        <w:rPr>
          <w:rStyle w:val="FootnoteReference"/>
          <w:vertAlign w:val="superscript"/>
        </w:rPr>
        <w:footnoteRef/>
      </w:r>
      <w:r w:rsidRPr="00831F0E">
        <w:rPr>
          <w:vertAlign w:val="superscript"/>
        </w:rPr>
        <w:t xml:space="preserve"> </w:t>
      </w:r>
      <w:r w:rsidRPr="00831F0E">
        <w:t>The interim year is the year following the most recent SHARP participation approval date</w:t>
      </w:r>
      <w:r w:rsidR="00AA29DA">
        <w:t xml:space="preserve">. </w:t>
      </w:r>
      <w:r>
        <w:t>The Consultation program conducts a comprehensive</w:t>
      </w:r>
      <w:r w:rsidRPr="00831F0E">
        <w:t xml:space="preserve"> safety and health program assessment</w:t>
      </w:r>
      <w:r>
        <w:t xml:space="preserve"> and full-service on-site consultation visit</w:t>
      </w:r>
      <w:r w:rsidRPr="00831F0E">
        <w:t xml:space="preserve"> to determine </w:t>
      </w:r>
      <w:r>
        <w:t xml:space="preserve">employers’ </w:t>
      </w:r>
      <w:r w:rsidRPr="00831F0E">
        <w:t>eligibility to participate in SHARP for the initial participation period and subsequent renewals</w:t>
      </w:r>
      <w:r w:rsidR="00AA29DA">
        <w:t xml:space="preserve">. </w:t>
      </w:r>
      <w:r w:rsidRPr="00831F0E">
        <w:t xml:space="preserve">However, one year after the initial or renewal approval to participate in SHARP, </w:t>
      </w:r>
      <w:r>
        <w:t xml:space="preserve">a comprehensive safety and health program assessment and full-service on-site consultation visit is not conducted by </w:t>
      </w:r>
      <w:r w:rsidRPr="00831F0E">
        <w:t>the Consultation program</w:t>
      </w:r>
      <w:r w:rsidR="00AA29DA">
        <w:t xml:space="preserve">. </w:t>
      </w:r>
      <w:r w:rsidRPr="00831F0E">
        <w:t>Therefore, employers are required to conduct self-assessments and submit their findings to the respective Consultation program</w:t>
      </w:r>
      <w:r>
        <w:t xml:space="preserve"> in the interim year</w:t>
      </w:r>
      <w:r w:rsidRPr="00831F0E">
        <w:t>.</w:t>
      </w:r>
    </w:p>
    <w:p w:rsidR="00DD58C6" w:rsidP="00DD58C6" w14:paraId="474EAE79" w14:textId="77777777">
      <w:pPr>
        <w:pStyle w:val="FootnoteText"/>
      </w:pPr>
    </w:p>
  </w:footnote>
  <w:footnote w:id="8">
    <w:p w:rsidR="00A03EB6" w14:paraId="0A554F7A" w14:textId="543F33ED">
      <w:pPr>
        <w:pStyle w:val="FootnoteText"/>
      </w:pPr>
      <w:r w:rsidRPr="00F46FBC">
        <w:rPr>
          <w:rStyle w:val="FootnoteReference"/>
          <w:vertAlign w:val="superscript"/>
        </w:rPr>
        <w:footnoteRef/>
      </w:r>
      <w:r>
        <w:t xml:space="preserve"> In this ICR, OSHA will be using wage determinations for both the civilian workers and the state and local government workers.</w:t>
      </w:r>
    </w:p>
  </w:footnote>
  <w:footnote w:id="9">
    <w:p w:rsidR="00A611ED" w:rsidP="00A611ED" w14:paraId="2ADD7481" w14:textId="5F59B9BD">
      <w:pPr>
        <w:pStyle w:val="FootnoteText"/>
      </w:pPr>
      <w:r w:rsidRPr="00B23991">
        <w:rPr>
          <w:rStyle w:val="FootnoteReference"/>
          <w:sz w:val="22"/>
          <w:vertAlign w:val="superscript"/>
        </w:rPr>
        <w:footnoteRef/>
      </w:r>
      <w:r>
        <w:t xml:space="preserve"> </w:t>
      </w:r>
      <w:r w:rsidRPr="005C0455">
        <w:rPr>
          <w:color w:val="000000"/>
        </w:rPr>
        <w:t xml:space="preserve">Source: OSHA On-Site Consultation OIS database; data run for Fiscal Year </w:t>
      </w:r>
      <w:r>
        <w:rPr>
          <w:color w:val="000000"/>
        </w:rPr>
        <w:t>2023</w:t>
      </w:r>
      <w:r w:rsidRPr="005C0455">
        <w:rPr>
          <w:color w:val="000000"/>
        </w:rPr>
        <w:t xml:space="preserve"> (run date </w:t>
      </w:r>
      <w:r w:rsidR="00540D32">
        <w:rPr>
          <w:color w:val="000000"/>
        </w:rPr>
        <w:t>June</w:t>
      </w:r>
      <w:r w:rsidRPr="005C0455">
        <w:rPr>
          <w:color w:val="000000"/>
        </w:rPr>
        <w:t xml:space="preserve"> 20</w:t>
      </w:r>
      <w:r>
        <w:rPr>
          <w:color w:val="000000"/>
        </w:rPr>
        <w:t>24</w:t>
      </w:r>
      <w:r w:rsidRPr="005C0455">
        <w:rPr>
          <w:color w:val="000000"/>
        </w:rPr>
        <w:t>)</w:t>
      </w:r>
      <w:r w:rsidR="00AA29DA">
        <w:rPr>
          <w:color w:val="000000"/>
        </w:rPr>
        <w:t xml:space="preserve">. </w:t>
      </w:r>
    </w:p>
  </w:footnote>
  <w:footnote w:id="10">
    <w:p w:rsidR="00DF584D" w:rsidP="00C375B3" w14:paraId="62B3BDBF" w14:textId="77777777"/>
  </w:footnote>
  <w:footnote w:id="11">
    <w:p w:rsidR="009A206D" w:rsidP="00E70EB6" w14:paraId="7ECAFCE8" w14:textId="73B070D6">
      <w:pPr>
        <w:pStyle w:val="FootnoteText"/>
      </w:pPr>
      <w:r w:rsidRPr="00CC746B">
        <w:rPr>
          <w:rStyle w:val="FootnoteReference"/>
          <w:sz w:val="22"/>
          <w:vertAlign w:val="superscript"/>
        </w:rPr>
        <w:footnoteRef/>
      </w:r>
      <w:r>
        <w:t xml:space="preserve"> Source:  OPM SALARY TABLE 2024 </w:t>
      </w:r>
    </w:p>
    <w:p w:rsidR="009A206D" w:rsidP="00E70EB6" w14:paraId="363D97D8" w14:textId="14280582">
      <w:pPr>
        <w:pStyle w:val="FootnoteText"/>
      </w:pPr>
      <w:r>
        <w:t>(</w:t>
      </w:r>
      <w:hyperlink r:id="rId1" w:history="1">
        <w:r w:rsidRPr="005032B4" w:rsidR="004B2409">
          <w:rPr>
            <w:rStyle w:val="Hyperlink"/>
          </w:rPr>
          <w:t>https://www.opm.gov/policy-data-oversight/pay-leave/salaries-wages/salary-tables/24Tables/html/GS_h.aspx</w:t>
        </w:r>
      </w:hyperlink>
      <w:r>
        <w:t>)</w:t>
      </w:r>
    </w:p>
    <w:p w:rsidR="00A03EB6" w:rsidP="00E70EB6" w14:paraId="73BCDEA4" w14:textId="333A6508">
      <w:pPr>
        <w:pStyle w:val="FootnoteText"/>
      </w:pPr>
      <w:r>
        <w:t>For each salary grade, an average salary of Step 6 is used.</w:t>
      </w:r>
      <w:r w:rsidR="00BB5B74">
        <w:t xml:space="preserve"> </w:t>
      </w:r>
    </w:p>
    <w:p w:rsidR="00A03EB6" w:rsidRPr="00982DFD" w:rsidP="00E70EB6" w14:paraId="2C7DA92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90E12" w:rsidP="00590E12" w14:paraId="7CFFFFC7" w14:textId="7A6CA95E">
    <w:pPr>
      <w:tabs>
        <w:tab w:val="center" w:pos="4680"/>
        <w:tab w:val="right" w:pos="9360"/>
      </w:tabs>
      <w:rPr>
        <w:b/>
        <w:bCs/>
      </w:rPr>
    </w:pPr>
    <w:r>
      <w:rPr>
        <w:b/>
        <w:bCs/>
      </w:rPr>
      <w:t>On</w:t>
    </w:r>
    <w:r w:rsidR="005802FC">
      <w:rPr>
        <w:b/>
        <w:bCs/>
      </w:rPr>
      <w:t>-</w:t>
    </w:r>
    <w:r>
      <w:rPr>
        <w:b/>
        <w:bCs/>
      </w:rPr>
      <w:t>Site Consultation Agreements (29 CFR 1908)</w:t>
    </w:r>
  </w:p>
  <w:p w:rsidR="00590E12" w:rsidP="00590E12" w14:paraId="398121DE" w14:textId="44297EBB">
    <w:pPr>
      <w:tabs>
        <w:tab w:val="center" w:pos="4680"/>
        <w:tab w:val="right" w:pos="9360"/>
      </w:tabs>
      <w:rPr>
        <w:b/>
        <w:bCs/>
      </w:rPr>
    </w:pPr>
    <w:r>
      <w:rPr>
        <w:b/>
        <w:bCs/>
      </w:rPr>
      <w:t>O</w:t>
    </w:r>
    <w:r w:rsidR="006961B8">
      <w:rPr>
        <w:b/>
        <w:bCs/>
      </w:rPr>
      <w:t>MB Control Number</w:t>
    </w:r>
    <w:r>
      <w:rPr>
        <w:b/>
        <w:bCs/>
      </w:rPr>
      <w:t xml:space="preserve"> 1218-0110</w:t>
    </w:r>
  </w:p>
  <w:p w:rsidR="006961B8" w:rsidP="00590E12" w14:paraId="30280C17" w14:textId="0C9D43BB">
    <w:pPr>
      <w:tabs>
        <w:tab w:val="center" w:pos="4680"/>
        <w:tab w:val="right" w:pos="9360"/>
      </w:tabs>
      <w:rPr>
        <w:b/>
        <w:bCs/>
      </w:rPr>
    </w:pPr>
    <w:r>
      <w:rPr>
        <w:b/>
        <w:bCs/>
      </w:rPr>
      <w:t xml:space="preserve">Expiration Date:  </w:t>
    </w:r>
    <w:r>
      <w:rPr>
        <w:b/>
        <w:bCs/>
      </w:rPr>
      <w:t>February 28, 2025</w:t>
    </w:r>
  </w:p>
  <w:p w:rsidR="00590E12" w:rsidP="00590E12" w14:paraId="29FD1A5D" w14:textId="77777777">
    <w:pPr>
      <w:tabs>
        <w:tab w:val="center" w:pos="4680"/>
        <w:tab w:val="right" w:pos="9360"/>
      </w:tabs>
      <w:rPr>
        <w:b/>
        <w:bCs/>
      </w:rPr>
    </w:pPr>
  </w:p>
  <w:p w:rsidR="00A03EB6" w14:paraId="31F27C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61B8" w:rsidP="00F63FB6" w14:paraId="0375F52D" w14:textId="11239234">
    <w:pPr>
      <w:tabs>
        <w:tab w:val="center" w:pos="4680"/>
        <w:tab w:val="right" w:pos="9360"/>
      </w:tabs>
      <w:rPr>
        <w:b/>
        <w:bCs/>
      </w:rPr>
    </w:pPr>
    <w:r>
      <w:rPr>
        <w:b/>
        <w:bCs/>
      </w:rPr>
      <w:t>OnSite Consultation Agreements (29 CFR Part 1908)</w:t>
    </w:r>
  </w:p>
  <w:p w:rsidR="009C4E2F" w:rsidP="00F63FB6" w14:paraId="140FE191" w14:textId="51CF7648">
    <w:pPr>
      <w:tabs>
        <w:tab w:val="center" w:pos="4680"/>
        <w:tab w:val="right" w:pos="9360"/>
      </w:tabs>
      <w:rPr>
        <w:b/>
        <w:bCs/>
      </w:rPr>
    </w:pPr>
    <w:r>
      <w:rPr>
        <w:b/>
        <w:bCs/>
      </w:rPr>
      <w:t>OMB Control Number</w:t>
    </w:r>
    <w:r w:rsidR="00413332">
      <w:rPr>
        <w:b/>
        <w:bCs/>
      </w:rPr>
      <w:t>:</w:t>
    </w:r>
    <w:r w:rsidR="006A30F3">
      <w:rPr>
        <w:b/>
        <w:bCs/>
      </w:rPr>
      <w:t xml:space="preserve"> </w:t>
    </w:r>
    <w:r w:rsidR="007323C2">
      <w:rPr>
        <w:b/>
        <w:bCs/>
      </w:rPr>
      <w:t xml:space="preserve">1218-0110  </w:t>
    </w:r>
  </w:p>
  <w:p w:rsidR="006961B8" w:rsidP="00F63FB6" w14:paraId="58D842CA" w14:textId="629621BC">
    <w:pPr>
      <w:tabs>
        <w:tab w:val="center" w:pos="4680"/>
        <w:tab w:val="right" w:pos="9360"/>
      </w:tabs>
      <w:rPr>
        <w:b/>
        <w:bCs/>
      </w:rPr>
    </w:pPr>
    <w:r>
      <w:rPr>
        <w:b/>
        <w:bCs/>
      </w:rPr>
      <w:t>Expiration Date:  February 28, 2025</w:t>
    </w:r>
  </w:p>
  <w:p w:rsidR="00A03EB6" w:rsidP="00F63FB6" w14:paraId="54460922" w14:textId="16569CB4">
    <w:pPr>
      <w:tabs>
        <w:tab w:val="center" w:pos="4680"/>
        <w:tab w:val="right" w:pos="9360"/>
      </w:tabs>
      <w:rPr>
        <w:b/>
        <w:bCs/>
      </w:rPr>
    </w:pPr>
  </w:p>
  <w:p w:rsidR="00A03EB6" w:rsidRPr="00F63FB6" w:rsidP="00B524D0" w14:paraId="3F904CCB" w14:textId="77777777">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42DC72B6"/>
    <w:lvl w:ilvl="0">
      <w:start w:val="0"/>
      <w:numFmt w:val="bullet"/>
      <w:lvlText w:val="*"/>
      <w:lvlJc w:val="left"/>
    </w:lvl>
  </w:abstractNum>
  <w:abstractNum w:abstractNumId="1">
    <w:nsid w:val="03A75D5D"/>
    <w:multiLevelType w:val="hybridMultilevel"/>
    <w:tmpl w:val="F1784FBC"/>
    <w:lvl w:ilvl="0">
      <w:start w:val="1"/>
      <w:numFmt w:val="upp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9E4A8D"/>
    <w:multiLevelType w:val="hybridMultilevel"/>
    <w:tmpl w:val="89AA9E46"/>
    <w:lvl w:ilvl="0">
      <w:start w:val="1"/>
      <w:numFmt w:val="upp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C4526BE"/>
    <w:multiLevelType w:val="hybridMultilevel"/>
    <w:tmpl w:val="16006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5E238A"/>
    <w:multiLevelType w:val="hybridMultilevel"/>
    <w:tmpl w:val="B4743758"/>
    <w:lvl w:ilvl="0">
      <w:start w:val="8"/>
      <w:numFmt w:val="upperLetter"/>
      <w:lvlText w:val="%1."/>
      <w:lvlJc w:val="left"/>
      <w:pPr>
        <w:ind w:left="1080" w:hanging="360"/>
      </w:pPr>
      <w:rPr>
        <w:rFonts w:hint="default"/>
        <w:u w:val="none"/>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215467D"/>
    <w:multiLevelType w:val="hybridMultilevel"/>
    <w:tmpl w:val="E1E80028"/>
    <w:lvl w:ilvl="0">
      <w:start w:val="1"/>
      <w:numFmt w:val="upperRoman"/>
      <w:lvlText w:val="%1."/>
      <w:lvlJc w:val="left"/>
      <w:pPr>
        <w:ind w:left="2040" w:hanging="720"/>
        <w:jc w:val="right"/>
      </w:pPr>
      <w:rPr>
        <w:rFonts w:ascii="Times New Roman" w:eastAsia="Times New Roman" w:hAnsi="Times New Roman" w:cs="Times New Roman" w:hint="default"/>
        <w:spacing w:val="-4"/>
        <w:w w:val="100"/>
        <w:sz w:val="24"/>
        <w:szCs w:val="24"/>
        <w:lang w:val="en-US" w:eastAsia="en-US" w:bidi="ar-SA"/>
      </w:rPr>
    </w:lvl>
    <w:lvl w:ilvl="1">
      <w:start w:val="1"/>
      <w:numFmt w:val="upperLetter"/>
      <w:lvlText w:val="%2."/>
      <w:lvlJc w:val="left"/>
      <w:pPr>
        <w:ind w:left="2760" w:hanging="720"/>
      </w:pPr>
      <w:rPr>
        <w:rFonts w:ascii="Times New Roman" w:eastAsia="Times New Roman" w:hAnsi="Times New Roman" w:cs="Times New Roman" w:hint="default"/>
        <w:spacing w:val="-1"/>
        <w:w w:val="100"/>
        <w:sz w:val="24"/>
        <w:szCs w:val="24"/>
        <w:lang w:val="en-US" w:eastAsia="en-US" w:bidi="ar-SA"/>
      </w:rPr>
    </w:lvl>
    <w:lvl w:ilvl="2">
      <w:start w:val="1"/>
      <w:numFmt w:val="decimal"/>
      <w:lvlText w:val="%3."/>
      <w:lvlJc w:val="left"/>
      <w:pPr>
        <w:ind w:left="3480" w:hanging="720"/>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4200" w:hanging="720"/>
      </w:pPr>
      <w:rPr>
        <w:rFonts w:ascii="Times New Roman" w:eastAsia="Times New Roman" w:hAnsi="Times New Roman" w:cs="Times New Roman" w:hint="default"/>
        <w:spacing w:val="-1"/>
        <w:w w:val="100"/>
        <w:sz w:val="24"/>
        <w:szCs w:val="24"/>
        <w:lang w:val="en-US" w:eastAsia="en-US" w:bidi="ar-SA"/>
      </w:rPr>
    </w:lvl>
    <w:lvl w:ilvl="4">
      <w:start w:val="1"/>
      <w:numFmt w:val="lowerRoman"/>
      <w:lvlText w:val="%5."/>
      <w:lvlJc w:val="left"/>
      <w:pPr>
        <w:ind w:left="4920" w:hanging="848"/>
        <w:jc w:val="right"/>
      </w:pPr>
      <w:rPr>
        <w:rFonts w:ascii="Times New Roman" w:eastAsia="Times New Roman" w:hAnsi="Times New Roman" w:cs="Times New Roman" w:hint="default"/>
        <w:w w:val="100"/>
        <w:sz w:val="24"/>
        <w:szCs w:val="24"/>
        <w:lang w:val="en-US" w:eastAsia="en-US" w:bidi="ar-SA"/>
      </w:rPr>
    </w:lvl>
    <w:lvl w:ilvl="5">
      <w:start w:val="1"/>
      <w:numFmt w:val="lowerLetter"/>
      <w:lvlText w:val="%6."/>
      <w:lvlJc w:val="left"/>
      <w:pPr>
        <w:ind w:left="5640" w:hanging="720"/>
      </w:pPr>
      <w:rPr>
        <w:rFonts w:ascii="Times New Roman" w:eastAsia="Times New Roman" w:hAnsi="Times New Roman" w:cs="Times New Roman" w:hint="default"/>
        <w:spacing w:val="-1"/>
        <w:w w:val="100"/>
        <w:sz w:val="24"/>
        <w:szCs w:val="24"/>
        <w:lang w:val="en-US" w:eastAsia="en-US" w:bidi="ar-SA"/>
      </w:rPr>
    </w:lvl>
    <w:lvl w:ilvl="6">
      <w:start w:val="0"/>
      <w:numFmt w:val="bullet"/>
      <w:lvlText w:val="•"/>
      <w:lvlJc w:val="left"/>
      <w:pPr>
        <w:ind w:left="5640" w:hanging="720"/>
      </w:pPr>
      <w:rPr>
        <w:rFonts w:hint="default"/>
        <w:lang w:val="en-US" w:eastAsia="en-US" w:bidi="ar-SA"/>
      </w:rPr>
    </w:lvl>
    <w:lvl w:ilvl="7">
      <w:start w:val="0"/>
      <w:numFmt w:val="bullet"/>
      <w:lvlText w:val="•"/>
      <w:lvlJc w:val="left"/>
      <w:pPr>
        <w:ind w:left="7220" w:hanging="720"/>
      </w:pPr>
      <w:rPr>
        <w:rFonts w:hint="default"/>
        <w:lang w:val="en-US" w:eastAsia="en-US" w:bidi="ar-SA"/>
      </w:rPr>
    </w:lvl>
    <w:lvl w:ilvl="8">
      <w:start w:val="0"/>
      <w:numFmt w:val="bullet"/>
      <w:lvlText w:val="•"/>
      <w:lvlJc w:val="left"/>
      <w:pPr>
        <w:ind w:left="8800" w:hanging="720"/>
      </w:pPr>
      <w:rPr>
        <w:rFonts w:hint="default"/>
        <w:lang w:val="en-US" w:eastAsia="en-US" w:bidi="ar-SA"/>
      </w:rPr>
    </w:lvl>
  </w:abstractNum>
  <w:abstractNum w:abstractNumId="6">
    <w:nsid w:val="230F2B47"/>
    <w:multiLevelType w:val="hybridMultilevel"/>
    <w:tmpl w:val="3162D1DC"/>
    <w:lvl w:ilvl="0">
      <w:start w:val="1"/>
      <w:numFmt w:val="lowerRoman"/>
      <w:lvlText w:val="%1."/>
      <w:lvlJc w:val="left"/>
      <w:pPr>
        <w:ind w:left="1440" w:hanging="720"/>
      </w:pPr>
      <w:rPr>
        <w:rFonts w:hint="default"/>
        <w:b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7970CC2"/>
    <w:multiLevelType w:val="hybridMultilevel"/>
    <w:tmpl w:val="3998D6D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nsid w:val="359F4B59"/>
    <w:multiLevelType w:val="hybridMultilevel"/>
    <w:tmpl w:val="BA1C37CA"/>
    <w:lvl w:ilvl="0">
      <w:start w:val="2"/>
      <w:numFmt w:val="upperLetter"/>
      <w:lvlText w:val="%1."/>
      <w:lvlJc w:val="left"/>
      <w:pPr>
        <w:tabs>
          <w:tab w:val="num" w:pos="1440"/>
        </w:tabs>
        <w:ind w:left="1440" w:hanging="720"/>
      </w:pPr>
      <w:rPr>
        <w:rFonts w:hint="default"/>
        <w:u w:val="none"/>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45E0E5F"/>
    <w:multiLevelType w:val="hybridMultilevel"/>
    <w:tmpl w:val="9FC4D082"/>
    <w:lvl w:ilvl="0">
      <w:start w:val="1"/>
      <w:numFmt w:val="lowerRoman"/>
      <w:lvlText w:val="%1."/>
      <w:lvlJc w:val="left"/>
      <w:pPr>
        <w:ind w:left="1080" w:hanging="720"/>
      </w:pPr>
      <w:rPr>
        <w:rFonts w:hint="default"/>
        <w:b w:val="0"/>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4A41276"/>
    <w:multiLevelType w:val="hybridMultilevel"/>
    <w:tmpl w:val="C294602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B840EA"/>
    <w:multiLevelType w:val="hybridMultilevel"/>
    <w:tmpl w:val="D054D0E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9EE358E"/>
    <w:multiLevelType w:val="hybridMultilevel"/>
    <w:tmpl w:val="C38EC708"/>
    <w:lvl w:ilvl="0">
      <w:start w:val="9"/>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4">
    <w:nsid w:val="62133FB1"/>
    <w:multiLevelType w:val="hybridMultilevel"/>
    <w:tmpl w:val="416EA5FE"/>
    <w:lvl w:ilvl="0">
      <w:start w:val="1"/>
      <w:numFmt w:val="lowerRoman"/>
      <w:lvlText w:val="%1."/>
      <w:lvlJc w:val="left"/>
      <w:pPr>
        <w:tabs>
          <w:tab w:val="num" w:pos="1440"/>
        </w:tabs>
        <w:ind w:left="1440" w:hanging="720"/>
      </w:pPr>
      <w:rPr>
        <w:rFonts w:hint="default"/>
      </w:rPr>
    </w:lvl>
    <w:lvl w:ilvl="1">
      <w:start w:val="2"/>
      <w:numFmt w:val="upperLetter"/>
      <w:lvlText w:val="%2."/>
      <w:lvlJc w:val="left"/>
      <w:pPr>
        <w:tabs>
          <w:tab w:val="num" w:pos="1800"/>
        </w:tabs>
        <w:ind w:left="1800" w:hanging="360"/>
      </w:pPr>
      <w:rPr>
        <w:rFonts w:hint="default"/>
        <w:u w:val="none"/>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55F48BA"/>
    <w:multiLevelType w:val="hybridMultilevel"/>
    <w:tmpl w:val="B6208FCA"/>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669956E3"/>
    <w:multiLevelType w:val="hybridMultilevel"/>
    <w:tmpl w:val="3804655C"/>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6B3C1DDF"/>
    <w:multiLevelType w:val="hybridMultilevel"/>
    <w:tmpl w:val="8A705220"/>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6E96303D"/>
    <w:multiLevelType w:val="hybridMultilevel"/>
    <w:tmpl w:val="31420C0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52D2220"/>
    <w:multiLevelType w:val="hybridMultilevel"/>
    <w:tmpl w:val="BC9C3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1456620">
    <w:abstractNumId w:val="11"/>
  </w:num>
  <w:num w:numId="2" w16cid:durableId="1204907260">
    <w:abstractNumId w:val="14"/>
  </w:num>
  <w:num w:numId="3" w16cid:durableId="1942225934">
    <w:abstractNumId w:val="8"/>
  </w:num>
  <w:num w:numId="4" w16cid:durableId="127556297">
    <w:abstractNumId w:val="16"/>
  </w:num>
  <w:num w:numId="5" w16cid:durableId="1998411797">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6" w16cid:durableId="140925814">
    <w:abstractNumId w:val="13"/>
  </w:num>
  <w:num w:numId="7" w16cid:durableId="965620780">
    <w:abstractNumId w:val="10"/>
  </w:num>
  <w:num w:numId="8" w16cid:durableId="1527788692">
    <w:abstractNumId w:val="5"/>
  </w:num>
  <w:num w:numId="9" w16cid:durableId="268397651">
    <w:abstractNumId w:val="19"/>
  </w:num>
  <w:num w:numId="10" w16cid:durableId="570972215">
    <w:abstractNumId w:val="3"/>
  </w:num>
  <w:num w:numId="11" w16cid:durableId="1745033805">
    <w:abstractNumId w:val="7"/>
  </w:num>
  <w:num w:numId="12" w16cid:durableId="1593734567">
    <w:abstractNumId w:val="7"/>
  </w:num>
  <w:num w:numId="13" w16cid:durableId="473640720">
    <w:abstractNumId w:val="17"/>
  </w:num>
  <w:num w:numId="14" w16cid:durableId="58359682">
    <w:abstractNumId w:val="15"/>
  </w:num>
  <w:num w:numId="15" w16cid:durableId="1946571284">
    <w:abstractNumId w:val="18"/>
  </w:num>
  <w:num w:numId="16" w16cid:durableId="1073700374">
    <w:abstractNumId w:val="6"/>
  </w:num>
  <w:num w:numId="17" w16cid:durableId="198393774">
    <w:abstractNumId w:val="9"/>
  </w:num>
  <w:num w:numId="18" w16cid:durableId="1801259682">
    <w:abstractNumId w:val="2"/>
  </w:num>
  <w:num w:numId="19" w16cid:durableId="939416068">
    <w:abstractNumId w:val="1"/>
  </w:num>
  <w:num w:numId="20" w16cid:durableId="803815013">
    <w:abstractNumId w:val="4"/>
  </w:num>
  <w:num w:numId="21" w16cid:durableId="96385298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doNotEmbedSmartTags/>
  <w:footnotePr>
    <w:pos w:val="beneathText"/>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BF3"/>
    <w:rsid w:val="00000071"/>
    <w:rsid w:val="000007EB"/>
    <w:rsid w:val="00000FAB"/>
    <w:rsid w:val="00001B3F"/>
    <w:rsid w:val="0000305A"/>
    <w:rsid w:val="00003EEE"/>
    <w:rsid w:val="00005ECF"/>
    <w:rsid w:val="00006780"/>
    <w:rsid w:val="00006B3D"/>
    <w:rsid w:val="00006D1C"/>
    <w:rsid w:val="00007D52"/>
    <w:rsid w:val="000100D9"/>
    <w:rsid w:val="000101B8"/>
    <w:rsid w:val="00010C1D"/>
    <w:rsid w:val="0001115C"/>
    <w:rsid w:val="00011431"/>
    <w:rsid w:val="00011970"/>
    <w:rsid w:val="00011BE5"/>
    <w:rsid w:val="000136BC"/>
    <w:rsid w:val="00013D73"/>
    <w:rsid w:val="00014B4C"/>
    <w:rsid w:val="0001520F"/>
    <w:rsid w:val="00015333"/>
    <w:rsid w:val="00015474"/>
    <w:rsid w:val="00015859"/>
    <w:rsid w:val="00015A4D"/>
    <w:rsid w:val="00015CCD"/>
    <w:rsid w:val="000167DD"/>
    <w:rsid w:val="00017532"/>
    <w:rsid w:val="00017993"/>
    <w:rsid w:val="00020FD4"/>
    <w:rsid w:val="00021CC1"/>
    <w:rsid w:val="0002311C"/>
    <w:rsid w:val="00023128"/>
    <w:rsid w:val="00023614"/>
    <w:rsid w:val="000247D0"/>
    <w:rsid w:val="000258C9"/>
    <w:rsid w:val="00025DD5"/>
    <w:rsid w:val="00025E42"/>
    <w:rsid w:val="0002614F"/>
    <w:rsid w:val="000268E5"/>
    <w:rsid w:val="000272A9"/>
    <w:rsid w:val="0002741B"/>
    <w:rsid w:val="00027B40"/>
    <w:rsid w:val="00027D61"/>
    <w:rsid w:val="00030B3E"/>
    <w:rsid w:val="000319DD"/>
    <w:rsid w:val="00031B2C"/>
    <w:rsid w:val="00032E2A"/>
    <w:rsid w:val="000332BA"/>
    <w:rsid w:val="00033BC5"/>
    <w:rsid w:val="00033FEA"/>
    <w:rsid w:val="00034521"/>
    <w:rsid w:val="0003461B"/>
    <w:rsid w:val="0003530E"/>
    <w:rsid w:val="00036082"/>
    <w:rsid w:val="0003633C"/>
    <w:rsid w:val="00037228"/>
    <w:rsid w:val="000404A9"/>
    <w:rsid w:val="000411C6"/>
    <w:rsid w:val="00041200"/>
    <w:rsid w:val="00041D1A"/>
    <w:rsid w:val="000421AE"/>
    <w:rsid w:val="00044661"/>
    <w:rsid w:val="00045BA1"/>
    <w:rsid w:val="00045F69"/>
    <w:rsid w:val="00047BEC"/>
    <w:rsid w:val="00050053"/>
    <w:rsid w:val="00050905"/>
    <w:rsid w:val="0005120D"/>
    <w:rsid w:val="00051708"/>
    <w:rsid w:val="000520BD"/>
    <w:rsid w:val="00052410"/>
    <w:rsid w:val="000532B2"/>
    <w:rsid w:val="000547A8"/>
    <w:rsid w:val="00054B25"/>
    <w:rsid w:val="00054DA7"/>
    <w:rsid w:val="00055175"/>
    <w:rsid w:val="00055379"/>
    <w:rsid w:val="00055C2D"/>
    <w:rsid w:val="00055C88"/>
    <w:rsid w:val="00056580"/>
    <w:rsid w:val="0005678A"/>
    <w:rsid w:val="00056BE6"/>
    <w:rsid w:val="00056F07"/>
    <w:rsid w:val="000575C6"/>
    <w:rsid w:val="00057EE5"/>
    <w:rsid w:val="00060F8F"/>
    <w:rsid w:val="00060FD8"/>
    <w:rsid w:val="000620D3"/>
    <w:rsid w:val="00062381"/>
    <w:rsid w:val="00062778"/>
    <w:rsid w:val="00062A6C"/>
    <w:rsid w:val="00062D91"/>
    <w:rsid w:val="00064977"/>
    <w:rsid w:val="00064E1D"/>
    <w:rsid w:val="000650E2"/>
    <w:rsid w:val="00067246"/>
    <w:rsid w:val="000679F7"/>
    <w:rsid w:val="00070B57"/>
    <w:rsid w:val="00071D29"/>
    <w:rsid w:val="00071E4D"/>
    <w:rsid w:val="0007211D"/>
    <w:rsid w:val="00073258"/>
    <w:rsid w:val="000733C5"/>
    <w:rsid w:val="00073720"/>
    <w:rsid w:val="00073C47"/>
    <w:rsid w:val="00073C6D"/>
    <w:rsid w:val="00075203"/>
    <w:rsid w:val="0007527A"/>
    <w:rsid w:val="0007561A"/>
    <w:rsid w:val="0007633F"/>
    <w:rsid w:val="00076865"/>
    <w:rsid w:val="000775EF"/>
    <w:rsid w:val="000800DF"/>
    <w:rsid w:val="000804F7"/>
    <w:rsid w:val="000806C3"/>
    <w:rsid w:val="00081368"/>
    <w:rsid w:val="000814ED"/>
    <w:rsid w:val="00081D5F"/>
    <w:rsid w:val="00083B4F"/>
    <w:rsid w:val="00083E09"/>
    <w:rsid w:val="00084478"/>
    <w:rsid w:val="0008451B"/>
    <w:rsid w:val="00085188"/>
    <w:rsid w:val="00085BD7"/>
    <w:rsid w:val="00086906"/>
    <w:rsid w:val="00087D85"/>
    <w:rsid w:val="00087F5E"/>
    <w:rsid w:val="0009016B"/>
    <w:rsid w:val="00090A11"/>
    <w:rsid w:val="00091305"/>
    <w:rsid w:val="00092140"/>
    <w:rsid w:val="000929DB"/>
    <w:rsid w:val="00092BB3"/>
    <w:rsid w:val="0009357D"/>
    <w:rsid w:val="00093B87"/>
    <w:rsid w:val="00093B96"/>
    <w:rsid w:val="000946E9"/>
    <w:rsid w:val="00094B20"/>
    <w:rsid w:val="000950A8"/>
    <w:rsid w:val="0009576C"/>
    <w:rsid w:val="00095D35"/>
    <w:rsid w:val="00095E5F"/>
    <w:rsid w:val="00096027"/>
    <w:rsid w:val="00096976"/>
    <w:rsid w:val="00096B74"/>
    <w:rsid w:val="00097A9D"/>
    <w:rsid w:val="00097A9E"/>
    <w:rsid w:val="00097ECE"/>
    <w:rsid w:val="000A2189"/>
    <w:rsid w:val="000A2486"/>
    <w:rsid w:val="000A271E"/>
    <w:rsid w:val="000A2829"/>
    <w:rsid w:val="000A4A11"/>
    <w:rsid w:val="000A5359"/>
    <w:rsid w:val="000A5F4E"/>
    <w:rsid w:val="000A632C"/>
    <w:rsid w:val="000A660D"/>
    <w:rsid w:val="000A7662"/>
    <w:rsid w:val="000A7718"/>
    <w:rsid w:val="000B08C0"/>
    <w:rsid w:val="000B0B94"/>
    <w:rsid w:val="000B0BFA"/>
    <w:rsid w:val="000B11AC"/>
    <w:rsid w:val="000B13E5"/>
    <w:rsid w:val="000B2173"/>
    <w:rsid w:val="000B2E3B"/>
    <w:rsid w:val="000B2ED2"/>
    <w:rsid w:val="000B378A"/>
    <w:rsid w:val="000B4413"/>
    <w:rsid w:val="000B50AF"/>
    <w:rsid w:val="000B5397"/>
    <w:rsid w:val="000B545F"/>
    <w:rsid w:val="000B57B1"/>
    <w:rsid w:val="000B5D25"/>
    <w:rsid w:val="000B61C5"/>
    <w:rsid w:val="000B69CC"/>
    <w:rsid w:val="000B74FC"/>
    <w:rsid w:val="000B76CC"/>
    <w:rsid w:val="000B7C97"/>
    <w:rsid w:val="000C04A2"/>
    <w:rsid w:val="000C0BB3"/>
    <w:rsid w:val="000C0EF3"/>
    <w:rsid w:val="000C151B"/>
    <w:rsid w:val="000C368A"/>
    <w:rsid w:val="000C5684"/>
    <w:rsid w:val="000C56E9"/>
    <w:rsid w:val="000C65B6"/>
    <w:rsid w:val="000C6FD7"/>
    <w:rsid w:val="000C76EA"/>
    <w:rsid w:val="000C7B90"/>
    <w:rsid w:val="000D0039"/>
    <w:rsid w:val="000D067C"/>
    <w:rsid w:val="000D1676"/>
    <w:rsid w:val="000D1BCC"/>
    <w:rsid w:val="000D1DF2"/>
    <w:rsid w:val="000D34DC"/>
    <w:rsid w:val="000D3B6F"/>
    <w:rsid w:val="000D462E"/>
    <w:rsid w:val="000D48F5"/>
    <w:rsid w:val="000D4CCD"/>
    <w:rsid w:val="000D50C3"/>
    <w:rsid w:val="000D5A62"/>
    <w:rsid w:val="000D5AD3"/>
    <w:rsid w:val="000D5F56"/>
    <w:rsid w:val="000D6882"/>
    <w:rsid w:val="000D7263"/>
    <w:rsid w:val="000D72F8"/>
    <w:rsid w:val="000D7D3A"/>
    <w:rsid w:val="000D7D3C"/>
    <w:rsid w:val="000D7FA9"/>
    <w:rsid w:val="000E003D"/>
    <w:rsid w:val="000E09E3"/>
    <w:rsid w:val="000E107A"/>
    <w:rsid w:val="000E10E7"/>
    <w:rsid w:val="000E2D57"/>
    <w:rsid w:val="000E3F7C"/>
    <w:rsid w:val="000E4298"/>
    <w:rsid w:val="000E47BE"/>
    <w:rsid w:val="000E4B21"/>
    <w:rsid w:val="000E51FF"/>
    <w:rsid w:val="000E596B"/>
    <w:rsid w:val="000E6D6E"/>
    <w:rsid w:val="000E6DD5"/>
    <w:rsid w:val="000E757D"/>
    <w:rsid w:val="000F07DF"/>
    <w:rsid w:val="000F2538"/>
    <w:rsid w:val="000F3557"/>
    <w:rsid w:val="000F41B2"/>
    <w:rsid w:val="000F4544"/>
    <w:rsid w:val="000F4591"/>
    <w:rsid w:val="000F4A39"/>
    <w:rsid w:val="000F4B68"/>
    <w:rsid w:val="000F56CC"/>
    <w:rsid w:val="000F5EF5"/>
    <w:rsid w:val="000F6283"/>
    <w:rsid w:val="000F75EE"/>
    <w:rsid w:val="000F7EED"/>
    <w:rsid w:val="00100EF9"/>
    <w:rsid w:val="00101BF8"/>
    <w:rsid w:val="00101EAE"/>
    <w:rsid w:val="0010247E"/>
    <w:rsid w:val="00102C20"/>
    <w:rsid w:val="00102D34"/>
    <w:rsid w:val="00102F22"/>
    <w:rsid w:val="00104581"/>
    <w:rsid w:val="00104C05"/>
    <w:rsid w:val="001050AF"/>
    <w:rsid w:val="0010512E"/>
    <w:rsid w:val="0010604C"/>
    <w:rsid w:val="00106DF2"/>
    <w:rsid w:val="001071A7"/>
    <w:rsid w:val="00107333"/>
    <w:rsid w:val="00107584"/>
    <w:rsid w:val="00110004"/>
    <w:rsid w:val="00111B59"/>
    <w:rsid w:val="001126BA"/>
    <w:rsid w:val="001145C1"/>
    <w:rsid w:val="0011537A"/>
    <w:rsid w:val="001155EA"/>
    <w:rsid w:val="001155F6"/>
    <w:rsid w:val="00115B08"/>
    <w:rsid w:val="00116643"/>
    <w:rsid w:val="00116988"/>
    <w:rsid w:val="00117371"/>
    <w:rsid w:val="001207A2"/>
    <w:rsid w:val="001213FB"/>
    <w:rsid w:val="00121CC4"/>
    <w:rsid w:val="0012364F"/>
    <w:rsid w:val="00123DAA"/>
    <w:rsid w:val="001246A3"/>
    <w:rsid w:val="001247C7"/>
    <w:rsid w:val="00124BC2"/>
    <w:rsid w:val="001251A8"/>
    <w:rsid w:val="00126072"/>
    <w:rsid w:val="00126493"/>
    <w:rsid w:val="00127425"/>
    <w:rsid w:val="001303B1"/>
    <w:rsid w:val="001305E8"/>
    <w:rsid w:val="00131624"/>
    <w:rsid w:val="00131D71"/>
    <w:rsid w:val="0013469A"/>
    <w:rsid w:val="00134E17"/>
    <w:rsid w:val="001364B3"/>
    <w:rsid w:val="001366FD"/>
    <w:rsid w:val="0014146B"/>
    <w:rsid w:val="00143D8E"/>
    <w:rsid w:val="00145645"/>
    <w:rsid w:val="00145FD2"/>
    <w:rsid w:val="0014620A"/>
    <w:rsid w:val="001466FD"/>
    <w:rsid w:val="0014676B"/>
    <w:rsid w:val="001469BF"/>
    <w:rsid w:val="00147CFA"/>
    <w:rsid w:val="001508AC"/>
    <w:rsid w:val="00153149"/>
    <w:rsid w:val="0015370F"/>
    <w:rsid w:val="00153799"/>
    <w:rsid w:val="00154965"/>
    <w:rsid w:val="00154F46"/>
    <w:rsid w:val="00155E68"/>
    <w:rsid w:val="00155E79"/>
    <w:rsid w:val="00156266"/>
    <w:rsid w:val="00157DA3"/>
    <w:rsid w:val="00160BED"/>
    <w:rsid w:val="001610B4"/>
    <w:rsid w:val="00161A03"/>
    <w:rsid w:val="00161D6F"/>
    <w:rsid w:val="0016380B"/>
    <w:rsid w:val="001638CF"/>
    <w:rsid w:val="001649E2"/>
    <w:rsid w:val="00165300"/>
    <w:rsid w:val="00165790"/>
    <w:rsid w:val="00166044"/>
    <w:rsid w:val="00166764"/>
    <w:rsid w:val="00170E67"/>
    <w:rsid w:val="00171848"/>
    <w:rsid w:val="00171BF9"/>
    <w:rsid w:val="00171C6A"/>
    <w:rsid w:val="00174DE1"/>
    <w:rsid w:val="001754BA"/>
    <w:rsid w:val="00175ACE"/>
    <w:rsid w:val="00175F43"/>
    <w:rsid w:val="00176C19"/>
    <w:rsid w:val="0017704B"/>
    <w:rsid w:val="00177AE9"/>
    <w:rsid w:val="00177EF0"/>
    <w:rsid w:val="0018010D"/>
    <w:rsid w:val="0018068A"/>
    <w:rsid w:val="001815E2"/>
    <w:rsid w:val="00181966"/>
    <w:rsid w:val="00181B13"/>
    <w:rsid w:val="00182823"/>
    <w:rsid w:val="0018336D"/>
    <w:rsid w:val="00183904"/>
    <w:rsid w:val="0018408D"/>
    <w:rsid w:val="001845AB"/>
    <w:rsid w:val="00185006"/>
    <w:rsid w:val="00185035"/>
    <w:rsid w:val="00185438"/>
    <w:rsid w:val="00185D78"/>
    <w:rsid w:val="00186160"/>
    <w:rsid w:val="001869FF"/>
    <w:rsid w:val="0018730D"/>
    <w:rsid w:val="001879BD"/>
    <w:rsid w:val="00190725"/>
    <w:rsid w:val="00190B83"/>
    <w:rsid w:val="00190C67"/>
    <w:rsid w:val="00190E52"/>
    <w:rsid w:val="00191A64"/>
    <w:rsid w:val="00193516"/>
    <w:rsid w:val="001942BC"/>
    <w:rsid w:val="001946D3"/>
    <w:rsid w:val="001947AE"/>
    <w:rsid w:val="00195E50"/>
    <w:rsid w:val="00197450"/>
    <w:rsid w:val="0019755A"/>
    <w:rsid w:val="00197EA6"/>
    <w:rsid w:val="001A03C2"/>
    <w:rsid w:val="001A04C0"/>
    <w:rsid w:val="001A1246"/>
    <w:rsid w:val="001A2002"/>
    <w:rsid w:val="001A2279"/>
    <w:rsid w:val="001A2321"/>
    <w:rsid w:val="001A263F"/>
    <w:rsid w:val="001A35E4"/>
    <w:rsid w:val="001A413C"/>
    <w:rsid w:val="001A4A67"/>
    <w:rsid w:val="001A4F0A"/>
    <w:rsid w:val="001A536F"/>
    <w:rsid w:val="001A569C"/>
    <w:rsid w:val="001A5C2E"/>
    <w:rsid w:val="001A66F1"/>
    <w:rsid w:val="001A68A8"/>
    <w:rsid w:val="001A6AFB"/>
    <w:rsid w:val="001A6C1A"/>
    <w:rsid w:val="001B0C2B"/>
    <w:rsid w:val="001B1523"/>
    <w:rsid w:val="001B18BA"/>
    <w:rsid w:val="001B2492"/>
    <w:rsid w:val="001B2AB1"/>
    <w:rsid w:val="001B3C33"/>
    <w:rsid w:val="001B3CEE"/>
    <w:rsid w:val="001B55FC"/>
    <w:rsid w:val="001B59DB"/>
    <w:rsid w:val="001B5A4B"/>
    <w:rsid w:val="001B64C1"/>
    <w:rsid w:val="001B6F5F"/>
    <w:rsid w:val="001B7825"/>
    <w:rsid w:val="001B7F7E"/>
    <w:rsid w:val="001B7FBC"/>
    <w:rsid w:val="001C034C"/>
    <w:rsid w:val="001C1A64"/>
    <w:rsid w:val="001C3656"/>
    <w:rsid w:val="001C39AF"/>
    <w:rsid w:val="001C44A9"/>
    <w:rsid w:val="001C4520"/>
    <w:rsid w:val="001C456C"/>
    <w:rsid w:val="001C4D9B"/>
    <w:rsid w:val="001C55F3"/>
    <w:rsid w:val="001C5D8A"/>
    <w:rsid w:val="001C7CBF"/>
    <w:rsid w:val="001D13C9"/>
    <w:rsid w:val="001D13E9"/>
    <w:rsid w:val="001D20CF"/>
    <w:rsid w:val="001D2175"/>
    <w:rsid w:val="001D2D6F"/>
    <w:rsid w:val="001D380D"/>
    <w:rsid w:val="001D4159"/>
    <w:rsid w:val="001D4944"/>
    <w:rsid w:val="001D5E68"/>
    <w:rsid w:val="001D6048"/>
    <w:rsid w:val="001D629B"/>
    <w:rsid w:val="001D645F"/>
    <w:rsid w:val="001D69A2"/>
    <w:rsid w:val="001D6FBC"/>
    <w:rsid w:val="001D7075"/>
    <w:rsid w:val="001D7F28"/>
    <w:rsid w:val="001E0882"/>
    <w:rsid w:val="001E0A08"/>
    <w:rsid w:val="001E1380"/>
    <w:rsid w:val="001E1C37"/>
    <w:rsid w:val="001E42E9"/>
    <w:rsid w:val="001E61FA"/>
    <w:rsid w:val="001E6517"/>
    <w:rsid w:val="001E6833"/>
    <w:rsid w:val="001E7D5B"/>
    <w:rsid w:val="001F060A"/>
    <w:rsid w:val="001F09B1"/>
    <w:rsid w:val="001F0CE5"/>
    <w:rsid w:val="001F1B43"/>
    <w:rsid w:val="001F345E"/>
    <w:rsid w:val="001F4A1E"/>
    <w:rsid w:val="001F4E34"/>
    <w:rsid w:val="001F5B9D"/>
    <w:rsid w:val="001F68C9"/>
    <w:rsid w:val="00200C32"/>
    <w:rsid w:val="00201840"/>
    <w:rsid w:val="002022B7"/>
    <w:rsid w:val="0020337D"/>
    <w:rsid w:val="00203FE5"/>
    <w:rsid w:val="0020471F"/>
    <w:rsid w:val="00204886"/>
    <w:rsid w:val="00204B3F"/>
    <w:rsid w:val="00205BAF"/>
    <w:rsid w:val="0020737B"/>
    <w:rsid w:val="002074C8"/>
    <w:rsid w:val="002111BE"/>
    <w:rsid w:val="00211EAC"/>
    <w:rsid w:val="00213560"/>
    <w:rsid w:val="0021373F"/>
    <w:rsid w:val="0021419B"/>
    <w:rsid w:val="0021426D"/>
    <w:rsid w:val="00214296"/>
    <w:rsid w:val="00214892"/>
    <w:rsid w:val="0021517D"/>
    <w:rsid w:val="00215424"/>
    <w:rsid w:val="00215B44"/>
    <w:rsid w:val="00215E3B"/>
    <w:rsid w:val="00216899"/>
    <w:rsid w:val="0021783A"/>
    <w:rsid w:val="002201CC"/>
    <w:rsid w:val="00220503"/>
    <w:rsid w:val="002206E5"/>
    <w:rsid w:val="00221530"/>
    <w:rsid w:val="00222299"/>
    <w:rsid w:val="00222597"/>
    <w:rsid w:val="00222CD6"/>
    <w:rsid w:val="00222CDC"/>
    <w:rsid w:val="00222EF2"/>
    <w:rsid w:val="00223523"/>
    <w:rsid w:val="002237D4"/>
    <w:rsid w:val="00223E7D"/>
    <w:rsid w:val="00224613"/>
    <w:rsid w:val="002279FF"/>
    <w:rsid w:val="00227F18"/>
    <w:rsid w:val="0023088D"/>
    <w:rsid w:val="0023139B"/>
    <w:rsid w:val="00231B7B"/>
    <w:rsid w:val="002326EF"/>
    <w:rsid w:val="002339DA"/>
    <w:rsid w:val="00233D4E"/>
    <w:rsid w:val="00233E9A"/>
    <w:rsid w:val="0023594E"/>
    <w:rsid w:val="00235F44"/>
    <w:rsid w:val="00235F75"/>
    <w:rsid w:val="002362AF"/>
    <w:rsid w:val="0023658A"/>
    <w:rsid w:val="0023709F"/>
    <w:rsid w:val="0024049C"/>
    <w:rsid w:val="00240CBF"/>
    <w:rsid w:val="00241A20"/>
    <w:rsid w:val="00242536"/>
    <w:rsid w:val="00242A71"/>
    <w:rsid w:val="00242DCA"/>
    <w:rsid w:val="0024384A"/>
    <w:rsid w:val="002438FD"/>
    <w:rsid w:val="00243972"/>
    <w:rsid w:val="00245185"/>
    <w:rsid w:val="0024553D"/>
    <w:rsid w:val="002456C2"/>
    <w:rsid w:val="002463A2"/>
    <w:rsid w:val="0024755B"/>
    <w:rsid w:val="00247A0B"/>
    <w:rsid w:val="00247B3A"/>
    <w:rsid w:val="00247F2F"/>
    <w:rsid w:val="0025178D"/>
    <w:rsid w:val="0025186D"/>
    <w:rsid w:val="00251A50"/>
    <w:rsid w:val="00251DF4"/>
    <w:rsid w:val="002527B1"/>
    <w:rsid w:val="002530C9"/>
    <w:rsid w:val="00253A80"/>
    <w:rsid w:val="0025424A"/>
    <w:rsid w:val="00254629"/>
    <w:rsid w:val="002547BA"/>
    <w:rsid w:val="00254A12"/>
    <w:rsid w:val="002552D1"/>
    <w:rsid w:val="002562EB"/>
    <w:rsid w:val="002564E4"/>
    <w:rsid w:val="002606E4"/>
    <w:rsid w:val="0026154E"/>
    <w:rsid w:val="002625AF"/>
    <w:rsid w:val="00262CCD"/>
    <w:rsid w:val="0026368E"/>
    <w:rsid w:val="00263B8D"/>
    <w:rsid w:val="00264019"/>
    <w:rsid w:val="002642F8"/>
    <w:rsid w:val="00266441"/>
    <w:rsid w:val="00266467"/>
    <w:rsid w:val="002668C0"/>
    <w:rsid w:val="00266C72"/>
    <w:rsid w:val="00267BC7"/>
    <w:rsid w:val="0027087D"/>
    <w:rsid w:val="00271FB6"/>
    <w:rsid w:val="0027208B"/>
    <w:rsid w:val="00272734"/>
    <w:rsid w:val="00273B88"/>
    <w:rsid w:val="00273F9D"/>
    <w:rsid w:val="00274EBF"/>
    <w:rsid w:val="00276BC1"/>
    <w:rsid w:val="00276C01"/>
    <w:rsid w:val="00280589"/>
    <w:rsid w:val="00280828"/>
    <w:rsid w:val="002808E9"/>
    <w:rsid w:val="002808F5"/>
    <w:rsid w:val="00280DC8"/>
    <w:rsid w:val="00281302"/>
    <w:rsid w:val="00281750"/>
    <w:rsid w:val="00282B3A"/>
    <w:rsid w:val="00282C23"/>
    <w:rsid w:val="00282DF8"/>
    <w:rsid w:val="002832C3"/>
    <w:rsid w:val="00283909"/>
    <w:rsid w:val="00283A6B"/>
    <w:rsid w:val="00283B73"/>
    <w:rsid w:val="00286A77"/>
    <w:rsid w:val="00286FD6"/>
    <w:rsid w:val="00287159"/>
    <w:rsid w:val="00290935"/>
    <w:rsid w:val="00291AF5"/>
    <w:rsid w:val="00291D42"/>
    <w:rsid w:val="0029259E"/>
    <w:rsid w:val="00292B53"/>
    <w:rsid w:val="0029335C"/>
    <w:rsid w:val="0029435F"/>
    <w:rsid w:val="00295102"/>
    <w:rsid w:val="002961C6"/>
    <w:rsid w:val="00296306"/>
    <w:rsid w:val="00296461"/>
    <w:rsid w:val="00296961"/>
    <w:rsid w:val="00296A12"/>
    <w:rsid w:val="00297A94"/>
    <w:rsid w:val="00297B47"/>
    <w:rsid w:val="00297DDA"/>
    <w:rsid w:val="002A0B7E"/>
    <w:rsid w:val="002A0BAC"/>
    <w:rsid w:val="002A1471"/>
    <w:rsid w:val="002A1A0A"/>
    <w:rsid w:val="002A24B5"/>
    <w:rsid w:val="002A2785"/>
    <w:rsid w:val="002A2F31"/>
    <w:rsid w:val="002A37B5"/>
    <w:rsid w:val="002A4F98"/>
    <w:rsid w:val="002A4F9A"/>
    <w:rsid w:val="002A5010"/>
    <w:rsid w:val="002A5D09"/>
    <w:rsid w:val="002A5DA9"/>
    <w:rsid w:val="002A603C"/>
    <w:rsid w:val="002A72F8"/>
    <w:rsid w:val="002B0B27"/>
    <w:rsid w:val="002B1514"/>
    <w:rsid w:val="002B19F4"/>
    <w:rsid w:val="002B2604"/>
    <w:rsid w:val="002B2843"/>
    <w:rsid w:val="002B2B15"/>
    <w:rsid w:val="002B30F4"/>
    <w:rsid w:val="002B3298"/>
    <w:rsid w:val="002B3D74"/>
    <w:rsid w:val="002B623A"/>
    <w:rsid w:val="002B6EC4"/>
    <w:rsid w:val="002B70C1"/>
    <w:rsid w:val="002C0EBF"/>
    <w:rsid w:val="002C16F1"/>
    <w:rsid w:val="002C171C"/>
    <w:rsid w:val="002C177C"/>
    <w:rsid w:val="002C20A1"/>
    <w:rsid w:val="002C2136"/>
    <w:rsid w:val="002C2915"/>
    <w:rsid w:val="002C32D3"/>
    <w:rsid w:val="002C3326"/>
    <w:rsid w:val="002C3362"/>
    <w:rsid w:val="002C33DD"/>
    <w:rsid w:val="002C5CC2"/>
    <w:rsid w:val="002C62A2"/>
    <w:rsid w:val="002C65D8"/>
    <w:rsid w:val="002C6608"/>
    <w:rsid w:val="002C6867"/>
    <w:rsid w:val="002C6AA1"/>
    <w:rsid w:val="002C6C85"/>
    <w:rsid w:val="002C75C0"/>
    <w:rsid w:val="002C75DE"/>
    <w:rsid w:val="002D1D1B"/>
    <w:rsid w:val="002D21B1"/>
    <w:rsid w:val="002D234D"/>
    <w:rsid w:val="002D3BA6"/>
    <w:rsid w:val="002D3CBC"/>
    <w:rsid w:val="002D4679"/>
    <w:rsid w:val="002D5955"/>
    <w:rsid w:val="002D64C8"/>
    <w:rsid w:val="002D6552"/>
    <w:rsid w:val="002D65E9"/>
    <w:rsid w:val="002D7A03"/>
    <w:rsid w:val="002D7C35"/>
    <w:rsid w:val="002E2ED9"/>
    <w:rsid w:val="002E358A"/>
    <w:rsid w:val="002E3657"/>
    <w:rsid w:val="002E3F8E"/>
    <w:rsid w:val="002E432A"/>
    <w:rsid w:val="002E54AA"/>
    <w:rsid w:val="002E5E92"/>
    <w:rsid w:val="002E67FA"/>
    <w:rsid w:val="002E6AAF"/>
    <w:rsid w:val="002F0834"/>
    <w:rsid w:val="002F11B7"/>
    <w:rsid w:val="002F1500"/>
    <w:rsid w:val="002F1523"/>
    <w:rsid w:val="002F1533"/>
    <w:rsid w:val="002F1CED"/>
    <w:rsid w:val="002F213C"/>
    <w:rsid w:val="002F2728"/>
    <w:rsid w:val="002F277E"/>
    <w:rsid w:val="002F2D10"/>
    <w:rsid w:val="002F433F"/>
    <w:rsid w:val="002F46F2"/>
    <w:rsid w:val="002F500D"/>
    <w:rsid w:val="002F5080"/>
    <w:rsid w:val="002F5165"/>
    <w:rsid w:val="002F5E16"/>
    <w:rsid w:val="002F6C28"/>
    <w:rsid w:val="002F7472"/>
    <w:rsid w:val="002F7E14"/>
    <w:rsid w:val="003002F7"/>
    <w:rsid w:val="0030079B"/>
    <w:rsid w:val="00301522"/>
    <w:rsid w:val="00301B01"/>
    <w:rsid w:val="00301B09"/>
    <w:rsid w:val="00301BED"/>
    <w:rsid w:val="00302A6D"/>
    <w:rsid w:val="003043F4"/>
    <w:rsid w:val="00304688"/>
    <w:rsid w:val="0030650B"/>
    <w:rsid w:val="00306762"/>
    <w:rsid w:val="00306B59"/>
    <w:rsid w:val="00307122"/>
    <w:rsid w:val="0030717E"/>
    <w:rsid w:val="0030725F"/>
    <w:rsid w:val="00307D30"/>
    <w:rsid w:val="00307E13"/>
    <w:rsid w:val="003104E4"/>
    <w:rsid w:val="003115C7"/>
    <w:rsid w:val="0031199F"/>
    <w:rsid w:val="00312909"/>
    <w:rsid w:val="00314892"/>
    <w:rsid w:val="00315CB6"/>
    <w:rsid w:val="0031615D"/>
    <w:rsid w:val="003161AE"/>
    <w:rsid w:val="00316D6B"/>
    <w:rsid w:val="003179BF"/>
    <w:rsid w:val="0032005F"/>
    <w:rsid w:val="00320119"/>
    <w:rsid w:val="003201B3"/>
    <w:rsid w:val="0032079B"/>
    <w:rsid w:val="003209B9"/>
    <w:rsid w:val="00320B5A"/>
    <w:rsid w:val="00320C37"/>
    <w:rsid w:val="00320C40"/>
    <w:rsid w:val="00320EC9"/>
    <w:rsid w:val="003215D7"/>
    <w:rsid w:val="00321616"/>
    <w:rsid w:val="00322175"/>
    <w:rsid w:val="003221C1"/>
    <w:rsid w:val="00322518"/>
    <w:rsid w:val="003228A7"/>
    <w:rsid w:val="00322A16"/>
    <w:rsid w:val="00323E15"/>
    <w:rsid w:val="003244ED"/>
    <w:rsid w:val="00324ADF"/>
    <w:rsid w:val="00325022"/>
    <w:rsid w:val="00325456"/>
    <w:rsid w:val="00325A4A"/>
    <w:rsid w:val="00325CED"/>
    <w:rsid w:val="003260EF"/>
    <w:rsid w:val="00326150"/>
    <w:rsid w:val="003263A1"/>
    <w:rsid w:val="0033009E"/>
    <w:rsid w:val="00330379"/>
    <w:rsid w:val="0033051E"/>
    <w:rsid w:val="0033054D"/>
    <w:rsid w:val="00330586"/>
    <w:rsid w:val="00330F18"/>
    <w:rsid w:val="00331396"/>
    <w:rsid w:val="00331401"/>
    <w:rsid w:val="0033180F"/>
    <w:rsid w:val="00331A85"/>
    <w:rsid w:val="00332262"/>
    <w:rsid w:val="003324E2"/>
    <w:rsid w:val="00333B9B"/>
    <w:rsid w:val="00334D8F"/>
    <w:rsid w:val="003353E5"/>
    <w:rsid w:val="0033583B"/>
    <w:rsid w:val="003369B5"/>
    <w:rsid w:val="0033709A"/>
    <w:rsid w:val="003371DD"/>
    <w:rsid w:val="003379BD"/>
    <w:rsid w:val="00340C47"/>
    <w:rsid w:val="0034104A"/>
    <w:rsid w:val="003412BA"/>
    <w:rsid w:val="00342B04"/>
    <w:rsid w:val="00343996"/>
    <w:rsid w:val="003441B6"/>
    <w:rsid w:val="0034545E"/>
    <w:rsid w:val="00345783"/>
    <w:rsid w:val="00346246"/>
    <w:rsid w:val="003476DC"/>
    <w:rsid w:val="003507F2"/>
    <w:rsid w:val="00350945"/>
    <w:rsid w:val="00350CC9"/>
    <w:rsid w:val="00350F72"/>
    <w:rsid w:val="003510CC"/>
    <w:rsid w:val="00351FAD"/>
    <w:rsid w:val="003521AE"/>
    <w:rsid w:val="00352F5B"/>
    <w:rsid w:val="00352FC7"/>
    <w:rsid w:val="003543FC"/>
    <w:rsid w:val="00354EFB"/>
    <w:rsid w:val="003551C2"/>
    <w:rsid w:val="00355646"/>
    <w:rsid w:val="00356398"/>
    <w:rsid w:val="0035692C"/>
    <w:rsid w:val="00360589"/>
    <w:rsid w:val="00361393"/>
    <w:rsid w:val="00361537"/>
    <w:rsid w:val="00362D13"/>
    <w:rsid w:val="00363724"/>
    <w:rsid w:val="00363BBC"/>
    <w:rsid w:val="00364042"/>
    <w:rsid w:val="00364273"/>
    <w:rsid w:val="003642B5"/>
    <w:rsid w:val="00364398"/>
    <w:rsid w:val="00364806"/>
    <w:rsid w:val="0036522E"/>
    <w:rsid w:val="003659E0"/>
    <w:rsid w:val="0036697D"/>
    <w:rsid w:val="003673B6"/>
    <w:rsid w:val="00367ADC"/>
    <w:rsid w:val="003704E2"/>
    <w:rsid w:val="003707C1"/>
    <w:rsid w:val="00370B7E"/>
    <w:rsid w:val="00370BE9"/>
    <w:rsid w:val="00370CEB"/>
    <w:rsid w:val="003711FC"/>
    <w:rsid w:val="00371873"/>
    <w:rsid w:val="00371C33"/>
    <w:rsid w:val="0037306B"/>
    <w:rsid w:val="003732F4"/>
    <w:rsid w:val="003737BB"/>
    <w:rsid w:val="00373C38"/>
    <w:rsid w:val="003743FF"/>
    <w:rsid w:val="00374808"/>
    <w:rsid w:val="003775BE"/>
    <w:rsid w:val="00380891"/>
    <w:rsid w:val="00380F8B"/>
    <w:rsid w:val="003813FC"/>
    <w:rsid w:val="003823A8"/>
    <w:rsid w:val="00382A8A"/>
    <w:rsid w:val="00382E5B"/>
    <w:rsid w:val="003831F1"/>
    <w:rsid w:val="00383F61"/>
    <w:rsid w:val="00384699"/>
    <w:rsid w:val="00384B4B"/>
    <w:rsid w:val="00384DEC"/>
    <w:rsid w:val="0038504E"/>
    <w:rsid w:val="00385988"/>
    <w:rsid w:val="0038607A"/>
    <w:rsid w:val="0038640E"/>
    <w:rsid w:val="00387F8E"/>
    <w:rsid w:val="003904F4"/>
    <w:rsid w:val="00390BCD"/>
    <w:rsid w:val="003916B1"/>
    <w:rsid w:val="00392239"/>
    <w:rsid w:val="00392719"/>
    <w:rsid w:val="00393255"/>
    <w:rsid w:val="00393686"/>
    <w:rsid w:val="003944EB"/>
    <w:rsid w:val="00394531"/>
    <w:rsid w:val="003946CB"/>
    <w:rsid w:val="003956DE"/>
    <w:rsid w:val="00395741"/>
    <w:rsid w:val="00395D12"/>
    <w:rsid w:val="0039608D"/>
    <w:rsid w:val="0039636B"/>
    <w:rsid w:val="00397D95"/>
    <w:rsid w:val="003A04F1"/>
    <w:rsid w:val="003A17F1"/>
    <w:rsid w:val="003A25C7"/>
    <w:rsid w:val="003A31A4"/>
    <w:rsid w:val="003A3B28"/>
    <w:rsid w:val="003A3B5F"/>
    <w:rsid w:val="003A4730"/>
    <w:rsid w:val="003A4940"/>
    <w:rsid w:val="003A5BD9"/>
    <w:rsid w:val="003A5C57"/>
    <w:rsid w:val="003A6129"/>
    <w:rsid w:val="003A7528"/>
    <w:rsid w:val="003B2371"/>
    <w:rsid w:val="003B2C04"/>
    <w:rsid w:val="003B3061"/>
    <w:rsid w:val="003B37BE"/>
    <w:rsid w:val="003B41E0"/>
    <w:rsid w:val="003B493B"/>
    <w:rsid w:val="003B4F59"/>
    <w:rsid w:val="003B4F90"/>
    <w:rsid w:val="003B5CF7"/>
    <w:rsid w:val="003B6272"/>
    <w:rsid w:val="003B7769"/>
    <w:rsid w:val="003C073C"/>
    <w:rsid w:val="003C10E0"/>
    <w:rsid w:val="003C13B2"/>
    <w:rsid w:val="003C17BB"/>
    <w:rsid w:val="003C218D"/>
    <w:rsid w:val="003C233E"/>
    <w:rsid w:val="003C423C"/>
    <w:rsid w:val="003C4886"/>
    <w:rsid w:val="003C6929"/>
    <w:rsid w:val="003C7181"/>
    <w:rsid w:val="003D024C"/>
    <w:rsid w:val="003D19D8"/>
    <w:rsid w:val="003D19EE"/>
    <w:rsid w:val="003D1EBE"/>
    <w:rsid w:val="003D202D"/>
    <w:rsid w:val="003D2298"/>
    <w:rsid w:val="003D3980"/>
    <w:rsid w:val="003D3BF8"/>
    <w:rsid w:val="003D57A3"/>
    <w:rsid w:val="003D58EB"/>
    <w:rsid w:val="003D5922"/>
    <w:rsid w:val="003D6986"/>
    <w:rsid w:val="003D69E4"/>
    <w:rsid w:val="003D6FBD"/>
    <w:rsid w:val="003D7551"/>
    <w:rsid w:val="003D7B8B"/>
    <w:rsid w:val="003D7C9D"/>
    <w:rsid w:val="003D7D77"/>
    <w:rsid w:val="003E0CB2"/>
    <w:rsid w:val="003E14B1"/>
    <w:rsid w:val="003E185F"/>
    <w:rsid w:val="003E25C7"/>
    <w:rsid w:val="003E30CF"/>
    <w:rsid w:val="003E39BD"/>
    <w:rsid w:val="003E3BEC"/>
    <w:rsid w:val="003E3F22"/>
    <w:rsid w:val="003E4285"/>
    <w:rsid w:val="003E62CA"/>
    <w:rsid w:val="003E68CF"/>
    <w:rsid w:val="003E7828"/>
    <w:rsid w:val="003F03B1"/>
    <w:rsid w:val="003F0497"/>
    <w:rsid w:val="003F0AA8"/>
    <w:rsid w:val="003F1336"/>
    <w:rsid w:val="003F1F3A"/>
    <w:rsid w:val="003F2F22"/>
    <w:rsid w:val="003F32DA"/>
    <w:rsid w:val="003F5B15"/>
    <w:rsid w:val="003F6089"/>
    <w:rsid w:val="003F6F69"/>
    <w:rsid w:val="003F7D09"/>
    <w:rsid w:val="004002A1"/>
    <w:rsid w:val="004002BD"/>
    <w:rsid w:val="004007F7"/>
    <w:rsid w:val="004008B5"/>
    <w:rsid w:val="00400BE0"/>
    <w:rsid w:val="00400E66"/>
    <w:rsid w:val="00400F9A"/>
    <w:rsid w:val="00401558"/>
    <w:rsid w:val="004030B0"/>
    <w:rsid w:val="004032EB"/>
    <w:rsid w:val="004046D1"/>
    <w:rsid w:val="00405DBC"/>
    <w:rsid w:val="004064AE"/>
    <w:rsid w:val="0040699F"/>
    <w:rsid w:val="00406FE3"/>
    <w:rsid w:val="00407517"/>
    <w:rsid w:val="004079AA"/>
    <w:rsid w:val="00407D2B"/>
    <w:rsid w:val="00407F17"/>
    <w:rsid w:val="004102E8"/>
    <w:rsid w:val="00411F79"/>
    <w:rsid w:val="0041291B"/>
    <w:rsid w:val="00413332"/>
    <w:rsid w:val="0041378D"/>
    <w:rsid w:val="00414082"/>
    <w:rsid w:val="00414A77"/>
    <w:rsid w:val="0041639B"/>
    <w:rsid w:val="00417C26"/>
    <w:rsid w:val="00420767"/>
    <w:rsid w:val="00420CBF"/>
    <w:rsid w:val="00421002"/>
    <w:rsid w:val="00421043"/>
    <w:rsid w:val="00421088"/>
    <w:rsid w:val="004211F2"/>
    <w:rsid w:val="00421CDF"/>
    <w:rsid w:val="00423932"/>
    <w:rsid w:val="004249FD"/>
    <w:rsid w:val="00424E3C"/>
    <w:rsid w:val="00424EE6"/>
    <w:rsid w:val="00424F05"/>
    <w:rsid w:val="004254B8"/>
    <w:rsid w:val="00425724"/>
    <w:rsid w:val="00425B46"/>
    <w:rsid w:val="004269C5"/>
    <w:rsid w:val="00427160"/>
    <w:rsid w:val="00427532"/>
    <w:rsid w:val="004304BC"/>
    <w:rsid w:val="00433505"/>
    <w:rsid w:val="00433E71"/>
    <w:rsid w:val="0043454E"/>
    <w:rsid w:val="00435028"/>
    <w:rsid w:val="004360ED"/>
    <w:rsid w:val="00436131"/>
    <w:rsid w:val="0043638C"/>
    <w:rsid w:val="0043677F"/>
    <w:rsid w:val="00437367"/>
    <w:rsid w:val="00437B22"/>
    <w:rsid w:val="00440516"/>
    <w:rsid w:val="00440789"/>
    <w:rsid w:val="004409BC"/>
    <w:rsid w:val="0044231D"/>
    <w:rsid w:val="00442D12"/>
    <w:rsid w:val="0044440B"/>
    <w:rsid w:val="00444EC5"/>
    <w:rsid w:val="004460C9"/>
    <w:rsid w:val="00446362"/>
    <w:rsid w:val="0044697E"/>
    <w:rsid w:val="004472E7"/>
    <w:rsid w:val="0045034D"/>
    <w:rsid w:val="004504D4"/>
    <w:rsid w:val="00450B27"/>
    <w:rsid w:val="00450FD3"/>
    <w:rsid w:val="004512C7"/>
    <w:rsid w:val="004523CB"/>
    <w:rsid w:val="00452E33"/>
    <w:rsid w:val="0045383C"/>
    <w:rsid w:val="00453D68"/>
    <w:rsid w:val="00453FBE"/>
    <w:rsid w:val="00454172"/>
    <w:rsid w:val="004544A4"/>
    <w:rsid w:val="00454814"/>
    <w:rsid w:val="004555F5"/>
    <w:rsid w:val="00455BD0"/>
    <w:rsid w:val="004566C2"/>
    <w:rsid w:val="004573F6"/>
    <w:rsid w:val="00457449"/>
    <w:rsid w:val="00457757"/>
    <w:rsid w:val="00457982"/>
    <w:rsid w:val="0046007E"/>
    <w:rsid w:val="004600F9"/>
    <w:rsid w:val="004610D7"/>
    <w:rsid w:val="004615AB"/>
    <w:rsid w:val="004617F1"/>
    <w:rsid w:val="00461B87"/>
    <w:rsid w:val="0046298C"/>
    <w:rsid w:val="004633E4"/>
    <w:rsid w:val="004640E5"/>
    <w:rsid w:val="00464425"/>
    <w:rsid w:val="00465944"/>
    <w:rsid w:val="0046594E"/>
    <w:rsid w:val="00465973"/>
    <w:rsid w:val="00466045"/>
    <w:rsid w:val="00466541"/>
    <w:rsid w:val="004672C7"/>
    <w:rsid w:val="00467A6D"/>
    <w:rsid w:val="00467EEB"/>
    <w:rsid w:val="00467F49"/>
    <w:rsid w:val="00470088"/>
    <w:rsid w:val="0047119B"/>
    <w:rsid w:val="00471276"/>
    <w:rsid w:val="004714FE"/>
    <w:rsid w:val="00471BD6"/>
    <w:rsid w:val="004728B1"/>
    <w:rsid w:val="00473A61"/>
    <w:rsid w:val="0047467A"/>
    <w:rsid w:val="00474B50"/>
    <w:rsid w:val="0047537D"/>
    <w:rsid w:val="004758CA"/>
    <w:rsid w:val="0047632B"/>
    <w:rsid w:val="004807F5"/>
    <w:rsid w:val="0048170F"/>
    <w:rsid w:val="0048397B"/>
    <w:rsid w:val="00483CCB"/>
    <w:rsid w:val="00483E57"/>
    <w:rsid w:val="00485B38"/>
    <w:rsid w:val="00485BB4"/>
    <w:rsid w:val="00485EE5"/>
    <w:rsid w:val="0048605F"/>
    <w:rsid w:val="00486506"/>
    <w:rsid w:val="0048701F"/>
    <w:rsid w:val="004876CA"/>
    <w:rsid w:val="00487B79"/>
    <w:rsid w:val="00490D1F"/>
    <w:rsid w:val="004918A4"/>
    <w:rsid w:val="00491D0D"/>
    <w:rsid w:val="00492405"/>
    <w:rsid w:val="004928CD"/>
    <w:rsid w:val="00492BBC"/>
    <w:rsid w:val="00492C66"/>
    <w:rsid w:val="00493CE9"/>
    <w:rsid w:val="00494FE4"/>
    <w:rsid w:val="00495BBD"/>
    <w:rsid w:val="00495FDD"/>
    <w:rsid w:val="00496505"/>
    <w:rsid w:val="00496FFA"/>
    <w:rsid w:val="0049784D"/>
    <w:rsid w:val="004978CA"/>
    <w:rsid w:val="00497908"/>
    <w:rsid w:val="004A0303"/>
    <w:rsid w:val="004A2281"/>
    <w:rsid w:val="004A2875"/>
    <w:rsid w:val="004A34F8"/>
    <w:rsid w:val="004A3727"/>
    <w:rsid w:val="004A4223"/>
    <w:rsid w:val="004A484F"/>
    <w:rsid w:val="004A4A61"/>
    <w:rsid w:val="004A4FF2"/>
    <w:rsid w:val="004A5C8B"/>
    <w:rsid w:val="004A73DB"/>
    <w:rsid w:val="004A7B45"/>
    <w:rsid w:val="004B2409"/>
    <w:rsid w:val="004B2B7E"/>
    <w:rsid w:val="004B34C6"/>
    <w:rsid w:val="004B387F"/>
    <w:rsid w:val="004B3925"/>
    <w:rsid w:val="004B3AC8"/>
    <w:rsid w:val="004B57A4"/>
    <w:rsid w:val="004B641B"/>
    <w:rsid w:val="004B691A"/>
    <w:rsid w:val="004B722C"/>
    <w:rsid w:val="004B7A44"/>
    <w:rsid w:val="004C0AA8"/>
    <w:rsid w:val="004C2047"/>
    <w:rsid w:val="004C31B5"/>
    <w:rsid w:val="004C3BD8"/>
    <w:rsid w:val="004C3E7C"/>
    <w:rsid w:val="004C408B"/>
    <w:rsid w:val="004C5AC3"/>
    <w:rsid w:val="004C5BC5"/>
    <w:rsid w:val="004C675E"/>
    <w:rsid w:val="004C6C90"/>
    <w:rsid w:val="004C6E35"/>
    <w:rsid w:val="004C76BE"/>
    <w:rsid w:val="004C7D01"/>
    <w:rsid w:val="004C7E19"/>
    <w:rsid w:val="004D0230"/>
    <w:rsid w:val="004D02CB"/>
    <w:rsid w:val="004D0BC7"/>
    <w:rsid w:val="004D0D63"/>
    <w:rsid w:val="004D0E7B"/>
    <w:rsid w:val="004D0F8C"/>
    <w:rsid w:val="004D1316"/>
    <w:rsid w:val="004D2E90"/>
    <w:rsid w:val="004D337C"/>
    <w:rsid w:val="004D43C9"/>
    <w:rsid w:val="004D5757"/>
    <w:rsid w:val="004D5A73"/>
    <w:rsid w:val="004D60A8"/>
    <w:rsid w:val="004D6505"/>
    <w:rsid w:val="004E16DE"/>
    <w:rsid w:val="004E2034"/>
    <w:rsid w:val="004E2370"/>
    <w:rsid w:val="004E276C"/>
    <w:rsid w:val="004E58AE"/>
    <w:rsid w:val="004E6689"/>
    <w:rsid w:val="004E72B3"/>
    <w:rsid w:val="004E7BAD"/>
    <w:rsid w:val="004E7D45"/>
    <w:rsid w:val="004F0255"/>
    <w:rsid w:val="004F21B9"/>
    <w:rsid w:val="004F2B5D"/>
    <w:rsid w:val="004F304E"/>
    <w:rsid w:val="004F3FF7"/>
    <w:rsid w:val="004F4088"/>
    <w:rsid w:val="004F40E5"/>
    <w:rsid w:val="004F507E"/>
    <w:rsid w:val="004F50D4"/>
    <w:rsid w:val="004F5336"/>
    <w:rsid w:val="004F6C6F"/>
    <w:rsid w:val="004F6E47"/>
    <w:rsid w:val="004F7937"/>
    <w:rsid w:val="005007D8"/>
    <w:rsid w:val="0050203E"/>
    <w:rsid w:val="0050273A"/>
    <w:rsid w:val="005032B4"/>
    <w:rsid w:val="00504477"/>
    <w:rsid w:val="005049F4"/>
    <w:rsid w:val="00504C16"/>
    <w:rsid w:val="00505435"/>
    <w:rsid w:val="00506131"/>
    <w:rsid w:val="005065B2"/>
    <w:rsid w:val="00507A00"/>
    <w:rsid w:val="0051133B"/>
    <w:rsid w:val="00511783"/>
    <w:rsid w:val="0051188C"/>
    <w:rsid w:val="00512DD1"/>
    <w:rsid w:val="005133EF"/>
    <w:rsid w:val="00513B20"/>
    <w:rsid w:val="0051432B"/>
    <w:rsid w:val="005145FF"/>
    <w:rsid w:val="0051470F"/>
    <w:rsid w:val="00514C07"/>
    <w:rsid w:val="00514E9C"/>
    <w:rsid w:val="005158CD"/>
    <w:rsid w:val="00517058"/>
    <w:rsid w:val="0052024C"/>
    <w:rsid w:val="00520B56"/>
    <w:rsid w:val="00520D88"/>
    <w:rsid w:val="00521296"/>
    <w:rsid w:val="00522C28"/>
    <w:rsid w:val="00523284"/>
    <w:rsid w:val="00523565"/>
    <w:rsid w:val="005236AD"/>
    <w:rsid w:val="00524F7B"/>
    <w:rsid w:val="00524FDD"/>
    <w:rsid w:val="005253C8"/>
    <w:rsid w:val="00525437"/>
    <w:rsid w:val="0052617F"/>
    <w:rsid w:val="00530233"/>
    <w:rsid w:val="00530BD7"/>
    <w:rsid w:val="00531022"/>
    <w:rsid w:val="005312DD"/>
    <w:rsid w:val="00531347"/>
    <w:rsid w:val="00531941"/>
    <w:rsid w:val="005319E3"/>
    <w:rsid w:val="00532EEB"/>
    <w:rsid w:val="00533470"/>
    <w:rsid w:val="005337A8"/>
    <w:rsid w:val="00533F01"/>
    <w:rsid w:val="00536F8C"/>
    <w:rsid w:val="0053761C"/>
    <w:rsid w:val="00540191"/>
    <w:rsid w:val="00540D32"/>
    <w:rsid w:val="00541692"/>
    <w:rsid w:val="0054187D"/>
    <w:rsid w:val="00541AD8"/>
    <w:rsid w:val="00541BFC"/>
    <w:rsid w:val="00541C01"/>
    <w:rsid w:val="0054333E"/>
    <w:rsid w:val="00543E69"/>
    <w:rsid w:val="0054464C"/>
    <w:rsid w:val="0054531C"/>
    <w:rsid w:val="0054550D"/>
    <w:rsid w:val="00546741"/>
    <w:rsid w:val="00547740"/>
    <w:rsid w:val="00547AB8"/>
    <w:rsid w:val="00551737"/>
    <w:rsid w:val="00552874"/>
    <w:rsid w:val="00554820"/>
    <w:rsid w:val="00554989"/>
    <w:rsid w:val="00555496"/>
    <w:rsid w:val="005562D3"/>
    <w:rsid w:val="00556399"/>
    <w:rsid w:val="00556CAC"/>
    <w:rsid w:val="00556DFF"/>
    <w:rsid w:val="00557778"/>
    <w:rsid w:val="00557C51"/>
    <w:rsid w:val="00557F37"/>
    <w:rsid w:val="005609D1"/>
    <w:rsid w:val="00560E4A"/>
    <w:rsid w:val="00561BA6"/>
    <w:rsid w:val="00562D7E"/>
    <w:rsid w:val="00562DE1"/>
    <w:rsid w:val="00562EAB"/>
    <w:rsid w:val="00563DE1"/>
    <w:rsid w:val="00564075"/>
    <w:rsid w:val="00565169"/>
    <w:rsid w:val="00565354"/>
    <w:rsid w:val="005657A2"/>
    <w:rsid w:val="00567727"/>
    <w:rsid w:val="0057094C"/>
    <w:rsid w:val="00571644"/>
    <w:rsid w:val="00571BA6"/>
    <w:rsid w:val="005728C5"/>
    <w:rsid w:val="00572C1D"/>
    <w:rsid w:val="00573008"/>
    <w:rsid w:val="005736BE"/>
    <w:rsid w:val="005739A7"/>
    <w:rsid w:val="00574476"/>
    <w:rsid w:val="00574748"/>
    <w:rsid w:val="00574AF3"/>
    <w:rsid w:val="005802FC"/>
    <w:rsid w:val="00580419"/>
    <w:rsid w:val="00580723"/>
    <w:rsid w:val="00581843"/>
    <w:rsid w:val="00583576"/>
    <w:rsid w:val="00584217"/>
    <w:rsid w:val="0058463B"/>
    <w:rsid w:val="00584702"/>
    <w:rsid w:val="0058501C"/>
    <w:rsid w:val="00585759"/>
    <w:rsid w:val="0058672B"/>
    <w:rsid w:val="005875CD"/>
    <w:rsid w:val="005900A1"/>
    <w:rsid w:val="00590ADF"/>
    <w:rsid w:val="00590E12"/>
    <w:rsid w:val="00590FF4"/>
    <w:rsid w:val="00592F5A"/>
    <w:rsid w:val="00593CDD"/>
    <w:rsid w:val="00593ED5"/>
    <w:rsid w:val="00594603"/>
    <w:rsid w:val="00594B7F"/>
    <w:rsid w:val="00595714"/>
    <w:rsid w:val="00595F4D"/>
    <w:rsid w:val="005A02AB"/>
    <w:rsid w:val="005A2BB1"/>
    <w:rsid w:val="005A3A10"/>
    <w:rsid w:val="005A3E9B"/>
    <w:rsid w:val="005A4D24"/>
    <w:rsid w:val="005A63F9"/>
    <w:rsid w:val="005A6E00"/>
    <w:rsid w:val="005A7DA8"/>
    <w:rsid w:val="005B0CC9"/>
    <w:rsid w:val="005B2DF8"/>
    <w:rsid w:val="005B312C"/>
    <w:rsid w:val="005B3B0F"/>
    <w:rsid w:val="005B3DA4"/>
    <w:rsid w:val="005B3E40"/>
    <w:rsid w:val="005B3F99"/>
    <w:rsid w:val="005B5B1A"/>
    <w:rsid w:val="005B665B"/>
    <w:rsid w:val="005B6812"/>
    <w:rsid w:val="005B76DF"/>
    <w:rsid w:val="005C0455"/>
    <w:rsid w:val="005C07CD"/>
    <w:rsid w:val="005C1ADE"/>
    <w:rsid w:val="005C1F09"/>
    <w:rsid w:val="005C2929"/>
    <w:rsid w:val="005C3463"/>
    <w:rsid w:val="005C38C2"/>
    <w:rsid w:val="005C39AA"/>
    <w:rsid w:val="005C3BC0"/>
    <w:rsid w:val="005C4F53"/>
    <w:rsid w:val="005C58E9"/>
    <w:rsid w:val="005C5B36"/>
    <w:rsid w:val="005C626D"/>
    <w:rsid w:val="005C64BE"/>
    <w:rsid w:val="005C68E8"/>
    <w:rsid w:val="005C6A10"/>
    <w:rsid w:val="005C71D8"/>
    <w:rsid w:val="005C7383"/>
    <w:rsid w:val="005C758B"/>
    <w:rsid w:val="005C770C"/>
    <w:rsid w:val="005C782E"/>
    <w:rsid w:val="005D09CF"/>
    <w:rsid w:val="005D0D82"/>
    <w:rsid w:val="005D10E0"/>
    <w:rsid w:val="005D182F"/>
    <w:rsid w:val="005D21B8"/>
    <w:rsid w:val="005D2AA4"/>
    <w:rsid w:val="005D399B"/>
    <w:rsid w:val="005D4D1D"/>
    <w:rsid w:val="005D5075"/>
    <w:rsid w:val="005D5515"/>
    <w:rsid w:val="005D6174"/>
    <w:rsid w:val="005D6D97"/>
    <w:rsid w:val="005D73DD"/>
    <w:rsid w:val="005D7871"/>
    <w:rsid w:val="005D795B"/>
    <w:rsid w:val="005D7D55"/>
    <w:rsid w:val="005E098F"/>
    <w:rsid w:val="005E0D70"/>
    <w:rsid w:val="005E0F9B"/>
    <w:rsid w:val="005E1943"/>
    <w:rsid w:val="005E1AA7"/>
    <w:rsid w:val="005E21F8"/>
    <w:rsid w:val="005E2B48"/>
    <w:rsid w:val="005E2E76"/>
    <w:rsid w:val="005E2FCD"/>
    <w:rsid w:val="005E3384"/>
    <w:rsid w:val="005E3730"/>
    <w:rsid w:val="005E3E46"/>
    <w:rsid w:val="005E3EFF"/>
    <w:rsid w:val="005E4726"/>
    <w:rsid w:val="005E5330"/>
    <w:rsid w:val="005E5393"/>
    <w:rsid w:val="005E5504"/>
    <w:rsid w:val="005E5E48"/>
    <w:rsid w:val="005E6637"/>
    <w:rsid w:val="005E6EB3"/>
    <w:rsid w:val="005F0366"/>
    <w:rsid w:val="005F23D0"/>
    <w:rsid w:val="005F3BE2"/>
    <w:rsid w:val="005F4865"/>
    <w:rsid w:val="005F4CD1"/>
    <w:rsid w:val="005F6CB0"/>
    <w:rsid w:val="005F6D68"/>
    <w:rsid w:val="005F70E2"/>
    <w:rsid w:val="005F7DBA"/>
    <w:rsid w:val="006000D9"/>
    <w:rsid w:val="00600A7D"/>
    <w:rsid w:val="00601CAB"/>
    <w:rsid w:val="00601F5F"/>
    <w:rsid w:val="00602A51"/>
    <w:rsid w:val="00602E62"/>
    <w:rsid w:val="006038C8"/>
    <w:rsid w:val="00603943"/>
    <w:rsid w:val="00603BD9"/>
    <w:rsid w:val="00604581"/>
    <w:rsid w:val="00605695"/>
    <w:rsid w:val="0060794E"/>
    <w:rsid w:val="006117AB"/>
    <w:rsid w:val="00612928"/>
    <w:rsid w:val="0061306C"/>
    <w:rsid w:val="006133D1"/>
    <w:rsid w:val="0061370E"/>
    <w:rsid w:val="0061392F"/>
    <w:rsid w:val="006140D9"/>
    <w:rsid w:val="006141B5"/>
    <w:rsid w:val="00614798"/>
    <w:rsid w:val="0061616F"/>
    <w:rsid w:val="00616D60"/>
    <w:rsid w:val="006171B2"/>
    <w:rsid w:val="006211AB"/>
    <w:rsid w:val="00621A2B"/>
    <w:rsid w:val="00622940"/>
    <w:rsid w:val="00622C30"/>
    <w:rsid w:val="0062498C"/>
    <w:rsid w:val="00625A9F"/>
    <w:rsid w:val="00625E4C"/>
    <w:rsid w:val="00625E8D"/>
    <w:rsid w:val="006263C9"/>
    <w:rsid w:val="006301C3"/>
    <w:rsid w:val="0063031A"/>
    <w:rsid w:val="006305D6"/>
    <w:rsid w:val="00630D66"/>
    <w:rsid w:val="006321F9"/>
    <w:rsid w:val="00632563"/>
    <w:rsid w:val="006332E6"/>
    <w:rsid w:val="00633881"/>
    <w:rsid w:val="00633BA7"/>
    <w:rsid w:val="0063471B"/>
    <w:rsid w:val="00635B99"/>
    <w:rsid w:val="00635D13"/>
    <w:rsid w:val="006366E2"/>
    <w:rsid w:val="00636BE1"/>
    <w:rsid w:val="00636CBB"/>
    <w:rsid w:val="006371D3"/>
    <w:rsid w:val="00637FE7"/>
    <w:rsid w:val="006408D0"/>
    <w:rsid w:val="00640EAE"/>
    <w:rsid w:val="0064254B"/>
    <w:rsid w:val="0064281A"/>
    <w:rsid w:val="006435EA"/>
    <w:rsid w:val="00644B52"/>
    <w:rsid w:val="00644F5B"/>
    <w:rsid w:val="00644FEE"/>
    <w:rsid w:val="006451D1"/>
    <w:rsid w:val="006454C3"/>
    <w:rsid w:val="0064626C"/>
    <w:rsid w:val="00646497"/>
    <w:rsid w:val="006467B2"/>
    <w:rsid w:val="0064792A"/>
    <w:rsid w:val="006515EE"/>
    <w:rsid w:val="006516D2"/>
    <w:rsid w:val="00651CCF"/>
    <w:rsid w:val="00652D7C"/>
    <w:rsid w:val="0065302E"/>
    <w:rsid w:val="006531B7"/>
    <w:rsid w:val="00653608"/>
    <w:rsid w:val="006537F5"/>
    <w:rsid w:val="00654831"/>
    <w:rsid w:val="00654E7A"/>
    <w:rsid w:val="006556F1"/>
    <w:rsid w:val="006572F6"/>
    <w:rsid w:val="00657A67"/>
    <w:rsid w:val="00657E1C"/>
    <w:rsid w:val="00657F2B"/>
    <w:rsid w:val="006602CE"/>
    <w:rsid w:val="006606F2"/>
    <w:rsid w:val="00660CC8"/>
    <w:rsid w:val="00662394"/>
    <w:rsid w:val="00662778"/>
    <w:rsid w:val="00663D05"/>
    <w:rsid w:val="00664F9A"/>
    <w:rsid w:val="00665633"/>
    <w:rsid w:val="006656E5"/>
    <w:rsid w:val="00666186"/>
    <w:rsid w:val="006666DD"/>
    <w:rsid w:val="00666E3C"/>
    <w:rsid w:val="00667A37"/>
    <w:rsid w:val="00667E30"/>
    <w:rsid w:val="00670D24"/>
    <w:rsid w:val="00671B35"/>
    <w:rsid w:val="00671C4D"/>
    <w:rsid w:val="006728D9"/>
    <w:rsid w:val="00672ED3"/>
    <w:rsid w:val="006730BE"/>
    <w:rsid w:val="00673148"/>
    <w:rsid w:val="006754FE"/>
    <w:rsid w:val="006757E6"/>
    <w:rsid w:val="0067580D"/>
    <w:rsid w:val="0067641D"/>
    <w:rsid w:val="006769B3"/>
    <w:rsid w:val="006802D2"/>
    <w:rsid w:val="00680453"/>
    <w:rsid w:val="00680F5A"/>
    <w:rsid w:val="00681045"/>
    <w:rsid w:val="0068267C"/>
    <w:rsid w:val="00682A23"/>
    <w:rsid w:val="00683DC6"/>
    <w:rsid w:val="006845E4"/>
    <w:rsid w:val="006859ED"/>
    <w:rsid w:val="0068619F"/>
    <w:rsid w:val="006865DF"/>
    <w:rsid w:val="00686C46"/>
    <w:rsid w:val="00687367"/>
    <w:rsid w:val="00687461"/>
    <w:rsid w:val="00691327"/>
    <w:rsid w:val="00693128"/>
    <w:rsid w:val="00693370"/>
    <w:rsid w:val="00693C05"/>
    <w:rsid w:val="00693E2C"/>
    <w:rsid w:val="00694BBC"/>
    <w:rsid w:val="006961B8"/>
    <w:rsid w:val="006961CB"/>
    <w:rsid w:val="00696A81"/>
    <w:rsid w:val="00696AF9"/>
    <w:rsid w:val="00697D15"/>
    <w:rsid w:val="006A0226"/>
    <w:rsid w:val="006A14EE"/>
    <w:rsid w:val="006A17EC"/>
    <w:rsid w:val="006A1C95"/>
    <w:rsid w:val="006A240F"/>
    <w:rsid w:val="006A29AC"/>
    <w:rsid w:val="006A30F3"/>
    <w:rsid w:val="006A335B"/>
    <w:rsid w:val="006A42E2"/>
    <w:rsid w:val="006A447B"/>
    <w:rsid w:val="006A46A9"/>
    <w:rsid w:val="006A5E65"/>
    <w:rsid w:val="006A64D2"/>
    <w:rsid w:val="006A723B"/>
    <w:rsid w:val="006A78DE"/>
    <w:rsid w:val="006A7932"/>
    <w:rsid w:val="006B0AAB"/>
    <w:rsid w:val="006B0ECB"/>
    <w:rsid w:val="006B1548"/>
    <w:rsid w:val="006B1FC3"/>
    <w:rsid w:val="006B24A3"/>
    <w:rsid w:val="006B25E3"/>
    <w:rsid w:val="006B37A9"/>
    <w:rsid w:val="006B3AA3"/>
    <w:rsid w:val="006B3AC3"/>
    <w:rsid w:val="006B4A49"/>
    <w:rsid w:val="006B4DCD"/>
    <w:rsid w:val="006B5353"/>
    <w:rsid w:val="006B578B"/>
    <w:rsid w:val="006B57AD"/>
    <w:rsid w:val="006B74A8"/>
    <w:rsid w:val="006B7C45"/>
    <w:rsid w:val="006B7FE3"/>
    <w:rsid w:val="006C0821"/>
    <w:rsid w:val="006C0BB8"/>
    <w:rsid w:val="006C0E9F"/>
    <w:rsid w:val="006C1258"/>
    <w:rsid w:val="006C14F7"/>
    <w:rsid w:val="006C35E7"/>
    <w:rsid w:val="006C38E5"/>
    <w:rsid w:val="006C3DA8"/>
    <w:rsid w:val="006C41CD"/>
    <w:rsid w:val="006C4834"/>
    <w:rsid w:val="006C519C"/>
    <w:rsid w:val="006C5858"/>
    <w:rsid w:val="006C59F9"/>
    <w:rsid w:val="006C5E87"/>
    <w:rsid w:val="006C61AE"/>
    <w:rsid w:val="006C6427"/>
    <w:rsid w:val="006C75BA"/>
    <w:rsid w:val="006C7B85"/>
    <w:rsid w:val="006D08BC"/>
    <w:rsid w:val="006D1A99"/>
    <w:rsid w:val="006D236C"/>
    <w:rsid w:val="006D311F"/>
    <w:rsid w:val="006D3576"/>
    <w:rsid w:val="006D42FC"/>
    <w:rsid w:val="006D4624"/>
    <w:rsid w:val="006D49BA"/>
    <w:rsid w:val="006D5583"/>
    <w:rsid w:val="006D5658"/>
    <w:rsid w:val="006D594F"/>
    <w:rsid w:val="006D66DE"/>
    <w:rsid w:val="006D6AA6"/>
    <w:rsid w:val="006D7EEA"/>
    <w:rsid w:val="006E03C9"/>
    <w:rsid w:val="006E0CF2"/>
    <w:rsid w:val="006E161D"/>
    <w:rsid w:val="006E1AF8"/>
    <w:rsid w:val="006E3387"/>
    <w:rsid w:val="006E33BA"/>
    <w:rsid w:val="006E5619"/>
    <w:rsid w:val="006E5734"/>
    <w:rsid w:val="006E5DBF"/>
    <w:rsid w:val="006E63E8"/>
    <w:rsid w:val="006E70BE"/>
    <w:rsid w:val="006F038C"/>
    <w:rsid w:val="006F1838"/>
    <w:rsid w:val="006F21F5"/>
    <w:rsid w:val="006F24E4"/>
    <w:rsid w:val="006F2CF5"/>
    <w:rsid w:val="006F3FA2"/>
    <w:rsid w:val="006F4D1D"/>
    <w:rsid w:val="006F5791"/>
    <w:rsid w:val="006F7B73"/>
    <w:rsid w:val="006F7B8B"/>
    <w:rsid w:val="007020A7"/>
    <w:rsid w:val="00702234"/>
    <w:rsid w:val="007025C9"/>
    <w:rsid w:val="00703224"/>
    <w:rsid w:val="007038B6"/>
    <w:rsid w:val="00704078"/>
    <w:rsid w:val="00704156"/>
    <w:rsid w:val="00704E0C"/>
    <w:rsid w:val="00705359"/>
    <w:rsid w:val="007059F2"/>
    <w:rsid w:val="0070608F"/>
    <w:rsid w:val="00706555"/>
    <w:rsid w:val="007071D2"/>
    <w:rsid w:val="00707C8A"/>
    <w:rsid w:val="00710376"/>
    <w:rsid w:val="00710CE1"/>
    <w:rsid w:val="0071110B"/>
    <w:rsid w:val="00711D02"/>
    <w:rsid w:val="0071210A"/>
    <w:rsid w:val="00713176"/>
    <w:rsid w:val="00713DF5"/>
    <w:rsid w:val="00714B24"/>
    <w:rsid w:val="00715231"/>
    <w:rsid w:val="007156BE"/>
    <w:rsid w:val="007157C6"/>
    <w:rsid w:val="007165AF"/>
    <w:rsid w:val="007169AB"/>
    <w:rsid w:val="00720D12"/>
    <w:rsid w:val="00720DEA"/>
    <w:rsid w:val="00721025"/>
    <w:rsid w:val="007210B8"/>
    <w:rsid w:val="007218B4"/>
    <w:rsid w:val="00721F70"/>
    <w:rsid w:val="0072201E"/>
    <w:rsid w:val="007236F0"/>
    <w:rsid w:val="007244C9"/>
    <w:rsid w:val="00725190"/>
    <w:rsid w:val="007261C3"/>
    <w:rsid w:val="007261DE"/>
    <w:rsid w:val="0072671E"/>
    <w:rsid w:val="00727433"/>
    <w:rsid w:val="007323C2"/>
    <w:rsid w:val="00732618"/>
    <w:rsid w:val="00732AA6"/>
    <w:rsid w:val="00732B59"/>
    <w:rsid w:val="00732C94"/>
    <w:rsid w:val="00733EF0"/>
    <w:rsid w:val="007347B3"/>
    <w:rsid w:val="007357E3"/>
    <w:rsid w:val="00735E4C"/>
    <w:rsid w:val="00736928"/>
    <w:rsid w:val="00737983"/>
    <w:rsid w:val="00737BDF"/>
    <w:rsid w:val="007406A2"/>
    <w:rsid w:val="0074099B"/>
    <w:rsid w:val="0074215C"/>
    <w:rsid w:val="0074281F"/>
    <w:rsid w:val="007430AC"/>
    <w:rsid w:val="00743A9B"/>
    <w:rsid w:val="00744A7C"/>
    <w:rsid w:val="00744F93"/>
    <w:rsid w:val="00746611"/>
    <w:rsid w:val="00746F45"/>
    <w:rsid w:val="00747A86"/>
    <w:rsid w:val="00750D2D"/>
    <w:rsid w:val="0075136F"/>
    <w:rsid w:val="00751CAC"/>
    <w:rsid w:val="00751F24"/>
    <w:rsid w:val="00752062"/>
    <w:rsid w:val="007527F4"/>
    <w:rsid w:val="00752F18"/>
    <w:rsid w:val="0075326F"/>
    <w:rsid w:val="0075340F"/>
    <w:rsid w:val="00753829"/>
    <w:rsid w:val="00753917"/>
    <w:rsid w:val="00753CCA"/>
    <w:rsid w:val="00753F28"/>
    <w:rsid w:val="00754180"/>
    <w:rsid w:val="00754B17"/>
    <w:rsid w:val="00754FFF"/>
    <w:rsid w:val="007556D5"/>
    <w:rsid w:val="00755FA0"/>
    <w:rsid w:val="00760693"/>
    <w:rsid w:val="00761058"/>
    <w:rsid w:val="00761160"/>
    <w:rsid w:val="00761A5D"/>
    <w:rsid w:val="0076225F"/>
    <w:rsid w:val="007624F1"/>
    <w:rsid w:val="00765028"/>
    <w:rsid w:val="00765487"/>
    <w:rsid w:val="007659A8"/>
    <w:rsid w:val="00765F69"/>
    <w:rsid w:val="00767AF4"/>
    <w:rsid w:val="00767EE0"/>
    <w:rsid w:val="007702B2"/>
    <w:rsid w:val="0077223D"/>
    <w:rsid w:val="00772DA7"/>
    <w:rsid w:val="00773EF0"/>
    <w:rsid w:val="00775638"/>
    <w:rsid w:val="00776500"/>
    <w:rsid w:val="007765ED"/>
    <w:rsid w:val="007772F3"/>
    <w:rsid w:val="007776DC"/>
    <w:rsid w:val="007800FF"/>
    <w:rsid w:val="007817E4"/>
    <w:rsid w:val="007818E4"/>
    <w:rsid w:val="00781D21"/>
    <w:rsid w:val="00782F99"/>
    <w:rsid w:val="0078320A"/>
    <w:rsid w:val="00783CD1"/>
    <w:rsid w:val="00783CD9"/>
    <w:rsid w:val="00785E84"/>
    <w:rsid w:val="00787C57"/>
    <w:rsid w:val="0079192C"/>
    <w:rsid w:val="0079446B"/>
    <w:rsid w:val="007945B5"/>
    <w:rsid w:val="0079491C"/>
    <w:rsid w:val="00794C47"/>
    <w:rsid w:val="00796793"/>
    <w:rsid w:val="00796C7D"/>
    <w:rsid w:val="00797373"/>
    <w:rsid w:val="007A02EB"/>
    <w:rsid w:val="007A0757"/>
    <w:rsid w:val="007A0EC1"/>
    <w:rsid w:val="007A1E16"/>
    <w:rsid w:val="007A20B1"/>
    <w:rsid w:val="007A33B3"/>
    <w:rsid w:val="007A3518"/>
    <w:rsid w:val="007A4034"/>
    <w:rsid w:val="007A42CC"/>
    <w:rsid w:val="007A5260"/>
    <w:rsid w:val="007A5928"/>
    <w:rsid w:val="007A61EB"/>
    <w:rsid w:val="007A6D67"/>
    <w:rsid w:val="007A7CAB"/>
    <w:rsid w:val="007B02FE"/>
    <w:rsid w:val="007B2320"/>
    <w:rsid w:val="007B44CA"/>
    <w:rsid w:val="007B6DC8"/>
    <w:rsid w:val="007B6FDA"/>
    <w:rsid w:val="007B7B20"/>
    <w:rsid w:val="007C02AB"/>
    <w:rsid w:val="007C0E3C"/>
    <w:rsid w:val="007C1324"/>
    <w:rsid w:val="007C16DC"/>
    <w:rsid w:val="007C27F3"/>
    <w:rsid w:val="007C3565"/>
    <w:rsid w:val="007C46C6"/>
    <w:rsid w:val="007C5459"/>
    <w:rsid w:val="007C5868"/>
    <w:rsid w:val="007C5E3A"/>
    <w:rsid w:val="007C5F81"/>
    <w:rsid w:val="007C624C"/>
    <w:rsid w:val="007C63B8"/>
    <w:rsid w:val="007C6D6C"/>
    <w:rsid w:val="007C77C2"/>
    <w:rsid w:val="007C7A61"/>
    <w:rsid w:val="007C7C65"/>
    <w:rsid w:val="007D048A"/>
    <w:rsid w:val="007D126D"/>
    <w:rsid w:val="007D1351"/>
    <w:rsid w:val="007D3082"/>
    <w:rsid w:val="007D3704"/>
    <w:rsid w:val="007D3ACC"/>
    <w:rsid w:val="007D3FFB"/>
    <w:rsid w:val="007D5FEF"/>
    <w:rsid w:val="007D763D"/>
    <w:rsid w:val="007E0254"/>
    <w:rsid w:val="007E1007"/>
    <w:rsid w:val="007E13D0"/>
    <w:rsid w:val="007E14DC"/>
    <w:rsid w:val="007E192B"/>
    <w:rsid w:val="007E1B56"/>
    <w:rsid w:val="007E2B67"/>
    <w:rsid w:val="007E3460"/>
    <w:rsid w:val="007E4280"/>
    <w:rsid w:val="007E5013"/>
    <w:rsid w:val="007E51C8"/>
    <w:rsid w:val="007E5B3C"/>
    <w:rsid w:val="007E66EC"/>
    <w:rsid w:val="007E70D4"/>
    <w:rsid w:val="007E7567"/>
    <w:rsid w:val="007F04C3"/>
    <w:rsid w:val="007F05EA"/>
    <w:rsid w:val="007F1173"/>
    <w:rsid w:val="007F11FB"/>
    <w:rsid w:val="007F1E25"/>
    <w:rsid w:val="007F2F94"/>
    <w:rsid w:val="007F396D"/>
    <w:rsid w:val="007F3B2E"/>
    <w:rsid w:val="007F554A"/>
    <w:rsid w:val="007F5609"/>
    <w:rsid w:val="007F56A4"/>
    <w:rsid w:val="007F711D"/>
    <w:rsid w:val="008015D0"/>
    <w:rsid w:val="00801A9C"/>
    <w:rsid w:val="00802806"/>
    <w:rsid w:val="0080416A"/>
    <w:rsid w:val="008041A6"/>
    <w:rsid w:val="00804CFC"/>
    <w:rsid w:val="00805473"/>
    <w:rsid w:val="0080566E"/>
    <w:rsid w:val="008068FD"/>
    <w:rsid w:val="008069CD"/>
    <w:rsid w:val="00807176"/>
    <w:rsid w:val="0080787C"/>
    <w:rsid w:val="00807C6F"/>
    <w:rsid w:val="008107B6"/>
    <w:rsid w:val="00811893"/>
    <w:rsid w:val="00811DDA"/>
    <w:rsid w:val="00811E1C"/>
    <w:rsid w:val="008128CB"/>
    <w:rsid w:val="00813022"/>
    <w:rsid w:val="00813877"/>
    <w:rsid w:val="008138F3"/>
    <w:rsid w:val="00813DAD"/>
    <w:rsid w:val="00814612"/>
    <w:rsid w:val="00814DD5"/>
    <w:rsid w:val="00814F04"/>
    <w:rsid w:val="0081631A"/>
    <w:rsid w:val="00816578"/>
    <w:rsid w:val="0081665F"/>
    <w:rsid w:val="008169FB"/>
    <w:rsid w:val="00820336"/>
    <w:rsid w:val="008209C8"/>
    <w:rsid w:val="00820B18"/>
    <w:rsid w:val="008219DD"/>
    <w:rsid w:val="00821AFA"/>
    <w:rsid w:val="008224C1"/>
    <w:rsid w:val="008276E6"/>
    <w:rsid w:val="00827A4D"/>
    <w:rsid w:val="00827AEA"/>
    <w:rsid w:val="00827D4A"/>
    <w:rsid w:val="008314FC"/>
    <w:rsid w:val="00831F0E"/>
    <w:rsid w:val="00832DCE"/>
    <w:rsid w:val="00833CD3"/>
    <w:rsid w:val="008342D4"/>
    <w:rsid w:val="00835807"/>
    <w:rsid w:val="008359B9"/>
    <w:rsid w:val="00835A93"/>
    <w:rsid w:val="0083615F"/>
    <w:rsid w:val="00836EB4"/>
    <w:rsid w:val="00842490"/>
    <w:rsid w:val="008425D0"/>
    <w:rsid w:val="00842F34"/>
    <w:rsid w:val="00843927"/>
    <w:rsid w:val="008440CF"/>
    <w:rsid w:val="00844611"/>
    <w:rsid w:val="00844D3F"/>
    <w:rsid w:val="00844F5A"/>
    <w:rsid w:val="0084664A"/>
    <w:rsid w:val="00846931"/>
    <w:rsid w:val="008477B3"/>
    <w:rsid w:val="00847A74"/>
    <w:rsid w:val="00847DA5"/>
    <w:rsid w:val="008511C5"/>
    <w:rsid w:val="00851BB3"/>
    <w:rsid w:val="00851D5C"/>
    <w:rsid w:val="008520D9"/>
    <w:rsid w:val="00852740"/>
    <w:rsid w:val="00852EF7"/>
    <w:rsid w:val="00855574"/>
    <w:rsid w:val="00857432"/>
    <w:rsid w:val="00857ECF"/>
    <w:rsid w:val="008604F5"/>
    <w:rsid w:val="00860B76"/>
    <w:rsid w:val="00860DC9"/>
    <w:rsid w:val="008611CD"/>
    <w:rsid w:val="0086131F"/>
    <w:rsid w:val="008613B9"/>
    <w:rsid w:val="00861BAA"/>
    <w:rsid w:val="00862ABC"/>
    <w:rsid w:val="00862ED6"/>
    <w:rsid w:val="00863DD9"/>
    <w:rsid w:val="00864658"/>
    <w:rsid w:val="008647AF"/>
    <w:rsid w:val="008649D7"/>
    <w:rsid w:val="00864ABF"/>
    <w:rsid w:val="00864BA4"/>
    <w:rsid w:val="00865E9B"/>
    <w:rsid w:val="00865ED7"/>
    <w:rsid w:val="00866114"/>
    <w:rsid w:val="008662A6"/>
    <w:rsid w:val="00866397"/>
    <w:rsid w:val="0087014F"/>
    <w:rsid w:val="00870E43"/>
    <w:rsid w:val="00871041"/>
    <w:rsid w:val="00871079"/>
    <w:rsid w:val="0087122E"/>
    <w:rsid w:val="008713B7"/>
    <w:rsid w:val="0087141C"/>
    <w:rsid w:val="00871DE6"/>
    <w:rsid w:val="0087225F"/>
    <w:rsid w:val="008725B5"/>
    <w:rsid w:val="00872831"/>
    <w:rsid w:val="008729FB"/>
    <w:rsid w:val="00872D35"/>
    <w:rsid w:val="00874AF7"/>
    <w:rsid w:val="00874F59"/>
    <w:rsid w:val="008754E7"/>
    <w:rsid w:val="00875962"/>
    <w:rsid w:val="00876362"/>
    <w:rsid w:val="008770FC"/>
    <w:rsid w:val="008771DF"/>
    <w:rsid w:val="008777A3"/>
    <w:rsid w:val="00880727"/>
    <w:rsid w:val="00880AAC"/>
    <w:rsid w:val="00881332"/>
    <w:rsid w:val="00881674"/>
    <w:rsid w:val="00882427"/>
    <w:rsid w:val="00882A98"/>
    <w:rsid w:val="00882B38"/>
    <w:rsid w:val="008836ED"/>
    <w:rsid w:val="00884612"/>
    <w:rsid w:val="0088476F"/>
    <w:rsid w:val="00884902"/>
    <w:rsid w:val="00884FCF"/>
    <w:rsid w:val="0088522D"/>
    <w:rsid w:val="00885A2F"/>
    <w:rsid w:val="00885BE4"/>
    <w:rsid w:val="00886183"/>
    <w:rsid w:val="00886213"/>
    <w:rsid w:val="0088686A"/>
    <w:rsid w:val="00886A41"/>
    <w:rsid w:val="008873EF"/>
    <w:rsid w:val="00887CC5"/>
    <w:rsid w:val="00887D9F"/>
    <w:rsid w:val="008901DC"/>
    <w:rsid w:val="0089088E"/>
    <w:rsid w:val="00890ED5"/>
    <w:rsid w:val="00891043"/>
    <w:rsid w:val="008920BF"/>
    <w:rsid w:val="00893D80"/>
    <w:rsid w:val="00895AA4"/>
    <w:rsid w:val="008976C1"/>
    <w:rsid w:val="008A15E5"/>
    <w:rsid w:val="008A1D54"/>
    <w:rsid w:val="008A1F33"/>
    <w:rsid w:val="008A3628"/>
    <w:rsid w:val="008A5240"/>
    <w:rsid w:val="008A5E1E"/>
    <w:rsid w:val="008A62F7"/>
    <w:rsid w:val="008A6A2F"/>
    <w:rsid w:val="008B042F"/>
    <w:rsid w:val="008B08FA"/>
    <w:rsid w:val="008B0C77"/>
    <w:rsid w:val="008B193D"/>
    <w:rsid w:val="008B1FCD"/>
    <w:rsid w:val="008B28C2"/>
    <w:rsid w:val="008B40BA"/>
    <w:rsid w:val="008B4438"/>
    <w:rsid w:val="008B4854"/>
    <w:rsid w:val="008B6B55"/>
    <w:rsid w:val="008B763D"/>
    <w:rsid w:val="008B7888"/>
    <w:rsid w:val="008B7F32"/>
    <w:rsid w:val="008C024E"/>
    <w:rsid w:val="008C06FC"/>
    <w:rsid w:val="008C1865"/>
    <w:rsid w:val="008C1C2B"/>
    <w:rsid w:val="008C3915"/>
    <w:rsid w:val="008C39BE"/>
    <w:rsid w:val="008C4720"/>
    <w:rsid w:val="008C4E61"/>
    <w:rsid w:val="008C51DD"/>
    <w:rsid w:val="008C5EE4"/>
    <w:rsid w:val="008C65A6"/>
    <w:rsid w:val="008C7628"/>
    <w:rsid w:val="008D0E74"/>
    <w:rsid w:val="008D121F"/>
    <w:rsid w:val="008D33FD"/>
    <w:rsid w:val="008D3BE3"/>
    <w:rsid w:val="008D43D1"/>
    <w:rsid w:val="008D4A99"/>
    <w:rsid w:val="008D4DED"/>
    <w:rsid w:val="008D5196"/>
    <w:rsid w:val="008D5B1D"/>
    <w:rsid w:val="008D673B"/>
    <w:rsid w:val="008D6F59"/>
    <w:rsid w:val="008D730E"/>
    <w:rsid w:val="008D77B4"/>
    <w:rsid w:val="008D7B1F"/>
    <w:rsid w:val="008D7FF1"/>
    <w:rsid w:val="008E31AF"/>
    <w:rsid w:val="008E37FD"/>
    <w:rsid w:val="008E432F"/>
    <w:rsid w:val="008E54EE"/>
    <w:rsid w:val="008E7436"/>
    <w:rsid w:val="008E7AEB"/>
    <w:rsid w:val="008F10C9"/>
    <w:rsid w:val="008F2D9C"/>
    <w:rsid w:val="008F2E54"/>
    <w:rsid w:val="008F41AB"/>
    <w:rsid w:val="008F4A51"/>
    <w:rsid w:val="008F4BD6"/>
    <w:rsid w:val="008F5F9B"/>
    <w:rsid w:val="008F6C8D"/>
    <w:rsid w:val="008F7009"/>
    <w:rsid w:val="008F7635"/>
    <w:rsid w:val="00900315"/>
    <w:rsid w:val="00900663"/>
    <w:rsid w:val="00902EF1"/>
    <w:rsid w:val="00903DB3"/>
    <w:rsid w:val="00903DBD"/>
    <w:rsid w:val="00904A52"/>
    <w:rsid w:val="009055F7"/>
    <w:rsid w:val="00907274"/>
    <w:rsid w:val="009078D2"/>
    <w:rsid w:val="00910DF4"/>
    <w:rsid w:val="00911297"/>
    <w:rsid w:val="009116A9"/>
    <w:rsid w:val="009123C8"/>
    <w:rsid w:val="0091401D"/>
    <w:rsid w:val="009140DD"/>
    <w:rsid w:val="0091446D"/>
    <w:rsid w:val="00914AEA"/>
    <w:rsid w:val="00916811"/>
    <w:rsid w:val="00916D09"/>
    <w:rsid w:val="00916D7E"/>
    <w:rsid w:val="00917657"/>
    <w:rsid w:val="00917C67"/>
    <w:rsid w:val="00920385"/>
    <w:rsid w:val="009210FE"/>
    <w:rsid w:val="00921559"/>
    <w:rsid w:val="00922E08"/>
    <w:rsid w:val="009231E4"/>
    <w:rsid w:val="00923729"/>
    <w:rsid w:val="00925597"/>
    <w:rsid w:val="009256EB"/>
    <w:rsid w:val="0092639B"/>
    <w:rsid w:val="009264BC"/>
    <w:rsid w:val="0092796D"/>
    <w:rsid w:val="00927980"/>
    <w:rsid w:val="00930024"/>
    <w:rsid w:val="00930B8E"/>
    <w:rsid w:val="009310C1"/>
    <w:rsid w:val="00931DF3"/>
    <w:rsid w:val="009324F5"/>
    <w:rsid w:val="00934118"/>
    <w:rsid w:val="00934250"/>
    <w:rsid w:val="0093477F"/>
    <w:rsid w:val="009347E8"/>
    <w:rsid w:val="00934CCB"/>
    <w:rsid w:val="009353D7"/>
    <w:rsid w:val="009358B2"/>
    <w:rsid w:val="00935FB5"/>
    <w:rsid w:val="00936062"/>
    <w:rsid w:val="009364B8"/>
    <w:rsid w:val="00936643"/>
    <w:rsid w:val="00937156"/>
    <w:rsid w:val="009374CF"/>
    <w:rsid w:val="00937B24"/>
    <w:rsid w:val="00937BA6"/>
    <w:rsid w:val="009401BC"/>
    <w:rsid w:val="00940E43"/>
    <w:rsid w:val="009414C0"/>
    <w:rsid w:val="0094237C"/>
    <w:rsid w:val="00942E2C"/>
    <w:rsid w:val="009432EC"/>
    <w:rsid w:val="00943544"/>
    <w:rsid w:val="0094392E"/>
    <w:rsid w:val="00943B0A"/>
    <w:rsid w:val="00943B58"/>
    <w:rsid w:val="00943DBE"/>
    <w:rsid w:val="00945D86"/>
    <w:rsid w:val="0094662B"/>
    <w:rsid w:val="00946B60"/>
    <w:rsid w:val="00947AA9"/>
    <w:rsid w:val="009513E3"/>
    <w:rsid w:val="00951C21"/>
    <w:rsid w:val="00952532"/>
    <w:rsid w:val="00953125"/>
    <w:rsid w:val="009538B7"/>
    <w:rsid w:val="00953C65"/>
    <w:rsid w:val="00954478"/>
    <w:rsid w:val="00954593"/>
    <w:rsid w:val="00954932"/>
    <w:rsid w:val="00954BC8"/>
    <w:rsid w:val="00954D8D"/>
    <w:rsid w:val="00955D82"/>
    <w:rsid w:val="00956506"/>
    <w:rsid w:val="00956BDF"/>
    <w:rsid w:val="00956C5C"/>
    <w:rsid w:val="0096049A"/>
    <w:rsid w:val="0096177C"/>
    <w:rsid w:val="009625BC"/>
    <w:rsid w:val="00962B25"/>
    <w:rsid w:val="00962E1D"/>
    <w:rsid w:val="00963BEA"/>
    <w:rsid w:val="00963FD4"/>
    <w:rsid w:val="009643BF"/>
    <w:rsid w:val="00964CAF"/>
    <w:rsid w:val="00965B25"/>
    <w:rsid w:val="00965C94"/>
    <w:rsid w:val="009679ED"/>
    <w:rsid w:val="00970D2E"/>
    <w:rsid w:val="00970FC5"/>
    <w:rsid w:val="009710CE"/>
    <w:rsid w:val="00971E54"/>
    <w:rsid w:val="009724AA"/>
    <w:rsid w:val="00972E82"/>
    <w:rsid w:val="00973E7F"/>
    <w:rsid w:val="009741E9"/>
    <w:rsid w:val="00975A71"/>
    <w:rsid w:val="00975F5C"/>
    <w:rsid w:val="00976CF7"/>
    <w:rsid w:val="00977F11"/>
    <w:rsid w:val="0098083E"/>
    <w:rsid w:val="00980F00"/>
    <w:rsid w:val="00981201"/>
    <w:rsid w:val="009821AF"/>
    <w:rsid w:val="00982DFD"/>
    <w:rsid w:val="0098395D"/>
    <w:rsid w:val="00984617"/>
    <w:rsid w:val="00984981"/>
    <w:rsid w:val="009849AA"/>
    <w:rsid w:val="00984C36"/>
    <w:rsid w:val="00985654"/>
    <w:rsid w:val="009864F2"/>
    <w:rsid w:val="00986BEB"/>
    <w:rsid w:val="00986DA9"/>
    <w:rsid w:val="009871F7"/>
    <w:rsid w:val="00990099"/>
    <w:rsid w:val="00990C13"/>
    <w:rsid w:val="0099135F"/>
    <w:rsid w:val="009915CA"/>
    <w:rsid w:val="00991FBC"/>
    <w:rsid w:val="0099364A"/>
    <w:rsid w:val="0099448E"/>
    <w:rsid w:val="00994798"/>
    <w:rsid w:val="009948D4"/>
    <w:rsid w:val="00995A85"/>
    <w:rsid w:val="009966DF"/>
    <w:rsid w:val="00997083"/>
    <w:rsid w:val="00997252"/>
    <w:rsid w:val="00997B04"/>
    <w:rsid w:val="009A012A"/>
    <w:rsid w:val="009A0529"/>
    <w:rsid w:val="009A206D"/>
    <w:rsid w:val="009A31AA"/>
    <w:rsid w:val="009A419C"/>
    <w:rsid w:val="009A499D"/>
    <w:rsid w:val="009A4B66"/>
    <w:rsid w:val="009A4E5C"/>
    <w:rsid w:val="009A514B"/>
    <w:rsid w:val="009A537C"/>
    <w:rsid w:val="009A5B25"/>
    <w:rsid w:val="009A669E"/>
    <w:rsid w:val="009A755A"/>
    <w:rsid w:val="009A798B"/>
    <w:rsid w:val="009A7A95"/>
    <w:rsid w:val="009B01E2"/>
    <w:rsid w:val="009B0CBD"/>
    <w:rsid w:val="009B1747"/>
    <w:rsid w:val="009B1D34"/>
    <w:rsid w:val="009B1EEE"/>
    <w:rsid w:val="009B2391"/>
    <w:rsid w:val="009B2B41"/>
    <w:rsid w:val="009B30D8"/>
    <w:rsid w:val="009B4957"/>
    <w:rsid w:val="009B54CC"/>
    <w:rsid w:val="009B572C"/>
    <w:rsid w:val="009B5856"/>
    <w:rsid w:val="009B70C1"/>
    <w:rsid w:val="009B7335"/>
    <w:rsid w:val="009B74A2"/>
    <w:rsid w:val="009B7904"/>
    <w:rsid w:val="009B7AE0"/>
    <w:rsid w:val="009B7B99"/>
    <w:rsid w:val="009C02DD"/>
    <w:rsid w:val="009C035D"/>
    <w:rsid w:val="009C1096"/>
    <w:rsid w:val="009C11D5"/>
    <w:rsid w:val="009C185C"/>
    <w:rsid w:val="009C2757"/>
    <w:rsid w:val="009C4821"/>
    <w:rsid w:val="009C4E2F"/>
    <w:rsid w:val="009C52FF"/>
    <w:rsid w:val="009C5365"/>
    <w:rsid w:val="009C56CB"/>
    <w:rsid w:val="009C5CC2"/>
    <w:rsid w:val="009C5FDF"/>
    <w:rsid w:val="009C68B1"/>
    <w:rsid w:val="009C6E4D"/>
    <w:rsid w:val="009C7B9D"/>
    <w:rsid w:val="009D10BE"/>
    <w:rsid w:val="009D17B7"/>
    <w:rsid w:val="009D2983"/>
    <w:rsid w:val="009D3596"/>
    <w:rsid w:val="009D39EB"/>
    <w:rsid w:val="009D48E2"/>
    <w:rsid w:val="009D4D02"/>
    <w:rsid w:val="009D4EEC"/>
    <w:rsid w:val="009D5259"/>
    <w:rsid w:val="009D5330"/>
    <w:rsid w:val="009D5F7D"/>
    <w:rsid w:val="009D7234"/>
    <w:rsid w:val="009D75E7"/>
    <w:rsid w:val="009D7DA0"/>
    <w:rsid w:val="009E1BE8"/>
    <w:rsid w:val="009E1F37"/>
    <w:rsid w:val="009E1FF9"/>
    <w:rsid w:val="009E32E5"/>
    <w:rsid w:val="009E34BE"/>
    <w:rsid w:val="009E4292"/>
    <w:rsid w:val="009E57E8"/>
    <w:rsid w:val="009E586A"/>
    <w:rsid w:val="009E5A94"/>
    <w:rsid w:val="009E5B01"/>
    <w:rsid w:val="009E5E84"/>
    <w:rsid w:val="009E63C5"/>
    <w:rsid w:val="009E6587"/>
    <w:rsid w:val="009E6FDC"/>
    <w:rsid w:val="009E7463"/>
    <w:rsid w:val="009E7E08"/>
    <w:rsid w:val="009E7F7E"/>
    <w:rsid w:val="009F0CAF"/>
    <w:rsid w:val="009F17B3"/>
    <w:rsid w:val="009F19C5"/>
    <w:rsid w:val="009F28A9"/>
    <w:rsid w:val="009F2BB9"/>
    <w:rsid w:val="009F3EB8"/>
    <w:rsid w:val="009F4B5D"/>
    <w:rsid w:val="009F61E2"/>
    <w:rsid w:val="009F65E5"/>
    <w:rsid w:val="009F6689"/>
    <w:rsid w:val="009F6CFE"/>
    <w:rsid w:val="009F6D39"/>
    <w:rsid w:val="009F6EB9"/>
    <w:rsid w:val="009F6F12"/>
    <w:rsid w:val="009F7287"/>
    <w:rsid w:val="009F7F2D"/>
    <w:rsid w:val="00A00432"/>
    <w:rsid w:val="00A017F6"/>
    <w:rsid w:val="00A01BA2"/>
    <w:rsid w:val="00A01C46"/>
    <w:rsid w:val="00A0217A"/>
    <w:rsid w:val="00A026B7"/>
    <w:rsid w:val="00A02952"/>
    <w:rsid w:val="00A03813"/>
    <w:rsid w:val="00A03B31"/>
    <w:rsid w:val="00A03EB6"/>
    <w:rsid w:val="00A05439"/>
    <w:rsid w:val="00A05905"/>
    <w:rsid w:val="00A06AA3"/>
    <w:rsid w:val="00A06C83"/>
    <w:rsid w:val="00A07CDD"/>
    <w:rsid w:val="00A1028F"/>
    <w:rsid w:val="00A103CB"/>
    <w:rsid w:val="00A11020"/>
    <w:rsid w:val="00A11FBE"/>
    <w:rsid w:val="00A12DC8"/>
    <w:rsid w:val="00A15973"/>
    <w:rsid w:val="00A15F50"/>
    <w:rsid w:val="00A20103"/>
    <w:rsid w:val="00A20E7D"/>
    <w:rsid w:val="00A20E93"/>
    <w:rsid w:val="00A21A24"/>
    <w:rsid w:val="00A22FD5"/>
    <w:rsid w:val="00A238C9"/>
    <w:rsid w:val="00A23B0B"/>
    <w:rsid w:val="00A251B1"/>
    <w:rsid w:val="00A2542F"/>
    <w:rsid w:val="00A254B2"/>
    <w:rsid w:val="00A25D85"/>
    <w:rsid w:val="00A268C5"/>
    <w:rsid w:val="00A2770A"/>
    <w:rsid w:val="00A30E71"/>
    <w:rsid w:val="00A315CC"/>
    <w:rsid w:val="00A319C4"/>
    <w:rsid w:val="00A31F39"/>
    <w:rsid w:val="00A328B8"/>
    <w:rsid w:val="00A32F1D"/>
    <w:rsid w:val="00A33B0B"/>
    <w:rsid w:val="00A33D7B"/>
    <w:rsid w:val="00A34B4E"/>
    <w:rsid w:val="00A34F6C"/>
    <w:rsid w:val="00A34FC9"/>
    <w:rsid w:val="00A351ED"/>
    <w:rsid w:val="00A35261"/>
    <w:rsid w:val="00A35CC8"/>
    <w:rsid w:val="00A35FBC"/>
    <w:rsid w:val="00A3652A"/>
    <w:rsid w:val="00A36BE1"/>
    <w:rsid w:val="00A37D82"/>
    <w:rsid w:val="00A40F10"/>
    <w:rsid w:val="00A40F9C"/>
    <w:rsid w:val="00A4215E"/>
    <w:rsid w:val="00A4239E"/>
    <w:rsid w:val="00A42EDE"/>
    <w:rsid w:val="00A42F2C"/>
    <w:rsid w:val="00A436F8"/>
    <w:rsid w:val="00A43C92"/>
    <w:rsid w:val="00A4408E"/>
    <w:rsid w:val="00A4462E"/>
    <w:rsid w:val="00A447A2"/>
    <w:rsid w:val="00A44BA0"/>
    <w:rsid w:val="00A4585A"/>
    <w:rsid w:val="00A4599E"/>
    <w:rsid w:val="00A4664E"/>
    <w:rsid w:val="00A4681B"/>
    <w:rsid w:val="00A46EAD"/>
    <w:rsid w:val="00A4739D"/>
    <w:rsid w:val="00A47766"/>
    <w:rsid w:val="00A502EE"/>
    <w:rsid w:val="00A505A6"/>
    <w:rsid w:val="00A51825"/>
    <w:rsid w:val="00A51C5A"/>
    <w:rsid w:val="00A52091"/>
    <w:rsid w:val="00A52400"/>
    <w:rsid w:val="00A528F5"/>
    <w:rsid w:val="00A52DB9"/>
    <w:rsid w:val="00A53B62"/>
    <w:rsid w:val="00A53B85"/>
    <w:rsid w:val="00A541DC"/>
    <w:rsid w:val="00A548CE"/>
    <w:rsid w:val="00A54E43"/>
    <w:rsid w:val="00A554DC"/>
    <w:rsid w:val="00A56CC8"/>
    <w:rsid w:val="00A57EC2"/>
    <w:rsid w:val="00A6057E"/>
    <w:rsid w:val="00A608E2"/>
    <w:rsid w:val="00A610DA"/>
    <w:rsid w:val="00A611ED"/>
    <w:rsid w:val="00A617ED"/>
    <w:rsid w:val="00A6210A"/>
    <w:rsid w:val="00A6227B"/>
    <w:rsid w:val="00A6249C"/>
    <w:rsid w:val="00A62951"/>
    <w:rsid w:val="00A6349F"/>
    <w:rsid w:val="00A6489C"/>
    <w:rsid w:val="00A6538B"/>
    <w:rsid w:val="00A656CA"/>
    <w:rsid w:val="00A6626D"/>
    <w:rsid w:val="00A66418"/>
    <w:rsid w:val="00A67117"/>
    <w:rsid w:val="00A67797"/>
    <w:rsid w:val="00A70A13"/>
    <w:rsid w:val="00A715C3"/>
    <w:rsid w:val="00A71874"/>
    <w:rsid w:val="00A72089"/>
    <w:rsid w:val="00A72266"/>
    <w:rsid w:val="00A72A55"/>
    <w:rsid w:val="00A730C0"/>
    <w:rsid w:val="00A734C2"/>
    <w:rsid w:val="00A73C26"/>
    <w:rsid w:val="00A74AF9"/>
    <w:rsid w:val="00A75759"/>
    <w:rsid w:val="00A7629F"/>
    <w:rsid w:val="00A7746E"/>
    <w:rsid w:val="00A805C0"/>
    <w:rsid w:val="00A80E3B"/>
    <w:rsid w:val="00A8236A"/>
    <w:rsid w:val="00A825DB"/>
    <w:rsid w:val="00A8260C"/>
    <w:rsid w:val="00A827D9"/>
    <w:rsid w:val="00A82A2A"/>
    <w:rsid w:val="00A82E99"/>
    <w:rsid w:val="00A8418C"/>
    <w:rsid w:val="00A842AC"/>
    <w:rsid w:val="00A848EF"/>
    <w:rsid w:val="00A853D1"/>
    <w:rsid w:val="00A85679"/>
    <w:rsid w:val="00A86306"/>
    <w:rsid w:val="00A86E5A"/>
    <w:rsid w:val="00A909E1"/>
    <w:rsid w:val="00A911DA"/>
    <w:rsid w:val="00A91403"/>
    <w:rsid w:val="00A920D9"/>
    <w:rsid w:val="00A92E96"/>
    <w:rsid w:val="00A94003"/>
    <w:rsid w:val="00A947D2"/>
    <w:rsid w:val="00A94837"/>
    <w:rsid w:val="00A95036"/>
    <w:rsid w:val="00A956B6"/>
    <w:rsid w:val="00A959DA"/>
    <w:rsid w:val="00A96C5E"/>
    <w:rsid w:val="00A97382"/>
    <w:rsid w:val="00A97565"/>
    <w:rsid w:val="00A97621"/>
    <w:rsid w:val="00A9778A"/>
    <w:rsid w:val="00A97ABA"/>
    <w:rsid w:val="00AA03E2"/>
    <w:rsid w:val="00AA06A3"/>
    <w:rsid w:val="00AA0943"/>
    <w:rsid w:val="00AA0DD8"/>
    <w:rsid w:val="00AA13FF"/>
    <w:rsid w:val="00AA153B"/>
    <w:rsid w:val="00AA1704"/>
    <w:rsid w:val="00AA1B8C"/>
    <w:rsid w:val="00AA2392"/>
    <w:rsid w:val="00AA29DA"/>
    <w:rsid w:val="00AA2A8E"/>
    <w:rsid w:val="00AA3BBE"/>
    <w:rsid w:val="00AA3F19"/>
    <w:rsid w:val="00AA3FA8"/>
    <w:rsid w:val="00AA40D0"/>
    <w:rsid w:val="00AA4B45"/>
    <w:rsid w:val="00AA50F8"/>
    <w:rsid w:val="00AA5B80"/>
    <w:rsid w:val="00AA6184"/>
    <w:rsid w:val="00AA6FE6"/>
    <w:rsid w:val="00AA7AC5"/>
    <w:rsid w:val="00AA7E0B"/>
    <w:rsid w:val="00AB0F31"/>
    <w:rsid w:val="00AB11CB"/>
    <w:rsid w:val="00AB1E14"/>
    <w:rsid w:val="00AB2EFB"/>
    <w:rsid w:val="00AB4BBF"/>
    <w:rsid w:val="00AB5150"/>
    <w:rsid w:val="00AB5811"/>
    <w:rsid w:val="00AB5F60"/>
    <w:rsid w:val="00AB7359"/>
    <w:rsid w:val="00AB7993"/>
    <w:rsid w:val="00AB7A75"/>
    <w:rsid w:val="00AC0228"/>
    <w:rsid w:val="00AC0245"/>
    <w:rsid w:val="00AC0973"/>
    <w:rsid w:val="00AC09E8"/>
    <w:rsid w:val="00AC2BEF"/>
    <w:rsid w:val="00AC2F54"/>
    <w:rsid w:val="00AC3EF3"/>
    <w:rsid w:val="00AC461E"/>
    <w:rsid w:val="00AC4C38"/>
    <w:rsid w:val="00AC4F57"/>
    <w:rsid w:val="00AC57EB"/>
    <w:rsid w:val="00AC626D"/>
    <w:rsid w:val="00AC65B9"/>
    <w:rsid w:val="00AC6F76"/>
    <w:rsid w:val="00AC7006"/>
    <w:rsid w:val="00AD1050"/>
    <w:rsid w:val="00AD1052"/>
    <w:rsid w:val="00AD16F4"/>
    <w:rsid w:val="00AD1724"/>
    <w:rsid w:val="00AD3159"/>
    <w:rsid w:val="00AD3339"/>
    <w:rsid w:val="00AD3781"/>
    <w:rsid w:val="00AD3A6D"/>
    <w:rsid w:val="00AD5AF0"/>
    <w:rsid w:val="00AD5E48"/>
    <w:rsid w:val="00AD6444"/>
    <w:rsid w:val="00AD6615"/>
    <w:rsid w:val="00AD724C"/>
    <w:rsid w:val="00AD7ABE"/>
    <w:rsid w:val="00AE03DD"/>
    <w:rsid w:val="00AE0AC8"/>
    <w:rsid w:val="00AE0AE4"/>
    <w:rsid w:val="00AE1BB8"/>
    <w:rsid w:val="00AE2F21"/>
    <w:rsid w:val="00AE32AD"/>
    <w:rsid w:val="00AE4398"/>
    <w:rsid w:val="00AE4808"/>
    <w:rsid w:val="00AE4A18"/>
    <w:rsid w:val="00AE4B50"/>
    <w:rsid w:val="00AE54F4"/>
    <w:rsid w:val="00AE55A9"/>
    <w:rsid w:val="00AE5D7A"/>
    <w:rsid w:val="00AE66E2"/>
    <w:rsid w:val="00AE7006"/>
    <w:rsid w:val="00AE736B"/>
    <w:rsid w:val="00AE7643"/>
    <w:rsid w:val="00AE7B6C"/>
    <w:rsid w:val="00AF04FC"/>
    <w:rsid w:val="00AF1FE0"/>
    <w:rsid w:val="00AF2A5D"/>
    <w:rsid w:val="00AF2B0A"/>
    <w:rsid w:val="00AF2D33"/>
    <w:rsid w:val="00AF380E"/>
    <w:rsid w:val="00AF397F"/>
    <w:rsid w:val="00AF3A3D"/>
    <w:rsid w:val="00AF3EBA"/>
    <w:rsid w:val="00AF4993"/>
    <w:rsid w:val="00AF63B1"/>
    <w:rsid w:val="00AF70BC"/>
    <w:rsid w:val="00AF765B"/>
    <w:rsid w:val="00B001D2"/>
    <w:rsid w:val="00B00C9D"/>
    <w:rsid w:val="00B01FD1"/>
    <w:rsid w:val="00B028DD"/>
    <w:rsid w:val="00B03F92"/>
    <w:rsid w:val="00B03F97"/>
    <w:rsid w:val="00B0641F"/>
    <w:rsid w:val="00B06460"/>
    <w:rsid w:val="00B075F5"/>
    <w:rsid w:val="00B10976"/>
    <w:rsid w:val="00B11358"/>
    <w:rsid w:val="00B12262"/>
    <w:rsid w:val="00B1278A"/>
    <w:rsid w:val="00B12E11"/>
    <w:rsid w:val="00B13E0D"/>
    <w:rsid w:val="00B13FC9"/>
    <w:rsid w:val="00B1435F"/>
    <w:rsid w:val="00B152E1"/>
    <w:rsid w:val="00B15859"/>
    <w:rsid w:val="00B162C7"/>
    <w:rsid w:val="00B16AA9"/>
    <w:rsid w:val="00B16B3A"/>
    <w:rsid w:val="00B20A03"/>
    <w:rsid w:val="00B21481"/>
    <w:rsid w:val="00B216CB"/>
    <w:rsid w:val="00B21F55"/>
    <w:rsid w:val="00B23991"/>
    <w:rsid w:val="00B23F01"/>
    <w:rsid w:val="00B24176"/>
    <w:rsid w:val="00B24676"/>
    <w:rsid w:val="00B24681"/>
    <w:rsid w:val="00B24778"/>
    <w:rsid w:val="00B26CBE"/>
    <w:rsid w:val="00B26D4C"/>
    <w:rsid w:val="00B278A0"/>
    <w:rsid w:val="00B27AE8"/>
    <w:rsid w:val="00B27F9F"/>
    <w:rsid w:val="00B3011E"/>
    <w:rsid w:val="00B302FA"/>
    <w:rsid w:val="00B32378"/>
    <w:rsid w:val="00B32533"/>
    <w:rsid w:val="00B32FB9"/>
    <w:rsid w:val="00B355D0"/>
    <w:rsid w:val="00B36325"/>
    <w:rsid w:val="00B368CF"/>
    <w:rsid w:val="00B36D37"/>
    <w:rsid w:val="00B372B7"/>
    <w:rsid w:val="00B37CC5"/>
    <w:rsid w:val="00B4100E"/>
    <w:rsid w:val="00B421D9"/>
    <w:rsid w:val="00B426A0"/>
    <w:rsid w:val="00B44A97"/>
    <w:rsid w:val="00B44BA5"/>
    <w:rsid w:val="00B4513B"/>
    <w:rsid w:val="00B458FC"/>
    <w:rsid w:val="00B46D10"/>
    <w:rsid w:val="00B46D3C"/>
    <w:rsid w:val="00B47335"/>
    <w:rsid w:val="00B47A0B"/>
    <w:rsid w:val="00B5071B"/>
    <w:rsid w:val="00B50B60"/>
    <w:rsid w:val="00B51909"/>
    <w:rsid w:val="00B52245"/>
    <w:rsid w:val="00B52309"/>
    <w:rsid w:val="00B5234E"/>
    <w:rsid w:val="00B524C3"/>
    <w:rsid w:val="00B524D0"/>
    <w:rsid w:val="00B532D5"/>
    <w:rsid w:val="00B53542"/>
    <w:rsid w:val="00B53F1B"/>
    <w:rsid w:val="00B5407B"/>
    <w:rsid w:val="00B55805"/>
    <w:rsid w:val="00B56ECD"/>
    <w:rsid w:val="00B5739D"/>
    <w:rsid w:val="00B5743A"/>
    <w:rsid w:val="00B57F82"/>
    <w:rsid w:val="00B60467"/>
    <w:rsid w:val="00B6048C"/>
    <w:rsid w:val="00B60CB7"/>
    <w:rsid w:val="00B61301"/>
    <w:rsid w:val="00B61926"/>
    <w:rsid w:val="00B622CF"/>
    <w:rsid w:val="00B62840"/>
    <w:rsid w:val="00B639C4"/>
    <w:rsid w:val="00B63C63"/>
    <w:rsid w:val="00B640DD"/>
    <w:rsid w:val="00B642DA"/>
    <w:rsid w:val="00B6448B"/>
    <w:rsid w:val="00B64B04"/>
    <w:rsid w:val="00B66BD5"/>
    <w:rsid w:val="00B67349"/>
    <w:rsid w:val="00B67A6F"/>
    <w:rsid w:val="00B70156"/>
    <w:rsid w:val="00B70BFE"/>
    <w:rsid w:val="00B7156F"/>
    <w:rsid w:val="00B720CB"/>
    <w:rsid w:val="00B74BAB"/>
    <w:rsid w:val="00B753A6"/>
    <w:rsid w:val="00B756E9"/>
    <w:rsid w:val="00B75B5C"/>
    <w:rsid w:val="00B75FB4"/>
    <w:rsid w:val="00B77450"/>
    <w:rsid w:val="00B7769F"/>
    <w:rsid w:val="00B77B19"/>
    <w:rsid w:val="00B8004B"/>
    <w:rsid w:val="00B808DF"/>
    <w:rsid w:val="00B809B3"/>
    <w:rsid w:val="00B813EE"/>
    <w:rsid w:val="00B81714"/>
    <w:rsid w:val="00B82D4D"/>
    <w:rsid w:val="00B834A6"/>
    <w:rsid w:val="00B8382F"/>
    <w:rsid w:val="00B83E49"/>
    <w:rsid w:val="00B84D62"/>
    <w:rsid w:val="00B85194"/>
    <w:rsid w:val="00B851EE"/>
    <w:rsid w:val="00B85576"/>
    <w:rsid w:val="00B857DF"/>
    <w:rsid w:val="00B85EA0"/>
    <w:rsid w:val="00B86453"/>
    <w:rsid w:val="00B8682C"/>
    <w:rsid w:val="00B86D46"/>
    <w:rsid w:val="00B870FC"/>
    <w:rsid w:val="00B87C01"/>
    <w:rsid w:val="00B87D58"/>
    <w:rsid w:val="00B87DE9"/>
    <w:rsid w:val="00B9155F"/>
    <w:rsid w:val="00B9168F"/>
    <w:rsid w:val="00B96194"/>
    <w:rsid w:val="00B966F9"/>
    <w:rsid w:val="00B96934"/>
    <w:rsid w:val="00B9750C"/>
    <w:rsid w:val="00B976E4"/>
    <w:rsid w:val="00BA01AA"/>
    <w:rsid w:val="00BA06A7"/>
    <w:rsid w:val="00BA0983"/>
    <w:rsid w:val="00BA18B6"/>
    <w:rsid w:val="00BA1F1C"/>
    <w:rsid w:val="00BA21B3"/>
    <w:rsid w:val="00BA2870"/>
    <w:rsid w:val="00BA288F"/>
    <w:rsid w:val="00BA3534"/>
    <w:rsid w:val="00BA3A98"/>
    <w:rsid w:val="00BA5004"/>
    <w:rsid w:val="00BA5996"/>
    <w:rsid w:val="00BA600E"/>
    <w:rsid w:val="00BA608C"/>
    <w:rsid w:val="00BA6476"/>
    <w:rsid w:val="00BA679D"/>
    <w:rsid w:val="00BA73D2"/>
    <w:rsid w:val="00BB23A7"/>
    <w:rsid w:val="00BB23C9"/>
    <w:rsid w:val="00BB2627"/>
    <w:rsid w:val="00BB30BC"/>
    <w:rsid w:val="00BB33FC"/>
    <w:rsid w:val="00BB4E8E"/>
    <w:rsid w:val="00BB540B"/>
    <w:rsid w:val="00BB5799"/>
    <w:rsid w:val="00BB5B74"/>
    <w:rsid w:val="00BB656B"/>
    <w:rsid w:val="00BB6AEB"/>
    <w:rsid w:val="00BC04F3"/>
    <w:rsid w:val="00BC1602"/>
    <w:rsid w:val="00BC2DCD"/>
    <w:rsid w:val="00BC3142"/>
    <w:rsid w:val="00BC344D"/>
    <w:rsid w:val="00BC382B"/>
    <w:rsid w:val="00BC4FA9"/>
    <w:rsid w:val="00BC538A"/>
    <w:rsid w:val="00BC5469"/>
    <w:rsid w:val="00BC55D5"/>
    <w:rsid w:val="00BC5AEA"/>
    <w:rsid w:val="00BC6400"/>
    <w:rsid w:val="00BC66C4"/>
    <w:rsid w:val="00BC6BB4"/>
    <w:rsid w:val="00BC6C59"/>
    <w:rsid w:val="00BD0B27"/>
    <w:rsid w:val="00BD217E"/>
    <w:rsid w:val="00BD23EB"/>
    <w:rsid w:val="00BD2728"/>
    <w:rsid w:val="00BD2881"/>
    <w:rsid w:val="00BD3ACB"/>
    <w:rsid w:val="00BD4C47"/>
    <w:rsid w:val="00BD5F6D"/>
    <w:rsid w:val="00BD6827"/>
    <w:rsid w:val="00BD6E41"/>
    <w:rsid w:val="00BD7DC6"/>
    <w:rsid w:val="00BD7E1E"/>
    <w:rsid w:val="00BE0263"/>
    <w:rsid w:val="00BE13BF"/>
    <w:rsid w:val="00BE29C1"/>
    <w:rsid w:val="00BE2C72"/>
    <w:rsid w:val="00BE444C"/>
    <w:rsid w:val="00BE54A7"/>
    <w:rsid w:val="00BE5756"/>
    <w:rsid w:val="00BE621D"/>
    <w:rsid w:val="00BE680D"/>
    <w:rsid w:val="00BE7099"/>
    <w:rsid w:val="00BE70C3"/>
    <w:rsid w:val="00BF0615"/>
    <w:rsid w:val="00BF1205"/>
    <w:rsid w:val="00BF153F"/>
    <w:rsid w:val="00BF1852"/>
    <w:rsid w:val="00BF2089"/>
    <w:rsid w:val="00BF2CA8"/>
    <w:rsid w:val="00BF39C4"/>
    <w:rsid w:val="00BF3C45"/>
    <w:rsid w:val="00BF4917"/>
    <w:rsid w:val="00BF6502"/>
    <w:rsid w:val="00BF7474"/>
    <w:rsid w:val="00C00B06"/>
    <w:rsid w:val="00C018E3"/>
    <w:rsid w:val="00C01C02"/>
    <w:rsid w:val="00C02F7B"/>
    <w:rsid w:val="00C039E5"/>
    <w:rsid w:val="00C04784"/>
    <w:rsid w:val="00C04E53"/>
    <w:rsid w:val="00C0647A"/>
    <w:rsid w:val="00C06644"/>
    <w:rsid w:val="00C07401"/>
    <w:rsid w:val="00C07AD4"/>
    <w:rsid w:val="00C10643"/>
    <w:rsid w:val="00C107AD"/>
    <w:rsid w:val="00C10F80"/>
    <w:rsid w:val="00C111EE"/>
    <w:rsid w:val="00C112D9"/>
    <w:rsid w:val="00C113DE"/>
    <w:rsid w:val="00C118F6"/>
    <w:rsid w:val="00C11C68"/>
    <w:rsid w:val="00C12A7D"/>
    <w:rsid w:val="00C1309E"/>
    <w:rsid w:val="00C1356E"/>
    <w:rsid w:val="00C1650A"/>
    <w:rsid w:val="00C16A5E"/>
    <w:rsid w:val="00C17614"/>
    <w:rsid w:val="00C205CD"/>
    <w:rsid w:val="00C20DCB"/>
    <w:rsid w:val="00C20FB6"/>
    <w:rsid w:val="00C2148F"/>
    <w:rsid w:val="00C21589"/>
    <w:rsid w:val="00C21842"/>
    <w:rsid w:val="00C24AC3"/>
    <w:rsid w:val="00C24ED1"/>
    <w:rsid w:val="00C250F6"/>
    <w:rsid w:val="00C255CF"/>
    <w:rsid w:val="00C25D3F"/>
    <w:rsid w:val="00C25FF2"/>
    <w:rsid w:val="00C269B9"/>
    <w:rsid w:val="00C26DAB"/>
    <w:rsid w:val="00C26F23"/>
    <w:rsid w:val="00C27F4D"/>
    <w:rsid w:val="00C30CDF"/>
    <w:rsid w:val="00C3151C"/>
    <w:rsid w:val="00C316C8"/>
    <w:rsid w:val="00C34D4C"/>
    <w:rsid w:val="00C35A38"/>
    <w:rsid w:val="00C36350"/>
    <w:rsid w:val="00C36806"/>
    <w:rsid w:val="00C36D5A"/>
    <w:rsid w:val="00C37271"/>
    <w:rsid w:val="00C375B3"/>
    <w:rsid w:val="00C40240"/>
    <w:rsid w:val="00C40F88"/>
    <w:rsid w:val="00C415B4"/>
    <w:rsid w:val="00C41FF1"/>
    <w:rsid w:val="00C426FC"/>
    <w:rsid w:val="00C42E79"/>
    <w:rsid w:val="00C437B4"/>
    <w:rsid w:val="00C44169"/>
    <w:rsid w:val="00C4433D"/>
    <w:rsid w:val="00C44983"/>
    <w:rsid w:val="00C44A0D"/>
    <w:rsid w:val="00C44D7E"/>
    <w:rsid w:val="00C4525F"/>
    <w:rsid w:val="00C4575F"/>
    <w:rsid w:val="00C46AB0"/>
    <w:rsid w:val="00C47077"/>
    <w:rsid w:val="00C47579"/>
    <w:rsid w:val="00C47DBB"/>
    <w:rsid w:val="00C47F65"/>
    <w:rsid w:val="00C500D8"/>
    <w:rsid w:val="00C50A3D"/>
    <w:rsid w:val="00C52784"/>
    <w:rsid w:val="00C53224"/>
    <w:rsid w:val="00C53403"/>
    <w:rsid w:val="00C53964"/>
    <w:rsid w:val="00C53BCE"/>
    <w:rsid w:val="00C558FE"/>
    <w:rsid w:val="00C55EBA"/>
    <w:rsid w:val="00C56696"/>
    <w:rsid w:val="00C56E2D"/>
    <w:rsid w:val="00C60505"/>
    <w:rsid w:val="00C60B3C"/>
    <w:rsid w:val="00C60E94"/>
    <w:rsid w:val="00C61729"/>
    <w:rsid w:val="00C63D71"/>
    <w:rsid w:val="00C64062"/>
    <w:rsid w:val="00C6578D"/>
    <w:rsid w:val="00C65F6D"/>
    <w:rsid w:val="00C67015"/>
    <w:rsid w:val="00C67277"/>
    <w:rsid w:val="00C708F5"/>
    <w:rsid w:val="00C70AEA"/>
    <w:rsid w:val="00C70BA3"/>
    <w:rsid w:val="00C7147F"/>
    <w:rsid w:val="00C71B81"/>
    <w:rsid w:val="00C71E5F"/>
    <w:rsid w:val="00C72151"/>
    <w:rsid w:val="00C74CB9"/>
    <w:rsid w:val="00C76CDF"/>
    <w:rsid w:val="00C7748C"/>
    <w:rsid w:val="00C82773"/>
    <w:rsid w:val="00C8391C"/>
    <w:rsid w:val="00C83C09"/>
    <w:rsid w:val="00C83DD2"/>
    <w:rsid w:val="00C8684A"/>
    <w:rsid w:val="00C86BC4"/>
    <w:rsid w:val="00C871C9"/>
    <w:rsid w:val="00C87263"/>
    <w:rsid w:val="00C87347"/>
    <w:rsid w:val="00C87620"/>
    <w:rsid w:val="00C9041F"/>
    <w:rsid w:val="00C9094F"/>
    <w:rsid w:val="00C9107F"/>
    <w:rsid w:val="00C910C3"/>
    <w:rsid w:val="00C9229E"/>
    <w:rsid w:val="00C923A6"/>
    <w:rsid w:val="00C92E7F"/>
    <w:rsid w:val="00C93C65"/>
    <w:rsid w:val="00C944C7"/>
    <w:rsid w:val="00C95134"/>
    <w:rsid w:val="00C95619"/>
    <w:rsid w:val="00C957BA"/>
    <w:rsid w:val="00C958B1"/>
    <w:rsid w:val="00C95C3F"/>
    <w:rsid w:val="00C96085"/>
    <w:rsid w:val="00C9751A"/>
    <w:rsid w:val="00CA01CD"/>
    <w:rsid w:val="00CA0DE7"/>
    <w:rsid w:val="00CA15D1"/>
    <w:rsid w:val="00CA1774"/>
    <w:rsid w:val="00CA1BBB"/>
    <w:rsid w:val="00CA370F"/>
    <w:rsid w:val="00CA3BA2"/>
    <w:rsid w:val="00CA61DD"/>
    <w:rsid w:val="00CA6815"/>
    <w:rsid w:val="00CA6AD8"/>
    <w:rsid w:val="00CB00A6"/>
    <w:rsid w:val="00CB1C27"/>
    <w:rsid w:val="00CB1D40"/>
    <w:rsid w:val="00CB2D58"/>
    <w:rsid w:val="00CB30EA"/>
    <w:rsid w:val="00CB3970"/>
    <w:rsid w:val="00CB3C62"/>
    <w:rsid w:val="00CB3FC6"/>
    <w:rsid w:val="00CB45B8"/>
    <w:rsid w:val="00CB4D0E"/>
    <w:rsid w:val="00CB56EB"/>
    <w:rsid w:val="00CC0F5E"/>
    <w:rsid w:val="00CC10F7"/>
    <w:rsid w:val="00CC1437"/>
    <w:rsid w:val="00CC21B4"/>
    <w:rsid w:val="00CC2E41"/>
    <w:rsid w:val="00CC3279"/>
    <w:rsid w:val="00CC3C7C"/>
    <w:rsid w:val="00CC4406"/>
    <w:rsid w:val="00CC5466"/>
    <w:rsid w:val="00CC555C"/>
    <w:rsid w:val="00CC64A2"/>
    <w:rsid w:val="00CC6C78"/>
    <w:rsid w:val="00CC6D2D"/>
    <w:rsid w:val="00CC705E"/>
    <w:rsid w:val="00CD071C"/>
    <w:rsid w:val="00CD0CE1"/>
    <w:rsid w:val="00CD1646"/>
    <w:rsid w:val="00CD17C1"/>
    <w:rsid w:val="00CD1B54"/>
    <w:rsid w:val="00CD239D"/>
    <w:rsid w:val="00CD2935"/>
    <w:rsid w:val="00CD2982"/>
    <w:rsid w:val="00CD34F7"/>
    <w:rsid w:val="00CD367C"/>
    <w:rsid w:val="00CD3826"/>
    <w:rsid w:val="00CD51FC"/>
    <w:rsid w:val="00CD5334"/>
    <w:rsid w:val="00CD5ADE"/>
    <w:rsid w:val="00CD67CF"/>
    <w:rsid w:val="00CD6B12"/>
    <w:rsid w:val="00CD6BED"/>
    <w:rsid w:val="00CE01D6"/>
    <w:rsid w:val="00CE02CA"/>
    <w:rsid w:val="00CE14B6"/>
    <w:rsid w:val="00CE1710"/>
    <w:rsid w:val="00CE185E"/>
    <w:rsid w:val="00CE3897"/>
    <w:rsid w:val="00CE4811"/>
    <w:rsid w:val="00CE55E9"/>
    <w:rsid w:val="00CE5DBA"/>
    <w:rsid w:val="00CE6902"/>
    <w:rsid w:val="00CE6B6F"/>
    <w:rsid w:val="00CE7B31"/>
    <w:rsid w:val="00CF0595"/>
    <w:rsid w:val="00CF1340"/>
    <w:rsid w:val="00CF1B48"/>
    <w:rsid w:val="00CF1EDE"/>
    <w:rsid w:val="00CF28B7"/>
    <w:rsid w:val="00CF4EA7"/>
    <w:rsid w:val="00CF5B7A"/>
    <w:rsid w:val="00CF66CB"/>
    <w:rsid w:val="00CF72E0"/>
    <w:rsid w:val="00CF786A"/>
    <w:rsid w:val="00D00228"/>
    <w:rsid w:val="00D00AC7"/>
    <w:rsid w:val="00D00D65"/>
    <w:rsid w:val="00D01528"/>
    <w:rsid w:val="00D02065"/>
    <w:rsid w:val="00D02B2A"/>
    <w:rsid w:val="00D04595"/>
    <w:rsid w:val="00D049D3"/>
    <w:rsid w:val="00D04F60"/>
    <w:rsid w:val="00D0554B"/>
    <w:rsid w:val="00D0740E"/>
    <w:rsid w:val="00D07F2A"/>
    <w:rsid w:val="00D1034D"/>
    <w:rsid w:val="00D106D6"/>
    <w:rsid w:val="00D107C7"/>
    <w:rsid w:val="00D122AA"/>
    <w:rsid w:val="00D138AC"/>
    <w:rsid w:val="00D14BB6"/>
    <w:rsid w:val="00D16E3F"/>
    <w:rsid w:val="00D178E2"/>
    <w:rsid w:val="00D17FD4"/>
    <w:rsid w:val="00D212ED"/>
    <w:rsid w:val="00D21792"/>
    <w:rsid w:val="00D22239"/>
    <w:rsid w:val="00D22454"/>
    <w:rsid w:val="00D22B26"/>
    <w:rsid w:val="00D237D5"/>
    <w:rsid w:val="00D23943"/>
    <w:rsid w:val="00D24027"/>
    <w:rsid w:val="00D24309"/>
    <w:rsid w:val="00D24A2E"/>
    <w:rsid w:val="00D24CD6"/>
    <w:rsid w:val="00D25A11"/>
    <w:rsid w:val="00D263BD"/>
    <w:rsid w:val="00D269C2"/>
    <w:rsid w:val="00D273C0"/>
    <w:rsid w:val="00D30021"/>
    <w:rsid w:val="00D3031C"/>
    <w:rsid w:val="00D31276"/>
    <w:rsid w:val="00D32685"/>
    <w:rsid w:val="00D3276C"/>
    <w:rsid w:val="00D32DED"/>
    <w:rsid w:val="00D33950"/>
    <w:rsid w:val="00D34084"/>
    <w:rsid w:val="00D346F7"/>
    <w:rsid w:val="00D3524E"/>
    <w:rsid w:val="00D35AA6"/>
    <w:rsid w:val="00D35EC4"/>
    <w:rsid w:val="00D36438"/>
    <w:rsid w:val="00D3680E"/>
    <w:rsid w:val="00D36888"/>
    <w:rsid w:val="00D3791F"/>
    <w:rsid w:val="00D4018F"/>
    <w:rsid w:val="00D404EF"/>
    <w:rsid w:val="00D427DF"/>
    <w:rsid w:val="00D429AB"/>
    <w:rsid w:val="00D430EF"/>
    <w:rsid w:val="00D43BA9"/>
    <w:rsid w:val="00D4479D"/>
    <w:rsid w:val="00D44CB9"/>
    <w:rsid w:val="00D450FD"/>
    <w:rsid w:val="00D45BCB"/>
    <w:rsid w:val="00D464DA"/>
    <w:rsid w:val="00D46FD0"/>
    <w:rsid w:val="00D473E8"/>
    <w:rsid w:val="00D504DB"/>
    <w:rsid w:val="00D505E7"/>
    <w:rsid w:val="00D50F20"/>
    <w:rsid w:val="00D51099"/>
    <w:rsid w:val="00D52570"/>
    <w:rsid w:val="00D52955"/>
    <w:rsid w:val="00D5295F"/>
    <w:rsid w:val="00D53873"/>
    <w:rsid w:val="00D53904"/>
    <w:rsid w:val="00D5391A"/>
    <w:rsid w:val="00D5580A"/>
    <w:rsid w:val="00D57E60"/>
    <w:rsid w:val="00D605A7"/>
    <w:rsid w:val="00D60C1D"/>
    <w:rsid w:val="00D60F8E"/>
    <w:rsid w:val="00D61287"/>
    <w:rsid w:val="00D61FA4"/>
    <w:rsid w:val="00D62AEE"/>
    <w:rsid w:val="00D6372B"/>
    <w:rsid w:val="00D63EF1"/>
    <w:rsid w:val="00D6414A"/>
    <w:rsid w:val="00D64810"/>
    <w:rsid w:val="00D6488D"/>
    <w:rsid w:val="00D66613"/>
    <w:rsid w:val="00D66A86"/>
    <w:rsid w:val="00D67184"/>
    <w:rsid w:val="00D6778F"/>
    <w:rsid w:val="00D7129C"/>
    <w:rsid w:val="00D71671"/>
    <w:rsid w:val="00D7205A"/>
    <w:rsid w:val="00D73B50"/>
    <w:rsid w:val="00D73F87"/>
    <w:rsid w:val="00D74971"/>
    <w:rsid w:val="00D74D28"/>
    <w:rsid w:val="00D74F00"/>
    <w:rsid w:val="00D74F16"/>
    <w:rsid w:val="00D74F80"/>
    <w:rsid w:val="00D76A2E"/>
    <w:rsid w:val="00D7733C"/>
    <w:rsid w:val="00D77971"/>
    <w:rsid w:val="00D80BA0"/>
    <w:rsid w:val="00D80D78"/>
    <w:rsid w:val="00D8126E"/>
    <w:rsid w:val="00D815D5"/>
    <w:rsid w:val="00D81AFC"/>
    <w:rsid w:val="00D81F7F"/>
    <w:rsid w:val="00D81F85"/>
    <w:rsid w:val="00D8206E"/>
    <w:rsid w:val="00D83725"/>
    <w:rsid w:val="00D83CEE"/>
    <w:rsid w:val="00D841E6"/>
    <w:rsid w:val="00D842B5"/>
    <w:rsid w:val="00D84319"/>
    <w:rsid w:val="00D85598"/>
    <w:rsid w:val="00D8580F"/>
    <w:rsid w:val="00D85881"/>
    <w:rsid w:val="00D863F2"/>
    <w:rsid w:val="00D8665D"/>
    <w:rsid w:val="00D86F63"/>
    <w:rsid w:val="00D8700B"/>
    <w:rsid w:val="00D872D4"/>
    <w:rsid w:val="00D87630"/>
    <w:rsid w:val="00D87E21"/>
    <w:rsid w:val="00D91631"/>
    <w:rsid w:val="00D9275B"/>
    <w:rsid w:val="00D9286A"/>
    <w:rsid w:val="00D9406A"/>
    <w:rsid w:val="00D95268"/>
    <w:rsid w:val="00D95784"/>
    <w:rsid w:val="00D9603A"/>
    <w:rsid w:val="00D9662A"/>
    <w:rsid w:val="00D96FE1"/>
    <w:rsid w:val="00D973CD"/>
    <w:rsid w:val="00D97481"/>
    <w:rsid w:val="00DA05E7"/>
    <w:rsid w:val="00DA167C"/>
    <w:rsid w:val="00DA25B2"/>
    <w:rsid w:val="00DA2F0C"/>
    <w:rsid w:val="00DA2F26"/>
    <w:rsid w:val="00DA381A"/>
    <w:rsid w:val="00DA38F8"/>
    <w:rsid w:val="00DA3B57"/>
    <w:rsid w:val="00DA469B"/>
    <w:rsid w:val="00DA4EC6"/>
    <w:rsid w:val="00DA5069"/>
    <w:rsid w:val="00DA5714"/>
    <w:rsid w:val="00DA5F0D"/>
    <w:rsid w:val="00DA70BE"/>
    <w:rsid w:val="00DA7172"/>
    <w:rsid w:val="00DA7CA1"/>
    <w:rsid w:val="00DB3C36"/>
    <w:rsid w:val="00DB70BB"/>
    <w:rsid w:val="00DB7DC7"/>
    <w:rsid w:val="00DC094C"/>
    <w:rsid w:val="00DC0B0E"/>
    <w:rsid w:val="00DC10FB"/>
    <w:rsid w:val="00DC11CC"/>
    <w:rsid w:val="00DC1345"/>
    <w:rsid w:val="00DC137B"/>
    <w:rsid w:val="00DC1EF8"/>
    <w:rsid w:val="00DC2106"/>
    <w:rsid w:val="00DC2207"/>
    <w:rsid w:val="00DC3985"/>
    <w:rsid w:val="00DC3A89"/>
    <w:rsid w:val="00DC40C2"/>
    <w:rsid w:val="00DC4B8D"/>
    <w:rsid w:val="00DC4E76"/>
    <w:rsid w:val="00DC505F"/>
    <w:rsid w:val="00DC51F6"/>
    <w:rsid w:val="00DC54A7"/>
    <w:rsid w:val="00DC5D39"/>
    <w:rsid w:val="00DC798D"/>
    <w:rsid w:val="00DD11E8"/>
    <w:rsid w:val="00DD15E6"/>
    <w:rsid w:val="00DD1F2E"/>
    <w:rsid w:val="00DD2663"/>
    <w:rsid w:val="00DD4051"/>
    <w:rsid w:val="00DD4308"/>
    <w:rsid w:val="00DD4492"/>
    <w:rsid w:val="00DD4CED"/>
    <w:rsid w:val="00DD4DCC"/>
    <w:rsid w:val="00DD4E6C"/>
    <w:rsid w:val="00DD4FE3"/>
    <w:rsid w:val="00DD58C6"/>
    <w:rsid w:val="00DD5FF6"/>
    <w:rsid w:val="00DD64C2"/>
    <w:rsid w:val="00DD6FFD"/>
    <w:rsid w:val="00DD710F"/>
    <w:rsid w:val="00DD7625"/>
    <w:rsid w:val="00DD79C0"/>
    <w:rsid w:val="00DD7CD5"/>
    <w:rsid w:val="00DD7D13"/>
    <w:rsid w:val="00DD7DA6"/>
    <w:rsid w:val="00DD7E03"/>
    <w:rsid w:val="00DE07F4"/>
    <w:rsid w:val="00DE0A65"/>
    <w:rsid w:val="00DE1E82"/>
    <w:rsid w:val="00DE2979"/>
    <w:rsid w:val="00DE33BA"/>
    <w:rsid w:val="00DE35A3"/>
    <w:rsid w:val="00DE3836"/>
    <w:rsid w:val="00DE3839"/>
    <w:rsid w:val="00DE3C63"/>
    <w:rsid w:val="00DE62EC"/>
    <w:rsid w:val="00DE6481"/>
    <w:rsid w:val="00DE72F1"/>
    <w:rsid w:val="00DE7ED5"/>
    <w:rsid w:val="00DF01CE"/>
    <w:rsid w:val="00DF0B6E"/>
    <w:rsid w:val="00DF0DC1"/>
    <w:rsid w:val="00DF1EA6"/>
    <w:rsid w:val="00DF2487"/>
    <w:rsid w:val="00DF2B76"/>
    <w:rsid w:val="00DF3EE6"/>
    <w:rsid w:val="00DF412E"/>
    <w:rsid w:val="00DF48ED"/>
    <w:rsid w:val="00DF5208"/>
    <w:rsid w:val="00DF5341"/>
    <w:rsid w:val="00DF5555"/>
    <w:rsid w:val="00DF584D"/>
    <w:rsid w:val="00DF6965"/>
    <w:rsid w:val="00DF6F6E"/>
    <w:rsid w:val="00DF7280"/>
    <w:rsid w:val="00DF7428"/>
    <w:rsid w:val="00DF7597"/>
    <w:rsid w:val="00DF774D"/>
    <w:rsid w:val="00DF7BA7"/>
    <w:rsid w:val="00E0076A"/>
    <w:rsid w:val="00E00CBA"/>
    <w:rsid w:val="00E00D52"/>
    <w:rsid w:val="00E01969"/>
    <w:rsid w:val="00E0273F"/>
    <w:rsid w:val="00E02884"/>
    <w:rsid w:val="00E028C1"/>
    <w:rsid w:val="00E02D96"/>
    <w:rsid w:val="00E03A90"/>
    <w:rsid w:val="00E05427"/>
    <w:rsid w:val="00E05FD4"/>
    <w:rsid w:val="00E075D6"/>
    <w:rsid w:val="00E07768"/>
    <w:rsid w:val="00E07882"/>
    <w:rsid w:val="00E10FE5"/>
    <w:rsid w:val="00E1136B"/>
    <w:rsid w:val="00E11529"/>
    <w:rsid w:val="00E11610"/>
    <w:rsid w:val="00E11653"/>
    <w:rsid w:val="00E12115"/>
    <w:rsid w:val="00E13862"/>
    <w:rsid w:val="00E1473B"/>
    <w:rsid w:val="00E1492B"/>
    <w:rsid w:val="00E15142"/>
    <w:rsid w:val="00E15D57"/>
    <w:rsid w:val="00E160BB"/>
    <w:rsid w:val="00E16EFE"/>
    <w:rsid w:val="00E179B2"/>
    <w:rsid w:val="00E20216"/>
    <w:rsid w:val="00E208DD"/>
    <w:rsid w:val="00E209F2"/>
    <w:rsid w:val="00E219AE"/>
    <w:rsid w:val="00E22113"/>
    <w:rsid w:val="00E22281"/>
    <w:rsid w:val="00E22F38"/>
    <w:rsid w:val="00E23A25"/>
    <w:rsid w:val="00E26515"/>
    <w:rsid w:val="00E26637"/>
    <w:rsid w:val="00E26648"/>
    <w:rsid w:val="00E271CD"/>
    <w:rsid w:val="00E27CF8"/>
    <w:rsid w:val="00E30E67"/>
    <w:rsid w:val="00E30EB1"/>
    <w:rsid w:val="00E319A1"/>
    <w:rsid w:val="00E31B6A"/>
    <w:rsid w:val="00E31D19"/>
    <w:rsid w:val="00E321A6"/>
    <w:rsid w:val="00E329D5"/>
    <w:rsid w:val="00E32F8B"/>
    <w:rsid w:val="00E33D14"/>
    <w:rsid w:val="00E349D0"/>
    <w:rsid w:val="00E34AC0"/>
    <w:rsid w:val="00E34D8C"/>
    <w:rsid w:val="00E35998"/>
    <w:rsid w:val="00E359E6"/>
    <w:rsid w:val="00E363FC"/>
    <w:rsid w:val="00E365FC"/>
    <w:rsid w:val="00E36702"/>
    <w:rsid w:val="00E3691F"/>
    <w:rsid w:val="00E3698B"/>
    <w:rsid w:val="00E3754D"/>
    <w:rsid w:val="00E37F6A"/>
    <w:rsid w:val="00E40492"/>
    <w:rsid w:val="00E410EB"/>
    <w:rsid w:val="00E41199"/>
    <w:rsid w:val="00E41916"/>
    <w:rsid w:val="00E41A45"/>
    <w:rsid w:val="00E42555"/>
    <w:rsid w:val="00E43BDB"/>
    <w:rsid w:val="00E44B3C"/>
    <w:rsid w:val="00E44D60"/>
    <w:rsid w:val="00E4515B"/>
    <w:rsid w:val="00E46069"/>
    <w:rsid w:val="00E46224"/>
    <w:rsid w:val="00E471C5"/>
    <w:rsid w:val="00E47C6A"/>
    <w:rsid w:val="00E47D02"/>
    <w:rsid w:val="00E507BD"/>
    <w:rsid w:val="00E50BA5"/>
    <w:rsid w:val="00E5148D"/>
    <w:rsid w:val="00E539EE"/>
    <w:rsid w:val="00E53EBA"/>
    <w:rsid w:val="00E54426"/>
    <w:rsid w:val="00E54566"/>
    <w:rsid w:val="00E54DB2"/>
    <w:rsid w:val="00E56A55"/>
    <w:rsid w:val="00E57970"/>
    <w:rsid w:val="00E607D5"/>
    <w:rsid w:val="00E608C2"/>
    <w:rsid w:val="00E60E64"/>
    <w:rsid w:val="00E61629"/>
    <w:rsid w:val="00E61B51"/>
    <w:rsid w:val="00E62493"/>
    <w:rsid w:val="00E62CF1"/>
    <w:rsid w:val="00E632E0"/>
    <w:rsid w:val="00E641F6"/>
    <w:rsid w:val="00E64DCA"/>
    <w:rsid w:val="00E6565A"/>
    <w:rsid w:val="00E656EB"/>
    <w:rsid w:val="00E660DA"/>
    <w:rsid w:val="00E66119"/>
    <w:rsid w:val="00E664D6"/>
    <w:rsid w:val="00E668D9"/>
    <w:rsid w:val="00E67158"/>
    <w:rsid w:val="00E671AF"/>
    <w:rsid w:val="00E701B2"/>
    <w:rsid w:val="00E7026A"/>
    <w:rsid w:val="00E70EB6"/>
    <w:rsid w:val="00E712E7"/>
    <w:rsid w:val="00E71957"/>
    <w:rsid w:val="00E71AF1"/>
    <w:rsid w:val="00E72379"/>
    <w:rsid w:val="00E72DD7"/>
    <w:rsid w:val="00E73E42"/>
    <w:rsid w:val="00E74EEC"/>
    <w:rsid w:val="00E75EA8"/>
    <w:rsid w:val="00E7799D"/>
    <w:rsid w:val="00E80439"/>
    <w:rsid w:val="00E82F0F"/>
    <w:rsid w:val="00E82F63"/>
    <w:rsid w:val="00E83AF1"/>
    <w:rsid w:val="00E85089"/>
    <w:rsid w:val="00E85F9F"/>
    <w:rsid w:val="00E86239"/>
    <w:rsid w:val="00E86444"/>
    <w:rsid w:val="00E864D0"/>
    <w:rsid w:val="00E8786F"/>
    <w:rsid w:val="00E87FCB"/>
    <w:rsid w:val="00E901A7"/>
    <w:rsid w:val="00E90EA8"/>
    <w:rsid w:val="00E91441"/>
    <w:rsid w:val="00E918A7"/>
    <w:rsid w:val="00E91ED2"/>
    <w:rsid w:val="00E92E3D"/>
    <w:rsid w:val="00E9365F"/>
    <w:rsid w:val="00E93A95"/>
    <w:rsid w:val="00E944D2"/>
    <w:rsid w:val="00E949C2"/>
    <w:rsid w:val="00E94CC7"/>
    <w:rsid w:val="00E97D57"/>
    <w:rsid w:val="00EA0141"/>
    <w:rsid w:val="00EA041A"/>
    <w:rsid w:val="00EA11A4"/>
    <w:rsid w:val="00EA13A4"/>
    <w:rsid w:val="00EA1677"/>
    <w:rsid w:val="00EA1DC3"/>
    <w:rsid w:val="00EA2105"/>
    <w:rsid w:val="00EA2BE0"/>
    <w:rsid w:val="00EA3B40"/>
    <w:rsid w:val="00EA4289"/>
    <w:rsid w:val="00EA4FB8"/>
    <w:rsid w:val="00EA5459"/>
    <w:rsid w:val="00EA6F51"/>
    <w:rsid w:val="00EA77E2"/>
    <w:rsid w:val="00EB30C0"/>
    <w:rsid w:val="00EB3E1E"/>
    <w:rsid w:val="00EB3F13"/>
    <w:rsid w:val="00EB59D8"/>
    <w:rsid w:val="00EB6557"/>
    <w:rsid w:val="00EB7804"/>
    <w:rsid w:val="00EB7F24"/>
    <w:rsid w:val="00EC0118"/>
    <w:rsid w:val="00EC09B0"/>
    <w:rsid w:val="00EC109F"/>
    <w:rsid w:val="00EC3601"/>
    <w:rsid w:val="00EC3B06"/>
    <w:rsid w:val="00EC3E24"/>
    <w:rsid w:val="00EC41EA"/>
    <w:rsid w:val="00EC4B4B"/>
    <w:rsid w:val="00EC62D7"/>
    <w:rsid w:val="00EC64B7"/>
    <w:rsid w:val="00EC73F8"/>
    <w:rsid w:val="00EC796F"/>
    <w:rsid w:val="00ED116B"/>
    <w:rsid w:val="00ED3883"/>
    <w:rsid w:val="00ED4361"/>
    <w:rsid w:val="00ED49C8"/>
    <w:rsid w:val="00ED5671"/>
    <w:rsid w:val="00ED6E22"/>
    <w:rsid w:val="00ED7003"/>
    <w:rsid w:val="00EE0291"/>
    <w:rsid w:val="00EE0324"/>
    <w:rsid w:val="00EE07BE"/>
    <w:rsid w:val="00EE0FDE"/>
    <w:rsid w:val="00EE17A2"/>
    <w:rsid w:val="00EE18E4"/>
    <w:rsid w:val="00EE18EB"/>
    <w:rsid w:val="00EE22B4"/>
    <w:rsid w:val="00EE262B"/>
    <w:rsid w:val="00EE2E7C"/>
    <w:rsid w:val="00EE34B4"/>
    <w:rsid w:val="00EE3CA8"/>
    <w:rsid w:val="00EE4B57"/>
    <w:rsid w:val="00EE5181"/>
    <w:rsid w:val="00EE5B01"/>
    <w:rsid w:val="00EE68F9"/>
    <w:rsid w:val="00EE750E"/>
    <w:rsid w:val="00EF203F"/>
    <w:rsid w:val="00EF22C8"/>
    <w:rsid w:val="00EF27F4"/>
    <w:rsid w:val="00EF2D32"/>
    <w:rsid w:val="00EF2D4D"/>
    <w:rsid w:val="00EF39DD"/>
    <w:rsid w:val="00EF4312"/>
    <w:rsid w:val="00EF4729"/>
    <w:rsid w:val="00EF495A"/>
    <w:rsid w:val="00EF4BD1"/>
    <w:rsid w:val="00EF4E72"/>
    <w:rsid w:val="00EF5027"/>
    <w:rsid w:val="00EF57AB"/>
    <w:rsid w:val="00EF5C31"/>
    <w:rsid w:val="00EF663B"/>
    <w:rsid w:val="00EF6B82"/>
    <w:rsid w:val="00EF72AA"/>
    <w:rsid w:val="00EF74AA"/>
    <w:rsid w:val="00F00353"/>
    <w:rsid w:val="00F005FA"/>
    <w:rsid w:val="00F008A8"/>
    <w:rsid w:val="00F008E6"/>
    <w:rsid w:val="00F00A16"/>
    <w:rsid w:val="00F00AAA"/>
    <w:rsid w:val="00F00D84"/>
    <w:rsid w:val="00F02AE4"/>
    <w:rsid w:val="00F02D62"/>
    <w:rsid w:val="00F02F1B"/>
    <w:rsid w:val="00F0315C"/>
    <w:rsid w:val="00F032EB"/>
    <w:rsid w:val="00F035E9"/>
    <w:rsid w:val="00F037B2"/>
    <w:rsid w:val="00F0399B"/>
    <w:rsid w:val="00F048A3"/>
    <w:rsid w:val="00F0706E"/>
    <w:rsid w:val="00F102B7"/>
    <w:rsid w:val="00F121A7"/>
    <w:rsid w:val="00F12980"/>
    <w:rsid w:val="00F15CC6"/>
    <w:rsid w:val="00F1770F"/>
    <w:rsid w:val="00F21199"/>
    <w:rsid w:val="00F21264"/>
    <w:rsid w:val="00F217E2"/>
    <w:rsid w:val="00F21B56"/>
    <w:rsid w:val="00F230C1"/>
    <w:rsid w:val="00F233A1"/>
    <w:rsid w:val="00F23AC3"/>
    <w:rsid w:val="00F23B38"/>
    <w:rsid w:val="00F245F5"/>
    <w:rsid w:val="00F263DE"/>
    <w:rsid w:val="00F26929"/>
    <w:rsid w:val="00F27130"/>
    <w:rsid w:val="00F27252"/>
    <w:rsid w:val="00F276B4"/>
    <w:rsid w:val="00F27B50"/>
    <w:rsid w:val="00F300D3"/>
    <w:rsid w:val="00F30959"/>
    <w:rsid w:val="00F30C98"/>
    <w:rsid w:val="00F31921"/>
    <w:rsid w:val="00F323FA"/>
    <w:rsid w:val="00F32CB9"/>
    <w:rsid w:val="00F3307F"/>
    <w:rsid w:val="00F34905"/>
    <w:rsid w:val="00F35241"/>
    <w:rsid w:val="00F35553"/>
    <w:rsid w:val="00F357BB"/>
    <w:rsid w:val="00F35AB5"/>
    <w:rsid w:val="00F36DFE"/>
    <w:rsid w:val="00F375FC"/>
    <w:rsid w:val="00F37D91"/>
    <w:rsid w:val="00F40206"/>
    <w:rsid w:val="00F40E95"/>
    <w:rsid w:val="00F422B9"/>
    <w:rsid w:val="00F44D8F"/>
    <w:rsid w:val="00F44F13"/>
    <w:rsid w:val="00F45257"/>
    <w:rsid w:val="00F45DF4"/>
    <w:rsid w:val="00F46261"/>
    <w:rsid w:val="00F46FBC"/>
    <w:rsid w:val="00F47D99"/>
    <w:rsid w:val="00F50613"/>
    <w:rsid w:val="00F50C2C"/>
    <w:rsid w:val="00F510F5"/>
    <w:rsid w:val="00F519B4"/>
    <w:rsid w:val="00F51BE4"/>
    <w:rsid w:val="00F536ED"/>
    <w:rsid w:val="00F54396"/>
    <w:rsid w:val="00F560D8"/>
    <w:rsid w:val="00F56530"/>
    <w:rsid w:val="00F57248"/>
    <w:rsid w:val="00F573EA"/>
    <w:rsid w:val="00F60789"/>
    <w:rsid w:val="00F61400"/>
    <w:rsid w:val="00F61F35"/>
    <w:rsid w:val="00F6242C"/>
    <w:rsid w:val="00F6283F"/>
    <w:rsid w:val="00F62973"/>
    <w:rsid w:val="00F62F0A"/>
    <w:rsid w:val="00F63BF0"/>
    <w:rsid w:val="00F63FB6"/>
    <w:rsid w:val="00F65748"/>
    <w:rsid w:val="00F65B71"/>
    <w:rsid w:val="00F6631A"/>
    <w:rsid w:val="00F67781"/>
    <w:rsid w:val="00F67A71"/>
    <w:rsid w:val="00F70680"/>
    <w:rsid w:val="00F71166"/>
    <w:rsid w:val="00F7165C"/>
    <w:rsid w:val="00F72810"/>
    <w:rsid w:val="00F738CF"/>
    <w:rsid w:val="00F73BE0"/>
    <w:rsid w:val="00F73F89"/>
    <w:rsid w:val="00F74543"/>
    <w:rsid w:val="00F74D29"/>
    <w:rsid w:val="00F7505C"/>
    <w:rsid w:val="00F75BC1"/>
    <w:rsid w:val="00F76E75"/>
    <w:rsid w:val="00F76F56"/>
    <w:rsid w:val="00F76F6E"/>
    <w:rsid w:val="00F77253"/>
    <w:rsid w:val="00F775FE"/>
    <w:rsid w:val="00F77A7D"/>
    <w:rsid w:val="00F80E2A"/>
    <w:rsid w:val="00F80E46"/>
    <w:rsid w:val="00F81710"/>
    <w:rsid w:val="00F81F54"/>
    <w:rsid w:val="00F8278F"/>
    <w:rsid w:val="00F829A4"/>
    <w:rsid w:val="00F82CC1"/>
    <w:rsid w:val="00F83167"/>
    <w:rsid w:val="00F83B58"/>
    <w:rsid w:val="00F83C3F"/>
    <w:rsid w:val="00F840CF"/>
    <w:rsid w:val="00F8466A"/>
    <w:rsid w:val="00F84F5F"/>
    <w:rsid w:val="00F85E11"/>
    <w:rsid w:val="00F86078"/>
    <w:rsid w:val="00F86390"/>
    <w:rsid w:val="00F865A0"/>
    <w:rsid w:val="00F87040"/>
    <w:rsid w:val="00F8704D"/>
    <w:rsid w:val="00F87306"/>
    <w:rsid w:val="00F875EA"/>
    <w:rsid w:val="00F87AA3"/>
    <w:rsid w:val="00F91084"/>
    <w:rsid w:val="00F91372"/>
    <w:rsid w:val="00F91813"/>
    <w:rsid w:val="00F92BD1"/>
    <w:rsid w:val="00F931E2"/>
    <w:rsid w:val="00F9353C"/>
    <w:rsid w:val="00F93D95"/>
    <w:rsid w:val="00F943D7"/>
    <w:rsid w:val="00F9483D"/>
    <w:rsid w:val="00F94A0E"/>
    <w:rsid w:val="00F9521D"/>
    <w:rsid w:val="00F9763D"/>
    <w:rsid w:val="00F977F3"/>
    <w:rsid w:val="00F9790B"/>
    <w:rsid w:val="00FA14E9"/>
    <w:rsid w:val="00FA34E3"/>
    <w:rsid w:val="00FA506E"/>
    <w:rsid w:val="00FA5517"/>
    <w:rsid w:val="00FA61B2"/>
    <w:rsid w:val="00FA637A"/>
    <w:rsid w:val="00FA6747"/>
    <w:rsid w:val="00FA6D50"/>
    <w:rsid w:val="00FB0B22"/>
    <w:rsid w:val="00FB0D21"/>
    <w:rsid w:val="00FB1F41"/>
    <w:rsid w:val="00FB259A"/>
    <w:rsid w:val="00FB2711"/>
    <w:rsid w:val="00FB2AF7"/>
    <w:rsid w:val="00FB2D35"/>
    <w:rsid w:val="00FB315D"/>
    <w:rsid w:val="00FB4D08"/>
    <w:rsid w:val="00FB4EFC"/>
    <w:rsid w:val="00FB5089"/>
    <w:rsid w:val="00FB5C1F"/>
    <w:rsid w:val="00FB5CCC"/>
    <w:rsid w:val="00FB6A03"/>
    <w:rsid w:val="00FB737F"/>
    <w:rsid w:val="00FB7438"/>
    <w:rsid w:val="00FC08A4"/>
    <w:rsid w:val="00FC0C4E"/>
    <w:rsid w:val="00FC1122"/>
    <w:rsid w:val="00FC1125"/>
    <w:rsid w:val="00FC206B"/>
    <w:rsid w:val="00FC23A4"/>
    <w:rsid w:val="00FC27E3"/>
    <w:rsid w:val="00FC2C0D"/>
    <w:rsid w:val="00FC3CF1"/>
    <w:rsid w:val="00FC4227"/>
    <w:rsid w:val="00FC4BF3"/>
    <w:rsid w:val="00FC69C3"/>
    <w:rsid w:val="00FC6C80"/>
    <w:rsid w:val="00FC7030"/>
    <w:rsid w:val="00FC7BEA"/>
    <w:rsid w:val="00FD018E"/>
    <w:rsid w:val="00FD0623"/>
    <w:rsid w:val="00FD0A37"/>
    <w:rsid w:val="00FD0BDE"/>
    <w:rsid w:val="00FD1212"/>
    <w:rsid w:val="00FD175C"/>
    <w:rsid w:val="00FD1DEF"/>
    <w:rsid w:val="00FD3467"/>
    <w:rsid w:val="00FD379B"/>
    <w:rsid w:val="00FD4434"/>
    <w:rsid w:val="00FD5411"/>
    <w:rsid w:val="00FD69EE"/>
    <w:rsid w:val="00FD6F5D"/>
    <w:rsid w:val="00FD6FC3"/>
    <w:rsid w:val="00FD7242"/>
    <w:rsid w:val="00FD7311"/>
    <w:rsid w:val="00FD7A19"/>
    <w:rsid w:val="00FD7CB3"/>
    <w:rsid w:val="00FE02F5"/>
    <w:rsid w:val="00FE3034"/>
    <w:rsid w:val="00FE33AD"/>
    <w:rsid w:val="00FE36A5"/>
    <w:rsid w:val="00FE3EFD"/>
    <w:rsid w:val="00FE4517"/>
    <w:rsid w:val="00FE45C3"/>
    <w:rsid w:val="00FE4CC2"/>
    <w:rsid w:val="00FE5101"/>
    <w:rsid w:val="00FE5DAF"/>
    <w:rsid w:val="00FE6A01"/>
    <w:rsid w:val="00FE6C30"/>
    <w:rsid w:val="00FF14F8"/>
    <w:rsid w:val="00FF152A"/>
    <w:rsid w:val="00FF1573"/>
    <w:rsid w:val="00FF1A14"/>
    <w:rsid w:val="00FF1A2F"/>
    <w:rsid w:val="00FF2085"/>
    <w:rsid w:val="00FF2711"/>
    <w:rsid w:val="00FF2932"/>
    <w:rsid w:val="00FF2AFA"/>
    <w:rsid w:val="00FF3424"/>
    <w:rsid w:val="00FF3851"/>
    <w:rsid w:val="00FF6638"/>
    <w:rsid w:val="00FF6B5F"/>
    <w:rsid w:val="00FF6F4B"/>
    <w:rsid w:val="00FF7E6A"/>
    <w:rsid w:val="022A5CE7"/>
    <w:rsid w:val="02F1681D"/>
    <w:rsid w:val="02F53F7C"/>
    <w:rsid w:val="043DA895"/>
    <w:rsid w:val="04910FDD"/>
    <w:rsid w:val="0586E526"/>
    <w:rsid w:val="05C02261"/>
    <w:rsid w:val="0759A6D7"/>
    <w:rsid w:val="084F941C"/>
    <w:rsid w:val="08869058"/>
    <w:rsid w:val="092EBFFE"/>
    <w:rsid w:val="093DF68A"/>
    <w:rsid w:val="09BC0B7F"/>
    <w:rsid w:val="09C13152"/>
    <w:rsid w:val="0AABA5F9"/>
    <w:rsid w:val="0D10A9CC"/>
    <w:rsid w:val="0D9DC97A"/>
    <w:rsid w:val="0DCAB877"/>
    <w:rsid w:val="0EA1FDF6"/>
    <w:rsid w:val="0F149F0F"/>
    <w:rsid w:val="0F88DC87"/>
    <w:rsid w:val="104AEEEC"/>
    <w:rsid w:val="11C622BF"/>
    <w:rsid w:val="12006E0A"/>
    <w:rsid w:val="12028E1D"/>
    <w:rsid w:val="1227534D"/>
    <w:rsid w:val="130C523F"/>
    <w:rsid w:val="13B2675C"/>
    <w:rsid w:val="14DBDEA5"/>
    <w:rsid w:val="15D70506"/>
    <w:rsid w:val="1634FAF7"/>
    <w:rsid w:val="17FDE159"/>
    <w:rsid w:val="18D383DE"/>
    <w:rsid w:val="193C7AF6"/>
    <w:rsid w:val="19C139E8"/>
    <w:rsid w:val="1A553F60"/>
    <w:rsid w:val="1AAA7629"/>
    <w:rsid w:val="1B19D9C2"/>
    <w:rsid w:val="1B4B14A9"/>
    <w:rsid w:val="1B567FA6"/>
    <w:rsid w:val="1BB59DC2"/>
    <w:rsid w:val="1C895D36"/>
    <w:rsid w:val="1CB77F10"/>
    <w:rsid w:val="1CC99960"/>
    <w:rsid w:val="1E546C6C"/>
    <w:rsid w:val="1EC59D9E"/>
    <w:rsid w:val="1F8560D5"/>
    <w:rsid w:val="1FC0ACB1"/>
    <w:rsid w:val="20C0A985"/>
    <w:rsid w:val="20C480E4"/>
    <w:rsid w:val="219B9F25"/>
    <w:rsid w:val="220CC94D"/>
    <w:rsid w:val="233E16F6"/>
    <w:rsid w:val="246726CD"/>
    <w:rsid w:val="24E4398F"/>
    <w:rsid w:val="255F37BB"/>
    <w:rsid w:val="260727DE"/>
    <w:rsid w:val="267159EE"/>
    <w:rsid w:val="271B17EE"/>
    <w:rsid w:val="276FD0D4"/>
    <w:rsid w:val="27E40FDE"/>
    <w:rsid w:val="284FEF69"/>
    <w:rsid w:val="29131ABE"/>
    <w:rsid w:val="294F6934"/>
    <w:rsid w:val="297BB65E"/>
    <w:rsid w:val="298EA525"/>
    <w:rsid w:val="29A71034"/>
    <w:rsid w:val="2ABD3FF4"/>
    <w:rsid w:val="2B126740"/>
    <w:rsid w:val="2B9B6638"/>
    <w:rsid w:val="2BD08297"/>
    <w:rsid w:val="2C074CEA"/>
    <w:rsid w:val="2E38B68A"/>
    <w:rsid w:val="2E4A0802"/>
    <w:rsid w:val="2FBBB539"/>
    <w:rsid w:val="30E2F93C"/>
    <w:rsid w:val="31B53F44"/>
    <w:rsid w:val="320A760D"/>
    <w:rsid w:val="32599D8C"/>
    <w:rsid w:val="328CC909"/>
    <w:rsid w:val="32A3F150"/>
    <w:rsid w:val="341A32F6"/>
    <w:rsid w:val="34564162"/>
    <w:rsid w:val="3A2B5650"/>
    <w:rsid w:val="3C73D7E0"/>
    <w:rsid w:val="3D8DD0B3"/>
    <w:rsid w:val="3E6E5C2E"/>
    <w:rsid w:val="3F98AEFA"/>
    <w:rsid w:val="400CBB59"/>
    <w:rsid w:val="406C77E5"/>
    <w:rsid w:val="4077DD7C"/>
    <w:rsid w:val="43544909"/>
    <w:rsid w:val="4383309A"/>
    <w:rsid w:val="463306DE"/>
    <w:rsid w:val="46535D44"/>
    <w:rsid w:val="466A20E2"/>
    <w:rsid w:val="46776777"/>
    <w:rsid w:val="47CCF1FD"/>
    <w:rsid w:val="483EBAB9"/>
    <w:rsid w:val="48B84AF0"/>
    <w:rsid w:val="48C36545"/>
    <w:rsid w:val="4AB8E166"/>
    <w:rsid w:val="4B9B20AB"/>
    <w:rsid w:val="4BD37086"/>
    <w:rsid w:val="4C517371"/>
    <w:rsid w:val="4C5C404B"/>
    <w:rsid w:val="4CCD809E"/>
    <w:rsid w:val="4CF13E32"/>
    <w:rsid w:val="4D122BDC"/>
    <w:rsid w:val="4D20F0D8"/>
    <w:rsid w:val="4DC80DF4"/>
    <w:rsid w:val="4DD47D5E"/>
    <w:rsid w:val="4DDA6BEE"/>
    <w:rsid w:val="4EB417C8"/>
    <w:rsid w:val="5000E520"/>
    <w:rsid w:val="50C3FA46"/>
    <w:rsid w:val="50D6879B"/>
    <w:rsid w:val="519086A3"/>
    <w:rsid w:val="52398445"/>
    <w:rsid w:val="529597F3"/>
    <w:rsid w:val="53E5023A"/>
    <w:rsid w:val="56E158AC"/>
    <w:rsid w:val="56F8F3ED"/>
    <w:rsid w:val="5753EED6"/>
    <w:rsid w:val="5763E997"/>
    <w:rsid w:val="582D4F1C"/>
    <w:rsid w:val="59A2CF4B"/>
    <w:rsid w:val="59EFCBA5"/>
    <w:rsid w:val="5A086AE8"/>
    <w:rsid w:val="5A644184"/>
    <w:rsid w:val="5BBF89CD"/>
    <w:rsid w:val="5C3B96FA"/>
    <w:rsid w:val="5C5F4630"/>
    <w:rsid w:val="5D7D50CB"/>
    <w:rsid w:val="5EFEDEF0"/>
    <w:rsid w:val="6076160F"/>
    <w:rsid w:val="60AECDAC"/>
    <w:rsid w:val="60C76EB1"/>
    <w:rsid w:val="62953CF1"/>
    <w:rsid w:val="63375A2F"/>
    <w:rsid w:val="6480F0BC"/>
    <w:rsid w:val="64843DEE"/>
    <w:rsid w:val="648B6C09"/>
    <w:rsid w:val="66BACFE7"/>
    <w:rsid w:val="678E4F0D"/>
    <w:rsid w:val="680A0270"/>
    <w:rsid w:val="680A5433"/>
    <w:rsid w:val="6895BBCA"/>
    <w:rsid w:val="68B7BC78"/>
    <w:rsid w:val="69B0EC99"/>
    <w:rsid w:val="69E6812E"/>
    <w:rsid w:val="6A51D6A3"/>
    <w:rsid w:val="6BC1F18F"/>
    <w:rsid w:val="6E0EAAA5"/>
    <w:rsid w:val="6ED4CE06"/>
    <w:rsid w:val="6F3A1237"/>
    <w:rsid w:val="6FBB65AC"/>
    <w:rsid w:val="7076ABAA"/>
    <w:rsid w:val="70F05AD0"/>
    <w:rsid w:val="747C84FC"/>
    <w:rsid w:val="75F64025"/>
    <w:rsid w:val="771DFE69"/>
    <w:rsid w:val="780D060C"/>
    <w:rsid w:val="78A2F5C8"/>
    <w:rsid w:val="792C71E6"/>
    <w:rsid w:val="798FBEDA"/>
    <w:rsid w:val="79DD7904"/>
    <w:rsid w:val="79E87595"/>
    <w:rsid w:val="7A25654B"/>
    <w:rsid w:val="7B9A9528"/>
    <w:rsid w:val="7BA6A8C3"/>
    <w:rsid w:val="7BD0D913"/>
    <w:rsid w:val="7BEB6DDC"/>
    <w:rsid w:val="7DC6E1CD"/>
    <w:rsid w:val="7DCEFAD5"/>
    <w:rsid w:val="7E9DB445"/>
    <w:rsid w:val="7FBD4DD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7046C13C"/>
  <w15:docId w15:val="{FBEF61C6-DABA-4376-8613-F6DAEAD4A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annotation text" w:uiPriority="99"/>
    <w:lsdException w:name="footer"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27F4"/>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1"/>
    <w:qFormat/>
    <w:rsid w:val="00F02D62"/>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Style">
    <w:name w:val="Style"/>
    <w:basedOn w:val="Normal"/>
    <w:pPr>
      <w:ind w:left="720" w:hanging="720"/>
    </w:pPr>
  </w:style>
  <w:style w:type="paragraph" w:styleId="Footer">
    <w:name w:val="footer"/>
    <w:basedOn w:val="Normal"/>
    <w:link w:val="FooterChar"/>
    <w:uiPriority w:val="99"/>
    <w:rsid w:val="00616D60"/>
    <w:pPr>
      <w:tabs>
        <w:tab w:val="center" w:pos="4320"/>
        <w:tab w:val="right" w:pos="8640"/>
      </w:tabs>
    </w:pPr>
  </w:style>
  <w:style w:type="character" w:styleId="PageNumber">
    <w:name w:val="page number"/>
    <w:basedOn w:val="DefaultParagraphFont"/>
    <w:rsid w:val="00616D60"/>
  </w:style>
  <w:style w:type="paragraph" w:styleId="BalloonText">
    <w:name w:val="Balloon Text"/>
    <w:basedOn w:val="Normal"/>
    <w:semiHidden/>
    <w:rsid w:val="00156266"/>
    <w:rPr>
      <w:rFonts w:ascii="Tahoma" w:hAnsi="Tahoma" w:cs="Tahoma"/>
      <w:sz w:val="16"/>
      <w:szCs w:val="16"/>
    </w:rPr>
  </w:style>
  <w:style w:type="paragraph" w:styleId="Header">
    <w:name w:val="header"/>
    <w:basedOn w:val="Normal"/>
    <w:rsid w:val="00D66A86"/>
    <w:pPr>
      <w:tabs>
        <w:tab w:val="center" w:pos="4320"/>
        <w:tab w:val="right" w:pos="8640"/>
      </w:tabs>
    </w:pPr>
  </w:style>
  <w:style w:type="character" w:styleId="CommentReference">
    <w:name w:val="annotation reference"/>
    <w:uiPriority w:val="99"/>
    <w:rsid w:val="00C47579"/>
    <w:rPr>
      <w:sz w:val="16"/>
      <w:szCs w:val="16"/>
    </w:rPr>
  </w:style>
  <w:style w:type="paragraph" w:styleId="CommentText">
    <w:name w:val="annotation text"/>
    <w:basedOn w:val="Normal"/>
    <w:link w:val="CommentTextChar"/>
    <w:uiPriority w:val="99"/>
    <w:rsid w:val="00C47579"/>
    <w:rPr>
      <w:sz w:val="20"/>
      <w:szCs w:val="20"/>
    </w:rPr>
  </w:style>
  <w:style w:type="paragraph" w:styleId="CommentSubject">
    <w:name w:val="annotation subject"/>
    <w:basedOn w:val="CommentText"/>
    <w:next w:val="CommentText"/>
    <w:semiHidden/>
    <w:rsid w:val="00C47579"/>
    <w:rPr>
      <w:b/>
      <w:bCs/>
    </w:rPr>
  </w:style>
  <w:style w:type="character" w:styleId="Hyperlink">
    <w:name w:val="Hyperlink"/>
    <w:rsid w:val="00BD6E41"/>
    <w:rPr>
      <w:color w:val="0000FF"/>
      <w:u w:val="single"/>
    </w:rPr>
  </w:style>
  <w:style w:type="paragraph" w:styleId="FootnoteText">
    <w:name w:val="footnote text"/>
    <w:basedOn w:val="Normal"/>
    <w:link w:val="FootnoteTextChar"/>
    <w:semiHidden/>
    <w:rsid w:val="00097ECE"/>
    <w:rPr>
      <w:sz w:val="20"/>
      <w:szCs w:val="20"/>
    </w:rPr>
  </w:style>
  <w:style w:type="paragraph" w:customStyle="1" w:styleId="Level1">
    <w:name w:val="Level 1"/>
    <w:basedOn w:val="Normal"/>
    <w:rsid w:val="006B1FC3"/>
    <w:pPr>
      <w:ind w:left="720" w:hanging="270"/>
    </w:pPr>
    <w:rPr>
      <w:rFonts w:ascii="Courier" w:hAnsi="Courier"/>
    </w:rPr>
  </w:style>
  <w:style w:type="paragraph" w:styleId="Revision">
    <w:name w:val="Revision"/>
    <w:hidden/>
    <w:uiPriority w:val="99"/>
    <w:semiHidden/>
    <w:rsid w:val="00A53B85"/>
    <w:rPr>
      <w:sz w:val="24"/>
      <w:szCs w:val="24"/>
      <w:lang w:eastAsia="en-US"/>
    </w:rPr>
  </w:style>
  <w:style w:type="character" w:customStyle="1" w:styleId="FootnoteTextChar">
    <w:name w:val="Footnote Text Char"/>
    <w:link w:val="FootnoteText"/>
    <w:semiHidden/>
    <w:rsid w:val="00CE6B6F"/>
  </w:style>
  <w:style w:type="character" w:customStyle="1" w:styleId="FooterChar">
    <w:name w:val="Footer Char"/>
    <w:link w:val="Footer"/>
    <w:uiPriority w:val="99"/>
    <w:rsid w:val="008901DC"/>
    <w:rPr>
      <w:sz w:val="24"/>
      <w:szCs w:val="24"/>
    </w:rPr>
  </w:style>
  <w:style w:type="character" w:styleId="FollowedHyperlink">
    <w:name w:val="FollowedHyperlink"/>
    <w:rsid w:val="00990C13"/>
    <w:rPr>
      <w:color w:val="800080"/>
      <w:u w:val="single"/>
    </w:rPr>
  </w:style>
  <w:style w:type="character" w:customStyle="1" w:styleId="CommentTextChar">
    <w:name w:val="Comment Text Char"/>
    <w:link w:val="CommentText"/>
    <w:uiPriority w:val="99"/>
    <w:rsid w:val="00AC4C38"/>
  </w:style>
  <w:style w:type="character" w:customStyle="1" w:styleId="Heading1Char">
    <w:name w:val="Heading 1 Char"/>
    <w:link w:val="Heading1"/>
    <w:uiPriority w:val="1"/>
    <w:rsid w:val="00F02D62"/>
    <w:rPr>
      <w:rFonts w:ascii="Calibri Light" w:eastAsia="Times New Roman" w:hAnsi="Calibri Light" w:cs="Times New Roman"/>
      <w:b/>
      <w:bCs/>
      <w:kern w:val="32"/>
      <w:sz w:val="32"/>
      <w:szCs w:val="32"/>
    </w:rPr>
  </w:style>
  <w:style w:type="paragraph" w:styleId="BodyText">
    <w:name w:val="Body Text"/>
    <w:basedOn w:val="Normal"/>
    <w:link w:val="BodyTextChar"/>
    <w:uiPriority w:val="1"/>
    <w:qFormat/>
    <w:rsid w:val="00F02D62"/>
    <w:pPr>
      <w:suppressAutoHyphens/>
      <w:autoSpaceDE/>
      <w:autoSpaceDN/>
      <w:adjustRightInd/>
      <w:spacing w:after="120"/>
    </w:pPr>
    <w:rPr>
      <w:rFonts w:eastAsia="SimSun" w:cs="Mangal"/>
      <w:kern w:val="1"/>
      <w:lang w:eastAsia="hi-IN" w:bidi="hi-IN"/>
    </w:rPr>
  </w:style>
  <w:style w:type="character" w:customStyle="1" w:styleId="BodyTextChar">
    <w:name w:val="Body Text Char"/>
    <w:link w:val="BodyText"/>
    <w:uiPriority w:val="1"/>
    <w:rsid w:val="00F02D62"/>
    <w:rPr>
      <w:rFonts w:eastAsia="SimSun" w:cs="Mangal"/>
      <w:kern w:val="1"/>
      <w:sz w:val="24"/>
      <w:szCs w:val="24"/>
      <w:lang w:eastAsia="hi-IN" w:bidi="hi-IN"/>
    </w:rPr>
  </w:style>
  <w:style w:type="paragraph" w:customStyle="1" w:styleId="TableContents">
    <w:name w:val="Table Contents"/>
    <w:basedOn w:val="Normal"/>
    <w:rsid w:val="00F02D62"/>
    <w:pPr>
      <w:suppressLineNumbers/>
      <w:suppressAutoHyphens/>
      <w:autoSpaceDE/>
      <w:autoSpaceDN/>
      <w:adjustRightInd/>
    </w:pPr>
    <w:rPr>
      <w:rFonts w:eastAsia="SimSun" w:cs="Mangal"/>
      <w:kern w:val="1"/>
      <w:lang w:eastAsia="hi-IN" w:bidi="hi-IN"/>
    </w:rPr>
  </w:style>
  <w:style w:type="paragraph" w:customStyle="1" w:styleId="Default">
    <w:name w:val="Default"/>
    <w:rsid w:val="008138F3"/>
    <w:pPr>
      <w:autoSpaceDE w:val="0"/>
      <w:autoSpaceDN w:val="0"/>
      <w:adjustRightInd w:val="0"/>
    </w:pPr>
    <w:rPr>
      <w:rFonts w:ascii="Verdana" w:hAnsi="Verdana" w:cs="Verdana"/>
      <w:color w:val="000000"/>
      <w:sz w:val="24"/>
      <w:szCs w:val="24"/>
    </w:rPr>
  </w:style>
  <w:style w:type="paragraph" w:styleId="TOC1">
    <w:name w:val="toc 1"/>
    <w:basedOn w:val="Normal"/>
    <w:uiPriority w:val="1"/>
    <w:qFormat/>
    <w:rsid w:val="008138F3"/>
    <w:pPr>
      <w:adjustRightInd/>
      <w:ind w:left="1320"/>
    </w:pPr>
  </w:style>
  <w:style w:type="paragraph" w:styleId="TOC2">
    <w:name w:val="toc 2"/>
    <w:basedOn w:val="Normal"/>
    <w:uiPriority w:val="1"/>
    <w:qFormat/>
    <w:rsid w:val="008138F3"/>
    <w:pPr>
      <w:adjustRightInd/>
      <w:ind w:left="2491"/>
    </w:pPr>
  </w:style>
  <w:style w:type="paragraph" w:styleId="ListParagraph">
    <w:name w:val="List Paragraph"/>
    <w:basedOn w:val="Normal"/>
    <w:uiPriority w:val="1"/>
    <w:qFormat/>
    <w:rsid w:val="008138F3"/>
    <w:pPr>
      <w:adjustRightInd/>
      <w:ind w:left="3480" w:hanging="720"/>
    </w:pPr>
    <w:rPr>
      <w:sz w:val="22"/>
      <w:szCs w:val="22"/>
    </w:rPr>
  </w:style>
  <w:style w:type="paragraph" w:customStyle="1" w:styleId="TableParagraph">
    <w:name w:val="Table Paragraph"/>
    <w:basedOn w:val="Normal"/>
    <w:uiPriority w:val="1"/>
    <w:qFormat/>
    <w:rsid w:val="008138F3"/>
    <w:pPr>
      <w:adjustRightInd/>
    </w:pPr>
    <w:rPr>
      <w:sz w:val="22"/>
      <w:szCs w:val="22"/>
    </w:rPr>
  </w:style>
  <w:style w:type="character" w:customStyle="1" w:styleId="normaltextrun">
    <w:name w:val="normaltextrun"/>
    <w:basedOn w:val="DefaultParagraphFont"/>
    <w:rsid w:val="006C35E7"/>
  </w:style>
  <w:style w:type="character" w:customStyle="1" w:styleId="eop">
    <w:name w:val="eop"/>
    <w:basedOn w:val="DefaultParagraphFont"/>
    <w:rsid w:val="006C35E7"/>
  </w:style>
  <w:style w:type="character" w:styleId="UnresolvedMention">
    <w:name w:val="Unresolved Mention"/>
    <w:basedOn w:val="DefaultParagraphFont"/>
    <w:uiPriority w:val="99"/>
    <w:semiHidden/>
    <w:unhideWhenUsed/>
    <w:rsid w:val="00346246"/>
    <w:rPr>
      <w:color w:val="605E5C"/>
      <w:shd w:val="clear" w:color="auto" w:fill="E1DFDD"/>
    </w:rPr>
  </w:style>
  <w:style w:type="table" w:styleId="TableGrid">
    <w:name w:val="Table Grid"/>
    <w:basedOn w:val="TableNormal"/>
    <w:uiPriority w:val="39"/>
    <w:rsid w:val="00440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link w:val="BodyTextFirstIndentChar"/>
    <w:rsid w:val="001B3CEE"/>
    <w:pPr>
      <w:suppressAutoHyphens w:val="0"/>
      <w:autoSpaceDE w:val="0"/>
      <w:autoSpaceDN w:val="0"/>
      <w:adjustRightInd w:val="0"/>
      <w:spacing w:after="0"/>
      <w:ind w:firstLine="360"/>
    </w:pPr>
    <w:rPr>
      <w:rFonts w:eastAsia="Times New Roman" w:cs="Times New Roman"/>
      <w:kern w:val="0"/>
      <w:lang w:eastAsia="en-US" w:bidi="ar-SA"/>
    </w:rPr>
  </w:style>
  <w:style w:type="character" w:customStyle="1" w:styleId="BodyTextFirstIndentChar">
    <w:name w:val="Body Text First Indent Char"/>
    <w:basedOn w:val="BodyTextChar"/>
    <w:link w:val="BodyTextFirstIndent"/>
    <w:rsid w:val="001B3CEE"/>
    <w:rPr>
      <w:rFonts w:eastAsia="SimSun" w:cs="Mangal"/>
      <w:kern w:val="1"/>
      <w:sz w:val="24"/>
      <w:szCs w:val="24"/>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grants.gov" TargetMode="External" /><Relationship Id="rId11" Type="http://schemas.openxmlformats.org/officeDocument/2006/relationships/hyperlink" Target="https://www.bls.gov/oes/tables.htm" TargetMode="External" /><Relationship Id="rId12" Type="http://schemas.openxmlformats.org/officeDocument/2006/relationships/hyperlink" Target="https://www.bls.gov/news.release/ecec.t02.htm" TargetMode="External" /><Relationship Id="rId13" Type="http://schemas.openxmlformats.org/officeDocument/2006/relationships/hyperlink" Target="https://www.bls.gov/news.release/ecec.t03.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2.xml" /><Relationship Id="rId18" Type="http://schemas.openxmlformats.org/officeDocument/2006/relationships/hyperlink" Target="file:///C:\Users\trote\AppData\Local\Microsoft\Windows\INetCache\Content.MSO\B571A0B.xlsx" TargetMode="Externa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sha.gov/sites/default/files/enforcement/directives/CSP_02-00-005.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3dedaff-eb47-4bf3-b3c8-279fcd8f3680" xsi:nil="true"/>
    <lcf76f155ced4ddcb4097134ff3c332f xmlns="82412fa9-9002-478a-bf1c-b2bfb6f199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14" ma:contentTypeDescription="Create a new document." ma:contentTypeScope="" ma:versionID="4b7ddb60d187a80d5b4605a832342773">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fb480dff2d464653bceda027bf8d905b"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fe96640c-b52e-4cbd-bbd2-093461486b15}" ma:internalName="TaxCatchAll" ma:showField="CatchAllData" ma:web="03dedaff-eb47-4bf3-b3c8-279fcd8f3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2BC36-80A5-4BC6-87D1-A85BEF94D5F0}">
  <ds:schemaRefs>
    <ds:schemaRef ds:uri="http://schemas.microsoft.com/office/2006/metadata/properties"/>
    <ds:schemaRef ds:uri="http://schemas.microsoft.com/office/infopath/2007/PartnerControls"/>
    <ds:schemaRef ds:uri="03dedaff-eb47-4bf3-b3c8-279fcd8f3680"/>
    <ds:schemaRef ds:uri="82412fa9-9002-478a-bf1c-b2bfb6f199a0"/>
  </ds:schemaRefs>
</ds:datastoreItem>
</file>

<file path=customXml/itemProps2.xml><?xml version="1.0" encoding="utf-8"?>
<ds:datastoreItem xmlns:ds="http://schemas.openxmlformats.org/officeDocument/2006/customXml" ds:itemID="{99FA852B-569D-41F1-9094-C93AC22C5AC4}">
  <ds:schemaRefs>
    <ds:schemaRef ds:uri="http://schemas.microsoft.com/sharepoint/v3/contenttype/forms"/>
  </ds:schemaRefs>
</ds:datastoreItem>
</file>

<file path=customXml/itemProps3.xml><?xml version="1.0" encoding="utf-8"?>
<ds:datastoreItem xmlns:ds="http://schemas.openxmlformats.org/officeDocument/2006/customXml" ds:itemID="{548CC99A-8B0C-490E-9CC5-CEBA5E45F872}">
  <ds:schemaRefs>
    <ds:schemaRef ds:uri="http://schemas.openxmlformats.org/officeDocument/2006/bibliography"/>
  </ds:schemaRefs>
</ds:datastoreItem>
</file>

<file path=customXml/itemProps4.xml><?xml version="1.0" encoding="utf-8"?>
<ds:datastoreItem xmlns:ds="http://schemas.openxmlformats.org/officeDocument/2006/customXml" ds:itemID="{9EA6D282-8881-4A32-8B82-FDCE05A2F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44</Pages>
  <Words>14438</Words>
  <Characters>82299</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SUPPORTING STATEMENT FOR 29 CFR 1908 - CONSULTATION AGREEMENTS, UNDER THE PAPERWORK REDUCTION ACT</vt:lpstr>
    </vt:vector>
  </TitlesOfParts>
  <Company>USDOL/OSHA</Company>
  <LinksUpToDate>false</LinksUpToDate>
  <CharactersWithSpaces>96544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29 CFR 1908 - CONSULTATION AGREEMENTS, UNDER THE PAPERWORK REDUCTION ACT</dc:title>
  <dc:creator>OSHA_User</dc:creator>
  <cp:lastModifiedBy>Cannon, Belinda - OSHA</cp:lastModifiedBy>
  <cp:revision>2</cp:revision>
  <cp:lastPrinted>2024-07-22T07:33:00Z</cp:lastPrinted>
  <dcterms:created xsi:type="dcterms:W3CDTF">2025-01-06T20:47:00Z</dcterms:created>
  <dcterms:modified xsi:type="dcterms:W3CDTF">2025-01-06T20:47:00Z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y fmtid="{D5CDD505-2E9C-101B-9397-08002B2CF9AE}" pid="3" name="GrammarlyDocumentId">
    <vt:lpwstr>aab86ce4dab5d332a962e1733064acee6636f8a521cfd141570231a839d42f3c</vt:lpwstr>
  </property>
  <property fmtid="{D5CDD505-2E9C-101B-9397-08002B2CF9AE}" pid="4" name="MediaServiceImageTags">
    <vt:lpwstr/>
  </property>
  <property fmtid="{D5CDD505-2E9C-101B-9397-08002B2CF9AE}" pid="5" name="_NewReviewCycle">
    <vt:lpwstr/>
  </property>
</Properties>
</file>