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69A2" w:rsidRPr="007B2A4A" w:rsidP="003C2782" w14:paraId="060CB90A" w14:textId="77777777">
      <w:pPr>
        <w:widowControl/>
        <w:jc w:val="center"/>
        <w:rPr>
          <w:b/>
          <w:bCs/>
        </w:rPr>
      </w:pPr>
      <w:r w:rsidRPr="007B2A4A">
        <w:rPr>
          <w:b/>
          <w:bCs/>
        </w:rPr>
        <w:t>SUPPORTING STATEMENT FOR</w:t>
      </w:r>
      <w:r w:rsidRPr="007B2A4A" w:rsidR="00F07307">
        <w:rPr>
          <w:b/>
          <w:bCs/>
        </w:rPr>
        <w:t xml:space="preserve"> </w:t>
      </w:r>
      <w:r w:rsidRPr="007B2A4A">
        <w:rPr>
          <w:b/>
          <w:bCs/>
        </w:rPr>
        <w:t>THE</w:t>
      </w:r>
    </w:p>
    <w:p w:rsidR="00124A2F" w:rsidP="003C2782" w14:paraId="73574858" w14:textId="5F7639AB">
      <w:pPr>
        <w:jc w:val="center"/>
        <w:rPr>
          <w:b/>
          <w:bCs/>
        </w:rPr>
      </w:pPr>
      <w:r w:rsidRPr="007B2A4A">
        <w:rPr>
          <w:b/>
          <w:bCs/>
        </w:rPr>
        <w:t>INFORMATION</w:t>
      </w:r>
      <w:r w:rsidRPr="007B2A4A" w:rsidR="00B5722A">
        <w:rPr>
          <w:b/>
          <w:bCs/>
        </w:rPr>
        <w:t xml:space="preserve"> </w:t>
      </w:r>
      <w:r w:rsidRPr="007B2A4A">
        <w:rPr>
          <w:b/>
          <w:bCs/>
        </w:rPr>
        <w:t>COLLECTION REQUIREMENTS IN</w:t>
      </w:r>
      <w:bookmarkStart w:id="0" w:name="_Hlk100650981"/>
      <w:r>
        <w:rPr>
          <w:b/>
          <w:bCs/>
        </w:rPr>
        <w:t xml:space="preserve"> </w:t>
      </w:r>
      <w:r w:rsidR="00763F04">
        <w:rPr>
          <w:b/>
          <w:bCs/>
        </w:rPr>
        <w:t xml:space="preserve">THE </w:t>
      </w:r>
    </w:p>
    <w:p w:rsidR="00124A2F" w:rsidP="003C2782" w14:paraId="75DA794F" w14:textId="5A8E990D">
      <w:pPr>
        <w:jc w:val="center"/>
        <w:rPr>
          <w:b/>
          <w:bCs/>
        </w:rPr>
      </w:pPr>
      <w:r>
        <w:rPr>
          <w:b/>
          <w:bCs/>
        </w:rPr>
        <w:t>1,</w:t>
      </w:r>
      <w:r w:rsidRPr="007B2A4A" w:rsidR="00F769A2">
        <w:rPr>
          <w:b/>
          <w:bCs/>
        </w:rPr>
        <w:t>2-DIBROMO-3-CHLOROPROPANE (DBCP) STANDARD</w:t>
      </w:r>
      <w:bookmarkEnd w:id="0"/>
      <w:r>
        <w:rPr>
          <w:b/>
          <w:bCs/>
        </w:rPr>
        <w:t xml:space="preserve"> </w:t>
      </w:r>
      <w:r w:rsidRPr="007B2A4A" w:rsidR="00F769A2">
        <w:rPr>
          <w:b/>
          <w:bCs/>
        </w:rPr>
        <w:t>(29 CFR 1910.1044)</w:t>
      </w:r>
      <w:r w:rsidRPr="007B2A4A" w:rsidR="00A00EB4">
        <w:rPr>
          <w:b/>
          <w:bCs/>
        </w:rPr>
        <w:t xml:space="preserve"> </w:t>
      </w:r>
      <w:r w:rsidR="003C2782">
        <w:rPr>
          <w:b/>
          <w:bCs/>
        </w:rPr>
        <w:t>OFFICE OF MANAGEMENT AND BUDGET (</w:t>
      </w:r>
      <w:r w:rsidRPr="007B2A4A" w:rsidR="00F769A2">
        <w:rPr>
          <w:b/>
          <w:bCs/>
        </w:rPr>
        <w:t>OMB</w:t>
      </w:r>
      <w:r>
        <w:rPr>
          <w:b/>
          <w:bCs/>
        </w:rPr>
        <w:t>)</w:t>
      </w:r>
      <w:r w:rsidRPr="007B2A4A" w:rsidR="00D03B7C">
        <w:rPr>
          <w:b/>
          <w:bCs/>
        </w:rPr>
        <w:t xml:space="preserve"> </w:t>
      </w:r>
    </w:p>
    <w:p w:rsidR="00F769A2" w:rsidRPr="009714E9" w:rsidP="002566E5" w14:paraId="23B0906E" w14:textId="21A6297F">
      <w:pPr>
        <w:jc w:val="center"/>
        <w:rPr>
          <w:b/>
          <w:bCs/>
          <w:color w:val="0070C0"/>
        </w:rPr>
      </w:pPr>
      <w:r w:rsidRPr="007B2A4A">
        <w:rPr>
          <w:b/>
          <w:bCs/>
        </w:rPr>
        <w:t>CONTROL NO. 1218-0101</w:t>
      </w:r>
      <w:r w:rsidR="003C2782">
        <w:rPr>
          <w:b/>
          <w:bCs/>
        </w:rPr>
        <w:t xml:space="preserve"> </w:t>
      </w:r>
      <w:r w:rsidRPr="000C0C70" w:rsidR="009714E9">
        <w:rPr>
          <w:b/>
          <w:bCs/>
          <w:color w:val="000000"/>
        </w:rPr>
        <w:t>(</w:t>
      </w:r>
      <w:r w:rsidR="003C2782">
        <w:rPr>
          <w:b/>
          <w:bCs/>
          <w:color w:val="000000"/>
        </w:rPr>
        <w:t>February</w:t>
      </w:r>
      <w:r w:rsidR="00DC6B7D">
        <w:rPr>
          <w:b/>
          <w:bCs/>
          <w:color w:val="000000"/>
        </w:rPr>
        <w:t xml:space="preserve"> 2025</w:t>
      </w:r>
      <w:r w:rsidRPr="000C0C70" w:rsidR="009714E9">
        <w:rPr>
          <w:b/>
          <w:bCs/>
          <w:color w:val="000000"/>
        </w:rPr>
        <w:t>)</w:t>
      </w:r>
    </w:p>
    <w:p w:rsidR="00F769A2" w:rsidRPr="00191938" w14:paraId="47A17EE9" w14:textId="77777777">
      <w:pPr>
        <w:jc w:val="center"/>
        <w:rPr>
          <w:b/>
          <w:bCs/>
          <w:color w:val="000000"/>
        </w:rPr>
      </w:pPr>
    </w:p>
    <w:p w:rsidR="001D1EC1" w:rsidRPr="002566E5" w:rsidP="00423147" w14:paraId="198E9E44" w14:textId="7E92B9EF">
      <w:pPr>
        <w:pStyle w:val="paragraph"/>
        <w:spacing w:before="0" w:beforeAutospacing="0" w:after="0" w:afterAutospacing="0"/>
        <w:ind w:left="-90"/>
        <w:textAlignment w:val="baseline"/>
        <w:rPr>
          <w:rFonts w:ascii="Segoe UI" w:hAnsi="Segoe UI" w:cs="Segoe UI"/>
          <w:sz w:val="18"/>
          <w:szCs w:val="18"/>
        </w:rPr>
      </w:pPr>
      <w:r w:rsidRPr="002566E5">
        <w:rPr>
          <w:rStyle w:val="normaltextrun"/>
        </w:rPr>
        <w:t>Th</w:t>
      </w:r>
      <w:r w:rsidR="00280E96">
        <w:rPr>
          <w:rStyle w:val="normaltextrun"/>
        </w:rPr>
        <w:t>e agency is seeking</w:t>
      </w:r>
      <w:r w:rsidRPr="002566E5">
        <w:rPr>
          <w:rStyle w:val="normaltextrun"/>
        </w:rPr>
        <w:t xml:space="preserve"> extension of a currently approved data collection. </w:t>
      </w:r>
      <w:r w:rsidRPr="002566E5">
        <w:rPr>
          <w:rStyle w:val="eop"/>
        </w:rPr>
        <w:t> </w:t>
      </w:r>
    </w:p>
    <w:p w:rsidR="00CF7B8C" w:rsidRPr="00423147" w14:paraId="0F5A6694" w14:textId="77777777">
      <w:pPr>
        <w:rPr>
          <w:b/>
          <w:bCs/>
        </w:rPr>
      </w:pPr>
    </w:p>
    <w:p w:rsidR="00F769A2" w:rsidRPr="007B2A4A" w:rsidP="00286C1B" w14:paraId="1A1E075F" w14:textId="77777777">
      <w:pPr>
        <w:tabs>
          <w:tab w:val="left" w:pos="360"/>
          <w:tab w:val="left" w:pos="810"/>
        </w:tabs>
        <w:rPr>
          <w:b/>
          <w:bCs/>
        </w:rPr>
      </w:pPr>
      <w:r w:rsidRPr="007B2A4A">
        <w:rPr>
          <w:b/>
          <w:bCs/>
        </w:rPr>
        <w:t xml:space="preserve">A. </w:t>
      </w:r>
      <w:r w:rsidRPr="007B2A4A" w:rsidR="00286C1B">
        <w:rPr>
          <w:b/>
          <w:bCs/>
        </w:rPr>
        <w:tab/>
      </w:r>
      <w:r w:rsidRPr="007B2A4A">
        <w:rPr>
          <w:b/>
          <w:bCs/>
        </w:rPr>
        <w:t>JUSTIFICATION</w:t>
      </w:r>
    </w:p>
    <w:p w:rsidR="00F769A2" w:rsidRPr="007B2A4A" w14:paraId="0D0D858E" w14:textId="77777777">
      <w:pPr>
        <w:rPr>
          <w:b/>
          <w:bCs/>
        </w:rPr>
      </w:pPr>
    </w:p>
    <w:p w:rsidR="00F769A2" w:rsidRPr="007B2A4A" w:rsidP="00436D54" w14:paraId="5AC95B59" w14:textId="77777777">
      <w:pPr>
        <w:tabs>
          <w:tab w:val="left" w:pos="-1440"/>
        </w:tabs>
        <w:ind w:left="720" w:hanging="720"/>
      </w:pPr>
      <w:r w:rsidRPr="007B2A4A">
        <w:rPr>
          <w:b/>
          <w:bCs/>
        </w:rPr>
        <w:t>1.</w:t>
      </w:r>
      <w:r w:rsidRPr="007B2A4A">
        <w:rPr>
          <w:b/>
          <w:bCs/>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23147" w:rsidRPr="002566E5" w:rsidP="00423147" w14:paraId="2B157722" w14:textId="77777777">
      <w:pPr>
        <w:pStyle w:val="paragraph"/>
        <w:spacing w:before="0" w:beforeAutospacing="0" w:after="0" w:afterAutospacing="0"/>
        <w:textAlignment w:val="baseline"/>
        <w:rPr>
          <w:rStyle w:val="normaltextrun"/>
          <w:color w:val="002060"/>
          <w:sz w:val="22"/>
          <w:szCs w:val="22"/>
        </w:rPr>
      </w:pPr>
    </w:p>
    <w:p w:rsidR="00F769A2" w:rsidRPr="007B2A4A" w14:paraId="2036DAA0" w14:textId="77777777">
      <w:r w:rsidRPr="007B2A4A">
        <w:t xml:space="preserve">The </w:t>
      </w:r>
      <w:r w:rsidRPr="007B2A4A" w:rsidR="00D82ECE">
        <w:t xml:space="preserve">main purpose of the </w:t>
      </w:r>
      <w:r w:rsidRPr="007B2A4A">
        <w:t>Occ</w:t>
      </w:r>
      <w:r w:rsidRPr="007B2A4A" w:rsidR="00962DD0">
        <w:t>upational Safety and Health Act</w:t>
      </w:r>
      <w:r w:rsidRPr="007B2A4A">
        <w:t xml:space="preserve"> (</w:t>
      </w:r>
      <w:r w:rsidRPr="007B2A4A" w:rsidR="00D82ECE">
        <w:t>“</w:t>
      </w:r>
      <w:r w:rsidRPr="007B2A4A">
        <w:t>OSH Act</w:t>
      </w:r>
      <w:r w:rsidRPr="007B2A4A" w:rsidR="00D82ECE">
        <w:t>” or Act</w:t>
      </w:r>
      <w:r w:rsidRPr="007B2A4A">
        <w:t>) is to. . . assure so far as possible every working man and woman in the Nation safe and healthful working conditions and to preserve our human resources</w:t>
      </w:r>
      <w:r w:rsidRPr="007B2A4A" w:rsidR="00B5722A">
        <w:t xml:space="preserve"> (29 U.S.C. 651). </w:t>
      </w:r>
      <w:r w:rsidRPr="007B2A4A" w:rsidR="00400C2C">
        <w:t xml:space="preserve"> </w:t>
      </w:r>
      <w:r w:rsidRPr="007B2A4A">
        <w:t xml:space="preserve">As one means in achieving this objective, the OSH Act specifically authorizes the development and promulgation of occupational safety and health standards </w:t>
      </w:r>
      <w:r w:rsidRPr="007B2A4A" w:rsidR="00400C2C">
        <w:t>(29 U.S.C. 651)</w:t>
      </w:r>
      <w:r w:rsidRPr="007B2A4A" w:rsidR="00D82ECE">
        <w:t xml:space="preserve"> t</w:t>
      </w:r>
      <w:r w:rsidRPr="007B2A4A">
        <w:t xml:space="preserve">o ensure that </w:t>
      </w:r>
      <w:r w:rsidRPr="007B2A4A" w:rsidR="0093783E">
        <w:t>worker</w:t>
      </w:r>
      <w:r w:rsidRPr="007B2A4A">
        <w:t>s will be furnished employment and a place of employment</w:t>
      </w:r>
      <w:r w:rsidRPr="007B2A4A" w:rsidR="004A7AE2">
        <w:t xml:space="preserve"> </w:t>
      </w:r>
      <w:r w:rsidRPr="007B2A4A">
        <w:t>free from recognized hazards that are causing or likely to cause death or serious physical harm.</w:t>
      </w:r>
    </w:p>
    <w:p w:rsidR="00F769A2" w:rsidRPr="007B2A4A" w14:paraId="736DE584" w14:textId="77777777"/>
    <w:p w:rsidR="00423147" w14:paraId="5A0AFE66" w14:textId="77777777">
      <w:r w:rsidRPr="007B2A4A">
        <w:t xml:space="preserve">To protect </w:t>
      </w:r>
      <w:r w:rsidRPr="007B2A4A" w:rsidR="00681EA9">
        <w:t>worker</w:t>
      </w:r>
      <w:r w:rsidRPr="007B2A4A">
        <w:t xml:space="preserve"> health, the OSH Act authorizes the Occupational Safety and Health </w:t>
      </w:r>
      <w:r w:rsidRPr="007B2A4A" w:rsidR="003445AD">
        <w:t>Administration</w:t>
      </w:r>
      <w:r w:rsidRPr="007B2A4A" w:rsidR="00962DD0">
        <w:t xml:space="preserve"> (“OSHA” or “A</w:t>
      </w:r>
      <w:r w:rsidR="00B011D8">
        <w:t xml:space="preserve">gency”) to develop </w:t>
      </w:r>
      <w:r w:rsidRPr="007B2A4A">
        <w:t>standards that provide for “mon</w:t>
      </w:r>
      <w:r w:rsidRPr="007B2A4A" w:rsidR="00CB63DD">
        <w:t xml:space="preserve">itoring or measuring </w:t>
      </w:r>
      <w:r w:rsidRPr="007B2A4A" w:rsidR="00CA68BC">
        <w:t>worker ex</w:t>
      </w:r>
      <w:r w:rsidRPr="007B2A4A">
        <w:t>posure” to occupational hazards and “prescribe the type and frequency of medical examinations and other tests which shall be made available [by the employer] to workers</w:t>
      </w:r>
      <w:r w:rsidRPr="007B2A4A" w:rsidR="00CA68BC">
        <w:t xml:space="preserve"> exposed to such hazards…to most effectively determine whether the health of such workers  is adversely affected by such exposure” (29 U.S.C. 655).  </w:t>
      </w:r>
      <w:r w:rsidRPr="007B2A4A" w:rsidR="003445AD">
        <w:t>Moreover</w:t>
      </w:r>
      <w:r w:rsidRPr="007B2A4A" w:rsidR="00CA68BC">
        <w:t xml:space="preserve">, the Act directs OSHA to </w:t>
      </w:r>
    </w:p>
    <w:p w:rsidR="00D82ECE" w:rsidRPr="007B2A4A" w14:paraId="72CE7C39" w14:textId="77777777">
      <w:r w:rsidRPr="007B2A4A">
        <w:t xml:space="preserve">“issue </w:t>
      </w:r>
      <w:r w:rsidRPr="007B2A4A" w:rsidR="00423147">
        <w:t>regulations requiring</w:t>
      </w:r>
      <w:r w:rsidRPr="007B2A4A">
        <w:t xml:space="preserve"> employers to main accurate records of </w:t>
      </w:r>
      <w:r w:rsidRPr="007B2A4A" w:rsidR="0073058B">
        <w:t>worker</w:t>
      </w:r>
      <w:r w:rsidRPr="007B2A4A">
        <w:t xml:space="preserve"> exposures to potentially toxic materials or other harmful physical agents which are required to be monitored and measured …” (29 U.S.C. 657).  In addition, the OSH Act mandates that “[e]ach employer shall make, keep and preserve, and make available to the Secretary [of Labor] …such records regarding [the employer’s] activities relating to this Act as the Secretary …</w:t>
      </w:r>
      <w:r w:rsidRPr="007B2A4A" w:rsidR="003445AD">
        <w:t>may prescribe by regulation as necessary or appropriate for the enforcement of this Act …” (</w:t>
      </w:r>
      <w:r w:rsidRPr="007B2A4A" w:rsidR="00423147">
        <w:t>29 U.S.C.</w:t>
      </w:r>
      <w:r w:rsidR="00AA7CD8">
        <w:t xml:space="preserve"> </w:t>
      </w:r>
      <w:r w:rsidRPr="007B2A4A" w:rsidR="003445AD">
        <w:t>657).</w:t>
      </w:r>
    </w:p>
    <w:p w:rsidR="00D82ECE" w:rsidRPr="007B2A4A" w14:paraId="7680897F" w14:textId="77777777"/>
    <w:p w:rsidR="008A3784" w14:paraId="3C27B177" w14:textId="77777777">
      <w:r w:rsidRPr="007B2A4A">
        <w:t xml:space="preserve">For toxic substances, the OSH Act contains specific statutory language.  Thus, as appropriate, health standards must include provisions for monitoring and measuring </w:t>
      </w:r>
      <w:r w:rsidRPr="007B2A4A" w:rsidR="0093783E">
        <w:t>worker</w:t>
      </w:r>
      <w:r w:rsidRPr="007B2A4A">
        <w:t xml:space="preserve"> exposure, </w:t>
      </w:r>
    </w:p>
    <w:p w:rsidR="00FB094D" w:rsidRPr="007B2A4A" w14:paraId="59D00476" w14:textId="77777777">
      <w:r w:rsidRPr="007B2A4A">
        <w:t>medical examinations and other tests, control and other technological procedures, suitable protective equipment, labels and other appropriate forms of warning, and precautions for safe use or exposure</w:t>
      </w:r>
      <w:r w:rsidRPr="007B2A4A" w:rsidR="004A7AE2">
        <w:t xml:space="preserve"> (29 U.S.C. 655).</w:t>
      </w:r>
      <w:r w:rsidRPr="007B2A4A">
        <w:t xml:space="preserve">  In addition, the OSH Act specifically mandates issuing regulations </w:t>
      </w:r>
    </w:p>
    <w:p w:rsidR="00FB094D" w:rsidRPr="007B2A4A" w14:paraId="1C4801BB" w14:textId="77777777">
      <w:r w:rsidRPr="007B2A4A">
        <w:t xml:space="preserve">requiring employers to maintain accurate records of </w:t>
      </w:r>
      <w:r w:rsidRPr="007B2A4A" w:rsidR="0093783E">
        <w:t>worker</w:t>
      </w:r>
      <w:r w:rsidRPr="007B2A4A">
        <w:t xml:space="preserve"> exposures to potentially toxic </w:t>
      </w:r>
    </w:p>
    <w:p w:rsidR="00F769A2" w:rsidRPr="007B2A4A" w14:paraId="117714C4" w14:textId="77777777">
      <w:r w:rsidRPr="007B2A4A">
        <w:t>materials or other harmful physical agents that are required to be monitored and measured, a</w:t>
      </w:r>
      <w:r w:rsidRPr="007B2A4A" w:rsidR="00ED356C">
        <w:t>n</w:t>
      </w:r>
      <w:r w:rsidRPr="007B2A4A">
        <w:t xml:space="preserve">d further requires that </w:t>
      </w:r>
      <w:r w:rsidRPr="007B2A4A" w:rsidR="0093783E">
        <w:t>worker</w:t>
      </w:r>
      <w:r w:rsidRPr="007B2A4A">
        <w:t xml:space="preserve">s exposed to concentrations over prescribed limits be notified of this fact, and of the corrective action being taken </w:t>
      </w:r>
      <w:r w:rsidRPr="007B2A4A" w:rsidR="00400C2C">
        <w:t>(29 U.S.C. 657)</w:t>
      </w:r>
      <w:r w:rsidRPr="007B2A4A">
        <w:t>.</w:t>
      </w:r>
    </w:p>
    <w:p w:rsidR="00F769A2" w:rsidRPr="007B2A4A" w14:paraId="20644EAA" w14:textId="77777777"/>
    <w:p w:rsidR="00F769A2" w:rsidRPr="007B2A4A" w14:paraId="432A90B9" w14:textId="77777777">
      <w:r w:rsidRPr="007B2A4A">
        <w:t xml:space="preserve">Using the statutory authority granted to it by the OSH Act, the Occupational Safety and Health Administration (OSHA) published a health standard governing </w:t>
      </w:r>
      <w:r w:rsidRPr="007B2A4A" w:rsidR="0093783E">
        <w:t>worker</w:t>
      </w:r>
      <w:r w:rsidRPr="007B2A4A">
        <w:t xml:space="preserve"> exposure to 1,2-dibromo-3-chloropropane (DBCP) in 1978 (29 CFR 1910.1044</w:t>
      </w:r>
      <w:r>
        <w:rPr>
          <w:rStyle w:val="FootnoteReference"/>
          <w:vertAlign w:val="superscript"/>
        </w:rPr>
        <w:footnoteReference w:id="2"/>
      </w:r>
      <w:r w:rsidRPr="007B2A4A">
        <w:t xml:space="preserve">).  OSHA published the DBCP Standard (also referred to as </w:t>
      </w:r>
      <w:r w:rsidRPr="007B2A4A">
        <w:rPr>
          <w:rFonts w:ascii="WP TypographicSymbols" w:hAnsi="WP TypographicSymbols"/>
        </w:rPr>
        <w:t>A</w:t>
      </w:r>
      <w:r w:rsidRPr="007B2A4A">
        <w:t>the Standard) based on scientific studies demonstrating that DBCP is a potent carcinogen in experimental animals and causes sterility and infertility in humans.  OSHA limited exposure to DBCP to the lowest feasible level, i.e., an 8-hour time weighted average exposure limit of 1 part of DBCP per billion parts of air (1 ppb); this exposure level (1 ppb) is the permissible exposure limit (PEL).  The 1979 TSCA (Toxic Substances Control Act) Inventory identified 3 companies producing 1,000 lbs of DBCP in 1977, and 1 DBCP importer, but provided no information on import volumes.</w:t>
      </w:r>
    </w:p>
    <w:p w:rsidR="00F769A2" w:rsidRPr="007B2A4A" w14:paraId="52FECF30" w14:textId="77777777"/>
    <w:p w:rsidR="001209B9" w:rsidRPr="0012019F" w:rsidP="001209B9" w14:paraId="145F574E" w14:textId="77777777">
      <w:r w:rsidRPr="007B2A4A">
        <w:t xml:space="preserve">The Environmental Protection Agency (EPA) registered DBCP as a soil fumigant for controlling nematodes during growth of field crops, vegetables, fruits and nuts, greenhouse and nursery crops, and turf.  In 1977, the EPA suspended all registration of DBCP-based end-use products, except fumigants for Hawaiian pineapples; EPA revoked this exception in 1985.  According to the </w:t>
      </w:r>
      <w:r w:rsidRPr="007B2A4A" w:rsidR="00B36960">
        <w:rPr>
          <w:u w:val="single"/>
        </w:rPr>
        <w:t>Eleventh Report on Carcinogens</w:t>
      </w:r>
      <w:r w:rsidRPr="007B2A4A">
        <w:rPr>
          <w:u w:val="single"/>
        </w:rPr>
        <w:t xml:space="preserve"> </w:t>
      </w:r>
      <w:r w:rsidRPr="007B2A4A" w:rsidR="00547CA3">
        <w:rPr>
          <w:u w:val="single"/>
        </w:rPr>
        <w:t>January 31</w:t>
      </w:r>
      <w:r w:rsidRPr="007B2A4A" w:rsidR="00423147">
        <w:rPr>
          <w:u w:val="single"/>
        </w:rPr>
        <w:t>, 2005</w:t>
      </w:r>
      <w:r w:rsidRPr="007B2A4A">
        <w:t>, compiled by the National Toxicology Program</w:t>
      </w:r>
      <w:r>
        <w:rPr>
          <w:rStyle w:val="FootnoteReference"/>
          <w:vertAlign w:val="superscript"/>
        </w:rPr>
        <w:footnoteReference w:id="3"/>
      </w:r>
      <w:r w:rsidRPr="007B2A4A">
        <w:t xml:space="preserve"> no current production data are available for DBCP</w:t>
      </w:r>
      <w:r w:rsidR="002F7162">
        <w:t>.</w:t>
      </w:r>
      <w:r>
        <w:rPr>
          <w:rStyle w:val="FootnoteReference"/>
          <w:vertAlign w:val="superscript"/>
        </w:rPr>
        <w:footnoteReference w:id="4"/>
      </w:r>
      <w:r>
        <w:t xml:space="preserve">  </w:t>
      </w:r>
      <w:r w:rsidRPr="007B2A4A" w:rsidR="00E32DA8">
        <w:t>However, OSHA continues to request approval for the collection of information requirements contained in the Standard to ensure continued comp</w:t>
      </w:r>
      <w:r w:rsidRPr="007B2A4A" w:rsidR="000B553A">
        <w:t>liance should an employer use DB</w:t>
      </w:r>
      <w:r w:rsidRPr="007B2A4A" w:rsidR="00E32DA8">
        <w:t>CP in the future.</w:t>
      </w:r>
      <w:r>
        <w:t xml:space="preserve"> </w:t>
      </w:r>
    </w:p>
    <w:p w:rsidR="00F769A2" w:rsidRPr="007B2A4A" w14:paraId="28A51046" w14:textId="77777777">
      <w:pPr>
        <w:ind w:firstLine="1440"/>
      </w:pPr>
    </w:p>
    <w:p w:rsidR="00F07307" w:rsidRPr="007B2A4A" w14:paraId="5F6E051A" w14:textId="77777777">
      <w:pPr>
        <w:rPr>
          <w:b/>
          <w:bCs/>
        </w:rPr>
      </w:pPr>
      <w:r w:rsidRPr="007B2A4A">
        <w:t xml:space="preserve">The purpose of DBCP Standard is to provide protection for </w:t>
      </w:r>
      <w:r w:rsidRPr="007B2A4A" w:rsidR="0093783E">
        <w:t>worker</w:t>
      </w:r>
      <w:r w:rsidRPr="007B2A4A">
        <w:t xml:space="preserve">s from the adverse health </w:t>
      </w:r>
      <w:r w:rsidRPr="007B2A4A">
        <w:t xml:space="preserve">effects caused by occupational exposure to DBCP.  To ensure that </w:t>
      </w:r>
      <w:r w:rsidRPr="007B2A4A" w:rsidR="0093783E">
        <w:t>worker</w:t>
      </w:r>
      <w:r w:rsidRPr="007B2A4A">
        <w:t>s are receiving this protection, the Standard requires employers to provide OSHA with access to various records.  Items 2 and 12 below list and fully d</w:t>
      </w:r>
      <w:r w:rsidRPr="007B2A4A" w:rsidR="00AA4410">
        <w:t xml:space="preserve">iscuss the specific information </w:t>
      </w:r>
      <w:r w:rsidRPr="007B2A4A">
        <w:t>collection requirements specified by the Standard.</w:t>
      </w:r>
    </w:p>
    <w:p w:rsidR="00F769A2" w:rsidRPr="007B2A4A" w14:paraId="1AC68EB7" w14:textId="77777777">
      <w:r w:rsidRPr="007B2A4A">
        <w:t xml:space="preserve"> </w:t>
      </w:r>
    </w:p>
    <w:p w:rsidR="00F769A2" w:rsidRPr="007B2A4A" w14:paraId="4E5DB4E8" w14:textId="77777777">
      <w:pPr>
        <w:tabs>
          <w:tab w:val="left" w:pos="-1440"/>
        </w:tabs>
        <w:ind w:left="720" w:hanging="720"/>
        <w:rPr>
          <w:b/>
        </w:rPr>
      </w:pPr>
      <w:r w:rsidRPr="007B2A4A">
        <w:rPr>
          <w:b/>
        </w:rPr>
        <w:t>2.</w:t>
      </w:r>
      <w:r w:rsidRPr="007B2A4A">
        <w:rPr>
          <w:b/>
        </w:rPr>
        <w:tab/>
        <w:t>Indicate how, by whom, and for what purpose the information is to be used.  Except for a new collection, indicate the actual use the agency has made of the information received from the current collection.</w:t>
      </w:r>
    </w:p>
    <w:p w:rsidR="00061410" w:rsidRPr="007B2A4A" w:rsidP="00061410" w14:paraId="7BF20B7C" w14:textId="77777777">
      <w:pPr>
        <w:rPr>
          <w:b/>
          <w:bCs/>
        </w:rPr>
      </w:pPr>
    </w:p>
    <w:p w:rsidR="00F769A2" w:rsidRPr="007B2A4A" w14:paraId="0FAF80C5" w14:textId="77777777">
      <w:r w:rsidRPr="007B2A4A">
        <w:rPr>
          <w:b/>
          <w:bCs/>
        </w:rPr>
        <w:t>Exposure Monitoring (</w:t>
      </w:r>
      <w:r w:rsidRPr="007B2A4A" w:rsidR="00CB63DD">
        <w:rPr>
          <w:b/>
          <w:bCs/>
        </w:rPr>
        <w:t>§</w:t>
      </w:r>
      <w:r w:rsidRPr="007B2A4A">
        <w:rPr>
          <w:b/>
          <w:bCs/>
        </w:rPr>
        <w:t>1910.1044(f))</w:t>
      </w:r>
    </w:p>
    <w:p w:rsidR="00F769A2" w:rsidRPr="007B2A4A" w14:paraId="5AEBCE9F" w14:textId="77777777"/>
    <w:p w:rsidR="00F769A2" w:rsidRPr="007B2A4A" w14:paraId="2362876D" w14:textId="77777777">
      <w:r w:rsidRPr="007B2A4A">
        <w:t>Employers must perform initial monitoring to determine the extent of DBCP exposure in their workplaces.</w:t>
      </w:r>
      <w:r>
        <w:rPr>
          <w:rStyle w:val="FootnoteReference"/>
          <w:vertAlign w:val="superscript"/>
        </w:rPr>
        <w:footnoteReference w:id="5"/>
      </w:r>
      <w:r w:rsidRPr="007B2A4A">
        <w:t xml:space="preserve">  Initial monitoring enables employers to identify areas of operation that may require additional efforts to reduce </w:t>
      </w:r>
      <w:r w:rsidRPr="007B2A4A" w:rsidR="0093783E">
        <w:t>worker</w:t>
      </w:r>
      <w:r w:rsidRPr="007B2A4A">
        <w:t xml:space="preserve"> exposure to DBCP and, therefore, helps them come into compliance with the Standard.  Initial monitoring results also assist employers in determining the need for engineering controls, instituting or modifying work practices, and selecting appropriate respiratory protection to prevent </w:t>
      </w:r>
      <w:r w:rsidRPr="007B2A4A" w:rsidR="0093783E">
        <w:t>worker</w:t>
      </w:r>
      <w:r w:rsidRPr="007B2A4A">
        <w:t xml:space="preserve">s from overexposure to DBCP.  If the initial monitoring finds that DBCP is </w:t>
      </w:r>
      <w:r w:rsidRPr="007B2A4A" w:rsidR="003D57B4">
        <w:t xml:space="preserve">at or </w:t>
      </w:r>
      <w:r w:rsidRPr="007B2A4A">
        <w:t>below the PEL, the employer must repeat these measurement</w:t>
      </w:r>
      <w:r w:rsidRPr="007B2A4A" w:rsidR="003D57B4">
        <w:t>s</w:t>
      </w:r>
      <w:r w:rsidRPr="007B2A4A">
        <w:t xml:space="preserve"> at least </w:t>
      </w:r>
      <w:r w:rsidRPr="007B2A4A" w:rsidR="003D57B4">
        <w:t>every 6 months</w:t>
      </w:r>
      <w:r w:rsidRPr="007B2A4A">
        <w:t xml:space="preserve">.  If the initial monitoring indicates that DBCP exposure is in excess of the PEL, the employer must repeat these measurements at least </w:t>
      </w:r>
      <w:r w:rsidRPr="007B2A4A" w:rsidR="003D57B4">
        <w:t>quarterl</w:t>
      </w:r>
      <w:r w:rsidRPr="007B2A4A">
        <w:t xml:space="preserve">y; areas in which </w:t>
      </w:r>
      <w:r w:rsidRPr="007B2A4A" w:rsidR="0093783E">
        <w:t>worker</w:t>
      </w:r>
      <w:r w:rsidRPr="007B2A4A">
        <w:t xml:space="preserve"> exposures exceed the PEL are </w:t>
      </w:r>
      <w:r w:rsidRPr="007B2A4A">
        <w:rPr>
          <w:rFonts w:ascii="WP TypographicSymbols" w:hAnsi="WP TypographicSymbols"/>
        </w:rPr>
        <w:t>A</w:t>
      </w:r>
      <w:r w:rsidRPr="007B2A4A">
        <w:t xml:space="preserve">regulated areas.  </w:t>
      </w:r>
      <w:r w:rsidRPr="007B2A4A" w:rsidR="003D57B4">
        <w:t>Quarterly</w:t>
      </w:r>
      <w:r w:rsidRPr="007B2A4A">
        <w:t xml:space="preserve"> </w:t>
      </w:r>
      <w:r w:rsidRPr="007B2A4A" w:rsidR="000B553A">
        <w:t xml:space="preserve">monitoring must continue until </w:t>
      </w:r>
      <w:r w:rsidRPr="007B2A4A" w:rsidR="00A374AD">
        <w:t>two</w:t>
      </w:r>
      <w:r w:rsidRPr="007B2A4A">
        <w:t xml:space="preserve"> consecutive measurements, taken at least 7 days apart, are below the PEL, after which the employer must monitor at least </w:t>
      </w:r>
      <w:r w:rsidRPr="007B2A4A" w:rsidR="003D57B4">
        <w:t>every 6 months</w:t>
      </w:r>
      <w:r w:rsidRPr="007B2A4A">
        <w:t xml:space="preserve">.  Periodic monitoring allows employers to evaluate the effectiveness of exposure-control methods.  In addition, these measurements remind both the employer and </w:t>
      </w:r>
      <w:r w:rsidRPr="007B2A4A" w:rsidR="0093783E">
        <w:t>worker</w:t>
      </w:r>
      <w:r w:rsidRPr="007B2A4A">
        <w:t>s of the continuing need to protect against the h</w:t>
      </w:r>
      <w:r w:rsidRPr="007B2A4A" w:rsidR="003445AD">
        <w:t>azards that could result from a</w:t>
      </w:r>
      <w:r w:rsidRPr="007B2A4A">
        <w:t xml:space="preserve"> </w:t>
      </w:r>
      <w:r w:rsidRPr="007B2A4A" w:rsidR="00191938">
        <w:t>worker’s</w:t>
      </w:r>
      <w:r w:rsidRPr="007B2A4A">
        <w:t xml:space="preserve"> overexposure to DBCP.  Periodic monitoring also informs the physician responsible for medical surveillance of the existence and extent of a potential source of occupational disease.</w:t>
      </w:r>
    </w:p>
    <w:p w:rsidR="00F769A2" w:rsidRPr="007B2A4A" w14:paraId="15F21606" w14:textId="77777777"/>
    <w:p w:rsidR="00F769A2" w14:paraId="0343AB37" w14:textId="77777777">
      <w:r w:rsidRPr="007B2A4A">
        <w:t xml:space="preserve">Employers must perform additional monitoring if any change occurs in production, processes, controls, or personnel that may result in new or increased </w:t>
      </w:r>
      <w:r w:rsidRPr="007B2A4A" w:rsidR="0093783E">
        <w:t>worker</w:t>
      </w:r>
      <w:r w:rsidRPr="007B2A4A">
        <w:t xml:space="preserve"> exposures to DBCP, or if the employer reasonably suspects that any other condition could result in such exposure.  Additional monitoring ensures that the workplace is safe or alerts the employer to increase the </w:t>
      </w:r>
      <w:r w:rsidRPr="007B2A4A" w:rsidR="0093783E">
        <w:t>worker</w:t>
      </w:r>
      <w:r w:rsidRPr="007B2A4A">
        <w:t xml:space="preserve"> protection.</w:t>
      </w:r>
    </w:p>
    <w:p w:rsidR="00191938" w:rsidRPr="007B2A4A" w14:paraId="560C17F3" w14:textId="77777777"/>
    <w:p w:rsidR="00614AD4" w:rsidP="00614AD4" w14:paraId="28FF9D3F" w14:textId="77777777">
      <w:r w:rsidRPr="007B2A4A">
        <w:t>Paragraph 1910.1</w:t>
      </w:r>
      <w:r w:rsidRPr="007B2A4A" w:rsidR="007A7F7C">
        <w:t>0</w:t>
      </w:r>
      <w:r w:rsidRPr="007B2A4A" w:rsidR="00AA2FBB">
        <w:t>44</w:t>
      </w:r>
      <w:r w:rsidRPr="007B2A4A">
        <w:t>(f)</w:t>
      </w:r>
      <w:r w:rsidRPr="007B2A4A" w:rsidR="007A7F7C">
        <w:t xml:space="preserve">(5) </w:t>
      </w:r>
      <w:r w:rsidRPr="007B2A4A">
        <w:t xml:space="preserve">requires that employers must inform each </w:t>
      </w:r>
      <w:r w:rsidRPr="007B2A4A" w:rsidR="0093783E">
        <w:t>worker</w:t>
      </w:r>
      <w:r w:rsidRPr="007B2A4A">
        <w:t xml:space="preserve"> of their exposure-monitoring results within 15 working days after receiving these results.  Employers may notify </w:t>
      </w:r>
      <w:r w:rsidRPr="007B2A4A" w:rsidR="0093783E">
        <w:t>worker</w:t>
      </w:r>
      <w:r w:rsidRPr="007B2A4A">
        <w:t xml:space="preserve">s either individually in writing or by posting the monitoring results in an appropriate location that is accessible to the </w:t>
      </w:r>
      <w:r w:rsidRPr="007B2A4A" w:rsidR="0093783E">
        <w:t>worker</w:t>
      </w:r>
      <w:r w:rsidRPr="007B2A4A">
        <w:t xml:space="preserve">s. In addition, if the exposure-monitoring results show </w:t>
      </w:r>
      <w:r w:rsidRPr="007B2A4A">
        <w:t xml:space="preserve">that a </w:t>
      </w:r>
      <w:r w:rsidRPr="007B2A4A" w:rsidR="0093783E">
        <w:t>worker</w:t>
      </w:r>
      <w:r w:rsidRPr="007B2A4A">
        <w:t xml:space="preserve">’s exposure exceeds the PEL, the employer must inform the exposed </w:t>
      </w:r>
      <w:r w:rsidRPr="007B2A4A" w:rsidR="0093783E">
        <w:t>worker</w:t>
      </w:r>
      <w:r w:rsidRPr="007B2A4A">
        <w:t xml:space="preserve"> of the corrective action the employer is taking to prevent such overexposure.  </w:t>
      </w:r>
    </w:p>
    <w:p w:rsidR="00417D42" w:rsidP="00614AD4" w14:paraId="71404DCE" w14:textId="77777777"/>
    <w:p w:rsidR="002B6166" w:rsidRPr="007B2A4A" w:rsidP="002B6166" w14:paraId="4AF5C275" w14:textId="77777777">
      <w:r w:rsidRPr="007B2A4A">
        <w:t xml:space="preserve">Notification provides </w:t>
      </w:r>
      <w:r w:rsidRPr="007B2A4A" w:rsidR="0093783E">
        <w:t>worker</w:t>
      </w:r>
      <w:r w:rsidRPr="007B2A4A">
        <w:t xml:space="preserve">s with information about the efforts the employer is taking to lower their DBCP exposures and to furnish them with a safe and healthful workplace in accordance with section 8(c)(3) of the </w:t>
      </w:r>
      <w:r w:rsidRPr="007B2A4A" w:rsidR="00CB63DD">
        <w:t xml:space="preserve">OSH </w:t>
      </w:r>
      <w:r w:rsidRPr="007B2A4A">
        <w:t>Act.</w:t>
      </w:r>
    </w:p>
    <w:p w:rsidR="00061410" w:rsidRPr="007B2A4A" w:rsidP="00061410" w14:paraId="5131EEA0" w14:textId="77777777">
      <w:pPr>
        <w:widowControl/>
        <w:rPr>
          <w:b/>
          <w:bCs/>
          <w:color w:val="A6A6A6"/>
        </w:rPr>
      </w:pPr>
    </w:p>
    <w:p w:rsidR="00F769A2" w:rsidRPr="007B2A4A" w14:paraId="039C4E17" w14:textId="77777777">
      <w:r w:rsidRPr="007B2A4A">
        <w:rPr>
          <w:b/>
          <w:bCs/>
        </w:rPr>
        <w:t>Written Compliance Program (</w:t>
      </w:r>
      <w:r w:rsidRPr="007B2A4A" w:rsidR="009C33F7">
        <w:rPr>
          <w:b/>
          <w:bCs/>
        </w:rPr>
        <w:t>§</w:t>
      </w:r>
      <w:r w:rsidRPr="007B2A4A">
        <w:rPr>
          <w:b/>
          <w:bCs/>
        </w:rPr>
        <w:t>1910.1044(g)(2))</w:t>
      </w:r>
    </w:p>
    <w:p w:rsidR="00F769A2" w:rsidRPr="007B2A4A" w14:paraId="1E6C734B" w14:textId="77777777"/>
    <w:p w:rsidR="00F769A2" w14:paraId="418FBACB" w14:textId="77777777">
      <w:r w:rsidRPr="007B2A4A">
        <w:t xml:space="preserve">Employers must establish and implement a written program to reduce </w:t>
      </w:r>
      <w:r w:rsidRPr="007B2A4A" w:rsidR="0093783E">
        <w:t>worker</w:t>
      </w:r>
      <w:r w:rsidRPr="007B2A4A">
        <w:t xml:space="preserve"> DBCP exposure to or below the PEL using engineering and work-practice controls.  This program must also include a detailed schedule for developing and implementing engineering and work-practice controls.  </w:t>
      </w:r>
      <w:r w:rsidRPr="007B2A4A" w:rsidR="004E09A4">
        <w:t>Employers must, at least, review and/or revise the compliance plan at least annually, to describe the programs current status</w:t>
      </w:r>
      <w:r w:rsidR="00C84AED">
        <w:t>.</w:t>
      </w:r>
    </w:p>
    <w:p w:rsidR="00C84AED" w:rsidRPr="00A9108B" w14:paraId="41FDE094" w14:textId="77777777">
      <w:pPr>
        <w:rPr>
          <w:strike/>
        </w:rPr>
      </w:pPr>
    </w:p>
    <w:p w:rsidR="004E09A4" w:rsidRPr="007B2A4A" w14:paraId="439D57A5" w14:textId="77777777">
      <w:pPr>
        <w:rPr>
          <w:b/>
          <w:bCs/>
        </w:rPr>
      </w:pPr>
      <w:r w:rsidRPr="007B2A4A">
        <w:t xml:space="preserve">This requirement commits the employer to evaluating </w:t>
      </w:r>
      <w:r w:rsidRPr="007B2A4A" w:rsidR="0093783E">
        <w:t>worker</w:t>
      </w:r>
      <w:r w:rsidRPr="007B2A4A">
        <w:t xml:space="preserve"> exposure and establishing an organized and complete program for reducing </w:t>
      </w:r>
      <w:r w:rsidRPr="007B2A4A" w:rsidR="0093783E">
        <w:t>worker</w:t>
      </w:r>
      <w:r w:rsidRPr="007B2A4A">
        <w:t xml:space="preserve"> exposures to or below the PEL.  Updating the program serves to remind employers to implement and maintain the exposure-control methods required by the Standard.</w:t>
      </w:r>
    </w:p>
    <w:p w:rsidR="004E09A4" w:rsidRPr="007B2A4A" w14:paraId="06383288" w14:textId="77777777">
      <w:pPr>
        <w:rPr>
          <w:b/>
          <w:bCs/>
        </w:rPr>
      </w:pPr>
    </w:p>
    <w:p w:rsidR="00F769A2" w:rsidRPr="007B2A4A" w14:paraId="34F739DD" w14:textId="77777777">
      <w:r w:rsidRPr="007B2A4A">
        <w:rPr>
          <w:b/>
          <w:bCs/>
        </w:rPr>
        <w:t>Respiratory Program (</w:t>
      </w:r>
      <w:r w:rsidRPr="007B2A4A" w:rsidR="009C33F7">
        <w:rPr>
          <w:b/>
          <w:bCs/>
        </w:rPr>
        <w:t>§</w:t>
      </w:r>
      <w:r w:rsidRPr="007B2A4A">
        <w:rPr>
          <w:b/>
          <w:bCs/>
        </w:rPr>
        <w:t>1910.1044(h)(2))</w:t>
      </w:r>
    </w:p>
    <w:p w:rsidR="00F769A2" w:rsidRPr="007B2A4A" w14:paraId="0B739E71" w14:textId="77777777"/>
    <w:p w:rsidR="00F769A2" w:rsidRPr="007B2A4A" w14:paraId="6D920FA4" w14:textId="77777777">
      <w:pPr>
        <w:rPr>
          <w:b/>
          <w:bCs/>
        </w:rPr>
      </w:pPr>
      <w:r w:rsidRPr="007B2A4A">
        <w:t xml:space="preserve">If employers require respirator use, they must establish a respiratory-protection program in accordance with 29 CFR 1910.134, paragraphs (b) through (d) (except (d)(1)(iii)), and (f) through (m)).  Paragraph (c) of 29 CFR 1910.134 requires the employer to develop and implement a written respiratory-protection program with worksite-specific procedures and elements for respirator use.  The purpose of these requirements is to ensure that employers establish a standardized procedure for selecting, using, and maintaining respirators for each workplace requiring respirator use.  Developing written procedures ensures that employers implement a respirator program that meets the needs of their </w:t>
      </w:r>
      <w:r w:rsidRPr="007B2A4A" w:rsidR="0093783E">
        <w:t>worker</w:t>
      </w:r>
      <w:r w:rsidRPr="007B2A4A">
        <w:t>s.</w:t>
      </w:r>
      <w:r w:rsidRPr="007B2A4A">
        <w:rPr>
          <w:b/>
          <w:bCs/>
        </w:rPr>
        <w:t xml:space="preserve">  </w:t>
      </w:r>
      <w:r w:rsidRPr="007B2A4A">
        <w:t>OSHA incurs the burden hours and costs resulting from these program requirements under the ICR for OSHA</w:t>
      </w:r>
      <w:r w:rsidRPr="007B2A4A" w:rsidR="003445AD">
        <w:t>’</w:t>
      </w:r>
      <w:r w:rsidRPr="007B2A4A">
        <w:t>s Respiratory</w:t>
      </w:r>
      <w:r w:rsidRPr="007B2A4A" w:rsidR="00AD12E8">
        <w:t xml:space="preserve"> </w:t>
      </w:r>
      <w:r w:rsidRPr="007B2A4A">
        <w:t>Protection Standard (29 CFR 1910.134), OMB Control Number 1218-0099.</w:t>
      </w:r>
    </w:p>
    <w:p w:rsidR="005A04B9" w14:paraId="176F086F" w14:textId="77777777">
      <w:pPr>
        <w:rPr>
          <w:b/>
          <w:bCs/>
        </w:rPr>
      </w:pPr>
    </w:p>
    <w:p w:rsidR="00F769A2" w:rsidRPr="007B2A4A" w14:paraId="19A3358F" w14:textId="77777777">
      <w:pPr>
        <w:rPr>
          <w:b/>
          <w:bCs/>
        </w:rPr>
      </w:pPr>
      <w:r w:rsidRPr="007B2A4A">
        <w:rPr>
          <w:b/>
          <w:bCs/>
        </w:rPr>
        <w:t>Written Emergency-Situation Plan (</w:t>
      </w:r>
      <w:r w:rsidRPr="007B2A4A" w:rsidR="009C33F7">
        <w:rPr>
          <w:b/>
          <w:bCs/>
        </w:rPr>
        <w:t>§</w:t>
      </w:r>
      <w:r w:rsidRPr="007B2A4A">
        <w:rPr>
          <w:b/>
          <w:bCs/>
        </w:rPr>
        <w:t>1910.1044(i)(1))</w:t>
      </w:r>
    </w:p>
    <w:p w:rsidR="00F769A2" w:rsidRPr="007B2A4A" w14:paraId="254A815F" w14:textId="77777777"/>
    <w:p w:rsidR="00F769A2" w:rsidRPr="007B2A4A" w14:paraId="3651EBDC" w14:textId="77777777">
      <w:r w:rsidRPr="007B2A4A">
        <w:t xml:space="preserve">The employers must develop and implement a written plan describing the emergency response to accidental releases of DBCP.  This plan provides </w:t>
      </w:r>
      <w:r w:rsidRPr="007B2A4A" w:rsidR="0093783E">
        <w:t>worker</w:t>
      </w:r>
      <w:r w:rsidRPr="007B2A4A">
        <w:t>s with personal-protection and evacuation information that minimizes their exposure to DBCP in these situations.</w:t>
      </w:r>
    </w:p>
    <w:p w:rsidR="00F769A2" w:rsidRPr="007B2A4A" w14:paraId="7FD2224C" w14:textId="77777777">
      <w:pPr>
        <w:rPr>
          <w:b/>
          <w:bCs/>
        </w:rPr>
      </w:pPr>
    </w:p>
    <w:p w:rsidR="00F769A2" w:rsidRPr="007B2A4A" w14:paraId="3B7AB379" w14:textId="77777777">
      <w:r w:rsidRPr="007B2A4A">
        <w:rPr>
          <w:b/>
          <w:bCs/>
        </w:rPr>
        <w:t xml:space="preserve">Removal and Storage of Protective </w:t>
      </w:r>
      <w:r w:rsidRPr="007B2A4A" w:rsidR="00F72538">
        <w:rPr>
          <w:b/>
          <w:bCs/>
        </w:rPr>
        <w:t xml:space="preserve">Devices and </w:t>
      </w:r>
      <w:r w:rsidRPr="007B2A4A">
        <w:rPr>
          <w:b/>
          <w:bCs/>
        </w:rPr>
        <w:t>Clothing (</w:t>
      </w:r>
      <w:r w:rsidRPr="007B2A4A" w:rsidR="009C33F7">
        <w:rPr>
          <w:b/>
          <w:bCs/>
        </w:rPr>
        <w:t>§</w:t>
      </w:r>
      <w:r w:rsidRPr="007B2A4A">
        <w:rPr>
          <w:b/>
          <w:bCs/>
        </w:rPr>
        <w:t>1910.1044(j)(2)(v))</w:t>
      </w:r>
    </w:p>
    <w:p w:rsidR="00F769A2" w:rsidRPr="007B2A4A" w14:paraId="6D43F827" w14:textId="77777777"/>
    <w:p w:rsidR="00F72538" w:rsidRPr="007B2A4A" w14:paraId="6393F025" w14:textId="77777777">
      <w:r w:rsidRPr="007B2A4A">
        <w:t>Containers of DBCP-contaminated protective devices or work clothing which are to be taken out of change rooms or the workplace for cleaning, maintenance or disposal shall bear labels with the following information:</w:t>
      </w:r>
    </w:p>
    <w:p w:rsidR="00F72538" w:rsidRPr="007B2A4A" w14:paraId="3D709E92" w14:textId="77777777"/>
    <w:p w:rsidR="00EC459F" w:rsidRPr="007B2A4A" w14:paraId="24802CCB" w14:textId="77777777">
      <w:pPr>
        <w:rPr>
          <w:b/>
          <w:color w:val="FF0000"/>
        </w:rPr>
      </w:pPr>
      <w:r w:rsidRPr="007B2A4A">
        <w:t xml:space="preserve">CONTAMINATED WITH 1,2-Dibromo-3-chloropropane (DBCP), MAY CAUSE CANCER. </w:t>
      </w:r>
    </w:p>
    <w:p w:rsidR="00F769A2" w:rsidRPr="007B2A4A" w14:paraId="644334D8" w14:textId="77777777"/>
    <w:p w:rsidR="00F769A2" w:rsidRPr="007B2A4A" w14:paraId="014F3F27" w14:textId="77777777">
      <w:pPr>
        <w:rPr>
          <w:b/>
          <w:bCs/>
        </w:rPr>
      </w:pPr>
      <w:r w:rsidRPr="007B2A4A">
        <w:rPr>
          <w:b/>
          <w:bCs/>
        </w:rPr>
        <w:t xml:space="preserve">Notifying the Laundry </w:t>
      </w:r>
      <w:r w:rsidRPr="007B2A4A" w:rsidR="00145605">
        <w:rPr>
          <w:b/>
          <w:bCs/>
          <w:color w:val="000000"/>
        </w:rPr>
        <w:t>Personnel (</w:t>
      </w:r>
      <w:r w:rsidRPr="007B2A4A" w:rsidR="009C33F7">
        <w:rPr>
          <w:b/>
          <w:bCs/>
        </w:rPr>
        <w:t>§</w:t>
      </w:r>
      <w:r w:rsidRPr="007B2A4A">
        <w:rPr>
          <w:b/>
          <w:bCs/>
        </w:rPr>
        <w:t>1910.1044(j)(3)(ii))</w:t>
      </w:r>
    </w:p>
    <w:p w:rsidR="00F769A2" w:rsidRPr="007B2A4A" w14:paraId="5836783C" w14:textId="77777777">
      <w:pPr>
        <w:rPr>
          <w:b/>
          <w:bCs/>
        </w:rPr>
      </w:pPr>
    </w:p>
    <w:p w:rsidR="00F769A2" w:rsidRPr="007B2A4A" w14:paraId="3CAF7110" w14:textId="77777777">
      <w:r w:rsidRPr="007B2A4A">
        <w:t>The employer must notify any person who launders or cleans DBCP-contaminated protective clothing or equipment of the potentially harmful effects of exposure to DBCP.  This information allows such personnel to protect themselves from DBCP exposure.</w:t>
      </w:r>
    </w:p>
    <w:p w:rsidR="00D37A77" w:rsidRPr="007B2A4A" w14:paraId="31913AE5" w14:textId="77777777">
      <w:pPr>
        <w:rPr>
          <w:b/>
          <w:bCs/>
        </w:rPr>
      </w:pPr>
    </w:p>
    <w:p w:rsidR="00F769A2" w:rsidRPr="007B2A4A" w14:paraId="2B8D32FE" w14:textId="77777777">
      <w:r w:rsidRPr="007B2A4A">
        <w:rPr>
          <w:b/>
          <w:bCs/>
        </w:rPr>
        <w:t>Medical Surveillance</w:t>
      </w:r>
      <w:r w:rsidRPr="007B2A4A">
        <w:t xml:space="preserve"> </w:t>
      </w:r>
      <w:r w:rsidRPr="007B2A4A">
        <w:rPr>
          <w:b/>
          <w:bCs/>
        </w:rPr>
        <w:t>(</w:t>
      </w:r>
      <w:r w:rsidRPr="007B2A4A" w:rsidR="009C33F7">
        <w:rPr>
          <w:b/>
          <w:bCs/>
        </w:rPr>
        <w:t>§</w:t>
      </w:r>
      <w:r w:rsidRPr="007B2A4A">
        <w:rPr>
          <w:b/>
          <w:bCs/>
        </w:rPr>
        <w:t>1910.1044(m))</w:t>
      </w:r>
    </w:p>
    <w:p w:rsidR="00F769A2" w:rsidRPr="007B2A4A" w14:paraId="62E9FEE8" w14:textId="77777777"/>
    <w:p w:rsidR="00004DC6" w:rsidRPr="007B2A4A" w14:paraId="45E4F2CE" w14:textId="77777777">
      <w:r w:rsidRPr="00191938">
        <w:rPr>
          <w:u w:val="single"/>
        </w:rPr>
        <w:t>Genera</w:t>
      </w:r>
      <w:r w:rsidRPr="00191938">
        <w:t>l</w:t>
      </w:r>
      <w:r w:rsidRPr="007B2A4A">
        <w:t xml:space="preserve"> (</w:t>
      </w:r>
      <w:r w:rsidRPr="007B2A4A" w:rsidR="009C33F7">
        <w:t>§</w:t>
      </w:r>
      <w:r w:rsidRPr="007B2A4A">
        <w:t>1910.1044(m)(1), (m)(2), and (m)(3))</w:t>
      </w:r>
    </w:p>
    <w:p w:rsidR="00004DC6" w:rsidRPr="007B2A4A" w14:paraId="7B43B195" w14:textId="77777777"/>
    <w:p w:rsidR="00F769A2" w:rsidRPr="007B2A4A" w14:paraId="6F009EC8" w14:textId="77777777">
      <w:r w:rsidRPr="007B2A4A">
        <w:t xml:space="preserve">The Standard requires employers to provide a medical surveillance program for </w:t>
      </w:r>
      <w:r w:rsidRPr="007B2A4A" w:rsidR="0093783E">
        <w:t>worker</w:t>
      </w:r>
      <w:r w:rsidRPr="007B2A4A">
        <w:t xml:space="preserve">s who work in regulated areas and </w:t>
      </w:r>
      <w:r w:rsidRPr="007B2A4A" w:rsidR="0093783E">
        <w:t>worker</w:t>
      </w:r>
      <w:r w:rsidRPr="007B2A4A">
        <w:t xml:space="preserve">s exposed to DBCP during emergency situations.  Employers must provide </w:t>
      </w:r>
      <w:r w:rsidRPr="007B2A4A" w:rsidR="0093783E">
        <w:t>worker</w:t>
      </w:r>
      <w:r w:rsidRPr="007B2A4A">
        <w:t xml:space="preserve">s with medical examinations for </w:t>
      </w:r>
      <w:r w:rsidRPr="007B2A4A" w:rsidR="0093783E">
        <w:t>worker</w:t>
      </w:r>
      <w:r w:rsidRPr="007B2A4A">
        <w:t>s:  When initially assigned to a regulated area; annually thereafter for as long as they are assigned to a regulated area; and if they develop signs or symptoms commonly associated with exposure to DBCP.</w:t>
      </w:r>
      <w:r w:rsidRPr="007B2A4A" w:rsidR="00AE28E0">
        <w:t xml:space="preserve"> </w:t>
      </w:r>
      <w:r w:rsidRPr="007B2A4A">
        <w:t>The results of medical examinations administered under this program must be documented and maintained.</w:t>
      </w:r>
    </w:p>
    <w:p w:rsidR="00F769A2" w:rsidRPr="007B2A4A" w14:paraId="05D85007" w14:textId="77777777"/>
    <w:p w:rsidR="00F769A2" w:rsidRPr="007B2A4A" w14:paraId="5682C946" w14:textId="77777777">
      <w:r w:rsidRPr="007B2A4A">
        <w:t xml:space="preserve">Documentation and maintenance of medical-examination results provide a continuous record of </w:t>
      </w:r>
      <w:r w:rsidRPr="007B2A4A" w:rsidR="0093783E">
        <w:t>worker</w:t>
      </w:r>
      <w:r w:rsidRPr="007B2A4A">
        <w:t xml:space="preserve"> health.  Physicians use these records to determine the extent to which </w:t>
      </w:r>
      <w:r w:rsidRPr="007B2A4A" w:rsidR="0093783E">
        <w:t>worker</w:t>
      </w:r>
      <w:r w:rsidRPr="007B2A4A">
        <w:t xml:space="preserve">s have experienced DBCP-related health effects since their last examination.  Further, if symptoms of organic damage appear, the physician often needs information about a </w:t>
      </w:r>
      <w:r w:rsidRPr="007B2A4A" w:rsidR="0093783E">
        <w:t>worker</w:t>
      </w:r>
      <w:r w:rsidRPr="007B2A4A" w:rsidR="00D65516">
        <w:t>’</w:t>
      </w:r>
      <w:r w:rsidRPr="007B2A4A">
        <w:t xml:space="preserve">s previous medical conditions to make an accurate diagnosis of the new condition, ascertain its apparent cause, and identify a course of treatment.  Medical records also permit </w:t>
      </w:r>
      <w:r w:rsidRPr="007B2A4A" w:rsidR="0093783E">
        <w:t>worker</w:t>
      </w:r>
      <w:r w:rsidRPr="007B2A4A">
        <w:t>s to determine whether or not they need treatment, or to evaluate the effectiveness of their employer's exposure-reduction program.</w:t>
      </w:r>
    </w:p>
    <w:p w:rsidR="00F769A2" w:rsidRPr="007B2A4A" w14:paraId="72706D20" w14:textId="77777777"/>
    <w:p w:rsidR="00F769A2" w:rsidRPr="007B2A4A" w14:paraId="5E1757A3" w14:textId="77777777">
      <w:pPr>
        <w:rPr>
          <w:u w:val="single"/>
        </w:rPr>
      </w:pPr>
      <w:r w:rsidRPr="007B2A4A">
        <w:rPr>
          <w:u w:val="single"/>
        </w:rPr>
        <w:t>Information Provided to the Physician</w:t>
      </w:r>
      <w:r w:rsidRPr="007B2A4A">
        <w:t xml:space="preserve"> (</w:t>
      </w:r>
      <w:r w:rsidRPr="007B2A4A" w:rsidR="009C33F7">
        <w:t>§</w:t>
      </w:r>
      <w:r w:rsidRPr="007B2A4A">
        <w:t>1910.1044(m)(4))</w:t>
      </w:r>
    </w:p>
    <w:p w:rsidR="00F769A2" w:rsidRPr="007B2A4A" w14:paraId="408A0186" w14:textId="77777777"/>
    <w:p w:rsidR="004548A6" w14:paraId="09694E72" w14:textId="77777777">
      <w:r w:rsidRPr="007B2A4A">
        <w:t xml:space="preserve">The employer must provide the physician who examines each </w:t>
      </w:r>
      <w:r w:rsidRPr="007B2A4A" w:rsidR="0093783E">
        <w:t>worker</w:t>
      </w:r>
      <w:r w:rsidRPr="007B2A4A">
        <w:t xml:space="preserve"> with the following information:  A copy of the Standard, including the appendices; a description of the </w:t>
      </w:r>
      <w:r w:rsidRPr="007B2A4A" w:rsidR="0093783E">
        <w:t>worker</w:t>
      </w:r>
      <w:r w:rsidRPr="007B2A4A">
        <w:t xml:space="preserve">s </w:t>
      </w:r>
    </w:p>
    <w:p w:rsidR="00F769A2" w:rsidRPr="007B2A4A" w14:paraId="27F319F2" w14:textId="77777777">
      <w:r w:rsidRPr="007B2A4A">
        <w:t xml:space="preserve">duties as they relate to the </w:t>
      </w:r>
      <w:r w:rsidRPr="007B2A4A" w:rsidR="0093783E">
        <w:t>worker</w:t>
      </w:r>
      <w:r w:rsidRPr="007B2A4A">
        <w:t xml:space="preserve">s DBCP exposure; the level of DBCP exposure to which the </w:t>
      </w:r>
      <w:r w:rsidRPr="007B2A4A" w:rsidR="0093783E">
        <w:t>worker</w:t>
      </w:r>
      <w:r w:rsidRPr="007B2A4A">
        <w:t xml:space="preserve"> is exposed</w:t>
      </w:r>
      <w:r w:rsidRPr="007B2A4A" w:rsidR="00AA4410">
        <w:t xml:space="preserve">; and a description of personal </w:t>
      </w:r>
      <w:r w:rsidRPr="007B2A4A">
        <w:t xml:space="preserve">protective equipment that the </w:t>
      </w:r>
      <w:r w:rsidRPr="007B2A4A" w:rsidR="0093783E">
        <w:t>worker</w:t>
      </w:r>
      <w:r w:rsidRPr="007B2A4A">
        <w:t xml:space="preserve"> uses or will use.</w:t>
      </w:r>
    </w:p>
    <w:p w:rsidR="008A3784" w14:paraId="34372B09" w14:textId="77777777"/>
    <w:p w:rsidR="00F769A2" w:rsidRPr="007B2A4A" w14:paraId="437AD51B" w14:textId="77777777">
      <w:r w:rsidRPr="007B2A4A">
        <w:t xml:space="preserve">Making the required information available to the physician will aid in the evaluation of the </w:t>
      </w:r>
      <w:r w:rsidRPr="007B2A4A" w:rsidR="0093783E">
        <w:t>worker</w:t>
      </w:r>
      <w:r w:rsidRPr="007B2A4A">
        <w:t xml:space="preserve">s health and fitness for specific job assignments involving DBCP exposure.  As noted earlier, if symptoms of organic damage appear, the physician </w:t>
      </w:r>
      <w:r w:rsidRPr="007B2A4A" w:rsidR="00C54F0E">
        <w:t>often needs information about a</w:t>
      </w:r>
      <w:r w:rsidRPr="007B2A4A">
        <w:t xml:space="preserve"> </w:t>
      </w:r>
      <w:r w:rsidRPr="007B2A4A" w:rsidR="0093783E">
        <w:t>worker</w:t>
      </w:r>
      <w:r w:rsidRPr="007B2A4A" w:rsidR="00A374AD">
        <w:t>’</w:t>
      </w:r>
      <w:r w:rsidRPr="007B2A4A">
        <w:t xml:space="preserve">s previous medical conditions to make an accurate diagnosis of the new condition, to ascertain its apparent cause, and to identify the course of treatment required.  Medical records also ensure that </w:t>
      </w:r>
      <w:r w:rsidRPr="007B2A4A" w:rsidR="0093783E">
        <w:t>worker</w:t>
      </w:r>
      <w:r w:rsidRPr="007B2A4A">
        <w:t>s can determine the need for treatment or other interventions, and to evaluate the effectiveness of the employer's exposure-reduction program.</w:t>
      </w:r>
    </w:p>
    <w:p w:rsidR="00F769A2" w:rsidRPr="007B2A4A" w14:paraId="5A4E48AB" w14:textId="77777777"/>
    <w:p w:rsidR="00F769A2" w:rsidRPr="007B2A4A" w14:paraId="0846BC7D" w14:textId="77777777">
      <w:pPr>
        <w:rPr>
          <w:b/>
          <w:bCs/>
        </w:rPr>
      </w:pPr>
      <w:r w:rsidRPr="007B2A4A">
        <w:rPr>
          <w:u w:val="single"/>
        </w:rPr>
        <w:t>Physician's Written Opinion</w:t>
      </w:r>
      <w:r w:rsidRPr="007B2A4A">
        <w:rPr>
          <w:b/>
          <w:bCs/>
        </w:rPr>
        <w:t xml:space="preserve"> </w:t>
      </w:r>
      <w:r w:rsidRPr="007B2A4A">
        <w:t>(</w:t>
      </w:r>
      <w:r w:rsidRPr="007B2A4A" w:rsidR="009C33F7">
        <w:t>§</w:t>
      </w:r>
      <w:r w:rsidRPr="007B2A4A">
        <w:t>1910.1044(m)(5))</w:t>
      </w:r>
    </w:p>
    <w:p w:rsidR="00F769A2" w:rsidRPr="007B2A4A" w14:paraId="1CB9BE43" w14:textId="77777777"/>
    <w:p w:rsidR="00F769A2" w:rsidRPr="007B2A4A" w14:paraId="1CC4C252" w14:textId="77777777">
      <w:r w:rsidRPr="007B2A4A">
        <w:t xml:space="preserve">Employers must provide a copy of the physician's written opinion to each </w:t>
      </w:r>
      <w:r w:rsidRPr="007B2A4A" w:rsidR="0093783E">
        <w:t>worker</w:t>
      </w:r>
      <w:r w:rsidRPr="007B2A4A">
        <w:t xml:space="preserve">.  This opinion must contain the following information:  The results of the medical examination; the physicians opinion indicating if the </w:t>
      </w:r>
      <w:r w:rsidRPr="007B2A4A" w:rsidR="0093783E">
        <w:t>worker</w:t>
      </w:r>
      <w:r w:rsidRPr="007B2A4A">
        <w:t xml:space="preserve"> has any medical conditions that may place the </w:t>
      </w:r>
      <w:r w:rsidRPr="007B2A4A" w:rsidR="0093783E">
        <w:t>worker</w:t>
      </w:r>
      <w:r w:rsidRPr="007B2A4A">
        <w:t xml:space="preserve"> at increased risk of material impairment to health from continued DBCP exposure; and any </w:t>
      </w:r>
      <w:r w:rsidRPr="007B2A4A" w:rsidR="002419F4">
        <w:t>r</w:t>
      </w:r>
      <w:r w:rsidRPr="007B2A4A">
        <w:t xml:space="preserve">ecommended limitations on the </w:t>
      </w:r>
      <w:r w:rsidRPr="007B2A4A" w:rsidR="0093783E">
        <w:t>worker</w:t>
      </w:r>
      <w:r w:rsidRPr="007B2A4A">
        <w:t>'s DBCP exposure or on the use of protective clothing or equipment such as respirators.</w:t>
      </w:r>
      <w:r w:rsidRPr="007B2A4A" w:rsidR="00DE6CA4">
        <w:t xml:space="preserve"> This provision requires the employer to instruct the physician not to reveal certain information to the employer. </w:t>
      </w:r>
      <w:r w:rsidRPr="007B2A4A" w:rsidR="00373874">
        <w:t xml:space="preserve"> </w:t>
      </w:r>
      <w:r w:rsidRPr="007B2A4A">
        <w:t xml:space="preserve">The purpose of requiring the employer to obtain a written opinion from the physician is to provide the employer with medical information to aid in determining the initial placement of </w:t>
      </w:r>
      <w:r w:rsidRPr="007B2A4A" w:rsidR="0093783E">
        <w:t>worker</w:t>
      </w:r>
      <w:r w:rsidRPr="007B2A4A">
        <w:t xml:space="preserve">s, and to assess a </w:t>
      </w:r>
      <w:r w:rsidRPr="007B2A4A" w:rsidR="0093783E">
        <w:t>worker</w:t>
      </w:r>
      <w:r w:rsidRPr="007B2A4A">
        <w:t>'s ability to use protective clothing and equipment.  The</w:t>
      </w:r>
      <w:r w:rsidRPr="007B2A4A" w:rsidR="00AE28E0">
        <w:t xml:space="preserve"> </w:t>
      </w:r>
      <w:r w:rsidRPr="007B2A4A">
        <w:t xml:space="preserve">physician's opinion also provides the employer with information about whether or not the </w:t>
      </w:r>
      <w:r w:rsidRPr="007B2A4A" w:rsidR="0093783E">
        <w:t>worker</w:t>
      </w:r>
      <w:r w:rsidRPr="007B2A4A">
        <w:t xml:space="preserve"> has a condition indicating overexposure to DBCP.  The requirement that a physician's opinion be written will properly memorialize the information for later retrieval if needed.  The requirement to provide </w:t>
      </w:r>
      <w:r w:rsidRPr="007B2A4A" w:rsidR="0093783E">
        <w:t>worker</w:t>
      </w:r>
      <w:r w:rsidRPr="007B2A4A">
        <w:t>s with a copy of the physicians written opinion will ensure that they are informed of the results of the medical examination so that they can assist in determining the need for, and evaluate the effectiveness of, treatment or other interventions.</w:t>
      </w:r>
    </w:p>
    <w:p w:rsidR="00F769A2" w:rsidRPr="007B2A4A" w14:paraId="435F7D2F" w14:textId="77777777"/>
    <w:p w:rsidR="00F769A2" w:rsidRPr="007B2A4A" w14:paraId="41525329" w14:textId="77777777">
      <w:pPr>
        <w:rPr>
          <w:b/>
          <w:bCs/>
        </w:rPr>
      </w:pPr>
      <w:r w:rsidRPr="007B2A4A">
        <w:rPr>
          <w:b/>
          <w:bCs/>
        </w:rPr>
        <w:t>Worker</w:t>
      </w:r>
      <w:r w:rsidRPr="007B2A4A" w:rsidR="00A65431">
        <w:rPr>
          <w:b/>
          <w:bCs/>
        </w:rPr>
        <w:t xml:space="preserve"> </w:t>
      </w:r>
      <w:r w:rsidRPr="007B2A4A">
        <w:rPr>
          <w:b/>
          <w:bCs/>
        </w:rPr>
        <w:t>Information and Training (</w:t>
      </w:r>
      <w:r w:rsidRPr="007B2A4A" w:rsidR="009C33F7">
        <w:rPr>
          <w:b/>
          <w:bCs/>
        </w:rPr>
        <w:t>§</w:t>
      </w:r>
      <w:r w:rsidRPr="007B2A4A">
        <w:rPr>
          <w:b/>
          <w:bCs/>
        </w:rPr>
        <w:t>1910.1044(n))</w:t>
      </w:r>
    </w:p>
    <w:p w:rsidR="00F769A2" w:rsidRPr="007B2A4A" w14:paraId="0E4D12A1" w14:textId="77777777"/>
    <w:p w:rsidR="00A314AC" w:rsidRPr="007B2A4A" w:rsidP="00A314AC" w14:paraId="3DD06FF3" w14:textId="77777777">
      <w:pPr>
        <w:rPr>
          <w:lang w:val="en-JM"/>
        </w:rPr>
      </w:pPr>
      <w:r w:rsidRPr="00C84AED">
        <w:t xml:space="preserve">Training is essential to inform </w:t>
      </w:r>
      <w:r w:rsidRPr="00C84AED" w:rsidR="0093783E">
        <w:t>worker</w:t>
      </w:r>
      <w:r w:rsidRPr="00C84AED">
        <w:t>s of the</w:t>
      </w:r>
      <w:r w:rsidRPr="007B2A4A">
        <w:t xml:space="preserve"> hazards to which they are exposed, and to provide them with information they can use to minimize the health hazards of DBCP.  Having a copy of the Standard and its appendices available serves to explain and reinforce the information presented to </w:t>
      </w:r>
      <w:r w:rsidRPr="007B2A4A" w:rsidR="0093783E">
        <w:t>worker</w:t>
      </w:r>
      <w:r w:rsidRPr="007B2A4A">
        <w:t xml:space="preserve">s on signs, labels and safety data sheets; these documents (signs, labels and safety data sheets) will be useful and </w:t>
      </w:r>
      <w:r w:rsidRPr="007B2A4A" w:rsidR="00F72538">
        <w:t>effective to</w:t>
      </w:r>
      <w:r w:rsidRPr="007B2A4A">
        <w:t xml:space="preserve"> </w:t>
      </w:r>
      <w:r w:rsidRPr="007B2A4A" w:rsidR="0093783E">
        <w:t>worker</w:t>
      </w:r>
      <w:r w:rsidRPr="007B2A4A">
        <w:t xml:space="preserve">s in </w:t>
      </w:r>
      <w:r w:rsidRPr="007B2A4A" w:rsidR="00F72538">
        <w:t>understanding the</w:t>
      </w:r>
      <w:r w:rsidRPr="007B2A4A">
        <w:t xml:space="preserve"> health hazards of DBCP and assuring that they are aware of the actions they can take to avoid or minimize DBCP exposure.  However, the requirements that employers provide training materials to workers under </w:t>
      </w:r>
      <w:r w:rsidRPr="007B2A4A">
        <w:rPr>
          <w:bCs/>
        </w:rPr>
        <w:t>§</w:t>
      </w:r>
      <w:r w:rsidRPr="007B2A4A">
        <w:rPr>
          <w:bCs/>
          <w:color w:val="000000"/>
        </w:rPr>
        <w:t>1910.1044(n)</w:t>
      </w:r>
      <w:r w:rsidRPr="007B2A4A">
        <w:rPr>
          <w:i/>
          <w:color w:val="000000"/>
        </w:rPr>
        <w:t xml:space="preserve"> </w:t>
      </w:r>
      <w:r w:rsidRPr="007B2A4A">
        <w:t>are not considered to be a collection of information.</w:t>
      </w:r>
      <w:r w:rsidRPr="007B2A4A">
        <w:rPr>
          <w:lang w:val="en-JM"/>
        </w:rPr>
        <w:t xml:space="preserve"> OSHA is not taking burden for this activity under Item 12 of this Supporting Statement.</w:t>
      </w:r>
    </w:p>
    <w:p w:rsidR="00061410" w:rsidRPr="007B2A4A" w:rsidP="00061410" w14:paraId="00637F5E" w14:textId="77777777"/>
    <w:p w:rsidR="00F769A2" w:rsidRPr="007B2A4A" w14:paraId="0419F492" w14:textId="77777777">
      <w:r w:rsidRPr="007B2A4A">
        <w:rPr>
          <w:b/>
          <w:bCs/>
        </w:rPr>
        <w:t>Signs and Labels</w:t>
      </w:r>
      <w:r w:rsidRPr="007B2A4A">
        <w:t xml:space="preserve"> </w:t>
      </w:r>
      <w:r w:rsidRPr="007B2A4A">
        <w:rPr>
          <w:b/>
          <w:bCs/>
        </w:rPr>
        <w:t>(</w:t>
      </w:r>
      <w:r w:rsidRPr="007B2A4A" w:rsidR="002419F4">
        <w:rPr>
          <w:b/>
          <w:bCs/>
        </w:rPr>
        <w:t>§</w:t>
      </w:r>
      <w:r w:rsidRPr="007B2A4A">
        <w:rPr>
          <w:b/>
          <w:bCs/>
        </w:rPr>
        <w:t>1910.1044(o))</w:t>
      </w:r>
    </w:p>
    <w:p w:rsidR="00F769A2" w:rsidRPr="007B2A4A" w14:paraId="72C83A16" w14:textId="77777777"/>
    <w:p w:rsidR="00EC459F" w:rsidRPr="007B2A4A" w:rsidP="00EC459F" w14:paraId="06695D49" w14:textId="77777777">
      <w:r w:rsidRPr="007B2A4A">
        <w:t xml:space="preserve">(o) </w:t>
      </w:r>
      <w:r w:rsidRPr="007B2A4A">
        <w:rPr>
          <w:iCs/>
        </w:rPr>
        <w:t>Communication of hazards</w:t>
      </w:r>
      <w:r w:rsidRPr="007B2A4A">
        <w:t xml:space="preserve">—(1) </w:t>
      </w:r>
      <w:r w:rsidRPr="007B2A4A">
        <w:rPr>
          <w:iCs/>
        </w:rPr>
        <w:t>Hazard communication—general.</w:t>
      </w:r>
      <w:r w:rsidRPr="007B2A4A">
        <w:t xml:space="preserve"> (i) Chemical </w:t>
      </w:r>
      <w:r w:rsidRPr="007B2A4A">
        <w:t>manufacturers, importers, distributors and employers shall comply with all requirements of the Hazard Communication Standard (HCS) (§1910.1200) for DBCP.  Labels. (1) Where DBCP or products containing DBCP are, sold, distributed or</w:t>
      </w:r>
      <w:r w:rsidRPr="007B2A4A" w:rsidR="00C92D74">
        <w:t xml:space="preserve"> </w:t>
      </w:r>
      <w:r w:rsidRPr="007B2A4A">
        <w:t xml:space="preserve">otherwise leave the employer’s workplace bearing appropriate labels required by EPA under the regulations in 40 CFR Part 162, the labels required by this paragraph, (0)(3) need not be affixed. </w:t>
      </w:r>
    </w:p>
    <w:p w:rsidR="00373874" w:rsidRPr="007B2A4A" w14:paraId="132C6D73" w14:textId="77777777"/>
    <w:p w:rsidR="006A26AE" w:rsidRPr="007B2A4A" w:rsidP="00160146" w14:paraId="2A6F8389" w14:textId="77777777">
      <w:pPr>
        <w:spacing w:after="240"/>
        <w:rPr>
          <w:b/>
          <w:bCs/>
        </w:rPr>
      </w:pPr>
      <w:r w:rsidRPr="00340F4C">
        <w:rPr>
          <w:u w:val="single"/>
        </w:rPr>
        <w:t>Signs</w:t>
      </w:r>
      <w:r w:rsidRPr="007B2A4A">
        <w:t xml:space="preserve"> </w:t>
      </w:r>
      <w:r w:rsidRPr="007B2A4A">
        <w:rPr>
          <w:b/>
          <w:bCs/>
        </w:rPr>
        <w:t>(§1910.1044(o)(2)(i)</w:t>
      </w:r>
    </w:p>
    <w:p w:rsidR="00F769A2" w:rsidRPr="007B2A4A" w:rsidP="000670A4" w14:paraId="1315DF70" w14:textId="77777777">
      <w:pPr>
        <w:pStyle w:val="NormalWeb"/>
        <w:ind w:firstLine="0"/>
      </w:pPr>
      <w:r w:rsidRPr="007B2A4A">
        <w:t xml:space="preserve">The employer shall post signs to clearly indicate all regulated areas. </w:t>
      </w:r>
      <w:r w:rsidR="000670A4">
        <w:t xml:space="preserve"> </w:t>
      </w:r>
      <w:r w:rsidRPr="007B2A4A">
        <w:t xml:space="preserve">Posting warning signs serves to warn </w:t>
      </w:r>
      <w:r w:rsidRPr="007B2A4A" w:rsidR="0093783E">
        <w:t>worker</w:t>
      </w:r>
      <w:r w:rsidRPr="007B2A4A">
        <w:t xml:space="preserve">s that they are in or near a regulated area.  Such signs warn </w:t>
      </w:r>
      <w:r w:rsidRPr="007B2A4A" w:rsidR="0093783E">
        <w:t>worker</w:t>
      </w:r>
      <w:r w:rsidRPr="007B2A4A">
        <w:t xml:space="preserve">s that they can enter a regulated area only if they have authority to do so and a specific need exists to enter the area.  Warning signs also supplement the training </w:t>
      </w:r>
      <w:r w:rsidRPr="007B2A4A" w:rsidR="0093783E">
        <w:t>worker</w:t>
      </w:r>
      <w:r w:rsidRPr="007B2A4A">
        <w:t xml:space="preserve">s receive under the Standard.  Warning labels inform downstream employers and </w:t>
      </w:r>
      <w:r w:rsidRPr="007B2A4A" w:rsidR="0093783E">
        <w:t>worker</w:t>
      </w:r>
      <w:r w:rsidRPr="007B2A4A">
        <w:t xml:space="preserve">s of </w:t>
      </w:r>
      <w:r w:rsidRPr="007B2A4A" w:rsidR="005A04B9">
        <w:t>the hazards</w:t>
      </w:r>
      <w:r w:rsidRPr="007B2A4A">
        <w:t xml:space="preserve"> associated with exposure to DBCP and DBCP-containing products, alert them to prevent exposure to the contaminants, and, if such exposure is unavoidable, provide notice to downstream employers that they must comply with the requirements specified by the Standard.</w:t>
      </w:r>
    </w:p>
    <w:p w:rsidR="002E2A3A" w14:paraId="492975CC" w14:textId="77777777">
      <w:pPr>
        <w:rPr>
          <w:b/>
          <w:bCs/>
        </w:rPr>
      </w:pPr>
    </w:p>
    <w:p w:rsidR="00F769A2" w:rsidRPr="007B2A4A" w14:paraId="5698F018" w14:textId="77777777">
      <w:pPr>
        <w:rPr>
          <w:b/>
          <w:bCs/>
        </w:rPr>
      </w:pPr>
      <w:r w:rsidRPr="007B2A4A">
        <w:rPr>
          <w:b/>
          <w:bCs/>
        </w:rPr>
        <w:t>Recordkeeping</w:t>
      </w:r>
      <w:r w:rsidRPr="007B2A4A">
        <w:t xml:space="preserve"> </w:t>
      </w:r>
      <w:r w:rsidRPr="007B2A4A">
        <w:rPr>
          <w:b/>
          <w:bCs/>
        </w:rPr>
        <w:t>(</w:t>
      </w:r>
      <w:r w:rsidRPr="007B2A4A" w:rsidR="00CF507C">
        <w:rPr>
          <w:b/>
          <w:bCs/>
        </w:rPr>
        <w:t>§</w:t>
      </w:r>
      <w:r w:rsidRPr="007B2A4A">
        <w:rPr>
          <w:b/>
          <w:bCs/>
        </w:rPr>
        <w:t>1910.1044(p))</w:t>
      </w:r>
    </w:p>
    <w:p w:rsidR="00F769A2" w:rsidRPr="007B2A4A" w14:paraId="443FB284" w14:textId="77777777">
      <w:pPr>
        <w:rPr>
          <w:b/>
          <w:bCs/>
        </w:rPr>
      </w:pPr>
    </w:p>
    <w:p w:rsidR="00F769A2" w:rsidRPr="007B2A4A" w14:paraId="5AB05E13" w14:textId="77777777">
      <w:r w:rsidRPr="007B2A4A">
        <w:rPr>
          <w:u w:val="single"/>
        </w:rPr>
        <w:t>Exposure-Monitoring and Medical-Surveillance Records</w:t>
      </w:r>
      <w:r w:rsidRPr="007B2A4A">
        <w:rPr>
          <w:b/>
          <w:bCs/>
        </w:rPr>
        <w:t xml:space="preserve"> </w:t>
      </w:r>
      <w:r w:rsidRPr="007B2A4A">
        <w:t>(</w:t>
      </w:r>
      <w:r w:rsidRPr="007B2A4A" w:rsidR="00CF507C">
        <w:t>§</w:t>
      </w:r>
      <w:r w:rsidRPr="007B2A4A" w:rsidR="006A26AE">
        <w:t>§</w:t>
      </w:r>
      <w:r w:rsidRPr="007B2A4A">
        <w:t>1910.1044(p)(1) and (p)(2))</w:t>
      </w:r>
    </w:p>
    <w:p w:rsidR="00F769A2" w:rsidRPr="007B2A4A" w14:paraId="3B15DCDD" w14:textId="77777777"/>
    <w:p w:rsidR="00F769A2" w:rsidRPr="007B2A4A" w14:paraId="50C6DB95" w14:textId="77777777">
      <w:r w:rsidRPr="007B2A4A">
        <w:t xml:space="preserve">Employers must establish and maintain exposure-monitoring records and medical-surveillance records.  This requirement provides both employers and </w:t>
      </w:r>
      <w:r w:rsidRPr="007B2A4A" w:rsidR="0093783E">
        <w:t>worker</w:t>
      </w:r>
      <w:r w:rsidRPr="007B2A4A">
        <w:t xml:space="preserve">s with access to useful information.  The exposure-monitoring and medical-surveillance records required by the Standard assist </w:t>
      </w:r>
      <w:r w:rsidRPr="007B2A4A" w:rsidR="0093783E">
        <w:t>worker</w:t>
      </w:r>
      <w:r w:rsidRPr="007B2A4A">
        <w:t xml:space="preserve">s and their physicians in determining the need for treatment or other interventions as a result of the </w:t>
      </w:r>
      <w:r w:rsidRPr="007B2A4A" w:rsidR="0093783E">
        <w:t>worker</w:t>
      </w:r>
      <w:r w:rsidRPr="007B2A4A">
        <w:t xml:space="preserve">s exposure to DBCP.  The information also will enable the employers to better ensure that </w:t>
      </w:r>
      <w:r w:rsidRPr="007B2A4A" w:rsidR="0093783E">
        <w:t>worker</w:t>
      </w:r>
      <w:r w:rsidRPr="007B2A4A">
        <w:t>s are not being overexposed to DBCP; such information may alert the employer that steps must be taken to reduce DBCP exposures.</w:t>
      </w:r>
    </w:p>
    <w:p w:rsidR="00F769A2" w:rsidRPr="007B2A4A" w14:paraId="77E2C009" w14:textId="77777777"/>
    <w:p w:rsidR="00F769A2" w:rsidRPr="007B2A4A" w14:paraId="50EE2276" w14:textId="77777777">
      <w:pPr>
        <w:rPr>
          <w:b/>
          <w:bCs/>
        </w:rPr>
      </w:pPr>
      <w:r w:rsidRPr="007B2A4A">
        <w:t>Employers must maintain exposure-monitoring and medical-surveillance records for at least 40 years, or the duration of employment plus 20 years, whichever is longer.  OSHA requires maintenance of these records for this extended period because of the long latency associated with the development of DBCP-related cancers, sterility, and infertility.</w:t>
      </w:r>
    </w:p>
    <w:p w:rsidR="00F769A2" w:rsidRPr="007B2A4A" w14:paraId="5AACF92F" w14:textId="77777777"/>
    <w:p w:rsidR="00F769A2" w:rsidRPr="007B2A4A" w14:paraId="38E064A1" w14:textId="77777777">
      <w:r w:rsidRPr="007B2A4A">
        <w:rPr>
          <w:u w:val="single"/>
        </w:rPr>
        <w:t>Availability</w:t>
      </w:r>
      <w:r w:rsidRPr="007B2A4A">
        <w:t xml:space="preserve"> (</w:t>
      </w:r>
      <w:r w:rsidRPr="007B2A4A" w:rsidR="00CF507C">
        <w:t>§</w:t>
      </w:r>
      <w:r w:rsidRPr="007B2A4A">
        <w:t>1910.1044(p)(3))</w:t>
      </w:r>
    </w:p>
    <w:p w:rsidR="00F769A2" w:rsidRPr="007B2A4A" w14:paraId="13814530" w14:textId="77777777"/>
    <w:p w:rsidR="00F769A2" w:rsidRPr="007B2A4A" w14:paraId="61480DF7" w14:textId="77777777">
      <w:r>
        <w:t>E</w:t>
      </w:r>
      <w:r w:rsidRPr="007B2A4A">
        <w:t xml:space="preserve">mployers must provide exposure-monitoring and medical-surveillance records to </w:t>
      </w:r>
      <w:r w:rsidRPr="007B2A4A" w:rsidR="0093783E">
        <w:t>worker</w:t>
      </w:r>
      <w:r w:rsidRPr="007B2A4A">
        <w:t>s and their designated representatives on request.</w:t>
      </w:r>
    </w:p>
    <w:p w:rsidR="00F769A2" w:rsidRPr="007B2A4A" w14:paraId="244C9A2B" w14:textId="77777777"/>
    <w:p w:rsidR="00F769A2" w:rsidRPr="007B2A4A" w14:paraId="29C32A81" w14:textId="77777777">
      <w:r w:rsidRPr="0014360F">
        <w:t>Workers and their designated representatives use exposure-monitoring and medical-surveillance</w:t>
      </w:r>
      <w:r w:rsidRPr="007B2A4A">
        <w:t xml:space="preserve"> </w:t>
      </w:r>
      <w:r w:rsidRPr="007B2A4A">
        <w:t>records to assess worker medical status over the course of employment, to evaluate the effectiveness of the employer's exposure-reduction program, and for other reasons.</w:t>
      </w:r>
    </w:p>
    <w:p w:rsidR="00AC7E47" w:rsidRPr="007B2A4A" w14:paraId="3F426A42" w14:textId="77777777">
      <w:pPr>
        <w:tabs>
          <w:tab w:val="left" w:pos="-1440"/>
        </w:tabs>
        <w:ind w:left="720" w:hanging="720"/>
        <w:rPr>
          <w:b/>
        </w:rPr>
      </w:pPr>
    </w:p>
    <w:p w:rsidR="00F769A2" w:rsidRPr="007B2A4A" w14:paraId="71F3462F" w14:textId="77777777">
      <w:pPr>
        <w:tabs>
          <w:tab w:val="left" w:pos="-1440"/>
        </w:tabs>
        <w:ind w:left="720" w:hanging="720"/>
        <w:rPr>
          <w:b/>
        </w:rPr>
      </w:pPr>
      <w:r w:rsidRPr="007B2A4A">
        <w:rPr>
          <w:b/>
        </w:rPr>
        <w:t>3.</w:t>
      </w:r>
      <w:r w:rsidRPr="007B2A4A">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769A2" w:rsidRPr="007B2A4A" w14:paraId="1CD85B9B" w14:textId="77777777"/>
    <w:p w:rsidR="00F769A2" w:rsidRPr="007B2A4A" w14:paraId="333F1DC1" w14:textId="77777777">
      <w:r w:rsidRPr="007B2A4A">
        <w:t xml:space="preserve">Employers may use improved information technology when making, keeping, and preserving the required records.  The Standard is written in performance-oriented language, i.e., in terms of </w:t>
      </w:r>
      <w:r w:rsidRPr="007B2A4A">
        <w:rPr>
          <w:u w:val="single"/>
        </w:rPr>
        <w:t>what</w:t>
      </w:r>
      <w:r w:rsidRPr="007B2A4A">
        <w:t xml:space="preserve"> data to collect rather then </w:t>
      </w:r>
      <w:r w:rsidRPr="007B2A4A">
        <w:rPr>
          <w:u w:val="single"/>
        </w:rPr>
        <w:t>how</w:t>
      </w:r>
      <w:r w:rsidRPr="007B2A4A">
        <w:t xml:space="preserve"> to collect the data.</w:t>
      </w:r>
    </w:p>
    <w:p w:rsidR="00F769A2" w:rsidRPr="007B2A4A" w14:paraId="176543CA" w14:textId="77777777"/>
    <w:p w:rsidR="00F769A2" w:rsidRPr="007B2A4A" w14:paraId="22E66B96" w14:textId="77777777">
      <w:pPr>
        <w:tabs>
          <w:tab w:val="left" w:pos="-1440"/>
        </w:tabs>
        <w:ind w:left="720" w:hanging="720"/>
        <w:rPr>
          <w:b/>
        </w:rPr>
      </w:pPr>
      <w:r w:rsidRPr="007B2A4A">
        <w:rPr>
          <w:b/>
        </w:rPr>
        <w:t>4.</w:t>
      </w:r>
      <w:r w:rsidRPr="007B2A4A">
        <w:rPr>
          <w:b/>
        </w:rPr>
        <w:tab/>
        <w:t xml:space="preserve">Describe efforts to identify duplication.  Show specifically why any similar information already available cannot be used or modified for use for the purposes described in Item </w:t>
      </w:r>
      <w:r w:rsidRPr="007B2A4A" w:rsidR="00856DE8">
        <w:rPr>
          <w:b/>
        </w:rPr>
        <w:t>A.</w:t>
      </w:r>
      <w:r w:rsidRPr="007B2A4A">
        <w:rPr>
          <w:b/>
        </w:rPr>
        <w:t>2</w:t>
      </w:r>
      <w:r w:rsidRPr="007B2A4A" w:rsidR="006A26AE">
        <w:rPr>
          <w:b/>
        </w:rPr>
        <w:t>.</w:t>
      </w:r>
      <w:r w:rsidRPr="007B2A4A">
        <w:rPr>
          <w:b/>
        </w:rPr>
        <w:t xml:space="preserve"> above.</w:t>
      </w:r>
    </w:p>
    <w:p w:rsidR="00F769A2" w:rsidRPr="007B2A4A" w14:paraId="7CBA0CBD" w14:textId="77777777"/>
    <w:p w:rsidR="001C03D5" w:rsidP="00401E44" w14:paraId="0887B828" w14:textId="77777777">
      <w:pPr>
        <w:rPr>
          <w:b/>
        </w:rPr>
      </w:pPr>
      <w:r w:rsidRPr="007B2A4A">
        <w:t xml:space="preserve">The requirements to collected and maintain information are specific to each employer and </w:t>
      </w:r>
      <w:r w:rsidRPr="007B2A4A" w:rsidR="0093783E">
        <w:t>worker</w:t>
      </w:r>
      <w:r w:rsidRPr="007B2A4A">
        <w:t xml:space="preserve"> involved, and no other source or agency duplicates these requirements or can make the required information available to OSHA (i.e., the required information is available only from employers).</w:t>
      </w:r>
    </w:p>
    <w:p w:rsidR="001C03D5" w:rsidP="00401E44" w14:paraId="59B095FF" w14:textId="77777777">
      <w:pPr>
        <w:rPr>
          <w:b/>
        </w:rPr>
      </w:pPr>
    </w:p>
    <w:p w:rsidR="00F769A2" w:rsidRPr="007B2A4A" w:rsidP="005726B9" w14:paraId="66772BB4" w14:textId="77777777">
      <w:pPr>
        <w:ind w:left="720" w:hanging="720"/>
        <w:rPr>
          <w:b/>
        </w:rPr>
      </w:pPr>
      <w:r w:rsidRPr="007B2A4A">
        <w:rPr>
          <w:b/>
        </w:rPr>
        <w:t>5.</w:t>
      </w:r>
      <w:r w:rsidRPr="007B2A4A">
        <w:rPr>
          <w:b/>
        </w:rPr>
        <w:tab/>
        <w:t>If the collection of information impacts small businesses or other small entities</w:t>
      </w:r>
      <w:r w:rsidRPr="007B2A4A" w:rsidR="00856DE8">
        <w:rPr>
          <w:b/>
        </w:rPr>
        <w:t xml:space="preserve">, </w:t>
      </w:r>
      <w:r w:rsidRPr="007B2A4A">
        <w:rPr>
          <w:b/>
        </w:rPr>
        <w:t>describe any methods used to minimize burden.</w:t>
      </w:r>
    </w:p>
    <w:p w:rsidR="00F769A2" w:rsidRPr="007B2A4A" w14:paraId="04D490F4" w14:textId="77777777"/>
    <w:p w:rsidR="00EC1D2B" w14:paraId="69C99E14" w14:textId="77777777">
      <w:r w:rsidRPr="007B2A4A">
        <w:t xml:space="preserve">The burden of these requirements is an equal obligation for employers who have establishments or operations in which exposures could occur.  Because of the manner in which the standard is written, the employer can choose to respond to this requirement in a way that is best suited to </w:t>
      </w:r>
    </w:p>
    <w:p w:rsidR="00F769A2" w14:paraId="76C2635E" w14:textId="77777777">
      <w:r>
        <w:br w:type="page"/>
      </w:r>
      <w:r w:rsidRPr="007B2A4A">
        <w:t xml:space="preserve">their work environment.  The requirements are based on performance, and compliance is judged accordingly.  There are no set requirements for how the information is documented or </w:t>
      </w:r>
      <w:r>
        <w:t>m</w:t>
      </w:r>
      <w:r w:rsidRPr="007B2A4A">
        <w:t>aintained.</w:t>
      </w:r>
    </w:p>
    <w:p w:rsidR="008A3784" w14:paraId="1A6B01E4" w14:textId="77777777"/>
    <w:p w:rsidR="00F769A2" w:rsidRPr="007B2A4A" w:rsidP="003D2F2F" w14:paraId="16343B4F" w14:textId="77777777">
      <w:pPr>
        <w:ind w:left="720" w:hanging="720"/>
        <w:rPr>
          <w:b/>
        </w:rPr>
      </w:pPr>
      <w:r w:rsidRPr="007B2A4A">
        <w:rPr>
          <w:b/>
        </w:rPr>
        <w:t>6.</w:t>
      </w:r>
      <w:r w:rsidRPr="007B2A4A">
        <w:rPr>
          <w:b/>
        </w:rPr>
        <w:tab/>
        <w:t>Describe the consequence to Federal program or policy activities if the collection is not conducted or is conducted less frequently, as well as any technical or legal obstacles to reducing burden.</w:t>
      </w:r>
    </w:p>
    <w:p w:rsidR="00F769A2" w:rsidRPr="007B2A4A" w14:paraId="6CD3F101" w14:textId="77777777"/>
    <w:p w:rsidR="00D23B9A" w:rsidP="00D23B9A" w14:paraId="19D1B31E" w14:textId="2B83C75F">
      <w:pPr>
        <w:shd w:val="clear" w:color="000000" w:fill="FFFFFF"/>
        <w:rPr>
          <w:b/>
          <w:bCs/>
        </w:rPr>
      </w:pPr>
      <w:r w:rsidRPr="007B2A4A">
        <w:rPr>
          <w:bCs/>
        </w:rPr>
        <w:t>The Agenc</w:t>
      </w:r>
      <w:r w:rsidRPr="007B2A4A" w:rsidR="00446581">
        <w:rPr>
          <w:bCs/>
        </w:rPr>
        <w:t xml:space="preserve">y believes that the information </w:t>
      </w:r>
      <w:r w:rsidRPr="007B2A4A">
        <w:rPr>
          <w:bCs/>
        </w:rPr>
        <w:t xml:space="preserve">collection frequencies required by the Standard are the minimum frequencies necessary to effectively monitor the exposure and health status of </w:t>
      </w:r>
      <w:r w:rsidRPr="007B2A4A" w:rsidR="0093783E">
        <w:rPr>
          <w:bCs/>
        </w:rPr>
        <w:t>worker</w:t>
      </w:r>
      <w:r w:rsidRPr="007B2A4A">
        <w:rPr>
          <w:bCs/>
        </w:rPr>
        <w:t>s exposed to DBCP, and thereby fulfill its mandate to assure so far as possible every working man and woman in the Nation safe and healthful working conditions and to preserve our human resources as specified by the OSH Act at 29 U.S.C. 651.  Accordingly, if employers do not perform the required information</w:t>
      </w:r>
      <w:r w:rsidRPr="007B2A4A" w:rsidR="002419F4">
        <w:rPr>
          <w:bCs/>
        </w:rPr>
        <w:t xml:space="preserve"> </w:t>
      </w:r>
      <w:r w:rsidRPr="007B2A4A">
        <w:rPr>
          <w:bCs/>
        </w:rPr>
        <w:t xml:space="preserve">collections, or delay in providing this information, </w:t>
      </w:r>
      <w:r w:rsidRPr="007B2A4A" w:rsidR="0093783E">
        <w:rPr>
          <w:bCs/>
        </w:rPr>
        <w:t>worker</w:t>
      </w:r>
      <w:r w:rsidRPr="007B2A4A">
        <w:rPr>
          <w:bCs/>
        </w:rPr>
        <w:t>s will have an increased probability of developing cancer because of their DBCP exposures.</w:t>
      </w:r>
      <w:r w:rsidRPr="007B2A4A">
        <w:rPr>
          <w:b/>
          <w:bCs/>
        </w:rPr>
        <w:t xml:space="preserve">  </w:t>
      </w:r>
    </w:p>
    <w:p w:rsidR="003D2F2F" w:rsidP="003D2F2F" w14:paraId="1CD15433" w14:textId="77777777">
      <w:pPr>
        <w:ind w:left="1170" w:hanging="1260"/>
        <w:rPr>
          <w:b/>
        </w:rPr>
      </w:pPr>
    </w:p>
    <w:p w:rsidR="003D2F2F" w:rsidP="003D2F2F" w14:paraId="2597FB40" w14:textId="77777777">
      <w:pPr>
        <w:ind w:left="1170" w:hanging="1260"/>
        <w:rPr>
          <w:b/>
        </w:rPr>
      </w:pPr>
      <w:r w:rsidRPr="007B2A4A">
        <w:rPr>
          <w:b/>
        </w:rPr>
        <w:t>7.</w:t>
      </w:r>
      <w:r w:rsidRPr="007B2A4A">
        <w:rPr>
          <w:b/>
        </w:rPr>
        <w:tab/>
        <w:t xml:space="preserve">Explain any special circumstances that would cause </w:t>
      </w:r>
      <w:r>
        <w:rPr>
          <w:b/>
        </w:rPr>
        <w:t>an information collection to be</w:t>
      </w:r>
    </w:p>
    <w:p w:rsidR="00F769A2" w:rsidRPr="007B2A4A" w:rsidP="003D2F2F" w14:paraId="528E8E1B" w14:textId="77777777">
      <w:pPr>
        <w:ind w:left="1170" w:hanging="450"/>
        <w:rPr>
          <w:b/>
        </w:rPr>
      </w:pPr>
      <w:r w:rsidRPr="007B2A4A">
        <w:rPr>
          <w:b/>
        </w:rPr>
        <w:t>conducted in a manner:</w:t>
      </w:r>
    </w:p>
    <w:p w:rsidR="00F769A2" w:rsidRPr="007B2A4A" w14:paraId="41EE8311" w14:textId="77777777">
      <w:pPr>
        <w:rPr>
          <w:b/>
        </w:rPr>
      </w:pPr>
    </w:p>
    <w:p w:rsidR="00F769A2" w:rsidRPr="007B2A4A" w:rsidP="00CF507C" w14:paraId="7626F42C" w14:textId="77777777">
      <w:pPr>
        <w:numPr>
          <w:ilvl w:val="0"/>
          <w:numId w:val="4"/>
        </w:numPr>
        <w:tabs>
          <w:tab w:val="left" w:pos="-1440"/>
        </w:tabs>
        <w:rPr>
          <w:b/>
        </w:rPr>
      </w:pPr>
      <w:r w:rsidRPr="007B2A4A">
        <w:rPr>
          <w:b/>
        </w:rPr>
        <w:t>requiring respondents to report information to the agency more often than quarterly;</w:t>
      </w:r>
      <w:r w:rsidRPr="007B2A4A" w:rsidR="00303237">
        <w:rPr>
          <w:b/>
        </w:rPr>
        <w:t xml:space="preserve"> </w:t>
      </w:r>
      <w:r w:rsidRPr="007B2A4A">
        <w:rPr>
          <w:b/>
        </w:rPr>
        <w:t>requiring respondents to prepare a written response to a collection of information in fewer than 30 days after receipt of it;</w:t>
      </w:r>
    </w:p>
    <w:p w:rsidR="00F769A2" w:rsidRPr="007B2A4A" w:rsidP="000E4E8C" w14:paraId="4F722363" w14:textId="77777777">
      <w:pPr>
        <w:jc w:val="both"/>
        <w:rPr>
          <w:b/>
        </w:rPr>
      </w:pPr>
    </w:p>
    <w:p w:rsidR="00F769A2" w:rsidRPr="007B2A4A" w:rsidP="007A2DB3" w14:paraId="68C459EA" w14:textId="77777777">
      <w:pPr>
        <w:numPr>
          <w:ilvl w:val="0"/>
          <w:numId w:val="4"/>
        </w:numPr>
        <w:tabs>
          <w:tab w:val="left" w:pos="-1440"/>
        </w:tabs>
        <w:rPr>
          <w:b/>
        </w:rPr>
      </w:pPr>
      <w:r w:rsidRPr="007B2A4A">
        <w:rPr>
          <w:b/>
        </w:rPr>
        <w:t>requiring respondents to submit more than an original and two copies of any document;</w:t>
      </w:r>
    </w:p>
    <w:p w:rsidR="00F769A2" w:rsidRPr="007B2A4A" w14:paraId="4FBA54C0" w14:textId="77777777">
      <w:pPr>
        <w:rPr>
          <w:b/>
        </w:rPr>
      </w:pPr>
    </w:p>
    <w:p w:rsidR="00F769A2" w:rsidRPr="007B2A4A" w:rsidP="008A1C01" w14:paraId="3A52356C" w14:textId="77777777">
      <w:pPr>
        <w:numPr>
          <w:ilvl w:val="0"/>
          <w:numId w:val="4"/>
        </w:numPr>
        <w:tabs>
          <w:tab w:val="left" w:pos="-1440"/>
        </w:tabs>
        <w:rPr>
          <w:b/>
        </w:rPr>
      </w:pPr>
      <w:r w:rsidRPr="007B2A4A">
        <w:rPr>
          <w:b/>
        </w:rPr>
        <w:t>requiring respondents to retain records, other than health, medical, government contract, grant-in-aid, or tax records for more than three years;</w:t>
      </w:r>
    </w:p>
    <w:p w:rsidR="00F769A2" w:rsidRPr="007B2A4A" w14:paraId="7ED84ABF" w14:textId="77777777">
      <w:pPr>
        <w:rPr>
          <w:b/>
        </w:rPr>
      </w:pPr>
    </w:p>
    <w:p w:rsidR="00F769A2" w:rsidP="008A1C01" w14:paraId="4AB86B69" w14:textId="77777777">
      <w:pPr>
        <w:numPr>
          <w:ilvl w:val="0"/>
          <w:numId w:val="4"/>
        </w:numPr>
        <w:tabs>
          <w:tab w:val="left" w:pos="-1440"/>
        </w:tabs>
        <w:rPr>
          <w:b/>
        </w:rPr>
      </w:pPr>
      <w:r w:rsidRPr="007B2A4A">
        <w:rPr>
          <w:b/>
        </w:rPr>
        <w:t>in connection with a statistical survey, that is not designed to produce valid and reliable results that can be generalized to the universe of study;</w:t>
      </w:r>
    </w:p>
    <w:p w:rsidR="00261718" w:rsidP="00261718" w14:paraId="1FFD75E3" w14:textId="77777777">
      <w:pPr>
        <w:pStyle w:val="ListParagraph"/>
        <w:rPr>
          <w:b/>
        </w:rPr>
      </w:pPr>
    </w:p>
    <w:p w:rsidR="00F769A2" w:rsidRPr="007B2A4A" w:rsidP="008A1C01" w14:paraId="59A037AA" w14:textId="77777777">
      <w:pPr>
        <w:numPr>
          <w:ilvl w:val="0"/>
          <w:numId w:val="4"/>
        </w:numPr>
        <w:tabs>
          <w:tab w:val="left" w:pos="-1440"/>
        </w:tabs>
        <w:rPr>
          <w:b/>
        </w:rPr>
      </w:pPr>
      <w:r w:rsidRPr="007B2A4A">
        <w:rPr>
          <w:b/>
        </w:rPr>
        <w:t>requiring the use of a statistical data classification that has not been reviewed and approved by OMB;</w:t>
      </w:r>
    </w:p>
    <w:p w:rsidR="00F769A2" w:rsidRPr="007B2A4A" w14:paraId="7284696B" w14:textId="77777777">
      <w:pPr>
        <w:rPr>
          <w:b/>
        </w:rPr>
      </w:pPr>
    </w:p>
    <w:p w:rsidR="00F769A2" w:rsidRPr="007B2A4A" w:rsidP="008A1C01" w14:paraId="5CCD26F4" w14:textId="77777777">
      <w:pPr>
        <w:numPr>
          <w:ilvl w:val="0"/>
          <w:numId w:val="4"/>
        </w:numPr>
        <w:tabs>
          <w:tab w:val="left" w:pos="-1440"/>
        </w:tabs>
        <w:rPr>
          <w:b/>
        </w:rPr>
      </w:pPr>
      <w:r w:rsidRPr="007B2A4A">
        <w:rPr>
          <w:b/>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w:t>
      </w:r>
      <w:r w:rsidRPr="007B2A4A">
        <w:rPr>
          <w:b/>
        </w:rPr>
        <w:t>confidential use; or</w:t>
      </w:r>
    </w:p>
    <w:p w:rsidR="00F769A2" w:rsidRPr="007B2A4A" w:rsidP="008A1C01" w14:paraId="455C4CDC" w14:textId="77777777">
      <w:pPr>
        <w:numPr>
          <w:ilvl w:val="0"/>
          <w:numId w:val="4"/>
        </w:numPr>
        <w:tabs>
          <w:tab w:val="left" w:pos="-1440"/>
        </w:tabs>
        <w:rPr>
          <w:b/>
        </w:rPr>
      </w:pPr>
      <w:r w:rsidRPr="007B2A4A">
        <w:rPr>
          <w:b/>
        </w:rPr>
        <w:t>requiring respondents to submit proprietary trade secret, or other confidential information unless the agency can demonstrate that it has instituted procedures to protect the information's confidentiality to the extent permitted by law.</w:t>
      </w:r>
    </w:p>
    <w:p w:rsidR="00D23B9A" w:rsidRPr="007B2A4A" w14:paraId="00FD752F" w14:textId="77777777">
      <w:pPr>
        <w:tabs>
          <w:tab w:val="left" w:pos="-1440"/>
        </w:tabs>
        <w:ind w:left="1440" w:hanging="720"/>
        <w:rPr>
          <w:b/>
        </w:rPr>
      </w:pPr>
    </w:p>
    <w:p w:rsidR="00D23B9A" w:rsidRPr="007B2A4A" w:rsidP="00D23B9A" w14:paraId="168536B6" w14:textId="1FBE636A">
      <w:r>
        <w:t>Suppose exposure monitoring indicates that a worker has been exposed above the PEL, regardless of whether or not respirators are used. In that case, employers must notify the worker individually in writing (or by posting the results in an appropriate location) of the exposure-monitoring results. The</w:t>
      </w:r>
      <w:r w:rsidRPr="007B2A4A">
        <w:t xml:space="preserve"> steps being taken to reduce the exposure to within the PEL. This notification must be provided to the </w:t>
      </w:r>
      <w:r w:rsidRPr="007B2A4A" w:rsidR="0093783E">
        <w:t>worker</w:t>
      </w:r>
      <w:r w:rsidRPr="007B2A4A">
        <w:t xml:space="preserve"> within 15 working days.</w:t>
      </w:r>
      <w:r w:rsidRPr="007B2A4A" w:rsidR="00673AC4">
        <w:t xml:space="preserve"> </w:t>
      </w:r>
    </w:p>
    <w:p w:rsidR="00673AC4" w:rsidRPr="007B2A4A" w:rsidP="007465D3" w14:paraId="0F90A529" w14:textId="77777777">
      <w:pPr>
        <w:widowControl/>
        <w:tabs>
          <w:tab w:val="left" w:pos="1730"/>
        </w:tabs>
        <w:autoSpaceDE/>
        <w:autoSpaceDN/>
        <w:adjustRightInd/>
      </w:pPr>
      <w:r w:rsidRPr="007B2A4A">
        <w:tab/>
      </w:r>
    </w:p>
    <w:p w:rsidR="00673AC4" w:rsidP="00673AC4" w14:paraId="3B1CC7FC" w14:textId="3928D010">
      <w:pPr>
        <w:widowControl/>
        <w:autoSpaceDE/>
        <w:autoSpaceDN/>
        <w:adjustRightInd/>
      </w:pPr>
      <w:r w:rsidRPr="007B2A4A">
        <w:t xml:space="preserve">Posting enhances the collective knowledge </w:t>
      </w:r>
      <w:r w:rsidR="0037538D">
        <w:t>of worker exposures in the workplace, which in turn enhances each worker’s understanding of his/her own exposure. Posting the results facilitates other workers, their designated representatives, supervisors</w:t>
      </w:r>
      <w:r w:rsidRPr="007B2A4A" w:rsidR="000640BA">
        <w:t>,</w:t>
      </w:r>
      <w:r w:rsidRPr="007B2A4A">
        <w:t xml:space="preserve"> and employers in becoming aware of exposure levels within the workplace.   </w:t>
      </w:r>
    </w:p>
    <w:p w:rsidR="00FF7D42" w:rsidRPr="007B2A4A" w:rsidP="00372332" w14:paraId="5A30E593" w14:textId="77777777">
      <w:pPr>
        <w:widowControl/>
        <w:tabs>
          <w:tab w:val="left" w:pos="720"/>
        </w:tabs>
        <w:autoSpaceDE/>
        <w:autoSpaceDN/>
        <w:adjustRightInd/>
      </w:pPr>
    </w:p>
    <w:p w:rsidR="00CB63DD" w:rsidP="00CB63DD" w14:paraId="20E42473" w14:textId="77777777">
      <w:r w:rsidRPr="007B2A4A">
        <w:t>Employers must maintain exposure-monitoring and medical-surveillance records for at least 40 years, or the duration of employment plus 20 years, whichever is longer.  OSHA requires maintenance of these records for this extended period because of the long latency associated with the development of DBCP-related cancers, sterility, and infertility.</w:t>
      </w:r>
    </w:p>
    <w:p w:rsidR="003D2F2F" w:rsidP="00D23B9A" w14:paraId="6B5726C4" w14:textId="77777777">
      <w:pPr>
        <w:tabs>
          <w:tab w:val="left" w:pos="-1440"/>
        </w:tabs>
        <w:ind w:left="720" w:hanging="720"/>
        <w:rPr>
          <w:b/>
        </w:rPr>
      </w:pPr>
    </w:p>
    <w:p w:rsidR="00F769A2" w:rsidRPr="007B2A4A" w:rsidP="00D23B9A" w14:paraId="097728FD" w14:textId="77777777">
      <w:pPr>
        <w:tabs>
          <w:tab w:val="left" w:pos="-1440"/>
        </w:tabs>
        <w:ind w:left="720" w:hanging="720"/>
        <w:rPr>
          <w:b/>
        </w:rPr>
      </w:pPr>
      <w:r w:rsidRPr="007B2A4A">
        <w:rPr>
          <w:b/>
        </w:rPr>
        <w:t>8.</w:t>
      </w:r>
      <w:r w:rsidRPr="007B2A4A">
        <w:rPr>
          <w:b/>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37907" w:rsidRPr="007B2A4A" w14:paraId="3B6C2815" w14:textId="77777777">
      <w:pPr>
        <w:ind w:left="720"/>
        <w:rPr>
          <w:b/>
        </w:rPr>
      </w:pPr>
    </w:p>
    <w:p w:rsidR="00346B59" w:rsidP="00340F4C" w14:paraId="3F4A93FB" w14:textId="77777777">
      <w:pPr>
        <w:ind w:left="720"/>
        <w:rPr>
          <w:b/>
        </w:rPr>
      </w:pPr>
      <w:r w:rsidRPr="007B2A4A">
        <w:rPr>
          <w:b/>
        </w:rPr>
        <w:t xml:space="preserve">Describe efforts to consult with persons outside the agency to obtain their views on the availability of data, frequency of collection, the clarity of instructions and </w:t>
      </w:r>
    </w:p>
    <w:p w:rsidR="00F769A2" w:rsidRPr="007B2A4A" w14:paraId="2B1BE2AB" w14:textId="77777777">
      <w:pPr>
        <w:ind w:left="720"/>
        <w:rPr>
          <w:b/>
        </w:rPr>
      </w:pPr>
      <w:r w:rsidRPr="007B2A4A">
        <w:rPr>
          <w:b/>
        </w:rPr>
        <w:t>recordkeeping, disclosure, or reporting format (if any), and on the data elements to be recorded, disclosed, or reported.</w:t>
      </w:r>
    </w:p>
    <w:p w:rsidR="006D0E36" w:rsidRPr="007B2A4A" w:rsidP="006D0E36" w14:paraId="67D395D5" w14:textId="77777777"/>
    <w:p w:rsidR="00F769A2" w:rsidRPr="007B2A4A" w14:paraId="3B27F2CE" w14:textId="77777777">
      <w:pPr>
        <w:ind w:left="720"/>
        <w:rPr>
          <w:b/>
        </w:rPr>
      </w:pPr>
      <w:r w:rsidRPr="007B2A4A">
        <w:rPr>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E6240" w:rsidP="00EE6240" w14:paraId="069AAE4B" w14:textId="77777777">
      <w:pPr>
        <w:rPr>
          <w:b/>
        </w:rPr>
      </w:pPr>
    </w:p>
    <w:p w:rsidR="00315133" w:rsidP="00EE6240" w14:paraId="771D2479" w14:textId="77777777">
      <w:pPr>
        <w:rPr>
          <w:b/>
        </w:rPr>
      </w:pPr>
    </w:p>
    <w:p w:rsidR="00315133" w:rsidP="00315133" w14:paraId="340D1CC2" w14:textId="121B0F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eop"/>
          <w:color w:val="000000"/>
          <w:shd w:val="clear" w:color="auto" w:fill="FFFFFF"/>
        </w:rPr>
      </w:pPr>
      <w:r w:rsidRPr="00773169">
        <w:rPr>
          <w:rStyle w:val="normaltextrun"/>
          <w:color w:val="000000"/>
          <w:shd w:val="clear" w:color="auto" w:fill="FFFFFF"/>
        </w:rPr>
        <w:t xml:space="preserve">As required by the Paperwork Reduction Act of 1995 (PRA) (44 U.S.C. 506(c)(2)(A)), OSHA published a notice in the Federal Register </w:t>
      </w:r>
      <w:r w:rsidR="001E18C9">
        <w:rPr>
          <w:rStyle w:val="normaltextrun"/>
          <w:color w:val="000000"/>
          <w:shd w:val="clear" w:color="auto" w:fill="FFFFFF"/>
        </w:rPr>
        <w:t xml:space="preserve">on March </w:t>
      </w:r>
      <w:r w:rsidR="00534160">
        <w:rPr>
          <w:rStyle w:val="normaltextrun"/>
          <w:color w:val="000000"/>
          <w:shd w:val="clear" w:color="auto" w:fill="FFFFFF"/>
        </w:rPr>
        <w:t>10</w:t>
      </w:r>
      <w:r w:rsidR="001E18C9">
        <w:rPr>
          <w:rStyle w:val="normaltextrun"/>
          <w:color w:val="000000"/>
          <w:shd w:val="clear" w:color="auto" w:fill="FFFFFF"/>
        </w:rPr>
        <w:t>, 2025</w:t>
      </w:r>
      <w:r w:rsidR="00FF221D">
        <w:rPr>
          <w:rStyle w:val="normaltextrun"/>
          <w:color w:val="000000"/>
          <w:shd w:val="clear" w:color="auto" w:fill="FFFFFF"/>
        </w:rPr>
        <w:t xml:space="preserve"> ( </w:t>
      </w:r>
      <w:r w:rsidR="00534160">
        <w:rPr>
          <w:rStyle w:val="normaltextrun"/>
          <w:color w:val="000000"/>
          <w:shd w:val="clear" w:color="auto" w:fill="FFFFFF"/>
        </w:rPr>
        <w:t>90</w:t>
      </w:r>
      <w:r w:rsidR="00FF221D">
        <w:t xml:space="preserve"> FR </w:t>
      </w:r>
      <w:r w:rsidR="00534160">
        <w:t>11624</w:t>
      </w:r>
      <w:r w:rsidR="00FF221D">
        <w:rPr>
          <w:rStyle w:val="normaltextrun"/>
          <w:b/>
          <w:bCs/>
          <w:color w:val="000000"/>
          <w:shd w:val="clear" w:color="auto" w:fill="FFFFFF"/>
        </w:rPr>
        <w:t xml:space="preserve">) </w:t>
      </w:r>
      <w:r w:rsidRPr="00773169">
        <w:rPr>
          <w:rStyle w:val="normaltextrun"/>
          <w:color w:val="000000"/>
          <w:shd w:val="clear" w:color="auto" w:fill="FFFFFF"/>
        </w:rPr>
        <w:t xml:space="preserve">soliciting comments on its proposal to extend the Office of Management and Budget’s (OMB) approval of the information collection requirements specified in </w:t>
      </w:r>
      <w:r w:rsidR="001355BF">
        <w:rPr>
          <w:rStyle w:val="normaltextrun"/>
          <w:color w:val="000000"/>
          <w:shd w:val="clear" w:color="auto" w:fill="FFFFFF"/>
        </w:rPr>
        <w:t>th</w:t>
      </w:r>
      <w:r w:rsidRPr="00773169">
        <w:rPr>
          <w:rStyle w:val="normaltextrun"/>
          <w:color w:val="000000"/>
          <w:shd w:val="clear" w:color="auto" w:fill="FFFFFF"/>
        </w:rPr>
        <w:t xml:space="preserve">e </w:t>
      </w:r>
      <w:r w:rsidR="00A0271D">
        <w:rPr>
          <w:rStyle w:val="normaltextrun"/>
          <w:color w:val="000000"/>
          <w:shd w:val="clear" w:color="auto" w:fill="FFFFFF"/>
        </w:rPr>
        <w:t>1,2-Dibromo-</w:t>
      </w:r>
      <w:r w:rsidR="00C648BC">
        <w:rPr>
          <w:rStyle w:val="normaltextrun"/>
          <w:color w:val="000000"/>
          <w:shd w:val="clear" w:color="auto" w:fill="FFFFFF"/>
        </w:rPr>
        <w:t xml:space="preserve">3-Chloropropane (DBCP) Standard  </w:t>
      </w:r>
      <w:r w:rsidR="00124A2F">
        <w:rPr>
          <w:rStyle w:val="normaltextrun"/>
          <w:color w:val="000000"/>
          <w:shd w:val="clear" w:color="auto" w:fill="FFFFFF"/>
        </w:rPr>
        <w:t xml:space="preserve">under </w:t>
      </w:r>
      <w:r w:rsidR="00004909">
        <w:rPr>
          <w:rStyle w:val="normaltextrun"/>
          <w:color w:val="000000"/>
          <w:shd w:val="clear" w:color="auto" w:fill="FFFFFF"/>
        </w:rPr>
        <w:t xml:space="preserve">Docket Number: </w:t>
      </w:r>
      <w:r w:rsidR="00C648BC">
        <w:rPr>
          <w:rStyle w:val="normaltextrun"/>
          <w:color w:val="000000"/>
          <w:shd w:val="clear" w:color="auto" w:fill="FFFFFF"/>
        </w:rPr>
        <w:t>OSHA-2012-0</w:t>
      </w:r>
      <w:r w:rsidR="00DB1645">
        <w:rPr>
          <w:rStyle w:val="normaltextrun"/>
          <w:color w:val="000000"/>
          <w:shd w:val="clear" w:color="auto" w:fill="FFFFFF"/>
        </w:rPr>
        <w:t>010</w:t>
      </w:r>
      <w:r w:rsidRPr="00773169">
        <w:rPr>
          <w:rStyle w:val="normaltextrun"/>
          <w:b/>
          <w:bCs/>
          <w:color w:val="000000"/>
          <w:shd w:val="clear" w:color="auto" w:fill="FFFFFF"/>
        </w:rPr>
        <w:t>.</w:t>
      </w:r>
      <w:r w:rsidRPr="00773169">
        <w:rPr>
          <w:rStyle w:val="normaltextrun"/>
          <w:color w:val="000000"/>
          <w:shd w:val="clear" w:color="auto" w:fill="FFFFFF"/>
        </w:rPr>
        <w:t xml:space="preserve"> This notice </w:t>
      </w:r>
      <w:r w:rsidR="00534160">
        <w:rPr>
          <w:rStyle w:val="normaltextrun"/>
          <w:color w:val="000000"/>
          <w:shd w:val="clear" w:color="auto" w:fill="FFFFFF"/>
        </w:rPr>
        <w:t>wa</w:t>
      </w:r>
      <w:r w:rsidRPr="00773169">
        <w:rPr>
          <w:rStyle w:val="normaltextrun"/>
          <w:color w:val="000000"/>
          <w:shd w:val="clear" w:color="auto" w:fill="FFFFFF"/>
        </w:rPr>
        <w:t xml:space="preserve">s part of a preclearance consultation program that </w:t>
      </w:r>
      <w:r w:rsidR="0037538D">
        <w:rPr>
          <w:rStyle w:val="normaltextrun"/>
          <w:color w:val="000000"/>
          <w:shd w:val="clear" w:color="auto" w:fill="FFFFFF"/>
        </w:rPr>
        <w:t>allows interested parties</w:t>
      </w:r>
      <w:r w:rsidRPr="00773169">
        <w:rPr>
          <w:rStyle w:val="normaltextrun"/>
          <w:color w:val="000000"/>
          <w:shd w:val="clear" w:color="auto" w:fill="FFFFFF"/>
        </w:rPr>
        <w:t xml:space="preserve"> to comment on OSHA’s request for an extension by OMB of a previous approval of the information collection requirements found in the above Standard. The </w:t>
      </w:r>
      <w:r w:rsidR="00124A2F">
        <w:rPr>
          <w:rStyle w:val="normaltextrun"/>
          <w:color w:val="000000"/>
          <w:shd w:val="clear" w:color="auto" w:fill="FFFFFF"/>
        </w:rPr>
        <w:t>a</w:t>
      </w:r>
      <w:r w:rsidRPr="00773169">
        <w:rPr>
          <w:rStyle w:val="normaltextrun"/>
          <w:color w:val="000000"/>
          <w:shd w:val="clear" w:color="auto" w:fill="FFFFFF"/>
        </w:rPr>
        <w:t xml:space="preserve">gency </w:t>
      </w:r>
      <w:r w:rsidR="00F35853">
        <w:rPr>
          <w:rStyle w:val="normaltextrun"/>
          <w:color w:val="000000"/>
          <w:shd w:val="clear" w:color="auto" w:fill="FFFFFF"/>
        </w:rPr>
        <w:t>did not receive</w:t>
      </w:r>
      <w:r w:rsidRPr="00773169">
        <w:rPr>
          <w:rStyle w:val="normaltextrun"/>
          <w:color w:val="000000"/>
          <w:shd w:val="clear" w:color="auto" w:fill="FFFFFF"/>
        </w:rPr>
        <w:t xml:space="preserve"> any </w:t>
      </w:r>
      <w:r w:rsidR="00124A2F">
        <w:rPr>
          <w:rStyle w:val="normaltextrun"/>
          <w:color w:val="000000"/>
          <w:shd w:val="clear" w:color="auto" w:fill="FFFFFF"/>
        </w:rPr>
        <w:t>public</w:t>
      </w:r>
      <w:r w:rsidRPr="00773169">
        <w:rPr>
          <w:rStyle w:val="normaltextrun"/>
          <w:color w:val="000000"/>
          <w:shd w:val="clear" w:color="auto" w:fill="FFFFFF"/>
        </w:rPr>
        <w:t xml:space="preserve"> comments in response to this notice.</w:t>
      </w:r>
      <w:r w:rsidRPr="00773169">
        <w:rPr>
          <w:rStyle w:val="eop"/>
          <w:color w:val="000000"/>
          <w:shd w:val="clear" w:color="auto" w:fill="FFFFFF"/>
        </w:rPr>
        <w:t> </w:t>
      </w:r>
    </w:p>
    <w:p w:rsidR="00435FBD" w:rsidP="00EE6240" w14:paraId="76152068" w14:textId="77777777">
      <w:pPr>
        <w:rPr>
          <w:b/>
        </w:rPr>
      </w:pPr>
    </w:p>
    <w:p w:rsidR="00F769A2" w:rsidRPr="007B2A4A" w:rsidP="009714E9" w14:paraId="23891F22" w14:textId="77777777">
      <w:pPr>
        <w:ind w:left="720" w:hanging="720"/>
      </w:pPr>
      <w:r w:rsidRPr="007B2A4A">
        <w:rPr>
          <w:b/>
        </w:rPr>
        <w:t>9.</w:t>
      </w:r>
      <w:r w:rsidRPr="007B2A4A">
        <w:rPr>
          <w:b/>
        </w:rPr>
        <w:tab/>
        <w:t xml:space="preserve">Explain any decision to provide any payment or </w:t>
      </w:r>
      <w:r w:rsidR="003D2F2F">
        <w:rPr>
          <w:b/>
        </w:rPr>
        <w:t xml:space="preserve">gift to respondents, other than </w:t>
      </w:r>
      <w:r w:rsidRPr="007B2A4A" w:rsidR="008975E7">
        <w:rPr>
          <w:b/>
        </w:rPr>
        <w:t>r</w:t>
      </w:r>
      <w:r w:rsidRPr="00346B59" w:rsidR="008975E7">
        <w:rPr>
          <w:b/>
        </w:rPr>
        <w:t>emuneration</w:t>
      </w:r>
      <w:r w:rsidRPr="007B2A4A">
        <w:rPr>
          <w:b/>
        </w:rPr>
        <w:t xml:space="preserve"> of contractors or grantees</w:t>
      </w:r>
      <w:r w:rsidRPr="007B2A4A">
        <w:t>.</w:t>
      </w:r>
    </w:p>
    <w:p w:rsidR="00F769A2" w:rsidRPr="007B2A4A" w14:paraId="5E7C1DD0" w14:textId="77777777"/>
    <w:p w:rsidR="00F769A2" w:rsidRPr="007B2A4A" w14:paraId="5A9092D2" w14:textId="77777777">
      <w:r w:rsidRPr="007B2A4A">
        <w:t>The Agency will provide no payments or gifts to the respondents.</w:t>
      </w:r>
    </w:p>
    <w:p w:rsidR="00A94FC5" w14:paraId="775D6F75" w14:textId="77777777">
      <w:pPr>
        <w:tabs>
          <w:tab w:val="left" w:pos="-1440"/>
        </w:tabs>
        <w:ind w:left="720" w:hanging="720"/>
        <w:rPr>
          <w:b/>
        </w:rPr>
      </w:pPr>
    </w:p>
    <w:p w:rsidR="00F769A2" w:rsidRPr="007B2A4A" w14:paraId="5689CE4B" w14:textId="77777777">
      <w:pPr>
        <w:tabs>
          <w:tab w:val="left" w:pos="-1440"/>
        </w:tabs>
        <w:ind w:left="720" w:hanging="720"/>
        <w:rPr>
          <w:b/>
        </w:rPr>
      </w:pPr>
      <w:r w:rsidRPr="007B2A4A">
        <w:rPr>
          <w:b/>
        </w:rPr>
        <w:t>10.</w:t>
      </w:r>
      <w:r w:rsidRPr="007B2A4A">
        <w:rPr>
          <w:b/>
        </w:rPr>
        <w:tab/>
        <w:t>Describe any assurance of confidentiality provided to respondents and the basis for the assurance in statute, regulation, or agency policy.</w:t>
      </w:r>
    </w:p>
    <w:p w:rsidR="00F769A2" w:rsidRPr="007B2A4A" w14:paraId="7FBBF792" w14:textId="77777777"/>
    <w:p w:rsidR="00F769A2" w:rsidRPr="007B2A4A" w14:paraId="6915A48E" w14:textId="77777777">
      <w:r w:rsidRPr="007B2A4A">
        <w:t>To ensure that the personal information contained in medical-surveillance records remains confidential, OSHA developed 29 CFR 1913.10 to regulate access to these records.</w:t>
      </w:r>
    </w:p>
    <w:p w:rsidR="00F769A2" w:rsidRPr="007B2A4A" w14:paraId="7E56D9FD" w14:textId="77777777"/>
    <w:p w:rsidR="00F769A2" w:rsidRPr="007B2A4A" w14:paraId="64F5A928" w14:textId="77777777">
      <w:pPr>
        <w:tabs>
          <w:tab w:val="left" w:pos="-1440"/>
        </w:tabs>
        <w:ind w:left="720" w:hanging="720"/>
        <w:rPr>
          <w:b/>
        </w:rPr>
      </w:pPr>
      <w:r w:rsidRPr="007B2A4A">
        <w:rPr>
          <w:b/>
        </w:rPr>
        <w:t>11.</w:t>
      </w:r>
      <w:r w:rsidRPr="007B2A4A">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form whom the information is requested, and any steps to be taken to obtain their consent.</w:t>
      </w:r>
    </w:p>
    <w:p w:rsidR="00F769A2" w:rsidRPr="007B2A4A" w14:paraId="3F675340" w14:textId="77777777"/>
    <w:p w:rsidR="001A1FD2" w14:paraId="79F1916B" w14:textId="77777777">
      <w:r w:rsidRPr="007B2A4A">
        <w:t>None of the provisions in the Standard require sensitive information.</w:t>
      </w:r>
    </w:p>
    <w:p w:rsidR="00C1610D" w:rsidP="00C1610D" w14:paraId="4364A78A" w14:textId="77777777">
      <w:pPr>
        <w:rPr>
          <w:b/>
        </w:rPr>
      </w:pPr>
    </w:p>
    <w:p w:rsidR="00F769A2" w:rsidP="00EA2B81" w14:paraId="077C21BE" w14:textId="64C9F24D">
      <w:pPr>
        <w:ind w:left="720" w:hanging="720"/>
        <w:rPr>
          <w:b/>
        </w:rPr>
      </w:pPr>
      <w:r w:rsidRPr="007B2A4A">
        <w:rPr>
          <w:b/>
        </w:rPr>
        <w:t>12.</w:t>
      </w:r>
      <w:r w:rsidRPr="007B2A4A">
        <w:rPr>
          <w:b/>
        </w:rPr>
        <w:tab/>
        <w:t>Provide estimates of the hour burden of the collection of information.  The statement should:</w:t>
      </w:r>
    </w:p>
    <w:p w:rsidR="000670A4" w:rsidRPr="007B2A4A" w:rsidP="00EA2B81" w14:paraId="402729E0" w14:textId="77777777">
      <w:pPr>
        <w:ind w:left="720" w:hanging="720"/>
        <w:rPr>
          <w:b/>
        </w:rPr>
      </w:pPr>
    </w:p>
    <w:p w:rsidR="00124A2F" w:rsidP="003B52F7" w14:paraId="4D4E8D3C" w14:textId="77777777">
      <w:pPr>
        <w:numPr>
          <w:ilvl w:val="0"/>
          <w:numId w:val="5"/>
        </w:numPr>
        <w:tabs>
          <w:tab w:val="left" w:pos="-1440"/>
        </w:tabs>
        <w:rPr>
          <w:b/>
        </w:rPr>
      </w:pPr>
      <w:r w:rsidRPr="00C1610D">
        <w:rPr>
          <w:b/>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w:t>
      </w:r>
    </w:p>
    <w:p w:rsidR="00124A2F" w:rsidP="002566E5" w14:paraId="2CD92AF8" w14:textId="77777777">
      <w:pPr>
        <w:tabs>
          <w:tab w:val="left" w:pos="-1440"/>
        </w:tabs>
        <w:ind w:left="1440"/>
        <w:rPr>
          <w:b/>
        </w:rPr>
      </w:pPr>
    </w:p>
    <w:p w:rsidR="00F769A2" w:rsidRPr="00C1610D" w:rsidP="003B52F7" w14:paraId="397E4487" w14:textId="68AF6C43">
      <w:pPr>
        <w:numPr>
          <w:ilvl w:val="0"/>
          <w:numId w:val="5"/>
        </w:numPr>
        <w:tabs>
          <w:tab w:val="left" w:pos="-1440"/>
        </w:tabs>
        <w:rPr>
          <w:b/>
        </w:rPr>
      </w:pPr>
      <w:r w:rsidRPr="00C1610D">
        <w:rPr>
          <w:b/>
        </w:rPr>
        <w:t xml:space="preserve">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w:t>
      </w:r>
      <w:r w:rsidRPr="00C1610D">
        <w:rPr>
          <w:b/>
        </w:rPr>
        <w:t>estimates should not include burden hours for customary and usual business practices.</w:t>
      </w:r>
    </w:p>
    <w:p w:rsidR="00F769A2" w:rsidRPr="007B2A4A" w14:paraId="3C17B3D4" w14:textId="77777777">
      <w:pPr>
        <w:rPr>
          <w:b/>
        </w:rPr>
      </w:pPr>
    </w:p>
    <w:p w:rsidR="001B128C" w:rsidRPr="007B2A4A" w:rsidP="001B128C" w14:paraId="745A9C1C" w14:textId="77777777">
      <w:pPr>
        <w:numPr>
          <w:ilvl w:val="0"/>
          <w:numId w:val="5"/>
        </w:numPr>
        <w:tabs>
          <w:tab w:val="left" w:pos="-1440"/>
        </w:tabs>
        <w:rPr>
          <w:b/>
        </w:rPr>
      </w:pPr>
      <w:r w:rsidRPr="007B2A4A">
        <w:rPr>
          <w:b/>
        </w:rPr>
        <w:t>If this request for approval covers more than one form, provide separate hour burden estimates for each form</w:t>
      </w:r>
      <w:r w:rsidRPr="007B2A4A" w:rsidR="00D93884">
        <w:rPr>
          <w:b/>
        </w:rPr>
        <w:t>.</w:t>
      </w:r>
    </w:p>
    <w:p w:rsidR="00D93884" w:rsidRPr="007B2A4A" w:rsidP="001B128C" w14:paraId="5323E50B" w14:textId="77777777">
      <w:pPr>
        <w:tabs>
          <w:tab w:val="left" w:pos="-1440"/>
        </w:tabs>
        <w:rPr>
          <w:b/>
        </w:rPr>
      </w:pPr>
    </w:p>
    <w:p w:rsidR="00F769A2" w:rsidRPr="007B2A4A" w:rsidP="00F31D0C" w14:paraId="2316AF0A" w14:textId="65C53A69">
      <w:pPr>
        <w:numPr>
          <w:ilvl w:val="0"/>
          <w:numId w:val="5"/>
        </w:numPr>
        <w:tabs>
          <w:tab w:val="left" w:pos="-1440"/>
        </w:tabs>
        <w:rPr>
          <w:b/>
        </w:rPr>
      </w:pPr>
      <w:r w:rsidRPr="007B2A4A">
        <w:rPr>
          <w:b/>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w:t>
      </w:r>
      <w:r w:rsidR="00124A2F">
        <w:rPr>
          <w:b/>
        </w:rPr>
        <w:t>13</w:t>
      </w:r>
      <w:r w:rsidRPr="007B2A4A">
        <w:rPr>
          <w:b/>
        </w:rPr>
        <w:t>.</w:t>
      </w:r>
    </w:p>
    <w:p w:rsidR="00303237" w14:paraId="3845D685" w14:textId="06B66712"/>
    <w:p w:rsidR="00124A2F" w:rsidRPr="00D4616A" w:rsidP="00124A2F" w14:paraId="378F93A6" w14:textId="77777777">
      <w:pPr>
        <w:rPr>
          <w:b/>
        </w:rPr>
      </w:pPr>
      <w:r w:rsidRPr="00D4616A">
        <w:rPr>
          <w:b/>
        </w:rPr>
        <w:t>Respondent Burden Hour and Cost Burden Determinations</w:t>
      </w:r>
    </w:p>
    <w:p w:rsidR="00124A2F" w:rsidRPr="007B2A4A" w14:paraId="087D2F24" w14:textId="77777777"/>
    <w:p w:rsidR="006A605D" w14:paraId="6A437585" w14:textId="77777777">
      <w:r w:rsidRPr="007B2A4A">
        <w:t xml:space="preserve">After extensive research, OSHA found no U.S. employer who currently produces DBCP or DBCP-based end-use products, most likely because the EPA registration suspension for this </w:t>
      </w:r>
    </w:p>
    <w:p w:rsidR="00F769A2" w:rsidRPr="007B2A4A" w14:paraId="39005AEA" w14:textId="7F8F9B7D">
      <w:r w:rsidRPr="007B2A4A">
        <w:t xml:space="preserve">substance remains in effect (see discussion under Item </w:t>
      </w:r>
      <w:r w:rsidRPr="007B2A4A" w:rsidR="008D7803">
        <w:t>1</w:t>
      </w:r>
      <w:r w:rsidRPr="007B2A4A">
        <w:t xml:space="preserve"> above); therefore, no cost or time burdens accrue to employers under the Standard.  </w:t>
      </w:r>
      <w:r w:rsidRPr="007B2A4A" w:rsidR="002B6166">
        <w:t>T</w:t>
      </w:r>
      <w:r w:rsidRPr="007B2A4A">
        <w:t xml:space="preserve">he </w:t>
      </w:r>
      <w:r w:rsidR="00771420">
        <w:t>a</w:t>
      </w:r>
      <w:r w:rsidRPr="007B2A4A">
        <w:t>gency requests one hour for OMB to approve the information</w:t>
      </w:r>
      <w:r w:rsidRPr="007B2A4A" w:rsidR="00446581">
        <w:t xml:space="preserve"> </w:t>
      </w:r>
      <w:r w:rsidRPr="007B2A4A">
        <w:t xml:space="preserve">collection provisions of the Standard so that it can enforce the paperwork requirements of the Standard if EPA lifts the </w:t>
      </w:r>
      <w:r w:rsidRPr="007B2A4A" w:rsidR="0037538D">
        <w:t>suspension,</w:t>
      </w:r>
      <w:r w:rsidRPr="007B2A4A">
        <w:t xml:space="preserve"> or technology develops new applications for DBCP.  The Standards paperwork requirements are:</w:t>
      </w:r>
    </w:p>
    <w:p w:rsidR="00F769A2" w14:paraId="5DAC968D" w14:textId="77777777"/>
    <w:p w:rsidR="00F769A2" w:rsidRPr="007B2A4A" w14:paraId="41188D5E" w14:textId="77777777">
      <w:pPr>
        <w:rPr>
          <w:b/>
        </w:rPr>
      </w:pPr>
      <w:r w:rsidRPr="007B2A4A">
        <w:rPr>
          <w:b/>
        </w:rPr>
        <w:t xml:space="preserve">Exposure Monitoring </w:t>
      </w:r>
    </w:p>
    <w:p w:rsidR="00303237" w:rsidRPr="007B2A4A" w14:paraId="65F4296F" w14:textId="77777777">
      <w:pPr>
        <w:rPr>
          <w:b/>
        </w:rPr>
      </w:pPr>
    </w:p>
    <w:p w:rsidR="00F769A2" w:rsidRPr="007B2A4A" w14:paraId="62E682CE" w14:textId="77777777">
      <w:pPr>
        <w:ind w:left="720"/>
      </w:pPr>
      <w:r w:rsidRPr="007B2A4A">
        <w:t>Initial Monitoring (</w:t>
      </w:r>
      <w:r w:rsidRPr="007B2A4A" w:rsidR="00F31D0C">
        <w:t>§</w:t>
      </w:r>
      <w:r w:rsidRPr="007B2A4A">
        <w:t>1910.1044(f)(2))</w:t>
      </w:r>
    </w:p>
    <w:p w:rsidR="00F769A2" w:rsidRPr="007B2A4A" w14:paraId="4034FFDD" w14:textId="77777777">
      <w:pPr>
        <w:ind w:left="720"/>
      </w:pPr>
      <w:r w:rsidRPr="007B2A4A">
        <w:t>Periodic Monitoring (</w:t>
      </w:r>
      <w:r w:rsidRPr="007B2A4A" w:rsidR="00F31D0C">
        <w:t>§</w:t>
      </w:r>
      <w:r w:rsidRPr="007B2A4A">
        <w:t>1910.1044(f)(3))</w:t>
      </w:r>
    </w:p>
    <w:p w:rsidR="00F769A2" w:rsidRPr="007B2A4A" w14:paraId="4C4891C2" w14:textId="77777777">
      <w:pPr>
        <w:ind w:left="720"/>
      </w:pPr>
      <w:r w:rsidRPr="007B2A4A">
        <w:t>Additional Monitoring (</w:t>
      </w:r>
      <w:r w:rsidRPr="007B2A4A" w:rsidR="00F31D0C">
        <w:t>§</w:t>
      </w:r>
      <w:r w:rsidRPr="007B2A4A">
        <w:t>1910.1044(f)(4))</w:t>
      </w:r>
    </w:p>
    <w:p w:rsidR="00F769A2" w:rsidRPr="007B2A4A" w14:paraId="170C9C77" w14:textId="77777777">
      <w:pPr>
        <w:ind w:left="720"/>
      </w:pPr>
      <w:r w:rsidRPr="007B2A4A">
        <w:t>Notification of Results (</w:t>
      </w:r>
      <w:r w:rsidRPr="007B2A4A" w:rsidR="00F31D0C">
        <w:t>§</w:t>
      </w:r>
      <w:r w:rsidRPr="007B2A4A">
        <w:t>1910.1044(f)(5))</w:t>
      </w:r>
    </w:p>
    <w:p w:rsidR="00303237" w:rsidRPr="007B2A4A" w14:paraId="59DB44AA" w14:textId="77777777">
      <w:pPr>
        <w:ind w:left="720"/>
      </w:pPr>
    </w:p>
    <w:p w:rsidR="00F769A2" w:rsidRPr="007B2A4A" w14:paraId="4BE619E1" w14:textId="77777777">
      <w:r w:rsidRPr="007B2A4A">
        <w:rPr>
          <w:b/>
        </w:rPr>
        <w:t>Compliance Program</w:t>
      </w:r>
      <w:r w:rsidRPr="007B2A4A">
        <w:t xml:space="preserve"> (</w:t>
      </w:r>
      <w:r w:rsidRPr="007B2A4A" w:rsidR="00F31D0C">
        <w:t>§</w:t>
      </w:r>
      <w:r w:rsidRPr="007B2A4A">
        <w:t>1910.1044(g)(2))</w:t>
      </w:r>
    </w:p>
    <w:p w:rsidR="00F769A2" w:rsidRPr="007B2A4A" w14:paraId="557BAAB3" w14:textId="77777777">
      <w:r w:rsidRPr="007B2A4A">
        <w:rPr>
          <w:b/>
        </w:rPr>
        <w:t>Respiratory Program</w:t>
      </w:r>
      <w:r w:rsidRPr="007B2A4A">
        <w:t xml:space="preserve"> (</w:t>
      </w:r>
      <w:r w:rsidRPr="007B2A4A" w:rsidR="00F31D0C">
        <w:t>§</w:t>
      </w:r>
      <w:r w:rsidRPr="007B2A4A">
        <w:t>1910.1044(h)(2))</w:t>
      </w:r>
    </w:p>
    <w:p w:rsidR="00F769A2" w:rsidRPr="007B2A4A" w14:paraId="04506654" w14:textId="77777777">
      <w:r w:rsidRPr="007B2A4A">
        <w:rPr>
          <w:b/>
        </w:rPr>
        <w:t>Emergency Situations</w:t>
      </w:r>
      <w:r w:rsidRPr="007B2A4A">
        <w:t xml:space="preserve"> Written Plan (</w:t>
      </w:r>
      <w:r w:rsidRPr="007B2A4A" w:rsidR="00F31D0C">
        <w:t>§</w:t>
      </w:r>
      <w:r w:rsidRPr="007B2A4A">
        <w:t>1910.1044(i)(1)</w:t>
      </w:r>
      <w:r w:rsidRPr="007B2A4A" w:rsidR="004645D3">
        <w:t>(i)(6)</w:t>
      </w:r>
      <w:r w:rsidRPr="007B2A4A">
        <w:t>)</w:t>
      </w:r>
    </w:p>
    <w:p w:rsidR="00F769A2" w:rsidRPr="007B2A4A" w14:paraId="1B725B11" w14:textId="77777777">
      <w:r w:rsidRPr="007B2A4A">
        <w:rPr>
          <w:b/>
        </w:rPr>
        <w:t xml:space="preserve">Removal and Storage of Protective </w:t>
      </w:r>
      <w:r w:rsidRPr="007B2A4A" w:rsidR="006A26AE">
        <w:rPr>
          <w:b/>
        </w:rPr>
        <w:t xml:space="preserve">Devices and </w:t>
      </w:r>
      <w:r w:rsidRPr="007B2A4A">
        <w:rPr>
          <w:b/>
        </w:rPr>
        <w:t>Clothing</w:t>
      </w:r>
      <w:r w:rsidRPr="007B2A4A">
        <w:t xml:space="preserve"> (</w:t>
      </w:r>
      <w:r w:rsidRPr="007B2A4A" w:rsidR="00F31D0C">
        <w:t>§</w:t>
      </w:r>
      <w:r w:rsidRPr="007B2A4A">
        <w:t>1910.1044(j)(2)(v))</w:t>
      </w:r>
    </w:p>
    <w:p w:rsidR="00F769A2" w:rsidRPr="007B2A4A" w14:paraId="0D1C57A5" w14:textId="77777777">
      <w:r w:rsidRPr="007B2A4A">
        <w:rPr>
          <w:b/>
        </w:rPr>
        <w:t>Notifying Laundry</w:t>
      </w:r>
      <w:r w:rsidRPr="007B2A4A">
        <w:t xml:space="preserve"> </w:t>
      </w:r>
      <w:r w:rsidRPr="007B2A4A" w:rsidR="006A26AE">
        <w:t xml:space="preserve">Personnel </w:t>
      </w:r>
      <w:r w:rsidRPr="007B2A4A">
        <w:t>(</w:t>
      </w:r>
      <w:r w:rsidRPr="007B2A4A" w:rsidR="00F31D0C">
        <w:t>§</w:t>
      </w:r>
      <w:r w:rsidRPr="007B2A4A">
        <w:t>1910.1044(j)(3)(ii))</w:t>
      </w:r>
    </w:p>
    <w:p w:rsidR="000670A4" w14:paraId="135B1ED3" w14:textId="77777777">
      <w:pPr>
        <w:rPr>
          <w:b/>
        </w:rPr>
      </w:pPr>
    </w:p>
    <w:p w:rsidR="00F769A2" w:rsidRPr="007B2A4A" w14:paraId="29BA3BE0" w14:textId="77777777">
      <w:pPr>
        <w:rPr>
          <w:b/>
        </w:rPr>
      </w:pPr>
      <w:r w:rsidRPr="007B2A4A">
        <w:rPr>
          <w:b/>
        </w:rPr>
        <w:t xml:space="preserve">Medical Surveillance </w:t>
      </w:r>
    </w:p>
    <w:p w:rsidR="00F769A2" w:rsidRPr="007B2A4A" w14:paraId="6897D531" w14:textId="77777777">
      <w:pPr>
        <w:ind w:left="720"/>
      </w:pPr>
      <w:r w:rsidRPr="007B2A4A">
        <w:t>Initial Examinations (</w:t>
      </w:r>
      <w:r w:rsidRPr="007B2A4A" w:rsidR="00F31D0C">
        <w:t>§</w:t>
      </w:r>
      <w:r w:rsidRPr="007B2A4A" w:rsidR="00AC7E47">
        <w:t>1910.1044(m)(1</w:t>
      </w:r>
      <w:r w:rsidRPr="007B2A4A">
        <w:t>))</w:t>
      </w:r>
    </w:p>
    <w:p w:rsidR="00F769A2" w:rsidRPr="007B2A4A" w14:paraId="23DAAA52" w14:textId="77777777">
      <w:pPr>
        <w:ind w:left="720"/>
      </w:pPr>
      <w:r w:rsidRPr="007B2A4A">
        <w:t>Periodic Examinations (</w:t>
      </w:r>
      <w:r w:rsidRPr="007B2A4A" w:rsidR="00F31D0C">
        <w:t>§</w:t>
      </w:r>
      <w:r w:rsidRPr="007B2A4A">
        <w:t>1910.1044(m)(2))</w:t>
      </w:r>
    </w:p>
    <w:p w:rsidR="00F769A2" w:rsidRPr="007B2A4A" w14:paraId="16C4C663" w14:textId="77777777">
      <w:pPr>
        <w:ind w:left="720"/>
      </w:pPr>
      <w:r w:rsidRPr="007B2A4A">
        <w:t>Additional Examinations (</w:t>
      </w:r>
      <w:r w:rsidRPr="007B2A4A" w:rsidR="00F31D0C">
        <w:t>§</w:t>
      </w:r>
      <w:r w:rsidRPr="007B2A4A">
        <w:t>1910.1044(m)(3))</w:t>
      </w:r>
    </w:p>
    <w:p w:rsidR="00F769A2" w:rsidRPr="007B2A4A" w14:paraId="15FB7918" w14:textId="77777777">
      <w:pPr>
        <w:ind w:left="720"/>
      </w:pPr>
      <w:r w:rsidRPr="007B2A4A">
        <w:t>Information Provided to Physician (</w:t>
      </w:r>
      <w:r w:rsidRPr="007B2A4A" w:rsidR="00F31D0C">
        <w:t>§</w:t>
      </w:r>
      <w:r w:rsidRPr="007B2A4A">
        <w:t>1910.1044(m)(4))</w:t>
      </w:r>
    </w:p>
    <w:p w:rsidR="00037907" w:rsidRPr="007B2A4A" w:rsidP="001A1FD2" w14:paraId="6B6138E0" w14:textId="77777777">
      <w:pPr>
        <w:ind w:left="720"/>
        <w:rPr>
          <w:b/>
        </w:rPr>
      </w:pPr>
      <w:r w:rsidRPr="007B2A4A">
        <w:t>Physicians Written Opinion (</w:t>
      </w:r>
      <w:r w:rsidRPr="007B2A4A" w:rsidR="0044012F">
        <w:t>§</w:t>
      </w:r>
      <w:r w:rsidRPr="007B2A4A">
        <w:t>1910.1044(m)(5))</w:t>
      </w:r>
    </w:p>
    <w:p w:rsidR="00F769A2" w:rsidRPr="007B2A4A" w14:paraId="0BCFDB32" w14:textId="77777777">
      <w:r w:rsidRPr="007B2A4A">
        <w:rPr>
          <w:b/>
        </w:rPr>
        <w:t>Training Program</w:t>
      </w:r>
      <w:r w:rsidRPr="007B2A4A">
        <w:t xml:space="preserve"> (</w:t>
      </w:r>
      <w:r w:rsidRPr="007B2A4A" w:rsidR="00F31D0C">
        <w:t>§</w:t>
      </w:r>
      <w:r w:rsidRPr="007B2A4A">
        <w:t>1910.1044(n)(1))</w:t>
      </w:r>
    </w:p>
    <w:p w:rsidR="00F769A2" w:rsidRPr="007B2A4A" w14:paraId="4018BD58" w14:textId="77777777">
      <w:r w:rsidRPr="007B2A4A">
        <w:rPr>
          <w:b/>
        </w:rPr>
        <w:t>Signs and Labels</w:t>
      </w:r>
      <w:r w:rsidRPr="007B2A4A">
        <w:t xml:space="preserve"> (</w:t>
      </w:r>
      <w:r w:rsidRPr="007B2A4A" w:rsidR="00F31D0C">
        <w:t>§</w:t>
      </w:r>
      <w:r w:rsidRPr="007B2A4A">
        <w:t>1910.1044(o))</w:t>
      </w:r>
    </w:p>
    <w:p w:rsidR="00F769A2" w:rsidRPr="007B2A4A" w14:paraId="1024AAF2" w14:textId="77777777">
      <w:pPr>
        <w:rPr>
          <w:b/>
        </w:rPr>
      </w:pPr>
      <w:r w:rsidRPr="007B2A4A">
        <w:rPr>
          <w:b/>
        </w:rPr>
        <w:t>Recordkeeping</w:t>
      </w:r>
    </w:p>
    <w:p w:rsidR="00F769A2" w:rsidRPr="007B2A4A" w14:paraId="69BEAE73" w14:textId="77777777">
      <w:pPr>
        <w:ind w:left="720"/>
      </w:pPr>
      <w:r w:rsidRPr="007B2A4A">
        <w:t>Monitoring Records (</w:t>
      </w:r>
      <w:r w:rsidRPr="007B2A4A" w:rsidR="00F31D0C">
        <w:t>§</w:t>
      </w:r>
      <w:r w:rsidRPr="007B2A4A">
        <w:t>1910.1044(p)(1))</w:t>
      </w:r>
    </w:p>
    <w:p w:rsidR="00037907" w:rsidRPr="007B2A4A" w14:paraId="533755E1" w14:textId="77777777">
      <w:pPr>
        <w:ind w:left="720"/>
      </w:pPr>
    </w:p>
    <w:p w:rsidR="00F769A2" w:rsidRPr="007B2A4A" w14:paraId="0CE68C5B" w14:textId="77777777">
      <w:pPr>
        <w:ind w:left="720"/>
      </w:pPr>
      <w:r w:rsidRPr="007B2A4A">
        <w:t>Medical Records (</w:t>
      </w:r>
      <w:r w:rsidRPr="007B2A4A" w:rsidR="00F31D0C">
        <w:t>§</w:t>
      </w:r>
      <w:r w:rsidRPr="007B2A4A">
        <w:t>1910.1044(p)(2))</w:t>
      </w:r>
    </w:p>
    <w:p w:rsidR="00C449AC" w:rsidRPr="007B2A4A" w14:paraId="03A33CF4" w14:textId="77777777">
      <w:pPr>
        <w:ind w:left="720"/>
      </w:pPr>
    </w:p>
    <w:p w:rsidR="00F769A2" w14:paraId="28661178" w14:textId="77777777">
      <w:pPr>
        <w:ind w:left="720"/>
      </w:pPr>
      <w:r w:rsidRPr="007B2A4A">
        <w:t>Availability (</w:t>
      </w:r>
      <w:r w:rsidRPr="007B2A4A" w:rsidR="00F31D0C">
        <w:t>§</w:t>
      </w:r>
      <w:r w:rsidRPr="007B2A4A">
        <w:t>1910.1044(p)(3)(ii))</w:t>
      </w:r>
    </w:p>
    <w:p w:rsidR="007D7C63" w14:paraId="4BFE2039" w14:textId="77777777">
      <w:pPr>
        <w:ind w:left="720"/>
      </w:pPr>
    </w:p>
    <w:p w:rsidR="007D7C63" w:rsidRPr="002A6427" w:rsidP="007D7C63" w14:paraId="33FA6E99" w14:textId="586C0B34">
      <w:pPr>
        <w:jc w:val="center"/>
        <w:rPr>
          <w:b/>
          <w:bCs/>
        </w:rPr>
      </w:pPr>
      <w:r w:rsidRPr="002A6427">
        <w:rPr>
          <w:b/>
          <w:bCs/>
        </w:rPr>
        <w:t xml:space="preserve">Table </w:t>
      </w:r>
      <w:r w:rsidRPr="002A6427" w:rsidR="00DA5B8E">
        <w:rPr>
          <w:b/>
          <w:bCs/>
        </w:rPr>
        <w:t xml:space="preserve">1 – </w:t>
      </w:r>
      <w:r w:rsidRPr="002A6427">
        <w:rPr>
          <w:b/>
          <w:bCs/>
        </w:rPr>
        <w:t>Estimated</w:t>
      </w:r>
      <w:r w:rsidRPr="002A6427" w:rsidR="00DA5B8E">
        <w:rPr>
          <w:b/>
          <w:bCs/>
        </w:rPr>
        <w:t xml:space="preserve"> </w:t>
      </w:r>
      <w:r w:rsidRPr="002A6427">
        <w:rPr>
          <w:b/>
          <w:bCs/>
        </w:rPr>
        <w:t>Annualized Respondent Cost and Hour Burden</w:t>
      </w:r>
    </w:p>
    <w:p w:rsidR="007D7C63" w:rsidRPr="00DA5B8E" w:rsidP="007D7C63" w14:paraId="2971B9D4" w14:textId="77777777">
      <w:pPr>
        <w:tabs>
          <w:tab w:val="left" w:pos="-1440"/>
          <w:tab w:val="left" w:pos="1080"/>
        </w:tabs>
        <w:ind w:left="1080" w:hanging="360"/>
        <w:rPr>
          <w:b/>
        </w:rPr>
      </w:pPr>
    </w:p>
    <w:tbl>
      <w:tblPr>
        <w:tblW w:w="11340" w:type="dxa"/>
        <w:tblInd w:w="-730" w:type="dxa"/>
        <w:tblLayout w:type="fixed"/>
        <w:tblLook w:val="04A0"/>
      </w:tblPr>
      <w:tblGrid>
        <w:gridCol w:w="1260"/>
        <w:gridCol w:w="1530"/>
        <w:gridCol w:w="1350"/>
        <w:gridCol w:w="1440"/>
        <w:gridCol w:w="1170"/>
        <w:gridCol w:w="1180"/>
        <w:gridCol w:w="1155"/>
        <w:gridCol w:w="960"/>
        <w:gridCol w:w="1295"/>
      </w:tblGrid>
      <w:tr w14:paraId="439F672D" w14:textId="77777777" w:rsidTr="002A6427">
        <w:tblPrEx>
          <w:tblW w:w="11340" w:type="dxa"/>
          <w:tblInd w:w="-730" w:type="dxa"/>
          <w:tblLayout w:type="fixed"/>
          <w:tblLook w:val="04A0"/>
        </w:tblPrEx>
        <w:trPr>
          <w:trHeight w:val="1290"/>
        </w:trPr>
        <w:tc>
          <w:tcPr>
            <w:tcW w:w="1260" w:type="dxa"/>
            <w:tcBorders>
              <w:top w:val="single" w:sz="4" w:space="0" w:color="auto"/>
              <w:left w:val="single" w:sz="8" w:space="0" w:color="auto"/>
              <w:bottom w:val="single" w:sz="8" w:space="0" w:color="auto"/>
              <w:right w:val="single" w:sz="8" w:space="0" w:color="auto"/>
            </w:tcBorders>
            <w:shd w:val="clear" w:color="auto" w:fill="9CC2E5"/>
            <w:vAlign w:val="center"/>
            <w:hideMark/>
          </w:tcPr>
          <w:p w:rsidR="007D7C63" w:rsidRPr="002A6427" w:rsidP="002712E4" w14:paraId="367CBE8C" w14:textId="77777777">
            <w:pPr>
              <w:jc w:val="center"/>
              <w:rPr>
                <w:b/>
                <w:bCs/>
                <w:color w:val="000000"/>
                <w:sz w:val="20"/>
                <w:szCs w:val="20"/>
              </w:rPr>
            </w:pPr>
            <w:r w:rsidRPr="002A6427">
              <w:rPr>
                <w:b/>
                <w:bCs/>
                <w:color w:val="000000"/>
                <w:sz w:val="20"/>
                <w:szCs w:val="20"/>
              </w:rPr>
              <w:t>Type of Respondent</w:t>
            </w:r>
          </w:p>
        </w:tc>
        <w:tc>
          <w:tcPr>
            <w:tcW w:w="1530" w:type="dxa"/>
            <w:tcBorders>
              <w:top w:val="single" w:sz="4" w:space="0" w:color="auto"/>
              <w:left w:val="nil"/>
              <w:bottom w:val="single" w:sz="8" w:space="0" w:color="auto"/>
              <w:right w:val="single" w:sz="8" w:space="0" w:color="auto"/>
            </w:tcBorders>
            <w:shd w:val="clear" w:color="auto" w:fill="9CC2E5"/>
            <w:vAlign w:val="center"/>
            <w:hideMark/>
          </w:tcPr>
          <w:p w:rsidR="007D7C63" w:rsidRPr="002A6427" w:rsidP="002712E4" w14:paraId="6AA6CA79" w14:textId="1E70A915">
            <w:pPr>
              <w:jc w:val="center"/>
              <w:rPr>
                <w:b/>
                <w:bCs/>
                <w:color w:val="000000"/>
                <w:sz w:val="20"/>
                <w:szCs w:val="20"/>
              </w:rPr>
            </w:pPr>
            <w:r w:rsidRPr="002A6427">
              <w:rPr>
                <w:b/>
                <w:bCs/>
                <w:color w:val="000000"/>
                <w:sz w:val="20"/>
                <w:szCs w:val="20"/>
              </w:rPr>
              <w:t>Collection of Information</w:t>
            </w:r>
          </w:p>
        </w:tc>
        <w:tc>
          <w:tcPr>
            <w:tcW w:w="1350" w:type="dxa"/>
            <w:tcBorders>
              <w:top w:val="single" w:sz="4" w:space="0" w:color="auto"/>
              <w:left w:val="nil"/>
              <w:bottom w:val="single" w:sz="8" w:space="0" w:color="auto"/>
              <w:right w:val="single" w:sz="8" w:space="0" w:color="auto"/>
            </w:tcBorders>
            <w:shd w:val="clear" w:color="auto" w:fill="9CC2E5"/>
            <w:vAlign w:val="center"/>
            <w:hideMark/>
          </w:tcPr>
          <w:p w:rsidR="007D7C63" w:rsidRPr="002A6427" w:rsidP="002712E4" w14:paraId="1BB282BD" w14:textId="77777777">
            <w:pPr>
              <w:jc w:val="center"/>
              <w:rPr>
                <w:b/>
                <w:bCs/>
                <w:color w:val="000000"/>
                <w:sz w:val="20"/>
                <w:szCs w:val="20"/>
              </w:rPr>
            </w:pPr>
            <w:r w:rsidRPr="002A6427">
              <w:rPr>
                <w:b/>
                <w:bCs/>
                <w:color w:val="000000"/>
                <w:sz w:val="20"/>
                <w:szCs w:val="20"/>
              </w:rPr>
              <w:t>No. of Respondents</w:t>
            </w:r>
          </w:p>
        </w:tc>
        <w:tc>
          <w:tcPr>
            <w:tcW w:w="1440" w:type="dxa"/>
            <w:tcBorders>
              <w:top w:val="single" w:sz="4" w:space="0" w:color="auto"/>
              <w:left w:val="nil"/>
              <w:bottom w:val="single" w:sz="8" w:space="0" w:color="auto"/>
              <w:right w:val="single" w:sz="8" w:space="0" w:color="auto"/>
            </w:tcBorders>
            <w:shd w:val="clear" w:color="auto" w:fill="9CC2E5"/>
            <w:vAlign w:val="center"/>
            <w:hideMark/>
          </w:tcPr>
          <w:p w:rsidR="007D7C63" w:rsidRPr="002A6427" w:rsidP="002712E4" w14:paraId="2A4E4D06" w14:textId="77777777">
            <w:pPr>
              <w:jc w:val="center"/>
              <w:rPr>
                <w:b/>
                <w:bCs/>
                <w:color w:val="000000"/>
                <w:sz w:val="20"/>
                <w:szCs w:val="20"/>
              </w:rPr>
            </w:pPr>
            <w:r w:rsidRPr="002A6427">
              <w:rPr>
                <w:b/>
                <w:bCs/>
                <w:color w:val="000000"/>
                <w:sz w:val="20"/>
                <w:szCs w:val="20"/>
              </w:rPr>
              <w:t>No. of Responses per Respondent</w:t>
            </w:r>
          </w:p>
        </w:tc>
        <w:tc>
          <w:tcPr>
            <w:tcW w:w="1170" w:type="dxa"/>
            <w:tcBorders>
              <w:top w:val="single" w:sz="4" w:space="0" w:color="auto"/>
              <w:left w:val="nil"/>
              <w:bottom w:val="single" w:sz="8" w:space="0" w:color="auto"/>
              <w:right w:val="single" w:sz="8" w:space="0" w:color="auto"/>
            </w:tcBorders>
            <w:shd w:val="clear" w:color="auto" w:fill="9CC2E5"/>
            <w:vAlign w:val="center"/>
            <w:hideMark/>
          </w:tcPr>
          <w:p w:rsidR="007D7C63" w:rsidRPr="002A6427" w:rsidP="002712E4" w14:paraId="18EDBA25" w14:textId="77777777">
            <w:pPr>
              <w:jc w:val="center"/>
              <w:rPr>
                <w:b/>
                <w:bCs/>
                <w:color w:val="000000"/>
                <w:sz w:val="20"/>
                <w:szCs w:val="20"/>
              </w:rPr>
            </w:pPr>
            <w:r w:rsidRPr="002A6427">
              <w:rPr>
                <w:b/>
                <w:bCs/>
                <w:color w:val="000000"/>
                <w:sz w:val="20"/>
                <w:szCs w:val="20"/>
              </w:rPr>
              <w:t>Total Responses</w:t>
            </w:r>
          </w:p>
        </w:tc>
        <w:tc>
          <w:tcPr>
            <w:tcW w:w="1180" w:type="dxa"/>
            <w:tcBorders>
              <w:top w:val="single" w:sz="4" w:space="0" w:color="auto"/>
              <w:left w:val="nil"/>
              <w:bottom w:val="single" w:sz="8" w:space="0" w:color="auto"/>
              <w:right w:val="single" w:sz="8" w:space="0" w:color="auto"/>
            </w:tcBorders>
            <w:shd w:val="clear" w:color="auto" w:fill="9CC2E5"/>
            <w:vAlign w:val="center"/>
            <w:hideMark/>
          </w:tcPr>
          <w:p w:rsidR="007D7C63" w:rsidRPr="002A6427" w:rsidP="002712E4" w14:paraId="730AE48C" w14:textId="63135C86">
            <w:pPr>
              <w:jc w:val="center"/>
              <w:rPr>
                <w:b/>
                <w:bCs/>
                <w:color w:val="000000"/>
                <w:sz w:val="20"/>
                <w:szCs w:val="20"/>
              </w:rPr>
            </w:pPr>
            <w:r w:rsidRPr="002A6427">
              <w:rPr>
                <w:b/>
                <w:bCs/>
                <w:color w:val="000000"/>
                <w:sz w:val="20"/>
                <w:szCs w:val="20"/>
              </w:rPr>
              <w:t>Time</w:t>
            </w:r>
            <w:r w:rsidRPr="002A6427">
              <w:rPr>
                <w:b/>
                <w:bCs/>
                <w:color w:val="000000"/>
                <w:sz w:val="20"/>
                <w:szCs w:val="20"/>
              </w:rPr>
              <w:t xml:space="preserve"> per Response (in hours)</w:t>
            </w:r>
          </w:p>
        </w:tc>
        <w:tc>
          <w:tcPr>
            <w:tcW w:w="1155" w:type="dxa"/>
            <w:tcBorders>
              <w:top w:val="single" w:sz="4" w:space="0" w:color="auto"/>
              <w:left w:val="nil"/>
              <w:bottom w:val="single" w:sz="8" w:space="0" w:color="auto"/>
              <w:right w:val="single" w:sz="8" w:space="0" w:color="auto"/>
            </w:tcBorders>
            <w:shd w:val="clear" w:color="auto" w:fill="9CC2E5"/>
            <w:vAlign w:val="center"/>
            <w:hideMark/>
          </w:tcPr>
          <w:p w:rsidR="007D7C63" w:rsidRPr="002A6427" w:rsidP="002712E4" w14:paraId="03EEB72A" w14:textId="159B2EAF">
            <w:pPr>
              <w:jc w:val="center"/>
              <w:rPr>
                <w:b/>
                <w:bCs/>
                <w:color w:val="000000"/>
                <w:sz w:val="20"/>
                <w:szCs w:val="20"/>
              </w:rPr>
            </w:pPr>
            <w:r w:rsidRPr="002A6427">
              <w:rPr>
                <w:b/>
                <w:bCs/>
                <w:color w:val="000000"/>
                <w:sz w:val="20"/>
                <w:szCs w:val="20"/>
              </w:rPr>
              <w:t>Annual Burden (hours)</w:t>
            </w:r>
          </w:p>
        </w:tc>
        <w:tc>
          <w:tcPr>
            <w:tcW w:w="960" w:type="dxa"/>
            <w:tcBorders>
              <w:top w:val="single" w:sz="4" w:space="0" w:color="auto"/>
              <w:left w:val="nil"/>
              <w:bottom w:val="single" w:sz="8" w:space="0" w:color="auto"/>
              <w:right w:val="single" w:sz="8" w:space="0" w:color="auto"/>
            </w:tcBorders>
            <w:shd w:val="clear" w:color="auto" w:fill="9CC2E5"/>
            <w:vAlign w:val="center"/>
            <w:hideMark/>
          </w:tcPr>
          <w:p w:rsidR="007D7C63" w:rsidRPr="002A6427" w:rsidP="002712E4" w14:paraId="77F573BC" w14:textId="0996CE0F">
            <w:pPr>
              <w:jc w:val="center"/>
              <w:rPr>
                <w:b/>
                <w:bCs/>
                <w:color w:val="000000"/>
                <w:sz w:val="20"/>
                <w:szCs w:val="20"/>
              </w:rPr>
            </w:pPr>
            <w:r w:rsidRPr="002A6427">
              <w:rPr>
                <w:b/>
                <w:bCs/>
                <w:color w:val="000000"/>
                <w:sz w:val="20"/>
                <w:szCs w:val="20"/>
              </w:rPr>
              <w:t>Loaded</w:t>
            </w:r>
            <w:r w:rsidRPr="002A6427">
              <w:rPr>
                <w:b/>
                <w:bCs/>
                <w:color w:val="000000"/>
                <w:sz w:val="20"/>
                <w:szCs w:val="20"/>
              </w:rPr>
              <w:t xml:space="preserve"> Hourly Wage </w:t>
            </w:r>
          </w:p>
        </w:tc>
        <w:tc>
          <w:tcPr>
            <w:tcW w:w="1295" w:type="dxa"/>
            <w:tcBorders>
              <w:top w:val="single" w:sz="4" w:space="0" w:color="auto"/>
              <w:left w:val="nil"/>
              <w:bottom w:val="single" w:sz="8" w:space="0" w:color="auto"/>
              <w:right w:val="single" w:sz="8" w:space="0" w:color="auto"/>
            </w:tcBorders>
            <w:shd w:val="clear" w:color="auto" w:fill="9CC2E5"/>
            <w:vAlign w:val="center"/>
            <w:hideMark/>
          </w:tcPr>
          <w:p w:rsidR="007D7C63" w:rsidRPr="002A6427" w:rsidP="002712E4" w14:paraId="1E65FD51" w14:textId="77777777">
            <w:pPr>
              <w:jc w:val="center"/>
              <w:rPr>
                <w:b/>
                <w:bCs/>
                <w:color w:val="000000"/>
                <w:sz w:val="20"/>
                <w:szCs w:val="20"/>
              </w:rPr>
            </w:pPr>
            <w:r w:rsidRPr="002A6427">
              <w:rPr>
                <w:b/>
                <w:bCs/>
                <w:color w:val="000000"/>
                <w:sz w:val="20"/>
                <w:szCs w:val="20"/>
              </w:rPr>
              <w:t>Monetized Value of Time</w:t>
            </w:r>
          </w:p>
        </w:tc>
      </w:tr>
      <w:tr w14:paraId="1CFD6F62" w14:textId="77777777" w:rsidTr="002A6427">
        <w:tblPrEx>
          <w:tblW w:w="11340" w:type="dxa"/>
          <w:tblInd w:w="-730" w:type="dxa"/>
          <w:tblLayout w:type="fixed"/>
          <w:tblLook w:val="04A0"/>
        </w:tblPrEx>
        <w:trPr>
          <w:trHeight w:val="315"/>
        </w:trPr>
        <w:tc>
          <w:tcPr>
            <w:tcW w:w="1260" w:type="dxa"/>
            <w:tcBorders>
              <w:top w:val="nil"/>
              <w:left w:val="single" w:sz="8" w:space="0" w:color="auto"/>
              <w:bottom w:val="single" w:sz="8" w:space="0" w:color="auto"/>
              <w:right w:val="single" w:sz="8" w:space="0" w:color="auto"/>
            </w:tcBorders>
            <w:shd w:val="clear" w:color="auto" w:fill="DAE9F7" w:themeFill="text2" w:themeFillTint="1A"/>
            <w:vAlign w:val="center"/>
          </w:tcPr>
          <w:p w:rsidR="00DA5B8E" w:rsidRPr="002A6427" w:rsidP="00DA5B8E" w14:paraId="040A3EAE" w14:textId="1332692C">
            <w:pPr>
              <w:rPr>
                <w:i/>
                <w:iCs/>
                <w:color w:val="FF0000"/>
                <w:sz w:val="20"/>
                <w:szCs w:val="20"/>
              </w:rPr>
            </w:pPr>
            <w:r w:rsidRPr="002A6427">
              <w:rPr>
                <w:color w:val="000000"/>
                <w:sz w:val="20"/>
                <w:szCs w:val="20"/>
              </w:rPr>
              <w:t> </w:t>
            </w:r>
          </w:p>
        </w:tc>
        <w:tc>
          <w:tcPr>
            <w:tcW w:w="1530" w:type="dxa"/>
            <w:tcBorders>
              <w:top w:val="nil"/>
              <w:left w:val="nil"/>
              <w:bottom w:val="single" w:sz="8" w:space="0" w:color="auto"/>
              <w:right w:val="single" w:sz="8" w:space="0" w:color="auto"/>
            </w:tcBorders>
            <w:shd w:val="clear" w:color="auto" w:fill="DAE9F7" w:themeFill="text2" w:themeFillTint="1A"/>
            <w:vAlign w:val="center"/>
          </w:tcPr>
          <w:p w:rsidR="00DA5B8E" w:rsidRPr="002A6427" w:rsidP="00DA5B8E" w14:paraId="18135C33" w14:textId="0FF967FF">
            <w:pPr>
              <w:rPr>
                <w:sz w:val="20"/>
                <w:szCs w:val="20"/>
              </w:rPr>
            </w:pPr>
            <w:r w:rsidRPr="002A6427">
              <w:rPr>
                <w:color w:val="000000"/>
                <w:sz w:val="20"/>
                <w:szCs w:val="20"/>
              </w:rPr>
              <w:t> </w:t>
            </w:r>
          </w:p>
        </w:tc>
        <w:tc>
          <w:tcPr>
            <w:tcW w:w="1350" w:type="dxa"/>
            <w:tcBorders>
              <w:top w:val="nil"/>
              <w:left w:val="nil"/>
              <w:bottom w:val="single" w:sz="8" w:space="0" w:color="auto"/>
              <w:right w:val="single" w:sz="8" w:space="0" w:color="auto"/>
            </w:tcBorders>
            <w:shd w:val="clear" w:color="auto" w:fill="DAE9F7" w:themeFill="text2" w:themeFillTint="1A"/>
            <w:vAlign w:val="center"/>
          </w:tcPr>
          <w:p w:rsidR="00DA5B8E" w:rsidRPr="002A6427" w:rsidP="00DA5B8E" w14:paraId="39C4D2D7" w14:textId="6E175F26">
            <w:pPr>
              <w:jc w:val="center"/>
              <w:rPr>
                <w:sz w:val="20"/>
                <w:szCs w:val="20"/>
              </w:rPr>
            </w:pPr>
            <w:r w:rsidRPr="00DA5B8E">
              <w:rPr>
                <w:i/>
                <w:iCs/>
                <w:color w:val="000000"/>
                <w:sz w:val="20"/>
                <w:szCs w:val="20"/>
              </w:rPr>
              <w:t>A</w:t>
            </w:r>
          </w:p>
        </w:tc>
        <w:tc>
          <w:tcPr>
            <w:tcW w:w="1440" w:type="dxa"/>
            <w:tcBorders>
              <w:top w:val="nil"/>
              <w:left w:val="nil"/>
              <w:bottom w:val="single" w:sz="8" w:space="0" w:color="auto"/>
              <w:right w:val="single" w:sz="8" w:space="0" w:color="auto"/>
            </w:tcBorders>
            <w:shd w:val="clear" w:color="auto" w:fill="DAE9F7" w:themeFill="text2" w:themeFillTint="1A"/>
            <w:vAlign w:val="center"/>
          </w:tcPr>
          <w:p w:rsidR="00DA5B8E" w:rsidRPr="002A6427" w:rsidP="00DA5B8E" w14:paraId="4ED9526E" w14:textId="11AA39E1">
            <w:pPr>
              <w:jc w:val="center"/>
              <w:rPr>
                <w:color w:val="000000"/>
                <w:sz w:val="20"/>
                <w:szCs w:val="20"/>
              </w:rPr>
            </w:pPr>
            <w:r w:rsidRPr="00DA5B8E">
              <w:rPr>
                <w:i/>
                <w:iCs/>
                <w:color w:val="000000"/>
                <w:sz w:val="20"/>
                <w:szCs w:val="20"/>
              </w:rPr>
              <w:t>B</w:t>
            </w:r>
          </w:p>
        </w:tc>
        <w:tc>
          <w:tcPr>
            <w:tcW w:w="1170" w:type="dxa"/>
            <w:tcBorders>
              <w:top w:val="nil"/>
              <w:left w:val="nil"/>
              <w:bottom w:val="single" w:sz="8" w:space="0" w:color="auto"/>
              <w:right w:val="single" w:sz="8" w:space="0" w:color="auto"/>
            </w:tcBorders>
            <w:shd w:val="clear" w:color="auto" w:fill="DAE9F7" w:themeFill="text2" w:themeFillTint="1A"/>
            <w:vAlign w:val="center"/>
          </w:tcPr>
          <w:p w:rsidR="00DA5B8E" w:rsidRPr="002A6427" w:rsidP="00DA5B8E" w14:paraId="023C1504" w14:textId="4A7B36FE">
            <w:pPr>
              <w:jc w:val="center"/>
              <w:rPr>
                <w:color w:val="000000"/>
                <w:sz w:val="20"/>
                <w:szCs w:val="20"/>
              </w:rPr>
            </w:pPr>
            <w:r w:rsidRPr="00DA5B8E">
              <w:rPr>
                <w:i/>
                <w:iCs/>
                <w:color w:val="000000"/>
                <w:sz w:val="20"/>
                <w:szCs w:val="20"/>
              </w:rPr>
              <w:t>C = (AxB)</w:t>
            </w:r>
          </w:p>
        </w:tc>
        <w:tc>
          <w:tcPr>
            <w:tcW w:w="1180" w:type="dxa"/>
            <w:tcBorders>
              <w:top w:val="nil"/>
              <w:left w:val="nil"/>
              <w:bottom w:val="single" w:sz="8" w:space="0" w:color="auto"/>
              <w:right w:val="single" w:sz="8" w:space="0" w:color="auto"/>
            </w:tcBorders>
            <w:shd w:val="clear" w:color="auto" w:fill="DAE9F7" w:themeFill="text2" w:themeFillTint="1A"/>
            <w:vAlign w:val="center"/>
          </w:tcPr>
          <w:p w:rsidR="00DA5B8E" w:rsidRPr="002A6427" w:rsidP="00DA5B8E" w14:paraId="55FEDFC4" w14:textId="73F98856">
            <w:pPr>
              <w:jc w:val="center"/>
              <w:rPr>
                <w:sz w:val="20"/>
                <w:szCs w:val="20"/>
              </w:rPr>
            </w:pPr>
            <w:r w:rsidRPr="00DA5B8E">
              <w:rPr>
                <w:i/>
                <w:iCs/>
                <w:color w:val="000000"/>
                <w:sz w:val="20"/>
                <w:szCs w:val="20"/>
              </w:rPr>
              <w:t>D</w:t>
            </w:r>
          </w:p>
        </w:tc>
        <w:tc>
          <w:tcPr>
            <w:tcW w:w="1155" w:type="dxa"/>
            <w:tcBorders>
              <w:top w:val="nil"/>
              <w:left w:val="nil"/>
              <w:bottom w:val="single" w:sz="8" w:space="0" w:color="auto"/>
              <w:right w:val="single" w:sz="8" w:space="0" w:color="auto"/>
            </w:tcBorders>
            <w:shd w:val="clear" w:color="auto" w:fill="DAE9F7" w:themeFill="text2" w:themeFillTint="1A"/>
            <w:vAlign w:val="center"/>
          </w:tcPr>
          <w:p w:rsidR="00DA5B8E" w:rsidRPr="002A6427" w:rsidP="00DA5B8E" w14:paraId="2DDB4D94" w14:textId="46F031D2">
            <w:pPr>
              <w:jc w:val="center"/>
              <w:rPr>
                <w:sz w:val="20"/>
                <w:szCs w:val="20"/>
              </w:rPr>
            </w:pPr>
            <w:r w:rsidRPr="00DA5B8E">
              <w:rPr>
                <w:i/>
                <w:iCs/>
                <w:color w:val="000000"/>
                <w:sz w:val="20"/>
                <w:szCs w:val="20"/>
              </w:rPr>
              <w:t>E = (CxD)</w:t>
            </w:r>
          </w:p>
        </w:tc>
        <w:tc>
          <w:tcPr>
            <w:tcW w:w="960" w:type="dxa"/>
            <w:tcBorders>
              <w:top w:val="nil"/>
              <w:left w:val="nil"/>
              <w:bottom w:val="single" w:sz="8" w:space="0" w:color="auto"/>
              <w:right w:val="single" w:sz="8" w:space="0" w:color="auto"/>
            </w:tcBorders>
            <w:shd w:val="clear" w:color="auto" w:fill="DAE9F7" w:themeFill="text2" w:themeFillTint="1A"/>
            <w:vAlign w:val="center"/>
          </w:tcPr>
          <w:p w:rsidR="00DA5B8E" w:rsidRPr="002A6427" w:rsidP="00DA5B8E" w14:paraId="513BFC68" w14:textId="07B41265">
            <w:pPr>
              <w:jc w:val="center"/>
              <w:rPr>
                <w:sz w:val="20"/>
                <w:szCs w:val="20"/>
              </w:rPr>
            </w:pPr>
            <w:r w:rsidRPr="00DA5B8E">
              <w:rPr>
                <w:i/>
                <w:iCs/>
                <w:color w:val="000000"/>
                <w:sz w:val="20"/>
                <w:szCs w:val="20"/>
              </w:rPr>
              <w:t>F</w:t>
            </w:r>
          </w:p>
        </w:tc>
        <w:tc>
          <w:tcPr>
            <w:tcW w:w="1295" w:type="dxa"/>
            <w:tcBorders>
              <w:top w:val="nil"/>
              <w:left w:val="nil"/>
              <w:bottom w:val="single" w:sz="8" w:space="0" w:color="auto"/>
              <w:right w:val="single" w:sz="8" w:space="0" w:color="auto"/>
            </w:tcBorders>
            <w:shd w:val="clear" w:color="auto" w:fill="DAE9F7" w:themeFill="text2" w:themeFillTint="1A"/>
            <w:vAlign w:val="center"/>
          </w:tcPr>
          <w:p w:rsidR="00DA5B8E" w:rsidRPr="002A6427" w:rsidP="00DA5B8E" w14:paraId="054F133A" w14:textId="22325CA6">
            <w:pPr>
              <w:jc w:val="center"/>
              <w:rPr>
                <w:color w:val="000000"/>
                <w:sz w:val="20"/>
                <w:szCs w:val="20"/>
              </w:rPr>
            </w:pPr>
            <w:r w:rsidRPr="00DA5B8E">
              <w:rPr>
                <w:i/>
                <w:iCs/>
                <w:color w:val="000000"/>
                <w:sz w:val="20"/>
                <w:szCs w:val="20"/>
              </w:rPr>
              <w:t>G = (ExF)</w:t>
            </w:r>
          </w:p>
        </w:tc>
      </w:tr>
      <w:tr w14:paraId="269A1C5F" w14:textId="77777777" w:rsidTr="002A6427">
        <w:tblPrEx>
          <w:tblW w:w="11340" w:type="dxa"/>
          <w:tblInd w:w="-730" w:type="dxa"/>
          <w:tblLayout w:type="fixed"/>
          <w:tblLook w:val="04A0"/>
        </w:tblPrEx>
        <w:trPr>
          <w:trHeight w:val="315"/>
        </w:trPr>
        <w:tc>
          <w:tcPr>
            <w:tcW w:w="1260" w:type="dxa"/>
            <w:tcBorders>
              <w:top w:val="nil"/>
              <w:left w:val="single" w:sz="8" w:space="0" w:color="auto"/>
              <w:bottom w:val="single" w:sz="8" w:space="0" w:color="auto"/>
              <w:right w:val="single" w:sz="8" w:space="0" w:color="auto"/>
            </w:tcBorders>
            <w:vAlign w:val="center"/>
          </w:tcPr>
          <w:p w:rsidR="007D7C63" w:rsidRPr="00DA5B8E" w:rsidP="002A6427" w14:paraId="7B264DFC" w14:textId="62694281">
            <w:pPr>
              <w:rPr>
                <w:i/>
                <w:iCs/>
                <w:color w:val="FF0000"/>
                <w:sz w:val="20"/>
                <w:szCs w:val="20"/>
              </w:rPr>
            </w:pPr>
          </w:p>
          <w:p w:rsidR="007D7C63" w:rsidRPr="002A6427" w:rsidP="002A6427" w14:paraId="078AA9CC" w14:textId="6924BA8F">
            <w:pPr>
              <w:rPr>
                <w:i/>
                <w:iCs/>
                <w:color w:val="000000" w:themeColor="text1"/>
                <w:sz w:val="20"/>
                <w:szCs w:val="20"/>
              </w:rPr>
            </w:pPr>
            <w:r w:rsidRPr="002A6427">
              <w:rPr>
                <w:i/>
                <w:iCs/>
                <w:color w:val="000000" w:themeColor="text1"/>
                <w:sz w:val="20"/>
                <w:szCs w:val="20"/>
              </w:rPr>
              <w:t xml:space="preserve">Private Sector; </w:t>
            </w:r>
            <w:r w:rsidRPr="002A6427">
              <w:rPr>
                <w:bCs/>
                <w:color w:val="000000" w:themeColor="text1"/>
                <w:sz w:val="20"/>
                <w:szCs w:val="20"/>
              </w:rPr>
              <w:t>Business or other for-profit</w:t>
            </w:r>
          </w:p>
          <w:p w:rsidR="007D7C63" w:rsidRPr="00DA5B8E" w:rsidP="002A6427" w14:paraId="46CB9907" w14:textId="6F8206D8">
            <w:pPr>
              <w:rPr>
                <w:color w:val="000000"/>
                <w:sz w:val="20"/>
                <w:szCs w:val="20"/>
              </w:rPr>
            </w:pPr>
            <w:r w:rsidRPr="00DA5B8E">
              <w:rPr>
                <w:color w:val="FF0000"/>
                <w:sz w:val="20"/>
                <w:szCs w:val="20"/>
              </w:rPr>
              <w:t xml:space="preserve"> </w:t>
            </w:r>
          </w:p>
        </w:tc>
        <w:tc>
          <w:tcPr>
            <w:tcW w:w="1530" w:type="dxa"/>
            <w:tcBorders>
              <w:top w:val="nil"/>
              <w:left w:val="nil"/>
              <w:bottom w:val="single" w:sz="8" w:space="0" w:color="auto"/>
              <w:right w:val="single" w:sz="8" w:space="0" w:color="auto"/>
            </w:tcBorders>
            <w:vAlign w:val="center"/>
            <w:hideMark/>
          </w:tcPr>
          <w:p w:rsidR="006E26AF" w:rsidRPr="00DA5B8E" w:rsidP="007D7C63" w14:paraId="0F315425" w14:textId="6D5F327E">
            <w:pPr>
              <w:rPr>
                <w:sz w:val="20"/>
                <w:szCs w:val="20"/>
              </w:rPr>
            </w:pPr>
            <w:r w:rsidRPr="002A6427">
              <w:rPr>
                <w:sz w:val="20"/>
                <w:szCs w:val="20"/>
              </w:rPr>
              <w:t>1,2-dibromo-3-</w:t>
            </w:r>
            <w:r w:rsidRPr="00DA5B8E">
              <w:rPr>
                <w:sz w:val="20"/>
                <w:szCs w:val="20"/>
              </w:rPr>
              <w:t>c</w:t>
            </w:r>
            <w:r w:rsidRPr="002A6427">
              <w:rPr>
                <w:sz w:val="20"/>
                <w:szCs w:val="20"/>
              </w:rPr>
              <w:t xml:space="preserve">hloropropane </w:t>
            </w:r>
          </w:p>
          <w:p w:rsidR="007D7C63" w:rsidRPr="00DA5B8E" w:rsidP="007D7C63" w14:paraId="0BBA7BFC" w14:textId="54354BB4">
            <w:pPr>
              <w:rPr>
                <w:color w:val="000000"/>
                <w:sz w:val="20"/>
                <w:szCs w:val="20"/>
              </w:rPr>
            </w:pPr>
            <w:r w:rsidRPr="002A6427">
              <w:rPr>
                <w:sz w:val="20"/>
                <w:szCs w:val="20"/>
              </w:rPr>
              <w:t>(29 CFR 1910.1044)</w:t>
            </w:r>
          </w:p>
        </w:tc>
        <w:tc>
          <w:tcPr>
            <w:tcW w:w="1350" w:type="dxa"/>
            <w:tcBorders>
              <w:top w:val="nil"/>
              <w:left w:val="nil"/>
              <w:bottom w:val="single" w:sz="8" w:space="0" w:color="auto"/>
              <w:right w:val="single" w:sz="8" w:space="0" w:color="auto"/>
            </w:tcBorders>
            <w:vAlign w:val="center"/>
            <w:hideMark/>
          </w:tcPr>
          <w:p w:rsidR="007D7C63" w:rsidRPr="00DA5B8E" w:rsidP="002A6427" w14:paraId="0C332F3E" w14:textId="3042C098">
            <w:pPr>
              <w:jc w:val="center"/>
              <w:rPr>
                <w:sz w:val="20"/>
                <w:szCs w:val="20"/>
              </w:rPr>
            </w:pPr>
            <w:r w:rsidRPr="00DA5B8E">
              <w:rPr>
                <w:sz w:val="20"/>
                <w:szCs w:val="20"/>
              </w:rPr>
              <w:t>1</w:t>
            </w:r>
          </w:p>
        </w:tc>
        <w:tc>
          <w:tcPr>
            <w:tcW w:w="1440" w:type="dxa"/>
            <w:tcBorders>
              <w:top w:val="nil"/>
              <w:left w:val="nil"/>
              <w:bottom w:val="single" w:sz="8" w:space="0" w:color="auto"/>
              <w:right w:val="single" w:sz="8" w:space="0" w:color="auto"/>
            </w:tcBorders>
            <w:vAlign w:val="center"/>
            <w:hideMark/>
          </w:tcPr>
          <w:p w:rsidR="007D7C63" w:rsidRPr="002A6427" w:rsidP="00CD1597" w14:paraId="22A815F2" w14:textId="77777777">
            <w:pPr>
              <w:jc w:val="center"/>
              <w:rPr>
                <w:color w:val="000000"/>
                <w:sz w:val="20"/>
                <w:szCs w:val="20"/>
              </w:rPr>
            </w:pPr>
            <w:r w:rsidRPr="00DA5B8E">
              <w:rPr>
                <w:color w:val="000000"/>
                <w:sz w:val="20"/>
                <w:szCs w:val="20"/>
              </w:rPr>
              <w:t>1</w:t>
            </w:r>
          </w:p>
        </w:tc>
        <w:tc>
          <w:tcPr>
            <w:tcW w:w="1170" w:type="dxa"/>
            <w:tcBorders>
              <w:top w:val="nil"/>
              <w:left w:val="nil"/>
              <w:bottom w:val="single" w:sz="8" w:space="0" w:color="auto"/>
              <w:right w:val="single" w:sz="8" w:space="0" w:color="auto"/>
            </w:tcBorders>
            <w:vAlign w:val="center"/>
            <w:hideMark/>
          </w:tcPr>
          <w:p w:rsidR="007D7C63" w:rsidRPr="00DA5B8E" w:rsidP="002A6427" w14:paraId="255EB623" w14:textId="43F8D19F">
            <w:pPr>
              <w:jc w:val="center"/>
              <w:rPr>
                <w:color w:val="000000"/>
                <w:sz w:val="20"/>
                <w:szCs w:val="20"/>
              </w:rPr>
            </w:pPr>
            <w:r w:rsidRPr="00DA5B8E">
              <w:rPr>
                <w:color w:val="000000"/>
                <w:sz w:val="20"/>
                <w:szCs w:val="20"/>
              </w:rPr>
              <w:t>1</w:t>
            </w:r>
          </w:p>
        </w:tc>
        <w:tc>
          <w:tcPr>
            <w:tcW w:w="1180" w:type="dxa"/>
            <w:tcBorders>
              <w:top w:val="nil"/>
              <w:left w:val="nil"/>
              <w:bottom w:val="single" w:sz="8" w:space="0" w:color="auto"/>
              <w:right w:val="single" w:sz="8" w:space="0" w:color="auto"/>
            </w:tcBorders>
            <w:vAlign w:val="center"/>
            <w:hideMark/>
          </w:tcPr>
          <w:p w:rsidR="007D7C63" w:rsidRPr="00DA5B8E" w:rsidP="002A6427" w14:paraId="3D7E32A8" w14:textId="6721CF0C">
            <w:pPr>
              <w:jc w:val="center"/>
              <w:rPr>
                <w:sz w:val="20"/>
                <w:szCs w:val="20"/>
              </w:rPr>
            </w:pPr>
            <w:r w:rsidRPr="00DA5B8E">
              <w:rPr>
                <w:sz w:val="20"/>
                <w:szCs w:val="20"/>
              </w:rPr>
              <w:t>1</w:t>
            </w:r>
          </w:p>
        </w:tc>
        <w:tc>
          <w:tcPr>
            <w:tcW w:w="1155" w:type="dxa"/>
            <w:tcBorders>
              <w:top w:val="nil"/>
              <w:left w:val="nil"/>
              <w:bottom w:val="single" w:sz="8" w:space="0" w:color="auto"/>
              <w:right w:val="single" w:sz="8" w:space="0" w:color="auto"/>
            </w:tcBorders>
            <w:vAlign w:val="center"/>
            <w:hideMark/>
          </w:tcPr>
          <w:p w:rsidR="007D7C63" w:rsidRPr="00DA5B8E" w:rsidP="002A6427" w14:paraId="2D6A3DFC" w14:textId="357C4E33">
            <w:pPr>
              <w:jc w:val="center"/>
              <w:rPr>
                <w:sz w:val="20"/>
                <w:szCs w:val="20"/>
              </w:rPr>
            </w:pPr>
            <w:r w:rsidRPr="00DA5B8E">
              <w:rPr>
                <w:sz w:val="20"/>
                <w:szCs w:val="20"/>
              </w:rPr>
              <w:t>1</w:t>
            </w:r>
          </w:p>
        </w:tc>
        <w:tc>
          <w:tcPr>
            <w:tcW w:w="960" w:type="dxa"/>
            <w:tcBorders>
              <w:top w:val="nil"/>
              <w:left w:val="nil"/>
              <w:bottom w:val="single" w:sz="8" w:space="0" w:color="auto"/>
              <w:right w:val="single" w:sz="8" w:space="0" w:color="auto"/>
            </w:tcBorders>
            <w:vAlign w:val="center"/>
            <w:hideMark/>
          </w:tcPr>
          <w:p w:rsidR="007D7C63" w:rsidRPr="002A6427" w:rsidP="00CD1597" w14:paraId="5FD8B60D" w14:textId="7F6B80CD">
            <w:pPr>
              <w:jc w:val="center"/>
              <w:rPr>
                <w:sz w:val="20"/>
                <w:szCs w:val="20"/>
              </w:rPr>
            </w:pPr>
            <w:r w:rsidRPr="00DA5B8E">
              <w:rPr>
                <w:sz w:val="20"/>
                <w:szCs w:val="20"/>
              </w:rPr>
              <w:t>N/A</w:t>
            </w:r>
          </w:p>
        </w:tc>
        <w:tc>
          <w:tcPr>
            <w:tcW w:w="1295" w:type="dxa"/>
            <w:tcBorders>
              <w:top w:val="nil"/>
              <w:left w:val="nil"/>
              <w:bottom w:val="single" w:sz="8" w:space="0" w:color="auto"/>
              <w:right w:val="single" w:sz="8" w:space="0" w:color="auto"/>
            </w:tcBorders>
            <w:vAlign w:val="center"/>
            <w:hideMark/>
          </w:tcPr>
          <w:p w:rsidR="007D7C63" w:rsidRPr="00DA5B8E" w:rsidP="00CD1597" w14:paraId="17CCF1D5" w14:textId="218D6C64">
            <w:pPr>
              <w:jc w:val="center"/>
              <w:rPr>
                <w:color w:val="000000"/>
                <w:sz w:val="20"/>
                <w:szCs w:val="20"/>
              </w:rPr>
            </w:pPr>
            <w:r w:rsidRPr="00DA5B8E">
              <w:rPr>
                <w:color w:val="000000"/>
                <w:sz w:val="20"/>
                <w:szCs w:val="20"/>
              </w:rPr>
              <w:t>N/A</w:t>
            </w:r>
          </w:p>
        </w:tc>
      </w:tr>
      <w:tr w14:paraId="624A2221" w14:textId="77777777" w:rsidTr="002A6427">
        <w:tblPrEx>
          <w:tblW w:w="11340" w:type="dxa"/>
          <w:tblInd w:w="-730" w:type="dxa"/>
          <w:tblLayout w:type="fixed"/>
          <w:tblLook w:val="04A0"/>
        </w:tblPrEx>
        <w:trPr>
          <w:trHeight w:val="315"/>
        </w:trPr>
        <w:tc>
          <w:tcPr>
            <w:tcW w:w="1260" w:type="dxa"/>
            <w:tcBorders>
              <w:top w:val="nil"/>
              <w:left w:val="single" w:sz="8" w:space="0" w:color="auto"/>
              <w:bottom w:val="single" w:sz="8" w:space="0" w:color="auto"/>
              <w:right w:val="single" w:sz="8" w:space="0" w:color="auto"/>
            </w:tcBorders>
            <w:vAlign w:val="center"/>
            <w:hideMark/>
          </w:tcPr>
          <w:p w:rsidR="007D7C63" w:rsidRPr="00DA5B8E" w:rsidP="002712E4" w14:paraId="69032754" w14:textId="77777777">
            <w:pPr>
              <w:jc w:val="center"/>
              <w:rPr>
                <w:color w:val="000000"/>
                <w:sz w:val="20"/>
                <w:szCs w:val="20"/>
              </w:rPr>
            </w:pPr>
            <w:r w:rsidRPr="00DA5B8E">
              <w:rPr>
                <w:color w:val="000000"/>
                <w:sz w:val="20"/>
                <w:szCs w:val="20"/>
              </w:rPr>
              <w:t>Total</w:t>
            </w:r>
          </w:p>
        </w:tc>
        <w:tc>
          <w:tcPr>
            <w:tcW w:w="1530" w:type="dxa"/>
            <w:tcBorders>
              <w:top w:val="nil"/>
              <w:left w:val="nil"/>
              <w:bottom w:val="single" w:sz="8" w:space="0" w:color="auto"/>
              <w:right w:val="single" w:sz="8" w:space="0" w:color="auto"/>
            </w:tcBorders>
            <w:shd w:val="clear" w:color="auto" w:fill="000000" w:themeFill="text1"/>
            <w:vAlign w:val="center"/>
            <w:hideMark/>
          </w:tcPr>
          <w:p w:rsidR="007D7C63" w:rsidRPr="00DA5B8E" w:rsidP="002712E4" w14:paraId="3908B415" w14:textId="77777777">
            <w:pPr>
              <w:jc w:val="center"/>
              <w:rPr>
                <w:color w:val="000000"/>
                <w:sz w:val="20"/>
                <w:szCs w:val="20"/>
              </w:rPr>
            </w:pPr>
            <w:r w:rsidRPr="00DA5B8E">
              <w:rPr>
                <w:color w:val="000000"/>
                <w:sz w:val="20"/>
                <w:szCs w:val="20"/>
              </w:rPr>
              <w:t> </w:t>
            </w:r>
          </w:p>
        </w:tc>
        <w:tc>
          <w:tcPr>
            <w:tcW w:w="1350" w:type="dxa"/>
            <w:tcBorders>
              <w:top w:val="nil"/>
              <w:left w:val="nil"/>
              <w:bottom w:val="single" w:sz="8" w:space="0" w:color="auto"/>
              <w:right w:val="single" w:sz="8" w:space="0" w:color="auto"/>
            </w:tcBorders>
            <w:shd w:val="clear" w:color="auto" w:fill="000000"/>
            <w:vAlign w:val="center"/>
            <w:hideMark/>
          </w:tcPr>
          <w:p w:rsidR="007D7C63" w:rsidRPr="00DA5B8E" w:rsidP="002712E4" w14:paraId="1DF1590E" w14:textId="7AA6791E">
            <w:pPr>
              <w:jc w:val="center"/>
              <w:rPr>
                <w:color w:val="000000"/>
                <w:sz w:val="20"/>
                <w:szCs w:val="20"/>
              </w:rPr>
            </w:pPr>
            <w:r w:rsidRPr="00DA5B8E">
              <w:rPr>
                <w:color w:val="000000"/>
                <w:sz w:val="20"/>
                <w:szCs w:val="20"/>
              </w:rPr>
              <w:t>1 </w:t>
            </w:r>
          </w:p>
        </w:tc>
        <w:tc>
          <w:tcPr>
            <w:tcW w:w="1440" w:type="dxa"/>
            <w:tcBorders>
              <w:top w:val="nil"/>
              <w:left w:val="nil"/>
              <w:bottom w:val="single" w:sz="8" w:space="0" w:color="auto"/>
              <w:right w:val="single" w:sz="8" w:space="0" w:color="auto"/>
            </w:tcBorders>
            <w:shd w:val="clear" w:color="auto" w:fill="000000" w:themeFill="text1"/>
            <w:vAlign w:val="center"/>
            <w:hideMark/>
          </w:tcPr>
          <w:p w:rsidR="007D7C63" w:rsidRPr="00DA5B8E" w:rsidP="002712E4" w14:paraId="4EF2363E" w14:textId="77777777">
            <w:pPr>
              <w:jc w:val="center"/>
              <w:rPr>
                <w:color w:val="000000"/>
                <w:sz w:val="20"/>
                <w:szCs w:val="20"/>
              </w:rPr>
            </w:pPr>
            <w:r w:rsidRPr="00DA5B8E">
              <w:rPr>
                <w:color w:val="000000"/>
                <w:sz w:val="20"/>
                <w:szCs w:val="20"/>
              </w:rPr>
              <w:t> </w:t>
            </w:r>
          </w:p>
        </w:tc>
        <w:tc>
          <w:tcPr>
            <w:tcW w:w="1170" w:type="dxa"/>
            <w:tcBorders>
              <w:top w:val="nil"/>
              <w:left w:val="nil"/>
              <w:bottom w:val="single" w:sz="8" w:space="0" w:color="auto"/>
              <w:right w:val="single" w:sz="8" w:space="0" w:color="auto"/>
            </w:tcBorders>
            <w:vAlign w:val="center"/>
            <w:hideMark/>
          </w:tcPr>
          <w:p w:rsidR="007D7C63" w:rsidRPr="00DA5B8E" w:rsidP="002712E4" w14:paraId="3D17BF4A" w14:textId="34E843B5">
            <w:pPr>
              <w:rPr>
                <w:color w:val="000000"/>
                <w:sz w:val="20"/>
                <w:szCs w:val="20"/>
              </w:rPr>
            </w:pPr>
            <w:r w:rsidRPr="00DA5B8E">
              <w:rPr>
                <w:color w:val="000000"/>
                <w:sz w:val="20"/>
                <w:szCs w:val="20"/>
              </w:rPr>
              <w:t>1</w:t>
            </w:r>
          </w:p>
        </w:tc>
        <w:tc>
          <w:tcPr>
            <w:tcW w:w="1180" w:type="dxa"/>
            <w:tcBorders>
              <w:top w:val="nil"/>
              <w:left w:val="nil"/>
              <w:bottom w:val="single" w:sz="8" w:space="0" w:color="auto"/>
              <w:right w:val="single" w:sz="8" w:space="0" w:color="auto"/>
            </w:tcBorders>
            <w:shd w:val="clear" w:color="auto" w:fill="000000"/>
            <w:vAlign w:val="center"/>
            <w:hideMark/>
          </w:tcPr>
          <w:p w:rsidR="007D7C63" w:rsidRPr="002A6427" w:rsidP="002712E4" w14:paraId="531260C2" w14:textId="0201126D">
            <w:pPr>
              <w:jc w:val="center"/>
              <w:rPr>
                <w:color w:val="000000"/>
                <w:sz w:val="20"/>
                <w:szCs w:val="20"/>
              </w:rPr>
            </w:pPr>
            <w:r w:rsidRPr="00DA5B8E">
              <w:rPr>
                <w:color w:val="000000"/>
                <w:sz w:val="20"/>
                <w:szCs w:val="20"/>
              </w:rPr>
              <w:t>1 </w:t>
            </w:r>
          </w:p>
        </w:tc>
        <w:tc>
          <w:tcPr>
            <w:tcW w:w="1155" w:type="dxa"/>
            <w:tcBorders>
              <w:top w:val="nil"/>
              <w:left w:val="nil"/>
              <w:bottom w:val="single" w:sz="8" w:space="0" w:color="auto"/>
              <w:right w:val="single" w:sz="8" w:space="0" w:color="auto"/>
            </w:tcBorders>
            <w:vAlign w:val="center"/>
            <w:hideMark/>
          </w:tcPr>
          <w:p w:rsidR="007D7C63" w:rsidRPr="00DA5B8E" w:rsidP="002712E4" w14:paraId="0316DB61" w14:textId="0F11BBCF">
            <w:pPr>
              <w:jc w:val="center"/>
              <w:rPr>
                <w:color w:val="000000"/>
                <w:sz w:val="20"/>
                <w:szCs w:val="20"/>
              </w:rPr>
            </w:pPr>
            <w:r w:rsidRPr="00DA5B8E">
              <w:rPr>
                <w:color w:val="000000"/>
                <w:sz w:val="20"/>
                <w:szCs w:val="20"/>
              </w:rPr>
              <w:t>1</w:t>
            </w:r>
            <w:r w:rsidRPr="00DA5B8E" w:rsidR="006E26AF">
              <w:rPr>
                <w:color w:val="000000"/>
                <w:sz w:val="20"/>
                <w:szCs w:val="20"/>
              </w:rPr>
              <w:t xml:space="preserve"> </w:t>
            </w:r>
            <w:r w:rsidRPr="00DA5B8E">
              <w:rPr>
                <w:color w:val="000000"/>
                <w:sz w:val="20"/>
                <w:szCs w:val="20"/>
              </w:rPr>
              <w:t xml:space="preserve">(rounded) </w:t>
            </w:r>
          </w:p>
        </w:tc>
        <w:tc>
          <w:tcPr>
            <w:tcW w:w="960" w:type="dxa"/>
            <w:tcBorders>
              <w:top w:val="nil"/>
              <w:left w:val="nil"/>
              <w:bottom w:val="single" w:sz="8" w:space="0" w:color="auto"/>
              <w:right w:val="single" w:sz="8" w:space="0" w:color="auto"/>
            </w:tcBorders>
            <w:shd w:val="clear" w:color="auto" w:fill="000000" w:themeFill="text1"/>
            <w:vAlign w:val="center"/>
            <w:hideMark/>
          </w:tcPr>
          <w:p w:rsidR="007D7C63" w:rsidRPr="00DA5B8E" w:rsidP="002712E4" w14:paraId="1EEAD71B" w14:textId="77777777">
            <w:pPr>
              <w:jc w:val="center"/>
              <w:rPr>
                <w:color w:val="000000"/>
                <w:sz w:val="20"/>
                <w:szCs w:val="20"/>
              </w:rPr>
            </w:pPr>
            <w:r w:rsidRPr="00DA5B8E">
              <w:rPr>
                <w:color w:val="000000"/>
                <w:sz w:val="20"/>
                <w:szCs w:val="20"/>
              </w:rPr>
              <w:t> </w:t>
            </w:r>
          </w:p>
        </w:tc>
        <w:tc>
          <w:tcPr>
            <w:tcW w:w="1295" w:type="dxa"/>
            <w:tcBorders>
              <w:top w:val="nil"/>
              <w:left w:val="nil"/>
              <w:bottom w:val="single" w:sz="8" w:space="0" w:color="auto"/>
              <w:right w:val="single" w:sz="8" w:space="0" w:color="auto"/>
            </w:tcBorders>
            <w:vAlign w:val="center"/>
            <w:hideMark/>
          </w:tcPr>
          <w:p w:rsidR="007D7C63" w:rsidRPr="00DA5B8E" w:rsidP="002712E4" w14:paraId="324AE980" w14:textId="18F8010C">
            <w:pPr>
              <w:jc w:val="center"/>
              <w:rPr>
                <w:color w:val="000000"/>
                <w:sz w:val="20"/>
                <w:szCs w:val="20"/>
              </w:rPr>
            </w:pPr>
            <w:r w:rsidRPr="00DA5B8E">
              <w:rPr>
                <w:color w:val="000000"/>
                <w:sz w:val="20"/>
                <w:szCs w:val="20"/>
              </w:rPr>
              <w:t>N/A</w:t>
            </w:r>
            <w:r w:rsidRPr="00DA5B8E">
              <w:rPr>
                <w:color w:val="000000"/>
                <w:sz w:val="20"/>
                <w:szCs w:val="20"/>
              </w:rPr>
              <w:t> </w:t>
            </w:r>
          </w:p>
        </w:tc>
      </w:tr>
    </w:tbl>
    <w:p w:rsidR="007D7C63" w:rsidRPr="007D7C63" w:rsidP="007D7C63" w14:paraId="5481454A" w14:textId="77777777">
      <w:pPr>
        <w:jc w:val="both"/>
        <w:rPr>
          <w:rFonts w:ascii="Courier" w:hAnsi="Courier"/>
          <w:i/>
          <w:iCs/>
          <w:sz w:val="20"/>
          <w:szCs w:val="20"/>
        </w:rPr>
      </w:pPr>
    </w:p>
    <w:p w:rsidR="007D7C63" w:rsidP="007D7C63" w14:paraId="7E4C1CB1" w14:textId="77777777"/>
    <w:p w:rsidR="007D7C63" w:rsidP="007D7C63" w14:paraId="48F5B952" w14:textId="77777777"/>
    <w:p w:rsidR="007D7C63" w:rsidRPr="007B2A4A" w14:paraId="345F7C17" w14:textId="77777777">
      <w:pPr>
        <w:ind w:left="720"/>
      </w:pPr>
    </w:p>
    <w:p w:rsidR="00F31D0C" w:rsidRPr="007B2A4A" w14:paraId="6EB8DE3D" w14:textId="77777777">
      <w:pPr>
        <w:tabs>
          <w:tab w:val="left" w:pos="-1440"/>
        </w:tabs>
        <w:ind w:left="720" w:hanging="720"/>
        <w:rPr>
          <w:b/>
        </w:rPr>
      </w:pPr>
    </w:p>
    <w:p w:rsidR="00F769A2" w:rsidRPr="007B2A4A" w14:paraId="4532CC76" w14:textId="77777777">
      <w:pPr>
        <w:tabs>
          <w:tab w:val="left" w:pos="-1440"/>
        </w:tabs>
        <w:ind w:left="720" w:hanging="720"/>
        <w:rPr>
          <w:b/>
        </w:rPr>
      </w:pPr>
      <w:r w:rsidRPr="007B2A4A">
        <w:rPr>
          <w:b/>
        </w:rPr>
        <w:t>13.</w:t>
      </w:r>
      <w:r w:rsidRPr="007B2A4A">
        <w:rPr>
          <w:b/>
        </w:rPr>
        <w:tab/>
        <w:t>Provide an estimate of the total annual cost burden to respondents or recordkeepers resulting from the collection of information.  (Do not include the cost of any hour burden shown in Items 12 and 14).</w:t>
      </w:r>
    </w:p>
    <w:p w:rsidR="00917E9F" w:rsidRPr="007B2A4A" w14:paraId="48DA9FE9" w14:textId="77777777">
      <w:pPr>
        <w:rPr>
          <w:b/>
        </w:rPr>
      </w:pPr>
    </w:p>
    <w:p w:rsidR="00F769A2" w:rsidP="008F2709" w14:paraId="06358DB5" w14:textId="77777777">
      <w:pPr>
        <w:numPr>
          <w:ilvl w:val="0"/>
          <w:numId w:val="6"/>
        </w:numPr>
        <w:tabs>
          <w:tab w:val="left" w:pos="-1440"/>
        </w:tabs>
        <w:rPr>
          <w:b/>
        </w:rPr>
      </w:pPr>
      <w:r w:rsidRPr="007B2A4A">
        <w:rPr>
          <w:b/>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w:t>
      </w:r>
      <w:r w:rsidRPr="007B2A4A">
        <w:rPr>
          <w:b/>
        </w:rPr>
        <w:t>Capital and start-up costs include, among other items, preparations for collecting information such as purchasing computers and software; monitoring, sampling, drilling and testing equipment; and record storage facilities.</w:t>
      </w:r>
    </w:p>
    <w:p w:rsidR="008975E7" w:rsidP="008975E7" w14:paraId="4F8A06FC" w14:textId="77777777">
      <w:pPr>
        <w:tabs>
          <w:tab w:val="left" w:pos="-1440"/>
        </w:tabs>
        <w:ind w:left="1440"/>
        <w:rPr>
          <w:b/>
        </w:rPr>
      </w:pPr>
    </w:p>
    <w:p w:rsidR="007B2A4A" w:rsidP="008F2709" w14:paraId="7D3ACE28" w14:textId="77777777">
      <w:pPr>
        <w:numPr>
          <w:ilvl w:val="0"/>
          <w:numId w:val="6"/>
        </w:numPr>
        <w:tabs>
          <w:tab w:val="left" w:pos="-1440"/>
        </w:tabs>
        <w:rPr>
          <w:b/>
        </w:rPr>
      </w:pPr>
      <w:r w:rsidRPr="007B2A4A">
        <w:rPr>
          <w:b/>
        </w:rPr>
        <w:t xml:space="preserve">If cost estimates are expected to vary widely, agencies should present ranges of cost burdens and explain the reasons for the variance.  The cost of purchasing or contracting out information collection services should be a </w:t>
      </w:r>
    </w:p>
    <w:p w:rsidR="00B13E06" w:rsidP="00B13E06" w14:paraId="5403C1DA" w14:textId="77777777">
      <w:pPr>
        <w:pStyle w:val="ListParagraph"/>
        <w:rPr>
          <w:b/>
        </w:rPr>
      </w:pPr>
    </w:p>
    <w:p w:rsidR="007B2A4A" w:rsidP="008F2709" w14:paraId="2F30A2A3" w14:textId="77777777">
      <w:pPr>
        <w:numPr>
          <w:ilvl w:val="0"/>
          <w:numId w:val="6"/>
        </w:numPr>
        <w:tabs>
          <w:tab w:val="left" w:pos="-1440"/>
        </w:tabs>
        <w:rPr>
          <w:b/>
        </w:rPr>
      </w:pPr>
      <w:r w:rsidRPr="007B2A4A">
        <w:rPr>
          <w:b/>
        </w:rPr>
        <w:t>part of this cost burden estimate.  In developing cost burden estimates, agencies may consult with a sample of respondents (fewer than 10), utilize the 60-day pre-OMB submission public comment process and use existing</w:t>
      </w:r>
    </w:p>
    <w:p w:rsidR="007B2A4A" w:rsidP="007B2A4A" w14:paraId="77DC03E7" w14:textId="77777777">
      <w:pPr>
        <w:tabs>
          <w:tab w:val="left" w:pos="-1440"/>
        </w:tabs>
        <w:ind w:left="1440"/>
        <w:rPr>
          <w:b/>
        </w:rPr>
      </w:pPr>
    </w:p>
    <w:p w:rsidR="00F769A2" w:rsidRPr="007B2A4A" w:rsidP="008F2709" w14:paraId="4E8EBA11" w14:textId="77777777">
      <w:pPr>
        <w:numPr>
          <w:ilvl w:val="0"/>
          <w:numId w:val="6"/>
        </w:numPr>
        <w:tabs>
          <w:tab w:val="left" w:pos="-1440"/>
        </w:tabs>
        <w:rPr>
          <w:b/>
        </w:rPr>
      </w:pPr>
      <w:r w:rsidRPr="007B2A4A">
        <w:rPr>
          <w:b/>
        </w:rPr>
        <w:t xml:space="preserve"> economic or regulatory impact analysis associated with the rulemaking containing the information collection, as appropriate.</w:t>
      </w:r>
    </w:p>
    <w:p w:rsidR="00F769A2" w:rsidRPr="007B2A4A" w14:paraId="5484EF79" w14:textId="77777777">
      <w:pPr>
        <w:rPr>
          <w:b/>
        </w:rPr>
      </w:pPr>
    </w:p>
    <w:p w:rsidR="00F769A2" w:rsidRPr="007B2A4A" w:rsidP="008F2709" w14:paraId="0AE3D1DF" w14:textId="77777777">
      <w:pPr>
        <w:numPr>
          <w:ilvl w:val="0"/>
          <w:numId w:val="6"/>
        </w:numPr>
        <w:tabs>
          <w:tab w:val="left" w:pos="-1440"/>
        </w:tabs>
        <w:rPr>
          <w:b/>
        </w:rPr>
      </w:pPr>
      <w:r w:rsidRPr="007B2A4A">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03237" w:rsidRPr="007B2A4A" w14:paraId="60F7147A" w14:textId="77777777"/>
    <w:p w:rsidR="00F769A2" w14:paraId="01D97C91" w14:textId="77777777">
      <w:r w:rsidRPr="007B2A4A">
        <w:t>As noted above in Item 12, no employers are currently producing or using DBCP; therefore, the Standard imposes no cost burdens on employers.</w:t>
      </w:r>
    </w:p>
    <w:p w:rsidR="00A6581E" w:rsidRPr="007B2A4A" w14:paraId="0F8C7DE7" w14:textId="77777777">
      <w:pPr>
        <w:tabs>
          <w:tab w:val="left" w:pos="-1440"/>
        </w:tabs>
        <w:ind w:left="720" w:hanging="720"/>
        <w:rPr>
          <w:b/>
        </w:rPr>
      </w:pPr>
    </w:p>
    <w:p w:rsidR="00F769A2" w:rsidRPr="007B2A4A" w14:paraId="1BC6B561" w14:textId="77777777">
      <w:pPr>
        <w:tabs>
          <w:tab w:val="left" w:pos="-1440"/>
        </w:tabs>
        <w:ind w:left="720" w:hanging="720"/>
        <w:rPr>
          <w:b/>
        </w:rPr>
      </w:pPr>
      <w:r w:rsidRPr="007B2A4A">
        <w:rPr>
          <w:b/>
        </w:rPr>
        <w:t>14.</w:t>
      </w:r>
      <w:r w:rsidRPr="007B2A4A">
        <w:rPr>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BE426E" w:rsidP="00A94FC5" w14:paraId="31290608" w14:textId="77777777"/>
    <w:p w:rsidR="00BB0C76" w:rsidP="00A94FC5" w14:paraId="0DD938CD" w14:textId="434CF6AF">
      <w:r w:rsidRPr="007B2A4A">
        <w:t>As noted in Item 12, no employers are producing DBCP or DBCP-based end-use products; therefore, the Agency has no annualized costs associated with enforcing the Standard.</w:t>
      </w:r>
      <w:r>
        <w:t xml:space="preserve"> </w:t>
      </w:r>
    </w:p>
    <w:p w:rsidR="00BB0C76" w:rsidP="00A94FC5" w14:paraId="6164C66B" w14:textId="77777777"/>
    <w:p w:rsidR="00F769A2" w:rsidRPr="007B2A4A" w:rsidP="00A94FC5" w14:paraId="721CEEAE" w14:textId="77777777">
      <w:r>
        <w:rPr>
          <w:b/>
        </w:rPr>
        <w:t>15.</w:t>
      </w:r>
      <w:r>
        <w:rPr>
          <w:b/>
        </w:rPr>
        <w:tab/>
      </w:r>
      <w:r w:rsidRPr="007B2A4A">
        <w:rPr>
          <w:b/>
        </w:rPr>
        <w:t>Explain the reasons for any</w:t>
      </w:r>
      <w:r w:rsidRPr="007B2A4A" w:rsidR="0093783E">
        <w:rPr>
          <w:b/>
        </w:rPr>
        <w:t xml:space="preserve"> program changes or adjustments.</w:t>
      </w:r>
    </w:p>
    <w:p w:rsidR="008F2709" w:rsidRPr="007B2A4A" w14:paraId="5AFD740F" w14:textId="77777777"/>
    <w:p w:rsidR="00862573" w14:paraId="1B7144AA" w14:textId="3938848D">
      <w:bookmarkStart w:id="1" w:name="_Hlk100658464"/>
      <w:r>
        <w:t xml:space="preserve">OSHA is requesting the burden hours to remain the same of one hour. </w:t>
      </w:r>
      <w:r w:rsidR="001279BA">
        <w:t xml:space="preserve">EPA canceled the registration of 1,2-dibromo-3-chloropropane in 1985. According to </w:t>
      </w:r>
      <w:r w:rsidR="00327092">
        <w:t>the TRI</w:t>
      </w:r>
      <w:r w:rsidR="001279BA">
        <w:t xml:space="preserve"> (Toxic Release Inventory) (2017), a single facility was associated with 1,2-dibromo-3-chloropropane in the </w:t>
      </w:r>
      <w:r w:rsidR="001279BA">
        <w:t xml:space="preserve">United States in 2016. This facility is a waste disposal company in Ohio. </w:t>
      </w:r>
      <w:r w:rsidR="004E268F">
        <w:t>(</w:t>
      </w:r>
      <w:hyperlink r:id="rId10" w:history="1">
        <w:r w:rsidR="004E268F">
          <w:rPr>
            <w:rStyle w:val="Hyperlink"/>
          </w:rPr>
          <w:t>https://www.atsdr.cdc.gov/toxprofiles/tp36-c5.pdf</w:t>
        </w:r>
      </w:hyperlink>
      <w:r w:rsidR="004E268F">
        <w:t xml:space="preserve">) </w:t>
      </w:r>
      <w:r w:rsidR="001279BA">
        <w:t xml:space="preserve">This information will not affect the </w:t>
      </w:r>
      <w:r w:rsidR="00B64AE3">
        <w:t>one</w:t>
      </w:r>
      <w:r w:rsidR="001279BA">
        <w:t xml:space="preserve">-hour </w:t>
      </w:r>
      <w:r>
        <w:t xml:space="preserve">standard. </w:t>
      </w:r>
      <w:r w:rsidRPr="007B2A4A">
        <w:t>There are no program changes or adjustments associated with this ICR.</w:t>
      </w:r>
      <w:r w:rsidR="0057713E">
        <w:t xml:space="preserve">     </w:t>
      </w:r>
    </w:p>
    <w:p w:rsidR="0057713E" w14:paraId="6364007A" w14:textId="77777777"/>
    <w:bookmarkEnd w:id="1"/>
    <w:p w:rsidR="00271D0E" w14:paraId="22DA2654" w14:textId="77777777">
      <w:pPr>
        <w:tabs>
          <w:tab w:val="left" w:pos="-1440"/>
        </w:tabs>
        <w:ind w:left="720" w:hanging="720"/>
        <w:rPr>
          <w:b/>
        </w:rPr>
      </w:pPr>
      <w:r w:rsidRPr="007B2A4A">
        <w:rPr>
          <w:b/>
        </w:rPr>
        <w:t>16.</w:t>
      </w:r>
      <w:r w:rsidRPr="007B2A4A">
        <w:rPr>
          <w:b/>
        </w:rPr>
        <w:tab/>
        <w:t xml:space="preserve">For collections of information whose results will be published, outline plans for tabulation, and publication.  Address any complex analytical techniques that will be </w:t>
      </w:r>
    </w:p>
    <w:p w:rsidR="00862573" w:rsidP="00271D0E" w14:paraId="25FD25A1" w14:textId="77777777">
      <w:pPr>
        <w:tabs>
          <w:tab w:val="left" w:pos="-1440"/>
        </w:tabs>
        <w:ind w:left="720"/>
        <w:rPr>
          <w:b/>
        </w:rPr>
      </w:pPr>
      <w:r w:rsidRPr="007B2A4A">
        <w:rPr>
          <w:b/>
        </w:rPr>
        <w:t xml:space="preserve">used.  Provide the time schedule for the entire project, including beginning and </w:t>
      </w:r>
    </w:p>
    <w:p w:rsidR="00F769A2" w:rsidRPr="007B2A4A" w:rsidP="00271D0E" w14:paraId="7B996568" w14:textId="77777777">
      <w:pPr>
        <w:tabs>
          <w:tab w:val="left" w:pos="-1440"/>
        </w:tabs>
        <w:ind w:left="720"/>
        <w:rPr>
          <w:b/>
        </w:rPr>
      </w:pPr>
      <w:r w:rsidRPr="007B2A4A">
        <w:rPr>
          <w:b/>
        </w:rPr>
        <w:t>ending dates of the collection of information, completion of report, publication dates, and other actions.</w:t>
      </w:r>
    </w:p>
    <w:p w:rsidR="00F769A2" w:rsidRPr="007B2A4A" w14:paraId="46D43167" w14:textId="77777777"/>
    <w:p w:rsidR="00771420" w:rsidP="00467F86" w14:paraId="09BD177E" w14:textId="4EAC77BD">
      <w:pPr>
        <w:tabs>
          <w:tab w:val="left" w:pos="-1440"/>
        </w:tabs>
        <w:spacing w:after="240"/>
        <w:ind w:left="720" w:hanging="720"/>
        <w:rPr>
          <w:b/>
        </w:rPr>
      </w:pPr>
      <w:r w:rsidRPr="007B2A4A">
        <w:t>OSHA currently collects no information under the DBCP Standard.</w:t>
      </w:r>
    </w:p>
    <w:p w:rsidR="00F769A2" w:rsidP="00467F86" w14:paraId="19E7AE05" w14:textId="056B8AEB">
      <w:pPr>
        <w:tabs>
          <w:tab w:val="left" w:pos="-1440"/>
        </w:tabs>
        <w:spacing w:after="240"/>
        <w:ind w:left="720" w:hanging="720"/>
        <w:rPr>
          <w:b/>
        </w:rPr>
      </w:pPr>
      <w:r w:rsidRPr="007B2A4A">
        <w:rPr>
          <w:b/>
        </w:rPr>
        <w:t>17.</w:t>
      </w:r>
      <w:r w:rsidRPr="007B2A4A">
        <w:rPr>
          <w:b/>
        </w:rPr>
        <w:tab/>
        <w:t>If seeking approval to not display the expiration date for OMB approval of the information collection, explain the reasons that display would be inappropriate.</w:t>
      </w:r>
    </w:p>
    <w:p w:rsidR="000670A4" w14:paraId="680BAC70" w14:textId="77777777">
      <w:r w:rsidRPr="007B2A4A">
        <w:t xml:space="preserve">OSHA lists current valid control numbers in §§1910.8, 1915.8, 1917.4, 1918.4, and 1926.5 and </w:t>
      </w:r>
    </w:p>
    <w:p w:rsidR="007B2A4A" w14:paraId="22E32E7D" w14:textId="77777777">
      <w:r w:rsidRPr="007B2A4A">
        <w:t xml:space="preserve">publishes the expiration date in the Federal Register notice announcing OMB approval of the </w:t>
      </w:r>
    </w:p>
    <w:p w:rsidR="00A308B6" w:rsidRPr="007B2A4A" w14:paraId="007B372C" w14:textId="77777777">
      <w:r w:rsidRPr="007B2A4A">
        <w:t>Information collection requirement (see 5 CFR 1320.3(f)(3).  OSHA believes that this is the most appropriate and accurate mechanism to inform interested parties of these expiration dates</w:t>
      </w:r>
    </w:p>
    <w:p w:rsidR="00F769A2" w:rsidRPr="007B2A4A" w14:paraId="12004A96" w14:textId="77777777">
      <w:r w:rsidRPr="007B2A4A">
        <w:t xml:space="preserve">  </w:t>
      </w:r>
    </w:p>
    <w:p w:rsidR="00F769A2" w:rsidRPr="007B2A4A" w14:paraId="303A076E" w14:textId="77777777">
      <w:pPr>
        <w:tabs>
          <w:tab w:val="left" w:pos="-1440"/>
        </w:tabs>
        <w:ind w:left="720" w:hanging="720"/>
        <w:rPr>
          <w:b/>
        </w:rPr>
      </w:pPr>
      <w:r w:rsidRPr="007B2A4A">
        <w:rPr>
          <w:b/>
        </w:rPr>
        <w:t>18.</w:t>
      </w:r>
      <w:r w:rsidRPr="007B2A4A">
        <w:rPr>
          <w:b/>
        </w:rPr>
        <w:tab/>
        <w:t xml:space="preserve">Explain each exception to the certification </w:t>
      </w:r>
      <w:r w:rsidRPr="007B2A4A" w:rsidR="00446581">
        <w:rPr>
          <w:b/>
        </w:rPr>
        <w:t>stat</w:t>
      </w:r>
      <w:r w:rsidRPr="007B2A4A" w:rsidR="00EE60D9">
        <w:rPr>
          <w:b/>
        </w:rPr>
        <w:t>ement</w:t>
      </w:r>
      <w:r w:rsidRPr="007B2A4A">
        <w:rPr>
          <w:b/>
        </w:rPr>
        <w:t>.</w:t>
      </w:r>
    </w:p>
    <w:p w:rsidR="00F769A2" w:rsidRPr="007B2A4A" w14:paraId="3D3BC903" w14:textId="77777777"/>
    <w:p w:rsidR="00F769A2" w:rsidRPr="007B2A4A" w14:paraId="399B4335" w14:textId="77777777">
      <w:r w:rsidRPr="007B2A4A">
        <w:t>OSHA is not seeking an exception to the cert</w:t>
      </w:r>
      <w:r w:rsidRPr="007B2A4A" w:rsidR="000D0D43">
        <w:t>ification statement.</w:t>
      </w:r>
    </w:p>
    <w:p w:rsidR="000D0D43" w:rsidRPr="007B2A4A" w14:paraId="146E1296" w14:textId="77777777"/>
    <w:p w:rsidR="000D0D43" w:rsidRPr="007B2A4A" w:rsidP="00906C2C" w14:paraId="5DCBBF29" w14:textId="77777777">
      <w:pPr>
        <w:numPr>
          <w:ilvl w:val="0"/>
          <w:numId w:val="3"/>
        </w:numPr>
        <w:tabs>
          <w:tab w:val="left" w:pos="0"/>
          <w:tab w:val="num" w:pos="630"/>
          <w:tab w:val="clear" w:pos="720"/>
        </w:tabs>
        <w:ind w:hanging="720"/>
        <w:rPr>
          <w:b/>
        </w:rPr>
      </w:pPr>
      <w:r w:rsidRPr="007B2A4A">
        <w:rPr>
          <w:b/>
        </w:rPr>
        <w:t>COLLECTION OF INFORMATION EMPLOYING STATISTICAL METHODS.</w:t>
      </w:r>
    </w:p>
    <w:p w:rsidR="000D0D43" w:rsidRPr="007B2A4A" w:rsidP="000D0D43" w14:paraId="6C716A59" w14:textId="77777777">
      <w:pPr>
        <w:tabs>
          <w:tab w:val="left" w:pos="810"/>
        </w:tabs>
        <w:rPr>
          <w:b/>
        </w:rPr>
      </w:pPr>
    </w:p>
    <w:p w:rsidR="00634BD0" w:rsidP="0007472B" w14:paraId="49ED7CBC" w14:textId="2C942B54">
      <w:pPr>
        <w:tabs>
          <w:tab w:val="left" w:pos="810"/>
        </w:tabs>
      </w:pPr>
      <w:r w:rsidRPr="007B2A4A">
        <w:t>Th</w:t>
      </w:r>
      <w:r w:rsidRPr="007B2A4A" w:rsidR="00FE6E9F">
        <w:t xml:space="preserve">is supporting </w:t>
      </w:r>
      <w:r w:rsidRPr="007B2A4A" w:rsidR="00303237">
        <w:t>s</w:t>
      </w:r>
      <w:r w:rsidRPr="007B2A4A" w:rsidR="00FE6E9F">
        <w:t xml:space="preserve">tatement does not contain any </w:t>
      </w:r>
      <w:r w:rsidRPr="007B2A4A">
        <w:t>collection</w:t>
      </w:r>
      <w:r w:rsidRPr="007B2A4A" w:rsidR="009043E8">
        <w:t>s</w:t>
      </w:r>
      <w:r w:rsidRPr="007B2A4A">
        <w:t xml:space="preserve"> of information</w:t>
      </w:r>
      <w:r w:rsidRPr="007B2A4A" w:rsidR="00FE6E9F">
        <w:t xml:space="preserve"> requirements that</w:t>
      </w:r>
      <w:r w:rsidRPr="007B2A4A">
        <w:t xml:space="preserve"> employ statistical methods.</w:t>
      </w:r>
    </w:p>
    <w:p w:rsidR="00634BD0" w14:paraId="36D726E4" w14:textId="77777777"/>
    <w:p w:rsidR="00634BD0" w14:paraId="76FBD68F" w14:textId="77777777"/>
    <w:p w:rsidR="00634BD0" w14:paraId="36633512" w14:textId="77777777"/>
    <w:p w:rsidR="00634BD0" w14:paraId="16F7B69A" w14:textId="77777777"/>
    <w:p w:rsidR="00634BD0" w14:paraId="3824FB3A" w14:textId="77777777"/>
    <w:p w:rsidR="00634BD0" w14:paraId="7DC6AC45" w14:textId="77777777"/>
    <w:p w:rsidR="00634BD0" w14:paraId="49CBC8DA" w14:textId="77777777"/>
    <w:p w:rsidR="00634BD0" w14:paraId="29E541B7" w14:textId="77777777"/>
    <w:p w:rsidR="00634BD0" w14:paraId="5B16E03F" w14:textId="77777777"/>
    <w:p w:rsidR="00634BD0" w14:paraId="17A5B7C4" w14:textId="77777777"/>
    <w:p w:rsidR="00634BD0" w14:paraId="4B879CBD" w14:textId="77777777"/>
    <w:p w:rsidR="00634BD0" w14:paraId="2C94E3E4" w14:textId="77777777"/>
    <w:p w:rsidR="00634BD0" w14:paraId="66F76483" w14:textId="77777777"/>
    <w:p w:rsidR="00634BD0" w14:paraId="3BD7E8C1" w14:textId="77777777"/>
    <w:p w:rsidR="00634BD0" w14:paraId="650914EB" w14:textId="77777777"/>
    <w:p w:rsidR="00634BD0" w14:paraId="28746F49" w14:textId="77777777"/>
    <w:p w:rsidR="00634BD0" w:rsidRPr="007B2A4A" w:rsidP="00760697" w14:paraId="004CDCAF" w14:textId="77777777"/>
    <w:sectPr w:rsidSect="00BF6DD1">
      <w:headerReference w:type="default" r:id="rId11"/>
      <w:footerReference w:type="even" r:id="rId12"/>
      <w:footerReference w:type="default" r:id="rId13"/>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581E" w:rsidP="00964A88" w14:paraId="10BA697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6581E" w:rsidP="009F50FF" w14:paraId="5A6CACF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581E" w14:paraId="65B26E14" w14:textId="77777777">
    <w:pPr>
      <w:spacing w:line="240" w:lineRule="exact"/>
    </w:pPr>
  </w:p>
  <w:p w:rsidR="00A6581E" w:rsidP="00964A88" w14:paraId="0935E61C" w14:textId="77777777">
    <w:pPr>
      <w:framePr w:wrap="around" w:vAnchor="text" w:hAnchor="margin" w:xAlign="center" w:y="1"/>
      <w:jc w:val="center"/>
    </w:pPr>
    <w:r>
      <w:fldChar w:fldCharType="begin"/>
    </w:r>
    <w:r>
      <w:instrText xml:space="preserve">PAGE </w:instrText>
    </w:r>
    <w:r>
      <w:fldChar w:fldCharType="separate"/>
    </w:r>
    <w:r w:rsidR="00223DD1">
      <w:rPr>
        <w:noProof/>
      </w:rPr>
      <w:t>10</w:t>
    </w:r>
    <w:r>
      <w:fldChar w:fldCharType="end"/>
    </w:r>
  </w:p>
  <w:p w:rsidR="00A6581E" w:rsidP="009F50FF" w14:paraId="73C988C6" w14:textId="7777777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8413F" w14:paraId="521B3998" w14:textId="77777777">
      <w:r>
        <w:separator/>
      </w:r>
    </w:p>
  </w:footnote>
  <w:footnote w:type="continuationSeparator" w:id="1">
    <w:p w:rsidR="0008413F" w14:paraId="584FCFA3" w14:textId="77777777">
      <w:r>
        <w:continuationSeparator/>
      </w:r>
    </w:p>
  </w:footnote>
  <w:footnote w:id="2">
    <w:p w:rsidR="00A6581E" w:rsidRPr="00247918" w14:paraId="37588706" w14:textId="77777777">
      <w:pPr>
        <w:spacing w:after="240"/>
        <w:ind w:firstLine="720"/>
      </w:pPr>
      <w:r w:rsidRPr="00247918">
        <w:rPr>
          <w:rStyle w:val="FootnoteReference"/>
          <w:vertAlign w:val="superscript"/>
        </w:rPr>
        <w:footnoteRef/>
      </w:r>
      <w:r w:rsidRPr="00247918">
        <w:t xml:space="preserve"> </w:t>
      </w:r>
      <w:r w:rsidRPr="00401E44">
        <w:rPr>
          <w:sz w:val="20"/>
          <w:szCs w:val="20"/>
        </w:rPr>
        <w:t>Note that the DBCP Standards for Shipyards (29 CFR 1915.1044) and Construction (29 CFR 1926.1144) incorporate by reference the General Industry DBCP Standard (29 CFR 1910.1044).</w:t>
      </w:r>
    </w:p>
  </w:footnote>
  <w:footnote w:id="3">
    <w:p w:rsidR="00A6581E" w:rsidRPr="002F7162" w14:paraId="5A40C16D" w14:textId="77777777">
      <w:pPr>
        <w:spacing w:after="240"/>
        <w:ind w:firstLine="720"/>
      </w:pPr>
      <w:r w:rsidRPr="002F7162">
        <w:rPr>
          <w:rStyle w:val="FootnoteReference"/>
          <w:vertAlign w:val="superscript"/>
        </w:rPr>
        <w:footnoteRef/>
      </w:r>
      <w:r w:rsidR="003211C7">
        <w:t xml:space="preserve"> </w:t>
      </w:r>
      <w:r w:rsidRPr="00401E44">
        <w:rPr>
          <w:sz w:val="20"/>
          <w:szCs w:val="20"/>
        </w:rPr>
        <w:t>Operated by the Department of Health and Human Services.</w:t>
      </w:r>
    </w:p>
  </w:footnote>
  <w:footnote w:id="4">
    <w:p w:rsidR="002F7162" w:rsidRPr="00724523" w:rsidP="00401E44" w14:paraId="0149610C" w14:textId="77777777">
      <w:pPr>
        <w:spacing w:after="240"/>
        <w:ind w:firstLine="720"/>
        <w:rPr>
          <w:vertAlign w:val="subscript"/>
        </w:rPr>
      </w:pPr>
      <w:r w:rsidRPr="003211C7">
        <w:rPr>
          <w:rStyle w:val="FootnoteReference"/>
          <w:vertAlign w:val="superscript"/>
        </w:rPr>
        <w:footnoteRef/>
      </w:r>
      <w:r w:rsidR="003211C7">
        <w:rPr>
          <w:vertAlign w:val="subscript"/>
        </w:rPr>
        <w:t xml:space="preserve"> </w:t>
      </w:r>
      <w:r w:rsidRPr="00401E44">
        <w:rPr>
          <w:sz w:val="20"/>
          <w:szCs w:val="20"/>
        </w:rPr>
        <w:t xml:space="preserve">1,2-Dibromo-3-chloropropane (DBCP) was used in the past as a soil fumigant and </w:t>
      </w:r>
      <w:r w:rsidRPr="00401E44" w:rsidR="005A04B9">
        <w:rPr>
          <w:sz w:val="20"/>
          <w:szCs w:val="20"/>
        </w:rPr>
        <w:t>nematicide</w:t>
      </w:r>
      <w:r w:rsidRPr="00401E44">
        <w:rPr>
          <w:sz w:val="20"/>
          <w:szCs w:val="20"/>
        </w:rPr>
        <w:t xml:space="preserve"> on crops; it is no longer used except as an intermediate in chemical synthesis. Acute (short-term) exposure to DBCP in </w:t>
      </w:r>
      <w:r w:rsidRPr="00401E44" w:rsidR="005A04B9">
        <w:rPr>
          <w:sz w:val="20"/>
          <w:szCs w:val="20"/>
        </w:rPr>
        <w:t>humans’</w:t>
      </w:r>
      <w:r w:rsidRPr="00401E44">
        <w:rPr>
          <w:sz w:val="20"/>
          <w:szCs w:val="20"/>
        </w:rPr>
        <w:t xml:space="preserve"> results in moderate depression of the central nervous system (CNS) and pulmonary congestion from inhalation, and gastrointestinal distress and pulmonary edema from oral exposure. Chronic (long-term) exposure to DBCP in humans causes male reproductive effects, such as decreased sperm counts. Testicular effects and decreased sperm counts were observed in animals chronically exposed to DBCP by inhalation. Available human data on DBCP and cancer are inadequate. High incidences of tumors of the nasal tract, tongue, adrenal cortex, and lungs of rodents were reported in a National Toxicology Program (NTP) inhalation study. EPA has classified DBCP as a Group B2, probable human carcinogen. </w:t>
      </w:r>
      <w:r w:rsidRPr="00401E44" w:rsidR="00115F67">
        <w:rPr>
          <w:sz w:val="20"/>
          <w:szCs w:val="20"/>
        </w:rPr>
        <w:t xml:space="preserve"> </w:t>
      </w:r>
      <w:hyperlink r:id="rId1" w:history="1">
        <w:r w:rsidRPr="00401E44" w:rsidR="00F31138">
          <w:rPr>
            <w:rStyle w:val="Hyperlink"/>
            <w:sz w:val="20"/>
            <w:szCs w:val="20"/>
          </w:rPr>
          <w:t>https://www.epa.gov/sites/production/files/2016-09/documents/1-2-dibromo-3-chloropropane.pdf</w:t>
        </w:r>
      </w:hyperlink>
    </w:p>
  </w:footnote>
  <w:footnote w:id="5">
    <w:p w:rsidR="00A6581E" w:rsidRPr="00F07307" w14:paraId="771CB2CB" w14:textId="77777777">
      <w:pPr>
        <w:spacing w:after="240"/>
        <w:ind w:firstLine="720"/>
        <w:rPr>
          <w:sz w:val="20"/>
          <w:szCs w:val="20"/>
        </w:rPr>
      </w:pPr>
      <w:r w:rsidRPr="009800DF">
        <w:rPr>
          <w:rStyle w:val="FootnoteReference"/>
          <w:vertAlign w:val="superscript"/>
        </w:rPr>
        <w:footnoteRef/>
      </w:r>
      <w:r w:rsidRPr="00401E44">
        <w:rPr>
          <w:sz w:val="20"/>
          <w:szCs w:val="20"/>
        </w:rPr>
        <w:t>Initial and periodic monitoring must be representative of each worker exposure to</w:t>
      </w:r>
      <w:r w:rsidRPr="001C03D5">
        <w:rPr>
          <w:sz w:val="20"/>
          <w:szCs w:val="20"/>
        </w:rPr>
        <w:t xml:space="preserve"> DBCP.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177D" w:rsidP="007D5294" w14:paraId="3E990697" w14:textId="51347562">
    <w:pPr>
      <w:widowControl/>
      <w:tabs>
        <w:tab w:val="left" w:pos="3722"/>
      </w:tabs>
      <w:rPr>
        <w:b/>
        <w:bCs/>
      </w:rPr>
    </w:pPr>
    <w:r>
      <w:rPr>
        <w:b/>
        <w:bCs/>
      </w:rPr>
      <w:t>1,</w:t>
    </w:r>
    <w:r w:rsidRPr="007B2A4A">
      <w:rPr>
        <w:b/>
        <w:bCs/>
      </w:rPr>
      <w:t>2-DIBROMO-3-CHLOROPROPANE (DBCP) STANDARD</w:t>
    </w:r>
    <w:r>
      <w:rPr>
        <w:b/>
        <w:bCs/>
      </w:rPr>
      <w:t xml:space="preserve"> </w:t>
    </w:r>
    <w:r w:rsidRPr="007B2A4A">
      <w:rPr>
        <w:b/>
        <w:bCs/>
      </w:rPr>
      <w:t>(29 CFR 1910.1044)</w:t>
    </w:r>
  </w:p>
  <w:p w:rsidR="009C0811" w:rsidP="007D5294" w14:paraId="52D73948" w14:textId="7106235E">
    <w:pPr>
      <w:widowControl/>
      <w:tabs>
        <w:tab w:val="left" w:pos="3722"/>
      </w:tabs>
      <w:rPr>
        <w:b/>
        <w:bCs/>
      </w:rPr>
    </w:pPr>
    <w:r>
      <w:rPr>
        <w:b/>
        <w:bCs/>
      </w:rPr>
      <w:t>OMB Control Number</w:t>
    </w:r>
    <w:r w:rsidR="007D7C63">
      <w:rPr>
        <w:b/>
        <w:bCs/>
      </w:rPr>
      <w:t>:</w:t>
    </w:r>
    <w:r>
      <w:rPr>
        <w:b/>
        <w:bCs/>
      </w:rPr>
      <w:t xml:space="preserve"> 1218-0101</w:t>
    </w:r>
  </w:p>
  <w:p w:rsidR="00377D5B" w:rsidRPr="00F7198F" w:rsidP="007D5294" w14:paraId="111C11F3" w14:textId="69649738">
    <w:pPr>
      <w:widowControl/>
      <w:tabs>
        <w:tab w:val="left" w:pos="3722"/>
      </w:tabs>
      <w:rPr>
        <w:b/>
        <w:bCs/>
        <w:color w:val="A6A6A6"/>
        <w:sz w:val="20"/>
        <w:szCs w:val="20"/>
      </w:rPr>
    </w:pPr>
    <w:r>
      <w:rPr>
        <w:b/>
        <w:bCs/>
      </w:rPr>
      <w:t>Expiration Date:</w:t>
    </w:r>
    <w:r w:rsidR="00C021F8">
      <w:rPr>
        <w:b/>
        <w:bCs/>
      </w:rPr>
      <w:t xml:space="preserve"> September 3</w:t>
    </w:r>
    <w:r w:rsidR="00C627B2">
      <w:rPr>
        <w:b/>
        <w:bCs/>
      </w:rPr>
      <w:t>0, 2025</w:t>
    </w:r>
  </w:p>
  <w:p w:rsidR="007B2A4A" w:rsidP="00BF6DD1" w14:paraId="0F9EAADF" w14:textId="77777777">
    <w:pPr>
      <w:widowControl/>
      <w:rPr>
        <w:b/>
        <w:bCs/>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20FA6"/>
    <w:multiLevelType w:val="hybridMultilevel"/>
    <w:tmpl w:val="4448DD66"/>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3D3370E"/>
    <w:multiLevelType w:val="hybridMultilevel"/>
    <w:tmpl w:val="BA50303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6A6197A"/>
    <w:multiLevelType w:val="hybridMultilevel"/>
    <w:tmpl w:val="47389418"/>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CCA2B3A"/>
    <w:multiLevelType w:val="hybridMultilevel"/>
    <w:tmpl w:val="756079D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5D6C455D"/>
    <w:multiLevelType w:val="hybridMultilevel"/>
    <w:tmpl w:val="6586279C"/>
    <w:lvl w:ilvl="0">
      <w:start w:val="15"/>
      <w:numFmt w:val="decimal"/>
      <w:lvlText w:val="%1."/>
      <w:lvlJc w:val="left"/>
      <w:pPr>
        <w:tabs>
          <w:tab w:val="num" w:pos="540"/>
        </w:tabs>
        <w:ind w:left="540" w:hanging="360"/>
      </w:pPr>
      <w:rPr>
        <w:rFonts w:hint="default"/>
        <w:b/>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5">
    <w:nsid w:val="7A2653E7"/>
    <w:multiLevelType w:val="hybridMultilevel"/>
    <w:tmpl w:val="E140F62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119348060">
    <w:abstractNumId w:val="4"/>
  </w:num>
  <w:num w:numId="2" w16cid:durableId="1197043136">
    <w:abstractNumId w:val="2"/>
  </w:num>
  <w:num w:numId="3" w16cid:durableId="798573678">
    <w:abstractNumId w:val="0"/>
  </w:num>
  <w:num w:numId="4" w16cid:durableId="1899047435">
    <w:abstractNumId w:val="5"/>
  </w:num>
  <w:num w:numId="5" w16cid:durableId="669794236">
    <w:abstractNumId w:val="1"/>
  </w:num>
  <w:num w:numId="6" w16cid:durableId="1167094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9A2"/>
    <w:rsid w:val="00004909"/>
    <w:rsid w:val="00004DC6"/>
    <w:rsid w:val="0001183C"/>
    <w:rsid w:val="0002259F"/>
    <w:rsid w:val="00022DD2"/>
    <w:rsid w:val="00026167"/>
    <w:rsid w:val="00032086"/>
    <w:rsid w:val="000332C2"/>
    <w:rsid w:val="00037907"/>
    <w:rsid w:val="00061410"/>
    <w:rsid w:val="0006168C"/>
    <w:rsid w:val="000640BA"/>
    <w:rsid w:val="000670A4"/>
    <w:rsid w:val="00067ADA"/>
    <w:rsid w:val="0007472B"/>
    <w:rsid w:val="00076943"/>
    <w:rsid w:val="00077A39"/>
    <w:rsid w:val="00083F6B"/>
    <w:rsid w:val="0008413F"/>
    <w:rsid w:val="0008642B"/>
    <w:rsid w:val="00086CD1"/>
    <w:rsid w:val="00091347"/>
    <w:rsid w:val="000A3627"/>
    <w:rsid w:val="000B4E4A"/>
    <w:rsid w:val="000B553A"/>
    <w:rsid w:val="000C0C70"/>
    <w:rsid w:val="000D0D43"/>
    <w:rsid w:val="000D3F3B"/>
    <w:rsid w:val="000E3427"/>
    <w:rsid w:val="000E4E8C"/>
    <w:rsid w:val="000F48B3"/>
    <w:rsid w:val="0011390A"/>
    <w:rsid w:val="00115F67"/>
    <w:rsid w:val="0012019F"/>
    <w:rsid w:val="001209B9"/>
    <w:rsid w:val="001225FD"/>
    <w:rsid w:val="00124A2F"/>
    <w:rsid w:val="001255AA"/>
    <w:rsid w:val="001279BA"/>
    <w:rsid w:val="00132FF8"/>
    <w:rsid w:val="001355BF"/>
    <w:rsid w:val="00135E24"/>
    <w:rsid w:val="001434FE"/>
    <w:rsid w:val="0014360F"/>
    <w:rsid w:val="00145605"/>
    <w:rsid w:val="00147F86"/>
    <w:rsid w:val="00151916"/>
    <w:rsid w:val="00160146"/>
    <w:rsid w:val="00176169"/>
    <w:rsid w:val="001804FF"/>
    <w:rsid w:val="00180AE4"/>
    <w:rsid w:val="00185BB3"/>
    <w:rsid w:val="00191938"/>
    <w:rsid w:val="00194DEA"/>
    <w:rsid w:val="001A126F"/>
    <w:rsid w:val="001A1FD2"/>
    <w:rsid w:val="001B128C"/>
    <w:rsid w:val="001B2527"/>
    <w:rsid w:val="001C03D5"/>
    <w:rsid w:val="001C2CED"/>
    <w:rsid w:val="001D1EC1"/>
    <w:rsid w:val="001E18C9"/>
    <w:rsid w:val="0020041B"/>
    <w:rsid w:val="00202096"/>
    <w:rsid w:val="00204C13"/>
    <w:rsid w:val="00206C51"/>
    <w:rsid w:val="00210AE3"/>
    <w:rsid w:val="00212114"/>
    <w:rsid w:val="0021237E"/>
    <w:rsid w:val="002125ED"/>
    <w:rsid w:val="002153A0"/>
    <w:rsid w:val="00223DD1"/>
    <w:rsid w:val="00232C58"/>
    <w:rsid w:val="0023675F"/>
    <w:rsid w:val="00240674"/>
    <w:rsid w:val="002419F4"/>
    <w:rsid w:val="00245B44"/>
    <w:rsid w:val="00247918"/>
    <w:rsid w:val="002566E5"/>
    <w:rsid w:val="00261718"/>
    <w:rsid w:val="002712E4"/>
    <w:rsid w:val="00271D0E"/>
    <w:rsid w:val="00280E96"/>
    <w:rsid w:val="00286C1B"/>
    <w:rsid w:val="00296B91"/>
    <w:rsid w:val="002A21CF"/>
    <w:rsid w:val="002A6427"/>
    <w:rsid w:val="002A6854"/>
    <w:rsid w:val="002B3AAA"/>
    <w:rsid w:val="002B5AB6"/>
    <w:rsid w:val="002B6166"/>
    <w:rsid w:val="002C30A2"/>
    <w:rsid w:val="002C313D"/>
    <w:rsid w:val="002D2F79"/>
    <w:rsid w:val="002D5101"/>
    <w:rsid w:val="002D5A93"/>
    <w:rsid w:val="002D6D79"/>
    <w:rsid w:val="002E2A3A"/>
    <w:rsid w:val="002F6D12"/>
    <w:rsid w:val="002F7162"/>
    <w:rsid w:val="002F7682"/>
    <w:rsid w:val="0030095D"/>
    <w:rsid w:val="00303237"/>
    <w:rsid w:val="00314BD2"/>
    <w:rsid w:val="00315133"/>
    <w:rsid w:val="00315D5C"/>
    <w:rsid w:val="003211C7"/>
    <w:rsid w:val="00324270"/>
    <w:rsid w:val="00326538"/>
    <w:rsid w:val="00327092"/>
    <w:rsid w:val="003307BE"/>
    <w:rsid w:val="00340F4C"/>
    <w:rsid w:val="003445AD"/>
    <w:rsid w:val="00346B59"/>
    <w:rsid w:val="00364BB3"/>
    <w:rsid w:val="00365ED0"/>
    <w:rsid w:val="00372332"/>
    <w:rsid w:val="0037290A"/>
    <w:rsid w:val="00373874"/>
    <w:rsid w:val="0037538D"/>
    <w:rsid w:val="00377D5B"/>
    <w:rsid w:val="00395587"/>
    <w:rsid w:val="0039609F"/>
    <w:rsid w:val="003A28E2"/>
    <w:rsid w:val="003B52F7"/>
    <w:rsid w:val="003C2782"/>
    <w:rsid w:val="003C4255"/>
    <w:rsid w:val="003D1047"/>
    <w:rsid w:val="003D2F2F"/>
    <w:rsid w:val="003D3BD1"/>
    <w:rsid w:val="003D4EE0"/>
    <w:rsid w:val="003D57B4"/>
    <w:rsid w:val="003E1AE5"/>
    <w:rsid w:val="003E316F"/>
    <w:rsid w:val="003E5625"/>
    <w:rsid w:val="003F0A84"/>
    <w:rsid w:val="003F3920"/>
    <w:rsid w:val="003F770A"/>
    <w:rsid w:val="00400C2C"/>
    <w:rsid w:val="00401E44"/>
    <w:rsid w:val="00403A15"/>
    <w:rsid w:val="004064C7"/>
    <w:rsid w:val="00407C44"/>
    <w:rsid w:val="00417D42"/>
    <w:rsid w:val="00423147"/>
    <w:rsid w:val="0042363E"/>
    <w:rsid w:val="0043039F"/>
    <w:rsid w:val="00435FBD"/>
    <w:rsid w:val="00436D54"/>
    <w:rsid w:val="0044012F"/>
    <w:rsid w:val="00446581"/>
    <w:rsid w:val="00446B2D"/>
    <w:rsid w:val="004548A6"/>
    <w:rsid w:val="00455283"/>
    <w:rsid w:val="00456B5D"/>
    <w:rsid w:val="00464000"/>
    <w:rsid w:val="004645C2"/>
    <w:rsid w:val="004645D3"/>
    <w:rsid w:val="00467F86"/>
    <w:rsid w:val="00474F83"/>
    <w:rsid w:val="00475631"/>
    <w:rsid w:val="00485E8A"/>
    <w:rsid w:val="00491427"/>
    <w:rsid w:val="004A7AE2"/>
    <w:rsid w:val="004B63A7"/>
    <w:rsid w:val="004C5DDA"/>
    <w:rsid w:val="004D0D4E"/>
    <w:rsid w:val="004E09A4"/>
    <w:rsid w:val="004E268F"/>
    <w:rsid w:val="004E4DA3"/>
    <w:rsid w:val="004F2E83"/>
    <w:rsid w:val="004F3F73"/>
    <w:rsid w:val="004F7842"/>
    <w:rsid w:val="00510BBC"/>
    <w:rsid w:val="0051414D"/>
    <w:rsid w:val="00514BDA"/>
    <w:rsid w:val="00516EA6"/>
    <w:rsid w:val="00530E1C"/>
    <w:rsid w:val="00534160"/>
    <w:rsid w:val="005360E0"/>
    <w:rsid w:val="00543925"/>
    <w:rsid w:val="00547CA3"/>
    <w:rsid w:val="00552844"/>
    <w:rsid w:val="0056211C"/>
    <w:rsid w:val="005726B9"/>
    <w:rsid w:val="00575185"/>
    <w:rsid w:val="00575703"/>
    <w:rsid w:val="0057713E"/>
    <w:rsid w:val="005773EE"/>
    <w:rsid w:val="005844C6"/>
    <w:rsid w:val="0058771E"/>
    <w:rsid w:val="005A04B9"/>
    <w:rsid w:val="005B3877"/>
    <w:rsid w:val="005D665E"/>
    <w:rsid w:val="005E22F5"/>
    <w:rsid w:val="00606452"/>
    <w:rsid w:val="00614AD4"/>
    <w:rsid w:val="00614E84"/>
    <w:rsid w:val="00623201"/>
    <w:rsid w:val="006303D2"/>
    <w:rsid w:val="00634BD0"/>
    <w:rsid w:val="00641C74"/>
    <w:rsid w:val="00651EA6"/>
    <w:rsid w:val="00656982"/>
    <w:rsid w:val="006637FD"/>
    <w:rsid w:val="00673AC4"/>
    <w:rsid w:val="00681EA9"/>
    <w:rsid w:val="006A26AE"/>
    <w:rsid w:val="006A605D"/>
    <w:rsid w:val="006B20FA"/>
    <w:rsid w:val="006B6CA5"/>
    <w:rsid w:val="006C538D"/>
    <w:rsid w:val="006D0E36"/>
    <w:rsid w:val="006D61D6"/>
    <w:rsid w:val="006E2093"/>
    <w:rsid w:val="006E26AF"/>
    <w:rsid w:val="006F3FDF"/>
    <w:rsid w:val="00700FAD"/>
    <w:rsid w:val="007067D8"/>
    <w:rsid w:val="00710535"/>
    <w:rsid w:val="00714310"/>
    <w:rsid w:val="00721B69"/>
    <w:rsid w:val="00724523"/>
    <w:rsid w:val="0072598F"/>
    <w:rsid w:val="0073058B"/>
    <w:rsid w:val="00737091"/>
    <w:rsid w:val="007408B5"/>
    <w:rsid w:val="007465D3"/>
    <w:rsid w:val="00752539"/>
    <w:rsid w:val="00760697"/>
    <w:rsid w:val="00760C00"/>
    <w:rsid w:val="00763F04"/>
    <w:rsid w:val="007669EB"/>
    <w:rsid w:val="00767BB0"/>
    <w:rsid w:val="00771420"/>
    <w:rsid w:val="0077302D"/>
    <w:rsid w:val="00773169"/>
    <w:rsid w:val="007740E4"/>
    <w:rsid w:val="007740E5"/>
    <w:rsid w:val="00775630"/>
    <w:rsid w:val="00783160"/>
    <w:rsid w:val="00786A53"/>
    <w:rsid w:val="007A2DB3"/>
    <w:rsid w:val="007A7F7C"/>
    <w:rsid w:val="007B0F6D"/>
    <w:rsid w:val="007B2A4A"/>
    <w:rsid w:val="007D5294"/>
    <w:rsid w:val="007D638A"/>
    <w:rsid w:val="007D7C63"/>
    <w:rsid w:val="007E4ED7"/>
    <w:rsid w:val="007E7932"/>
    <w:rsid w:val="007F70FF"/>
    <w:rsid w:val="007F7692"/>
    <w:rsid w:val="0080495B"/>
    <w:rsid w:val="00806F1B"/>
    <w:rsid w:val="00812C4B"/>
    <w:rsid w:val="008149E1"/>
    <w:rsid w:val="00820E7E"/>
    <w:rsid w:val="00856DE8"/>
    <w:rsid w:val="00862573"/>
    <w:rsid w:val="00867C40"/>
    <w:rsid w:val="008710C6"/>
    <w:rsid w:val="00881F0F"/>
    <w:rsid w:val="00882958"/>
    <w:rsid w:val="008975E7"/>
    <w:rsid w:val="008A085F"/>
    <w:rsid w:val="008A1C01"/>
    <w:rsid w:val="008A3784"/>
    <w:rsid w:val="008C1E50"/>
    <w:rsid w:val="008C2550"/>
    <w:rsid w:val="008D4ECE"/>
    <w:rsid w:val="008D7803"/>
    <w:rsid w:val="008F2709"/>
    <w:rsid w:val="009043E8"/>
    <w:rsid w:val="00906C2C"/>
    <w:rsid w:val="00917E9F"/>
    <w:rsid w:val="00920611"/>
    <w:rsid w:val="0092452C"/>
    <w:rsid w:val="009268FC"/>
    <w:rsid w:val="00930961"/>
    <w:rsid w:val="0093422E"/>
    <w:rsid w:val="0093783E"/>
    <w:rsid w:val="00941057"/>
    <w:rsid w:val="0094502C"/>
    <w:rsid w:val="009456D9"/>
    <w:rsid w:val="00946DB4"/>
    <w:rsid w:val="00952131"/>
    <w:rsid w:val="009604DF"/>
    <w:rsid w:val="00962DD0"/>
    <w:rsid w:val="00964A88"/>
    <w:rsid w:val="009705E6"/>
    <w:rsid w:val="009714E9"/>
    <w:rsid w:val="00980043"/>
    <w:rsid w:val="009800DF"/>
    <w:rsid w:val="00980F11"/>
    <w:rsid w:val="00983B89"/>
    <w:rsid w:val="0098576F"/>
    <w:rsid w:val="009872EA"/>
    <w:rsid w:val="00996067"/>
    <w:rsid w:val="00996671"/>
    <w:rsid w:val="009975E2"/>
    <w:rsid w:val="009A2585"/>
    <w:rsid w:val="009A37C9"/>
    <w:rsid w:val="009B6C5A"/>
    <w:rsid w:val="009C0811"/>
    <w:rsid w:val="009C166E"/>
    <w:rsid w:val="009C3247"/>
    <w:rsid w:val="009C33F7"/>
    <w:rsid w:val="009D521B"/>
    <w:rsid w:val="009E5018"/>
    <w:rsid w:val="009E6229"/>
    <w:rsid w:val="009F124B"/>
    <w:rsid w:val="009F1C26"/>
    <w:rsid w:val="009F50FF"/>
    <w:rsid w:val="009F6BD2"/>
    <w:rsid w:val="00A00EB4"/>
    <w:rsid w:val="00A013CD"/>
    <w:rsid w:val="00A0271D"/>
    <w:rsid w:val="00A07B93"/>
    <w:rsid w:val="00A142A3"/>
    <w:rsid w:val="00A308B6"/>
    <w:rsid w:val="00A314AC"/>
    <w:rsid w:val="00A3573F"/>
    <w:rsid w:val="00A36A89"/>
    <w:rsid w:val="00A37013"/>
    <w:rsid w:val="00A374AD"/>
    <w:rsid w:val="00A407A6"/>
    <w:rsid w:val="00A411ED"/>
    <w:rsid w:val="00A45D4F"/>
    <w:rsid w:val="00A54C9B"/>
    <w:rsid w:val="00A65431"/>
    <w:rsid w:val="00A6581E"/>
    <w:rsid w:val="00A77D66"/>
    <w:rsid w:val="00A81627"/>
    <w:rsid w:val="00A82F23"/>
    <w:rsid w:val="00A83018"/>
    <w:rsid w:val="00A86FC7"/>
    <w:rsid w:val="00A9108B"/>
    <w:rsid w:val="00A926A4"/>
    <w:rsid w:val="00A93D8D"/>
    <w:rsid w:val="00A94FC5"/>
    <w:rsid w:val="00A96C7D"/>
    <w:rsid w:val="00AA2FBB"/>
    <w:rsid w:val="00AA4410"/>
    <w:rsid w:val="00AA7CD8"/>
    <w:rsid w:val="00AB1CA0"/>
    <w:rsid w:val="00AC784C"/>
    <w:rsid w:val="00AC7E47"/>
    <w:rsid w:val="00AD12E8"/>
    <w:rsid w:val="00AD6B06"/>
    <w:rsid w:val="00AE28E0"/>
    <w:rsid w:val="00AE4A55"/>
    <w:rsid w:val="00AE70B6"/>
    <w:rsid w:val="00AF5E69"/>
    <w:rsid w:val="00B00CFE"/>
    <w:rsid w:val="00B011D8"/>
    <w:rsid w:val="00B10B7F"/>
    <w:rsid w:val="00B13E06"/>
    <w:rsid w:val="00B15F0B"/>
    <w:rsid w:val="00B16D85"/>
    <w:rsid w:val="00B31557"/>
    <w:rsid w:val="00B35FE5"/>
    <w:rsid w:val="00B36960"/>
    <w:rsid w:val="00B37C09"/>
    <w:rsid w:val="00B406E6"/>
    <w:rsid w:val="00B42A6E"/>
    <w:rsid w:val="00B5722A"/>
    <w:rsid w:val="00B621AE"/>
    <w:rsid w:val="00B63761"/>
    <w:rsid w:val="00B64AE3"/>
    <w:rsid w:val="00B72256"/>
    <w:rsid w:val="00B72604"/>
    <w:rsid w:val="00B76D36"/>
    <w:rsid w:val="00B92FB4"/>
    <w:rsid w:val="00BA1891"/>
    <w:rsid w:val="00BA4795"/>
    <w:rsid w:val="00BA5042"/>
    <w:rsid w:val="00BB0C76"/>
    <w:rsid w:val="00BB0D90"/>
    <w:rsid w:val="00BB6713"/>
    <w:rsid w:val="00BC6277"/>
    <w:rsid w:val="00BD5161"/>
    <w:rsid w:val="00BD68E6"/>
    <w:rsid w:val="00BE426E"/>
    <w:rsid w:val="00BF1DDC"/>
    <w:rsid w:val="00BF6352"/>
    <w:rsid w:val="00BF6DD1"/>
    <w:rsid w:val="00C01003"/>
    <w:rsid w:val="00C017D4"/>
    <w:rsid w:val="00C021F8"/>
    <w:rsid w:val="00C03A98"/>
    <w:rsid w:val="00C04F44"/>
    <w:rsid w:val="00C1610D"/>
    <w:rsid w:val="00C36CDA"/>
    <w:rsid w:val="00C41A67"/>
    <w:rsid w:val="00C4291A"/>
    <w:rsid w:val="00C449AC"/>
    <w:rsid w:val="00C54F0E"/>
    <w:rsid w:val="00C5638D"/>
    <w:rsid w:val="00C566E0"/>
    <w:rsid w:val="00C6177D"/>
    <w:rsid w:val="00C627B2"/>
    <w:rsid w:val="00C648BC"/>
    <w:rsid w:val="00C66791"/>
    <w:rsid w:val="00C82239"/>
    <w:rsid w:val="00C84AED"/>
    <w:rsid w:val="00C929B0"/>
    <w:rsid w:val="00C92D74"/>
    <w:rsid w:val="00CA595A"/>
    <w:rsid w:val="00CA68BC"/>
    <w:rsid w:val="00CB0C69"/>
    <w:rsid w:val="00CB157F"/>
    <w:rsid w:val="00CB6144"/>
    <w:rsid w:val="00CB63DD"/>
    <w:rsid w:val="00CC3B92"/>
    <w:rsid w:val="00CC470F"/>
    <w:rsid w:val="00CD0C37"/>
    <w:rsid w:val="00CD1597"/>
    <w:rsid w:val="00CD3178"/>
    <w:rsid w:val="00CE1658"/>
    <w:rsid w:val="00CE293C"/>
    <w:rsid w:val="00CE6827"/>
    <w:rsid w:val="00CE7E09"/>
    <w:rsid w:val="00CF507C"/>
    <w:rsid w:val="00CF5306"/>
    <w:rsid w:val="00CF5DDF"/>
    <w:rsid w:val="00CF777C"/>
    <w:rsid w:val="00CF7B8C"/>
    <w:rsid w:val="00D02952"/>
    <w:rsid w:val="00D03B7C"/>
    <w:rsid w:val="00D04F7B"/>
    <w:rsid w:val="00D06402"/>
    <w:rsid w:val="00D10483"/>
    <w:rsid w:val="00D23B9A"/>
    <w:rsid w:val="00D2533A"/>
    <w:rsid w:val="00D2533C"/>
    <w:rsid w:val="00D31F64"/>
    <w:rsid w:val="00D37A77"/>
    <w:rsid w:val="00D4459C"/>
    <w:rsid w:val="00D44D5F"/>
    <w:rsid w:val="00D4616A"/>
    <w:rsid w:val="00D46728"/>
    <w:rsid w:val="00D519ED"/>
    <w:rsid w:val="00D53A8F"/>
    <w:rsid w:val="00D574B9"/>
    <w:rsid w:val="00D65516"/>
    <w:rsid w:val="00D82ECE"/>
    <w:rsid w:val="00D85E85"/>
    <w:rsid w:val="00D924D0"/>
    <w:rsid w:val="00D93884"/>
    <w:rsid w:val="00DA5B8E"/>
    <w:rsid w:val="00DA5D6F"/>
    <w:rsid w:val="00DB1645"/>
    <w:rsid w:val="00DC37F4"/>
    <w:rsid w:val="00DC6B7D"/>
    <w:rsid w:val="00DD3ED8"/>
    <w:rsid w:val="00DE3DAA"/>
    <w:rsid w:val="00DE6CA4"/>
    <w:rsid w:val="00DF7E93"/>
    <w:rsid w:val="00E113AD"/>
    <w:rsid w:val="00E253AF"/>
    <w:rsid w:val="00E25E37"/>
    <w:rsid w:val="00E32DA8"/>
    <w:rsid w:val="00E603BE"/>
    <w:rsid w:val="00E61DAB"/>
    <w:rsid w:val="00E626FE"/>
    <w:rsid w:val="00E63018"/>
    <w:rsid w:val="00E66CE3"/>
    <w:rsid w:val="00E725F3"/>
    <w:rsid w:val="00E72675"/>
    <w:rsid w:val="00E735D0"/>
    <w:rsid w:val="00E75860"/>
    <w:rsid w:val="00E94B20"/>
    <w:rsid w:val="00E94F69"/>
    <w:rsid w:val="00EA0910"/>
    <w:rsid w:val="00EA1303"/>
    <w:rsid w:val="00EA2B81"/>
    <w:rsid w:val="00EA6418"/>
    <w:rsid w:val="00EB70D3"/>
    <w:rsid w:val="00EC1D2B"/>
    <w:rsid w:val="00EC2DAC"/>
    <w:rsid w:val="00EC459F"/>
    <w:rsid w:val="00EC7821"/>
    <w:rsid w:val="00ED2DD4"/>
    <w:rsid w:val="00ED356C"/>
    <w:rsid w:val="00ED4536"/>
    <w:rsid w:val="00EE1A81"/>
    <w:rsid w:val="00EE22BA"/>
    <w:rsid w:val="00EE55F0"/>
    <w:rsid w:val="00EE60D9"/>
    <w:rsid w:val="00EE6240"/>
    <w:rsid w:val="00F006B6"/>
    <w:rsid w:val="00F06289"/>
    <w:rsid w:val="00F07307"/>
    <w:rsid w:val="00F206C7"/>
    <w:rsid w:val="00F27BD5"/>
    <w:rsid w:val="00F307FB"/>
    <w:rsid w:val="00F31138"/>
    <w:rsid w:val="00F31D0C"/>
    <w:rsid w:val="00F35853"/>
    <w:rsid w:val="00F35A62"/>
    <w:rsid w:val="00F4402F"/>
    <w:rsid w:val="00F5130E"/>
    <w:rsid w:val="00F54581"/>
    <w:rsid w:val="00F60C25"/>
    <w:rsid w:val="00F62E23"/>
    <w:rsid w:val="00F64076"/>
    <w:rsid w:val="00F7198F"/>
    <w:rsid w:val="00F72538"/>
    <w:rsid w:val="00F7254A"/>
    <w:rsid w:val="00F72E1A"/>
    <w:rsid w:val="00F769A2"/>
    <w:rsid w:val="00F86AB9"/>
    <w:rsid w:val="00F9388C"/>
    <w:rsid w:val="00F95A4E"/>
    <w:rsid w:val="00F97158"/>
    <w:rsid w:val="00FA15CE"/>
    <w:rsid w:val="00FB094D"/>
    <w:rsid w:val="00FB5441"/>
    <w:rsid w:val="00FC459C"/>
    <w:rsid w:val="00FC5C0B"/>
    <w:rsid w:val="00FC74D6"/>
    <w:rsid w:val="00FD19E1"/>
    <w:rsid w:val="00FD7FFE"/>
    <w:rsid w:val="00FE1E8F"/>
    <w:rsid w:val="00FE24CC"/>
    <w:rsid w:val="00FE6E9F"/>
    <w:rsid w:val="00FF221D"/>
    <w:rsid w:val="00FF7D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37928E4"/>
  <w15:chartTrackingRefBased/>
  <w15:docId w15:val="{E6232C60-BDEF-4D0F-A465-10FF6DFE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link w:val="Heading1Char"/>
    <w:uiPriority w:val="9"/>
    <w:qFormat/>
    <w:rsid w:val="00B406E6"/>
    <w:pPr>
      <w:widowControl/>
      <w:autoSpaceDE/>
      <w:autoSpaceDN/>
      <w:adjustRightInd/>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B406E6"/>
    <w:pPr>
      <w:widowControl/>
      <w:autoSpaceDE/>
      <w:autoSpaceDN/>
      <w:adjustRightInd/>
      <w:spacing w:before="100" w:beforeAutospacing="1" w:after="100" w:afterAutospacing="1"/>
      <w:outlineLvl w:val="1"/>
    </w:pPr>
    <w:rPr>
      <w:b/>
      <w:bCs/>
      <w:sz w:val="36"/>
      <w:szCs w:val="36"/>
    </w:rPr>
  </w:style>
  <w:style w:type="paragraph" w:styleId="Heading6">
    <w:name w:val="heading 6"/>
    <w:basedOn w:val="Normal"/>
    <w:link w:val="Heading6Char"/>
    <w:uiPriority w:val="9"/>
    <w:qFormat/>
    <w:rsid w:val="00B406E6"/>
    <w:pPr>
      <w:widowControl/>
      <w:autoSpaceDE/>
      <w:autoSpaceDN/>
      <w:adjustRightInd/>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3E316F"/>
    <w:rPr>
      <w:rFonts w:ascii="Tahoma" w:hAnsi="Tahoma" w:cs="Tahoma"/>
      <w:sz w:val="16"/>
      <w:szCs w:val="16"/>
    </w:rPr>
  </w:style>
  <w:style w:type="paragraph" w:styleId="FootnoteText">
    <w:name w:val="footnote text"/>
    <w:basedOn w:val="Normal"/>
    <w:semiHidden/>
    <w:rsid w:val="009F50FF"/>
    <w:pPr>
      <w:widowControl/>
      <w:autoSpaceDE/>
      <w:autoSpaceDN/>
      <w:adjustRightInd/>
    </w:pPr>
    <w:rPr>
      <w:sz w:val="20"/>
      <w:szCs w:val="20"/>
    </w:rPr>
  </w:style>
  <w:style w:type="paragraph" w:styleId="Footer">
    <w:name w:val="footer"/>
    <w:basedOn w:val="Normal"/>
    <w:rsid w:val="009F50FF"/>
    <w:pPr>
      <w:tabs>
        <w:tab w:val="center" w:pos="4320"/>
        <w:tab w:val="right" w:pos="8640"/>
      </w:tabs>
    </w:pPr>
  </w:style>
  <w:style w:type="character" w:styleId="PageNumber">
    <w:name w:val="page number"/>
    <w:basedOn w:val="DefaultParagraphFont"/>
    <w:rsid w:val="009F50FF"/>
  </w:style>
  <w:style w:type="paragraph" w:customStyle="1" w:styleId="Default">
    <w:name w:val="Default"/>
    <w:rsid w:val="00867C40"/>
    <w:pPr>
      <w:autoSpaceDE w:val="0"/>
      <w:autoSpaceDN w:val="0"/>
      <w:adjustRightInd w:val="0"/>
    </w:pPr>
    <w:rPr>
      <w:color w:val="000000"/>
      <w:sz w:val="24"/>
      <w:szCs w:val="24"/>
    </w:rPr>
  </w:style>
  <w:style w:type="paragraph" w:styleId="NormalWeb">
    <w:name w:val="Normal (Web)"/>
    <w:basedOn w:val="Normal"/>
    <w:uiPriority w:val="99"/>
    <w:unhideWhenUsed/>
    <w:rsid w:val="006A26AE"/>
    <w:pPr>
      <w:widowControl/>
      <w:autoSpaceDE/>
      <w:autoSpaceDN/>
      <w:adjustRightInd/>
      <w:spacing w:before="100" w:beforeAutospacing="1" w:after="100" w:afterAutospacing="1"/>
      <w:ind w:firstLine="480"/>
    </w:pPr>
  </w:style>
  <w:style w:type="paragraph" w:customStyle="1" w:styleId="fp-1">
    <w:name w:val="fp-1"/>
    <w:basedOn w:val="Normal"/>
    <w:rsid w:val="006A26AE"/>
    <w:pPr>
      <w:widowControl/>
      <w:autoSpaceDE/>
      <w:autoSpaceDN/>
      <w:adjustRightInd/>
      <w:spacing w:before="200" w:after="100"/>
      <w:ind w:left="480" w:hanging="480"/>
    </w:pPr>
  </w:style>
  <w:style w:type="paragraph" w:styleId="ListParagraph">
    <w:name w:val="List Paragraph"/>
    <w:basedOn w:val="Normal"/>
    <w:uiPriority w:val="34"/>
    <w:qFormat/>
    <w:rsid w:val="001B128C"/>
    <w:pPr>
      <w:ind w:left="720"/>
    </w:pPr>
  </w:style>
  <w:style w:type="paragraph" w:styleId="Header">
    <w:name w:val="header"/>
    <w:basedOn w:val="Normal"/>
    <w:link w:val="HeaderChar"/>
    <w:rsid w:val="00BF6DD1"/>
    <w:pPr>
      <w:tabs>
        <w:tab w:val="center" w:pos="4680"/>
        <w:tab w:val="right" w:pos="9360"/>
      </w:tabs>
    </w:pPr>
  </w:style>
  <w:style w:type="character" w:customStyle="1" w:styleId="HeaderChar">
    <w:name w:val="Header Char"/>
    <w:link w:val="Header"/>
    <w:rsid w:val="00BF6DD1"/>
    <w:rPr>
      <w:sz w:val="24"/>
      <w:szCs w:val="24"/>
    </w:rPr>
  </w:style>
  <w:style w:type="character" w:styleId="Hyperlink">
    <w:name w:val="Hyperlink"/>
    <w:uiPriority w:val="99"/>
    <w:rsid w:val="00F31138"/>
    <w:rPr>
      <w:color w:val="0563C1"/>
      <w:u w:val="single"/>
    </w:rPr>
  </w:style>
  <w:style w:type="character" w:styleId="FollowedHyperlink">
    <w:name w:val="FollowedHyperlink"/>
    <w:uiPriority w:val="99"/>
    <w:rsid w:val="008975E7"/>
    <w:rPr>
      <w:color w:val="954F72"/>
      <w:u w:val="single"/>
    </w:rPr>
  </w:style>
  <w:style w:type="paragraph" w:styleId="Revision">
    <w:name w:val="Revision"/>
    <w:hidden/>
    <w:uiPriority w:val="99"/>
    <w:semiHidden/>
    <w:rsid w:val="00202096"/>
    <w:rPr>
      <w:sz w:val="24"/>
      <w:szCs w:val="24"/>
    </w:rPr>
  </w:style>
  <w:style w:type="paragraph" w:customStyle="1" w:styleId="paragraph">
    <w:name w:val="paragraph"/>
    <w:basedOn w:val="Normal"/>
    <w:rsid w:val="00423147"/>
    <w:pPr>
      <w:widowControl/>
      <w:autoSpaceDE/>
      <w:autoSpaceDN/>
      <w:adjustRightInd/>
      <w:spacing w:before="100" w:beforeAutospacing="1" w:after="100" w:afterAutospacing="1"/>
    </w:pPr>
  </w:style>
  <w:style w:type="character" w:customStyle="1" w:styleId="normaltextrun">
    <w:name w:val="normaltextrun"/>
    <w:basedOn w:val="DefaultParagraphFont"/>
    <w:rsid w:val="00423147"/>
  </w:style>
  <w:style w:type="character" w:customStyle="1" w:styleId="eop">
    <w:name w:val="eop"/>
    <w:basedOn w:val="DefaultParagraphFont"/>
    <w:rsid w:val="00423147"/>
  </w:style>
  <w:style w:type="character" w:styleId="CommentReference">
    <w:name w:val="annotation reference"/>
    <w:unhideWhenUsed/>
    <w:rsid w:val="00423147"/>
    <w:rPr>
      <w:sz w:val="16"/>
      <w:szCs w:val="16"/>
    </w:rPr>
  </w:style>
  <w:style w:type="character" w:styleId="Emphasis">
    <w:name w:val="Emphasis"/>
    <w:uiPriority w:val="20"/>
    <w:qFormat/>
    <w:rsid w:val="00423147"/>
    <w:rPr>
      <w:i/>
      <w:iCs/>
    </w:rPr>
  </w:style>
  <w:style w:type="paragraph" w:styleId="CommentText">
    <w:name w:val="annotation text"/>
    <w:basedOn w:val="Normal"/>
    <w:link w:val="CommentTextChar"/>
    <w:rsid w:val="00191938"/>
    <w:rPr>
      <w:sz w:val="20"/>
      <w:szCs w:val="20"/>
    </w:rPr>
  </w:style>
  <w:style w:type="character" w:customStyle="1" w:styleId="CommentTextChar">
    <w:name w:val="Comment Text Char"/>
    <w:basedOn w:val="DefaultParagraphFont"/>
    <w:link w:val="CommentText"/>
    <w:rsid w:val="00191938"/>
  </w:style>
  <w:style w:type="paragraph" w:styleId="CommentSubject">
    <w:name w:val="annotation subject"/>
    <w:basedOn w:val="CommentText"/>
    <w:next w:val="CommentText"/>
    <w:link w:val="CommentSubjectChar"/>
    <w:rsid w:val="00191938"/>
    <w:rPr>
      <w:b/>
      <w:bCs/>
    </w:rPr>
  </w:style>
  <w:style w:type="character" w:customStyle="1" w:styleId="CommentSubjectChar">
    <w:name w:val="Comment Subject Char"/>
    <w:link w:val="CommentSubject"/>
    <w:rsid w:val="00191938"/>
    <w:rPr>
      <w:b/>
      <w:bCs/>
    </w:rPr>
  </w:style>
  <w:style w:type="character" w:styleId="UnresolvedMention">
    <w:name w:val="Unresolved Mention"/>
    <w:uiPriority w:val="99"/>
    <w:semiHidden/>
    <w:unhideWhenUsed/>
    <w:rsid w:val="00245B44"/>
    <w:rPr>
      <w:color w:val="605E5C"/>
      <w:shd w:val="clear" w:color="auto" w:fill="E1DFDD"/>
    </w:rPr>
  </w:style>
  <w:style w:type="character" w:customStyle="1" w:styleId="Heading1Char">
    <w:name w:val="Heading 1 Char"/>
    <w:link w:val="Heading1"/>
    <w:uiPriority w:val="9"/>
    <w:rsid w:val="00B406E6"/>
    <w:rPr>
      <w:b/>
      <w:bCs/>
      <w:kern w:val="36"/>
      <w:sz w:val="48"/>
      <w:szCs w:val="48"/>
    </w:rPr>
  </w:style>
  <w:style w:type="character" w:customStyle="1" w:styleId="Heading2Char">
    <w:name w:val="Heading 2 Char"/>
    <w:link w:val="Heading2"/>
    <w:uiPriority w:val="9"/>
    <w:rsid w:val="00B406E6"/>
    <w:rPr>
      <w:b/>
      <w:bCs/>
      <w:sz w:val="36"/>
      <w:szCs w:val="36"/>
    </w:rPr>
  </w:style>
  <w:style w:type="character" w:customStyle="1" w:styleId="Heading6Char">
    <w:name w:val="Heading 6 Char"/>
    <w:link w:val="Heading6"/>
    <w:uiPriority w:val="9"/>
    <w:rsid w:val="00B406E6"/>
    <w:rPr>
      <w:b/>
      <w:bCs/>
      <w:sz w:val="15"/>
      <w:szCs w:val="15"/>
    </w:rPr>
  </w:style>
  <w:style w:type="numbering" w:customStyle="1" w:styleId="NoList1">
    <w:name w:val="No List1"/>
    <w:next w:val="NoList"/>
    <w:uiPriority w:val="99"/>
    <w:semiHidden/>
    <w:unhideWhenUsed/>
    <w:rsid w:val="00B406E6"/>
  </w:style>
  <w:style w:type="paragraph" w:customStyle="1" w:styleId="msonormal">
    <w:name w:val="msonormal"/>
    <w:basedOn w:val="Normal"/>
    <w:rsid w:val="00B406E6"/>
    <w:pPr>
      <w:widowControl/>
      <w:autoSpaceDE/>
      <w:autoSpaceDN/>
      <w:adjustRightInd/>
      <w:spacing w:before="100" w:beforeAutospacing="1" w:after="100" w:afterAutospacing="1"/>
    </w:pPr>
  </w:style>
  <w:style w:type="paragraph" w:customStyle="1" w:styleId="indent-1">
    <w:name w:val="indent-1"/>
    <w:basedOn w:val="Normal"/>
    <w:rsid w:val="00B406E6"/>
    <w:pPr>
      <w:widowControl/>
      <w:autoSpaceDE/>
      <w:autoSpaceDN/>
      <w:adjustRightInd/>
      <w:spacing w:before="100" w:beforeAutospacing="1" w:after="100" w:afterAutospacing="1"/>
    </w:pPr>
  </w:style>
  <w:style w:type="character" w:customStyle="1" w:styleId="paragraph-hierarchy">
    <w:name w:val="paragraph-hierarchy"/>
    <w:basedOn w:val="DefaultParagraphFont"/>
    <w:rsid w:val="00B406E6"/>
  </w:style>
  <w:style w:type="character" w:customStyle="1" w:styleId="paren">
    <w:name w:val="paren"/>
    <w:basedOn w:val="DefaultParagraphFont"/>
    <w:rsid w:val="00B406E6"/>
  </w:style>
  <w:style w:type="paragraph" w:customStyle="1" w:styleId="indent-2">
    <w:name w:val="indent-2"/>
    <w:basedOn w:val="Normal"/>
    <w:rsid w:val="00B406E6"/>
    <w:pPr>
      <w:widowControl/>
      <w:autoSpaceDE/>
      <w:autoSpaceDN/>
      <w:adjustRightInd/>
      <w:spacing w:before="100" w:beforeAutospacing="1" w:after="100" w:afterAutospacing="1"/>
    </w:pPr>
  </w:style>
  <w:style w:type="paragraph" w:customStyle="1" w:styleId="indent-3">
    <w:name w:val="indent-3"/>
    <w:basedOn w:val="Normal"/>
    <w:rsid w:val="00B406E6"/>
    <w:pPr>
      <w:widowControl/>
      <w:autoSpaceDE/>
      <w:autoSpaceDN/>
      <w:adjustRightInd/>
      <w:spacing w:before="100" w:beforeAutospacing="1" w:after="100" w:afterAutospacing="1"/>
    </w:pPr>
  </w:style>
  <w:style w:type="paragraph" w:customStyle="1" w:styleId="indent-4">
    <w:name w:val="indent-4"/>
    <w:basedOn w:val="Normal"/>
    <w:rsid w:val="00B406E6"/>
    <w:pPr>
      <w:widowControl/>
      <w:autoSpaceDE/>
      <w:autoSpaceDN/>
      <w:adjustRightInd/>
      <w:spacing w:before="100" w:beforeAutospacing="1" w:after="100" w:afterAutospacing="1"/>
    </w:pPr>
  </w:style>
  <w:style w:type="paragraph" w:customStyle="1" w:styleId="flush-paragraph-1">
    <w:name w:val="flush-paragraph-1"/>
    <w:basedOn w:val="Normal"/>
    <w:rsid w:val="00B406E6"/>
    <w:pPr>
      <w:widowControl/>
      <w:autoSpaceDE/>
      <w:autoSpaceDN/>
      <w:adjustRightInd/>
      <w:spacing w:before="100" w:beforeAutospacing="1" w:after="100" w:afterAutospacing="1"/>
    </w:pPr>
  </w:style>
  <w:style w:type="character" w:customStyle="1" w:styleId="fraction">
    <w:name w:val="fraction"/>
    <w:basedOn w:val="DefaultParagraphFont"/>
    <w:rsid w:val="00B406E6"/>
  </w:style>
  <w:style w:type="character" w:customStyle="1" w:styleId="numerator">
    <w:name w:val="numerator"/>
    <w:basedOn w:val="DefaultParagraphFont"/>
    <w:rsid w:val="00B406E6"/>
  </w:style>
  <w:style w:type="character" w:customStyle="1" w:styleId="denominator">
    <w:name w:val="denominator"/>
    <w:basedOn w:val="DefaultParagraphFont"/>
    <w:rsid w:val="00B406E6"/>
  </w:style>
  <w:style w:type="paragraph" w:customStyle="1" w:styleId="citation">
    <w:name w:val="citation"/>
    <w:basedOn w:val="Normal"/>
    <w:rsid w:val="00B406E6"/>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gcc02.safelinks.protection.outlook.com/?url=https%3A%2F%2Fwww.atsdr.cdc.gov%2Ftoxprofiles%2Ftp36-c5.pdf&amp;data=05%7C01%7CWashington.Robert%40dol.gov%7C4db71c3c96bc4676e1eb08da286bd462%7C75a6305472044e0c9126adab971d4aca%7C0%7C0%7C637866740844335539%7CUnknown%7CTWFpbGZsb3d8eyJWIjoiMC4wLjAwMDAiLCJQIjoiV2luMzIiLCJBTiI6Ik1haWwiLCJXVCI6Mn0%3D%7C3000%7C%7C%7C&amp;sdata=ioBmzAWXmv7shsahoNuqrVlEeBW9Erl8nDomsj60oIk%3D&amp;reserved=0"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epa.gov/sites/production/files/2016-09/documents/1-2-dibromo-3-chloropropan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7" ma:contentTypeDescription="Create a new document." ma:contentTypeScope="" ma:versionID="7fd2aac3ec2178743672ec53a642a95e">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ed3fb6853b5546abcbe3da6fec20acad" ns2:_="" ns3:_="">
    <xsd:import namespace="82412fa9-9002-478a-bf1c-b2bfb6f199a0"/>
    <xsd:import namespace="03dedaff-eb47-4bf3-b3c8-279fcd8f3680"/>
    <xsd:element name="properties">
      <xsd:complexType>
        <xsd:sequence>
          <xsd:element name="documentManagement">
            <xsd:complexType>
              <xsd:all>
                <xsd:element ref="ns2:Content_x0020_Description"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Content_x0020_Description" ma:index="3" nillable="true" ma:displayName="Content Description" ma:description="Location of older CCU files that are no longer available in CTS" ma:format="Dropdown" ma:internalName="Content_x0020_Descriptio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fe96640c-b52e-4cbd-bbd2-093461486b15}" ma:internalName="TaxCatchAll" ma:readOnly="false"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Content_x0020_Description xmlns="82412fa9-9002-478a-bf1c-b2bfb6f199a0" xsi:nil="true"/>
    <SharedWithUsers xmlns="03dedaff-eb47-4bf3-b3c8-279fcd8f3680">
      <UserInfo>
        <DisplayName>Ruskin, Maureen - OSHA</DisplayName>
        <AccountId>69</AccountId>
        <AccountType/>
      </UserInfo>
    </SharedWithUsers>
  </documentManagement>
</p:properties>
</file>

<file path=customXml/itemProps1.xml><?xml version="1.0" encoding="utf-8"?>
<ds:datastoreItem xmlns:ds="http://schemas.openxmlformats.org/officeDocument/2006/customXml" ds:itemID="{6161D40E-8BF2-4C93-9300-4E9C6006D875}">
  <ds:schemaRefs>
    <ds:schemaRef ds:uri="http://schemas.openxmlformats.org/officeDocument/2006/bibliography"/>
  </ds:schemaRefs>
</ds:datastoreItem>
</file>

<file path=customXml/itemProps2.xml><?xml version="1.0" encoding="utf-8"?>
<ds:datastoreItem xmlns:ds="http://schemas.openxmlformats.org/officeDocument/2006/customXml" ds:itemID="{B835ED50-94B9-464F-B2E7-5C78BB7D9D33}">
  <ds:schemaRefs>
    <ds:schemaRef ds:uri="http://schemas.microsoft.com/sharepoint/v3/contenttype/forms"/>
  </ds:schemaRefs>
</ds:datastoreItem>
</file>

<file path=customXml/itemProps3.xml><?xml version="1.0" encoding="utf-8"?>
<ds:datastoreItem xmlns:ds="http://schemas.openxmlformats.org/officeDocument/2006/customXml" ds:itemID="{BAA50394-D721-4D36-9EE9-EB572AC87007}">
  <ds:schemaRefs>
    <ds:schemaRef ds:uri="http://schemas.microsoft.com/office/2006/metadata/longProperties"/>
  </ds:schemaRefs>
</ds:datastoreItem>
</file>

<file path=customXml/itemProps4.xml><?xml version="1.0" encoding="utf-8"?>
<ds:datastoreItem xmlns:ds="http://schemas.openxmlformats.org/officeDocument/2006/customXml" ds:itemID="{E6D9DFE7-59B2-4822-844C-6A9F15C93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0919A5-DC9A-426A-9B67-AF891F6E2C0E}">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5145</Words>
  <Characters>29328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USDOL/OSHA</Company>
  <LinksUpToDate>false</LinksUpToDate>
  <CharactersWithSpaces>34405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OSHA_User</dc:creator>
  <cp:lastModifiedBy>Cannon, Belinda - OSHA</cp:lastModifiedBy>
  <cp:revision>5</cp:revision>
  <cp:lastPrinted>2019-03-06T16:44:00Z</cp:lastPrinted>
  <dcterms:created xsi:type="dcterms:W3CDTF">2025-06-10T20:01:00Z</dcterms:created>
  <dcterms:modified xsi:type="dcterms:W3CDTF">2025-06-10T20:03:00Z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display_urn:schemas-microsoft-com:office:office#SharedWithUsers">
    <vt:lpwstr>Ruskin, Maureen - OSHA</vt:lpwstr>
  </property>
  <property fmtid="{D5CDD505-2E9C-101B-9397-08002B2CF9AE}" pid="4" name="MediaServiceImageTags">
    <vt:lpwstr/>
  </property>
  <property fmtid="{D5CDD505-2E9C-101B-9397-08002B2CF9AE}" pid="5" name="SharedWithUsers">
    <vt:lpwstr>69;#Ruskin, Maureen - OSHA</vt:lpwstr>
  </property>
</Properties>
</file>