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3E3D" w14:paraId="45402B86" w14:textId="77777777">
      <w:pPr>
        <w:keepNext/>
        <w:jc w:val="center"/>
        <w:rPr>
          <w:b/>
          <w:bCs/>
          <w:sz w:val="24"/>
          <w:szCs w:val="24"/>
        </w:rPr>
      </w:pPr>
      <w:r>
        <w:rPr>
          <w:b/>
          <w:bCs/>
          <w:sz w:val="24"/>
          <w:szCs w:val="24"/>
        </w:rPr>
        <w:t>SUPPORTING STATEMENT FOR THE</w:t>
      </w:r>
    </w:p>
    <w:p w:rsidR="00553E3D" w14:paraId="49D28E45" w14:textId="4EF495DA">
      <w:pPr>
        <w:jc w:val="center"/>
        <w:rPr>
          <w:b/>
          <w:bCs/>
          <w:sz w:val="24"/>
          <w:szCs w:val="24"/>
        </w:rPr>
      </w:pPr>
      <w:r>
        <w:rPr>
          <w:b/>
          <w:bCs/>
          <w:sz w:val="24"/>
          <w:szCs w:val="24"/>
        </w:rPr>
        <w:t xml:space="preserve"> INFORMATION COLLECTION REQ</w:t>
      </w:r>
      <w:r w:rsidR="003A41FF">
        <w:rPr>
          <w:b/>
          <w:bCs/>
          <w:sz w:val="24"/>
          <w:szCs w:val="24"/>
        </w:rPr>
        <w:t>UEST FOR THE</w:t>
      </w:r>
    </w:p>
    <w:p w:rsidR="00553E3D" w14:paraId="2DA8B7B2" w14:textId="77777777">
      <w:pPr>
        <w:jc w:val="center"/>
        <w:rPr>
          <w:b/>
          <w:bCs/>
          <w:sz w:val="24"/>
          <w:szCs w:val="24"/>
        </w:rPr>
      </w:pPr>
      <w:bookmarkStart w:id="0" w:name="_Hlk97639358"/>
      <w:r>
        <w:rPr>
          <w:b/>
          <w:bCs/>
          <w:sz w:val="24"/>
          <w:szCs w:val="24"/>
        </w:rPr>
        <w:t>LEAD IN CONSTRUCTION STANDARD (29 CFR 1926.62)</w:t>
      </w:r>
      <w:r>
        <w:rPr>
          <w:vertAlign w:val="superscript"/>
        </w:rPr>
        <w:footnoteReference w:id="3"/>
      </w:r>
    </w:p>
    <w:p w:rsidR="00E90B22" w14:paraId="35A100CA" w14:textId="57B74208">
      <w:pPr>
        <w:jc w:val="center"/>
        <w:rPr>
          <w:b/>
          <w:bCs/>
          <w:sz w:val="24"/>
          <w:szCs w:val="24"/>
        </w:rPr>
      </w:pPr>
      <w:r>
        <w:rPr>
          <w:b/>
          <w:bCs/>
          <w:sz w:val="24"/>
          <w:szCs w:val="24"/>
        </w:rPr>
        <w:t xml:space="preserve">OFFICE OF </w:t>
      </w:r>
      <w:r w:rsidR="00E7459B">
        <w:rPr>
          <w:b/>
          <w:bCs/>
          <w:sz w:val="24"/>
          <w:szCs w:val="24"/>
        </w:rPr>
        <w:t>MANAGEMENT AND BUDGET</w:t>
      </w:r>
      <w:bookmarkEnd w:id="0"/>
      <w:r>
        <w:rPr>
          <w:b/>
          <w:bCs/>
          <w:sz w:val="24"/>
          <w:szCs w:val="24"/>
        </w:rPr>
        <w:t xml:space="preserve"> </w:t>
      </w:r>
      <w:r w:rsidR="00553E3D">
        <w:rPr>
          <w:b/>
          <w:bCs/>
          <w:sz w:val="24"/>
          <w:szCs w:val="24"/>
        </w:rPr>
        <w:t>(OMB</w:t>
      </w:r>
      <w:r>
        <w:rPr>
          <w:b/>
          <w:bCs/>
          <w:sz w:val="24"/>
          <w:szCs w:val="24"/>
        </w:rPr>
        <w:t>)</w:t>
      </w:r>
      <w:r w:rsidR="00553E3D">
        <w:rPr>
          <w:b/>
          <w:bCs/>
          <w:sz w:val="24"/>
          <w:szCs w:val="24"/>
        </w:rPr>
        <w:t xml:space="preserve"> </w:t>
      </w:r>
    </w:p>
    <w:p w:rsidR="00553E3D" w14:paraId="3C9BFE35" w14:textId="7AEE711C">
      <w:pPr>
        <w:jc w:val="center"/>
        <w:rPr>
          <w:b/>
          <w:bCs/>
          <w:sz w:val="24"/>
          <w:szCs w:val="24"/>
        </w:rPr>
      </w:pPr>
      <w:r>
        <w:rPr>
          <w:b/>
          <w:bCs/>
          <w:sz w:val="24"/>
          <w:szCs w:val="24"/>
        </w:rPr>
        <w:t>CONTROL NO. 1218-0189 (</w:t>
      </w:r>
      <w:r w:rsidR="00646AD3">
        <w:rPr>
          <w:b/>
          <w:bCs/>
          <w:sz w:val="24"/>
          <w:szCs w:val="24"/>
        </w:rPr>
        <w:t>May</w:t>
      </w:r>
      <w:r w:rsidR="00E005B9">
        <w:rPr>
          <w:b/>
          <w:bCs/>
          <w:sz w:val="24"/>
          <w:szCs w:val="24"/>
        </w:rPr>
        <w:t xml:space="preserve"> </w:t>
      </w:r>
      <w:r w:rsidR="004F56CA">
        <w:rPr>
          <w:b/>
          <w:bCs/>
          <w:sz w:val="24"/>
          <w:szCs w:val="24"/>
        </w:rPr>
        <w:t>202</w:t>
      </w:r>
      <w:r w:rsidR="00FA29B7">
        <w:rPr>
          <w:b/>
          <w:bCs/>
          <w:sz w:val="24"/>
          <w:szCs w:val="24"/>
        </w:rPr>
        <w:t>5</w:t>
      </w:r>
      <w:r>
        <w:rPr>
          <w:b/>
          <w:bCs/>
          <w:sz w:val="24"/>
          <w:szCs w:val="24"/>
        </w:rPr>
        <w:t>)</w:t>
      </w:r>
    </w:p>
    <w:p w:rsidR="00856664" w:rsidP="00856664" w14:paraId="4992C4F8" w14:textId="77777777">
      <w:pPr>
        <w:jc w:val="center"/>
        <w:rPr>
          <w:sz w:val="24"/>
          <w:szCs w:val="24"/>
        </w:rPr>
      </w:pPr>
    </w:p>
    <w:p w:rsidR="007E1C10" w:rsidRPr="00B63DB7" w:rsidP="007E1C10" w14:paraId="54D2AFAD" w14:textId="5B05E6F3">
      <w:pPr>
        <w:ind w:left="-90"/>
        <w:rPr>
          <w:bCs/>
          <w:sz w:val="24"/>
          <w:szCs w:val="24"/>
        </w:rPr>
      </w:pPr>
      <w:r w:rsidRPr="00B63DB7">
        <w:rPr>
          <w:bCs/>
          <w:sz w:val="24"/>
          <w:szCs w:val="24"/>
        </w:rPr>
        <w:t>Th</w:t>
      </w:r>
      <w:r w:rsidRPr="00B63DB7" w:rsidR="0063042D">
        <w:rPr>
          <w:bCs/>
          <w:sz w:val="24"/>
          <w:szCs w:val="24"/>
        </w:rPr>
        <w:t>e agency is seeking</w:t>
      </w:r>
      <w:r w:rsidRPr="00B63DB7">
        <w:rPr>
          <w:bCs/>
          <w:sz w:val="24"/>
          <w:szCs w:val="24"/>
        </w:rPr>
        <w:t xml:space="preserve"> </w:t>
      </w:r>
      <w:r w:rsidRPr="00B63DB7" w:rsidR="00B85E85">
        <w:rPr>
          <w:bCs/>
          <w:sz w:val="24"/>
          <w:szCs w:val="24"/>
        </w:rPr>
        <w:t xml:space="preserve">an </w:t>
      </w:r>
      <w:r w:rsidRPr="00B63DB7">
        <w:rPr>
          <w:bCs/>
          <w:sz w:val="24"/>
          <w:szCs w:val="24"/>
        </w:rPr>
        <w:t xml:space="preserve">extension of a currently approved data collection. </w:t>
      </w:r>
    </w:p>
    <w:p w:rsidR="007E1C10" w:rsidRPr="006D43C7" w:rsidP="007E1C10" w14:paraId="31AA5318" w14:textId="77777777">
      <w:pPr>
        <w:rPr>
          <w:bCs/>
          <w:sz w:val="24"/>
          <w:szCs w:val="24"/>
          <w:u w:val="single"/>
        </w:rPr>
      </w:pPr>
    </w:p>
    <w:p w:rsidR="00856664" w:rsidP="00856664" w14:paraId="1E9B4233" w14:textId="2CEE9204">
      <w:pPr>
        <w:rPr>
          <w:b/>
          <w:bCs/>
          <w:sz w:val="24"/>
          <w:szCs w:val="24"/>
        </w:rPr>
      </w:pPr>
      <w:r>
        <w:rPr>
          <w:b/>
          <w:bCs/>
          <w:sz w:val="24"/>
          <w:szCs w:val="24"/>
        </w:rPr>
        <w:t>A</w:t>
      </w:r>
      <w:r w:rsidRPr="00772FE4">
        <w:rPr>
          <w:b/>
          <w:bCs/>
          <w:sz w:val="24"/>
          <w:szCs w:val="24"/>
        </w:rPr>
        <w:t>.  JUSTIFICATION</w:t>
      </w:r>
      <w:r>
        <w:rPr>
          <w:b/>
          <w:bCs/>
          <w:sz w:val="24"/>
          <w:szCs w:val="24"/>
        </w:rPr>
        <w:tab/>
      </w:r>
    </w:p>
    <w:p w:rsidR="00856664" w:rsidP="00856664" w14:paraId="45476BC7" w14:textId="777777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b/>
      </w:r>
    </w:p>
    <w:p w:rsidR="00856664" w:rsidRPr="005D6BC2" w:rsidP="00856664" w14:paraId="5FFE958C" w14:textId="77777777">
      <w:pPr>
        <w:ind w:left="600" w:hanging="600"/>
        <w:rPr>
          <w:b/>
          <w:bCs/>
          <w:sz w:val="24"/>
          <w:szCs w:val="24"/>
        </w:rPr>
      </w:pPr>
      <w:r w:rsidRPr="005D6BC2">
        <w:rPr>
          <w:b/>
          <w:bCs/>
          <w:sz w:val="24"/>
          <w:szCs w:val="24"/>
        </w:rPr>
        <w:t>1</w:t>
      </w:r>
      <w:r w:rsidRPr="00813187">
        <w:rPr>
          <w:b/>
          <w:bCs/>
          <w:sz w:val="24"/>
          <w:szCs w:val="24"/>
        </w:rPr>
        <w:t>.</w:t>
      </w:r>
      <w:r>
        <w:rPr>
          <w:b/>
          <w:bCs/>
          <w:sz w:val="24"/>
          <w:szCs w:val="24"/>
        </w:rPr>
        <w:t xml:space="preserve">  </w:t>
      </w:r>
      <w:r>
        <w:rPr>
          <w:b/>
          <w:bCs/>
          <w:sz w:val="24"/>
          <w:szCs w:val="24"/>
        </w:rPr>
        <w:tab/>
      </w:r>
      <w:r w:rsidRPr="005D6BC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6664" w:rsidRPr="00813187" w:rsidP="00856664" w14:paraId="44BBF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A01635E" w14:textId="47DC2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00856664" w:rsidRPr="00772FE4" w:rsidP="00856664" w14:paraId="224E0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27B383D3" w14:textId="6D4F2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To protect </w:t>
      </w:r>
      <w:r w:rsidR="00FA259D">
        <w:rPr>
          <w:sz w:val="24"/>
          <w:szCs w:val="24"/>
        </w:rPr>
        <w:t>worker</w:t>
      </w:r>
      <w:r w:rsidRPr="00772FE4">
        <w:rPr>
          <w:sz w:val="24"/>
          <w:szCs w:val="24"/>
        </w:rPr>
        <w:t xml:space="preserv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w:t>
      </w:r>
      <w:r>
        <w:rPr>
          <w:sz w:val="24"/>
          <w:szCs w:val="24"/>
        </w:rPr>
        <w:t>s</w:t>
      </w:r>
      <w:r w:rsidRPr="00772FE4">
        <w:rPr>
          <w:sz w:val="24"/>
          <w:szCs w:val="24"/>
        </w:rPr>
        <w:t xml:space="preserve">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rsidR="00856664" w:rsidRPr="00772FE4" w:rsidP="00856664" w14:paraId="2CD4EF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FEEFDEC" w14:textId="685F7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Under the authority granted by the OSH Act, OSHA published a health standard governing </w:t>
      </w:r>
      <w:r w:rsidR="00FA259D">
        <w:rPr>
          <w:sz w:val="24"/>
          <w:szCs w:val="24"/>
        </w:rPr>
        <w:t>worker</w:t>
      </w:r>
      <w:r w:rsidRPr="00772FE4">
        <w:rPr>
          <w:sz w:val="24"/>
          <w:szCs w:val="24"/>
        </w:rPr>
        <w:t xml:space="preserve"> exposure to Lead in Construction (29 CFR 1926.62) (the “Standard”).  Attached to this supporting statement is a copy of the Standard. </w:t>
      </w:r>
    </w:p>
    <w:p w:rsidR="00856664" w:rsidRPr="00772FE4" w:rsidP="00856664" w14:paraId="0E9049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50689213" w14:textId="34903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purpose of the Lead in Construction Standard is to reduce the occupational lead exposure in the construction industry.  Lead exposure can result in both acute and chronic effects and can be fatal in severe cases of lead intoxication.  Some of the health effects associated with lead exposure </w:t>
      </w:r>
      <w:r w:rsidRPr="00772FE4" w:rsidR="006552AA">
        <w:rPr>
          <w:sz w:val="24"/>
          <w:szCs w:val="24"/>
        </w:rPr>
        <w:t>include</w:t>
      </w:r>
      <w:r w:rsidRPr="00772FE4">
        <w:rPr>
          <w:sz w:val="24"/>
          <w:szCs w:val="24"/>
        </w:rPr>
        <w:t xml:space="preserve"> brain disorders which can lead to seizures, coma, and death; anemia; neurological problems; high blood pressure; kidney problems; reproductive problems; and decreased red blood cell production.</w:t>
      </w:r>
    </w:p>
    <w:p w:rsidR="00856664" w:rsidP="00856664" w14:paraId="56B8B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0841B5CB" w14:textId="77777777">
      <w:pPr>
        <w:shd w:val="solid" w:color="FFFFFF" w:fill="FFFFFF"/>
        <w:ind w:left="720" w:hanging="720"/>
        <w:rPr>
          <w:sz w:val="24"/>
          <w:szCs w:val="24"/>
        </w:rPr>
      </w:pPr>
      <w:r w:rsidRPr="005D6BC2">
        <w:rPr>
          <w:b/>
          <w:bCs/>
          <w:sz w:val="24"/>
          <w:szCs w:val="24"/>
        </w:rPr>
        <w:t>2</w:t>
      </w:r>
      <w:r>
        <w:rPr>
          <w:b/>
          <w:bCs/>
        </w:rPr>
        <w:t>.</w:t>
      </w:r>
      <w:r>
        <w:rPr>
          <w:b/>
          <w:bCs/>
          <w:sz w:val="24"/>
          <w:szCs w:val="24"/>
        </w:rPr>
        <w:t xml:space="preserve">  </w:t>
      </w:r>
      <w:r>
        <w:rPr>
          <w:b/>
          <w:bCs/>
          <w:sz w:val="24"/>
          <w:szCs w:val="24"/>
        </w:rPr>
        <w:tab/>
      </w:r>
      <w:r w:rsidRPr="005D6BC2">
        <w:rPr>
          <w:b/>
          <w:bCs/>
          <w:sz w:val="24"/>
          <w:szCs w:val="24"/>
        </w:rPr>
        <w:t>Indicate how, by whom, and for what purpose the information is to be used.  Except for a new collection, indicate the actual use the agency has made of the information received from the current collection</w:t>
      </w:r>
      <w:r>
        <w:rPr>
          <w:b/>
          <w:bCs/>
        </w:rPr>
        <w:t>.</w:t>
      </w:r>
    </w:p>
    <w:p w:rsidR="00856664" w:rsidP="00856664" w14:paraId="5BE7E94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63D5" w:rsidP="00856664" w14:paraId="3139584B" w14:textId="30BDAAD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Lead in Construction Standard includes requirements for exposure</w:t>
      </w:r>
      <w:r>
        <w:rPr>
          <w:sz w:val="24"/>
          <w:szCs w:val="24"/>
        </w:rPr>
        <w:t>-</w:t>
      </w:r>
      <w:r w:rsidRPr="00772FE4">
        <w:rPr>
          <w:sz w:val="24"/>
          <w:szCs w:val="24"/>
        </w:rPr>
        <w:t xml:space="preserve">monitoring, compliance programs, respirator program, medical surveillance and recordkeeping.  The information generated to comply with these provisions is primarily used by employers, </w:t>
      </w:r>
      <w:r w:rsidR="00FA259D">
        <w:rPr>
          <w:sz w:val="24"/>
          <w:szCs w:val="24"/>
        </w:rPr>
        <w:t>worker</w:t>
      </w:r>
      <w:r w:rsidRPr="00772FE4">
        <w:rPr>
          <w:sz w:val="24"/>
          <w:szCs w:val="24"/>
        </w:rPr>
        <w:t xml:space="preserve">s, and medical care providers to provide protection for </w:t>
      </w:r>
      <w:r w:rsidR="00FA259D">
        <w:rPr>
          <w:sz w:val="24"/>
          <w:szCs w:val="24"/>
        </w:rPr>
        <w:t>worker</w:t>
      </w:r>
      <w:r w:rsidRPr="00772FE4">
        <w:rPr>
          <w:sz w:val="24"/>
          <w:szCs w:val="24"/>
        </w:rPr>
        <w:t xml:space="preserve">s from the adverse health effects associated with occupational exposure to lead.  </w:t>
      </w:r>
    </w:p>
    <w:p w:rsidR="00856664" w:rsidRPr="00772FE4" w:rsidP="00856664" w14:paraId="363CBB66" w14:textId="100E693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52EE0D66" w14:textId="6E87E4E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Both </w:t>
      </w:r>
      <w:r w:rsidR="00FA259D">
        <w:rPr>
          <w:sz w:val="24"/>
          <w:szCs w:val="24"/>
        </w:rPr>
        <w:t>worker</w:t>
      </w:r>
      <w:r w:rsidRPr="00772FE4">
        <w:rPr>
          <w:sz w:val="24"/>
          <w:szCs w:val="24"/>
        </w:rPr>
        <w:t xml:space="preserve"> and </w:t>
      </w:r>
      <w:r w:rsidRPr="00772FE4" w:rsidR="004F56CA">
        <w:rPr>
          <w:sz w:val="24"/>
          <w:szCs w:val="24"/>
        </w:rPr>
        <w:t>employers</w:t>
      </w:r>
      <w:r w:rsidRPr="00772FE4">
        <w:rPr>
          <w:sz w:val="24"/>
          <w:szCs w:val="24"/>
        </w:rPr>
        <w:t xml:space="preserve"> benefit from the information provided by exposure-monitoring and medical surveillance records.  Through notification of monitored exposure levels, the </w:t>
      </w:r>
      <w:r w:rsidR="00FA259D">
        <w:rPr>
          <w:sz w:val="24"/>
          <w:szCs w:val="24"/>
        </w:rPr>
        <w:t>worker</w:t>
      </w:r>
      <w:r w:rsidRPr="00772FE4">
        <w:rPr>
          <w:sz w:val="24"/>
          <w:szCs w:val="24"/>
        </w:rPr>
        <w:t xml:space="preserve"> is informed whether his or her exposure is lower than or above a level warranting protective action.  Medical records are designed so that a </w:t>
      </w:r>
      <w:r w:rsidR="00FA259D">
        <w:rPr>
          <w:sz w:val="24"/>
          <w:szCs w:val="24"/>
        </w:rPr>
        <w:t>worker</w:t>
      </w:r>
      <w:r w:rsidRPr="00772FE4">
        <w:rPr>
          <w:sz w:val="24"/>
          <w:szCs w:val="24"/>
        </w:rPr>
        <w:t xml:space="preserve"> can determine </w:t>
      </w:r>
      <w:r w:rsidRPr="00772FE4" w:rsidR="004F56CA">
        <w:rPr>
          <w:sz w:val="24"/>
          <w:szCs w:val="24"/>
        </w:rPr>
        <w:t>whether</w:t>
      </w:r>
      <w:r w:rsidRPr="00772FE4">
        <w:rPr>
          <w:sz w:val="24"/>
          <w:szCs w:val="24"/>
        </w:rPr>
        <w:t xml:space="preserve"> treatment is needed for occupational exposure.  Exposure-monitoring and medical surveillance records help the employer to ensure that </w:t>
      </w:r>
      <w:r w:rsidR="00FA259D">
        <w:rPr>
          <w:sz w:val="24"/>
          <w:szCs w:val="24"/>
        </w:rPr>
        <w:t>worker</w:t>
      </w:r>
      <w:r w:rsidRPr="00772FE4">
        <w:rPr>
          <w:sz w:val="24"/>
          <w:szCs w:val="24"/>
        </w:rPr>
        <w:t>s are not overexposed to lead.  The exposure assessment requirements can be used to help employers understand how exposures can vary over time and can be used to diagnose and correct problem operations or poor work practices resulting in high airborne lead levels.</w:t>
      </w:r>
    </w:p>
    <w:p w:rsidR="00856664" w:rsidRPr="00772FE4" w:rsidP="00856664" w14:paraId="1184D7A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050D93C" w14:textId="13E8498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Records of previous medical examinations are useful to physicians who must examine </w:t>
      </w:r>
      <w:r w:rsidR="00FA259D">
        <w:rPr>
          <w:sz w:val="24"/>
          <w:szCs w:val="24"/>
        </w:rPr>
        <w:t>worker</w:t>
      </w:r>
      <w:r w:rsidRPr="00772FE4">
        <w:rPr>
          <w:sz w:val="24"/>
          <w:szCs w:val="24"/>
        </w:rPr>
        <w:t xml:space="preserve">s exposed to lead.  Without records of previous medical examinations, the physician may not be able to determine whether a </w:t>
      </w:r>
      <w:r w:rsidR="00FA259D">
        <w:rPr>
          <w:sz w:val="24"/>
          <w:szCs w:val="24"/>
        </w:rPr>
        <w:t>worker</w:t>
      </w:r>
      <w:r w:rsidRPr="00772FE4">
        <w:rPr>
          <w:sz w:val="24"/>
          <w:szCs w:val="24"/>
        </w:rPr>
        <w:t xml:space="preserve"> has suffered an </w:t>
      </w:r>
      <w:r w:rsidRPr="00772FE4" w:rsidR="002B59FB">
        <w:rPr>
          <w:sz w:val="24"/>
          <w:szCs w:val="24"/>
        </w:rPr>
        <w:t>adverse health effect</w:t>
      </w:r>
      <w:r w:rsidRPr="00772FE4">
        <w:rPr>
          <w:sz w:val="24"/>
          <w:szCs w:val="24"/>
        </w:rPr>
        <w:t xml:space="preserve"> since his or her last examination.  Further, when symptoms of organic damage appear, the physician often needs information about the patient’s previous medical condition to make an accurate diagnosis of the new problem, its apparent cause, and the course of treatment required.</w:t>
      </w:r>
    </w:p>
    <w:p w:rsidR="00856664" w:rsidRPr="00772FE4" w:rsidP="00856664" w14:paraId="28AAB0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751938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data and information contained in the required records may also be used by both OSHA and NIOSH primarily for the development of lead exposure assessments.  Exposure data and the data accumulated through the medical surveillance records can be used for epidemiological and diagnostic investigations (e.g., to determine, dose-response relationships for diseases caused by lead exposure).</w:t>
      </w:r>
    </w:p>
    <w:p w:rsidR="00856664" w:rsidRPr="00772FE4" w:rsidP="00856664" w14:paraId="4F95039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63D5" w:rsidP="00856664" w14:paraId="5A0B60BC" w14:textId="0CC0B31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following paragraphs identify paperwork requirements.  Burden hours and costs are </w:t>
      </w:r>
    </w:p>
    <w:p w:rsidR="00856664" w:rsidRPr="00772FE4" w:rsidP="00856664" w14:paraId="22B8CE58" w14:textId="39E67B0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discussed under Item 12. </w:t>
      </w:r>
    </w:p>
    <w:p w:rsidR="00534B69" w:rsidP="00856664" w14:paraId="66873DC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56664" w:rsidRPr="00772FE4" w:rsidP="00856664" w14:paraId="32B4619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Exposure Assessment</w:t>
      </w:r>
      <w:r w:rsidRPr="00772FE4">
        <w:rPr>
          <w:sz w:val="24"/>
          <w:szCs w:val="24"/>
        </w:rPr>
        <w:t xml:space="preserve"> (§1926.62(d)(1))</w:t>
      </w:r>
    </w:p>
    <w:p w:rsidR="00856664" w:rsidRPr="00772FE4" w:rsidP="00856664" w14:paraId="4D101CF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E34246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The employer must thus determine</w:t>
      </w:r>
      <w:r>
        <w:rPr>
          <w:sz w:val="24"/>
          <w:szCs w:val="24"/>
        </w:rPr>
        <w:t>:</w:t>
      </w:r>
      <w:r w:rsidRPr="00772FE4">
        <w:rPr>
          <w:sz w:val="24"/>
          <w:szCs w:val="24"/>
        </w:rPr>
        <w:t xml:space="preserve"> (1) whether or not lead is actually present at the work site</w:t>
      </w:r>
      <w:r>
        <w:rPr>
          <w:sz w:val="24"/>
          <w:szCs w:val="24"/>
        </w:rPr>
        <w:t>,</w:t>
      </w:r>
      <w:r w:rsidRPr="00772FE4">
        <w:rPr>
          <w:sz w:val="24"/>
          <w:szCs w:val="24"/>
        </w:rPr>
        <w:t xml:space="preserve"> and (2) whether or not worker exposures would </w:t>
      </w:r>
      <w:r>
        <w:rPr>
          <w:sz w:val="24"/>
          <w:szCs w:val="24"/>
        </w:rPr>
        <w:t xml:space="preserve">be at or above </w:t>
      </w:r>
      <w:r w:rsidRPr="00772FE4">
        <w:rPr>
          <w:sz w:val="24"/>
          <w:szCs w:val="24"/>
        </w:rPr>
        <w:t>the action level.</w:t>
      </w:r>
    </w:p>
    <w:p w:rsidR="00856664" w:rsidRPr="00772FE4" w:rsidP="00856664" w14:paraId="3165096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C26EF5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Protection of Employees </w:t>
      </w:r>
      <w:r w:rsidR="00873BBF">
        <w:rPr>
          <w:sz w:val="24"/>
          <w:szCs w:val="24"/>
          <w:u w:val="single"/>
        </w:rPr>
        <w:t>D</w:t>
      </w:r>
      <w:r w:rsidRPr="00772FE4">
        <w:rPr>
          <w:sz w:val="24"/>
          <w:szCs w:val="24"/>
          <w:u w:val="single"/>
        </w:rPr>
        <w:t>uring Assessment of Exposure</w:t>
      </w:r>
      <w:r w:rsidRPr="00772FE4">
        <w:rPr>
          <w:sz w:val="24"/>
          <w:szCs w:val="24"/>
        </w:rPr>
        <w:t xml:space="preserve"> (§1926.62(d)(2)(i))</w:t>
      </w:r>
    </w:p>
    <w:p w:rsidR="00856664" w:rsidRPr="00772FE4" w:rsidP="00856664" w14:paraId="4CB9A40B" w14:textId="2CD0A9B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8D70AF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provide certain protection to all workers in job categories specifically identified in paragraph (d)(2) of the Standard, before determining the representative lead exposures of these workers. </w:t>
      </w:r>
      <w:r w:rsidRPr="00772FE4">
        <w:rPr>
          <w:color w:val="FF0080"/>
          <w:sz w:val="24"/>
          <w:szCs w:val="24"/>
        </w:rPr>
        <w:t xml:space="preserve"> </w:t>
      </w:r>
      <w:r w:rsidRPr="00772FE4">
        <w:rPr>
          <w:sz w:val="24"/>
          <w:szCs w:val="24"/>
        </w:rPr>
        <w:t>These protections must be provided until the employer documents that the workers are not exposed over the PEL (documentation through new exposure monitoring data, or exposure-monitoring data no more than 12 months).  If workers covered under (d)(2) are found to be exposed below the PEL, the documentation described in this paragraph is the same documentation that is also required to satisfy the Negative Initial Determination requirement.</w:t>
      </w:r>
    </w:p>
    <w:p w:rsidR="00856664" w:rsidRPr="00772FE4" w:rsidP="00856664" w14:paraId="3CCD99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68D4EC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Basis of Initial Determination</w:t>
      </w:r>
      <w:r w:rsidRPr="00772FE4">
        <w:rPr>
          <w:sz w:val="24"/>
          <w:szCs w:val="24"/>
        </w:rPr>
        <w:t xml:space="preserve"> (§1926.62(d)(3))</w:t>
      </w:r>
    </w:p>
    <w:p w:rsidR="00856664" w:rsidRPr="00772FE4" w:rsidP="00856664" w14:paraId="6614D6D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488354DE" w14:textId="515911B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further requires employers to determine whether any </w:t>
      </w:r>
      <w:r w:rsidR="00FA259D">
        <w:rPr>
          <w:sz w:val="24"/>
          <w:szCs w:val="24"/>
        </w:rPr>
        <w:t>worker</w:t>
      </w:r>
      <w:r w:rsidRPr="00772FE4">
        <w:rPr>
          <w:sz w:val="24"/>
          <w:szCs w:val="24"/>
        </w:rPr>
        <w:t xml:space="preserve"> will be exposed to lead </w:t>
      </w:r>
      <w:r w:rsidR="00397FA1">
        <w:rPr>
          <w:sz w:val="24"/>
          <w:szCs w:val="24"/>
        </w:rPr>
        <w:t xml:space="preserve">at or </w:t>
      </w:r>
      <w:r w:rsidRPr="00772FE4">
        <w:rPr>
          <w:sz w:val="24"/>
          <w:szCs w:val="24"/>
        </w:rPr>
        <w:t>above the action level.  This determination may be made on the basis of</w:t>
      </w:r>
      <w:r w:rsidRPr="00772FE4" w:rsidR="002B59FB">
        <w:rPr>
          <w:sz w:val="24"/>
          <w:szCs w:val="24"/>
        </w:rPr>
        <w:t>: (</w:t>
      </w:r>
      <w:r w:rsidRPr="00772FE4">
        <w:rPr>
          <w:sz w:val="24"/>
          <w:szCs w:val="24"/>
        </w:rPr>
        <w:t>1) new exposure monitoring; (2) relevant exposure monitoring data collected by the employer within the previous 12 months (historical monitoring data); or (3) objective data</w:t>
      </w:r>
      <w:r>
        <w:rPr>
          <w:rStyle w:val="FootnoteReference"/>
          <w:sz w:val="22"/>
        </w:rPr>
        <w:footnoteReference w:id="4"/>
      </w:r>
      <w:r w:rsidRPr="00772FE4">
        <w:rPr>
          <w:sz w:val="24"/>
          <w:szCs w:val="24"/>
        </w:rPr>
        <w:t xml:space="preserve"> showing that worst-case exposures will be below the action level.  Thus, employers will need to perform initial</w:t>
      </w:r>
      <w:r>
        <w:rPr>
          <w:sz w:val="24"/>
          <w:szCs w:val="24"/>
        </w:rPr>
        <w:t xml:space="preserve"> </w:t>
      </w:r>
      <w:r w:rsidRPr="00772FE4">
        <w:rPr>
          <w:sz w:val="24"/>
          <w:szCs w:val="24"/>
        </w:rPr>
        <w:t>determination-related monitoring when objective data or previous exposure monitoring data do not exist or are insufficient for use.  (Exposure monitoring performed to comply with the Initial Determination requirement may also be used to satisfy the Initial Monitoring requirement as described below.)</w:t>
      </w:r>
    </w:p>
    <w:p w:rsidR="00856664" w:rsidRPr="00772FE4" w:rsidP="00856664" w14:paraId="715BA32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638F45E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Positive Initial Determination and Initial Monitoring</w:t>
      </w:r>
      <w:r w:rsidRPr="00772FE4">
        <w:rPr>
          <w:sz w:val="24"/>
          <w:szCs w:val="24"/>
        </w:rPr>
        <w:t xml:space="preserve"> (§1926.62(d)(4))</w:t>
      </w:r>
    </w:p>
    <w:p w:rsidR="00856664" w:rsidRPr="00772FE4" w:rsidP="00856664" w14:paraId="0A7A231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AA1C1B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conduct initial exposure-monitoring (representative of each affected </w:t>
      </w:r>
      <w:r w:rsidR="00FA259D">
        <w:rPr>
          <w:sz w:val="24"/>
          <w:szCs w:val="24"/>
        </w:rPr>
        <w:t>worker</w:t>
      </w:r>
      <w:r w:rsidRPr="00772FE4">
        <w:rPr>
          <w:sz w:val="24"/>
          <w:szCs w:val="24"/>
        </w:rPr>
        <w:t xml:space="preserve">’s exposure) when the initial determination is positive (the employer concludes that lead exposure may </w:t>
      </w:r>
      <w:r w:rsidR="00397FA1">
        <w:rPr>
          <w:sz w:val="24"/>
          <w:szCs w:val="24"/>
        </w:rPr>
        <w:t xml:space="preserve">meet or </w:t>
      </w:r>
      <w:r w:rsidRPr="00772FE4">
        <w:rPr>
          <w:sz w:val="24"/>
          <w:szCs w:val="24"/>
        </w:rPr>
        <w:t>exceed the action level) unless employers have relevant historical monitoring data from the previous 12 months.</w:t>
      </w:r>
    </w:p>
    <w:p w:rsidR="00856664" w:rsidRPr="00772FE4" w:rsidP="00856664" w14:paraId="7A923D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575FD91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Negative Initial Determination</w:t>
      </w:r>
      <w:r w:rsidRPr="00772FE4">
        <w:rPr>
          <w:sz w:val="24"/>
          <w:szCs w:val="24"/>
        </w:rPr>
        <w:t xml:space="preserve"> (§1926.62(d)(5))</w:t>
      </w:r>
    </w:p>
    <w:p w:rsidR="00856664" w:rsidRPr="00772FE4" w:rsidP="00856664" w14:paraId="1D0C6BE0" w14:textId="018B034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the initial determination is negative (i.e., employers conclude that no </w:t>
      </w:r>
      <w:r w:rsidR="00FA259D">
        <w:rPr>
          <w:sz w:val="24"/>
          <w:szCs w:val="24"/>
        </w:rPr>
        <w:t>worker</w:t>
      </w:r>
      <w:r w:rsidRPr="00772FE4">
        <w:rPr>
          <w:sz w:val="24"/>
          <w:szCs w:val="24"/>
        </w:rPr>
        <w:t xml:space="preserve">s will be exposed at or above the action level), employers must make a written record of that determination.  The </w:t>
      </w:r>
      <w:r w:rsidRPr="00772FE4">
        <w:rPr>
          <w:sz w:val="24"/>
          <w:szCs w:val="24"/>
        </w:rPr>
        <w:t xml:space="preserve">record must include the information specified in paragraph (d)(3)(i) of this section and also shall include the date of determination, location within the worksite, and the name of each </w:t>
      </w:r>
      <w:r w:rsidR="00FA259D">
        <w:rPr>
          <w:sz w:val="24"/>
          <w:szCs w:val="24"/>
        </w:rPr>
        <w:t>worker</w:t>
      </w:r>
      <w:r w:rsidRPr="00772FE4">
        <w:rPr>
          <w:sz w:val="24"/>
          <w:szCs w:val="24"/>
        </w:rPr>
        <w:t xml:space="preserve"> monitored.</w:t>
      </w:r>
    </w:p>
    <w:p w:rsidR="00856664" w:rsidRPr="00772FE4" w:rsidP="00856664" w14:paraId="0093416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2C3FC0EA" w14:textId="63BE1D6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Frequency</w:t>
      </w:r>
      <w:r w:rsidRPr="00772FE4">
        <w:rPr>
          <w:sz w:val="24"/>
          <w:szCs w:val="24"/>
        </w:rPr>
        <w:t xml:space="preserve"> (§1926.62(d)(6))</w:t>
      </w:r>
    </w:p>
    <w:p w:rsidR="00856664" w:rsidRPr="00772FE4" w:rsidP="00856664" w14:paraId="24D89DF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7052D" w:rsidP="00A7052D" w14:paraId="2530BA4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If the initial determination reveals employee exposure to be below the action level further exposure determination need not be repeated except as otherwise provided in paragraph (d)(7)</w:t>
      </w:r>
      <w:bookmarkStart w:id="1" w:name="1926.62(d)(6)(ii)"/>
      <w:bookmarkEnd w:id="1"/>
      <w:r w:rsidR="00491DDC">
        <w:rPr>
          <w:sz w:val="24"/>
          <w:szCs w:val="24"/>
        </w:rPr>
        <w:t>.</w:t>
      </w:r>
      <w:r>
        <w:rPr>
          <w:sz w:val="24"/>
          <w:szCs w:val="24"/>
        </w:rPr>
        <w:t xml:space="preserve"> (</w:t>
      </w:r>
      <w:r w:rsidR="00491DDC">
        <w:rPr>
          <w:sz w:val="24"/>
          <w:szCs w:val="24"/>
        </w:rPr>
        <w:t xml:space="preserve">See: </w:t>
      </w:r>
      <w:r>
        <w:rPr>
          <w:sz w:val="24"/>
          <w:szCs w:val="24"/>
        </w:rPr>
        <w:t>“Additional Exposure Assessments</w:t>
      </w:r>
      <w:r w:rsidR="00491DDC">
        <w:rPr>
          <w:sz w:val="24"/>
          <w:szCs w:val="24"/>
        </w:rPr>
        <w:t>,</w:t>
      </w:r>
      <w:r>
        <w:rPr>
          <w:sz w:val="24"/>
          <w:szCs w:val="24"/>
        </w:rPr>
        <w:t>”</w:t>
      </w:r>
      <w:r w:rsidR="00491DDC">
        <w:rPr>
          <w:sz w:val="24"/>
          <w:szCs w:val="24"/>
        </w:rPr>
        <w:t xml:space="preserve"> below.</w:t>
      </w:r>
      <w:r>
        <w:rPr>
          <w:sz w:val="24"/>
          <w:szCs w:val="24"/>
        </w:rPr>
        <w:t>)</w:t>
      </w:r>
    </w:p>
    <w:p w:rsidR="00A7052D" w:rsidP="00A7052D" w14:paraId="5965FD3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2" w:name="1926.62(d)(6)(iii)"/>
      <w:bookmarkEnd w:id="2"/>
    </w:p>
    <w:p w:rsidR="00A7052D" w:rsidP="00A7052D" w14:paraId="38AFB52E" w14:textId="5C0B1FE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frequency of periodic monitoring is determined by whether the work site exposure levels are </w:t>
      </w:r>
      <w:r>
        <w:rPr>
          <w:sz w:val="24"/>
          <w:szCs w:val="24"/>
        </w:rPr>
        <w:t xml:space="preserve">at or </w:t>
      </w:r>
      <w:r w:rsidR="00397FA1">
        <w:rPr>
          <w:sz w:val="24"/>
          <w:szCs w:val="24"/>
        </w:rPr>
        <w:t>above</w:t>
      </w:r>
      <w:r w:rsidRPr="00772FE4" w:rsidR="00397FA1">
        <w:rPr>
          <w:sz w:val="24"/>
          <w:szCs w:val="24"/>
        </w:rPr>
        <w:t xml:space="preserve"> </w:t>
      </w:r>
      <w:r w:rsidRPr="00772FE4">
        <w:rPr>
          <w:sz w:val="24"/>
          <w:szCs w:val="24"/>
        </w:rPr>
        <w:t xml:space="preserve">the action level </w:t>
      </w:r>
      <w:r>
        <w:rPr>
          <w:sz w:val="24"/>
          <w:szCs w:val="24"/>
        </w:rPr>
        <w:t xml:space="preserve">but at </w:t>
      </w:r>
      <w:r w:rsidR="004C5EDA">
        <w:rPr>
          <w:sz w:val="24"/>
          <w:szCs w:val="24"/>
        </w:rPr>
        <w:t xml:space="preserve">or </w:t>
      </w:r>
      <w:r>
        <w:rPr>
          <w:sz w:val="24"/>
          <w:szCs w:val="24"/>
        </w:rPr>
        <w:t>below the</w:t>
      </w:r>
      <w:r w:rsidRPr="00772FE4">
        <w:rPr>
          <w:sz w:val="24"/>
          <w:szCs w:val="24"/>
        </w:rPr>
        <w:t xml:space="preserve"> PEL, or above the PEL.</w:t>
      </w:r>
      <w:r>
        <w:rPr>
          <w:sz w:val="24"/>
          <w:szCs w:val="24"/>
        </w:rPr>
        <w:t xml:space="preserve">  </w:t>
      </w:r>
      <w:r w:rsidRPr="00A7052D">
        <w:rPr>
          <w:sz w:val="24"/>
          <w:szCs w:val="24"/>
        </w:rPr>
        <w:t xml:space="preserve">If the initial determination or subsequent determination reveals employee exposure to be at or above the action level but at or below the PEL the </w:t>
      </w:r>
      <w:r>
        <w:rPr>
          <w:sz w:val="24"/>
          <w:szCs w:val="24"/>
        </w:rPr>
        <w:t xml:space="preserve">employer must </w:t>
      </w:r>
      <w:r w:rsidRPr="00A7052D">
        <w:rPr>
          <w:sz w:val="24"/>
          <w:szCs w:val="24"/>
        </w:rPr>
        <w:t>perform monitoring at leas</w:t>
      </w:r>
      <w:r>
        <w:rPr>
          <w:sz w:val="24"/>
          <w:szCs w:val="24"/>
        </w:rPr>
        <w:t xml:space="preserve">t every 6 months. </w:t>
      </w:r>
      <w:r w:rsidR="00B07853">
        <w:rPr>
          <w:sz w:val="24"/>
          <w:szCs w:val="24"/>
        </w:rPr>
        <w:t xml:space="preserve"> </w:t>
      </w:r>
      <w:r>
        <w:rPr>
          <w:sz w:val="24"/>
          <w:szCs w:val="24"/>
        </w:rPr>
        <w:t xml:space="preserve">The employer must </w:t>
      </w:r>
      <w:r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r>
        <w:rPr>
          <w:sz w:val="24"/>
          <w:szCs w:val="24"/>
        </w:rPr>
        <w:t xml:space="preserve">  </w:t>
      </w:r>
    </w:p>
    <w:p w:rsidR="00A7052D" w:rsidP="00A7052D" w14:paraId="47C67C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7052D" w:rsidRPr="00A7052D" w:rsidP="00A7052D" w14:paraId="24A23B33" w14:textId="7EC7D3BB">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 xml:space="preserve">If the initial determination reveals that employee exposure is above the PEL the employer shall perform monitoring quarterly.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 xml:space="preserve">continue monitoring at the required frequency until at least two consecutive measurements, taken at least 7 days apart, are at or below the PEL but at or above the action level at which time the employer shall repeat monitoring for that employee at the frequency specified in paragraph (d)(6)(ii) of this section, except as otherwise provided in paragraph (d)(7).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p>
    <w:p w:rsidR="00856664" w:rsidP="00856664" w14:paraId="7EC5D60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06B2090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B06143">
        <w:rPr>
          <w:sz w:val="24"/>
          <w:szCs w:val="24"/>
          <w:u w:val="single"/>
        </w:rPr>
        <w:t xml:space="preserve">Additional </w:t>
      </w:r>
      <w:r w:rsidR="00A7052D">
        <w:rPr>
          <w:sz w:val="24"/>
          <w:szCs w:val="24"/>
          <w:u w:val="single"/>
        </w:rPr>
        <w:t>E</w:t>
      </w:r>
      <w:r w:rsidRPr="00B06143">
        <w:rPr>
          <w:sz w:val="24"/>
          <w:szCs w:val="24"/>
          <w:u w:val="single"/>
        </w:rPr>
        <w:t xml:space="preserve">xposure </w:t>
      </w:r>
      <w:r w:rsidR="00A7052D">
        <w:rPr>
          <w:sz w:val="24"/>
          <w:szCs w:val="24"/>
          <w:u w:val="single"/>
        </w:rPr>
        <w:t>A</w:t>
      </w:r>
      <w:r w:rsidRPr="00B06143">
        <w:rPr>
          <w:sz w:val="24"/>
          <w:szCs w:val="24"/>
          <w:u w:val="single"/>
        </w:rPr>
        <w:t xml:space="preserve">ssessments </w:t>
      </w:r>
      <w:r w:rsidRPr="00F86EE9">
        <w:rPr>
          <w:sz w:val="24"/>
          <w:szCs w:val="24"/>
        </w:rPr>
        <w:t>(§1926.62(d)(</w:t>
      </w:r>
      <w:r w:rsidR="004C5EDA">
        <w:rPr>
          <w:sz w:val="24"/>
          <w:szCs w:val="24"/>
        </w:rPr>
        <w:t>7</w:t>
      </w:r>
      <w:r w:rsidRPr="00F86EE9">
        <w:rPr>
          <w:sz w:val="24"/>
          <w:szCs w:val="24"/>
        </w:rPr>
        <w:t>))</w:t>
      </w:r>
    </w:p>
    <w:p w:rsidR="00856664" w:rsidP="00856664" w14:paraId="7711ADC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56664" w:rsidRPr="00873BBF" w:rsidP="00856664" w14:paraId="7C43BF3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EE9">
        <w:rPr>
          <w:sz w:val="24"/>
          <w:szCs w:val="24"/>
        </w:rPr>
        <w:t xml:space="preserve">Whenever there has been a change of equipment, process, control, personnel or a new task has been initiated that may result in additional </w:t>
      </w:r>
      <w:r w:rsidR="00FA259D">
        <w:rPr>
          <w:sz w:val="24"/>
          <w:szCs w:val="24"/>
        </w:rPr>
        <w:t>worker</w:t>
      </w:r>
      <w:r w:rsidRPr="00F86EE9">
        <w:rPr>
          <w:sz w:val="24"/>
          <w:szCs w:val="24"/>
        </w:rPr>
        <w:t xml:space="preserve">s being exposed to lead at or above the action level or may result in </w:t>
      </w:r>
      <w:r w:rsidR="00FA259D">
        <w:rPr>
          <w:sz w:val="24"/>
          <w:szCs w:val="24"/>
        </w:rPr>
        <w:t>worker</w:t>
      </w:r>
      <w:r w:rsidRPr="00F86EE9">
        <w:rPr>
          <w:sz w:val="24"/>
          <w:szCs w:val="24"/>
        </w:rPr>
        <w:t>s already exposed at or above the action level being exposed</w:t>
      </w:r>
      <w:r w:rsidR="00873BBF">
        <w:rPr>
          <w:sz w:val="24"/>
          <w:szCs w:val="24"/>
        </w:rPr>
        <w:t xml:space="preserve"> </w:t>
      </w:r>
      <w:r w:rsidRPr="00873BBF">
        <w:rPr>
          <w:sz w:val="24"/>
          <w:szCs w:val="24"/>
        </w:rPr>
        <w:t>above the PEL, the employer must conduct additional monitoring.</w:t>
      </w:r>
    </w:p>
    <w:p w:rsidR="00856664" w:rsidRPr="00873BBF" w:rsidP="00856664" w14:paraId="4E0CB0B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57E4852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Notification</w:t>
      </w:r>
      <w:r w:rsidRPr="00772FE4">
        <w:rPr>
          <w:sz w:val="24"/>
          <w:szCs w:val="24"/>
        </w:rPr>
        <w:t xml:space="preserve"> (§1926.62(d)(8))</w:t>
      </w:r>
    </w:p>
    <w:p w:rsidR="00856664" w:rsidRPr="00772FE4" w:rsidP="00856664" w14:paraId="74D4B16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42E32" w:rsidP="00856664" w14:paraId="0B622402" w14:textId="1E4BA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employers conduct exposure monitoring, they must notify </w:t>
      </w:r>
      <w:r w:rsidR="00FA259D">
        <w:rPr>
          <w:sz w:val="24"/>
          <w:szCs w:val="24"/>
        </w:rPr>
        <w:t>worker</w:t>
      </w:r>
      <w:r w:rsidRPr="00772FE4">
        <w:rPr>
          <w:sz w:val="24"/>
          <w:szCs w:val="24"/>
        </w:rPr>
        <w:t xml:space="preserve">s either individually in writing or by posting the results within 5 </w:t>
      </w:r>
      <w:r w:rsidR="00D245A0">
        <w:rPr>
          <w:sz w:val="24"/>
          <w:szCs w:val="24"/>
        </w:rPr>
        <w:t xml:space="preserve">working </w:t>
      </w:r>
      <w:r w:rsidRPr="00772FE4">
        <w:rPr>
          <w:sz w:val="24"/>
          <w:szCs w:val="24"/>
        </w:rPr>
        <w:t xml:space="preserve">days in an appropriate location that is accessible to </w:t>
      </w:r>
      <w:r w:rsidR="00FA259D">
        <w:rPr>
          <w:sz w:val="24"/>
          <w:szCs w:val="24"/>
        </w:rPr>
        <w:t>worker</w:t>
      </w:r>
      <w:r w:rsidRPr="00772FE4">
        <w:rPr>
          <w:sz w:val="24"/>
          <w:szCs w:val="24"/>
        </w:rPr>
        <w:t xml:space="preserve">s.  If the results are </w:t>
      </w:r>
      <w:r w:rsidR="00873BBF">
        <w:rPr>
          <w:sz w:val="24"/>
          <w:szCs w:val="24"/>
        </w:rPr>
        <w:t xml:space="preserve">at or </w:t>
      </w:r>
      <w:r w:rsidRPr="00772FE4">
        <w:rPr>
          <w:sz w:val="24"/>
          <w:szCs w:val="24"/>
        </w:rPr>
        <w:t xml:space="preserve">above the PEL, </w:t>
      </w:r>
      <w:r w:rsidRPr="003E6F97" w:rsidR="003E6F97">
        <w:rPr>
          <w:sz w:val="24"/>
          <w:szCs w:val="24"/>
        </w:rPr>
        <w:t xml:space="preserve">without regard to respirators, </w:t>
      </w:r>
      <w:r w:rsidRPr="00772FE4">
        <w:rPr>
          <w:sz w:val="24"/>
          <w:szCs w:val="24"/>
        </w:rPr>
        <w:t xml:space="preserve">the employer must include a statement to that effect and a description of corrective measures to be taken.  </w:t>
      </w:r>
      <w:bookmarkStart w:id="3" w:name="_Hlk107564282"/>
      <w:r w:rsidRPr="00772FE4">
        <w:rPr>
          <w:sz w:val="24"/>
          <w:szCs w:val="24"/>
        </w:rPr>
        <w:t xml:space="preserve">The point of notification is to ensure that </w:t>
      </w:r>
      <w:r w:rsidR="00FA259D">
        <w:rPr>
          <w:sz w:val="24"/>
          <w:szCs w:val="24"/>
        </w:rPr>
        <w:t>worker</w:t>
      </w:r>
      <w:r w:rsidRPr="00772FE4">
        <w:rPr>
          <w:sz w:val="24"/>
          <w:szCs w:val="24"/>
        </w:rPr>
        <w:t xml:space="preserve">s are aware of their exposures to OSHA-regulated substances, and the </w:t>
      </w:r>
      <w:r w:rsidR="00F606D5">
        <w:rPr>
          <w:sz w:val="24"/>
          <w:szCs w:val="24"/>
        </w:rPr>
        <w:t>a</w:t>
      </w:r>
      <w:r w:rsidRPr="00772FE4">
        <w:rPr>
          <w:sz w:val="24"/>
          <w:szCs w:val="24"/>
        </w:rPr>
        <w:t xml:space="preserve">gency preliminarily concludes that </w:t>
      </w:r>
      <w:r w:rsidR="00573163">
        <w:rPr>
          <w:sz w:val="24"/>
          <w:szCs w:val="24"/>
        </w:rPr>
        <w:t>t</w:t>
      </w:r>
      <w:r w:rsidRPr="00772FE4">
        <w:rPr>
          <w:sz w:val="24"/>
          <w:szCs w:val="24"/>
        </w:rPr>
        <w:t xml:space="preserve">his goal can be met either through individual written notification or </w:t>
      </w:r>
    </w:p>
    <w:p w:rsidR="00856664" w:rsidRPr="00772FE4" w:rsidP="00856664" w14:paraId="1EA6E23D" w14:textId="686BD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through posting in a location that is readily accessible to all </w:t>
      </w:r>
      <w:r w:rsidR="00FA259D">
        <w:rPr>
          <w:sz w:val="24"/>
          <w:szCs w:val="24"/>
        </w:rPr>
        <w:t>worker</w:t>
      </w:r>
      <w:r w:rsidRPr="00772FE4">
        <w:rPr>
          <w:sz w:val="24"/>
          <w:szCs w:val="24"/>
        </w:rPr>
        <w:t>s whose results are being posted.</w:t>
      </w:r>
    </w:p>
    <w:bookmarkEnd w:id="3"/>
    <w:p w:rsidR="00856664" w:rsidRPr="00772FE4" w:rsidP="00856664" w14:paraId="0341F09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13B78DB3" w14:textId="1E541CB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Compliance Program</w:t>
      </w:r>
      <w:r w:rsidRPr="00772FE4">
        <w:rPr>
          <w:sz w:val="24"/>
          <w:szCs w:val="24"/>
        </w:rPr>
        <w:t xml:space="preserve"> (§1926.62(e)(2)(i)</w:t>
      </w:r>
      <w:r w:rsidR="00E02CAA">
        <w:rPr>
          <w:sz w:val="24"/>
          <w:szCs w:val="24"/>
        </w:rPr>
        <w:t xml:space="preserve">, </w:t>
      </w:r>
      <w:r w:rsidR="00E33C86">
        <w:rPr>
          <w:sz w:val="24"/>
          <w:szCs w:val="24"/>
        </w:rPr>
        <w:t>(e)(2)(ii)</w:t>
      </w:r>
      <w:r w:rsidR="00E02CAA">
        <w:rPr>
          <w:sz w:val="24"/>
          <w:szCs w:val="24"/>
        </w:rPr>
        <w:t>, and (e)(2)(iii)</w:t>
      </w:r>
      <w:r w:rsidRPr="00772FE4">
        <w:rPr>
          <w:sz w:val="24"/>
          <w:szCs w:val="24"/>
        </w:rPr>
        <w:t>)</w:t>
      </w:r>
    </w:p>
    <w:p w:rsidR="00856664" w:rsidRPr="00772FE4" w:rsidP="00856664" w14:paraId="03C3D26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401B902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Employers must review and update their compliance programs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Pr>
          <w:sz w:val="24"/>
          <w:szCs w:val="24"/>
        </w:rPr>
        <w:t xml:space="preserve"> </w:t>
      </w:r>
    </w:p>
    <w:p w:rsidR="00E33C86" w:rsidP="00E33C86" w14:paraId="519A6D8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670B9756" w14:textId="4323B38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02CAA">
        <w:rPr>
          <w:sz w:val="24"/>
          <w:szCs w:val="24"/>
        </w:rPr>
        <w:t>Written plans for these compliance programs shall include</w:t>
      </w:r>
      <w:r w:rsidR="00E02CAA">
        <w:rPr>
          <w:sz w:val="24"/>
          <w:szCs w:val="24"/>
        </w:rPr>
        <w:t xml:space="preserve"> </w:t>
      </w:r>
      <w:r w:rsidRPr="00E02CAA">
        <w:rPr>
          <w:sz w:val="24"/>
          <w:szCs w:val="24"/>
        </w:rPr>
        <w:t>at least the following:</w:t>
      </w:r>
    </w:p>
    <w:p w:rsidR="00E33C86" w:rsidRPr="00E02CAA" w:rsidP="00E33C86" w14:paraId="149588E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42B9A665" w14:textId="7B0B8C9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(A) A description of each activity in which lead is emitted; </w:t>
      </w:r>
      <w:r w:rsidRPr="00E33C86" w:rsidR="002B59FB">
        <w:rPr>
          <w:sz w:val="24"/>
          <w:szCs w:val="24"/>
        </w:rPr>
        <w:t>e.g.,</w:t>
      </w:r>
      <w:r w:rsidRPr="00E33C86">
        <w:rPr>
          <w:sz w:val="24"/>
          <w:szCs w:val="24"/>
        </w:rPr>
        <w:t xml:space="preserve"> equipment used, material involved, controls in place, crew size, employee job responsibilities, operating procedures and maintenance practices;</w:t>
      </w:r>
    </w:p>
    <w:p w:rsidR="00E33C86" w:rsidRPr="00E33C86" w:rsidP="00E33C86" w14:paraId="47B2E52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6731369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(B) A description of the specific means that will be employed to achieve compliance and, where engineering controls are required engineering plans and studies used to determine methods selected for controlling exposure to lead;</w:t>
      </w:r>
    </w:p>
    <w:p w:rsidR="00E33C86" w:rsidRPr="00E33C86" w:rsidP="00E33C86" w14:paraId="350F03E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660877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(C) A report of the technology considered in meeting the PEL;</w:t>
      </w:r>
    </w:p>
    <w:p w:rsidR="00E33C86" w:rsidRPr="00E33C86" w:rsidP="00E33C86" w14:paraId="1C16A2B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6DDC72B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(D) Air monitoring data which documents the source of lead emissions;</w:t>
      </w:r>
    </w:p>
    <w:p w:rsidR="00E33C86" w:rsidRPr="00E33C86" w:rsidP="00E33C86" w14:paraId="2B6D3DD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6EEC702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(E) A detailed schedule for implementation of the program, including documentation such as copies of purchase orders for equipment, construction contracts, etc.;</w:t>
      </w:r>
    </w:p>
    <w:p w:rsidR="00E33C86" w:rsidP="00E33C86" w14:paraId="1338272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266F17BA" w14:textId="7F985D1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(F) A work practice program which includes items required under paragraphs (g), (h) and (i) of this section and incorporates other relevant work practices such as those specified in paragraph (e)(5) of this section;</w:t>
      </w:r>
    </w:p>
    <w:p w:rsidR="00E33C86" w:rsidRPr="00E33C86" w:rsidP="00E33C86" w14:paraId="6C43D1D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0EEE0F8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(G) An administrative control schedule required by paragraph (e)(4) of this section, if applicable;</w:t>
      </w:r>
    </w:p>
    <w:p w:rsidR="00E33C86" w:rsidRPr="00E33C86" w:rsidP="00E33C86" w14:paraId="00D740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5DD6FA3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(H) A description of arrangements made among contractors on multi-contractor sites with respect to informing affected employees of potential exposure to lead and with respect to responsibility for compliance with this section as set-forth in §1926.16.</w:t>
      </w:r>
    </w:p>
    <w:p w:rsidR="00E33C86" w:rsidRPr="00E33C86" w:rsidP="00E33C86" w14:paraId="5CDC504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14:paraId="1B4A356D" w14:textId="2B2928B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(I) Other relevant information.</w:t>
      </w:r>
    </w:p>
    <w:p w:rsidR="00F50B7A" w:rsidP="00E33C86" w14:paraId="356FA2C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7E85A06" w14:textId="18916D8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Other Onsite Employers</w:t>
      </w:r>
      <w:r w:rsidRPr="00772FE4">
        <w:rPr>
          <w:sz w:val="24"/>
          <w:szCs w:val="24"/>
        </w:rPr>
        <w:t xml:space="preserve"> (§1926.62(e)(2)(ii)(H))</w:t>
      </w:r>
    </w:p>
    <w:p w:rsidR="00856664" w:rsidRPr="00772FE4" w:rsidP="00856664" w14:paraId="27D2A10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b/>
      </w:r>
    </w:p>
    <w:p w:rsidR="003A41FF" w:rsidP="00856664" w14:paraId="079FEA6E" w14:textId="4C91B61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As shown in the paragraph above, t</w:t>
      </w:r>
      <w:r w:rsidRPr="00772FE4" w:rsidR="00856664">
        <w:rPr>
          <w:sz w:val="24"/>
          <w:szCs w:val="24"/>
        </w:rPr>
        <w:t xml:space="preserve">he compliance program requires contractors working with </w:t>
      </w:r>
    </w:p>
    <w:p w:rsidR="00856664" w:rsidRPr="00772FE4" w:rsidP="00856664" w14:paraId="56774A8D" w14:textId="2E33AB19">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lead on multi-contractor sites to inform affected </w:t>
      </w:r>
      <w:r w:rsidR="00FA259D">
        <w:rPr>
          <w:sz w:val="24"/>
          <w:szCs w:val="24"/>
        </w:rPr>
        <w:t>worker</w:t>
      </w:r>
      <w:r w:rsidRPr="00772FE4">
        <w:rPr>
          <w:sz w:val="24"/>
          <w:szCs w:val="24"/>
        </w:rPr>
        <w:t>s of potential exposure to lead as required in 29 CFR 1926.16 (Rule</w:t>
      </w:r>
      <w:r w:rsidR="0030491B">
        <w:rPr>
          <w:sz w:val="24"/>
          <w:szCs w:val="24"/>
        </w:rPr>
        <w:t>s</w:t>
      </w:r>
      <w:r w:rsidRPr="00772FE4">
        <w:rPr>
          <w:sz w:val="24"/>
          <w:szCs w:val="24"/>
        </w:rPr>
        <w:t xml:space="preserve"> of Construction).  </w:t>
      </w:r>
    </w:p>
    <w:p w:rsidR="00C42E32" w:rsidP="00856664" w14:paraId="4F0C143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56664" w:rsidRPr="00772FE4" w:rsidP="00856664" w14:paraId="2CF1A09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Submission of Written Compliance Programs</w:t>
      </w:r>
      <w:r w:rsidRPr="00772FE4">
        <w:rPr>
          <w:sz w:val="24"/>
          <w:szCs w:val="24"/>
        </w:rPr>
        <w:t xml:space="preserve"> (§1926.62(e)(2)(iv))</w:t>
      </w:r>
    </w:p>
    <w:p w:rsidR="00856664" w:rsidRPr="00772FE4" w:rsidP="00856664" w14:paraId="4CAB848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6B08BCB5" w14:textId="646C418E">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 OSHA and the National Institute for Occupational Safety and Health (NIOSH</w:t>
      </w:r>
      <w:r w:rsidRPr="00772FE4" w:rsidR="00C64F8E">
        <w:rPr>
          <w:sz w:val="24"/>
          <w:szCs w:val="24"/>
        </w:rPr>
        <w:t>) and</w:t>
      </w:r>
      <w:r w:rsidRPr="00772FE4">
        <w:rPr>
          <w:sz w:val="24"/>
          <w:szCs w:val="24"/>
        </w:rPr>
        <w:t xml:space="preserve"> must be available at the worksite for examination and copying by OSHA and NIOSH.</w:t>
      </w:r>
      <w:r>
        <w:rPr>
          <w:rStyle w:val="FootnoteReference"/>
          <w:sz w:val="24"/>
          <w:szCs w:val="24"/>
        </w:rPr>
        <w:footnoteReference w:id="5"/>
      </w:r>
    </w:p>
    <w:p w:rsidR="00E02CAA" w:rsidP="00856664" w14:paraId="4BAC022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02CAA" w:rsidP="00856664" w14:paraId="552BC00C" w14:textId="0CAC59C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D6BC2">
        <w:rPr>
          <w:sz w:val="24"/>
          <w:szCs w:val="24"/>
          <w:u w:val="single"/>
        </w:rPr>
        <w:t>Revision of Written Compliance Programs</w:t>
      </w:r>
      <w:r>
        <w:rPr>
          <w:sz w:val="24"/>
          <w:szCs w:val="24"/>
        </w:rPr>
        <w:t xml:space="preserve"> (§1926.62(e)(2)(</w:t>
      </w:r>
      <w:r w:rsidRPr="00772FE4">
        <w:rPr>
          <w:sz w:val="24"/>
          <w:szCs w:val="24"/>
        </w:rPr>
        <w:t>v))</w:t>
      </w:r>
    </w:p>
    <w:p w:rsidR="00E02CAA" w:rsidP="00856664" w14:paraId="06C5D3F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02CAA" w:rsidP="00856664" w14:paraId="20DAD15B" w14:textId="0A735D1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Written programs must be revised and updated at least annually to reflect the current status of the program.</w:t>
      </w:r>
    </w:p>
    <w:p w:rsidR="00BE5F86" w:rsidP="00856664" w14:paraId="742E667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E5F86" w:rsidRPr="00772FE4" w:rsidP="00BE5F86" w14:paraId="0963088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Administrative Controls</w:t>
      </w:r>
      <w:r w:rsidRPr="00772FE4">
        <w:rPr>
          <w:sz w:val="24"/>
          <w:szCs w:val="24"/>
        </w:rPr>
        <w:t xml:space="preserve"> (§1926.62(e)(4))</w:t>
      </w:r>
    </w:p>
    <w:p w:rsidR="00BE5F86" w:rsidRPr="00772FE4" w:rsidP="00BE5F86" w14:paraId="374B5F5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E5F86" w:rsidRPr="00772FE4" w:rsidP="00BE5F86" w14:paraId="619551D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permits the use of </w:t>
      </w:r>
      <w:r>
        <w:rPr>
          <w:sz w:val="24"/>
          <w:szCs w:val="24"/>
        </w:rPr>
        <w:t>worker</w:t>
      </w:r>
      <w:r w:rsidRPr="00772FE4">
        <w:rPr>
          <w:sz w:val="24"/>
          <w:szCs w:val="24"/>
        </w:rPr>
        <w:t xml:space="preserve"> rotation to control exposure to lead.  Employers who make use of </w:t>
      </w:r>
      <w:r>
        <w:rPr>
          <w:sz w:val="24"/>
          <w:szCs w:val="24"/>
        </w:rPr>
        <w:t>worker</w:t>
      </w:r>
      <w:r w:rsidRPr="00772FE4">
        <w:rPr>
          <w:sz w:val="24"/>
          <w:szCs w:val="24"/>
        </w:rPr>
        <w:t xml:space="preserve"> rotation as an administrative control must establish a job rotation schedule as part of the written compliance program.</w:t>
      </w:r>
    </w:p>
    <w:p w:rsidR="00BE5F86" w:rsidRPr="00772FE4" w:rsidP="00BE5F86" w14:paraId="387178A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2C711A10" w14:textId="398C852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Respirator Protection</w:t>
      </w:r>
      <w:r w:rsidRPr="00772FE4">
        <w:rPr>
          <w:sz w:val="24"/>
          <w:szCs w:val="24"/>
        </w:rPr>
        <w:t xml:space="preserve"> (§1926.62(f)(2)(i))</w:t>
      </w:r>
      <w:r w:rsidR="00BE5F86">
        <w:rPr>
          <w:sz w:val="24"/>
          <w:szCs w:val="24"/>
        </w:rPr>
        <w:t xml:space="preserve"> </w:t>
      </w:r>
    </w:p>
    <w:p w:rsidR="00856664" w:rsidRPr="00772FE4" w:rsidP="00856664" w14:paraId="0A019E6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B26669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using respirators to control </w:t>
      </w:r>
      <w:r w:rsidR="00FA259D">
        <w:rPr>
          <w:sz w:val="24"/>
          <w:szCs w:val="24"/>
        </w:rPr>
        <w:t>worker</w:t>
      </w:r>
      <w:r w:rsidRPr="00772FE4">
        <w:rPr>
          <w:sz w:val="24"/>
          <w:szCs w:val="24"/>
        </w:rPr>
        <w:t xml:space="preserve"> exposures to lead must establish a respiratory protection program in accordance with 29 CFR 1910.134, paragraphs (b) through (d) (except (d)(1)(iii)), and (f) through (m)</w:t>
      </w:r>
      <w:r>
        <w:rPr>
          <w:sz w:val="24"/>
          <w:szCs w:val="24"/>
        </w:rPr>
        <w:t xml:space="preserve">, which covers each </w:t>
      </w:r>
      <w:r w:rsidR="00FA259D">
        <w:rPr>
          <w:sz w:val="24"/>
          <w:szCs w:val="24"/>
        </w:rPr>
        <w:t>worker</w:t>
      </w:r>
      <w:r>
        <w:rPr>
          <w:sz w:val="24"/>
          <w:szCs w:val="24"/>
        </w:rPr>
        <w:t xml:space="preserve"> required to use a respirator</w:t>
      </w:r>
      <w:r w:rsidRPr="00772FE4">
        <w:rPr>
          <w:sz w:val="24"/>
          <w:szCs w:val="24"/>
        </w:rPr>
        <w:t xml:space="preserve">.  Paragraph (c) of 1910.134 requires employers to develop and implement a written respiratory protection program with worksite specific procedures, as well as elements for respirator use.  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 the needs of their </w:t>
      </w:r>
      <w:r w:rsidR="00FA259D">
        <w:rPr>
          <w:sz w:val="24"/>
          <w:szCs w:val="24"/>
        </w:rPr>
        <w:t>worker</w:t>
      </w:r>
      <w:r w:rsidRPr="00772FE4">
        <w:rPr>
          <w:sz w:val="24"/>
          <w:szCs w:val="24"/>
        </w:rPr>
        <w:t xml:space="preserve">s. </w:t>
      </w:r>
    </w:p>
    <w:p w:rsidR="00856664" w:rsidRPr="00772FE4" w:rsidP="00856664" w14:paraId="0B3A061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4C08A7C0" w14:textId="6D16736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Notifying the Laundry</w:t>
      </w:r>
      <w:r w:rsidRPr="00772FE4">
        <w:rPr>
          <w:sz w:val="24"/>
          <w:szCs w:val="24"/>
        </w:rPr>
        <w:t xml:space="preserve"> (§1926.62(g)(2)(vi)</w:t>
      </w:r>
      <w:r>
        <w:rPr>
          <w:sz w:val="24"/>
          <w:szCs w:val="24"/>
        </w:rPr>
        <w:t xml:space="preserve"> and (vii)</w:t>
      </w:r>
      <w:r w:rsidRPr="00772FE4">
        <w:rPr>
          <w:sz w:val="24"/>
          <w:szCs w:val="24"/>
        </w:rPr>
        <w:t>)</w:t>
      </w:r>
      <w:r w:rsidR="008C3C8B">
        <w:rPr>
          <w:sz w:val="24"/>
          <w:szCs w:val="24"/>
        </w:rPr>
        <w:t xml:space="preserve"> </w:t>
      </w:r>
    </w:p>
    <w:p w:rsidR="00856664" w:rsidRPr="00772FE4" w:rsidP="00856664" w14:paraId="0318533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A41FF" w:rsidP="00856664" w14:paraId="01ED60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Pr="00852216">
        <w:rPr>
          <w:sz w:val="24"/>
          <w:szCs w:val="24"/>
        </w:rPr>
        <w:t xml:space="preserve">Lead in Construction Standard requires employers to provide </w:t>
      </w:r>
      <w:r w:rsidR="00FA259D">
        <w:rPr>
          <w:sz w:val="24"/>
          <w:szCs w:val="24"/>
        </w:rPr>
        <w:t>worker</w:t>
      </w:r>
      <w:r w:rsidRPr="00852216">
        <w:rPr>
          <w:sz w:val="24"/>
          <w:szCs w:val="24"/>
        </w:rPr>
        <w:t xml:space="preserve">s exposed to lead above </w:t>
      </w:r>
    </w:p>
    <w:p w:rsidR="00C42E32" w:rsidP="00856664" w14:paraId="1D6FE091" w14:textId="3079433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2216">
        <w:rPr>
          <w:sz w:val="24"/>
          <w:szCs w:val="24"/>
        </w:rPr>
        <w:t xml:space="preserve">the PEL with protective work clothing and equipment.  Employers supplying such clothing and equipment are also required to inform, in writing, those persons responsible for cleaning and laundering the protective clothing and equipment about the hazards of lead.  The employer shall ensure that the containers of contaminated protective clothing and equipment required by </w:t>
      </w:r>
      <w:r w:rsidRPr="00852216">
        <w:rPr>
          <w:sz w:val="24"/>
          <w:szCs w:val="24"/>
        </w:rPr>
        <w:t xml:space="preserve">paragraph (g)(2)(v) of this section are labeled as follows:  DANGER: CLOTHING AND EQUIPMENT CONTAMINATED WITH LEAD. </w:t>
      </w:r>
      <w:r w:rsidR="00AF067C">
        <w:rPr>
          <w:sz w:val="24"/>
          <w:szCs w:val="24"/>
        </w:rPr>
        <w:t xml:space="preserve"> </w:t>
      </w:r>
      <w:r w:rsidRPr="00852216">
        <w:rPr>
          <w:sz w:val="24"/>
          <w:szCs w:val="24"/>
        </w:rPr>
        <w:t>MAY DAMAGE FERTILITY OR THE UNBORN CHILD.</w:t>
      </w:r>
      <w:r w:rsidR="00D151CF">
        <w:rPr>
          <w:sz w:val="24"/>
          <w:szCs w:val="24"/>
        </w:rPr>
        <w:t xml:space="preserve"> </w:t>
      </w:r>
      <w:r w:rsidRPr="00852216">
        <w:rPr>
          <w:sz w:val="24"/>
          <w:szCs w:val="24"/>
        </w:rPr>
        <w:t xml:space="preserve"> CAUSES DAMAGE TO THE CENTRAL NERVOUS SYSTEM. DO NOT EAT, DRINK OR SMOKE WHEN HANDLING.</w:t>
      </w:r>
      <w:r w:rsidR="00D151CF">
        <w:rPr>
          <w:sz w:val="24"/>
          <w:szCs w:val="24"/>
        </w:rPr>
        <w:t xml:space="preserve"> </w:t>
      </w:r>
      <w:r w:rsidRPr="00852216">
        <w:rPr>
          <w:sz w:val="24"/>
          <w:szCs w:val="24"/>
        </w:rPr>
        <w:t xml:space="preserve"> DO NOT REMOVE DUST BY BLOWING </w:t>
      </w:r>
    </w:p>
    <w:p w:rsidR="00856664" w:rsidRPr="00852216" w:rsidP="00856664" w14:paraId="573CE5A7" w14:textId="27C3592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2216">
        <w:rPr>
          <w:sz w:val="24"/>
          <w:szCs w:val="24"/>
        </w:rPr>
        <w:t xml:space="preserve">OR SHAKING. DISPOSE OF LEAD CONTAMINATED WASH WATER IN ACCORDANCE </w:t>
      </w:r>
      <w:r w:rsidR="00C42E32">
        <w:rPr>
          <w:sz w:val="24"/>
          <w:szCs w:val="24"/>
        </w:rPr>
        <w:t>W</w:t>
      </w:r>
      <w:r w:rsidRPr="00852216">
        <w:rPr>
          <w:sz w:val="24"/>
          <w:szCs w:val="24"/>
        </w:rPr>
        <w:t>ITH APPLICABLE LOCAL, STATE, OR FEDERAL REGULATIONS.</w:t>
      </w:r>
      <w:r>
        <w:rPr>
          <w:rStyle w:val="FootnoteReference"/>
          <w:sz w:val="24"/>
          <w:szCs w:val="24"/>
        </w:rPr>
        <w:footnoteReference w:id="6"/>
      </w:r>
    </w:p>
    <w:p w:rsidR="00856664" w:rsidRPr="00772FE4" w:rsidP="00856664" w14:paraId="564329D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69A9C6DE" w14:textId="351518A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w:t>
      </w:r>
      <w:r w:rsidRPr="00772FE4">
        <w:rPr>
          <w:sz w:val="24"/>
          <w:szCs w:val="24"/>
        </w:rPr>
        <w:t xml:space="preserve"> (§1926.62(j)</w:t>
      </w:r>
      <w:r w:rsidR="00BC6D82">
        <w:rPr>
          <w:sz w:val="24"/>
          <w:szCs w:val="24"/>
        </w:rPr>
        <w:t>, (j)(1)(i) and (j)(1)(ii)</w:t>
      </w:r>
      <w:r w:rsidRPr="00772FE4">
        <w:rPr>
          <w:sz w:val="24"/>
          <w:szCs w:val="24"/>
        </w:rPr>
        <w:t>)</w:t>
      </w:r>
    </w:p>
    <w:p w:rsidR="00856664" w:rsidRPr="00772FE4" w:rsidP="00856664" w14:paraId="313F2CB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F5B3D" w:rsidRPr="00772FE4" w:rsidP="00856664" w14:paraId="6836A6AF" w14:textId="7459DF7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initial medical surveillance to any </w:t>
      </w:r>
      <w:r w:rsidR="00FA259D">
        <w:rPr>
          <w:sz w:val="24"/>
          <w:szCs w:val="24"/>
        </w:rPr>
        <w:t>worker</w:t>
      </w:r>
      <w:r w:rsidRPr="00772FE4">
        <w:rPr>
          <w:sz w:val="24"/>
          <w:szCs w:val="24"/>
        </w:rPr>
        <w:t xml:space="preserve"> occupationally exposed to lead at or above the action level on any day.  Initial medical surveillance consists of a single session of biological monitoring.  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D151CF">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rsidR="00856664" w:rsidRPr="00772FE4" w:rsidP="00856664" w14:paraId="0916810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56664" w:rsidRPr="00772FE4" w:rsidP="00856664" w14:paraId="3F5FD93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Biological Monitoring</w:t>
      </w:r>
      <w:r w:rsidRPr="00772FE4">
        <w:rPr>
          <w:sz w:val="24"/>
          <w:szCs w:val="24"/>
        </w:rPr>
        <w:t xml:space="preserve"> (§1926.62(j)(2))</w:t>
      </w:r>
    </w:p>
    <w:p w:rsidR="00856664" w:rsidRPr="00772FE4" w:rsidP="00856664" w14:paraId="5B1D8C6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17A0B2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biological monitoring to the following categories of </w:t>
      </w:r>
      <w:r w:rsidR="00FA259D">
        <w:rPr>
          <w:sz w:val="24"/>
          <w:szCs w:val="24"/>
        </w:rPr>
        <w:t>worker</w:t>
      </w:r>
      <w:r w:rsidRPr="00772FE4">
        <w:rPr>
          <w:sz w:val="24"/>
          <w:szCs w:val="24"/>
        </w:rPr>
        <w:t>s:</w:t>
      </w:r>
    </w:p>
    <w:p w:rsidR="00856664" w:rsidRPr="00772FE4" w:rsidP="00856664" w14:paraId="0AEC92D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856664" w:rsidRPr="00772FE4" w:rsidP="00856664" w14:paraId="30CB3B98" w14:textId="47E571EC">
      <w:pPr>
        <w:shd w:val="solid" w:color="FFFFFF" w:fill="FFFFFF"/>
        <w:ind w:left="360"/>
        <w:rPr>
          <w:sz w:val="24"/>
          <w:szCs w:val="24"/>
        </w:rPr>
      </w:pPr>
      <w:r w:rsidRPr="00772FE4">
        <w:rPr>
          <w:sz w:val="24"/>
          <w:szCs w:val="24"/>
        </w:rPr>
        <w:t>Initial medical surveillance consisting of a single blood test (</w:t>
      </w:r>
      <w:r w:rsidR="00D151CF">
        <w:rPr>
          <w:sz w:val="24"/>
          <w:szCs w:val="24"/>
        </w:rPr>
        <w:t xml:space="preserve">analyzed for lead and zinc </w:t>
      </w:r>
      <w:r w:rsidRPr="00772FE4">
        <w:rPr>
          <w:sz w:val="24"/>
          <w:szCs w:val="24"/>
        </w:rPr>
        <w:t>protoporphyrin</w:t>
      </w:r>
      <w:r w:rsidRPr="00772FE4">
        <w:rPr>
          <w:sz w:val="24"/>
          <w:szCs w:val="24"/>
        </w:rPr>
        <w:t xml:space="preserve"> </w:t>
      </w:r>
      <w:r w:rsidRPr="00772FE4">
        <w:rPr>
          <w:sz w:val="24"/>
          <w:szCs w:val="24"/>
        </w:rPr>
        <w:t xml:space="preserve">levels) for </w:t>
      </w:r>
      <w:r w:rsidR="00FA259D">
        <w:rPr>
          <w:sz w:val="24"/>
          <w:szCs w:val="24"/>
        </w:rPr>
        <w:t>worker</w:t>
      </w:r>
      <w:r w:rsidRPr="00772FE4">
        <w:rPr>
          <w:sz w:val="24"/>
          <w:szCs w:val="24"/>
        </w:rPr>
        <w:t xml:space="preserve">s exposed, on any day, to lead </w:t>
      </w:r>
      <w:r>
        <w:rPr>
          <w:sz w:val="24"/>
          <w:szCs w:val="24"/>
        </w:rPr>
        <w:t xml:space="preserve">at or above </w:t>
      </w:r>
      <w:r w:rsidRPr="00772FE4">
        <w:rPr>
          <w:sz w:val="24"/>
          <w:szCs w:val="24"/>
        </w:rPr>
        <w:t>the action level;</w:t>
      </w:r>
    </w:p>
    <w:p w:rsidR="00856664" w:rsidRPr="00772FE4" w:rsidP="00856664" w14:paraId="7FBA141A" w14:textId="77777777">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rsidR="00856664" w:rsidRPr="00772FE4" w:rsidP="00856664" w14:paraId="20A21A24" w14:textId="77777777">
      <w:pPr>
        <w:shd w:val="solid" w:color="FFFFFF" w:fill="FFFFFF"/>
        <w:ind w:left="360"/>
        <w:rPr>
          <w:sz w:val="24"/>
          <w:szCs w:val="24"/>
        </w:rPr>
      </w:pPr>
      <w:r w:rsidRPr="00772FE4">
        <w:rPr>
          <w:sz w:val="24"/>
          <w:szCs w:val="24"/>
        </w:rPr>
        <w:t xml:space="preserve">Periodic medical surveillance consisting of regularly scheduled blood tests (analyzed for lead and zinc protoporphyrin levels) as part of a medical surveillance program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 the action level more than thirty days per year.  These tests are to be administered at least every two months for the first six months of employment and every six months thereafter;</w:t>
      </w:r>
    </w:p>
    <w:p w:rsidR="00856664" w:rsidRPr="00772FE4" w:rsidP="00856664" w14:paraId="05D191C0" w14:textId="77777777">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rsidR="003A41FF" w:rsidP="00856664" w14:paraId="6BE8734F" w14:textId="77777777">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w:t>
      </w:r>
      <w:r w:rsidR="00D151CF">
        <w:rPr>
          <w:sz w:val="24"/>
          <w:szCs w:val="24"/>
        </w:rPr>
        <w:t xml:space="preserve"> the action level whose last </w:t>
      </w:r>
      <w:r w:rsidRPr="00772FE4">
        <w:rPr>
          <w:sz w:val="24"/>
          <w:szCs w:val="24"/>
        </w:rPr>
        <w:t xml:space="preserve">blood </w:t>
      </w:r>
    </w:p>
    <w:p w:rsidR="00856664" w:rsidRPr="00772FE4" w:rsidP="00856664" w14:paraId="53D12ED7" w14:textId="399DED8B">
      <w:pPr>
        <w:shd w:val="solid" w:color="FFFFFF" w:fill="FFFFFF"/>
        <w:ind w:left="360"/>
        <w:rPr>
          <w:sz w:val="24"/>
          <w:szCs w:val="24"/>
        </w:rPr>
      </w:pPr>
      <w:r w:rsidRPr="00772FE4">
        <w:rPr>
          <w:sz w:val="24"/>
          <w:szCs w:val="24"/>
        </w:rPr>
        <w:t>sampling and analysis indicated a blood-level at or above 40 µg/dl.  These tests are to be administered at least every two months until two consecutive blood test results indicate a blood-lead level below 40 µg/dl;</w:t>
      </w:r>
    </w:p>
    <w:p w:rsidR="00856664" w:rsidRPr="00772FE4" w:rsidP="00856664" w14:paraId="1AFEE1D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rsidR="00856664" w:rsidRPr="00772FE4" w:rsidP="00856664" w14:paraId="3F2BF3D7" w14:textId="77777777">
      <w:pPr>
        <w:shd w:val="solid" w:color="FFFFFF" w:fill="FFFFFF"/>
        <w:ind w:left="360"/>
        <w:rPr>
          <w:sz w:val="24"/>
          <w:szCs w:val="24"/>
        </w:rPr>
      </w:pPr>
      <w:r w:rsidRPr="26F0B9F1">
        <w:rPr>
          <w:sz w:val="24"/>
          <w:szCs w:val="24"/>
        </w:rPr>
        <w:t xml:space="preserve">Follow-up blood tests for </w:t>
      </w:r>
      <w:r w:rsidRPr="26F0B9F1" w:rsidR="00FA259D">
        <w:rPr>
          <w:sz w:val="24"/>
          <w:szCs w:val="24"/>
        </w:rPr>
        <w:t>worker</w:t>
      </w:r>
      <w:r w:rsidRPr="26F0B9F1">
        <w:rPr>
          <w:sz w:val="24"/>
          <w:szCs w:val="24"/>
        </w:rPr>
        <w:t>s removed from exposure to lead due to an elevated blood-</w:t>
      </w:r>
      <w:r w:rsidRPr="26F0B9F1">
        <w:rPr>
          <w:sz w:val="24"/>
          <w:szCs w:val="24"/>
        </w:rPr>
        <w:t xml:space="preserve">lead level (at or above 50µg/dl).  These tests are to be administered within two weeks after the employer receives the results of the first blood sampling test; and </w:t>
      </w:r>
    </w:p>
    <w:p w:rsidR="00856664" w:rsidRPr="00772FE4" w:rsidP="00856664" w14:paraId="1436520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2F6997D" w14:textId="0FFC71FB">
      <w:pPr>
        <w:shd w:val="solid" w:color="FFFFFF" w:fill="FFFFFF"/>
        <w:ind w:left="360"/>
        <w:rPr>
          <w:sz w:val="24"/>
          <w:szCs w:val="24"/>
        </w:rPr>
      </w:pPr>
      <w:r w:rsidRPr="26F0B9F1">
        <w:rPr>
          <w:sz w:val="24"/>
          <w:szCs w:val="24"/>
        </w:rPr>
        <w:t xml:space="preserve">Additional blood tests for </w:t>
      </w:r>
      <w:r w:rsidRPr="26F0B9F1" w:rsidR="00FA259D">
        <w:rPr>
          <w:sz w:val="24"/>
          <w:szCs w:val="24"/>
        </w:rPr>
        <w:t>worker</w:t>
      </w:r>
      <w:r w:rsidRPr="26F0B9F1">
        <w:rPr>
          <w:sz w:val="24"/>
          <w:szCs w:val="24"/>
        </w:rPr>
        <w:t>s removed from exposure to lead due to an elevated blood-lead level (50 µg/dl or more).  These tests are to be administered at least monthly during the removal period.</w:t>
      </w:r>
    </w:p>
    <w:p w:rsidR="00856664" w:rsidRPr="00772FE4" w:rsidP="00856664" w14:paraId="496AFEF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28C335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All biological monitoring tests must be performed by, or under the supervision of, a licensed physician.  (Blood-lead samples are often collected by occupational health nurses or other qualified health-care practitioners.)</w:t>
      </w:r>
    </w:p>
    <w:p w:rsidR="00534B69" w:rsidP="00856664" w14:paraId="3EBF9C43" w14:textId="77777777">
      <w:pPr>
        <w:shd w:val="solid" w:color="FFFFFF" w:fill="FFFFFF"/>
        <w:rPr>
          <w:sz w:val="24"/>
          <w:szCs w:val="24"/>
          <w:u w:val="single"/>
        </w:rPr>
      </w:pPr>
    </w:p>
    <w:p w:rsidR="00856664" w:rsidRPr="00772FE4" w:rsidP="00856664" w14:paraId="622C71F2" w14:textId="77777777">
      <w:pPr>
        <w:shd w:val="solid" w:color="FFFFFF" w:fill="FFFFFF"/>
        <w:rPr>
          <w:sz w:val="24"/>
          <w:szCs w:val="24"/>
        </w:rPr>
      </w:pPr>
      <w:r w:rsidRPr="00772FE4">
        <w:rPr>
          <w:sz w:val="24"/>
          <w:szCs w:val="24"/>
          <w:u w:val="single"/>
        </w:rPr>
        <w:t>Employee Notification of Results</w:t>
      </w:r>
      <w:r w:rsidRPr="00772FE4">
        <w:rPr>
          <w:sz w:val="24"/>
          <w:szCs w:val="24"/>
        </w:rPr>
        <w:t xml:space="preserve"> (§1926.62(j)(2)(iv))</w:t>
      </w:r>
    </w:p>
    <w:p w:rsidR="00856664" w:rsidRPr="00772FE4" w:rsidP="00856664" w14:paraId="5E1C461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DBA3094" w14:textId="326191E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 must give each </w:t>
      </w:r>
      <w:r w:rsidR="00FA259D">
        <w:rPr>
          <w:sz w:val="24"/>
          <w:szCs w:val="24"/>
        </w:rPr>
        <w:t>worker</w:t>
      </w:r>
      <w:r w:rsidRPr="00772FE4">
        <w:rPr>
          <w:sz w:val="24"/>
          <w:szCs w:val="24"/>
        </w:rPr>
        <w:t xml:space="preserve"> written notification of his or her blood-lead level within five </w:t>
      </w:r>
      <w:r w:rsidR="00D151CF">
        <w:rPr>
          <w:sz w:val="24"/>
          <w:szCs w:val="24"/>
        </w:rPr>
        <w:t>w</w:t>
      </w:r>
      <w:r w:rsidRPr="00772FE4">
        <w:rPr>
          <w:sz w:val="24"/>
          <w:szCs w:val="24"/>
        </w:rPr>
        <w:t xml:space="preserve">orking days after the receipt of biological monitoring results.  Employers must also notify each </w:t>
      </w:r>
      <w:r w:rsidR="00FA259D">
        <w:rPr>
          <w:sz w:val="24"/>
          <w:szCs w:val="24"/>
        </w:rPr>
        <w:t>worker</w:t>
      </w:r>
      <w:r w:rsidRPr="00772FE4">
        <w:rPr>
          <w:sz w:val="24"/>
          <w:szCs w:val="24"/>
        </w:rPr>
        <w:t xml:space="preserve"> whose blood-lead level </w:t>
      </w:r>
      <w:r>
        <w:rPr>
          <w:sz w:val="24"/>
          <w:szCs w:val="24"/>
        </w:rPr>
        <w:t xml:space="preserve">is at or above </w:t>
      </w:r>
      <w:r w:rsidRPr="00772FE4">
        <w:rPr>
          <w:sz w:val="24"/>
          <w:szCs w:val="24"/>
        </w:rPr>
        <w:t xml:space="preserve">40µg/dl that the Standard requires temporary medical removal, with medical removal protection benefits, when a </w:t>
      </w:r>
      <w:r w:rsidR="00FA259D">
        <w:rPr>
          <w:sz w:val="24"/>
          <w:szCs w:val="24"/>
        </w:rPr>
        <w:t>worker</w:t>
      </w:r>
      <w:r w:rsidRPr="00772FE4">
        <w:rPr>
          <w:sz w:val="24"/>
          <w:szCs w:val="24"/>
        </w:rPr>
        <w:t xml:space="preserve">’s blood-lead level </w:t>
      </w:r>
      <w:r>
        <w:rPr>
          <w:sz w:val="24"/>
          <w:szCs w:val="24"/>
        </w:rPr>
        <w:t xml:space="preserve">is at or above </w:t>
      </w:r>
      <w:r w:rsidRPr="00772FE4">
        <w:rPr>
          <w:sz w:val="24"/>
          <w:szCs w:val="24"/>
        </w:rPr>
        <w:t>50 µg/dl.</w:t>
      </w:r>
    </w:p>
    <w:p w:rsidR="00856664" w:rsidRPr="00772FE4" w:rsidP="00856664" w14:paraId="6AE695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2B02338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Examinations and Consultations</w:t>
      </w:r>
      <w:r w:rsidRPr="00772FE4">
        <w:rPr>
          <w:sz w:val="24"/>
          <w:szCs w:val="24"/>
        </w:rPr>
        <w:t xml:space="preserve"> (§1926.62(j)(3))</w:t>
      </w:r>
    </w:p>
    <w:p w:rsidR="00856664" w:rsidRPr="00772FE4" w:rsidP="00856664" w14:paraId="0E7FAE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53605E2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are required to provide medical examinations and/or consultations to the following categories of </w:t>
      </w:r>
      <w:r w:rsidR="00FA259D">
        <w:rPr>
          <w:sz w:val="24"/>
          <w:szCs w:val="24"/>
        </w:rPr>
        <w:t>worker</w:t>
      </w:r>
      <w:r w:rsidRPr="00772FE4">
        <w:rPr>
          <w:sz w:val="24"/>
          <w:szCs w:val="24"/>
        </w:rPr>
        <w:t>s:</w:t>
      </w:r>
    </w:p>
    <w:p w:rsidR="00856664" w:rsidRPr="00772FE4" w:rsidP="00856664" w14:paraId="330A07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856664" w:rsidRPr="00772FE4" w:rsidP="00856664" w14:paraId="22D8CA1D" w14:textId="77777777">
      <w:pPr>
        <w:shd w:val="solid" w:color="FFFFFF" w:fill="FFFFFF"/>
        <w:ind w:left="360"/>
        <w:rPr>
          <w:sz w:val="24"/>
          <w:szCs w:val="24"/>
        </w:rPr>
      </w:pPr>
      <w:r>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more than thirty days per year </w:t>
      </w:r>
      <w:r w:rsidR="00935EE1">
        <w:rPr>
          <w:sz w:val="24"/>
          <w:szCs w:val="24"/>
        </w:rPr>
        <w:t xml:space="preserve">or </w:t>
      </w:r>
      <w:r w:rsidRPr="00772FE4">
        <w:rPr>
          <w:sz w:val="24"/>
          <w:szCs w:val="24"/>
        </w:rPr>
        <w:t>with blood-lead levels at or above 40µg/dl;</w:t>
      </w:r>
    </w:p>
    <w:p w:rsidR="00856664" w:rsidRPr="00772FE4" w:rsidP="00856664" w14:paraId="71CE8131" w14:textId="77777777">
      <w:pPr>
        <w:shd w:val="solid" w:color="FFFFFF" w:fill="FFFFFF"/>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856664" w:rsidRPr="00772FE4" w:rsidP="00856664" w14:paraId="1A3F19A8"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Pr>
          <w:sz w:val="24"/>
          <w:szCs w:val="24"/>
        </w:rPr>
        <w:t>s with signs or symptoms associated with lead intoxication;</w:t>
      </w:r>
    </w:p>
    <w:p w:rsidR="00856664" w:rsidRPr="00772FE4" w:rsidP="00856664" w14:paraId="01C8086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856664" w:rsidRPr="00772FE4" w:rsidP="00856664" w14:paraId="71F6AD4E"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Pr>
          <w:sz w:val="24"/>
          <w:szCs w:val="24"/>
        </w:rPr>
        <w:t>s desiring medical advice about the interaction of lead exposure and reproduction;</w:t>
      </w:r>
    </w:p>
    <w:p w:rsidR="00856664" w:rsidRPr="00772FE4" w:rsidP="00856664" w14:paraId="1F638665" w14:textId="77777777">
      <w:pPr>
        <w:shd w:val="solid" w:color="FFFFFF" w:fill="FFFFFF"/>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56664" w:rsidRPr="00772FE4" w:rsidP="00856664" w14:paraId="4827A13D"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Pr>
          <w:sz w:val="24"/>
          <w:szCs w:val="24"/>
        </w:rPr>
        <w:t>s who are pregnant;</w:t>
      </w:r>
    </w:p>
    <w:p w:rsidR="00856664" w:rsidRPr="00772FE4" w:rsidP="00856664" w14:paraId="3361851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F3C8F37"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Pr>
          <w:sz w:val="24"/>
          <w:szCs w:val="24"/>
        </w:rPr>
        <w:t>s experiencing difficulty in breathing during a respirator fit test or during use; and</w:t>
      </w:r>
    </w:p>
    <w:p w:rsidR="00856664" w:rsidRPr="00772FE4" w:rsidP="00856664" w14:paraId="114EF71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1D6AEDF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Pr>
          <w:sz w:val="24"/>
          <w:szCs w:val="24"/>
        </w:rPr>
        <w:t>Worker</w:t>
      </w:r>
      <w:r w:rsidRPr="00772FE4">
        <w:rPr>
          <w:sz w:val="24"/>
          <w:szCs w:val="24"/>
        </w:rPr>
        <w:t>s medically removed from lead exposure or limited by a final medical determination.</w:t>
      </w:r>
    </w:p>
    <w:p w:rsidR="00856664" w:rsidRPr="00772FE4" w:rsidP="00856664" w14:paraId="2A384C8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56664" w:rsidRPr="00772FE4" w:rsidP="00856664" w14:paraId="4CDC1C6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Multiple Physician Review Options</w:t>
      </w:r>
      <w:r w:rsidRPr="00772FE4">
        <w:rPr>
          <w:sz w:val="24"/>
          <w:szCs w:val="24"/>
        </w:rPr>
        <w:t xml:space="preserve"> (§1926.62(j)(3)(iii)(B))</w:t>
      </w:r>
    </w:p>
    <w:p w:rsidR="00856664" w:rsidRPr="00772FE4" w:rsidP="00856664" w14:paraId="3339601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B287507" w14:textId="519034A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w:t>
      </w:r>
    </w:p>
    <w:p w:rsidR="00856664" w:rsidRPr="00772FE4" w:rsidP="00856664" w14:paraId="1A1E4E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17A837D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Information Provided to Examining and Consulting Physicians</w:t>
      </w:r>
      <w:r w:rsidRPr="00772FE4">
        <w:rPr>
          <w:sz w:val="24"/>
          <w:szCs w:val="24"/>
        </w:rPr>
        <w:t xml:space="preserve"> (§1926.62(j)(3)(iv))</w:t>
      </w:r>
    </w:p>
    <w:p w:rsidR="00856664" w:rsidRPr="00772FE4" w:rsidP="00856664" w14:paraId="2B73ADA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FDA3C2F" w14:textId="717ECDA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the physician conducting the medical examination or consultation </w:t>
      </w:r>
      <w:r w:rsidR="00590653">
        <w:rPr>
          <w:sz w:val="24"/>
          <w:szCs w:val="24"/>
        </w:rPr>
        <w:t xml:space="preserve">with </w:t>
      </w:r>
      <w:r w:rsidRPr="00772FE4">
        <w:rPr>
          <w:sz w:val="24"/>
          <w:szCs w:val="24"/>
        </w:rPr>
        <w:t>the following</w:t>
      </w:r>
      <w:r w:rsidR="00590653">
        <w:rPr>
          <w:sz w:val="24"/>
          <w:szCs w:val="24"/>
        </w:rPr>
        <w:t xml:space="preserve"> information</w:t>
      </w:r>
      <w:r w:rsidRPr="00772FE4">
        <w:rPr>
          <w:sz w:val="24"/>
          <w:szCs w:val="24"/>
        </w:rPr>
        <w:t xml:space="preserve">: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00C42E32">
        <w:rPr>
          <w:sz w:val="24"/>
          <w:szCs w:val="24"/>
        </w:rPr>
        <w:t>p</w:t>
      </w:r>
      <w:r w:rsidRPr="00772FE4">
        <w:rPr>
          <w:sz w:val="24"/>
          <w:szCs w:val="24"/>
        </w:rPr>
        <w:t xml:space="preserve">rior blood-lead test results; and any prior written medical opinions concerning the </w:t>
      </w:r>
      <w:r w:rsidR="00FA259D">
        <w:rPr>
          <w:sz w:val="24"/>
          <w:szCs w:val="24"/>
        </w:rPr>
        <w:t>worker</w:t>
      </w:r>
      <w:r w:rsidRPr="00772FE4">
        <w:rPr>
          <w:sz w:val="24"/>
          <w:szCs w:val="24"/>
        </w:rPr>
        <w:t xml:space="preserve"> in the employer’s control.</w:t>
      </w:r>
    </w:p>
    <w:p w:rsidR="00856664" w:rsidRPr="00772FE4" w:rsidP="00856664" w14:paraId="4243A05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76B8F4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Physician's Written Medical Op</w:t>
      </w:r>
      <w:r>
        <w:rPr>
          <w:sz w:val="24"/>
          <w:szCs w:val="24"/>
          <w:u w:val="single"/>
        </w:rPr>
        <w:t>inion</w:t>
      </w:r>
      <w:r w:rsidRPr="00772FE4">
        <w:rPr>
          <w:sz w:val="24"/>
          <w:szCs w:val="24"/>
        </w:rPr>
        <w:t xml:space="preserve"> (§1926.62(j)(3)(v))</w:t>
      </w:r>
    </w:p>
    <w:p w:rsidR="00856664" w:rsidRPr="00772FE4" w:rsidP="00856664" w14:paraId="3463CC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3B3435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employers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rsidR="00856664" w:rsidRPr="00772FE4" w:rsidP="00856664" w14:paraId="3F2BF73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14B6D37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Chelation Notification </w:t>
      </w:r>
      <w:r w:rsidRPr="00772FE4">
        <w:rPr>
          <w:sz w:val="24"/>
          <w:szCs w:val="24"/>
        </w:rPr>
        <w:t>(§1926.62(j)(4)(i))</w:t>
      </w:r>
    </w:p>
    <w:p w:rsidR="00856664" w:rsidRPr="00772FE4" w:rsidP="00856664" w14:paraId="44DB4CB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2C1A726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accordance with the Standard, 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p>
    <w:p w:rsidR="00856664" w:rsidRPr="00772FE4" w:rsidP="00856664" w14:paraId="0DA2B6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646D09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Information and Training</w:t>
      </w:r>
      <w:r w:rsidRPr="00772FE4">
        <w:rPr>
          <w:sz w:val="24"/>
          <w:szCs w:val="24"/>
        </w:rPr>
        <w:t xml:space="preserve"> (§1926.62(l))</w:t>
      </w:r>
    </w:p>
    <w:p w:rsidR="00856664" w:rsidP="00856664" w14:paraId="55BDA84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32768" w:rsidRPr="00932768" w:rsidP="00932768" w14:paraId="67ED305D" w14:textId="2988A53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Communication of Hazards </w:t>
      </w:r>
      <w:r w:rsidRPr="00932768">
        <w:rPr>
          <w:sz w:val="24"/>
          <w:szCs w:val="24"/>
        </w:rPr>
        <w:t>(</w:t>
      </w:r>
      <w:r w:rsidRPr="00606977">
        <w:rPr>
          <w:sz w:val="24"/>
          <w:szCs w:val="24"/>
        </w:rPr>
        <w:t>§</w:t>
      </w:r>
      <w:r w:rsidRPr="00932768">
        <w:rPr>
          <w:sz w:val="24"/>
          <w:szCs w:val="24"/>
        </w:rPr>
        <w:t xml:space="preserve"> 19</w:t>
      </w:r>
      <w:r>
        <w:rPr>
          <w:sz w:val="24"/>
          <w:szCs w:val="24"/>
        </w:rPr>
        <w:t>26</w:t>
      </w:r>
      <w:r w:rsidRPr="00606977">
        <w:rPr>
          <w:sz w:val="24"/>
          <w:szCs w:val="24"/>
        </w:rPr>
        <w:t>.</w:t>
      </w:r>
      <w:r w:rsidR="00861B90">
        <w:rPr>
          <w:sz w:val="24"/>
          <w:szCs w:val="24"/>
        </w:rPr>
        <w:t>62</w:t>
      </w:r>
      <w:r w:rsidRPr="00606977">
        <w:rPr>
          <w:sz w:val="24"/>
          <w:szCs w:val="24"/>
        </w:rPr>
        <w:t>(l)(1)</w:t>
      </w:r>
      <w:r w:rsidR="00BC6D82">
        <w:rPr>
          <w:sz w:val="24"/>
          <w:szCs w:val="24"/>
        </w:rPr>
        <w:t>(i)</w:t>
      </w:r>
      <w:r w:rsidR="00531016">
        <w:rPr>
          <w:sz w:val="24"/>
          <w:szCs w:val="24"/>
        </w:rPr>
        <w:t>, 1926.62(1)(ii), 1926.62(1)(iii) and 1926.62 (1)(iv)</w:t>
      </w:r>
      <w:r w:rsidRPr="00606977">
        <w:rPr>
          <w:sz w:val="24"/>
          <w:szCs w:val="24"/>
        </w:rPr>
        <w:t>)</w:t>
      </w:r>
    </w:p>
    <w:p w:rsidR="00932768" w:rsidRPr="00772FE4" w:rsidP="00856664" w14:paraId="11653CB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C6D82" w:rsidRPr="00BC6D82" w:rsidP="00BC6D82" w14:paraId="112EE5A0" w14:textId="4A0E5638">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772FE4">
        <w:rPr>
          <w:sz w:val="24"/>
          <w:szCs w:val="24"/>
        </w:rPr>
        <w:t xml:space="preserve">The Standard requires employers to communicate information concerning lead hazards to all </w:t>
      </w:r>
      <w:r w:rsidR="00FA259D">
        <w:rPr>
          <w:sz w:val="24"/>
          <w:szCs w:val="24"/>
        </w:rPr>
        <w:t>worker</w:t>
      </w:r>
      <w:r w:rsidRPr="00772FE4">
        <w:rPr>
          <w:sz w:val="24"/>
          <w:szCs w:val="24"/>
        </w:rPr>
        <w:t xml:space="preserve">s exposed to lead in accordance with the Hazard Communication Standard for the Construction Industry, 1926.59.  </w:t>
      </w:r>
      <w:r w:rsidRPr="00BC6D82">
        <w:rPr>
          <w:sz w:val="24"/>
          <w:szCs w:val="24"/>
        </w:rPr>
        <w:t>The employer shall ensure that at least the following hazards are addressed:</w:t>
      </w:r>
      <w:r>
        <w:rPr>
          <w:sz w:val="24"/>
          <w:szCs w:val="24"/>
        </w:rPr>
        <w:t xml:space="preserve"> r</w:t>
      </w:r>
      <w:r w:rsidRPr="00BC6D82">
        <w:rPr>
          <w:sz w:val="24"/>
          <w:szCs w:val="24"/>
        </w:rPr>
        <w:t>eproductive/developmental toxicity;</w:t>
      </w:r>
      <w:r>
        <w:rPr>
          <w:sz w:val="24"/>
          <w:szCs w:val="24"/>
        </w:rPr>
        <w:t xml:space="preserve"> c</w:t>
      </w:r>
      <w:r w:rsidRPr="00BC6D82">
        <w:rPr>
          <w:sz w:val="24"/>
          <w:szCs w:val="24"/>
        </w:rPr>
        <w:t>entral nervous system effects;</w:t>
      </w:r>
    </w:p>
    <w:p w:rsidR="00932768" w:rsidRPr="00932768" w:rsidP="00932768" w14:paraId="73D65B7E" w14:textId="4D0B29A2">
      <w:pPr>
        <w:tabs>
          <w:tab w:val="left" w:pos="360"/>
          <w:tab w:val="left" w:pos="960"/>
          <w:tab w:val="left" w:pos="1560"/>
          <w:tab w:val="left" w:pos="2160"/>
          <w:tab w:val="left" w:pos="2760"/>
          <w:tab w:val="left" w:pos="3360"/>
          <w:tab w:val="left" w:pos="4080"/>
          <w:tab w:val="left" w:pos="4680"/>
          <w:tab w:val="left" w:pos="5280"/>
          <w:tab w:val="left" w:pos="5880"/>
        </w:tabs>
        <w:rPr>
          <w:rFonts w:eastAsia="@MS Mincho"/>
          <w:kern w:val="0"/>
          <w:sz w:val="24"/>
          <w:szCs w:val="24"/>
        </w:rPr>
      </w:pPr>
      <w:r>
        <w:rPr>
          <w:sz w:val="24"/>
          <w:szCs w:val="24"/>
        </w:rPr>
        <w:t>k</w:t>
      </w:r>
      <w:r w:rsidRPr="00BC6D82">
        <w:rPr>
          <w:sz w:val="24"/>
          <w:szCs w:val="24"/>
        </w:rPr>
        <w:t>idney effects;</w:t>
      </w:r>
      <w:r>
        <w:rPr>
          <w:sz w:val="24"/>
          <w:szCs w:val="24"/>
        </w:rPr>
        <w:t xml:space="preserve"> b</w:t>
      </w:r>
      <w:r w:rsidRPr="00BC6D82">
        <w:rPr>
          <w:sz w:val="24"/>
          <w:szCs w:val="24"/>
        </w:rPr>
        <w:t>lood effects; and</w:t>
      </w:r>
      <w:r>
        <w:rPr>
          <w:sz w:val="24"/>
          <w:szCs w:val="24"/>
        </w:rPr>
        <w:t xml:space="preserve"> a</w:t>
      </w:r>
      <w:r w:rsidRPr="00BC6D82">
        <w:rPr>
          <w:sz w:val="24"/>
          <w:szCs w:val="24"/>
        </w:rPr>
        <w:t>cute toxicity effects.</w:t>
      </w:r>
      <w:r>
        <w:rPr>
          <w:rStyle w:val="FootnoteReference"/>
        </w:rPr>
        <w:footnoteReference w:id="7"/>
      </w:r>
      <w:r w:rsidRPr="00932768">
        <w:rPr>
          <w:rFonts w:eastAsia="@MS Mincho"/>
          <w:kern w:val="0"/>
          <w:sz w:val="24"/>
          <w:szCs w:val="24"/>
        </w:rPr>
        <w:t xml:space="preserve"> </w:t>
      </w:r>
    </w:p>
    <w:p w:rsidR="00531016" w:rsidP="00856664" w14:paraId="248E1AD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0180E105" w14:textId="09CFF7C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addition, employers must establish a training program for all </w:t>
      </w:r>
      <w:r>
        <w:rPr>
          <w:sz w:val="24"/>
          <w:szCs w:val="24"/>
        </w:rPr>
        <w:t>worker</w:t>
      </w:r>
      <w:r w:rsidRPr="00772FE4">
        <w:rPr>
          <w:sz w:val="24"/>
          <w:szCs w:val="24"/>
        </w:rPr>
        <w:t xml:space="preserve">s who are exposed to lead at or above the action level on any day or who work with lead compounds that may cause skin or eye irritation. </w:t>
      </w:r>
      <w:r>
        <w:rPr>
          <w:sz w:val="24"/>
          <w:szCs w:val="24"/>
        </w:rPr>
        <w:t xml:space="preserve"> </w:t>
      </w:r>
      <w:r w:rsidRPr="00932768">
        <w:rPr>
          <w:rFonts w:eastAsia="@MS Mincho"/>
          <w:kern w:val="0"/>
          <w:sz w:val="24"/>
          <w:szCs w:val="24"/>
        </w:rPr>
        <w:t>Training must be provided prior to initial job assignment and must be repeated at least annually thereafter for all covered workers.</w:t>
      </w:r>
    </w:p>
    <w:p w:rsidR="00531016" w:rsidP="00861B90" w14:paraId="66E083A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61B90" w:rsidRPr="00932768" w:rsidP="00861B90" w14:paraId="4845343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Training Program </w:t>
      </w:r>
      <w:r w:rsidRPr="00932768">
        <w:rPr>
          <w:sz w:val="24"/>
          <w:szCs w:val="24"/>
        </w:rPr>
        <w:t>(</w:t>
      </w:r>
      <w:r w:rsidRPr="00606977">
        <w:rPr>
          <w:sz w:val="24"/>
          <w:szCs w:val="24"/>
        </w:rPr>
        <w:t>§</w:t>
      </w:r>
      <w:r w:rsidRPr="00932768">
        <w:rPr>
          <w:sz w:val="24"/>
          <w:szCs w:val="24"/>
        </w:rPr>
        <w:t xml:space="preserve"> 19</w:t>
      </w:r>
      <w:r>
        <w:rPr>
          <w:sz w:val="24"/>
          <w:szCs w:val="24"/>
        </w:rPr>
        <w:t>26</w:t>
      </w:r>
      <w:r w:rsidRPr="00606977">
        <w:rPr>
          <w:sz w:val="24"/>
          <w:szCs w:val="24"/>
        </w:rPr>
        <w:t>.</w:t>
      </w:r>
      <w:r>
        <w:rPr>
          <w:sz w:val="24"/>
          <w:szCs w:val="24"/>
        </w:rPr>
        <w:t>62</w:t>
      </w:r>
      <w:r w:rsidRPr="00606977">
        <w:rPr>
          <w:sz w:val="24"/>
          <w:szCs w:val="24"/>
        </w:rPr>
        <w:t>(l)(</w:t>
      </w:r>
      <w:r>
        <w:rPr>
          <w:sz w:val="24"/>
          <w:szCs w:val="24"/>
        </w:rPr>
        <w:t>2</w:t>
      </w:r>
      <w:r w:rsidRPr="00606977">
        <w:rPr>
          <w:sz w:val="24"/>
          <w:szCs w:val="24"/>
        </w:rPr>
        <w:t>))</w:t>
      </w:r>
    </w:p>
    <w:p w:rsidR="00861B90" w:rsidP="00856664" w14:paraId="21EFF83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1776C" w:rsidP="00932768" w14:paraId="4CC3390D" w14:textId="06880F1C">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The employer is responsible for informing workers of the following:  (1) the content of the lead standard and its appendices; (2) the specific nature of the operations that could result 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w:t>
      </w:r>
      <w:r w:rsidRPr="00932768">
        <w:rPr>
          <w:rFonts w:eastAsia="@MS Mincho"/>
          <w:kern w:val="0"/>
          <w:sz w:val="24"/>
          <w:szCs w:val="24"/>
        </w:rPr>
        <w:t xml:space="preserve">associated with excessive exposure to </w:t>
      </w:r>
      <w:r w:rsidR="00F16970">
        <w:rPr>
          <w:rFonts w:eastAsia="@MS Mincho"/>
          <w:kern w:val="0"/>
          <w:sz w:val="24"/>
          <w:szCs w:val="24"/>
        </w:rPr>
        <w:t>lead</w:t>
      </w:r>
      <w:r w:rsidRPr="00932768">
        <w:rPr>
          <w:rFonts w:eastAsia="@MS Mincho"/>
          <w:kern w:val="0"/>
          <w:sz w:val="24"/>
          <w:szCs w:val="24"/>
        </w:rPr>
        <w:t xml:space="preserve">; (5) the engineering controls and work practices </w:t>
      </w:r>
    </w:p>
    <w:p w:rsidR="00932768" w:rsidRPr="002940BE" w:rsidP="00932768" w14:paraId="0E11648B" w14:textId="674B5B1D">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associated with the worker's job assignment; (6) the contents of any compliance plan in effect; and (7) </w:t>
      </w:r>
      <w:r w:rsidRPr="00861B90">
        <w:rPr>
          <w:rFonts w:eastAsia="@MS Mincho"/>
          <w:kern w:val="0"/>
          <w:sz w:val="24"/>
          <w:szCs w:val="24"/>
        </w:rPr>
        <w:t xml:space="preserve">instructions to workers that chelating agents should not be used routinely to remove lead from their </w:t>
      </w:r>
      <w:r w:rsidRPr="00861B90" w:rsidR="00C64F8E">
        <w:rPr>
          <w:rFonts w:eastAsia="@MS Mincho"/>
          <w:kern w:val="0"/>
          <w:sz w:val="24"/>
          <w:szCs w:val="24"/>
        </w:rPr>
        <w:t>bodies and</w:t>
      </w:r>
      <w:r w:rsidRPr="00861B90">
        <w:rPr>
          <w:rFonts w:eastAsia="@MS Mincho"/>
          <w:kern w:val="0"/>
          <w:sz w:val="24"/>
          <w:szCs w:val="24"/>
        </w:rPr>
        <w:t xml:space="preserve"> should not be used at all except under the direction of a licensed </w:t>
      </w:r>
      <w:r w:rsidRPr="002940BE" w:rsidR="00F16970">
        <w:rPr>
          <w:rFonts w:eastAsia="@MS Mincho"/>
          <w:kern w:val="0"/>
          <w:sz w:val="24"/>
          <w:szCs w:val="24"/>
        </w:rPr>
        <w:t>physician; (8) the employee’s right of access to records</w:t>
      </w:r>
      <w:r w:rsidRPr="002940BE">
        <w:rPr>
          <w:rFonts w:eastAsia="@MS Mincho"/>
          <w:kern w:val="0"/>
          <w:sz w:val="24"/>
          <w:szCs w:val="24"/>
        </w:rPr>
        <w:t>.</w:t>
      </w:r>
    </w:p>
    <w:p w:rsidR="00861B90" w:rsidRPr="002940BE" w:rsidP="00932768" w14:paraId="4C4ADBD2" w14:textId="77777777">
      <w:pPr>
        <w:tabs>
          <w:tab w:val="left" w:pos="360"/>
          <w:tab w:val="left" w:pos="960"/>
          <w:tab w:val="left" w:pos="1560"/>
          <w:tab w:val="left" w:pos="2160"/>
          <w:tab w:val="left" w:pos="2760"/>
          <w:tab w:val="left" w:pos="3360"/>
          <w:tab w:val="left" w:pos="4080"/>
          <w:tab w:val="left" w:pos="4680"/>
          <w:tab w:val="left" w:pos="5280"/>
          <w:tab w:val="left" w:pos="5880"/>
        </w:tabs>
        <w:overflowPunct/>
        <w:rPr>
          <w:sz w:val="24"/>
          <w:szCs w:val="24"/>
        </w:rPr>
      </w:pPr>
    </w:p>
    <w:p w:rsidR="00932768" w:rsidRPr="002940BE" w:rsidP="00932768" w14:paraId="6EDFF163" w14:textId="470A354C">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2940BE">
        <w:rPr>
          <w:sz w:val="24"/>
          <w:szCs w:val="24"/>
        </w:rPr>
        <w:t xml:space="preserve">Upon further analysis, the requirement that employers provide training to workers under </w:t>
      </w:r>
      <w:r w:rsidRPr="002940BE" w:rsidR="00F16970">
        <w:rPr>
          <w:sz w:val="24"/>
          <w:szCs w:val="24"/>
        </w:rPr>
        <w:t xml:space="preserve">(l)(1) and </w:t>
      </w:r>
      <w:r w:rsidRPr="002940BE">
        <w:rPr>
          <w:sz w:val="24"/>
          <w:szCs w:val="24"/>
        </w:rPr>
        <w:t>(l)(2) is not considered to be a collection of information</w:t>
      </w:r>
      <w:r w:rsidR="001820EA">
        <w:rPr>
          <w:sz w:val="24"/>
          <w:szCs w:val="24"/>
        </w:rPr>
        <w:t>.</w:t>
      </w:r>
    </w:p>
    <w:p w:rsidR="00856664" w:rsidP="00856664" w14:paraId="203C449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43206F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Access to Training Program Materials</w:t>
      </w:r>
      <w:r w:rsidRPr="00772FE4">
        <w:rPr>
          <w:sz w:val="24"/>
          <w:szCs w:val="24"/>
        </w:rPr>
        <w:t xml:space="preserve"> (§1926.62(l)(3))</w:t>
      </w:r>
    </w:p>
    <w:p w:rsidR="00861B90" w:rsidP="00856664" w14:paraId="4E54451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61B90" w:rsidRPr="00861B90" w:rsidP="00F16970" w14:paraId="11EC5A9B" w14:textId="2203641B">
      <w:pPr>
        <w:shd w:val="solid" w:color="FFFFFF" w:fill="FFFFFF"/>
        <w:rPr>
          <w:rFonts w:eastAsia="@MS Mincho"/>
          <w:kern w:val="0"/>
          <w:sz w:val="24"/>
          <w:szCs w:val="24"/>
        </w:rPr>
      </w:pPr>
      <w:r>
        <w:rPr>
          <w:rFonts w:eastAsia="@MS Mincho"/>
          <w:kern w:val="0"/>
          <w:sz w:val="24"/>
          <w:szCs w:val="24"/>
        </w:rPr>
        <w:t>As required by (l)(3</w:t>
      </w:r>
      <w:r w:rsidRPr="00861B90">
        <w:rPr>
          <w:rFonts w:eastAsia="@MS Mincho"/>
          <w:kern w:val="0"/>
          <w:sz w:val="24"/>
          <w:szCs w:val="24"/>
        </w:rPr>
        <w:t>)(i), the employer must make readily available to all affected workers a copy of the standard and its appendices and</w:t>
      </w:r>
      <w:r w:rsidR="00CD1FF6">
        <w:rPr>
          <w:rFonts w:eastAsia="@MS Mincho"/>
          <w:kern w:val="0"/>
          <w:sz w:val="24"/>
          <w:szCs w:val="24"/>
        </w:rPr>
        <w:t xml:space="preserve"> provid</w:t>
      </w:r>
      <w:r>
        <w:rPr>
          <w:rFonts w:eastAsia="@MS Mincho"/>
          <w:kern w:val="0"/>
          <w:sz w:val="24"/>
          <w:szCs w:val="24"/>
        </w:rPr>
        <w:t xml:space="preserve">e, upon request, </w:t>
      </w:r>
      <w:r w:rsidRPr="00772FE4" w:rsidR="00CD1FF6">
        <w:rPr>
          <w:sz w:val="24"/>
          <w:szCs w:val="24"/>
        </w:rPr>
        <w:t xml:space="preserve">all materials relating to the </w:t>
      </w:r>
      <w:r w:rsidR="00CD1FF6">
        <w:rPr>
          <w:sz w:val="24"/>
          <w:szCs w:val="24"/>
        </w:rPr>
        <w:t>worker</w:t>
      </w:r>
      <w:r w:rsidRPr="00772FE4" w:rsidR="00CD1FF6">
        <w:rPr>
          <w:sz w:val="24"/>
          <w:szCs w:val="24"/>
        </w:rPr>
        <w:t xml:space="preserve"> training and information program to affected </w:t>
      </w:r>
      <w:r w:rsidR="00CD1FF6">
        <w:rPr>
          <w:sz w:val="24"/>
          <w:szCs w:val="24"/>
        </w:rPr>
        <w:t>worker</w:t>
      </w:r>
      <w:r w:rsidRPr="00772FE4" w:rsidR="00CD1FF6">
        <w:rPr>
          <w:sz w:val="24"/>
          <w:szCs w:val="24"/>
        </w:rPr>
        <w:t xml:space="preserve">s and their designated representatives. </w:t>
      </w:r>
      <w:r w:rsidR="00D151CF">
        <w:rPr>
          <w:sz w:val="24"/>
          <w:szCs w:val="24"/>
        </w:rPr>
        <w:t xml:space="preserve"> </w:t>
      </w:r>
      <w:r w:rsidR="00CD1FF6">
        <w:rPr>
          <w:sz w:val="24"/>
          <w:szCs w:val="24"/>
        </w:rPr>
        <w:t>Worker</w:t>
      </w:r>
      <w:r w:rsidRPr="00772FE4" w:rsidR="00CD1FF6">
        <w:rPr>
          <w:sz w:val="24"/>
          <w:szCs w:val="24"/>
        </w:rPr>
        <w:t xml:space="preserve">s receive training program materials during initial and annual training making it unlikely that </w:t>
      </w:r>
      <w:r w:rsidR="00CD1FF6">
        <w:rPr>
          <w:sz w:val="24"/>
          <w:szCs w:val="24"/>
        </w:rPr>
        <w:t>worker</w:t>
      </w:r>
      <w:r w:rsidRPr="00772FE4" w:rsidR="00CD1FF6">
        <w:rPr>
          <w:sz w:val="24"/>
          <w:szCs w:val="24"/>
        </w:rPr>
        <w:t xml:space="preserve">s will request to see such material. </w:t>
      </w:r>
      <w:r w:rsidR="00D151CF">
        <w:rPr>
          <w:sz w:val="24"/>
          <w:szCs w:val="24"/>
        </w:rPr>
        <w:t xml:space="preserve"> </w:t>
      </w:r>
      <w:r w:rsidR="00BE1215">
        <w:rPr>
          <w:sz w:val="24"/>
          <w:szCs w:val="24"/>
        </w:rPr>
        <w:t>In addition, p</w:t>
      </w:r>
      <w:r w:rsidRPr="00861B90">
        <w:rPr>
          <w:rFonts w:eastAsia="@MS Mincho"/>
          <w:kern w:val="0"/>
          <w:sz w:val="24"/>
          <w:szCs w:val="24"/>
        </w:rPr>
        <w:t>ublic disclosures of information originally provided by the Federal government to the recipient for the purpose of disclosure to the public</w:t>
      </w:r>
      <w:r>
        <w:rPr>
          <w:rFonts w:eastAsia="@MS Mincho"/>
          <w:kern w:val="0"/>
          <w:sz w:val="24"/>
          <w:szCs w:val="24"/>
        </w:rPr>
        <w:t xml:space="preserve"> </w:t>
      </w:r>
      <w:r w:rsidRPr="00861B90">
        <w:rPr>
          <w:rFonts w:eastAsia="@MS Mincho"/>
          <w:kern w:val="0"/>
          <w:sz w:val="24"/>
          <w:szCs w:val="24"/>
        </w:rPr>
        <w:t>do not fall within the definition of a collection of information under 5 CFR 1320.3(c)(2).</w:t>
      </w:r>
      <w:r w:rsidR="00BE1215">
        <w:rPr>
          <w:rFonts w:eastAsia="@MS Mincho"/>
          <w:kern w:val="0"/>
          <w:sz w:val="24"/>
          <w:szCs w:val="24"/>
        </w:rPr>
        <w:t xml:space="preserve">  Therefore, these requirements, as they pertain to materials provided by the Federal government to employers, are not collections of information.</w:t>
      </w:r>
    </w:p>
    <w:p w:rsidR="00861B90" w:rsidRPr="00861B90" w:rsidP="00861B90" w14:paraId="335CA375" w14:textId="77777777">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p>
    <w:p w:rsidR="005C1E17" w:rsidRPr="001D7D1B" w:rsidP="005C1E17" w14:paraId="680E5335" w14:textId="28A436E4">
      <w:pPr>
        <w:widowControl/>
        <w:autoSpaceDE/>
        <w:autoSpaceDN/>
        <w:adjustRightInd/>
        <w:rPr>
          <w:kern w:val="0"/>
          <w:sz w:val="24"/>
          <w:szCs w:val="24"/>
        </w:rPr>
      </w:pPr>
      <w:r>
        <w:rPr>
          <w:sz w:val="24"/>
          <w:szCs w:val="24"/>
        </w:rPr>
        <w:t>In addition</w:t>
      </w:r>
      <w:r w:rsidR="00861B90">
        <w:rPr>
          <w:sz w:val="24"/>
          <w:szCs w:val="24"/>
        </w:rPr>
        <w:t>, under (l)(3)(ii), t</w:t>
      </w:r>
      <w:r w:rsidRPr="00772FE4" w:rsidR="00856664">
        <w:rPr>
          <w:sz w:val="24"/>
          <w:szCs w:val="24"/>
        </w:rPr>
        <w:t xml:space="preserve">he Lead in Construction Standard requires employers to provide, upon request, all materials relating to the </w:t>
      </w:r>
      <w:r w:rsidR="00FA259D">
        <w:rPr>
          <w:sz w:val="24"/>
          <w:szCs w:val="24"/>
        </w:rPr>
        <w:t>worker</w:t>
      </w:r>
      <w:r w:rsidRPr="00772FE4" w:rsidR="00856664">
        <w:rPr>
          <w:sz w:val="24"/>
          <w:szCs w:val="24"/>
        </w:rPr>
        <w:t xml:space="preserve"> training and information program to OSHA and NIOSH. </w:t>
      </w:r>
      <w:r w:rsidRPr="001D7D1B">
        <w:rPr>
          <w:kern w:val="0"/>
          <w:sz w:val="24"/>
          <w:szCs w:val="24"/>
        </w:rPr>
        <w:t>Usually, OSHA requ</w:t>
      </w:r>
      <w:r>
        <w:rPr>
          <w:kern w:val="0"/>
          <w:sz w:val="24"/>
          <w:szCs w:val="24"/>
        </w:rPr>
        <w:t>ests access to records during a compliance</w:t>
      </w:r>
      <w:r w:rsidRPr="001D7D1B">
        <w:rPr>
          <w:kern w:val="0"/>
          <w:sz w:val="24"/>
          <w:szCs w:val="24"/>
        </w:rPr>
        <w:t xml:space="preserve"> inspection.  Information collected by the </w:t>
      </w:r>
      <w:r w:rsidR="00F606D5">
        <w:rPr>
          <w:kern w:val="0"/>
          <w:sz w:val="24"/>
          <w:szCs w:val="24"/>
        </w:rPr>
        <w:t>a</w:t>
      </w:r>
      <w:r w:rsidRPr="001D7D1B">
        <w:rPr>
          <w:kern w:val="0"/>
          <w:sz w:val="24"/>
          <w:szCs w:val="24"/>
        </w:rPr>
        <w:t>gency during the investigation is not subject to the</w:t>
      </w:r>
      <w:r w:rsidR="00D151CF">
        <w:rPr>
          <w:kern w:val="0"/>
          <w:sz w:val="24"/>
          <w:szCs w:val="24"/>
        </w:rPr>
        <w:t xml:space="preserve"> PRA under 5 CFR 1320.4(a)(2).  </w:t>
      </w:r>
      <w:r w:rsidRPr="001D7D1B">
        <w:rPr>
          <w:kern w:val="0"/>
          <w:sz w:val="24"/>
          <w:szCs w:val="24"/>
        </w:rPr>
        <w:t>Therefore, OSHA takes no burden or cost in Items 12 and 14 of this Supporting Statement.</w:t>
      </w:r>
    </w:p>
    <w:p w:rsidR="00856664" w:rsidRPr="00091D13" w:rsidP="00856664" w14:paraId="4AF6AB5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FD0645" w:rsidP="00856664" w14:paraId="7417BC7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FD0645">
        <w:rPr>
          <w:sz w:val="24"/>
          <w:szCs w:val="24"/>
          <w:u w:val="single"/>
        </w:rPr>
        <w:t>Signs (§1926.62(m))</w:t>
      </w:r>
    </w:p>
    <w:p w:rsidR="00856664" w:rsidRPr="00091D13" w:rsidP="00856664" w14:paraId="6EA44C80" w14:textId="63E19454">
      <w:pPr>
        <w:pStyle w:val="NormalWeb"/>
        <w:rPr>
          <w:kern w:val="28"/>
        </w:rPr>
      </w:pPr>
      <w:r w:rsidRPr="00091D13">
        <w:rPr>
          <w:kern w:val="28"/>
        </w:rPr>
        <w:t>The employer must post the following warning signs</w:t>
      </w:r>
      <w:r>
        <w:rPr>
          <w:rStyle w:val="FootnoteReference"/>
          <w:kern w:val="28"/>
        </w:rPr>
        <w:footnoteReference w:id="8"/>
      </w:r>
      <w:r w:rsidRPr="00091D13">
        <w:rPr>
          <w:kern w:val="28"/>
        </w:rPr>
        <w:t xml:space="preserve"> in each work area where a </w:t>
      </w:r>
      <w:r w:rsidR="00FA259D">
        <w:rPr>
          <w:kern w:val="28"/>
        </w:rPr>
        <w:t>worker</w:t>
      </w:r>
      <w:r w:rsidRPr="00091D13">
        <w:rPr>
          <w:kern w:val="28"/>
        </w:rPr>
        <w:t>'s ex</w:t>
      </w:r>
      <w:r>
        <w:rPr>
          <w:kern w:val="28"/>
        </w:rPr>
        <w:t xml:space="preserve">posure to lead is above the PEL:  </w:t>
      </w:r>
      <w:r w:rsidRPr="00091D13">
        <w:rPr>
          <w:kern w:val="28"/>
        </w:rPr>
        <w:t>DANGER</w:t>
      </w:r>
      <w:r>
        <w:rPr>
          <w:kern w:val="28"/>
        </w:rPr>
        <w:t xml:space="preserve">, </w:t>
      </w:r>
      <w:r w:rsidRPr="00091D13">
        <w:rPr>
          <w:kern w:val="28"/>
        </w:rPr>
        <w:t>LEAD WORK AREA</w:t>
      </w:r>
      <w:r>
        <w:rPr>
          <w:kern w:val="28"/>
        </w:rPr>
        <w:t xml:space="preserve">, </w:t>
      </w:r>
      <w:r w:rsidRPr="00091D13">
        <w:rPr>
          <w:kern w:val="28"/>
        </w:rPr>
        <w:t>MAY DAMAGE FERTILITY OR THE UNBORN CHILD</w:t>
      </w:r>
      <w:r>
        <w:rPr>
          <w:kern w:val="28"/>
        </w:rPr>
        <w:t xml:space="preserve">, </w:t>
      </w:r>
      <w:r w:rsidRPr="00091D13">
        <w:rPr>
          <w:kern w:val="28"/>
        </w:rPr>
        <w:t>CAUSES DAMAGE TO THE CENTRAL NERVOUS SYSTEM</w:t>
      </w:r>
      <w:r w:rsidR="00D151CF">
        <w:rPr>
          <w:kern w:val="28"/>
        </w:rPr>
        <w:t xml:space="preserve">, </w:t>
      </w:r>
      <w:r w:rsidRPr="00091D13">
        <w:rPr>
          <w:kern w:val="28"/>
        </w:rPr>
        <w:t>DO NOT EAT, DRINK OR SMOKE IN THIS AREA</w:t>
      </w:r>
    </w:p>
    <w:p w:rsidR="00856664" w:rsidRPr="00772FE4" w:rsidP="00856664" w14:paraId="19586947" w14:textId="07A9B4D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Exposure </w:t>
      </w:r>
      <w:r>
        <w:rPr>
          <w:sz w:val="24"/>
          <w:szCs w:val="24"/>
          <w:u w:val="single"/>
        </w:rPr>
        <w:t>M</w:t>
      </w:r>
      <w:r w:rsidRPr="00772FE4">
        <w:rPr>
          <w:sz w:val="24"/>
          <w:szCs w:val="24"/>
          <w:u w:val="single"/>
        </w:rPr>
        <w:t>onitoring Records</w:t>
      </w:r>
      <w:r w:rsidRPr="00772FE4">
        <w:rPr>
          <w:sz w:val="24"/>
          <w:szCs w:val="24"/>
        </w:rPr>
        <w:t xml:space="preserve"> (§1926.62(n)(1)(ii))</w:t>
      </w:r>
    </w:p>
    <w:p w:rsidR="00856664" w:rsidRPr="00772FE4" w:rsidP="00856664" w14:paraId="7039A8E5" w14:textId="4CDE0EBB">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00D151CF">
        <w:rPr>
          <w:sz w:val="24"/>
          <w:szCs w:val="24"/>
        </w:rPr>
        <w:t xml:space="preserve"> exposure assessments.</w:t>
      </w:r>
    </w:p>
    <w:p w:rsidR="00856664" w:rsidRPr="00772FE4" w:rsidP="00856664" w14:paraId="6F11490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52CA5A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 Records</w:t>
      </w:r>
      <w:r w:rsidRPr="00772FE4">
        <w:rPr>
          <w:sz w:val="24"/>
          <w:szCs w:val="24"/>
        </w:rPr>
        <w:t xml:space="preserve"> (§1926.62(n)(2)(i))</w:t>
      </w:r>
    </w:p>
    <w:p w:rsidR="00856664" w:rsidRPr="00772FE4" w:rsidP="00856664" w14:paraId="1CDB01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18E6E0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w:t>
      </w:r>
    </w:p>
    <w:p w:rsidR="00856664" w:rsidRPr="00772FE4" w:rsidP="00856664" w14:paraId="6C3140C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89011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Removal Records</w:t>
      </w:r>
      <w:r w:rsidRPr="00772FE4">
        <w:rPr>
          <w:sz w:val="24"/>
          <w:szCs w:val="24"/>
        </w:rPr>
        <w:t xml:space="preserve"> (§1926.62(n)(3)(i))</w:t>
      </w:r>
    </w:p>
    <w:p w:rsidR="00856664" w:rsidRPr="00772FE4" w:rsidP="00856664" w14:paraId="09FB4BD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89A2F4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for each </w:t>
      </w:r>
      <w:r w:rsidR="00FA259D">
        <w:rPr>
          <w:sz w:val="24"/>
          <w:szCs w:val="24"/>
        </w:rPr>
        <w:t>worker</w:t>
      </w:r>
      <w:r w:rsidRPr="00772FE4">
        <w:rPr>
          <w:sz w:val="24"/>
          <w:szCs w:val="24"/>
        </w:rPr>
        <w:t xml:space="preserve"> subject to medical removal.  </w:t>
      </w:r>
    </w:p>
    <w:p w:rsidR="00856664" w:rsidRPr="00772FE4" w:rsidP="00856664" w14:paraId="1E13C5E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779B06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Objective Data Records</w:t>
      </w:r>
      <w:r w:rsidRPr="00772FE4">
        <w:rPr>
          <w:sz w:val="24"/>
          <w:szCs w:val="24"/>
        </w:rPr>
        <w:t xml:space="preserve"> (§1926.62(n)(4)(i))</w:t>
      </w:r>
    </w:p>
    <w:p w:rsidR="00856664" w:rsidRPr="00772FE4" w:rsidP="00856664" w14:paraId="115469F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6E70DA2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establish and maintain records of the objective data relied upon to make initial determinations.</w:t>
      </w:r>
    </w:p>
    <w:p w:rsidR="002940BE" w:rsidP="00856664" w14:paraId="0F7DB62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56664" w:rsidRPr="00772FE4" w:rsidP="00856664" w14:paraId="64C0B9C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Access to Records</w:t>
      </w:r>
      <w:r w:rsidRPr="00772FE4">
        <w:rPr>
          <w:sz w:val="24"/>
          <w:szCs w:val="24"/>
        </w:rPr>
        <w:t xml:space="preserve"> (§1926.62(n)(5))</w:t>
      </w:r>
    </w:p>
    <w:p w:rsidR="00856664" w:rsidRPr="00772FE4" w:rsidP="00856664" w14:paraId="50A4AE9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58CA846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make available upon request the contents of the written compliance program, the training program materials, and all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s, and the designated representatives.</w:t>
      </w:r>
    </w:p>
    <w:p w:rsidR="00856664" w:rsidRPr="00772FE4" w:rsidP="00856664" w14:paraId="6C469A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6BAC3D3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Federal Access to Records</w:t>
      </w:r>
      <w:r w:rsidRPr="00772FE4">
        <w:rPr>
          <w:sz w:val="24"/>
          <w:szCs w:val="24"/>
        </w:rPr>
        <w:t xml:space="preserve"> (§1926.62(n)(5))</w:t>
      </w:r>
    </w:p>
    <w:p w:rsidR="00856664" w:rsidRPr="00772FE4" w:rsidP="00856664" w14:paraId="49B6976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7D1B" w:rsidRPr="001D7D1B" w:rsidP="001D7D1B" w14:paraId="7CDABAC1" w14:textId="6004375A">
      <w:pPr>
        <w:widowControl/>
        <w:autoSpaceDE/>
        <w:autoSpaceDN/>
        <w:adjustRightInd/>
        <w:rPr>
          <w:kern w:val="0"/>
          <w:sz w:val="24"/>
          <w:szCs w:val="24"/>
        </w:rPr>
      </w:pPr>
      <w:r>
        <w:rPr>
          <w:sz w:val="24"/>
          <w:szCs w:val="24"/>
        </w:rPr>
        <w:t xml:space="preserve">The Standard </w:t>
      </w:r>
      <w:r w:rsidRPr="00772FE4" w:rsidR="00856664">
        <w:rPr>
          <w:sz w:val="24"/>
          <w:szCs w:val="24"/>
        </w:rPr>
        <w:t xml:space="preserve">requires employers to make available upon request the contents of the written compliance program, the training program materials, and all records required to be maintained under paragraph (n) (Recordkeeping) to OSHA and NIOSH.  </w:t>
      </w:r>
      <w:r w:rsidRPr="001D7D1B">
        <w:rPr>
          <w:kern w:val="0"/>
          <w:sz w:val="24"/>
          <w:szCs w:val="24"/>
        </w:rPr>
        <w:t>Usually, OSHA requ</w:t>
      </w:r>
      <w:r>
        <w:rPr>
          <w:kern w:val="0"/>
          <w:sz w:val="24"/>
          <w:szCs w:val="24"/>
        </w:rPr>
        <w:t>ests access to records during a compliance</w:t>
      </w:r>
      <w:r w:rsidRPr="001D7D1B">
        <w:rPr>
          <w:kern w:val="0"/>
          <w:sz w:val="24"/>
          <w:szCs w:val="24"/>
        </w:rPr>
        <w:t xml:space="preserve"> inspection.  Information collected by the </w:t>
      </w:r>
      <w:r w:rsidR="00F606D5">
        <w:rPr>
          <w:kern w:val="0"/>
          <w:sz w:val="24"/>
          <w:szCs w:val="24"/>
        </w:rPr>
        <w:t>a</w:t>
      </w:r>
      <w:r w:rsidRPr="001D7D1B">
        <w:rPr>
          <w:kern w:val="0"/>
          <w:sz w:val="24"/>
          <w:szCs w:val="24"/>
        </w:rPr>
        <w:t>gency during the investigation is not subject to the</w:t>
      </w:r>
      <w:r>
        <w:rPr>
          <w:kern w:val="0"/>
          <w:sz w:val="24"/>
          <w:szCs w:val="24"/>
        </w:rPr>
        <w:t xml:space="preserve"> PRA under 5 CFR 1320.4(a)(2).  </w:t>
      </w:r>
      <w:r w:rsidRPr="001D7D1B">
        <w:rPr>
          <w:kern w:val="0"/>
          <w:sz w:val="24"/>
          <w:szCs w:val="24"/>
        </w:rPr>
        <w:t>Therefore, OSHA takes no burden or cost in Items 12 and 14 of this Supporting Statement.</w:t>
      </w:r>
    </w:p>
    <w:p w:rsidR="00856664" w:rsidRPr="00772FE4" w:rsidP="00856664" w14:paraId="7BA058C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C90770" w:rsidP="00856664" w14:paraId="517B233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90770">
        <w:rPr>
          <w:sz w:val="24"/>
          <w:szCs w:val="24"/>
          <w:u w:val="single"/>
        </w:rPr>
        <w:t>Record Transfer</w:t>
      </w:r>
      <w:r w:rsidRPr="00C90770">
        <w:rPr>
          <w:sz w:val="24"/>
          <w:szCs w:val="24"/>
        </w:rPr>
        <w:t xml:space="preserve"> (§1926.62(n)(6))</w:t>
      </w:r>
    </w:p>
    <w:p w:rsidR="003A41FF" w:rsidP="00856664" w14:paraId="59AE55D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0C2AEC02" w14:textId="1B2AF2B9">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C63CE">
        <w:rPr>
          <w:sz w:val="24"/>
          <w:szCs w:val="24"/>
        </w:rPr>
        <w:t>The standard requires employers ceasing to do business to transfer records to a successor employer</w:t>
      </w:r>
      <w:r w:rsidRPr="00F86EE9">
        <w:rPr>
          <w:sz w:val="24"/>
          <w:szCs w:val="24"/>
        </w:rPr>
        <w:t>.</w:t>
      </w:r>
      <w:r w:rsidRPr="009C63CE">
        <w:rPr>
          <w:sz w:val="24"/>
          <w:szCs w:val="24"/>
        </w:rPr>
        <w:t xml:space="preserve"> </w:t>
      </w:r>
      <w:r>
        <w:rPr>
          <w:sz w:val="24"/>
          <w:szCs w:val="24"/>
        </w:rPr>
        <w:t xml:space="preserve"> </w:t>
      </w:r>
      <w:r w:rsidRPr="009C63CE">
        <w:rPr>
          <w:sz w:val="24"/>
          <w:szCs w:val="24"/>
        </w:rPr>
        <w:t>Employers must comply with</w:t>
      </w:r>
      <w:r>
        <w:rPr>
          <w:sz w:val="24"/>
          <w:szCs w:val="24"/>
        </w:rPr>
        <w:t xml:space="preserve"> the</w:t>
      </w:r>
      <w:r w:rsidRPr="009C63CE">
        <w:rPr>
          <w:sz w:val="24"/>
          <w:szCs w:val="24"/>
        </w:rPr>
        <w:t xml:space="preserve"> transfer requirements in (§1910.1020(h)).</w:t>
      </w:r>
    </w:p>
    <w:p w:rsidR="00856664" w:rsidP="00856664" w14:paraId="65ACC232" w14:textId="77777777">
      <w:pPr>
        <w:rPr>
          <w:rFonts w:cs="Shruti"/>
        </w:rPr>
      </w:pPr>
    </w:p>
    <w:p w:rsidR="00856664" w:rsidRPr="00743779" w:rsidP="00856664" w14:paraId="2FA2DE38" w14:textId="48085717">
      <w:pPr>
        <w:rPr>
          <w:rFonts w:cs="Shruti"/>
          <w:sz w:val="24"/>
          <w:szCs w:val="24"/>
        </w:rPr>
      </w:pPr>
      <w:r w:rsidRPr="00743779">
        <w:rPr>
          <w:rFonts w:cs="Shruti"/>
          <w:sz w:val="24"/>
          <w:szCs w:val="24"/>
        </w:rPr>
        <w:t xml:space="preserve">Paragraph (h) of </w:t>
      </w:r>
      <w:r w:rsidRPr="00743779">
        <w:rPr>
          <w:sz w:val="24"/>
          <w:szCs w:val="24"/>
        </w:rPr>
        <w:t>§ 1910.1020</w:t>
      </w:r>
      <w:r w:rsidRPr="00743779">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856664" w:rsidRPr="00743779" w:rsidP="00856664" w14:paraId="1633CCF5" w14:textId="77777777">
      <w:pPr>
        <w:rPr>
          <w:rFonts w:cs="Shruti"/>
          <w:sz w:val="24"/>
          <w:szCs w:val="24"/>
        </w:rPr>
      </w:pPr>
    </w:p>
    <w:p w:rsidR="0091776C" w:rsidP="00856664" w14:paraId="689D1967" w14:textId="64DF0BD7">
      <w:pPr>
        <w:widowControl/>
        <w:autoSpaceDE/>
        <w:autoSpaceDN/>
        <w:adjustRightInd/>
        <w:rPr>
          <w:rFonts w:cs="Arial"/>
          <w:sz w:val="24"/>
          <w:szCs w:val="24"/>
        </w:rPr>
      </w:pPr>
      <w:r w:rsidRPr="00743779">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sidRPr="00743779">
        <w:rPr>
          <w:rFonts w:cs="Arial"/>
          <w:sz w:val="24"/>
          <w:szCs w:val="24"/>
        </w:rPr>
        <w:t xml:space="preserve"> all </w:t>
      </w:r>
      <w:r w:rsidRPr="00743779">
        <w:rPr>
          <w:sz w:val="24"/>
          <w:szCs w:val="24"/>
        </w:rPr>
        <w:t>records</w:t>
      </w:r>
      <w:r w:rsidRPr="00743779">
        <w:rPr>
          <w:rFonts w:cs="Arial"/>
          <w:sz w:val="24"/>
          <w:szCs w:val="24"/>
        </w:rPr>
        <w:t xml:space="preserve">, including </w:t>
      </w:r>
      <w:r w:rsidR="00FA259D">
        <w:rPr>
          <w:rFonts w:cs="Arial"/>
          <w:sz w:val="24"/>
          <w:szCs w:val="24"/>
        </w:rPr>
        <w:t>worker</w:t>
      </w:r>
      <w:r w:rsidRPr="00743779">
        <w:rPr>
          <w:rFonts w:cs="Arial"/>
          <w:sz w:val="24"/>
          <w:szCs w:val="24"/>
        </w:rPr>
        <w:t xml:space="preserve"> </w:t>
      </w:r>
    </w:p>
    <w:p w:rsidR="00856664" w:rsidRPr="00743779" w:rsidP="00856664" w14:paraId="5C4A98D6" w14:textId="44FE3DFE">
      <w:pPr>
        <w:widowControl/>
        <w:autoSpaceDE/>
        <w:autoSpaceDN/>
        <w:adjustRightInd/>
        <w:rPr>
          <w:sz w:val="24"/>
          <w:szCs w:val="24"/>
        </w:rPr>
      </w:pPr>
      <w:r w:rsidRPr="00743779">
        <w:rPr>
          <w:rFonts w:cs="Arial"/>
          <w:sz w:val="24"/>
          <w:szCs w:val="24"/>
        </w:rPr>
        <w:t>exposure-monitoring and medical records, </w:t>
      </w:r>
      <w:r w:rsidRPr="00743779">
        <w:rPr>
          <w:sz w:val="24"/>
          <w:szCs w:val="24"/>
        </w:rPr>
        <w:t>at the facility to the successor employer during the transfer of business operations, as a matter of usual an</w:t>
      </w:r>
      <w:r w:rsidR="00D151CF">
        <w:rPr>
          <w:sz w:val="24"/>
          <w:szCs w:val="24"/>
        </w:rPr>
        <w:t>d customary business practice.</w:t>
      </w:r>
    </w:p>
    <w:p w:rsidR="00856664" w:rsidRPr="00743779" w:rsidP="00856664" w14:paraId="34D62EAC" w14:textId="77777777">
      <w:pPr>
        <w:widowControl/>
        <w:autoSpaceDE/>
        <w:autoSpaceDN/>
        <w:adjustRightInd/>
        <w:rPr>
          <w:sz w:val="24"/>
          <w:szCs w:val="24"/>
        </w:rPr>
      </w:pPr>
    </w:p>
    <w:p w:rsidR="00856664" w:rsidRPr="00743779" w:rsidP="00856664" w14:paraId="17C949AA" w14:textId="77777777">
      <w:pPr>
        <w:widowControl/>
        <w:autoSpaceDE/>
        <w:autoSpaceDN/>
        <w:adjustRightInd/>
        <w:rPr>
          <w:sz w:val="24"/>
          <w:szCs w:val="24"/>
        </w:rPr>
      </w:pPr>
      <w:r w:rsidRPr="00743779">
        <w:rPr>
          <w:rFonts w:cs="Shruti"/>
          <w:sz w:val="24"/>
          <w:szCs w:val="24"/>
        </w:rPr>
        <w:t xml:space="preserve">In addition, </w:t>
      </w:r>
      <w:r w:rsidRPr="00743779">
        <w:rPr>
          <w:sz w:val="24"/>
          <w:szCs w:val="24"/>
        </w:rPr>
        <w:t xml:space="preserve">OSHA accounts for the burden hours and costs resulting from the </w:t>
      </w:r>
      <w:r w:rsidR="00FA259D">
        <w:rPr>
          <w:sz w:val="24"/>
          <w:szCs w:val="24"/>
        </w:rPr>
        <w:t>worker</w:t>
      </w:r>
      <w:r w:rsidRPr="00743779">
        <w:rPr>
          <w:sz w:val="24"/>
          <w:szCs w:val="24"/>
        </w:rPr>
        <w:t xml:space="preserve"> notification requirements under the Information Collection Request (ICR) for its Access to Employee Exposure and Medical Records Standard (§1910.1020), OMB Control No. 1218-0065.</w:t>
      </w:r>
    </w:p>
    <w:p w:rsidR="00856664" w:rsidRPr="00772FE4" w:rsidP="00856664" w14:paraId="201BB5A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56664" w:rsidRPr="005D6BC2" w:rsidP="005D6BC2" w14:paraId="320DA8CF" w14:textId="7AB007C5">
      <w:pPr>
        <w:numPr>
          <w:ilvl w:val="0"/>
          <w:numId w:val="3"/>
        </w:num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5D6BC2">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6664" w:rsidRPr="005A66DC" w:rsidP="00856664" w14:paraId="5111CBF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32CB8AFE" w14:textId="5ABEEE8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may use improved information technology when establishing and maintaining exposure monitoring and medical surveillance records.  OSHA wrote the paperwork requirements of the </w:t>
      </w:r>
      <w:r w:rsidR="00533288">
        <w:rPr>
          <w:sz w:val="24"/>
          <w:szCs w:val="24"/>
        </w:rPr>
        <w:t xml:space="preserve">Standard </w:t>
      </w:r>
      <w:r w:rsidRPr="00772FE4">
        <w:rPr>
          <w:sz w:val="24"/>
          <w:szCs w:val="24"/>
        </w:rPr>
        <w:t xml:space="preserve">in </w:t>
      </w:r>
      <w:r w:rsidRPr="00772FE4" w:rsidR="002B59FB">
        <w:rPr>
          <w:sz w:val="24"/>
          <w:szCs w:val="24"/>
        </w:rPr>
        <w:t>performance-oriented</w:t>
      </w:r>
      <w:r w:rsidRPr="00772FE4">
        <w:rPr>
          <w:sz w:val="24"/>
          <w:szCs w:val="24"/>
        </w:rPr>
        <w:t xml:space="preserve"> language i.e., in terms of </w:t>
      </w:r>
      <w:r w:rsidRPr="00772FE4">
        <w:rPr>
          <w:sz w:val="24"/>
          <w:szCs w:val="24"/>
          <w:u w:val="single"/>
        </w:rPr>
        <w:t>what</w:t>
      </w:r>
      <w:r w:rsidRPr="00772FE4">
        <w:rPr>
          <w:sz w:val="24"/>
          <w:szCs w:val="24"/>
        </w:rPr>
        <w:t xml:space="preserve"> data to maintain, not </w:t>
      </w:r>
      <w:r w:rsidRPr="00772FE4">
        <w:rPr>
          <w:sz w:val="24"/>
          <w:szCs w:val="24"/>
          <w:u w:val="single"/>
        </w:rPr>
        <w:t>how</w:t>
      </w:r>
      <w:r w:rsidRPr="00772FE4">
        <w:rPr>
          <w:sz w:val="24"/>
          <w:szCs w:val="24"/>
        </w:rPr>
        <w:t xml:space="preserve"> to maintain the data.</w:t>
      </w:r>
    </w:p>
    <w:p w:rsidR="00856664" w:rsidP="00856664" w14:paraId="45A0033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5D6BC2" w:rsidP="00856664" w14:paraId="26A77599" w14:textId="2C113F45">
      <w:pPr>
        <w:shd w:val="solid" w:color="FFFFFF" w:fill="FFFFFF"/>
        <w:ind w:left="720" w:hanging="720"/>
        <w:rPr>
          <w:sz w:val="24"/>
          <w:szCs w:val="24"/>
        </w:rPr>
      </w:pPr>
      <w:r w:rsidRPr="005D6BC2">
        <w:rPr>
          <w:b/>
          <w:bCs/>
          <w:sz w:val="24"/>
          <w:szCs w:val="24"/>
        </w:rPr>
        <w:t xml:space="preserve">4.  </w:t>
      </w:r>
      <w:r w:rsidRPr="005D6BC2">
        <w:rPr>
          <w:b/>
          <w:bCs/>
          <w:sz w:val="24"/>
          <w:szCs w:val="24"/>
        </w:rPr>
        <w:tab/>
        <w:t xml:space="preserve">Describe efforts to identify duplication.  Show specifically why any similar information already available cannot be used or modified for use for the purposes described in Item </w:t>
      </w:r>
      <w:r w:rsidRPr="005D6BC2" w:rsidR="00534B69">
        <w:rPr>
          <w:b/>
          <w:bCs/>
          <w:sz w:val="24"/>
          <w:szCs w:val="24"/>
        </w:rPr>
        <w:t>A.</w:t>
      </w:r>
      <w:r w:rsidRPr="005D6BC2">
        <w:rPr>
          <w:b/>
          <w:bCs/>
          <w:sz w:val="24"/>
          <w:szCs w:val="24"/>
        </w:rPr>
        <w:t>2</w:t>
      </w:r>
      <w:r w:rsidRPr="005D6BC2" w:rsidR="00534B69">
        <w:rPr>
          <w:b/>
          <w:bCs/>
          <w:sz w:val="24"/>
          <w:szCs w:val="24"/>
        </w:rPr>
        <w:t>.</w:t>
      </w:r>
      <w:r w:rsidRPr="005D6BC2">
        <w:rPr>
          <w:b/>
          <w:bCs/>
          <w:sz w:val="24"/>
          <w:szCs w:val="24"/>
        </w:rPr>
        <w:t xml:space="preserve"> above.</w:t>
      </w:r>
    </w:p>
    <w:p w:rsidR="00856664" w:rsidRPr="002A28C8" w:rsidP="00856664" w14:paraId="01573FA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B31D80A" w14:textId="099B01E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533288">
        <w:rPr>
          <w:sz w:val="24"/>
          <w:szCs w:val="24"/>
        </w:rPr>
        <w:t xml:space="preserve">information collection </w:t>
      </w:r>
      <w:r w:rsidRPr="00772FE4">
        <w:rPr>
          <w:sz w:val="24"/>
          <w:szCs w:val="24"/>
        </w:rPr>
        <w:t>requirements</w:t>
      </w:r>
      <w:r w:rsidR="00533288">
        <w:rPr>
          <w:sz w:val="24"/>
          <w:szCs w:val="24"/>
        </w:rPr>
        <w:t xml:space="preserve"> in the Standard</w:t>
      </w:r>
      <w:r w:rsidRPr="00772FE4">
        <w:rPr>
          <w:sz w:val="24"/>
          <w:szCs w:val="24"/>
        </w:rPr>
        <w:t xml:space="preserve"> are specific to each employer and </w:t>
      </w:r>
      <w:r w:rsidR="00FA259D">
        <w:rPr>
          <w:sz w:val="24"/>
          <w:szCs w:val="24"/>
        </w:rPr>
        <w:t>worker</w:t>
      </w:r>
      <w:r w:rsidRPr="00772FE4">
        <w:rPr>
          <w:sz w:val="24"/>
          <w:szCs w:val="24"/>
        </w:rPr>
        <w:t xml:space="preserve"> involved, and no other source or agency duplicates these requirements or can make the required information available to</w:t>
      </w:r>
      <w:r w:rsidR="00533288">
        <w:rPr>
          <w:sz w:val="24"/>
          <w:szCs w:val="24"/>
        </w:rPr>
        <w:t xml:space="preserve"> the agency</w:t>
      </w:r>
      <w:r w:rsidRPr="00772FE4">
        <w:rPr>
          <w:sz w:val="24"/>
          <w:szCs w:val="24"/>
        </w:rPr>
        <w:t xml:space="preserve"> (i.e., the required information is available only from employers).</w:t>
      </w:r>
    </w:p>
    <w:p w:rsidR="00856664" w:rsidP="00856664" w14:paraId="1239C078"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rPr>
      </w:pPr>
    </w:p>
    <w:p w:rsidR="00856664" w:rsidRPr="005D6BC2" w:rsidP="00856664" w14:paraId="4C99697D" w14:textId="2CB4F4E3">
      <w:pPr>
        <w:shd w:val="solid" w:color="FFFFFF" w:fill="FFFFFF"/>
        <w:ind w:left="720" w:hanging="720"/>
        <w:rPr>
          <w:sz w:val="24"/>
          <w:szCs w:val="24"/>
        </w:rPr>
      </w:pPr>
      <w:r w:rsidRPr="005D6BC2">
        <w:rPr>
          <w:b/>
          <w:bCs/>
          <w:sz w:val="24"/>
          <w:szCs w:val="24"/>
        </w:rPr>
        <w:t xml:space="preserve">5.  </w:t>
      </w:r>
      <w:r w:rsidRPr="005D6BC2">
        <w:rPr>
          <w:b/>
          <w:bCs/>
          <w:sz w:val="24"/>
          <w:szCs w:val="24"/>
        </w:rPr>
        <w:tab/>
        <w:t>If the collection of information impacts small businesses or other small entities, describe any methods used to minimize burden.</w:t>
      </w:r>
    </w:p>
    <w:p w:rsidR="00856664" w:rsidRPr="002A28C8" w:rsidP="00856664" w14:paraId="3470B0D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623D3B1D" w14:textId="030CFBF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B85CD3">
        <w:rPr>
          <w:sz w:val="24"/>
          <w:szCs w:val="24"/>
        </w:rPr>
        <w:t>Standard's information collection requirements do not significantly impact many</w:t>
      </w:r>
      <w:r w:rsidRPr="00772FE4">
        <w:rPr>
          <w:sz w:val="24"/>
          <w:szCs w:val="24"/>
        </w:rPr>
        <w:t xml:space="preserve"> small entities.</w:t>
      </w:r>
    </w:p>
    <w:p w:rsidR="00856664" w:rsidP="00856664" w14:paraId="6211AF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2A28C8" w:rsidP="00856664" w14:paraId="5B965875" w14:textId="77777777">
      <w:pPr>
        <w:shd w:val="solid" w:color="FFFFFF" w:fill="FFFFFF"/>
        <w:ind w:left="720" w:hanging="720"/>
        <w:rPr>
          <w:sz w:val="24"/>
          <w:szCs w:val="24"/>
        </w:rPr>
      </w:pPr>
      <w:r w:rsidRPr="005D6BC2">
        <w:rPr>
          <w:b/>
          <w:bCs/>
          <w:sz w:val="24"/>
          <w:szCs w:val="24"/>
        </w:rPr>
        <w:t xml:space="preserve">6.  </w:t>
      </w:r>
      <w:r w:rsidRPr="005D6BC2">
        <w:rPr>
          <w:b/>
          <w:bCs/>
          <w:sz w:val="24"/>
          <w:szCs w:val="24"/>
        </w:rPr>
        <w:tab/>
        <w:t>Describe the consequences to Federal program or policy activities if the collection is not conducted or is conducted less frequently, as well as any technical or legal obstacles to reducing burden.</w:t>
      </w:r>
    </w:p>
    <w:p w:rsidR="00533288" w:rsidP="00856664" w14:paraId="21B6081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88D29D1" w14:textId="242AA8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533288">
        <w:rPr>
          <w:sz w:val="24"/>
          <w:szCs w:val="24"/>
        </w:rPr>
        <w:t>information collection</w:t>
      </w:r>
      <w:r w:rsidR="002A28C8">
        <w:rPr>
          <w:sz w:val="24"/>
          <w:szCs w:val="24"/>
        </w:rPr>
        <w:t xml:space="preserve"> </w:t>
      </w:r>
      <w:r w:rsidRPr="00772FE4">
        <w:rPr>
          <w:sz w:val="24"/>
          <w:szCs w:val="24"/>
        </w:rPr>
        <w:t>frequencies specified by th</w:t>
      </w:r>
      <w:r w:rsidR="002A28C8">
        <w:rPr>
          <w:sz w:val="24"/>
          <w:szCs w:val="24"/>
        </w:rPr>
        <w:t>e</w:t>
      </w:r>
      <w:r w:rsidRPr="00772FE4">
        <w:rPr>
          <w:sz w:val="24"/>
          <w:szCs w:val="24"/>
        </w:rPr>
        <w:t xml:space="preserve"> </w:t>
      </w:r>
      <w:r w:rsidR="005A66F0">
        <w:rPr>
          <w:sz w:val="24"/>
          <w:szCs w:val="24"/>
        </w:rPr>
        <w:t>S</w:t>
      </w:r>
      <w:r w:rsidRPr="00772FE4">
        <w:rPr>
          <w:sz w:val="24"/>
          <w:szCs w:val="24"/>
        </w:rPr>
        <w:t>tandard are the minimum</w:t>
      </w:r>
      <w:r w:rsidR="00D42874">
        <w:rPr>
          <w:sz w:val="24"/>
          <w:szCs w:val="24"/>
        </w:rPr>
        <w:t xml:space="preserve"> frequencies the agency</w:t>
      </w:r>
      <w:r w:rsidRPr="00772FE4">
        <w:rPr>
          <w:sz w:val="24"/>
          <w:szCs w:val="24"/>
        </w:rPr>
        <w:t xml:space="preserve"> </w:t>
      </w:r>
      <w:r w:rsidR="00D42874">
        <w:rPr>
          <w:sz w:val="24"/>
          <w:szCs w:val="24"/>
        </w:rPr>
        <w:t xml:space="preserve">believes are </w:t>
      </w:r>
      <w:r w:rsidRPr="00772FE4">
        <w:rPr>
          <w:sz w:val="24"/>
          <w:szCs w:val="24"/>
        </w:rPr>
        <w:t>necessary to ensure that employer</w:t>
      </w:r>
      <w:r w:rsidR="00D42874">
        <w:rPr>
          <w:sz w:val="24"/>
          <w:szCs w:val="24"/>
        </w:rPr>
        <w:t>s</w:t>
      </w:r>
      <w:r w:rsidRPr="00772FE4">
        <w:rPr>
          <w:sz w:val="24"/>
          <w:szCs w:val="24"/>
        </w:rPr>
        <w:t xml:space="preserve"> and OSHA can effectively monitor the exposure and health status of </w:t>
      </w:r>
      <w:r w:rsidR="00FA259D">
        <w:rPr>
          <w:sz w:val="24"/>
          <w:szCs w:val="24"/>
        </w:rPr>
        <w:t>worker</w:t>
      </w:r>
      <w:r w:rsidRPr="00772FE4">
        <w:rPr>
          <w:sz w:val="24"/>
          <w:szCs w:val="24"/>
        </w:rPr>
        <w:t>s working with lead.</w:t>
      </w:r>
    </w:p>
    <w:p w:rsidR="00856664" w:rsidP="00856664" w14:paraId="2A89E3A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5D6BC2" w:rsidP="00856664" w14:paraId="06EF8EBC" w14:textId="77777777">
      <w:pPr>
        <w:shd w:val="solid" w:color="FFFFFF" w:fill="FFFFFF"/>
        <w:ind w:left="720" w:hanging="720"/>
        <w:rPr>
          <w:b/>
          <w:bCs/>
          <w:sz w:val="24"/>
          <w:szCs w:val="24"/>
        </w:rPr>
      </w:pPr>
      <w:r w:rsidRPr="005D6BC2">
        <w:rPr>
          <w:b/>
          <w:bCs/>
          <w:sz w:val="24"/>
          <w:szCs w:val="24"/>
        </w:rPr>
        <w:t xml:space="preserve">7.  </w:t>
      </w:r>
      <w:r w:rsidRPr="005D6BC2">
        <w:rPr>
          <w:b/>
          <w:bCs/>
          <w:sz w:val="24"/>
          <w:szCs w:val="24"/>
        </w:rPr>
        <w:tab/>
        <w:t xml:space="preserve">Explain any special circumstances that would cause an information collection to be </w:t>
      </w:r>
      <w:r w:rsidRPr="005D6BC2">
        <w:rPr>
          <w:b/>
          <w:bCs/>
          <w:sz w:val="24"/>
          <w:szCs w:val="24"/>
        </w:rPr>
        <w:t>conducted in a manner:</w:t>
      </w:r>
    </w:p>
    <w:p w:rsidR="00856664" w:rsidRPr="005D6BC2" w:rsidP="00856664" w14:paraId="2F436896" w14:textId="77777777">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56664" w:rsidRPr="005D6BC2" w:rsidP="00856664" w14:paraId="4810155D" w14:textId="2CD54CFC">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5D6BC2">
        <w:rPr>
          <w:b/>
          <w:bCs/>
          <w:sz w:val="24"/>
          <w:szCs w:val="24"/>
        </w:rPr>
        <w:tab/>
        <w:t xml:space="preserve">requiring respondents to report information to the agency more often than </w:t>
      </w:r>
      <w:r w:rsidR="002A28C8">
        <w:rPr>
          <w:b/>
          <w:bCs/>
          <w:sz w:val="24"/>
          <w:szCs w:val="24"/>
        </w:rPr>
        <w:t xml:space="preserve">   </w:t>
      </w:r>
      <w:r w:rsidR="002A28C8">
        <w:rPr>
          <w:b/>
          <w:bCs/>
          <w:sz w:val="24"/>
          <w:szCs w:val="24"/>
        </w:rPr>
        <w:tab/>
      </w:r>
      <w:r w:rsidRPr="005D6BC2">
        <w:rPr>
          <w:b/>
          <w:bCs/>
          <w:sz w:val="24"/>
          <w:szCs w:val="24"/>
        </w:rPr>
        <w:t>quarterly;</w:t>
      </w:r>
    </w:p>
    <w:p w:rsidR="00856664" w:rsidRPr="005D6BC2" w:rsidP="00856664" w14:paraId="2C10669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5D6BC2">
        <w:rPr>
          <w:b/>
          <w:bCs/>
          <w:sz w:val="24"/>
          <w:szCs w:val="24"/>
        </w:rPr>
        <w:tab/>
      </w:r>
    </w:p>
    <w:p w:rsidR="003B44E7" w:rsidP="003B44E7" w14:paraId="2E20C725"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requiring respondents to prepare a written response to a collection of information in fewer than 30 days after receipt of it;</w:t>
      </w:r>
    </w:p>
    <w:p w:rsidR="003B44E7" w:rsidP="003B44E7" w14:paraId="0AC2A180"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p>
    <w:p w:rsidR="00F76631" w:rsidP="005D6BC2" w14:paraId="33F21C2D" w14:textId="67BA74C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Pr>
          <w:b/>
          <w:bCs/>
          <w:sz w:val="24"/>
          <w:szCs w:val="24"/>
        </w:rPr>
        <w:tab/>
      </w:r>
      <w:r w:rsidRPr="007C6A35">
        <w:rPr>
          <w:b/>
          <w:bCs/>
          <w:sz w:val="24"/>
          <w:szCs w:val="24"/>
        </w:rPr>
        <w:t>requiring respondents to submit more than an original and two copies of any document;</w:t>
      </w:r>
    </w:p>
    <w:p w:rsidR="00F76631" w:rsidRPr="007C6A35" w:rsidP="005D6BC2" w14:paraId="6A2FC875" w14:textId="77777777">
      <w:pPr>
        <w:widowControl/>
        <w:overflowPunct/>
        <w:ind w:left="1440"/>
        <w:rPr>
          <w:b/>
          <w:bCs/>
          <w:sz w:val="24"/>
          <w:szCs w:val="24"/>
        </w:rPr>
      </w:pPr>
    </w:p>
    <w:p w:rsidR="00856664" w:rsidRPr="005D6BC2" w:rsidP="00856664" w14:paraId="359365C7"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r>
      <w:bookmarkStart w:id="4" w:name="_Hlk99016329"/>
      <w:r w:rsidRPr="005D6BC2">
        <w:rPr>
          <w:b/>
          <w:bCs/>
          <w:sz w:val="24"/>
          <w:szCs w:val="24"/>
        </w:rPr>
        <w:t>requiring respondents to retain records, other than health, medical, government contract, grant-in-aid, or tax records for more than three years;</w:t>
      </w:r>
    </w:p>
    <w:p w:rsidR="00856664" w:rsidRPr="005D6BC2" w:rsidP="00856664" w14:paraId="72B44D8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bookmarkEnd w:id="4"/>
    <w:p w:rsidR="00856664" w:rsidRPr="005D6BC2" w:rsidP="00856664" w14:paraId="0A0FCDED"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in connection with a statistical survey, that is not designed to produce valid and reliable results that can be generalized to the universe of study;</w:t>
      </w:r>
    </w:p>
    <w:p w:rsidR="00856664" w:rsidRPr="005D6BC2" w:rsidP="00856664" w14:paraId="1B5BBD7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56664" w:rsidRPr="005D6BC2" w:rsidP="00856664" w14:paraId="298032D5" w14:textId="77777777">
      <w:pPr>
        <w:shd w:val="solid" w:color="FFFFFF" w:fill="FFFFFF"/>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requiring the use of a statistical data classification that has not been reviewed and approved by OMB:</w:t>
      </w:r>
    </w:p>
    <w:p w:rsidR="00856664" w:rsidRPr="005D6BC2" w:rsidP="00856664" w14:paraId="362ADC7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56664" w:rsidRPr="005D6BC2" w:rsidP="00856664" w14:paraId="25596959"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rsidR="00856664" w:rsidRPr="005D6BC2" w:rsidP="00856664" w14:paraId="722B4F2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56664" w:rsidRPr="005D6BC2" w:rsidP="00856664" w14:paraId="02895502" w14:textId="77777777">
      <w:pPr>
        <w:shd w:val="solid" w:color="FFFFFF" w:fill="FFFFFF"/>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856664" w:rsidP="00856664" w14:paraId="698ED15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2700F4F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Paragraph 1926.62(d)(8)(i) requires employers to give </w:t>
      </w:r>
      <w:r w:rsidR="00FA259D">
        <w:rPr>
          <w:sz w:val="24"/>
          <w:szCs w:val="24"/>
        </w:rPr>
        <w:t>worker</w:t>
      </w:r>
      <w:r w:rsidRPr="00772FE4">
        <w:rPr>
          <w:sz w:val="24"/>
          <w:szCs w:val="24"/>
        </w:rPr>
        <w:t>s written notification of their exposure levels within five working days after completion of the exposure assessment.</w:t>
      </w:r>
      <w:r>
        <w:rPr>
          <w:sz w:val="24"/>
          <w:szCs w:val="24"/>
        </w:rPr>
        <w:t xml:space="preserve">  </w:t>
      </w:r>
      <w:r w:rsidRPr="00772FE4">
        <w:rPr>
          <w:sz w:val="24"/>
          <w:szCs w:val="24"/>
        </w:rPr>
        <w:t xml:space="preserve">Paragraph 1926.62(j)(2)(iv)(A) requires employers to give </w:t>
      </w:r>
      <w:r w:rsidR="00FA259D">
        <w:rPr>
          <w:sz w:val="24"/>
          <w:szCs w:val="24"/>
        </w:rPr>
        <w:t>worker</w:t>
      </w:r>
      <w:r w:rsidRPr="00772FE4">
        <w:rPr>
          <w:sz w:val="24"/>
          <w:szCs w:val="24"/>
        </w:rPr>
        <w:t>s written notification concerning blood lead level results within five working days after the receipt of biological monitoring results.</w:t>
      </w:r>
      <w:r>
        <w:rPr>
          <w:sz w:val="24"/>
          <w:szCs w:val="24"/>
        </w:rPr>
        <w:t xml:space="preserve">  </w:t>
      </w:r>
      <w:r w:rsidRPr="00772FE4">
        <w:rPr>
          <w:sz w:val="24"/>
          <w:szCs w:val="24"/>
        </w:rPr>
        <w:t xml:space="preserve">Paragraph 1926.62(j)(2)(iv)(B) requires employers to notify </w:t>
      </w:r>
      <w:r w:rsidR="00FA259D">
        <w:rPr>
          <w:sz w:val="24"/>
          <w:szCs w:val="24"/>
        </w:rPr>
        <w:t>worker</w:t>
      </w:r>
      <w:r w:rsidRPr="00772FE4">
        <w:rPr>
          <w:sz w:val="24"/>
          <w:szCs w:val="24"/>
        </w:rPr>
        <w:t xml:space="preserve">s whose blood lead levels are </w:t>
      </w:r>
      <w:r>
        <w:rPr>
          <w:sz w:val="24"/>
          <w:szCs w:val="24"/>
        </w:rPr>
        <w:t xml:space="preserve">at or </w:t>
      </w:r>
      <w:r w:rsidRPr="00772FE4">
        <w:rPr>
          <w:sz w:val="24"/>
          <w:szCs w:val="24"/>
        </w:rPr>
        <w:t>above 40 ug/dl about the medical removal and medical removal protection benefits provisions of the Standard within five working days after the receipt of biological monitoring results.</w:t>
      </w:r>
    </w:p>
    <w:p w:rsidR="00856664" w:rsidP="00856664" w14:paraId="6AC328E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14:paraId="5C044EED" w14:textId="771EE8DB">
      <w:pPr>
        <w:overflowPunct/>
        <w:rPr>
          <w:kern w:val="0"/>
          <w:sz w:val="24"/>
          <w:szCs w:val="24"/>
        </w:rPr>
      </w:pPr>
      <w:r w:rsidRPr="00D12FC5">
        <w:rPr>
          <w:kern w:val="0"/>
          <w:sz w:val="24"/>
          <w:szCs w:val="24"/>
        </w:rPr>
        <w:t xml:space="preserve">In addition, under OSHA’s Access to Employee Exposure and Medical Records Standard (§1910.1020), employers must maintain the exposure monitoring results for 30 years.  </w:t>
      </w:r>
    </w:p>
    <w:p w:rsidR="003B44E7" w:rsidRPr="00D12FC5" w:rsidP="00856664" w14:paraId="77D80F58" w14:textId="77777777">
      <w:pPr>
        <w:overflowPunct/>
        <w:rPr>
          <w:kern w:val="0"/>
          <w:sz w:val="24"/>
          <w:szCs w:val="24"/>
        </w:rPr>
      </w:pPr>
    </w:p>
    <w:p w:rsidR="00856664" w:rsidRPr="005D6BC2" w:rsidP="005D6BC2" w14:paraId="62F26867" w14:textId="7B3B3188">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szCs w:val="24"/>
        </w:rPr>
      </w:pPr>
      <w:r>
        <w:rPr>
          <w:b/>
          <w:bCs/>
          <w:sz w:val="24"/>
          <w:szCs w:val="24"/>
        </w:rPr>
        <w:t xml:space="preserve">8.  </w:t>
      </w:r>
      <w:r w:rsidRPr="005D6BC2">
        <w:rPr>
          <w:b/>
          <w:bCs/>
          <w:sz w:val="24"/>
          <w:szCs w:val="24"/>
        </w:rPr>
        <w:t xml:space="preserve">If applicable, provide a copy and identify the date and page number of </w:t>
      </w:r>
      <w:r w:rsidRPr="005D6BC2" w:rsidR="002B59FB">
        <w:rPr>
          <w:b/>
          <w:bCs/>
          <w:sz w:val="24"/>
          <w:szCs w:val="24"/>
        </w:rPr>
        <w:t>publication</w:t>
      </w:r>
      <w:r w:rsidRPr="005D6BC2">
        <w:rPr>
          <w:b/>
          <w:bCs/>
          <w:sz w:val="24"/>
          <w:szCs w:val="24"/>
        </w:rPr>
        <w:t xml:space="preserve"> in the </w:t>
      </w:r>
      <w:r w:rsidRPr="005D6BC2">
        <w:rPr>
          <w:b/>
          <w:bCs/>
          <w:i/>
          <w:iCs/>
          <w:sz w:val="24"/>
          <w:szCs w:val="24"/>
        </w:rPr>
        <w:t>Federal Register</w:t>
      </w:r>
      <w:r w:rsidRPr="005D6BC2">
        <w:rPr>
          <w:b/>
          <w:bCs/>
          <w:sz w:val="24"/>
          <w:szCs w:val="24"/>
        </w:rPr>
        <w:t xml:space="preserve"> of the agency’s notice, required by 5 CFR 1320.8(d), soliciting comments on the information collection prior to submission to OMB.  Summarize public comments received in response to that </w:t>
      </w:r>
      <w:r w:rsidRPr="005D6BC2">
        <w:rPr>
          <w:b/>
          <w:bCs/>
          <w:sz w:val="24"/>
          <w:szCs w:val="24"/>
        </w:rPr>
        <w:tab/>
        <w:t xml:space="preserve">notice and describe actions taken by the </w:t>
      </w:r>
      <w:r w:rsidRPr="005D6BC2">
        <w:rPr>
          <w:b/>
          <w:bCs/>
          <w:sz w:val="24"/>
          <w:szCs w:val="24"/>
        </w:rPr>
        <w:t>agency in response to these comments.  Specifically address comments received on cost and hour burden.</w:t>
      </w:r>
    </w:p>
    <w:p w:rsidR="00856664" w:rsidRPr="00813187" w:rsidP="00856664" w14:paraId="089C35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D42874" w:rsidP="00856664" w14:paraId="4CDD7D22" w14:textId="77777777">
      <w:pPr>
        <w:shd w:val="solid" w:color="FFFFFF" w:fill="FFFFFF"/>
        <w:ind w:left="720"/>
        <w:rPr>
          <w:b/>
          <w:bCs/>
          <w:sz w:val="24"/>
          <w:szCs w:val="24"/>
        </w:rPr>
      </w:pPr>
      <w:r w:rsidRPr="005D6BC2">
        <w:rPr>
          <w:b/>
          <w:bCs/>
          <w:sz w:val="24"/>
          <w:szCs w:val="24"/>
        </w:rPr>
        <w:t xml:space="preserve">Describe efforts to consult with persons outside the agency to obtain their views on </w:t>
      </w:r>
    </w:p>
    <w:p w:rsidR="00D42874" w:rsidP="00856664" w14:paraId="3F4A5ABA" w14:textId="77777777">
      <w:pPr>
        <w:shd w:val="solid" w:color="FFFFFF" w:fill="FFFFFF"/>
        <w:ind w:left="720"/>
        <w:rPr>
          <w:b/>
          <w:bCs/>
          <w:sz w:val="24"/>
          <w:szCs w:val="24"/>
        </w:rPr>
      </w:pPr>
    </w:p>
    <w:p w:rsidR="00856664" w:rsidRPr="005D6BC2" w:rsidP="00856664" w14:paraId="6BC3E3CB" w14:textId="2B5E8204">
      <w:pPr>
        <w:shd w:val="solid" w:color="FFFFFF" w:fill="FFFFFF"/>
        <w:ind w:left="720"/>
        <w:rPr>
          <w:b/>
          <w:bCs/>
          <w:sz w:val="24"/>
          <w:szCs w:val="24"/>
        </w:rPr>
      </w:pPr>
      <w:r w:rsidRPr="005D6BC2">
        <w:rPr>
          <w:b/>
          <w:bCs/>
          <w:sz w:val="24"/>
          <w:szCs w:val="24"/>
        </w:rPr>
        <w:t>the availability of data, frequency of collection, the clarity of instructions and recordkeeping, disclosure, or reporting format (if any), and on the data elements to be recorded, disclosed, or reported.</w:t>
      </w:r>
    </w:p>
    <w:p w:rsidR="00856664" w:rsidRPr="005D6BC2" w:rsidP="00856664" w14:paraId="02FB648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56664" w:rsidP="00856664" w14:paraId="014BB0CA" w14:textId="63AEA57F">
      <w:pPr>
        <w:shd w:val="solid" w:color="FFFFFF" w:fill="FFFFFF"/>
        <w:ind w:left="720"/>
        <w:rPr>
          <w:b/>
          <w:bCs/>
          <w:sz w:val="24"/>
          <w:szCs w:val="24"/>
        </w:rPr>
      </w:pPr>
      <w:r w:rsidRPr="005D6BC2">
        <w:rPr>
          <w:b/>
          <w:bCs/>
          <w:sz w:val="24"/>
          <w:szCs w:val="24"/>
        </w:rPr>
        <w:t>Consultation with representatives of those from whom information is to be obtained or those who must compile records should occur at least once every</w:t>
      </w:r>
      <w:r w:rsidR="00B8052A">
        <w:rPr>
          <w:b/>
          <w:bCs/>
          <w:sz w:val="24"/>
          <w:szCs w:val="24"/>
        </w:rPr>
        <w:t xml:space="preserve"> three</w:t>
      </w:r>
      <w:r w:rsidRPr="005D6BC2">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B8052A" w:rsidP="00856664" w14:paraId="229DE072" w14:textId="1DB82D63">
      <w:pPr>
        <w:shd w:val="solid" w:color="FFFFFF" w:fill="FFFFFF"/>
        <w:ind w:left="720"/>
        <w:rPr>
          <w:b/>
          <w:bCs/>
          <w:sz w:val="24"/>
          <w:szCs w:val="24"/>
        </w:rPr>
      </w:pPr>
    </w:p>
    <w:p w:rsidR="006D7104" w:rsidP="0004175D" w14:paraId="2BFB11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color w:val="000000"/>
          <w:sz w:val="24"/>
          <w:szCs w:val="24"/>
          <w:shd w:val="clear" w:color="auto" w:fill="FFFFFF"/>
        </w:rPr>
      </w:pPr>
      <w:r w:rsidRPr="00773169">
        <w:rPr>
          <w:rStyle w:val="normaltextrun"/>
          <w:color w:val="000000"/>
          <w:sz w:val="24"/>
          <w:szCs w:val="24"/>
          <w:shd w:val="clear" w:color="auto" w:fill="FFFFFF"/>
        </w:rPr>
        <w:t xml:space="preserve">As required by the Paperwork Reduction Act of 1995 (PRA) (44 U.S.C. 506(c)(2)(A)), OSHA published a notice in the Federal Register </w:t>
      </w:r>
      <w:r w:rsidR="00F3741A">
        <w:rPr>
          <w:rStyle w:val="normaltextrun"/>
          <w:color w:val="000000"/>
          <w:sz w:val="24"/>
          <w:szCs w:val="24"/>
          <w:shd w:val="clear" w:color="auto" w:fill="FFFFFF"/>
        </w:rPr>
        <w:t xml:space="preserve">on </w:t>
      </w:r>
      <w:r w:rsidR="00026627">
        <w:rPr>
          <w:rStyle w:val="normaltextrun"/>
          <w:color w:val="000000"/>
          <w:sz w:val="24"/>
          <w:szCs w:val="24"/>
          <w:shd w:val="clear" w:color="auto" w:fill="FFFFFF"/>
        </w:rPr>
        <w:t>Fe</w:t>
      </w:r>
      <w:r w:rsidR="00967AE0">
        <w:rPr>
          <w:rStyle w:val="normaltextrun"/>
          <w:color w:val="000000"/>
          <w:sz w:val="24"/>
          <w:szCs w:val="24"/>
          <w:shd w:val="clear" w:color="auto" w:fill="FFFFFF"/>
        </w:rPr>
        <w:t>bruary 28, 2025</w:t>
      </w:r>
      <w:r w:rsidRPr="00B63DB7">
        <w:rPr>
          <w:rStyle w:val="normaltextrun"/>
          <w:color w:val="000000"/>
          <w:sz w:val="24"/>
          <w:szCs w:val="24"/>
          <w:shd w:val="clear" w:color="auto" w:fill="FFFFFF"/>
        </w:rPr>
        <w:t xml:space="preserve"> (</w:t>
      </w:r>
      <w:r w:rsidR="00280CC2">
        <w:rPr>
          <w:rStyle w:val="normaltextrun"/>
          <w:color w:val="000000"/>
          <w:sz w:val="24"/>
          <w:szCs w:val="24"/>
          <w:shd w:val="clear" w:color="auto" w:fill="FFFFFF"/>
        </w:rPr>
        <w:t>90</w:t>
      </w:r>
      <w:r w:rsidRPr="00B63DB7">
        <w:rPr>
          <w:rStyle w:val="normaltextrun"/>
          <w:color w:val="000000"/>
          <w:sz w:val="24"/>
          <w:szCs w:val="24"/>
          <w:shd w:val="clear" w:color="auto" w:fill="FFFFFF"/>
        </w:rPr>
        <w:t xml:space="preserve"> FR </w:t>
      </w:r>
      <w:r w:rsidR="00311D79">
        <w:rPr>
          <w:rStyle w:val="normaltextrun"/>
          <w:color w:val="000000"/>
          <w:sz w:val="24"/>
          <w:szCs w:val="24"/>
          <w:shd w:val="clear" w:color="auto" w:fill="FFFFFF"/>
        </w:rPr>
        <w:t>10952</w:t>
      </w:r>
      <w:r w:rsidRPr="00B63DB7">
        <w:rPr>
          <w:rStyle w:val="normaltextrun"/>
          <w:color w:val="000000"/>
          <w:sz w:val="24"/>
          <w:szCs w:val="24"/>
          <w:shd w:val="clear" w:color="auto" w:fill="FFFFFF"/>
        </w:rPr>
        <w:t>)</w:t>
      </w:r>
      <w:r w:rsidRPr="004C7D83">
        <w:rPr>
          <w:rStyle w:val="normaltextrun"/>
          <w:color w:val="000000"/>
          <w:sz w:val="24"/>
          <w:szCs w:val="24"/>
          <w:shd w:val="clear" w:color="auto" w:fill="FFFFFF"/>
        </w:rPr>
        <w:t xml:space="preserve"> s</w:t>
      </w:r>
      <w:r w:rsidRPr="00773169">
        <w:rPr>
          <w:rStyle w:val="normaltextrun"/>
          <w:color w:val="000000"/>
          <w:sz w:val="24"/>
          <w:szCs w:val="24"/>
          <w:shd w:val="clear" w:color="auto" w:fill="FFFFFF"/>
        </w:rPr>
        <w:t xml:space="preserve">oliciting comments on its proposal to extend the Office of Management and Budget’s (OMB) approval of the information collection requirements specified in the </w:t>
      </w:r>
      <w:r w:rsidR="00920BD2">
        <w:rPr>
          <w:sz w:val="24"/>
          <w:szCs w:val="24"/>
        </w:rPr>
        <w:t>Lead</w:t>
      </w:r>
      <w:r w:rsidRPr="005D6BC2" w:rsidR="00920BD2">
        <w:rPr>
          <w:sz w:val="24"/>
          <w:szCs w:val="24"/>
        </w:rPr>
        <w:t xml:space="preserve"> in Construction Standard</w:t>
      </w:r>
      <w:r w:rsidRPr="00773169" w:rsidR="00920BD2">
        <w:rPr>
          <w:rStyle w:val="normaltextrun"/>
          <w:b/>
          <w:bCs/>
          <w:color w:val="000000"/>
          <w:sz w:val="24"/>
          <w:szCs w:val="24"/>
          <w:shd w:val="clear" w:color="auto" w:fill="FFFFFF"/>
        </w:rPr>
        <w:t xml:space="preserve"> </w:t>
      </w:r>
      <w:r w:rsidRPr="00B63DB7" w:rsidR="004F276E">
        <w:rPr>
          <w:rStyle w:val="normaltextrun"/>
          <w:color w:val="000000"/>
          <w:sz w:val="24"/>
          <w:szCs w:val="24"/>
          <w:shd w:val="clear" w:color="auto" w:fill="FFFFFF"/>
        </w:rPr>
        <w:t xml:space="preserve">under docket number </w:t>
      </w:r>
      <w:r w:rsidRPr="00B63DB7">
        <w:rPr>
          <w:rStyle w:val="normaltextrun"/>
          <w:color w:val="000000"/>
          <w:sz w:val="24"/>
          <w:szCs w:val="24"/>
          <w:shd w:val="clear" w:color="auto" w:fill="FFFFFF"/>
        </w:rPr>
        <w:t>OSHA-</w:t>
      </w:r>
      <w:r w:rsidRPr="00B63DB7" w:rsidR="00920BD2">
        <w:rPr>
          <w:rStyle w:val="normaltextrun"/>
          <w:color w:val="000000"/>
          <w:sz w:val="24"/>
          <w:szCs w:val="24"/>
          <w:shd w:val="clear" w:color="auto" w:fill="FFFFFF"/>
        </w:rPr>
        <w:t>2012-0014</w:t>
      </w:r>
      <w:r w:rsidRPr="00B63DB7">
        <w:rPr>
          <w:rStyle w:val="normaltextrun"/>
          <w:color w:val="000000"/>
          <w:sz w:val="24"/>
          <w:szCs w:val="24"/>
          <w:shd w:val="clear" w:color="auto" w:fill="FFFFFF"/>
        </w:rPr>
        <w:t>.</w:t>
      </w:r>
      <w:r w:rsidRPr="004F276E">
        <w:rPr>
          <w:rStyle w:val="normaltextrun"/>
          <w:color w:val="000000"/>
          <w:sz w:val="24"/>
          <w:szCs w:val="24"/>
          <w:shd w:val="clear" w:color="auto" w:fill="FFFFFF"/>
        </w:rPr>
        <w:t xml:space="preserve"> This notice is part of a preclearance consultation pr</w:t>
      </w:r>
      <w:r w:rsidRPr="00773169">
        <w:rPr>
          <w:rStyle w:val="normaltextrun"/>
          <w:color w:val="000000"/>
          <w:sz w:val="24"/>
          <w:szCs w:val="24"/>
          <w:shd w:val="clear" w:color="auto" w:fill="FFFFFF"/>
        </w:rPr>
        <w:t xml:space="preserve">ogram that provides interested parties the opportunity to comment on OSHA’s request for an extension by OMB of previous approval of the information collection requirements found in the above Standard. </w:t>
      </w:r>
    </w:p>
    <w:p w:rsidR="006D7104" w:rsidP="0004175D" w14:paraId="19799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color w:val="000000"/>
          <w:sz w:val="24"/>
          <w:szCs w:val="24"/>
          <w:shd w:val="clear" w:color="auto" w:fill="FFFFFF"/>
        </w:rPr>
      </w:pPr>
    </w:p>
    <w:p w:rsidR="0004175D" w:rsidRPr="0077735F" w:rsidP="0004175D" w14:paraId="04E4FF19" w14:textId="57695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323E4F" w:themeColor="text2" w:themeShade="BF"/>
          <w:sz w:val="24"/>
          <w:szCs w:val="24"/>
          <w:u w:val="single"/>
        </w:rPr>
      </w:pPr>
      <w:r w:rsidRPr="00773169">
        <w:rPr>
          <w:rStyle w:val="normaltextrun"/>
          <w:color w:val="000000"/>
          <w:sz w:val="24"/>
          <w:szCs w:val="24"/>
          <w:shd w:val="clear" w:color="auto" w:fill="FFFFFF"/>
        </w:rPr>
        <w:t xml:space="preserve">The </w:t>
      </w:r>
      <w:r w:rsidR="00311D79">
        <w:rPr>
          <w:rStyle w:val="normaltextrun"/>
          <w:color w:val="000000"/>
          <w:sz w:val="24"/>
          <w:szCs w:val="24"/>
          <w:shd w:val="clear" w:color="auto" w:fill="FFFFFF"/>
        </w:rPr>
        <w:t>a</w:t>
      </w:r>
      <w:r w:rsidRPr="00773169">
        <w:rPr>
          <w:rStyle w:val="normaltextrun"/>
          <w:color w:val="000000"/>
          <w:sz w:val="24"/>
          <w:szCs w:val="24"/>
          <w:shd w:val="clear" w:color="auto" w:fill="FFFFFF"/>
        </w:rPr>
        <w:t xml:space="preserve">gency </w:t>
      </w:r>
      <w:r w:rsidR="00677580">
        <w:rPr>
          <w:rStyle w:val="normaltextrun"/>
          <w:color w:val="000000"/>
          <w:sz w:val="24"/>
          <w:szCs w:val="24"/>
          <w:shd w:val="clear" w:color="auto" w:fill="FFFFFF"/>
        </w:rPr>
        <w:t>receive</w:t>
      </w:r>
      <w:r w:rsidR="00E7362A">
        <w:rPr>
          <w:rStyle w:val="normaltextrun"/>
          <w:color w:val="000000"/>
          <w:sz w:val="24"/>
          <w:szCs w:val="24"/>
          <w:shd w:val="clear" w:color="auto" w:fill="FFFFFF"/>
        </w:rPr>
        <w:t>d</w:t>
      </w:r>
      <w:r w:rsidR="00677580">
        <w:rPr>
          <w:rStyle w:val="normaltextrun"/>
          <w:color w:val="000000"/>
          <w:sz w:val="24"/>
          <w:szCs w:val="24"/>
          <w:shd w:val="clear" w:color="auto" w:fill="FFFFFF"/>
        </w:rPr>
        <w:t xml:space="preserve"> one </w:t>
      </w:r>
      <w:r w:rsidR="00191B1F">
        <w:rPr>
          <w:rStyle w:val="normaltextrun"/>
          <w:color w:val="000000"/>
          <w:sz w:val="24"/>
          <w:szCs w:val="24"/>
          <w:shd w:val="clear" w:color="auto" w:fill="FFFFFF"/>
        </w:rPr>
        <w:t xml:space="preserve">public </w:t>
      </w:r>
      <w:r w:rsidR="00677580">
        <w:rPr>
          <w:rStyle w:val="normaltextrun"/>
          <w:color w:val="000000"/>
          <w:sz w:val="24"/>
          <w:szCs w:val="24"/>
          <w:shd w:val="clear" w:color="auto" w:fill="FFFFFF"/>
        </w:rPr>
        <w:t xml:space="preserve">comment </w:t>
      </w:r>
      <w:r w:rsidR="006D7104">
        <w:rPr>
          <w:rStyle w:val="normaltextrun"/>
          <w:color w:val="000000"/>
          <w:sz w:val="24"/>
          <w:szCs w:val="24"/>
          <w:shd w:val="clear" w:color="auto" w:fill="FFFFFF"/>
        </w:rPr>
        <w:t xml:space="preserve">from Daniel Hafner </w:t>
      </w:r>
      <w:r w:rsidRPr="00773169">
        <w:rPr>
          <w:rStyle w:val="normaltextrun"/>
          <w:color w:val="000000"/>
          <w:sz w:val="24"/>
          <w:szCs w:val="24"/>
          <w:shd w:val="clear" w:color="auto" w:fill="FFFFFF"/>
        </w:rPr>
        <w:t>in response to this notice</w:t>
      </w:r>
      <w:r w:rsidR="00E5736C">
        <w:rPr>
          <w:rStyle w:val="normaltextrun"/>
          <w:color w:val="000000"/>
          <w:sz w:val="24"/>
          <w:szCs w:val="24"/>
          <w:shd w:val="clear" w:color="auto" w:fill="FFFFFF"/>
        </w:rPr>
        <w:t xml:space="preserve"> under docket number OSHA-</w:t>
      </w:r>
      <w:r w:rsidR="003160B5">
        <w:rPr>
          <w:rStyle w:val="normaltextrun"/>
          <w:color w:val="000000"/>
          <w:sz w:val="24"/>
          <w:szCs w:val="24"/>
          <w:shd w:val="clear" w:color="auto" w:fill="FFFFFF"/>
        </w:rPr>
        <w:t>2012-0014-0014</w:t>
      </w:r>
      <w:r w:rsidRPr="006F68E0" w:rsidR="006F68E0">
        <w:rPr>
          <w:rStyle w:val="normaltextrun"/>
          <w:color w:val="000000"/>
          <w:sz w:val="24"/>
          <w:szCs w:val="24"/>
          <w:shd w:val="clear" w:color="auto" w:fill="FFFFFF"/>
        </w:rPr>
        <w:t xml:space="preserve"> </w:t>
      </w:r>
      <w:r w:rsidR="006F68E0">
        <w:rPr>
          <w:rStyle w:val="normaltextrun"/>
          <w:color w:val="000000"/>
          <w:sz w:val="24"/>
          <w:szCs w:val="24"/>
          <w:shd w:val="clear" w:color="auto" w:fill="FFFFFF"/>
        </w:rPr>
        <w:t>on April 9, 2025</w:t>
      </w:r>
      <w:r w:rsidRPr="00773169">
        <w:rPr>
          <w:rStyle w:val="normaltextrun"/>
          <w:color w:val="000000"/>
          <w:sz w:val="24"/>
          <w:szCs w:val="24"/>
          <w:shd w:val="clear" w:color="auto" w:fill="FFFFFF"/>
        </w:rPr>
        <w:t>.</w:t>
      </w:r>
      <w:r w:rsidRPr="00773169">
        <w:rPr>
          <w:rStyle w:val="eop"/>
          <w:color w:val="000000"/>
          <w:sz w:val="24"/>
          <w:szCs w:val="24"/>
          <w:shd w:val="clear" w:color="auto" w:fill="FFFFFF"/>
        </w:rPr>
        <w:t> </w:t>
      </w:r>
      <w:r w:rsidR="0052653F">
        <w:rPr>
          <w:rStyle w:val="eop"/>
          <w:color w:val="000000"/>
          <w:sz w:val="24"/>
          <w:szCs w:val="24"/>
          <w:shd w:val="clear" w:color="auto" w:fill="FFFFFF"/>
        </w:rPr>
        <w:t>The comment</w:t>
      </w:r>
      <w:r w:rsidR="00066BC5">
        <w:rPr>
          <w:rStyle w:val="eop"/>
          <w:color w:val="000000"/>
          <w:sz w:val="24"/>
          <w:szCs w:val="24"/>
          <w:shd w:val="clear" w:color="auto" w:fill="FFFFFF"/>
        </w:rPr>
        <w:t xml:space="preserve">er stated that </w:t>
      </w:r>
      <w:r w:rsidRPr="0077735F" w:rsidR="00066BC5">
        <w:rPr>
          <w:rStyle w:val="eop"/>
          <w:color w:val="000000"/>
          <w:sz w:val="24"/>
          <w:szCs w:val="24"/>
          <w:shd w:val="clear" w:color="auto" w:fill="FFFFFF"/>
        </w:rPr>
        <w:t>“</w:t>
      </w:r>
      <w:r w:rsidRPr="0077735F" w:rsidR="007E4073">
        <w:rPr>
          <w:rStyle w:val="eop"/>
          <w:color w:val="000000"/>
          <w:sz w:val="24"/>
          <w:szCs w:val="24"/>
          <w:shd w:val="clear" w:color="auto" w:fill="FFFFFF"/>
        </w:rPr>
        <w:t>…</w:t>
      </w:r>
      <w:r w:rsidRPr="0077735F" w:rsidR="007E4073">
        <w:rPr>
          <w:color w:val="000000"/>
          <w:kern w:val="0"/>
          <w:sz w:val="24"/>
          <w:szCs w:val="24"/>
        </w:rPr>
        <w:t>lead should not be included in building material</w:t>
      </w:r>
      <w:r w:rsidRPr="0077735F" w:rsidR="0077735F">
        <w:rPr>
          <w:color w:val="000000"/>
          <w:kern w:val="0"/>
          <w:sz w:val="24"/>
          <w:szCs w:val="24"/>
        </w:rPr>
        <w:t xml:space="preserve">.” </w:t>
      </w:r>
      <w:r w:rsidR="00534037">
        <w:rPr>
          <w:color w:val="000000"/>
          <w:kern w:val="0"/>
          <w:sz w:val="24"/>
          <w:szCs w:val="24"/>
        </w:rPr>
        <w:t>OSHA</w:t>
      </w:r>
      <w:r w:rsidR="008132CD">
        <w:rPr>
          <w:color w:val="000000"/>
          <w:kern w:val="0"/>
          <w:sz w:val="24"/>
          <w:szCs w:val="24"/>
        </w:rPr>
        <w:t xml:space="preserve"> appreciates </w:t>
      </w:r>
      <w:r w:rsidR="00E7362A">
        <w:rPr>
          <w:color w:val="000000"/>
          <w:kern w:val="0"/>
          <w:sz w:val="24"/>
          <w:szCs w:val="24"/>
        </w:rPr>
        <w:t xml:space="preserve">Mr. </w:t>
      </w:r>
      <w:r w:rsidR="0028730A">
        <w:rPr>
          <w:color w:val="000000"/>
          <w:kern w:val="0"/>
          <w:sz w:val="24"/>
          <w:szCs w:val="24"/>
        </w:rPr>
        <w:t>Hafner’s interest</w:t>
      </w:r>
      <w:r w:rsidR="008132CD">
        <w:rPr>
          <w:color w:val="000000"/>
          <w:kern w:val="0"/>
          <w:sz w:val="24"/>
          <w:szCs w:val="24"/>
        </w:rPr>
        <w:t xml:space="preserve"> in the safety and welfare of </w:t>
      </w:r>
      <w:r w:rsidR="00EE0741">
        <w:rPr>
          <w:color w:val="000000"/>
          <w:kern w:val="0"/>
          <w:sz w:val="24"/>
          <w:szCs w:val="24"/>
        </w:rPr>
        <w:t>workers</w:t>
      </w:r>
      <w:r w:rsidR="00E7362A">
        <w:rPr>
          <w:color w:val="000000"/>
          <w:kern w:val="0"/>
          <w:sz w:val="24"/>
          <w:szCs w:val="24"/>
        </w:rPr>
        <w:t xml:space="preserve">, however, this notice does not address the topic of whether lead </w:t>
      </w:r>
      <w:r w:rsidR="003B39A5">
        <w:rPr>
          <w:color w:val="000000"/>
          <w:kern w:val="0"/>
          <w:sz w:val="24"/>
          <w:szCs w:val="24"/>
        </w:rPr>
        <w:t>should</w:t>
      </w:r>
      <w:r w:rsidR="00E7362A">
        <w:rPr>
          <w:color w:val="000000"/>
          <w:kern w:val="0"/>
          <w:sz w:val="24"/>
          <w:szCs w:val="24"/>
        </w:rPr>
        <w:t xml:space="preserve"> be included in building material</w:t>
      </w:r>
      <w:r w:rsidR="00D24B58">
        <w:rPr>
          <w:color w:val="000000"/>
          <w:kern w:val="0"/>
          <w:sz w:val="24"/>
          <w:szCs w:val="24"/>
        </w:rPr>
        <w:t xml:space="preserve">. </w:t>
      </w:r>
      <w:r w:rsidR="000479D7">
        <w:rPr>
          <w:sz w:val="24"/>
          <w:szCs w:val="24"/>
        </w:rPr>
        <w:t>The scope of this notice</w:t>
      </w:r>
      <w:r w:rsidR="004F2005">
        <w:rPr>
          <w:sz w:val="24"/>
          <w:szCs w:val="24"/>
        </w:rPr>
        <w:t xml:space="preserve"> is to extend </w:t>
      </w:r>
      <w:r w:rsidR="00E7362A">
        <w:rPr>
          <w:sz w:val="24"/>
          <w:szCs w:val="24"/>
        </w:rPr>
        <w:t xml:space="preserve">OMB’s approval of the information </w:t>
      </w:r>
      <w:r w:rsidR="004F2005">
        <w:rPr>
          <w:sz w:val="24"/>
          <w:szCs w:val="24"/>
        </w:rPr>
        <w:t xml:space="preserve">collection </w:t>
      </w:r>
      <w:r w:rsidR="00844439">
        <w:rPr>
          <w:sz w:val="24"/>
          <w:szCs w:val="24"/>
        </w:rPr>
        <w:t xml:space="preserve">requirements </w:t>
      </w:r>
      <w:r w:rsidR="00FD6331">
        <w:rPr>
          <w:sz w:val="24"/>
          <w:szCs w:val="24"/>
        </w:rPr>
        <w:t>contain</w:t>
      </w:r>
      <w:r w:rsidR="0064771C">
        <w:rPr>
          <w:sz w:val="24"/>
          <w:szCs w:val="24"/>
        </w:rPr>
        <w:t>ed</w:t>
      </w:r>
      <w:r w:rsidR="00FD6331">
        <w:rPr>
          <w:sz w:val="24"/>
          <w:szCs w:val="24"/>
        </w:rPr>
        <w:t xml:space="preserve"> in </w:t>
      </w:r>
      <w:r w:rsidR="00E7362A">
        <w:rPr>
          <w:sz w:val="24"/>
          <w:szCs w:val="24"/>
        </w:rPr>
        <w:t>the Lead in Construction Standard.</w:t>
      </w:r>
    </w:p>
    <w:p w:rsidR="004B73B0" w:rsidP="00B8052A" w14:paraId="0CE77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5D6BC2" w:rsidP="003A41FF" w14:paraId="3E066551" w14:textId="79412F52">
      <w:pPr>
        <w:widowControl/>
        <w:overflowPunct/>
        <w:autoSpaceDE/>
        <w:autoSpaceDN/>
        <w:adjustRightInd/>
        <w:ind w:left="720" w:hanging="720"/>
        <w:rPr>
          <w:b/>
          <w:bCs/>
          <w:sz w:val="24"/>
          <w:szCs w:val="24"/>
        </w:rPr>
      </w:pPr>
      <w:r w:rsidRPr="005D6BC2">
        <w:rPr>
          <w:b/>
          <w:bCs/>
          <w:sz w:val="24"/>
          <w:szCs w:val="24"/>
        </w:rPr>
        <w:t xml:space="preserve">9.  </w:t>
      </w:r>
      <w:r w:rsidRPr="005D6BC2">
        <w:rPr>
          <w:b/>
          <w:bCs/>
          <w:sz w:val="24"/>
          <w:szCs w:val="24"/>
        </w:rPr>
        <w:tab/>
        <w:t>Explain any decision to provide any payment or gif</w:t>
      </w:r>
      <w:r w:rsidRPr="005D6BC2" w:rsidR="00151194">
        <w:rPr>
          <w:b/>
          <w:bCs/>
          <w:sz w:val="24"/>
          <w:szCs w:val="24"/>
        </w:rPr>
        <w:t>t to respondents, other than rem</w:t>
      </w:r>
      <w:r w:rsidRPr="005D6BC2">
        <w:rPr>
          <w:b/>
          <w:bCs/>
          <w:sz w:val="24"/>
          <w:szCs w:val="24"/>
        </w:rPr>
        <w:t>u</w:t>
      </w:r>
      <w:r w:rsidRPr="005D6BC2" w:rsidR="00151194">
        <w:rPr>
          <w:b/>
          <w:bCs/>
          <w:sz w:val="24"/>
          <w:szCs w:val="24"/>
        </w:rPr>
        <w:t>n</w:t>
      </w:r>
      <w:r w:rsidRPr="005D6BC2">
        <w:rPr>
          <w:b/>
          <w:bCs/>
          <w:sz w:val="24"/>
          <w:szCs w:val="24"/>
        </w:rPr>
        <w:t>eration of contractors or grantees.</w:t>
      </w:r>
    </w:p>
    <w:p w:rsidR="00856664" w:rsidRPr="00813187" w:rsidP="00856664" w14:paraId="1669A9E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6EA87FE0" w14:textId="0BBE953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F606D5">
        <w:rPr>
          <w:sz w:val="24"/>
          <w:szCs w:val="24"/>
        </w:rPr>
        <w:t>a</w:t>
      </w:r>
      <w:r w:rsidRPr="00772FE4">
        <w:rPr>
          <w:sz w:val="24"/>
          <w:szCs w:val="24"/>
        </w:rPr>
        <w:t xml:space="preserve">gency will </w:t>
      </w:r>
      <w:r w:rsidRPr="00772FE4">
        <w:rPr>
          <w:sz w:val="24"/>
          <w:szCs w:val="24"/>
          <w:u w:val="single"/>
        </w:rPr>
        <w:t>not</w:t>
      </w:r>
      <w:r w:rsidRPr="00772FE4">
        <w:rPr>
          <w:sz w:val="24"/>
          <w:szCs w:val="24"/>
        </w:rPr>
        <w:t xml:space="preserve"> provide payments or gifts to the respondents.</w:t>
      </w:r>
    </w:p>
    <w:p w:rsidR="00856664" w:rsidP="00856664" w14:paraId="513E969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813187" w:rsidP="00856664" w14:paraId="6924973E" w14:textId="77777777">
      <w:pPr>
        <w:shd w:val="solid" w:color="FFFFFF" w:fill="FFFFFF"/>
        <w:ind w:left="720" w:hanging="720"/>
        <w:rPr>
          <w:b/>
          <w:bCs/>
          <w:sz w:val="24"/>
          <w:szCs w:val="24"/>
        </w:rPr>
      </w:pPr>
      <w:r w:rsidRPr="005D6BC2">
        <w:rPr>
          <w:b/>
          <w:bCs/>
          <w:sz w:val="24"/>
          <w:szCs w:val="24"/>
        </w:rPr>
        <w:t xml:space="preserve">10.  </w:t>
      </w:r>
      <w:r w:rsidRPr="005D6BC2">
        <w:rPr>
          <w:b/>
          <w:bCs/>
          <w:sz w:val="24"/>
          <w:szCs w:val="24"/>
        </w:rPr>
        <w:tab/>
        <w:t>Describe any assurance of confidentiality provided to respondents and the basis for the assurance in statute, regulation, or agency policy.</w:t>
      </w:r>
    </w:p>
    <w:p w:rsidR="00856664" w:rsidP="009228A6" w14:paraId="3BCB04AF" w14:textId="53D1E8B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228A6" w:rsidRPr="009228A6" w:rsidP="009228A6" w14:paraId="34E146F1" w14:textId="5338D16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5" w:name="_Hlk97829593"/>
      <w:r w:rsidRPr="009228A6">
        <w:rPr>
          <w:sz w:val="24"/>
          <w:szCs w:val="24"/>
        </w:rPr>
        <w:t>Since employee medical records contain information that may be considered private, OSHA has taken steps to ensure that the data are kept private to the extent allowed by la</w:t>
      </w:r>
      <w:r w:rsidR="00572D96">
        <w:rPr>
          <w:sz w:val="24"/>
          <w:szCs w:val="24"/>
        </w:rPr>
        <w:t xml:space="preserve">w.  </w:t>
      </w:r>
      <w:r w:rsidRPr="009228A6">
        <w:rPr>
          <w:sz w:val="24"/>
          <w:szCs w:val="24"/>
        </w:rPr>
        <w:t>Rules of Agency practice and procedure governing OSHA access to worker medical records a</w:t>
      </w:r>
      <w:r w:rsidR="00572D96">
        <w:rPr>
          <w:sz w:val="24"/>
          <w:szCs w:val="24"/>
        </w:rPr>
        <w:t xml:space="preserve">re contained in 29 CFR 1913.10. </w:t>
      </w:r>
      <w:r w:rsidRPr="009228A6">
        <w:rPr>
          <w:sz w:val="24"/>
          <w:szCs w:val="24"/>
        </w:rPr>
        <w:t xml:space="preserve"> The legal authority for these procedural regulations is found in sections 8(c)(1) </w:t>
      </w:r>
      <w:r w:rsidR="00134164">
        <w:rPr>
          <w:sz w:val="24"/>
          <w:szCs w:val="24"/>
        </w:rPr>
        <w:t xml:space="preserve"> </w:t>
      </w:r>
      <w:r w:rsidRPr="009228A6">
        <w:rPr>
          <w:sz w:val="24"/>
          <w:szCs w:val="24"/>
        </w:rPr>
        <w:t>and 8(g)(2) of the Occupational Safety and Health, 29 U.S.C. 657; in section (e) of the Privacy Act, 5 U.S.C. 552a(e); in 29 CFR P</w:t>
      </w:r>
      <w:r w:rsidR="00572D96">
        <w:rPr>
          <w:sz w:val="24"/>
          <w:szCs w:val="24"/>
        </w:rPr>
        <w:t>art 70a; and in 5 U.S.C. 301.</w:t>
      </w:r>
    </w:p>
    <w:bookmarkEnd w:id="5"/>
    <w:p w:rsidR="009228A6" w:rsidP="00856664" w14:paraId="3034B3B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5D6BC2" w:rsidP="00856664" w14:paraId="58761ED0" w14:textId="1D7E0822">
      <w:pPr>
        <w:shd w:val="solid" w:color="FFFFFF" w:fill="FFFFFF"/>
        <w:ind w:left="720" w:hanging="720"/>
        <w:rPr>
          <w:sz w:val="24"/>
          <w:szCs w:val="24"/>
        </w:rPr>
      </w:pPr>
      <w:r w:rsidRPr="005D6BC2">
        <w:rPr>
          <w:b/>
          <w:bCs/>
          <w:sz w:val="24"/>
          <w:szCs w:val="24"/>
        </w:rPr>
        <w:t xml:space="preserve">11.  </w:t>
      </w:r>
      <w:r w:rsidRPr="005D6BC2">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5D6BC2" w:rsidR="002B59FB">
        <w:rPr>
          <w:b/>
          <w:bCs/>
          <w:sz w:val="24"/>
          <w:szCs w:val="24"/>
        </w:rPr>
        <w:t>given</w:t>
      </w:r>
      <w:r w:rsidRPr="005D6BC2">
        <w:rPr>
          <w:b/>
          <w:bCs/>
          <w:sz w:val="24"/>
          <w:szCs w:val="24"/>
        </w:rPr>
        <w:t xml:space="preserve"> to persons from whom the information is requested, and any steps to be taken to obtain their consent</w:t>
      </w:r>
      <w:r w:rsidRPr="005D6BC2">
        <w:rPr>
          <w:sz w:val="24"/>
          <w:szCs w:val="24"/>
        </w:rPr>
        <w:t>.</w:t>
      </w:r>
    </w:p>
    <w:p w:rsidR="00856664" w:rsidRPr="00813187" w:rsidP="00856664" w14:paraId="4688EFD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RPr="00772FE4" w:rsidP="00856664" w14:paraId="0E653877" w14:textId="76F7D5E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72FE4">
        <w:rPr>
          <w:sz w:val="24"/>
          <w:szCs w:val="24"/>
        </w:rPr>
        <w:t>The paperwork requirements specified by the Standard do</w:t>
      </w:r>
      <w:r w:rsidRPr="00772FE4">
        <w:rPr>
          <w:sz w:val="24"/>
          <w:szCs w:val="24"/>
          <w:u w:val="single"/>
        </w:rPr>
        <w:t xml:space="preserve"> not</w:t>
      </w:r>
      <w:r w:rsidRPr="00772FE4">
        <w:rPr>
          <w:sz w:val="24"/>
          <w:szCs w:val="24"/>
        </w:rPr>
        <w:t xml:space="preserve"> require </w:t>
      </w:r>
      <w:r w:rsidR="0000521C">
        <w:rPr>
          <w:sz w:val="24"/>
          <w:szCs w:val="24"/>
        </w:rPr>
        <w:t xml:space="preserve">the </w:t>
      </w:r>
      <w:r w:rsidRPr="00772FE4">
        <w:rPr>
          <w:sz w:val="24"/>
          <w:szCs w:val="24"/>
        </w:rPr>
        <w:t>collection of sensitive information.</w:t>
      </w:r>
    </w:p>
    <w:p w:rsidR="00553E3D" w14:paraId="5C33D34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53E3D" w:rsidRPr="005D6BC2" w:rsidP="00553E3D" w14:paraId="4B3DC893" w14:textId="77777777">
      <w:pPr>
        <w:shd w:val="solid" w:color="FFFFFF" w:fill="FFFFFF"/>
        <w:ind w:left="720" w:hanging="720"/>
        <w:rPr>
          <w:sz w:val="24"/>
          <w:szCs w:val="24"/>
        </w:rPr>
      </w:pPr>
      <w:r w:rsidRPr="005D6BC2">
        <w:rPr>
          <w:b/>
          <w:bCs/>
          <w:sz w:val="24"/>
          <w:szCs w:val="24"/>
        </w:rPr>
        <w:t xml:space="preserve">12.  </w:t>
      </w:r>
      <w:r w:rsidRPr="005D6BC2">
        <w:rPr>
          <w:b/>
          <w:bCs/>
          <w:sz w:val="24"/>
          <w:szCs w:val="24"/>
        </w:rPr>
        <w:tab/>
        <w:t>Provide estimates of the hour burden of the collection of information.  The statement should:</w:t>
      </w:r>
    </w:p>
    <w:p w:rsidR="00553E3D" w:rsidRPr="005D6BC2" w14:paraId="1C44919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Pr="005D6BC2" w:rsidP="00553E3D" w14:paraId="0D90F2D8" w14:textId="77777777">
      <w:pPr>
        <w:shd w:val="solid" w:color="FFFFFF" w:fill="FFFFFF"/>
        <w:ind w:left="1080"/>
        <w:rPr>
          <w:b/>
          <w:bCs/>
          <w:sz w:val="24"/>
          <w:szCs w:val="24"/>
        </w:rPr>
      </w:pPr>
      <w:r w:rsidRPr="005D6BC2">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53E3D" w:rsidRPr="005D6BC2" w14:paraId="0CC0FE6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Pr="005D6BC2" w:rsidP="00553E3D" w14:paraId="62ED2051" w14:textId="5983BC73">
      <w:pPr>
        <w:shd w:val="solid" w:color="FFFFFF" w:fill="FFFFFF"/>
        <w:ind w:left="1080" w:hanging="720"/>
        <w:rPr>
          <w:sz w:val="24"/>
          <w:szCs w:val="24"/>
        </w:rPr>
      </w:pPr>
      <w:r w:rsidRPr="005D6BC2">
        <w:rPr>
          <w:b/>
          <w:bCs/>
          <w:sz w:val="24"/>
          <w:szCs w:val="24"/>
        </w:rPr>
        <w:tab/>
        <w:t>If this request for approval covers more than one form, provide separate hour burden estimates for each form and aggregate the hour burdens in Item 13.</w:t>
      </w:r>
    </w:p>
    <w:p w:rsidR="00553E3D" w:rsidRPr="005D6BC2" w14:paraId="3DFDAE4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Pr="00813187" w:rsidP="00553E3D" w14:paraId="48138E05" w14:textId="070ABB66">
      <w:pPr>
        <w:shd w:val="solid" w:color="FFFFFF" w:fill="FFFFFF"/>
        <w:ind w:left="1080" w:hanging="360"/>
        <w:rPr>
          <w:sz w:val="24"/>
          <w:szCs w:val="24"/>
        </w:rPr>
      </w:pPr>
      <w:r w:rsidRPr="00813187">
        <w:rPr>
          <w:sz w:val="24"/>
          <w:szCs w:val="24"/>
        </w:rPr>
        <w:tab/>
      </w:r>
      <w:r w:rsidRPr="005D6BC2">
        <w:rPr>
          <w:b/>
          <w:bCs/>
          <w:sz w:val="24"/>
          <w:szCs w:val="24"/>
        </w:rPr>
        <w:t xml:space="preserve">Provide estimates of annualized cost to respondents for the hour burdens for collection of information, identifying and using appropriate wage rate categories.  The cost of </w:t>
      </w:r>
      <w:r w:rsidRPr="005D6BC2" w:rsidR="00534B69">
        <w:rPr>
          <w:b/>
          <w:bCs/>
          <w:sz w:val="24"/>
          <w:szCs w:val="24"/>
        </w:rPr>
        <w:t>c</w:t>
      </w:r>
      <w:r w:rsidRPr="005D6BC2">
        <w:rPr>
          <w:b/>
          <w:bCs/>
          <w:sz w:val="24"/>
          <w:szCs w:val="24"/>
        </w:rPr>
        <w:t>ontracting out or paying outside parties for information collection activities should not be included here.  Instead, this cost should be included in Item 1</w:t>
      </w:r>
      <w:r w:rsidR="00736DD6">
        <w:rPr>
          <w:b/>
          <w:bCs/>
          <w:sz w:val="24"/>
          <w:szCs w:val="24"/>
        </w:rPr>
        <w:t>3</w:t>
      </w:r>
      <w:r w:rsidRPr="005D6BC2">
        <w:rPr>
          <w:b/>
          <w:bCs/>
          <w:sz w:val="24"/>
          <w:szCs w:val="24"/>
        </w:rPr>
        <w:t>.</w:t>
      </w:r>
    </w:p>
    <w:p w:rsidR="00553E3D" w14:paraId="313C207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36DD6" w:rsidRPr="00D4616A" w:rsidP="00736DD6" w14:paraId="1779FA34" w14:textId="77777777">
      <w:pPr>
        <w:rPr>
          <w:b/>
          <w:sz w:val="24"/>
          <w:szCs w:val="24"/>
        </w:rPr>
      </w:pPr>
      <w:r w:rsidRPr="00D4616A">
        <w:rPr>
          <w:b/>
          <w:sz w:val="24"/>
          <w:szCs w:val="24"/>
        </w:rPr>
        <w:t>Respondent Burden Hour and Cost Burden Determinations</w:t>
      </w:r>
    </w:p>
    <w:p w:rsidR="00736DD6" w:rsidRPr="00AC653E" w:rsidP="00736DD6" w14:paraId="3D804859" w14:textId="77777777">
      <w:pPr>
        <w:tabs>
          <w:tab w:val="left" w:pos="-1440"/>
        </w:tabs>
        <w:rPr>
          <w:sz w:val="24"/>
          <w:szCs w:val="24"/>
        </w:rPr>
      </w:pPr>
    </w:p>
    <w:p w:rsidR="00553E3D" w:rsidRPr="00772FE4" w14:paraId="5B89D0B8" w14:textId="511844B1">
      <w:pPr>
        <w:shd w:val="solid" w:color="FFFFFF" w:fill="FFFFFF"/>
        <w:rPr>
          <w:sz w:val="24"/>
          <w:szCs w:val="24"/>
        </w:rPr>
      </w:pPr>
      <w:r w:rsidRPr="00772FE4">
        <w:rPr>
          <w:sz w:val="24"/>
          <w:szCs w:val="24"/>
        </w:rPr>
        <w:t xml:space="preserve">As stated in the 1997 Information Collection Request, the development of the industry profile of affected establishments and workers began with estimates of the types and numbers of construction projects involving exposure to lead, in conjunction with a characterization of each type of project. </w:t>
      </w:r>
      <w:r w:rsidR="00572D96">
        <w:rPr>
          <w:sz w:val="24"/>
          <w:szCs w:val="24"/>
        </w:rPr>
        <w:t xml:space="preserve"> </w:t>
      </w:r>
      <w:r w:rsidRPr="00772FE4">
        <w:rPr>
          <w:sz w:val="24"/>
          <w:szCs w:val="24"/>
        </w:rPr>
        <w:t>This characterization included the different types of activities that were performed on each project where lead exposure could occur, as well as estimates of the average number of crews (and crew sizes) needed to perform each activity for each type of project and the average duration of each activity for each type of project.</w:t>
      </w:r>
    </w:p>
    <w:p w:rsidR="00CB3B53" w14:paraId="244184D1" w14:textId="0CB5DFFB">
      <w:pPr>
        <w:widowControl/>
        <w:overflowPunct/>
        <w:autoSpaceDE/>
        <w:autoSpaceDN/>
        <w:adjustRightInd/>
        <w:rPr>
          <w:sz w:val="24"/>
          <w:szCs w:val="24"/>
        </w:rPr>
      </w:pPr>
    </w:p>
    <w:p w:rsidR="00517E2C" w:rsidRPr="00B63DB7" w14:paraId="191C57E8" w14:textId="14F30949">
      <w:pPr>
        <w:shd w:val="solid" w:color="FFFFFF" w:fill="FFFFFF"/>
        <w:rPr>
          <w:sz w:val="24"/>
          <w:szCs w:val="24"/>
        </w:rPr>
      </w:pPr>
      <w:r w:rsidRPr="00772FE4">
        <w:rPr>
          <w:sz w:val="24"/>
          <w:szCs w:val="24"/>
        </w:rPr>
        <w:t>The identification of the different</w:t>
      </w:r>
      <w:r w:rsidRPr="00772FE4">
        <w:rPr>
          <w:b/>
          <w:bCs/>
          <w:sz w:val="24"/>
          <w:szCs w:val="24"/>
        </w:rPr>
        <w:t xml:space="preserve"> </w:t>
      </w:r>
      <w:r w:rsidRPr="00772FE4">
        <w:rPr>
          <w:i/>
          <w:iCs/>
          <w:sz w:val="24"/>
          <w:szCs w:val="24"/>
        </w:rPr>
        <w:t>types</w:t>
      </w:r>
      <w:r w:rsidRPr="00772FE4">
        <w:rPr>
          <w:sz w:val="24"/>
          <w:szCs w:val="24"/>
        </w:rPr>
        <w:t xml:space="preserve"> of construction projects (and individual activities within each project type) involving exposure to lead was based on a review of the occupational health </w:t>
      </w:r>
      <w:r w:rsidRPr="00772FE4">
        <w:rPr>
          <w:sz w:val="24"/>
          <w:szCs w:val="24"/>
        </w:rPr>
        <w:t>literature describing where exposure to lead typically occur</w:t>
      </w:r>
      <w:r>
        <w:rPr>
          <w:sz w:val="24"/>
          <w:szCs w:val="24"/>
        </w:rPr>
        <w:t>s</w:t>
      </w:r>
      <w:r w:rsidRPr="00B63DB7">
        <w:rPr>
          <w:sz w:val="24"/>
          <w:szCs w:val="24"/>
        </w:rPr>
        <w:t xml:space="preserve">. </w:t>
      </w:r>
      <w:r w:rsidRPr="00B63DB7" w:rsidR="00572D96">
        <w:rPr>
          <w:sz w:val="24"/>
          <w:szCs w:val="24"/>
        </w:rPr>
        <w:t xml:space="preserve"> </w:t>
      </w:r>
      <w:r w:rsidRPr="00B63DB7">
        <w:rPr>
          <w:sz w:val="24"/>
          <w:szCs w:val="24"/>
        </w:rPr>
        <w:t xml:space="preserve">This was augmented and refined by conversations with industry and labor experts and the information gained from the 25 site visits performed by OSHA’s contractor CONSAD in its support work for OSHA. </w:t>
      </w:r>
      <w:r w:rsidRPr="00B63DB7" w:rsidR="00572D96">
        <w:rPr>
          <w:sz w:val="24"/>
          <w:szCs w:val="24"/>
        </w:rPr>
        <w:t xml:space="preserve"> </w:t>
      </w:r>
      <w:r w:rsidRPr="00B63DB7">
        <w:rPr>
          <w:sz w:val="24"/>
          <w:szCs w:val="24"/>
        </w:rPr>
        <w:t xml:space="preserve">The </w:t>
      </w:r>
      <w:r w:rsidRPr="00B63DB7">
        <w:rPr>
          <w:i/>
          <w:iCs/>
          <w:sz w:val="24"/>
          <w:szCs w:val="24"/>
        </w:rPr>
        <w:t>number</w:t>
      </w:r>
      <w:r w:rsidRPr="00B63DB7">
        <w:rPr>
          <w:sz w:val="24"/>
          <w:szCs w:val="24"/>
        </w:rPr>
        <w:t xml:space="preserve"> of different projects performed each year was generally based </w:t>
      </w:r>
      <w:r w:rsidRPr="00B63DB7" w:rsidR="0076488C">
        <w:rPr>
          <w:sz w:val="24"/>
          <w:szCs w:val="24"/>
        </w:rPr>
        <w:t>on</w:t>
      </w:r>
      <w:r w:rsidRPr="00B63DB7">
        <w:rPr>
          <w:sz w:val="24"/>
          <w:szCs w:val="24"/>
        </w:rPr>
        <w:t xml:space="preserve"> an inventory of the particular type of construction projects performed (e.g., the number of highway bridges in the U.S.); and the frequency with which each particular type of project had to be redone (</w:t>
      </w:r>
      <w:r w:rsidRPr="00B63DB7" w:rsidR="002B59FB">
        <w:rPr>
          <w:sz w:val="24"/>
          <w:szCs w:val="24"/>
        </w:rPr>
        <w:t>e.g.,</w:t>
      </w:r>
      <w:r w:rsidRPr="00B63DB7">
        <w:rPr>
          <w:sz w:val="24"/>
          <w:szCs w:val="24"/>
        </w:rPr>
        <w:t xml:space="preserve"> how often a </w:t>
      </w:r>
    </w:p>
    <w:p w:rsidR="0020767B" w:rsidRPr="00B63DB7" w14:paraId="70E361A1" w14:textId="2B1023A7">
      <w:pPr>
        <w:shd w:val="solid" w:color="FFFFFF" w:fill="FFFFFF"/>
        <w:rPr>
          <w:sz w:val="24"/>
          <w:szCs w:val="24"/>
        </w:rPr>
      </w:pPr>
      <w:r w:rsidRPr="00B63DB7">
        <w:rPr>
          <w:sz w:val="24"/>
          <w:szCs w:val="24"/>
        </w:rPr>
        <w:t xml:space="preserve">highway bridge had to be repainted and rehabilitated); or some estimate of the number of projects performed each year. </w:t>
      </w:r>
      <w:r w:rsidRPr="00B63DB7" w:rsidR="00572D96">
        <w:rPr>
          <w:sz w:val="24"/>
          <w:szCs w:val="24"/>
        </w:rPr>
        <w:t xml:space="preserve"> </w:t>
      </w:r>
      <w:r w:rsidRPr="00B63DB7">
        <w:rPr>
          <w:sz w:val="24"/>
          <w:szCs w:val="24"/>
        </w:rPr>
        <w:t xml:space="preserve">In most cases, these data suggest that the frequency of performing work on the same structure is once every 10-20 years or that the number of projects performed annually (compared to the total number that need to be performed) is such that at least a 10 </w:t>
      </w:r>
      <w:r w:rsidR="00C73152">
        <w:rPr>
          <w:sz w:val="24"/>
          <w:szCs w:val="24"/>
        </w:rPr>
        <w:t>–</w:t>
      </w:r>
      <w:r w:rsidRPr="00B63DB7">
        <w:rPr>
          <w:sz w:val="24"/>
          <w:szCs w:val="24"/>
        </w:rPr>
        <w:t xml:space="preserve"> 20</w:t>
      </w:r>
      <w:r w:rsidR="00C73152">
        <w:rPr>
          <w:sz w:val="24"/>
          <w:szCs w:val="24"/>
        </w:rPr>
        <w:t xml:space="preserve"> </w:t>
      </w:r>
      <w:r w:rsidRPr="00B63DB7">
        <w:rPr>
          <w:sz w:val="24"/>
          <w:szCs w:val="24"/>
        </w:rPr>
        <w:t xml:space="preserve">year life expectancy is implied. </w:t>
      </w:r>
      <w:r w:rsidRPr="00B63DB7" w:rsidR="00572D96">
        <w:rPr>
          <w:sz w:val="24"/>
          <w:szCs w:val="24"/>
        </w:rPr>
        <w:t xml:space="preserve"> </w:t>
      </w:r>
      <w:r w:rsidR="00C5112E">
        <w:rPr>
          <w:sz w:val="24"/>
          <w:szCs w:val="24"/>
        </w:rPr>
        <w:t>To estimate</w:t>
      </w:r>
      <w:r w:rsidRPr="00B63DB7">
        <w:rPr>
          <w:sz w:val="24"/>
          <w:szCs w:val="24"/>
        </w:rPr>
        <w:t xml:space="preserve"> the types and number of projects performed annually, the </w:t>
      </w:r>
      <w:r w:rsidRPr="00B63DB7" w:rsidR="00F606D5">
        <w:rPr>
          <w:sz w:val="24"/>
          <w:szCs w:val="24"/>
        </w:rPr>
        <w:t>a</w:t>
      </w:r>
      <w:r w:rsidRPr="00B63DB7">
        <w:rPr>
          <w:sz w:val="24"/>
          <w:szCs w:val="24"/>
        </w:rPr>
        <w:t xml:space="preserve">gency has retained the original formulas for estimation from the </w:t>
      </w:r>
    </w:p>
    <w:p w:rsidR="00553E3D" w:rsidRPr="00772FE4" w14:paraId="482C6587" w14:textId="79EC14B5">
      <w:pPr>
        <w:shd w:val="solid" w:color="FFFFFF" w:fill="FFFFFF"/>
        <w:rPr>
          <w:sz w:val="24"/>
          <w:szCs w:val="24"/>
        </w:rPr>
      </w:pPr>
      <w:r w:rsidRPr="00B63DB7">
        <w:rPr>
          <w:sz w:val="24"/>
          <w:szCs w:val="24"/>
        </w:rPr>
        <w:t>previous ICR while providing updated statistics and work-practice information wherever possible.</w:t>
      </w:r>
    </w:p>
    <w:p w:rsidR="00553E3D" w:rsidRPr="00772FE4" w14:paraId="6A3FD04B" w14:textId="77777777">
      <w:pPr>
        <w:shd w:val="solid" w:color="FFFFFF" w:fill="FFFFFF"/>
        <w:rPr>
          <w:sz w:val="24"/>
          <w:szCs w:val="24"/>
        </w:rPr>
      </w:pPr>
    </w:p>
    <w:p w:rsidR="003E4A27" w:rsidP="003E4A27" w14:paraId="289201F7" w14:textId="24830445">
      <w:pPr>
        <w:shd w:val="solid" w:color="FFFFFF" w:fill="FFFFFF"/>
        <w:rPr>
          <w:sz w:val="24"/>
          <w:szCs w:val="24"/>
        </w:rPr>
      </w:pPr>
      <w:r w:rsidRPr="00772FE4">
        <w:rPr>
          <w:sz w:val="24"/>
          <w:szCs w:val="24"/>
        </w:rPr>
        <w:t xml:space="preserve">Lead exposure is most common among construction project types </w:t>
      </w:r>
      <w:r>
        <w:rPr>
          <w:sz w:val="24"/>
          <w:szCs w:val="24"/>
        </w:rPr>
        <w:t xml:space="preserve">and involves the disturbance of existing lead or lead-containing materials during additions, alterations, reconstruction, </w:t>
      </w:r>
    </w:p>
    <w:p w:rsidR="00553E3D" w:rsidRPr="00772FE4" w:rsidP="003E4A27" w14:paraId="2D26CECC" w14:textId="04622A50">
      <w:pPr>
        <w:shd w:val="solid" w:color="FFFFFF" w:fill="FFFFFF"/>
        <w:rPr>
          <w:sz w:val="24"/>
          <w:szCs w:val="24"/>
        </w:rPr>
      </w:pPr>
      <w:r>
        <w:rPr>
          <w:sz w:val="24"/>
          <w:szCs w:val="24"/>
        </w:rPr>
        <w:t>demolition, repairs,</w:t>
      </w:r>
      <w:r w:rsidRPr="00772FE4">
        <w:rPr>
          <w:sz w:val="24"/>
          <w:szCs w:val="24"/>
        </w:rPr>
        <w:t xml:space="preserve"> and maintenance. </w:t>
      </w:r>
      <w:r w:rsidR="00572D96">
        <w:rPr>
          <w:sz w:val="24"/>
          <w:szCs w:val="24"/>
        </w:rPr>
        <w:t xml:space="preserve"> </w:t>
      </w:r>
      <w:r w:rsidRPr="00772FE4">
        <w:rPr>
          <w:sz w:val="24"/>
          <w:szCs w:val="24"/>
        </w:rPr>
        <w:t xml:space="preserve">Some examples of potential sources of exposure in these project types include lead-based paint and paint dust, lead pipes, leaded solder, the leaded support rods in stained glass windows, and some mineral wool insulation. </w:t>
      </w:r>
      <w:r w:rsidR="00572D96">
        <w:rPr>
          <w:sz w:val="24"/>
          <w:szCs w:val="24"/>
        </w:rPr>
        <w:t xml:space="preserve"> </w:t>
      </w:r>
      <w:r w:rsidRPr="00772FE4">
        <w:rPr>
          <w:sz w:val="24"/>
          <w:szCs w:val="24"/>
        </w:rPr>
        <w:t xml:space="preserve">In contrast, project types involving exposure to lead during new construction are comparatively rare. </w:t>
      </w:r>
      <w:r w:rsidR="00572D96">
        <w:rPr>
          <w:sz w:val="24"/>
          <w:szCs w:val="24"/>
        </w:rPr>
        <w:t xml:space="preserve"> </w:t>
      </w:r>
      <w:r w:rsidRPr="00772FE4">
        <w:rPr>
          <w:sz w:val="24"/>
          <w:szCs w:val="24"/>
        </w:rPr>
        <w:t>This is in part due to government regulations that have banned residential use of once common lead-containing construction materials such as lead-based paints and lead solder.</w:t>
      </w:r>
      <w:r w:rsidR="00572D96">
        <w:rPr>
          <w:sz w:val="24"/>
          <w:szCs w:val="24"/>
        </w:rPr>
        <w:t xml:space="preserve">  </w:t>
      </w:r>
      <w:r w:rsidRPr="00772FE4">
        <w:rPr>
          <w:sz w:val="24"/>
          <w:szCs w:val="24"/>
        </w:rPr>
        <w:t xml:space="preserve">In most new construction projects involving lead use, lead and lead-containing materials are used in limited quantities for specialized applications. </w:t>
      </w:r>
      <w:r w:rsidR="00572D96">
        <w:rPr>
          <w:sz w:val="24"/>
          <w:szCs w:val="24"/>
        </w:rPr>
        <w:t xml:space="preserve"> </w:t>
      </w:r>
      <w:r w:rsidRPr="00772FE4">
        <w:rPr>
          <w:sz w:val="24"/>
          <w:szCs w:val="24"/>
        </w:rPr>
        <w:t>Examples include the use of lead foil sheet in the walls of hospital x-ray suites.</w:t>
      </w:r>
    </w:p>
    <w:p w:rsidR="00553E3D" w:rsidRPr="00772FE4" w14:paraId="44D8441F" w14:textId="77777777">
      <w:pPr>
        <w:shd w:val="solid" w:color="FFFFFF" w:fill="FFFFFF"/>
        <w:rPr>
          <w:sz w:val="24"/>
          <w:szCs w:val="24"/>
        </w:rPr>
      </w:pPr>
    </w:p>
    <w:p w:rsidR="00553E3D" w:rsidRPr="00B63DB7" w14:paraId="37BA3533" w14:textId="67C226F5">
      <w:pPr>
        <w:shd w:val="solid" w:color="FFFFFF" w:fill="FFFFFF"/>
        <w:rPr>
          <w:sz w:val="24"/>
          <w:szCs w:val="24"/>
        </w:rPr>
      </w:pPr>
      <w:r w:rsidRPr="00B63DB7">
        <w:rPr>
          <w:sz w:val="24"/>
          <w:szCs w:val="24"/>
        </w:rPr>
        <w:t>The burden hour and cost estimates presented below are calculated based on the number of affected firms, workers, and lead-exposed projects as classified by the type of construction projects involving lead exposure (e.g., Highway and Railroad Bridge Repainting, Stained Glass Window Removal, and Electrical Cable Splicing).</w:t>
      </w:r>
      <w:r w:rsidRPr="00B63DB7" w:rsidR="00572D96">
        <w:rPr>
          <w:sz w:val="24"/>
          <w:szCs w:val="24"/>
        </w:rPr>
        <w:t xml:space="preserve"> </w:t>
      </w:r>
      <w:r w:rsidRPr="00B63DB7">
        <w:rPr>
          <w:sz w:val="24"/>
          <w:szCs w:val="24"/>
        </w:rPr>
        <w:t xml:space="preserve"> Based on estimates and analysis contained in the Regulatory Impact Analysis</w:t>
      </w:r>
      <w:r>
        <w:rPr>
          <w:sz w:val="24"/>
          <w:szCs w:val="24"/>
          <w:vertAlign w:val="superscript"/>
        </w:rPr>
        <w:footnoteReference w:id="9"/>
      </w:r>
      <w:r w:rsidRPr="00B63DB7">
        <w:rPr>
          <w:sz w:val="24"/>
          <w:szCs w:val="24"/>
        </w:rPr>
        <w:t xml:space="preserve"> and updated data</w:t>
      </w:r>
      <w:r w:rsidRPr="00B63DB7" w:rsidR="002B59FB">
        <w:rPr>
          <w:sz w:val="24"/>
          <w:szCs w:val="24"/>
        </w:rPr>
        <w:t>,</w:t>
      </w:r>
      <w:r w:rsidRPr="00B63DB7">
        <w:rPr>
          <w:sz w:val="24"/>
          <w:szCs w:val="24"/>
        </w:rPr>
        <w:t xml:space="preserve"> where available, the </w:t>
      </w:r>
      <w:r w:rsidRPr="00B63DB7" w:rsidR="00F606D5">
        <w:rPr>
          <w:sz w:val="24"/>
          <w:szCs w:val="24"/>
        </w:rPr>
        <w:t>a</w:t>
      </w:r>
      <w:r w:rsidRPr="00B63DB7">
        <w:rPr>
          <w:sz w:val="24"/>
          <w:szCs w:val="24"/>
        </w:rPr>
        <w:t>gency estimates that approximately</w:t>
      </w:r>
      <w:bookmarkStart w:id="6" w:name="OLE_LINK1"/>
      <w:bookmarkStart w:id="7" w:name="OLE_LINK2"/>
      <w:r w:rsidRPr="00B63DB7">
        <w:rPr>
          <w:sz w:val="24"/>
          <w:szCs w:val="24"/>
        </w:rPr>
        <w:t xml:space="preserve"> </w:t>
      </w:r>
      <w:bookmarkEnd w:id="6"/>
      <w:bookmarkEnd w:id="7"/>
      <w:r w:rsidRPr="00B63DB7" w:rsidR="00C5112E">
        <w:rPr>
          <w:sz w:val="24"/>
          <w:szCs w:val="24"/>
        </w:rPr>
        <w:t>175,399 firms</w:t>
      </w:r>
      <w:r w:rsidRPr="00B63DB7">
        <w:rPr>
          <w:sz w:val="24"/>
          <w:szCs w:val="24"/>
        </w:rPr>
        <w:t xml:space="preserve">, </w:t>
      </w:r>
      <w:r w:rsidRPr="00B63DB7" w:rsidR="00970EB8">
        <w:rPr>
          <w:sz w:val="24"/>
          <w:szCs w:val="24"/>
        </w:rPr>
        <w:t>800,651</w:t>
      </w:r>
      <w:r w:rsidRPr="00B63DB7">
        <w:rPr>
          <w:sz w:val="24"/>
          <w:szCs w:val="24"/>
        </w:rPr>
        <w:t xml:space="preserve"> workers, and </w:t>
      </w:r>
      <w:r w:rsidRPr="00B63DB7" w:rsidR="00533EAC">
        <w:rPr>
          <w:sz w:val="24"/>
          <w:szCs w:val="24"/>
        </w:rPr>
        <w:t>3,671,805</w:t>
      </w:r>
      <w:r w:rsidRPr="00B63DB7" w:rsidR="00623142">
        <w:rPr>
          <w:sz w:val="24"/>
          <w:szCs w:val="24"/>
        </w:rPr>
        <w:t xml:space="preserve"> </w:t>
      </w:r>
      <w:r w:rsidRPr="00B63DB7">
        <w:rPr>
          <w:sz w:val="24"/>
          <w:szCs w:val="24"/>
        </w:rPr>
        <w:t>projects are affected by 29 CFR 1926.62 on an annual basis.</w:t>
      </w:r>
      <w:r>
        <w:rPr>
          <w:sz w:val="24"/>
          <w:szCs w:val="24"/>
          <w:vertAlign w:val="superscript"/>
        </w:rPr>
        <w:footnoteReference w:id="10"/>
      </w:r>
    </w:p>
    <w:p w:rsidR="00553E3D" w:rsidRPr="001E18AB" w14:paraId="7D97BA7E" w14:textId="77777777">
      <w:pPr>
        <w:shd w:val="solid" w:color="FFFFFF" w:fill="FFFFFF"/>
        <w:rPr>
          <w:sz w:val="24"/>
          <w:szCs w:val="24"/>
          <w:highlight w:val="yellow"/>
        </w:rPr>
      </w:pPr>
    </w:p>
    <w:p w:rsidR="00572C07" w:rsidRPr="00295478" w:rsidP="00716774" w14:paraId="5E06549D" w14:textId="3AF80841">
      <w:pPr>
        <w:rPr>
          <w:sz w:val="24"/>
          <w:szCs w:val="24"/>
          <w:vertAlign w:val="superscript"/>
        </w:rPr>
      </w:pPr>
      <w:r w:rsidRPr="00295478">
        <w:rPr>
          <w:sz w:val="24"/>
          <w:szCs w:val="24"/>
        </w:rPr>
        <w:t xml:space="preserve">Each of the </w:t>
      </w:r>
      <w:r w:rsidRPr="00716774">
        <w:rPr>
          <w:sz w:val="24"/>
          <w:szCs w:val="24"/>
        </w:rPr>
        <w:t>25</w:t>
      </w:r>
      <w:r w:rsidRPr="00295478">
        <w:rPr>
          <w:sz w:val="24"/>
          <w:szCs w:val="24"/>
        </w:rPr>
        <w:t xml:space="preserve"> affected project types is characterized by a set of unique assumptions about typical airborne lead exposure levels, typical project durations, the construction tasks performed, and numerous other factors entering into the calculation of the burden hours associated with compliance.</w:t>
      </w:r>
      <w:r w:rsidRPr="00295478">
        <w:rPr>
          <w:sz w:val="24"/>
          <w:szCs w:val="24"/>
          <w:vertAlign w:val="superscript"/>
        </w:rPr>
        <w:t xml:space="preserve"> </w:t>
      </w:r>
      <w:r>
        <w:rPr>
          <w:sz w:val="24"/>
          <w:szCs w:val="24"/>
          <w:vertAlign w:val="superscript"/>
        </w:rPr>
        <w:footnoteReference w:id="11"/>
      </w:r>
    </w:p>
    <w:p w:rsidR="00154D21" w:rsidRPr="00295478" w:rsidP="00716774" w14:paraId="1D27B954" w14:textId="77777777">
      <w:pPr>
        <w:rPr>
          <w:sz w:val="24"/>
          <w:szCs w:val="24"/>
        </w:rPr>
      </w:pPr>
    </w:p>
    <w:p w:rsidR="00A57090" w:rsidRPr="00772FE4" w:rsidP="00716774" w14:paraId="6F1ADD7F" w14:textId="6AE1AE8E">
      <w:pPr>
        <w:rPr>
          <w:sz w:val="24"/>
          <w:szCs w:val="24"/>
        </w:rPr>
      </w:pPr>
      <w:r w:rsidRPr="00716774">
        <w:rPr>
          <w:sz w:val="24"/>
          <w:szCs w:val="24"/>
        </w:rPr>
        <w:t xml:space="preserve">OSHA assumes that there will be a number of new firms affected by the Standard each year equivalent to 10 percent of the total number of firms affected on an annual basis.  </w:t>
      </w:r>
      <w:r w:rsidRPr="00295478">
        <w:rPr>
          <w:sz w:val="24"/>
          <w:szCs w:val="24"/>
        </w:rPr>
        <w:t xml:space="preserve">(It is necessary to </w:t>
      </w:r>
      <w:r w:rsidRPr="00295478" w:rsidR="00695A39">
        <w:rPr>
          <w:sz w:val="24"/>
          <w:szCs w:val="24"/>
        </w:rPr>
        <w:t>assume</w:t>
      </w:r>
      <w:r w:rsidRPr="00295478">
        <w:rPr>
          <w:sz w:val="24"/>
          <w:szCs w:val="24"/>
        </w:rPr>
        <w:t xml:space="preserve"> the number of new firms affected by the Standard</w:t>
      </w:r>
      <w:r w:rsidRPr="00B63DB7">
        <w:rPr>
          <w:sz w:val="24"/>
          <w:szCs w:val="24"/>
        </w:rPr>
        <w:t xml:space="preserve"> each year in order to estimate the burden associated with several one-time requirements of the Standard that existing firms would have had to comply with by the end of 1993.)  OSHA assumed, for the purposes of developing this information collection burden estimate, that all affected firms are currently in compliance with 29 CFR 1926.62.</w:t>
      </w:r>
    </w:p>
    <w:p w:rsidR="00553E3D" w:rsidP="00E25860" w14:paraId="178350DD" w14:textId="6AABDF85">
      <w:pPr>
        <w:rPr>
          <w:sz w:val="24"/>
          <w:szCs w:val="24"/>
        </w:rPr>
      </w:pPr>
    </w:p>
    <w:p w:rsidR="00553E3D" w14:paraId="71DC3D05" w14:textId="01D93A10">
      <w:pPr>
        <w:shd w:val="solid" w:color="FFFFFF" w:fill="FFFFFF"/>
        <w:ind w:left="720"/>
        <w:rPr>
          <w:sz w:val="24"/>
          <w:szCs w:val="24"/>
        </w:rPr>
      </w:pPr>
    </w:p>
    <w:p w:rsidR="00E25860" w:rsidP="00E25860" w14:paraId="485347EF" w14:textId="14A0398C">
      <w:pPr>
        <w:rPr>
          <w:b/>
          <w:sz w:val="24"/>
          <w:szCs w:val="24"/>
        </w:rPr>
      </w:pPr>
      <w:r>
        <w:rPr>
          <w:b/>
          <w:sz w:val="24"/>
          <w:szCs w:val="24"/>
        </w:rPr>
        <w:t>Wage Rates</w:t>
      </w:r>
    </w:p>
    <w:p w:rsidR="002F10BB" w:rsidP="002F10BB" w14:paraId="68C88B60" w14:textId="77777777">
      <w:pPr>
        <w:widowControl/>
        <w:tabs>
          <w:tab w:val="left" w:pos="-1440"/>
        </w:tabs>
        <w:rPr>
          <w:color w:val="000000"/>
          <w:sz w:val="24"/>
          <w:szCs w:val="24"/>
          <w:shd w:val="clear" w:color="auto" w:fill="FFFFFF"/>
        </w:rPr>
      </w:pPr>
    </w:p>
    <w:p w:rsidR="002F10BB" w:rsidRPr="00005595" w:rsidP="002F10BB" w14:paraId="4E093C97" w14:textId="557446AF">
      <w:pPr>
        <w:widowControl/>
        <w:tabs>
          <w:tab w:val="left" w:pos="-1440"/>
        </w:tabs>
        <w:rPr>
          <w:sz w:val="24"/>
          <w:szCs w:val="24"/>
        </w:rPr>
      </w:pPr>
      <w:r w:rsidRPr="00005595">
        <w:rPr>
          <w:color w:val="000000"/>
          <w:sz w:val="24"/>
          <w:szCs w:val="24"/>
          <w:shd w:val="clear" w:color="auto" w:fill="FFFFFF"/>
        </w:rPr>
        <w:t xml:space="preserve">The agency determined the wage rate from mean hourly wage earnings to represent the cost of employee time.  For the relevant standard occupational classification category, OSHA used the wage rates reported in </w:t>
      </w:r>
      <w:r w:rsidRPr="00005595">
        <w:rPr>
          <w:color w:val="000000"/>
          <w:sz w:val="24"/>
          <w:szCs w:val="24"/>
          <w:shd w:val="clear" w:color="auto" w:fill="FFFFFF"/>
        </w:rPr>
        <w:t xml:space="preserve">the </w:t>
      </w:r>
      <w:r w:rsidRPr="00005595">
        <w:rPr>
          <w:color w:val="000000"/>
          <w:sz w:val="24"/>
          <w:szCs w:val="24"/>
          <w:shd w:val="clear" w:color="auto" w:fill="FFFFFF"/>
        </w:rPr>
        <w:t xml:space="preserve">Bureau of Labor Statistics, U.S. Department of Labor, Occupational Employment Wage Statistics </w:t>
      </w:r>
      <w:r w:rsidRPr="00005595">
        <w:rPr>
          <w:color w:val="0000FF"/>
          <w:sz w:val="24"/>
          <w:szCs w:val="24"/>
          <w:u w:val="single"/>
        </w:rPr>
        <w:t>List of SOC Occupations (bls.gov)</w:t>
      </w:r>
      <w:r w:rsidRPr="00005595">
        <w:rPr>
          <w:color w:val="000000"/>
          <w:sz w:val="24"/>
          <w:szCs w:val="24"/>
          <w:shd w:val="clear" w:color="auto" w:fill="FFFFFF"/>
        </w:rPr>
        <w:t xml:space="preserve"> accessed: May 2024.  (OES data is available at</w:t>
      </w:r>
      <w:r w:rsidRPr="00005595">
        <w:rPr>
          <w:sz w:val="24"/>
          <w:szCs w:val="24"/>
        </w:rPr>
        <w:t xml:space="preserve"> SOC</w:t>
      </w:r>
      <w:r w:rsidRPr="00005595">
        <w:rPr>
          <w:color w:val="000000"/>
          <w:sz w:val="24"/>
          <w:szCs w:val="24"/>
          <w:shd w:val="clear" w:color="auto" w:fill="FFFFFF"/>
        </w:rPr>
        <w:t xml:space="preserve"> Occupations (bls.gov) To access a wage rate, select the year, “Occupation profiles,” and the Standard Occupational Classification (SOC) code.) </w:t>
      </w:r>
    </w:p>
    <w:p w:rsidR="002F10BB" w:rsidRPr="00005595" w:rsidP="002F10BB" w14:paraId="53664E43" w14:textId="77777777">
      <w:pPr>
        <w:widowControl/>
        <w:tabs>
          <w:tab w:val="left" w:pos="-1440"/>
        </w:tabs>
        <w:rPr>
          <w:sz w:val="24"/>
          <w:szCs w:val="24"/>
        </w:rPr>
      </w:pPr>
    </w:p>
    <w:p w:rsidR="00E25860" w:rsidP="00E25860" w14:paraId="2D2368BF" w14:textId="68A7C092">
      <w:pPr>
        <w:tabs>
          <w:tab w:val="left" w:pos="-1440"/>
        </w:tabs>
        <w:rPr>
          <w:sz w:val="24"/>
          <w:szCs w:val="24"/>
        </w:rPr>
      </w:pPr>
      <w:r w:rsidRPr="00005595">
        <w:rPr>
          <w:sz w:val="24"/>
          <w:szCs w:val="24"/>
        </w:rPr>
        <w:t xml:space="preserve">To account for fringe benefits, the agency used the </w:t>
      </w:r>
      <w:hyperlink r:id="rId9" w:history="1">
        <w:r w:rsidRPr="00005595">
          <w:rPr>
            <w:color w:val="0000FF"/>
            <w:sz w:val="24"/>
            <w:szCs w:val="24"/>
            <w:u w:val="single"/>
          </w:rPr>
          <w:t xml:space="preserve">Employer Costs for Employee Compensation – </w:t>
        </w:r>
        <w:r w:rsidR="00C97607">
          <w:rPr>
            <w:color w:val="0000FF"/>
            <w:sz w:val="24"/>
            <w:szCs w:val="24"/>
            <w:u w:val="single"/>
          </w:rPr>
          <w:t>September 2024</w:t>
        </w:r>
        <w:r w:rsidRPr="00005595">
          <w:rPr>
            <w:color w:val="0000FF"/>
            <w:sz w:val="24"/>
            <w:szCs w:val="24"/>
            <w:u w:val="single"/>
          </w:rPr>
          <w:t xml:space="preserve"> (bls.gov)</w:t>
        </w:r>
      </w:hyperlink>
      <w:r w:rsidRPr="00005595">
        <w:rPr>
          <w:sz w:val="24"/>
          <w:szCs w:val="24"/>
        </w:rPr>
        <w:t xml:space="preserve"> </w:t>
      </w:r>
      <w:r w:rsidRPr="00005595">
        <w:rPr>
          <w:i/>
          <w:sz w:val="24"/>
          <w:szCs w:val="24"/>
        </w:rPr>
        <w:t>Occupational Employment Wage Statistics (OEWS) (2024)</w:t>
      </w:r>
      <w:r w:rsidRPr="00005595">
        <w:rPr>
          <w:sz w:val="24"/>
          <w:szCs w:val="24"/>
        </w:rPr>
        <w:t xml:space="preserve">.  Fringe markup is from the following BLS release:  </w:t>
      </w:r>
      <w:r w:rsidRPr="00005595">
        <w:rPr>
          <w:i/>
          <w:sz w:val="24"/>
          <w:szCs w:val="24"/>
        </w:rPr>
        <w:t>Employer Costs for Employee Compensation</w:t>
      </w:r>
      <w:r w:rsidRPr="00005595">
        <w:rPr>
          <w:sz w:val="24"/>
          <w:szCs w:val="24"/>
        </w:rPr>
        <w:t xml:space="preserve"> news release text; For release, </w:t>
      </w:r>
      <w:r w:rsidR="00C97607">
        <w:rPr>
          <w:sz w:val="24"/>
          <w:szCs w:val="24"/>
        </w:rPr>
        <w:t>December 17, 2024</w:t>
      </w:r>
      <w:r w:rsidRPr="00005595">
        <w:rPr>
          <w:sz w:val="24"/>
          <w:szCs w:val="24"/>
        </w:rPr>
        <w:t xml:space="preserve"> </w:t>
      </w:r>
      <w:r w:rsidR="00C97607">
        <w:rPr>
          <w:color w:val="0000FF"/>
          <w:sz w:val="24"/>
          <w:szCs w:val="24"/>
          <w:u w:val="single"/>
        </w:rPr>
        <w:t>(</w:t>
      </w:r>
      <w:r w:rsidRPr="00C97607" w:rsidR="00C97607">
        <w:rPr>
          <w:color w:val="0000FF"/>
          <w:sz w:val="24"/>
          <w:szCs w:val="24"/>
          <w:u w:val="single"/>
        </w:rPr>
        <w:t>https://www.bls.gov/news.release/archives/ecec_12172024.pdf</w:t>
      </w:r>
      <w:r w:rsidR="00C97607">
        <w:rPr>
          <w:color w:val="0000FF"/>
          <w:sz w:val="24"/>
          <w:szCs w:val="24"/>
          <w:u w:val="single"/>
        </w:rPr>
        <w:t>)</w:t>
      </w:r>
      <w:r w:rsidRPr="00005595">
        <w:rPr>
          <w:i/>
          <w:sz w:val="24"/>
          <w:szCs w:val="24"/>
        </w:rPr>
        <w:t xml:space="preserve">. </w:t>
      </w:r>
      <w:r w:rsidRPr="00005595">
        <w:rPr>
          <w:sz w:val="24"/>
          <w:szCs w:val="24"/>
        </w:rPr>
        <w:t xml:space="preserve">BLS reported that </w:t>
      </w:r>
      <w:r w:rsidR="009A4860">
        <w:rPr>
          <w:sz w:val="24"/>
          <w:szCs w:val="24"/>
        </w:rPr>
        <w:t>private workers, fringe benefits accounted for 29.6 percent of total compensation,</w:t>
      </w:r>
      <w:r w:rsidRPr="00005595">
        <w:rPr>
          <w:sz w:val="24"/>
          <w:szCs w:val="24"/>
        </w:rPr>
        <w:t xml:space="preserve"> and wages accounted for the remaining 70.</w:t>
      </w:r>
      <w:r w:rsidR="00C97607">
        <w:rPr>
          <w:sz w:val="24"/>
          <w:szCs w:val="24"/>
        </w:rPr>
        <w:t>4</w:t>
      </w:r>
      <w:r w:rsidRPr="00005595">
        <w:rPr>
          <w:sz w:val="24"/>
          <w:szCs w:val="24"/>
        </w:rPr>
        <w:t xml:space="preserve"> percent.</w:t>
      </w:r>
      <w:r w:rsidR="005434C6">
        <w:rPr>
          <w:sz w:val="24"/>
          <w:szCs w:val="24"/>
        </w:rPr>
        <w:t xml:space="preserve"> </w:t>
      </w:r>
      <w:r w:rsidR="00B450FF">
        <w:rPr>
          <w:sz w:val="24"/>
          <w:szCs w:val="24"/>
        </w:rPr>
        <w:t xml:space="preserve">The wage rates used in this ICR are presented in Table 1. </w:t>
      </w:r>
    </w:p>
    <w:p w:rsidR="00E25860" w:rsidP="00E25860" w14:paraId="427629A0" w14:textId="3B5CA895">
      <w:pPr>
        <w:tabs>
          <w:tab w:val="left" w:pos="-1440"/>
        </w:tabs>
        <w:rPr>
          <w:sz w:val="24"/>
          <w:szCs w:val="24"/>
        </w:rPr>
      </w:pPr>
    </w:p>
    <w:p w:rsidR="00715EA6" w:rsidP="00715EA6" w14:paraId="66DC317E" w14:textId="77777777">
      <w:pPr>
        <w:rPr>
          <w:sz w:val="24"/>
        </w:rPr>
      </w:pPr>
    </w:p>
    <w:p w:rsidR="00715EA6" w:rsidRPr="00A8061E" w:rsidP="00715EA6" w14:paraId="2863ADB4" w14:textId="77777777">
      <w:pPr>
        <w:tabs>
          <w:tab w:val="left" w:pos="-1440"/>
        </w:tabs>
        <w:jc w:val="center"/>
        <w:rPr>
          <w:b/>
          <w:sz w:val="24"/>
          <w:szCs w:val="24"/>
        </w:rPr>
      </w:pPr>
      <w:r w:rsidRPr="00A8061E">
        <w:rPr>
          <w:b/>
          <w:sz w:val="24"/>
          <w:szCs w:val="24"/>
        </w:rPr>
        <w:t>Table 1- Estimated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1805"/>
        <w:gridCol w:w="1718"/>
        <w:gridCol w:w="1737"/>
        <w:gridCol w:w="1727"/>
      </w:tblGrid>
      <w:tr w14:paraId="40207906" w14:textId="77777777" w:rsidTr="00786B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5"/>
            <w:shd w:val="clear" w:color="auto" w:fill="EDEDED" w:themeFill="accent3" w:themeFillTint="33"/>
          </w:tcPr>
          <w:p w:rsidR="00715EA6" w:rsidRPr="0021471D" w:rsidP="00786B35" w14:paraId="130BA0B2" w14:textId="7094A2AC">
            <w:pPr>
              <w:tabs>
                <w:tab w:val="left" w:pos="-1440"/>
              </w:tabs>
              <w:jc w:val="center"/>
            </w:pPr>
            <w:r w:rsidRPr="0021471D">
              <w:rPr>
                <w:b/>
              </w:rPr>
              <w:t xml:space="preserve">WAGE HOUR ESTIMATES </w:t>
            </w:r>
          </w:p>
        </w:tc>
      </w:tr>
      <w:tr w14:paraId="3DCB0851" w14:textId="77777777" w:rsidTr="00B63DB7">
        <w:tblPrEx>
          <w:tblW w:w="0" w:type="auto"/>
          <w:tblLook w:val="04A0"/>
        </w:tblPrEx>
        <w:tc>
          <w:tcPr>
            <w:tcW w:w="2363" w:type="dxa"/>
            <w:shd w:val="clear" w:color="auto" w:fill="A8D08D" w:themeFill="accent6" w:themeFillTint="99"/>
          </w:tcPr>
          <w:p w:rsidR="00715EA6" w:rsidRPr="0021471D" w:rsidP="00786B35" w14:paraId="38CFA309" w14:textId="77777777">
            <w:pPr>
              <w:tabs>
                <w:tab w:val="left" w:pos="-1440"/>
              </w:tabs>
              <w:jc w:val="center"/>
              <w:rPr>
                <w:b/>
              </w:rPr>
            </w:pPr>
            <w:r w:rsidRPr="0021471D">
              <w:rPr>
                <w:b/>
              </w:rPr>
              <w:t>Occupational Title</w:t>
            </w:r>
          </w:p>
        </w:tc>
        <w:tc>
          <w:tcPr>
            <w:tcW w:w="1805" w:type="dxa"/>
            <w:shd w:val="clear" w:color="auto" w:fill="A8D08D" w:themeFill="accent6" w:themeFillTint="99"/>
          </w:tcPr>
          <w:p w:rsidR="00715EA6" w:rsidRPr="0021471D" w:rsidP="00786B35" w14:paraId="10AE7188" w14:textId="036CC6A1">
            <w:pPr>
              <w:tabs>
                <w:tab w:val="left" w:pos="-1440"/>
              </w:tabs>
              <w:jc w:val="center"/>
              <w:rPr>
                <w:b/>
              </w:rPr>
            </w:pPr>
            <w:r w:rsidRPr="0021471D">
              <w:rPr>
                <w:b/>
              </w:rPr>
              <w:t>SOC</w:t>
            </w:r>
            <w:r>
              <w:rPr>
                <w:b/>
              </w:rPr>
              <w:t xml:space="preserve"> Code</w:t>
            </w:r>
          </w:p>
        </w:tc>
        <w:tc>
          <w:tcPr>
            <w:tcW w:w="1718" w:type="dxa"/>
            <w:shd w:val="clear" w:color="auto" w:fill="A8D08D" w:themeFill="accent6" w:themeFillTint="99"/>
          </w:tcPr>
          <w:p w:rsidR="00715EA6" w:rsidRPr="0021471D" w:rsidP="00786B35" w14:paraId="0F46190B" w14:textId="77777777">
            <w:pPr>
              <w:tabs>
                <w:tab w:val="left" w:pos="-1440"/>
              </w:tabs>
              <w:jc w:val="center"/>
              <w:rPr>
                <w:b/>
              </w:rPr>
            </w:pPr>
            <w:r w:rsidRPr="0021471D">
              <w:rPr>
                <w:b/>
              </w:rPr>
              <w:t>Mean Hourly Wage Rate</w:t>
            </w:r>
          </w:p>
          <w:p w:rsidR="00715EA6" w:rsidRPr="0021471D" w:rsidP="00786B35" w14:paraId="0F3B7C0A" w14:textId="77777777">
            <w:pPr>
              <w:tabs>
                <w:tab w:val="left" w:pos="-1440"/>
              </w:tabs>
              <w:jc w:val="center"/>
              <w:rPr>
                <w:b/>
              </w:rPr>
            </w:pPr>
            <w:r w:rsidRPr="0021471D">
              <w:rPr>
                <w:b/>
              </w:rPr>
              <w:t>(A)</w:t>
            </w:r>
          </w:p>
        </w:tc>
        <w:tc>
          <w:tcPr>
            <w:tcW w:w="1737" w:type="dxa"/>
            <w:shd w:val="clear" w:color="auto" w:fill="A8D08D" w:themeFill="accent6" w:themeFillTint="99"/>
          </w:tcPr>
          <w:p w:rsidR="00715EA6" w:rsidRPr="0021471D" w:rsidP="00786B35" w14:paraId="78123238" w14:textId="77777777">
            <w:pPr>
              <w:tabs>
                <w:tab w:val="left" w:pos="-1440"/>
              </w:tabs>
              <w:jc w:val="center"/>
              <w:rPr>
                <w:b/>
              </w:rPr>
            </w:pPr>
            <w:r w:rsidRPr="0021471D">
              <w:rPr>
                <w:b/>
              </w:rPr>
              <w:t xml:space="preserve">Fringe Benefits </w:t>
            </w:r>
          </w:p>
          <w:p w:rsidR="00715EA6" w:rsidRPr="0021471D" w:rsidP="00786B35" w14:paraId="6D1D7D16" w14:textId="77777777">
            <w:pPr>
              <w:tabs>
                <w:tab w:val="left" w:pos="-1440"/>
              </w:tabs>
              <w:jc w:val="center"/>
              <w:rPr>
                <w:b/>
              </w:rPr>
            </w:pPr>
          </w:p>
          <w:p w:rsidR="00715EA6" w:rsidRPr="0021471D" w:rsidP="00786B35" w14:paraId="1F54A0D1" w14:textId="77777777">
            <w:pPr>
              <w:tabs>
                <w:tab w:val="left" w:pos="-1440"/>
              </w:tabs>
              <w:jc w:val="center"/>
              <w:rPr>
                <w:b/>
              </w:rPr>
            </w:pPr>
            <w:r w:rsidRPr="0021471D">
              <w:rPr>
                <w:b/>
              </w:rPr>
              <w:t>(B)</w:t>
            </w:r>
          </w:p>
        </w:tc>
        <w:tc>
          <w:tcPr>
            <w:tcW w:w="1727" w:type="dxa"/>
            <w:shd w:val="clear" w:color="auto" w:fill="A8D08D" w:themeFill="accent6" w:themeFillTint="99"/>
          </w:tcPr>
          <w:p w:rsidR="00715EA6" w:rsidRPr="0021471D" w:rsidP="00786B35" w14:paraId="0CAA3417" w14:textId="77777777">
            <w:pPr>
              <w:tabs>
                <w:tab w:val="left" w:pos="-1440"/>
              </w:tabs>
              <w:jc w:val="center"/>
              <w:rPr>
                <w:b/>
              </w:rPr>
            </w:pPr>
            <w:r w:rsidRPr="0021471D">
              <w:rPr>
                <w:b/>
              </w:rPr>
              <w:t xml:space="preserve">Loaded Hourly Wage Rate </w:t>
            </w:r>
          </w:p>
          <w:p w:rsidR="00715EA6" w:rsidRPr="0021471D" w:rsidP="00786B35" w14:paraId="789D18BD" w14:textId="77777777">
            <w:pPr>
              <w:tabs>
                <w:tab w:val="left" w:pos="-1440"/>
              </w:tabs>
              <w:rPr>
                <w:b/>
              </w:rPr>
            </w:pPr>
            <w:r w:rsidRPr="0021471D">
              <w:rPr>
                <w:b/>
              </w:rPr>
              <w:t>(C) = (A)</w:t>
            </w:r>
            <w:r>
              <w:rPr>
                <w:b/>
              </w:rPr>
              <w:t>(1</w:t>
            </w:r>
            <w:r w:rsidRPr="0021471D">
              <w:rPr>
                <w:b/>
              </w:rPr>
              <w:t>/(1-B))</w:t>
            </w:r>
          </w:p>
        </w:tc>
      </w:tr>
      <w:tr w14:paraId="5DF62539" w14:textId="77777777" w:rsidTr="00B63DB7">
        <w:tblPrEx>
          <w:tblW w:w="0" w:type="auto"/>
          <w:tblLook w:val="04A0"/>
        </w:tblPrEx>
        <w:tc>
          <w:tcPr>
            <w:tcW w:w="2363" w:type="dxa"/>
            <w:shd w:val="clear" w:color="auto" w:fill="auto"/>
          </w:tcPr>
          <w:p w:rsidR="00715EA6" w:rsidRPr="0021471D" w:rsidP="00786B35" w14:paraId="310AD66E" w14:textId="77777777">
            <w:pPr>
              <w:tabs>
                <w:tab w:val="left" w:pos="-1440"/>
              </w:tabs>
            </w:pPr>
            <w:r w:rsidRPr="0021471D">
              <w:t xml:space="preserve">First-Line </w:t>
            </w:r>
            <w:r w:rsidRPr="0021471D">
              <w:t xml:space="preserve">Supervisors/Managers of Construction Trades </w:t>
            </w:r>
          </w:p>
        </w:tc>
        <w:tc>
          <w:tcPr>
            <w:tcW w:w="1805" w:type="dxa"/>
            <w:shd w:val="clear" w:color="auto" w:fill="auto"/>
            <w:vAlign w:val="center"/>
          </w:tcPr>
          <w:p w:rsidR="00715EA6" w:rsidRPr="0021471D" w:rsidP="00B63DB7" w14:paraId="07D10CFC" w14:textId="77777777">
            <w:pPr>
              <w:tabs>
                <w:tab w:val="left" w:pos="-1440"/>
              </w:tabs>
              <w:jc w:val="center"/>
            </w:pPr>
            <w:r w:rsidRPr="0021471D">
              <w:t>47-1011</w:t>
            </w:r>
          </w:p>
        </w:tc>
        <w:tc>
          <w:tcPr>
            <w:tcW w:w="1718" w:type="dxa"/>
            <w:shd w:val="clear" w:color="auto" w:fill="auto"/>
            <w:vAlign w:val="center"/>
          </w:tcPr>
          <w:p w:rsidR="00715EA6" w:rsidRPr="0021471D" w:rsidP="00B63DB7" w14:paraId="79EBDCE9" w14:textId="77777777">
            <w:pPr>
              <w:tabs>
                <w:tab w:val="left" w:pos="-1440"/>
              </w:tabs>
              <w:jc w:val="center"/>
            </w:pPr>
            <w:r w:rsidRPr="0021471D">
              <w:t>$3</w:t>
            </w:r>
            <w:r>
              <w:t>9.11</w:t>
            </w:r>
          </w:p>
        </w:tc>
        <w:tc>
          <w:tcPr>
            <w:tcW w:w="1737" w:type="dxa"/>
            <w:shd w:val="clear" w:color="auto" w:fill="auto"/>
            <w:vAlign w:val="center"/>
          </w:tcPr>
          <w:p w:rsidR="00715EA6" w:rsidRPr="0021471D" w:rsidP="00B63DB7" w14:paraId="6886CDC7" w14:textId="44909CE3">
            <w:pPr>
              <w:jc w:val="center"/>
            </w:pPr>
            <w:r>
              <w:t>0.29</w:t>
            </w:r>
            <w:r w:rsidR="00C5001F">
              <w:t>6</w:t>
            </w:r>
          </w:p>
        </w:tc>
        <w:tc>
          <w:tcPr>
            <w:tcW w:w="1727" w:type="dxa"/>
            <w:shd w:val="clear" w:color="auto" w:fill="auto"/>
            <w:vAlign w:val="center"/>
          </w:tcPr>
          <w:p w:rsidR="00715EA6" w:rsidRPr="0021471D" w:rsidP="00B63DB7" w14:paraId="1691444E" w14:textId="74A6233E">
            <w:pPr>
              <w:tabs>
                <w:tab w:val="left" w:pos="-1440"/>
              </w:tabs>
              <w:jc w:val="center"/>
            </w:pPr>
            <w:r w:rsidRPr="0021471D">
              <w:t>$</w:t>
            </w:r>
            <w:r>
              <w:t>55.</w:t>
            </w:r>
            <w:r w:rsidR="00C5001F">
              <w:t>55</w:t>
            </w:r>
          </w:p>
        </w:tc>
      </w:tr>
      <w:tr w14:paraId="7AC6B734" w14:textId="77777777" w:rsidTr="00B63DB7">
        <w:tblPrEx>
          <w:tblW w:w="0" w:type="auto"/>
          <w:tblLook w:val="04A0"/>
        </w:tblPrEx>
        <w:tc>
          <w:tcPr>
            <w:tcW w:w="2363" w:type="dxa"/>
            <w:shd w:val="clear" w:color="auto" w:fill="auto"/>
          </w:tcPr>
          <w:p w:rsidR="00715EA6" w:rsidRPr="0021471D" w:rsidP="00786B35" w14:paraId="46FEE116" w14:textId="633BFBB4">
            <w:pPr>
              <w:tabs>
                <w:tab w:val="left" w:pos="-1440"/>
              </w:tabs>
            </w:pPr>
            <w:r>
              <w:t xml:space="preserve">Construction Workers </w:t>
            </w:r>
          </w:p>
        </w:tc>
        <w:tc>
          <w:tcPr>
            <w:tcW w:w="1805" w:type="dxa"/>
            <w:shd w:val="clear" w:color="auto" w:fill="auto"/>
            <w:vAlign w:val="center"/>
          </w:tcPr>
          <w:p w:rsidR="00715EA6" w:rsidRPr="0021471D" w:rsidP="00B63DB7" w14:paraId="3B0DD99E" w14:textId="1950EB2C">
            <w:pPr>
              <w:tabs>
                <w:tab w:val="left" w:pos="-1440"/>
              </w:tabs>
              <w:jc w:val="center"/>
            </w:pPr>
            <w:r w:rsidRPr="0021471D">
              <w:t>47-</w:t>
            </w:r>
            <w:r w:rsidR="00AC2718">
              <w:t>0000</w:t>
            </w:r>
          </w:p>
        </w:tc>
        <w:tc>
          <w:tcPr>
            <w:tcW w:w="1718" w:type="dxa"/>
            <w:shd w:val="clear" w:color="auto" w:fill="auto"/>
            <w:vAlign w:val="center"/>
          </w:tcPr>
          <w:p w:rsidR="00715EA6" w:rsidRPr="0021471D" w:rsidP="00B63DB7" w14:paraId="1D6246F6" w14:textId="76EF0EAD">
            <w:pPr>
              <w:tabs>
                <w:tab w:val="left" w:pos="-1440"/>
              </w:tabs>
              <w:jc w:val="center"/>
            </w:pPr>
            <w:r w:rsidRPr="0021471D">
              <w:t>$</w:t>
            </w:r>
            <w:r>
              <w:t>2</w:t>
            </w:r>
            <w:r w:rsidR="00AC2718">
              <w:t>9.57</w:t>
            </w:r>
          </w:p>
        </w:tc>
        <w:tc>
          <w:tcPr>
            <w:tcW w:w="1737" w:type="dxa"/>
            <w:shd w:val="clear" w:color="auto" w:fill="auto"/>
            <w:vAlign w:val="center"/>
          </w:tcPr>
          <w:p w:rsidR="00715EA6" w:rsidRPr="0021471D" w:rsidP="00B63DB7" w14:paraId="5E49068F" w14:textId="25033873">
            <w:pPr>
              <w:jc w:val="center"/>
            </w:pPr>
            <w:r>
              <w:t>0.29</w:t>
            </w:r>
            <w:r w:rsidR="00AC2718">
              <w:t>6</w:t>
            </w:r>
          </w:p>
        </w:tc>
        <w:tc>
          <w:tcPr>
            <w:tcW w:w="1727" w:type="dxa"/>
            <w:shd w:val="clear" w:color="auto" w:fill="auto"/>
            <w:vAlign w:val="center"/>
          </w:tcPr>
          <w:p w:rsidR="00715EA6" w:rsidRPr="0021471D" w:rsidP="00B63DB7" w14:paraId="328D88D2" w14:textId="3CB8FBF3">
            <w:pPr>
              <w:tabs>
                <w:tab w:val="left" w:pos="-1440"/>
              </w:tabs>
              <w:jc w:val="center"/>
            </w:pPr>
            <w:r w:rsidRPr="0021471D">
              <w:t>$</w:t>
            </w:r>
            <w:r w:rsidR="006A4693">
              <w:t>42.00</w:t>
            </w:r>
          </w:p>
        </w:tc>
      </w:tr>
      <w:tr w14:paraId="661576AF" w14:textId="77777777" w:rsidTr="00B63DB7">
        <w:tblPrEx>
          <w:tblW w:w="0" w:type="auto"/>
          <w:tblLook w:val="04A0"/>
        </w:tblPrEx>
        <w:trPr>
          <w:trHeight w:val="431"/>
        </w:trPr>
        <w:tc>
          <w:tcPr>
            <w:tcW w:w="2363" w:type="dxa"/>
            <w:shd w:val="clear" w:color="auto" w:fill="auto"/>
          </w:tcPr>
          <w:p w:rsidR="00715EA6" w:rsidRPr="0021471D" w:rsidP="00786B35" w14:paraId="346F3AB4" w14:textId="08D0C2FF">
            <w:pPr>
              <w:tabs>
                <w:tab w:val="left" w:pos="-1440"/>
              </w:tabs>
            </w:pPr>
            <w:r>
              <w:t xml:space="preserve">Clerical Workers </w:t>
            </w:r>
          </w:p>
        </w:tc>
        <w:tc>
          <w:tcPr>
            <w:tcW w:w="1805" w:type="dxa"/>
            <w:shd w:val="clear" w:color="auto" w:fill="auto"/>
            <w:vAlign w:val="center"/>
          </w:tcPr>
          <w:p w:rsidR="00715EA6" w:rsidRPr="0021471D" w:rsidP="00B63DB7" w14:paraId="2A2BEC20" w14:textId="06285BA4">
            <w:pPr>
              <w:tabs>
                <w:tab w:val="left" w:pos="-1440"/>
              </w:tabs>
              <w:jc w:val="center"/>
            </w:pPr>
            <w:r w:rsidRPr="0021471D">
              <w:t>43-</w:t>
            </w:r>
            <w:r w:rsidR="006A4693">
              <w:t>0000</w:t>
            </w:r>
          </w:p>
        </w:tc>
        <w:tc>
          <w:tcPr>
            <w:tcW w:w="1718" w:type="dxa"/>
            <w:shd w:val="clear" w:color="auto" w:fill="auto"/>
            <w:vAlign w:val="center"/>
          </w:tcPr>
          <w:p w:rsidR="00715EA6" w:rsidRPr="0021471D" w:rsidP="00B63DB7" w14:paraId="720E4E34" w14:textId="207DC6DE">
            <w:pPr>
              <w:tabs>
                <w:tab w:val="left" w:pos="-1440"/>
              </w:tabs>
              <w:jc w:val="center"/>
            </w:pPr>
            <w:r w:rsidRPr="0021471D">
              <w:t>$</w:t>
            </w:r>
            <w:r>
              <w:t>2</w:t>
            </w:r>
            <w:r w:rsidR="006A4693">
              <w:t>3.05</w:t>
            </w:r>
          </w:p>
        </w:tc>
        <w:tc>
          <w:tcPr>
            <w:tcW w:w="1737" w:type="dxa"/>
            <w:shd w:val="clear" w:color="auto" w:fill="auto"/>
            <w:vAlign w:val="center"/>
          </w:tcPr>
          <w:p w:rsidR="00715EA6" w:rsidRPr="0021471D" w:rsidP="00B63DB7" w14:paraId="29DB2524" w14:textId="4BF186FD">
            <w:pPr>
              <w:jc w:val="center"/>
            </w:pPr>
            <w:r>
              <w:t>0.296</w:t>
            </w:r>
          </w:p>
        </w:tc>
        <w:tc>
          <w:tcPr>
            <w:tcW w:w="1727" w:type="dxa"/>
            <w:shd w:val="clear" w:color="auto" w:fill="auto"/>
            <w:vAlign w:val="center"/>
          </w:tcPr>
          <w:p w:rsidR="00715EA6" w:rsidRPr="0021471D" w:rsidP="00B63DB7" w14:paraId="572CA07B" w14:textId="28A0D2B9">
            <w:pPr>
              <w:tabs>
                <w:tab w:val="left" w:pos="-1440"/>
              </w:tabs>
              <w:jc w:val="center"/>
            </w:pPr>
            <w:r w:rsidRPr="0021471D">
              <w:t>$</w:t>
            </w:r>
            <w:r w:rsidR="003E44C2">
              <w:t>32.74</w:t>
            </w:r>
          </w:p>
        </w:tc>
      </w:tr>
      <w:tr w14:paraId="288FC7DA" w14:textId="77777777" w:rsidTr="00B63DB7">
        <w:tblPrEx>
          <w:tblW w:w="0" w:type="auto"/>
          <w:tblLook w:val="04A0"/>
        </w:tblPrEx>
        <w:trPr>
          <w:trHeight w:val="431"/>
        </w:trPr>
        <w:tc>
          <w:tcPr>
            <w:tcW w:w="2363" w:type="dxa"/>
            <w:shd w:val="clear" w:color="auto" w:fill="auto"/>
          </w:tcPr>
          <w:p w:rsidR="005434C6" w:rsidP="005434C6" w14:paraId="4C59D67E" w14:textId="5BA191D3">
            <w:pPr>
              <w:tabs>
                <w:tab w:val="left" w:pos="-1440"/>
              </w:tabs>
            </w:pPr>
            <w:r w:rsidRPr="00C97607">
              <w:t>Healthcare Practitioners and Technical Occupations</w:t>
            </w:r>
          </w:p>
        </w:tc>
        <w:tc>
          <w:tcPr>
            <w:tcW w:w="1805" w:type="dxa"/>
            <w:shd w:val="clear" w:color="auto" w:fill="auto"/>
            <w:vAlign w:val="center"/>
          </w:tcPr>
          <w:p w:rsidR="005434C6" w:rsidRPr="0021471D" w:rsidP="00B63DB7" w14:paraId="2D868B12" w14:textId="5506BE14">
            <w:pPr>
              <w:tabs>
                <w:tab w:val="left" w:pos="-1440"/>
              </w:tabs>
              <w:jc w:val="center"/>
            </w:pPr>
            <w:r w:rsidRPr="00C97607">
              <w:t>19-5011</w:t>
            </w:r>
          </w:p>
        </w:tc>
        <w:tc>
          <w:tcPr>
            <w:tcW w:w="1718" w:type="dxa"/>
            <w:shd w:val="clear" w:color="auto" w:fill="auto"/>
            <w:vAlign w:val="center"/>
          </w:tcPr>
          <w:p w:rsidR="005434C6" w:rsidRPr="0021471D" w:rsidP="00B63DB7" w14:paraId="1D920F94" w14:textId="19CA5891">
            <w:pPr>
              <w:tabs>
                <w:tab w:val="left" w:pos="-1440"/>
              </w:tabs>
              <w:jc w:val="center"/>
            </w:pPr>
            <w:r>
              <w:t>$</w:t>
            </w:r>
            <w:r w:rsidRPr="00C97607">
              <w:t>36.68</w:t>
            </w:r>
          </w:p>
        </w:tc>
        <w:tc>
          <w:tcPr>
            <w:tcW w:w="1737" w:type="dxa"/>
            <w:shd w:val="clear" w:color="auto" w:fill="auto"/>
            <w:vAlign w:val="center"/>
          </w:tcPr>
          <w:p w:rsidR="005434C6" w:rsidP="00B63DB7" w14:paraId="076C52AC" w14:textId="1FFF4478">
            <w:pPr>
              <w:jc w:val="center"/>
            </w:pPr>
            <w:r>
              <w:t>0.296</w:t>
            </w:r>
          </w:p>
        </w:tc>
        <w:tc>
          <w:tcPr>
            <w:tcW w:w="1727" w:type="dxa"/>
            <w:shd w:val="clear" w:color="auto" w:fill="auto"/>
            <w:vAlign w:val="center"/>
          </w:tcPr>
          <w:p w:rsidR="005434C6" w:rsidRPr="0021471D" w:rsidP="00B63DB7" w14:paraId="61AC42E9" w14:textId="6015B81F">
            <w:pPr>
              <w:tabs>
                <w:tab w:val="left" w:pos="-1440"/>
              </w:tabs>
              <w:jc w:val="center"/>
            </w:pPr>
            <w:r>
              <w:t>$52.10</w:t>
            </w:r>
          </w:p>
        </w:tc>
      </w:tr>
      <w:tr w14:paraId="68DD2EAE" w14:textId="77777777" w:rsidTr="00B63DB7">
        <w:tblPrEx>
          <w:tblW w:w="0" w:type="auto"/>
          <w:tblLook w:val="04A0"/>
        </w:tblPrEx>
        <w:trPr>
          <w:trHeight w:val="431"/>
        </w:trPr>
        <w:tc>
          <w:tcPr>
            <w:tcW w:w="2363" w:type="dxa"/>
            <w:shd w:val="clear" w:color="auto" w:fill="auto"/>
          </w:tcPr>
          <w:p w:rsidR="005434C6" w:rsidP="005434C6" w14:paraId="72993504" w14:textId="5012F96E">
            <w:pPr>
              <w:tabs>
                <w:tab w:val="left" w:pos="-1440"/>
              </w:tabs>
            </w:pPr>
            <w:r w:rsidRPr="00C97607">
              <w:t>Occupational Health and Safety Technicians</w:t>
            </w:r>
          </w:p>
        </w:tc>
        <w:tc>
          <w:tcPr>
            <w:tcW w:w="1805" w:type="dxa"/>
            <w:shd w:val="clear" w:color="auto" w:fill="auto"/>
            <w:vAlign w:val="center"/>
          </w:tcPr>
          <w:p w:rsidR="005434C6" w:rsidRPr="0021471D" w:rsidP="00B63DB7" w14:paraId="7A93BEC7" w14:textId="27CA2165">
            <w:pPr>
              <w:tabs>
                <w:tab w:val="left" w:pos="-1440"/>
              </w:tabs>
              <w:jc w:val="center"/>
            </w:pPr>
            <w:r w:rsidRPr="00C97607">
              <w:t>19-5012</w:t>
            </w:r>
          </w:p>
        </w:tc>
        <w:tc>
          <w:tcPr>
            <w:tcW w:w="1718" w:type="dxa"/>
            <w:shd w:val="clear" w:color="auto" w:fill="auto"/>
            <w:vAlign w:val="center"/>
          </w:tcPr>
          <w:p w:rsidR="005434C6" w:rsidRPr="0021471D" w:rsidP="00B63DB7" w14:paraId="110AE0E4" w14:textId="3DE8C68C">
            <w:pPr>
              <w:tabs>
                <w:tab w:val="left" w:pos="-1440"/>
              </w:tabs>
              <w:jc w:val="center"/>
            </w:pPr>
            <w:r>
              <w:t>$</w:t>
            </w:r>
            <w:r w:rsidRPr="00C97607">
              <w:t>27.85</w:t>
            </w:r>
          </w:p>
        </w:tc>
        <w:tc>
          <w:tcPr>
            <w:tcW w:w="1737" w:type="dxa"/>
            <w:shd w:val="clear" w:color="auto" w:fill="auto"/>
            <w:vAlign w:val="center"/>
          </w:tcPr>
          <w:p w:rsidR="005434C6" w:rsidP="00B63DB7" w14:paraId="69624366" w14:textId="1EF26312">
            <w:pPr>
              <w:jc w:val="center"/>
            </w:pPr>
            <w:r>
              <w:t>0.296</w:t>
            </w:r>
          </w:p>
        </w:tc>
        <w:tc>
          <w:tcPr>
            <w:tcW w:w="1727" w:type="dxa"/>
            <w:shd w:val="clear" w:color="auto" w:fill="auto"/>
            <w:vAlign w:val="center"/>
          </w:tcPr>
          <w:p w:rsidR="005434C6" w:rsidRPr="0021471D" w:rsidP="00B63DB7" w14:paraId="79C07F36" w14:textId="79FF3E67">
            <w:pPr>
              <w:tabs>
                <w:tab w:val="left" w:pos="-1440"/>
              </w:tabs>
              <w:jc w:val="center"/>
            </w:pPr>
            <w:r>
              <w:t>$39.56</w:t>
            </w:r>
          </w:p>
        </w:tc>
      </w:tr>
    </w:tbl>
    <w:p w:rsidR="00D01D0E" w:rsidP="00E25860" w14:paraId="204CE376" w14:textId="77777777">
      <w:pPr>
        <w:tabs>
          <w:tab w:val="left" w:pos="-1440"/>
        </w:tabs>
        <w:rPr>
          <w:sz w:val="24"/>
          <w:szCs w:val="24"/>
        </w:rPr>
      </w:pPr>
    </w:p>
    <w:p w:rsidR="00CF4AA7" w:rsidP="00E25860" w14:paraId="67E39988" w14:textId="77777777">
      <w:pPr>
        <w:rPr>
          <w:color w:val="000000"/>
          <w:sz w:val="24"/>
          <w:szCs w:val="24"/>
        </w:rPr>
      </w:pPr>
      <w:r w:rsidRPr="00AC653E">
        <w:rPr>
          <w:color w:val="000000"/>
          <w:sz w:val="24"/>
          <w:szCs w:val="24"/>
        </w:rPr>
        <w:t xml:space="preserve"> </w:t>
      </w:r>
    </w:p>
    <w:p w:rsidR="00553E3D" w14:paraId="63F4D51F" w14:textId="3892FB83">
      <w:pPr>
        <w:shd w:val="solid" w:color="FFFFFF" w:fill="FFFFFF"/>
        <w:rPr>
          <w:sz w:val="24"/>
          <w:szCs w:val="24"/>
        </w:rPr>
      </w:pPr>
    </w:p>
    <w:p w:rsidR="00553E3D" w:rsidRPr="00772FE4" w14:paraId="6EE3E6D4" w14:textId="77777777">
      <w:pPr>
        <w:shd w:val="solid" w:color="FFFFFF" w:fill="FFFFFF"/>
        <w:rPr>
          <w:b/>
          <w:bCs/>
          <w:sz w:val="24"/>
          <w:szCs w:val="24"/>
        </w:rPr>
      </w:pPr>
      <w:r w:rsidRPr="00772FE4">
        <w:rPr>
          <w:b/>
          <w:bCs/>
          <w:sz w:val="24"/>
          <w:szCs w:val="24"/>
        </w:rPr>
        <w:t>Burden Hour and Cost Determination</w:t>
      </w:r>
    </w:p>
    <w:p w:rsidR="00553E3D" w:rsidRPr="00772FE4" w14:paraId="381B4043" w14:textId="77777777">
      <w:pPr>
        <w:shd w:val="solid" w:color="FFFFFF" w:fill="FFFFFF"/>
        <w:rPr>
          <w:sz w:val="24"/>
          <w:szCs w:val="24"/>
        </w:rPr>
      </w:pPr>
    </w:p>
    <w:p w:rsidR="00553E3D" w:rsidRPr="00772FE4" w14:paraId="087D1DE3" w14:textId="06939EFF">
      <w:pPr>
        <w:shd w:val="solid" w:color="FFFFFF" w:fill="FFFFFF"/>
        <w:rPr>
          <w:sz w:val="24"/>
          <w:szCs w:val="24"/>
        </w:rPr>
      </w:pPr>
      <w:r w:rsidRPr="00772FE4">
        <w:rPr>
          <w:sz w:val="24"/>
          <w:szCs w:val="24"/>
        </w:rPr>
        <w:t xml:space="preserve">The following sections summarize the methodology used </w:t>
      </w:r>
      <w:r w:rsidR="001454C5">
        <w:rPr>
          <w:sz w:val="24"/>
          <w:szCs w:val="24"/>
        </w:rPr>
        <w:t>to</w:t>
      </w:r>
      <w:r w:rsidRPr="00772FE4">
        <w:rPr>
          <w:sz w:val="24"/>
          <w:szCs w:val="24"/>
        </w:rPr>
        <w:t xml:space="preserve"> estimat</w:t>
      </w:r>
      <w:r w:rsidR="001454C5">
        <w:rPr>
          <w:sz w:val="24"/>
          <w:szCs w:val="24"/>
        </w:rPr>
        <w:t>e</w:t>
      </w:r>
      <w:r w:rsidRPr="00772FE4">
        <w:rPr>
          <w:sz w:val="24"/>
          <w:szCs w:val="24"/>
        </w:rPr>
        <w:t xml:space="preserve"> the number of burden hours and costs resulting from the </w:t>
      </w:r>
      <w:r w:rsidR="009A4860">
        <w:rPr>
          <w:sz w:val="24"/>
          <w:szCs w:val="24"/>
        </w:rPr>
        <w:t>standard's information collection requirements</w:t>
      </w:r>
      <w:r w:rsidRPr="00772FE4">
        <w:rPr>
          <w:sz w:val="24"/>
          <w:szCs w:val="24"/>
        </w:rPr>
        <w:t>.</w:t>
      </w:r>
    </w:p>
    <w:p w:rsidR="00553E3D" w14:paraId="42F0553F" w14:textId="77777777">
      <w:pPr>
        <w:shd w:val="solid" w:color="FFFFFF" w:fill="FFFFFF"/>
        <w:rPr>
          <w:b/>
          <w:bCs/>
          <w:sz w:val="24"/>
          <w:szCs w:val="24"/>
        </w:rPr>
      </w:pPr>
    </w:p>
    <w:p w:rsidR="00553E3D" w:rsidRPr="00772FE4" w14:paraId="19032C2E" w14:textId="77777777">
      <w:pPr>
        <w:shd w:val="solid" w:color="FFFFFF" w:fill="FFFFFF"/>
        <w:rPr>
          <w:b/>
          <w:bCs/>
          <w:sz w:val="24"/>
          <w:szCs w:val="24"/>
        </w:rPr>
      </w:pPr>
      <w:r w:rsidRPr="00772FE4">
        <w:rPr>
          <w:b/>
          <w:bCs/>
          <w:sz w:val="24"/>
          <w:szCs w:val="24"/>
        </w:rPr>
        <w:t>A.</w:t>
      </w:r>
      <w:r w:rsidRPr="00772FE4">
        <w:rPr>
          <w:b/>
          <w:bCs/>
          <w:sz w:val="24"/>
          <w:szCs w:val="24"/>
        </w:rPr>
        <w:tab/>
        <w:t>Exposure monitoring (§1926.62(d))</w:t>
      </w:r>
    </w:p>
    <w:p w:rsidR="00553E3D" w:rsidRPr="00772FE4" w14:paraId="29C28F78" w14:textId="77777777">
      <w:pPr>
        <w:shd w:val="solid" w:color="FFFFFF" w:fill="FFFFFF"/>
        <w:rPr>
          <w:b/>
          <w:bCs/>
          <w:sz w:val="24"/>
          <w:szCs w:val="24"/>
        </w:rPr>
      </w:pPr>
    </w:p>
    <w:p w:rsidR="00553E3D" w:rsidRPr="00772FE4" w14:paraId="2806AF42" w14:textId="77777777">
      <w:pPr>
        <w:shd w:val="solid" w:color="FFFFFF" w:fill="FFFFFF"/>
        <w:ind w:left="700" w:firstLine="20"/>
        <w:rPr>
          <w:b/>
          <w:bCs/>
          <w:sz w:val="24"/>
          <w:szCs w:val="24"/>
        </w:rPr>
      </w:pPr>
      <w:r w:rsidRPr="00772FE4">
        <w:rPr>
          <w:b/>
          <w:bCs/>
          <w:sz w:val="24"/>
          <w:szCs w:val="24"/>
        </w:rPr>
        <w:t>(1)</w:t>
      </w:r>
      <w:r w:rsidRPr="00772FE4">
        <w:rPr>
          <w:b/>
          <w:bCs/>
          <w:sz w:val="24"/>
          <w:szCs w:val="24"/>
        </w:rPr>
        <w:tab/>
        <w:t>Initial Determination</w:t>
      </w:r>
    </w:p>
    <w:p w:rsidR="00553E3D" w:rsidRPr="00772FE4" w14:paraId="237E4774" w14:textId="77777777">
      <w:pPr>
        <w:shd w:val="solid" w:color="FFFFFF" w:fill="FFFFFF"/>
        <w:rPr>
          <w:sz w:val="24"/>
          <w:szCs w:val="24"/>
        </w:rPr>
      </w:pPr>
    </w:p>
    <w:p w:rsidR="00553E3D" w:rsidRPr="00772FE4" w14:paraId="3E87E3C4" w14:textId="6148CC87">
      <w:pPr>
        <w:shd w:val="solid" w:color="FFFFFF" w:fill="FFFFFF"/>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w:t>
      </w:r>
      <w:r w:rsidR="00572D96">
        <w:rPr>
          <w:sz w:val="24"/>
          <w:szCs w:val="24"/>
        </w:rPr>
        <w:t xml:space="preserve"> </w:t>
      </w:r>
      <w:r w:rsidRPr="00772FE4">
        <w:rPr>
          <w:sz w:val="24"/>
          <w:szCs w:val="24"/>
        </w:rPr>
        <w:t xml:space="preserve">The employer must thus determine (1) whether or not lead is actually present at the work site and (2) whether or not worker exposures would </w:t>
      </w:r>
      <w:r w:rsidR="00397FA1">
        <w:rPr>
          <w:sz w:val="24"/>
          <w:szCs w:val="24"/>
        </w:rPr>
        <w:t xml:space="preserve">meet or </w:t>
      </w:r>
      <w:r w:rsidRPr="00772FE4">
        <w:rPr>
          <w:sz w:val="24"/>
          <w:szCs w:val="24"/>
        </w:rPr>
        <w:t>exceed the action level.</w:t>
      </w:r>
    </w:p>
    <w:p w:rsidR="00553E3D" w:rsidRPr="00772FE4" w14:paraId="7E3999A3" w14:textId="77777777">
      <w:pPr>
        <w:rPr>
          <w:sz w:val="24"/>
          <w:szCs w:val="24"/>
        </w:rPr>
      </w:pPr>
    </w:p>
    <w:p w:rsidR="00553E3D" w:rsidRPr="00772FE4" w14:paraId="02C7EE57" w14:textId="77777777">
      <w:pPr>
        <w:ind w:left="720"/>
        <w:rPr>
          <w:b/>
          <w:bCs/>
          <w:sz w:val="24"/>
          <w:szCs w:val="24"/>
        </w:rPr>
      </w:pPr>
      <w:r w:rsidRPr="00772FE4">
        <w:rPr>
          <w:b/>
          <w:bCs/>
          <w:sz w:val="24"/>
          <w:szCs w:val="24"/>
        </w:rPr>
        <w:t>(1)(a)</w:t>
      </w:r>
      <w:r w:rsidRPr="00772FE4">
        <w:rPr>
          <w:b/>
          <w:bCs/>
          <w:sz w:val="24"/>
          <w:szCs w:val="24"/>
        </w:rPr>
        <w:tab/>
        <w:t>Determination of the Presence of Lead</w:t>
      </w:r>
    </w:p>
    <w:p w:rsidR="00553E3D" w:rsidRPr="00772FE4" w14:paraId="4B0F3747" w14:textId="77777777">
      <w:pPr>
        <w:rPr>
          <w:sz w:val="24"/>
          <w:szCs w:val="24"/>
        </w:rPr>
      </w:pPr>
    </w:p>
    <w:p w:rsidR="00553E3D" w:rsidRPr="00772FE4" w14:paraId="21C87710" w14:textId="68475D13">
      <w:pPr>
        <w:shd w:val="solid" w:color="FFFFFF" w:fill="FFFFFF"/>
        <w:rPr>
          <w:sz w:val="24"/>
          <w:szCs w:val="24"/>
        </w:rPr>
      </w:pPr>
      <w:r w:rsidRPr="00772FE4">
        <w:rPr>
          <w:sz w:val="24"/>
          <w:szCs w:val="24"/>
        </w:rPr>
        <w:t xml:space="preserve">Some project types always involve lead exposure while other affected project types may only involve lead exposure on some projects. </w:t>
      </w:r>
      <w:r w:rsidR="00572D96">
        <w:rPr>
          <w:sz w:val="24"/>
          <w:szCs w:val="24"/>
        </w:rPr>
        <w:t xml:space="preserve"> </w:t>
      </w:r>
      <w:r w:rsidRPr="00772FE4">
        <w:rPr>
          <w:sz w:val="24"/>
          <w:szCs w:val="24"/>
        </w:rPr>
        <w:t xml:space="preserve">In general, those construction firms working on projects where lead is commonly found can reasonably be expected to have a high degree of expertise about whether a given project is likely to involve lead exposure. </w:t>
      </w:r>
      <w:r w:rsidR="00572D96">
        <w:rPr>
          <w:sz w:val="24"/>
          <w:szCs w:val="24"/>
        </w:rPr>
        <w:t xml:space="preserve"> </w:t>
      </w:r>
      <w:r w:rsidRPr="00772FE4">
        <w:rPr>
          <w:sz w:val="24"/>
          <w:szCs w:val="24"/>
        </w:rPr>
        <w:t>OSHA assumes that employers involved in ten project types are able to immediately determine whether lead will be present at a given work site based on expertise, materials to be used, bidding expertise, or other relevant circumstances and that employers in these categories, such as Housing Lead Abatement (Public Housing) do not have any burden associated with determining whether lead was present on the work sites.</w:t>
      </w:r>
    </w:p>
    <w:p w:rsidR="00553E3D" w:rsidRPr="00772FE4" w14:paraId="228C6A3F" w14:textId="77777777">
      <w:pPr>
        <w:shd w:val="solid" w:color="FFFFFF" w:fill="FFFFFF"/>
        <w:rPr>
          <w:sz w:val="24"/>
          <w:szCs w:val="24"/>
        </w:rPr>
      </w:pPr>
    </w:p>
    <w:p w:rsidR="00553E3D" w:rsidRPr="00772FE4" w14:paraId="7FD4A6A9" w14:textId="0A884421">
      <w:pPr>
        <w:shd w:val="solid" w:color="FFFFFF" w:fill="FFFFFF"/>
        <w:rPr>
          <w:sz w:val="24"/>
          <w:szCs w:val="24"/>
        </w:rPr>
      </w:pPr>
      <w:r w:rsidRPr="00772FE4">
        <w:rPr>
          <w:sz w:val="24"/>
          <w:szCs w:val="24"/>
        </w:rPr>
        <w:t xml:space="preserve">For twelve project types, employers use a lead-detection method </w:t>
      </w:r>
      <w:r w:rsidRPr="00772FE4">
        <w:rPr>
          <w:sz w:val="24"/>
          <w:szCs w:val="24"/>
          <w:u w:val="single"/>
        </w:rPr>
        <w:t>on every project</w:t>
      </w:r>
      <w:r w:rsidRPr="00772FE4">
        <w:rPr>
          <w:sz w:val="24"/>
          <w:szCs w:val="24"/>
        </w:rPr>
        <w:t xml:space="preserve"> to analyze potentially-lead-containing materials to determine worker exposure levels above the permissible exposure limit (PEL) when lead is present. </w:t>
      </w:r>
      <w:r w:rsidR="00572D96">
        <w:rPr>
          <w:sz w:val="24"/>
          <w:szCs w:val="24"/>
        </w:rPr>
        <w:t xml:space="preserve"> </w:t>
      </w:r>
      <w:r w:rsidRPr="00772FE4">
        <w:rPr>
          <w:sz w:val="24"/>
          <w:szCs w:val="24"/>
        </w:rPr>
        <w:t>These project types are as follows:</w:t>
      </w:r>
    </w:p>
    <w:p w:rsidR="00553E3D" w:rsidRPr="00772FE4" w14:paraId="1C0A8EF1" w14:textId="77777777">
      <w:pPr>
        <w:shd w:val="solid" w:color="FFFFFF" w:fill="FFFFFF"/>
        <w:rPr>
          <w:sz w:val="24"/>
          <w:szCs w:val="24"/>
        </w:rPr>
      </w:pPr>
    </w:p>
    <w:p w:rsidR="00553E3D" w:rsidRPr="00772FE4" w:rsidP="002940BE" w14:paraId="5C1A7C9B" w14:textId="77777777">
      <w:pPr>
        <w:shd w:val="solid" w:color="FFFFFF" w:fill="FFFFFF"/>
        <w:rPr>
          <w:sz w:val="24"/>
          <w:szCs w:val="24"/>
        </w:rPr>
      </w:pPr>
      <w:r>
        <w:rPr>
          <w:sz w:val="24"/>
          <w:szCs w:val="24"/>
        </w:rPr>
        <w:t xml:space="preserve">            </w:t>
      </w:r>
      <w:r w:rsidRPr="00772FE4">
        <w:rPr>
          <w:sz w:val="24"/>
          <w:szCs w:val="24"/>
        </w:rPr>
        <w:t>Highway and Railroad Bridge Repainting</w:t>
      </w:r>
    </w:p>
    <w:p w:rsidR="00553E3D" w:rsidRPr="00772FE4" w14:paraId="7F2B23F7" w14:textId="77777777">
      <w:pPr>
        <w:shd w:val="solid" w:color="FFFFFF" w:fill="FFFFFF"/>
        <w:ind w:firstLine="720"/>
        <w:rPr>
          <w:sz w:val="24"/>
          <w:szCs w:val="24"/>
        </w:rPr>
      </w:pPr>
      <w:r w:rsidRPr="00772FE4">
        <w:rPr>
          <w:sz w:val="24"/>
          <w:szCs w:val="24"/>
        </w:rPr>
        <w:t>Highway and Railroad Bridge Rehabilitation</w:t>
      </w:r>
    </w:p>
    <w:p w:rsidR="00553E3D" w:rsidRPr="00772FE4" w14:paraId="350FBCE2" w14:textId="77777777">
      <w:pPr>
        <w:shd w:val="solid" w:color="FFFFFF" w:fill="FFFFFF"/>
        <w:ind w:firstLine="720"/>
        <w:rPr>
          <w:sz w:val="24"/>
          <w:szCs w:val="24"/>
        </w:rPr>
      </w:pPr>
      <w:r w:rsidRPr="00772FE4">
        <w:rPr>
          <w:sz w:val="24"/>
          <w:szCs w:val="24"/>
        </w:rPr>
        <w:t>Water Tank Repainting</w:t>
      </w:r>
    </w:p>
    <w:p w:rsidR="00553E3D" w:rsidRPr="00772FE4" w14:paraId="37CDF136" w14:textId="77777777">
      <w:pPr>
        <w:shd w:val="solid" w:color="FFFFFF" w:fill="FFFFFF"/>
        <w:ind w:firstLine="720"/>
        <w:rPr>
          <w:sz w:val="24"/>
          <w:szCs w:val="24"/>
        </w:rPr>
      </w:pPr>
      <w:r w:rsidRPr="00772FE4">
        <w:rPr>
          <w:sz w:val="24"/>
          <w:szCs w:val="24"/>
        </w:rPr>
        <w:t>Petroleum Tank Repainting</w:t>
      </w:r>
    </w:p>
    <w:p w:rsidR="00553E3D" w:rsidRPr="00772FE4" w14:paraId="72AB668D" w14:textId="77777777">
      <w:pPr>
        <w:shd w:val="solid" w:color="FFFFFF" w:fill="FFFFFF"/>
        <w:ind w:firstLine="720"/>
        <w:rPr>
          <w:sz w:val="24"/>
          <w:szCs w:val="24"/>
        </w:rPr>
      </w:pPr>
      <w:r w:rsidRPr="00772FE4">
        <w:rPr>
          <w:sz w:val="24"/>
          <w:szCs w:val="24"/>
        </w:rPr>
        <w:t>Underground Storage Tank Demolition</w:t>
      </w:r>
    </w:p>
    <w:p w:rsidR="00553E3D" w:rsidRPr="00772FE4" w14:paraId="348A296F" w14:textId="77777777">
      <w:pPr>
        <w:shd w:val="solid" w:color="FFFFFF" w:fill="FFFFFF"/>
        <w:ind w:firstLine="720"/>
        <w:rPr>
          <w:sz w:val="24"/>
          <w:szCs w:val="24"/>
        </w:rPr>
      </w:pPr>
      <w:r w:rsidRPr="00772FE4">
        <w:rPr>
          <w:sz w:val="24"/>
          <w:szCs w:val="24"/>
        </w:rPr>
        <w:t>Commercial and Industrial Demolition</w:t>
      </w:r>
    </w:p>
    <w:p w:rsidR="00553E3D" w:rsidRPr="00772FE4" w14:paraId="336444B1" w14:textId="77777777">
      <w:pPr>
        <w:shd w:val="solid" w:color="FFFFFF" w:fill="FFFFFF"/>
        <w:ind w:firstLine="720"/>
        <w:rPr>
          <w:sz w:val="24"/>
          <w:szCs w:val="24"/>
        </w:rPr>
      </w:pPr>
      <w:r w:rsidRPr="00772FE4">
        <w:rPr>
          <w:sz w:val="24"/>
          <w:szCs w:val="24"/>
        </w:rPr>
        <w:t>Indoor Industrial Facility Maintenance/Renovation</w:t>
      </w:r>
    </w:p>
    <w:p w:rsidR="00553E3D" w:rsidRPr="00772FE4" w14:paraId="28AC0B13" w14:textId="77777777">
      <w:pPr>
        <w:shd w:val="solid" w:color="FFFFFF" w:fill="FFFFFF"/>
        <w:ind w:firstLine="720"/>
        <w:rPr>
          <w:sz w:val="24"/>
          <w:szCs w:val="24"/>
        </w:rPr>
      </w:pPr>
      <w:r w:rsidRPr="00772FE4">
        <w:rPr>
          <w:sz w:val="24"/>
          <w:szCs w:val="24"/>
        </w:rPr>
        <w:t>Outdoor Industrial Facility Maintenance/Renovation</w:t>
      </w:r>
    </w:p>
    <w:p w:rsidR="00553E3D" w:rsidRPr="00772FE4" w14:paraId="6B31AA65" w14:textId="77777777">
      <w:pPr>
        <w:shd w:val="solid" w:color="FFFFFF" w:fill="FFFFFF"/>
        <w:ind w:firstLine="720"/>
        <w:rPr>
          <w:sz w:val="24"/>
          <w:szCs w:val="24"/>
        </w:rPr>
      </w:pPr>
      <w:r w:rsidRPr="00772FE4">
        <w:rPr>
          <w:sz w:val="24"/>
          <w:szCs w:val="24"/>
        </w:rPr>
        <w:t>Industrial Process Equipment Manufacture/Maintenance/Repair</w:t>
      </w:r>
    </w:p>
    <w:p w:rsidR="00553E3D" w:rsidRPr="00772FE4" w14:paraId="6B62E45E" w14:textId="77777777">
      <w:pPr>
        <w:shd w:val="solid" w:color="FFFFFF" w:fill="FFFFFF"/>
        <w:ind w:firstLine="720"/>
        <w:rPr>
          <w:sz w:val="24"/>
          <w:szCs w:val="24"/>
        </w:rPr>
      </w:pPr>
      <w:r w:rsidRPr="00772FE4">
        <w:rPr>
          <w:sz w:val="24"/>
          <w:szCs w:val="24"/>
        </w:rPr>
        <w:t>Industrial Vacuuming</w:t>
      </w:r>
    </w:p>
    <w:p w:rsidR="00553E3D" w:rsidRPr="00772FE4" w14:paraId="4BDFD7C5" w14:textId="0712DBC0">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w:t>
      </w:r>
    </w:p>
    <w:p w:rsidR="00553E3D" w:rsidRPr="00772FE4" w14:paraId="65657083" w14:textId="77777777">
      <w:pPr>
        <w:shd w:val="solid" w:color="FFFFFF" w:fill="FFFFFF"/>
        <w:ind w:firstLine="720"/>
        <w:rPr>
          <w:sz w:val="24"/>
          <w:szCs w:val="24"/>
        </w:rPr>
      </w:pPr>
      <w:r w:rsidRPr="00772FE4">
        <w:rPr>
          <w:sz w:val="24"/>
          <w:szCs w:val="24"/>
        </w:rPr>
        <w:t>Transmission and Communication Tower Maintenance</w:t>
      </w:r>
    </w:p>
    <w:p w:rsidR="00553E3D" w:rsidRPr="00772FE4" w14:paraId="7F9A4A85" w14:textId="77777777">
      <w:pPr>
        <w:shd w:val="solid" w:color="FFFFFF" w:fill="FFFFFF"/>
        <w:rPr>
          <w:sz w:val="24"/>
          <w:szCs w:val="24"/>
        </w:rPr>
      </w:pPr>
    </w:p>
    <w:p w:rsidR="00553E3D" w:rsidRPr="00772FE4" w14:paraId="5D29D6F6" w14:textId="14CA83D6">
      <w:pPr>
        <w:shd w:val="solid" w:color="FFFFFF" w:fill="FFFFFF"/>
        <w:rPr>
          <w:sz w:val="24"/>
          <w:szCs w:val="24"/>
        </w:rPr>
      </w:pPr>
      <w:r w:rsidRPr="00772FE4">
        <w:rPr>
          <w:sz w:val="24"/>
          <w:szCs w:val="24"/>
        </w:rPr>
        <w:t xml:space="preserve">For the following three project types: Commercial and Institutional Remodeling, Residential Remodeling, and Repair/Removal of Water Lines, OSHA made slightly different assumptions about </w:t>
      </w:r>
      <w:r w:rsidR="00284783">
        <w:rPr>
          <w:sz w:val="24"/>
          <w:szCs w:val="24"/>
        </w:rPr>
        <w:t>the number of projects</w:t>
      </w:r>
      <w:r w:rsidRPr="00772FE4">
        <w:rPr>
          <w:sz w:val="24"/>
          <w:szCs w:val="24"/>
        </w:rPr>
        <w:t xml:space="preserve"> tested to determine the presence of lead.</w:t>
      </w:r>
    </w:p>
    <w:p w:rsidR="00553E3D" w:rsidRPr="00772FE4" w14:paraId="292884F1" w14:textId="77777777">
      <w:pPr>
        <w:shd w:val="solid" w:color="FFFFFF" w:fill="FFFFFF"/>
        <w:rPr>
          <w:sz w:val="24"/>
          <w:szCs w:val="24"/>
        </w:rPr>
      </w:pPr>
    </w:p>
    <w:p w:rsidR="00553E3D" w:rsidRPr="00772FE4" w14:paraId="1280E8C5" w14:textId="512832B9">
      <w:pPr>
        <w:shd w:val="solid" w:color="FFFFFF" w:fill="FFFFFF"/>
        <w:rPr>
          <w:sz w:val="24"/>
          <w:szCs w:val="24"/>
        </w:rPr>
      </w:pPr>
      <w:r w:rsidRPr="00772FE4">
        <w:rPr>
          <w:sz w:val="24"/>
          <w:szCs w:val="24"/>
        </w:rPr>
        <w:t xml:space="preserve">Remodeling firms engaged in work covered under the “Commercial and Institutional Remodeling and Residential Remodeling” projects only perform lead-detection testing on those projects where they planned to assign workers to perform tasks associated with exposures </w:t>
      </w:r>
      <w:r w:rsidR="00397FA1">
        <w:rPr>
          <w:sz w:val="24"/>
          <w:szCs w:val="24"/>
        </w:rPr>
        <w:t xml:space="preserve">at or </w:t>
      </w:r>
      <w:r w:rsidRPr="00772FE4">
        <w:rPr>
          <w:sz w:val="24"/>
          <w:szCs w:val="24"/>
        </w:rPr>
        <w:t xml:space="preserve">above the action level (e.g., the remodeling tasks listed in paragraph (d)(2)(i) of 1926.62)). </w:t>
      </w:r>
      <w:r w:rsidR="00572D96">
        <w:rPr>
          <w:sz w:val="24"/>
          <w:szCs w:val="24"/>
        </w:rPr>
        <w:t xml:space="preserve"> </w:t>
      </w:r>
      <w:r w:rsidRPr="00772FE4" w:rsidR="004F56CA">
        <w:rPr>
          <w:sz w:val="24"/>
          <w:szCs w:val="24"/>
        </w:rPr>
        <w:t>Otherwise,</w:t>
      </w:r>
      <w:r w:rsidRPr="00772FE4">
        <w:rPr>
          <w:sz w:val="24"/>
          <w:szCs w:val="24"/>
        </w:rPr>
        <w:t xml:space="preserve"> these firms rely on objective data to demonstrate that remodeling work does not result in worker exposures at or above the action level. </w:t>
      </w:r>
      <w:r w:rsidR="00572D96">
        <w:rPr>
          <w:sz w:val="24"/>
          <w:szCs w:val="24"/>
        </w:rPr>
        <w:t xml:space="preserve"> </w:t>
      </w:r>
      <w:r w:rsidRPr="00772FE4">
        <w:rPr>
          <w:sz w:val="24"/>
          <w:szCs w:val="24"/>
        </w:rPr>
        <w:t>(OSHA estimates that objective data is used on 85 percent of commercial and industrial remodeling jobs and 97 percent of residential remodeling jobs).</w:t>
      </w:r>
      <w:r w:rsidR="00572D96">
        <w:rPr>
          <w:sz w:val="24"/>
          <w:szCs w:val="24"/>
        </w:rPr>
        <w:t xml:space="preserve">  </w:t>
      </w:r>
      <w:r w:rsidRPr="00772FE4">
        <w:rPr>
          <w:sz w:val="24"/>
          <w:szCs w:val="24"/>
        </w:rPr>
        <w:t xml:space="preserve">Plumbing firms engaged in repair or removal of water lines do not do lead-testing since they also use objective data to demonstrate that their work does not result in worker exposures at or above the action level. </w:t>
      </w:r>
      <w:r w:rsidR="00572D96">
        <w:rPr>
          <w:sz w:val="24"/>
          <w:szCs w:val="24"/>
        </w:rPr>
        <w:t xml:space="preserve"> </w:t>
      </w:r>
      <w:r w:rsidRPr="00772FE4">
        <w:rPr>
          <w:sz w:val="24"/>
          <w:szCs w:val="24"/>
        </w:rPr>
        <w:t>(The burden hours for provisions relating to objective data and associated recordkeeping are presented below.)</w:t>
      </w:r>
    </w:p>
    <w:p w:rsidR="00553E3D" w:rsidRPr="00772FE4" w14:paraId="766E9186" w14:textId="77777777">
      <w:pPr>
        <w:shd w:val="solid" w:color="FFFFFF" w:fill="FFFFFF"/>
        <w:rPr>
          <w:sz w:val="24"/>
          <w:szCs w:val="24"/>
        </w:rPr>
      </w:pPr>
    </w:p>
    <w:p w:rsidR="003A41FF" w14:paraId="49F4A952" w14:textId="59C4506B">
      <w:pPr>
        <w:shd w:val="solid" w:color="FFFFFF" w:fill="FFFFFF"/>
        <w:rPr>
          <w:sz w:val="24"/>
          <w:szCs w:val="24"/>
        </w:rPr>
      </w:pPr>
      <w:r w:rsidRPr="00772FE4">
        <w:rPr>
          <w:sz w:val="24"/>
          <w:szCs w:val="24"/>
        </w:rPr>
        <w:t xml:space="preserve">For those project types where lead detection is performed, employers use a chemical identification test method (lead-detection swabs) to determine whether lead is present at a particular work site of a given project type. </w:t>
      </w:r>
      <w:r w:rsidR="00013365">
        <w:rPr>
          <w:sz w:val="24"/>
          <w:szCs w:val="24"/>
        </w:rPr>
        <w:t xml:space="preserve"> </w:t>
      </w:r>
      <w:r w:rsidRPr="00772FE4">
        <w:rPr>
          <w:sz w:val="24"/>
          <w:szCs w:val="24"/>
        </w:rPr>
        <w:t>A supervisor, earning $</w:t>
      </w:r>
      <w:r w:rsidR="009C2440">
        <w:rPr>
          <w:sz w:val="24"/>
          <w:szCs w:val="24"/>
        </w:rPr>
        <w:t>5</w:t>
      </w:r>
      <w:r w:rsidR="007D24C1">
        <w:rPr>
          <w:sz w:val="24"/>
          <w:szCs w:val="24"/>
        </w:rPr>
        <w:t>5.55</w:t>
      </w:r>
      <w:r w:rsidRPr="00772FE4">
        <w:rPr>
          <w:sz w:val="24"/>
          <w:szCs w:val="24"/>
        </w:rPr>
        <w:t>, takes 15 minutes (</w:t>
      </w:r>
      <w:r w:rsidR="000107C9">
        <w:rPr>
          <w:sz w:val="24"/>
          <w:szCs w:val="24"/>
        </w:rPr>
        <w:t>15/60</w:t>
      </w:r>
      <w:r w:rsidRPr="00772FE4">
        <w:rPr>
          <w:sz w:val="24"/>
          <w:szCs w:val="24"/>
        </w:rPr>
        <w:t xml:space="preserve"> hour) to test for lead using a chemical identification test method. </w:t>
      </w:r>
      <w:r w:rsidR="00572D96">
        <w:rPr>
          <w:sz w:val="24"/>
          <w:szCs w:val="24"/>
        </w:rPr>
        <w:t xml:space="preserve"> </w:t>
      </w:r>
      <w:r w:rsidRPr="00772FE4">
        <w:rPr>
          <w:sz w:val="24"/>
          <w:szCs w:val="24"/>
        </w:rPr>
        <w:t>The formula for the burden hours by project type is: (# of projects to be tested) × (1 test per project) × (</w:t>
      </w:r>
      <w:r w:rsidR="00AC429E">
        <w:rPr>
          <w:sz w:val="24"/>
          <w:szCs w:val="24"/>
        </w:rPr>
        <w:t>15/60</w:t>
      </w:r>
      <w:r w:rsidRPr="00772FE4">
        <w:rPr>
          <w:sz w:val="24"/>
          <w:szCs w:val="24"/>
        </w:rPr>
        <w:t xml:space="preserve"> hour) = burden hours by project type. </w:t>
      </w:r>
      <w:r w:rsidR="00572D96">
        <w:rPr>
          <w:sz w:val="24"/>
          <w:szCs w:val="24"/>
        </w:rPr>
        <w:t xml:space="preserve"> </w:t>
      </w:r>
      <w:r w:rsidRPr="00772FE4">
        <w:rPr>
          <w:sz w:val="24"/>
          <w:szCs w:val="24"/>
        </w:rPr>
        <w:t xml:space="preserve">The burden hours by project </w:t>
      </w:r>
      <w:r w:rsidRPr="00772FE4" w:rsidR="00AE061E">
        <w:rPr>
          <w:sz w:val="24"/>
          <w:szCs w:val="24"/>
        </w:rPr>
        <w:t>are</w:t>
      </w:r>
      <w:r w:rsidRPr="00772FE4">
        <w:rPr>
          <w:sz w:val="24"/>
          <w:szCs w:val="24"/>
        </w:rPr>
        <w:t xml:space="preserve"> totaled to derive the total number of </w:t>
      </w:r>
    </w:p>
    <w:p w:rsidR="00553E3D" w:rsidRPr="00772FE4" w14:paraId="0AD1B838" w14:textId="5B4DF03C">
      <w:pPr>
        <w:shd w:val="solid" w:color="FFFFFF" w:fill="FFFFFF"/>
        <w:rPr>
          <w:sz w:val="24"/>
          <w:szCs w:val="24"/>
        </w:rPr>
      </w:pPr>
      <w:r w:rsidRPr="00772FE4">
        <w:rPr>
          <w:sz w:val="24"/>
          <w:szCs w:val="24"/>
        </w:rPr>
        <w:t>burden hours across all project types.</w:t>
      </w:r>
      <w:r w:rsidR="00572D96">
        <w:rPr>
          <w:sz w:val="24"/>
          <w:szCs w:val="24"/>
        </w:rPr>
        <w:t xml:space="preserve"> </w:t>
      </w:r>
      <w:r w:rsidRPr="00772FE4">
        <w:rPr>
          <w:sz w:val="24"/>
          <w:szCs w:val="24"/>
        </w:rPr>
        <w:t xml:space="preserve"> OSHA estimated that </w:t>
      </w:r>
      <w:r w:rsidR="00D6026C">
        <w:rPr>
          <w:sz w:val="24"/>
          <w:szCs w:val="24"/>
        </w:rPr>
        <w:t>408,621</w:t>
      </w:r>
      <w:r w:rsidR="00441FBE">
        <w:rPr>
          <w:sz w:val="24"/>
          <w:szCs w:val="24"/>
        </w:rPr>
        <w:t xml:space="preserve"> </w:t>
      </w:r>
      <w:r w:rsidRPr="00772FE4">
        <w:rPr>
          <w:sz w:val="24"/>
          <w:szCs w:val="24"/>
        </w:rPr>
        <w:t>projects are tested to determine whether lead was present or not.</w:t>
      </w:r>
      <w:r>
        <w:rPr>
          <w:sz w:val="24"/>
          <w:szCs w:val="24"/>
          <w:vertAlign w:val="superscript"/>
        </w:rPr>
        <w:footnoteReference w:id="12"/>
      </w:r>
    </w:p>
    <w:p w:rsidR="00553E3D" w:rsidRPr="00772FE4" w14:paraId="2A94FD9C" w14:textId="77777777">
      <w:pPr>
        <w:shd w:val="solid" w:color="FFFFFF" w:fill="FFFFFF"/>
        <w:rPr>
          <w:sz w:val="24"/>
          <w:szCs w:val="24"/>
        </w:rPr>
      </w:pPr>
    </w:p>
    <w:p w:rsidR="00553E3D" w:rsidRPr="00E02388" w14:paraId="30D2052B" w14:textId="7EEED560">
      <w:pPr>
        <w:shd w:val="solid" w:color="FFFFFF" w:fill="FFFFFF"/>
        <w:ind w:firstLine="720"/>
        <w:rPr>
          <w:sz w:val="24"/>
          <w:szCs w:val="24"/>
        </w:rPr>
      </w:pPr>
      <w:r w:rsidRPr="00772FE4">
        <w:rPr>
          <w:b/>
          <w:bCs/>
          <w:sz w:val="24"/>
          <w:szCs w:val="24"/>
        </w:rPr>
        <w:t xml:space="preserve">Burden hours:  </w:t>
      </w:r>
      <w:r w:rsidR="002F24C4">
        <w:rPr>
          <w:b/>
          <w:bCs/>
          <w:sz w:val="24"/>
          <w:szCs w:val="24"/>
        </w:rPr>
        <w:tab/>
      </w:r>
      <w:r w:rsidRPr="00B63DB7" w:rsidR="00D6026C">
        <w:rPr>
          <w:sz w:val="24"/>
          <w:szCs w:val="24"/>
        </w:rPr>
        <w:t>408,621</w:t>
      </w:r>
      <w:r w:rsidR="009C2440">
        <w:rPr>
          <w:sz w:val="24"/>
          <w:szCs w:val="24"/>
        </w:rPr>
        <w:t xml:space="preserve"> </w:t>
      </w:r>
      <w:r w:rsidRPr="00DE0363">
        <w:rPr>
          <w:sz w:val="24"/>
          <w:szCs w:val="24"/>
        </w:rPr>
        <w:t xml:space="preserve">projects x 1 test per project x </w:t>
      </w:r>
      <w:r w:rsidRPr="00DE0363" w:rsidR="00AE061E">
        <w:rPr>
          <w:sz w:val="24"/>
          <w:szCs w:val="24"/>
        </w:rPr>
        <w:t>15/60</w:t>
      </w:r>
      <w:r w:rsidRPr="00DE0363">
        <w:rPr>
          <w:sz w:val="24"/>
          <w:szCs w:val="24"/>
        </w:rPr>
        <w:t xml:space="preserve"> hour</w:t>
      </w:r>
      <w:r w:rsidRPr="00E02388">
        <w:rPr>
          <w:b/>
          <w:bCs/>
          <w:sz w:val="24"/>
          <w:szCs w:val="24"/>
        </w:rPr>
        <w:t xml:space="preserve"> = </w:t>
      </w:r>
      <w:r w:rsidR="007F07C4">
        <w:rPr>
          <w:sz w:val="24"/>
          <w:szCs w:val="24"/>
        </w:rPr>
        <w:t>102,155</w:t>
      </w:r>
      <w:r w:rsidR="009C2440">
        <w:rPr>
          <w:b/>
          <w:bCs/>
          <w:sz w:val="24"/>
          <w:szCs w:val="24"/>
        </w:rPr>
        <w:t xml:space="preserve"> </w:t>
      </w:r>
      <w:r w:rsidRPr="00E02388">
        <w:rPr>
          <w:sz w:val="24"/>
          <w:szCs w:val="24"/>
        </w:rPr>
        <w:t>hours</w:t>
      </w:r>
    </w:p>
    <w:p w:rsidR="00553E3D" w:rsidRPr="00C9078D" w14:paraId="041CFEA5" w14:textId="7B4B8F74">
      <w:pPr>
        <w:shd w:val="solid" w:color="FFFFFF" w:fill="FFFFFF"/>
        <w:ind w:firstLine="720"/>
        <w:rPr>
          <w:sz w:val="24"/>
          <w:szCs w:val="24"/>
        </w:rPr>
      </w:pPr>
      <w:r w:rsidRPr="00E02388">
        <w:rPr>
          <w:b/>
          <w:bCs/>
          <w:sz w:val="24"/>
          <w:szCs w:val="24"/>
        </w:rPr>
        <w:t xml:space="preserve">                Cost:  </w:t>
      </w:r>
      <w:r w:rsidRPr="00E02388" w:rsidR="002F24C4">
        <w:rPr>
          <w:b/>
          <w:bCs/>
          <w:sz w:val="24"/>
          <w:szCs w:val="24"/>
        </w:rPr>
        <w:tab/>
      </w:r>
      <w:r w:rsidR="007F07C4">
        <w:rPr>
          <w:sz w:val="24"/>
          <w:szCs w:val="24"/>
        </w:rPr>
        <w:t>102,155</w:t>
      </w:r>
      <w:r w:rsidR="009B54D8">
        <w:rPr>
          <w:sz w:val="24"/>
          <w:szCs w:val="24"/>
        </w:rPr>
        <w:t xml:space="preserve"> </w:t>
      </w:r>
      <w:r w:rsidRPr="00E02388">
        <w:rPr>
          <w:sz w:val="24"/>
          <w:szCs w:val="24"/>
        </w:rPr>
        <w:t xml:space="preserve">hours × </w:t>
      </w:r>
      <w:r w:rsidR="009C2440">
        <w:rPr>
          <w:sz w:val="24"/>
          <w:szCs w:val="24"/>
        </w:rPr>
        <w:t>$</w:t>
      </w:r>
      <w:r w:rsidR="007124CA">
        <w:rPr>
          <w:sz w:val="24"/>
          <w:szCs w:val="24"/>
        </w:rPr>
        <w:t>55.55</w:t>
      </w:r>
      <w:r w:rsidRPr="00E02388" w:rsidR="00376692">
        <w:rPr>
          <w:sz w:val="24"/>
          <w:szCs w:val="24"/>
        </w:rPr>
        <w:t>=</w:t>
      </w:r>
      <w:r w:rsidRPr="00E02388">
        <w:rPr>
          <w:sz w:val="24"/>
          <w:szCs w:val="24"/>
        </w:rPr>
        <w:t xml:space="preserve"> </w:t>
      </w:r>
      <w:r w:rsidRPr="005D6BC2" w:rsidR="00B45C31">
        <w:rPr>
          <w:sz w:val="24"/>
          <w:szCs w:val="24"/>
        </w:rPr>
        <w:t>$</w:t>
      </w:r>
      <w:r w:rsidR="00291575">
        <w:rPr>
          <w:sz w:val="24"/>
          <w:szCs w:val="24"/>
        </w:rPr>
        <w:t>5,674,</w:t>
      </w:r>
      <w:r w:rsidR="00E416A7">
        <w:rPr>
          <w:sz w:val="24"/>
          <w:szCs w:val="24"/>
        </w:rPr>
        <w:t>710</w:t>
      </w:r>
      <w:r w:rsidR="009B54D8">
        <w:rPr>
          <w:sz w:val="24"/>
          <w:szCs w:val="24"/>
        </w:rPr>
        <w:t xml:space="preserve"> </w:t>
      </w:r>
    </w:p>
    <w:p w:rsidR="00553E3D" w:rsidRPr="00772FE4" w14:paraId="6761A002" w14:textId="77777777">
      <w:pPr>
        <w:shd w:val="solid" w:color="FFFFFF" w:fill="FFFFFF"/>
        <w:rPr>
          <w:sz w:val="24"/>
          <w:szCs w:val="24"/>
        </w:rPr>
      </w:pPr>
    </w:p>
    <w:p w:rsidR="00553E3D" w:rsidRPr="00772FE4" w14:paraId="2744630A" w14:textId="6477551E">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572D96">
        <w:rPr>
          <w:sz w:val="24"/>
          <w:szCs w:val="24"/>
        </w:rPr>
        <w:t xml:space="preserve"> </w:t>
      </w:r>
      <w:r w:rsidRPr="00772FE4">
        <w:rPr>
          <w:sz w:val="24"/>
          <w:szCs w:val="24"/>
        </w:rPr>
        <w:t xml:space="preserve">This determination may be made on the basis of: (1) new exposure monitoring, (2) relevant exposure-monitoring data collected by the employer within the previous 12 months (historical monitoring data), or (3) objective data showing that worst-case exposures will be below the action level. </w:t>
      </w:r>
      <w:r w:rsidR="00572D96">
        <w:rPr>
          <w:sz w:val="24"/>
          <w:szCs w:val="24"/>
        </w:rPr>
        <w:t xml:space="preserve"> </w:t>
      </w:r>
      <w:r w:rsidRPr="00772FE4">
        <w:rPr>
          <w:sz w:val="24"/>
          <w:szCs w:val="24"/>
        </w:rPr>
        <w:t xml:space="preserve">Thus, employers must perform initial determination-related monitoring when objective data or previous exposure monitoring data do not exist or are insufficient for use. </w:t>
      </w:r>
      <w:r w:rsidR="00572D96">
        <w:rPr>
          <w:sz w:val="24"/>
          <w:szCs w:val="24"/>
        </w:rPr>
        <w:t xml:space="preserve"> </w:t>
      </w:r>
      <w:r w:rsidRPr="00772FE4">
        <w:rPr>
          <w:sz w:val="24"/>
          <w:szCs w:val="24"/>
        </w:rPr>
        <w:t>(Exposure monitoring performed to comply with the Initial Determination requirement may also be used to satisfy the Initial Monitoring requirement as described below.)</w:t>
      </w:r>
    </w:p>
    <w:p w:rsidR="00553E3D" w:rsidRPr="00772FE4" w14:paraId="05984935" w14:textId="77777777">
      <w:pPr>
        <w:shd w:val="solid" w:color="FFFFFF" w:fill="FFFFFF"/>
        <w:rPr>
          <w:sz w:val="24"/>
          <w:szCs w:val="24"/>
        </w:rPr>
      </w:pPr>
    </w:p>
    <w:p w:rsidR="00553E3D" w:rsidRPr="00772FE4" w14:paraId="3E3D302D" w14:textId="34A1A73F">
      <w:pPr>
        <w:shd w:val="solid" w:color="FFFFFF" w:fill="FFFFFF"/>
        <w:rPr>
          <w:sz w:val="24"/>
          <w:szCs w:val="24"/>
        </w:rPr>
      </w:pPr>
      <w:r w:rsidRPr="00772FE4">
        <w:rPr>
          <w:sz w:val="24"/>
          <w:szCs w:val="24"/>
        </w:rPr>
        <w:t xml:space="preserve">New employers will conduct monitoring for the first time to satisfy the Initial Determination requirement. </w:t>
      </w:r>
      <w:r w:rsidR="00572D96">
        <w:rPr>
          <w:sz w:val="24"/>
          <w:szCs w:val="24"/>
        </w:rPr>
        <w:t xml:space="preserve"> </w:t>
      </w:r>
      <w:r w:rsidRPr="00772FE4">
        <w:rPr>
          <w:sz w:val="24"/>
          <w:szCs w:val="24"/>
        </w:rPr>
        <w:t xml:space="preserve">Due to increased industry awareness about lead-exposed construction tasks and project types following the promulgation of 1926.62, OSHA expects </w:t>
      </w:r>
      <w:r w:rsidR="00284783">
        <w:rPr>
          <w:sz w:val="24"/>
          <w:szCs w:val="24"/>
        </w:rPr>
        <w:t>these new employers to</w:t>
      </w:r>
      <w:r w:rsidRPr="00772FE4">
        <w:rPr>
          <w:sz w:val="24"/>
          <w:szCs w:val="24"/>
        </w:rPr>
        <w:t xml:space="preserve"> design a representative monitoring program and/or benefit from </w:t>
      </w:r>
      <w:r w:rsidRPr="00772FE4" w:rsidR="00E02AD1">
        <w:rPr>
          <w:sz w:val="24"/>
          <w:szCs w:val="24"/>
        </w:rPr>
        <w:t>recently developed</w:t>
      </w:r>
      <w:r w:rsidRPr="00772FE4">
        <w:rPr>
          <w:sz w:val="24"/>
          <w:szCs w:val="24"/>
        </w:rPr>
        <w:t xml:space="preserve"> industry objective data.</w:t>
      </w:r>
      <w:r w:rsidR="00572D96">
        <w:rPr>
          <w:sz w:val="24"/>
          <w:szCs w:val="24"/>
        </w:rPr>
        <w:t xml:space="preserve"> </w:t>
      </w:r>
      <w:r w:rsidRPr="00772FE4">
        <w:rPr>
          <w:sz w:val="24"/>
          <w:szCs w:val="24"/>
        </w:rPr>
        <w:t xml:space="preserve"> OSHA</w:t>
      </w:r>
      <w:r w:rsidR="00284783">
        <w:rPr>
          <w:sz w:val="24"/>
          <w:szCs w:val="24"/>
        </w:rPr>
        <w:t>, therefore,</w:t>
      </w:r>
      <w:r w:rsidRPr="00772FE4">
        <w:rPr>
          <w:sz w:val="24"/>
          <w:szCs w:val="24"/>
        </w:rPr>
        <w:t xml:space="preserve"> assumes that all new employers, with workers engaged in tasks likely to produce exposures </w:t>
      </w:r>
      <w:r w:rsidR="00AD4840">
        <w:rPr>
          <w:sz w:val="24"/>
          <w:szCs w:val="24"/>
        </w:rPr>
        <w:t xml:space="preserve">at or above </w:t>
      </w:r>
      <w:r w:rsidRPr="00772FE4">
        <w:rPr>
          <w:sz w:val="24"/>
          <w:szCs w:val="24"/>
        </w:rPr>
        <w:t>the action level, will only conduct one session of representative monitoring during their first year of doing business.</w:t>
      </w:r>
    </w:p>
    <w:p w:rsidR="00553E3D" w:rsidRPr="00772FE4" w14:paraId="4C6DF17C" w14:textId="77777777">
      <w:pPr>
        <w:shd w:val="solid" w:color="FFFFFF" w:fill="FFFFFF"/>
        <w:rPr>
          <w:sz w:val="24"/>
          <w:szCs w:val="24"/>
        </w:rPr>
      </w:pPr>
    </w:p>
    <w:p w:rsidR="00553E3D" w:rsidRPr="00772FE4" w14:paraId="30D5F24C" w14:textId="008E55C7">
      <w:pPr>
        <w:shd w:val="solid" w:color="FFFFFF" w:fill="FFFFFF"/>
        <w:rPr>
          <w:sz w:val="24"/>
          <w:szCs w:val="24"/>
        </w:rPr>
      </w:pPr>
      <w:r w:rsidRPr="00772FE4">
        <w:rPr>
          <w:sz w:val="24"/>
          <w:szCs w:val="24"/>
        </w:rPr>
        <w:t xml:space="preserve">For those construction project types where all tasks typically have exposures below the action level, both existing and new employers will use objective data to support </w:t>
      </w:r>
      <w:r w:rsidR="00284783">
        <w:rPr>
          <w:sz w:val="24"/>
          <w:szCs w:val="24"/>
        </w:rPr>
        <w:t xml:space="preserve">the </w:t>
      </w:r>
      <w:r w:rsidRPr="00772FE4">
        <w:rPr>
          <w:sz w:val="24"/>
          <w:szCs w:val="24"/>
        </w:rPr>
        <w:t xml:space="preserve">negative initial determination to comply with the exposure assessment requirements of the Standard (Use of objective data is less burdensome and costly than conducting monitoring). </w:t>
      </w:r>
      <w:r w:rsidR="00572D96">
        <w:rPr>
          <w:sz w:val="24"/>
          <w:szCs w:val="24"/>
        </w:rPr>
        <w:t xml:space="preserve"> </w:t>
      </w:r>
      <w:r w:rsidRPr="00772FE4">
        <w:rPr>
          <w:sz w:val="24"/>
          <w:szCs w:val="24"/>
        </w:rPr>
        <w:t xml:space="preserve">Firms involved in the Commercial and Institutional Remodeling and Residential Remodeling project types use objective data since many lead-exposed remodeling jobs do not involve tasks with </w:t>
      </w:r>
      <w:r w:rsidR="00AD4840">
        <w:rPr>
          <w:sz w:val="24"/>
          <w:szCs w:val="24"/>
        </w:rPr>
        <w:t xml:space="preserve">at or above </w:t>
      </w:r>
      <w:r w:rsidRPr="00772FE4">
        <w:rPr>
          <w:sz w:val="24"/>
          <w:szCs w:val="24"/>
        </w:rPr>
        <w:t xml:space="preserve">the action level. </w:t>
      </w:r>
      <w:r w:rsidR="00572D96">
        <w:rPr>
          <w:sz w:val="24"/>
          <w:szCs w:val="24"/>
        </w:rPr>
        <w:t xml:space="preserve"> </w:t>
      </w:r>
      <w:r w:rsidRPr="00772FE4">
        <w:rPr>
          <w:sz w:val="24"/>
          <w:szCs w:val="24"/>
        </w:rPr>
        <w:t>(The burden hours associated with the Objective Data and Negative Initial Determination requirements are described below).</w:t>
      </w:r>
    </w:p>
    <w:p w:rsidR="00D846EF" w14:paraId="654BB894" w14:textId="77777777">
      <w:pPr>
        <w:shd w:val="solid" w:color="FFFFFF" w:fill="FFFFFF"/>
        <w:rPr>
          <w:sz w:val="24"/>
          <w:szCs w:val="24"/>
        </w:rPr>
      </w:pPr>
    </w:p>
    <w:p w:rsidR="00553E3D" w:rsidRPr="00772FE4" w14:paraId="62F5F719" w14:textId="3899EC36">
      <w:pPr>
        <w:shd w:val="solid" w:color="FFFFFF" w:fill="FFFFFF"/>
        <w:rPr>
          <w:sz w:val="24"/>
          <w:szCs w:val="24"/>
        </w:rPr>
      </w:pPr>
      <w:r w:rsidRPr="00772FE4">
        <w:rPr>
          <w:sz w:val="24"/>
          <w:szCs w:val="24"/>
        </w:rPr>
        <w:t xml:space="preserve">Due to costs and burdens associated with repeated exposure-monitoring, all firms (existing or new businesses) engaged in projects, with worker exposures </w:t>
      </w:r>
      <w:r w:rsidR="00AD4840">
        <w:rPr>
          <w:sz w:val="24"/>
          <w:szCs w:val="24"/>
        </w:rPr>
        <w:t xml:space="preserve">at or above </w:t>
      </w:r>
      <w:r w:rsidRPr="00772FE4">
        <w:rPr>
          <w:sz w:val="24"/>
          <w:szCs w:val="24"/>
        </w:rPr>
        <w:t xml:space="preserve">action level, collect representative monitoring data once per year to comply with the Initial Determination requirement without having to conduct monitoring at every worksite throughout the year. </w:t>
      </w:r>
      <w:r w:rsidR="00572D96">
        <w:rPr>
          <w:sz w:val="24"/>
          <w:szCs w:val="24"/>
        </w:rPr>
        <w:t xml:space="preserve"> </w:t>
      </w:r>
      <w:r w:rsidRPr="00772FE4">
        <w:rPr>
          <w:sz w:val="24"/>
          <w:szCs w:val="24"/>
        </w:rPr>
        <w:t xml:space="preserve">(Representative monitoring is monitoring </w:t>
      </w:r>
      <w:r w:rsidR="00284783">
        <w:rPr>
          <w:sz w:val="24"/>
          <w:szCs w:val="24"/>
        </w:rPr>
        <w:t>that is representative of the exposure of</w:t>
      </w:r>
      <w:r w:rsidRPr="00772FE4">
        <w:rPr>
          <w:sz w:val="24"/>
          <w:szCs w:val="24"/>
        </w:rPr>
        <w:t xml:space="preserve"> each </w:t>
      </w:r>
      <w:r w:rsidR="00FA259D">
        <w:rPr>
          <w:sz w:val="24"/>
          <w:szCs w:val="24"/>
        </w:rPr>
        <w:t>worker</w:t>
      </w:r>
      <w:r w:rsidRPr="00772FE4">
        <w:rPr>
          <w:sz w:val="24"/>
          <w:szCs w:val="24"/>
        </w:rPr>
        <w:t xml:space="preserve"> in the worksite who is exposed to lead.)  The project types where monitoring would occur are as follows (the number of affected firms by the project type is given in parentheses):</w:t>
      </w:r>
    </w:p>
    <w:p w:rsidR="00553E3D" w:rsidRPr="00772FE4" w14:paraId="11156515" w14:textId="77777777">
      <w:pPr>
        <w:shd w:val="solid" w:color="FFFFFF" w:fill="FFFFFF"/>
        <w:rPr>
          <w:sz w:val="24"/>
          <w:szCs w:val="24"/>
        </w:rPr>
      </w:pPr>
    </w:p>
    <w:p w:rsidR="00553E3D" w:rsidRPr="00772FE4" w14:paraId="7CD398CA" w14:textId="1CCB40F7">
      <w:pPr>
        <w:shd w:val="solid" w:color="FFFFFF" w:fill="FFFFFF"/>
        <w:ind w:firstLine="720"/>
        <w:rPr>
          <w:sz w:val="24"/>
          <w:szCs w:val="24"/>
        </w:rPr>
      </w:pPr>
      <w:r w:rsidRPr="00772FE4">
        <w:rPr>
          <w:sz w:val="24"/>
          <w:szCs w:val="24"/>
        </w:rPr>
        <w:t>Highway and Railroad Bridge Repainting (</w:t>
      </w:r>
      <w:r w:rsidR="00AC51EB">
        <w:rPr>
          <w:sz w:val="24"/>
          <w:szCs w:val="24"/>
        </w:rPr>
        <w:t>505</w:t>
      </w:r>
      <w:r w:rsidR="004945CD">
        <w:rPr>
          <w:sz w:val="24"/>
          <w:szCs w:val="24"/>
        </w:rPr>
        <w:t xml:space="preserve"> </w:t>
      </w:r>
      <w:r w:rsidRPr="00772FE4">
        <w:rPr>
          <w:sz w:val="24"/>
          <w:szCs w:val="24"/>
        </w:rPr>
        <w:t>)</w:t>
      </w:r>
    </w:p>
    <w:p w:rsidR="00553E3D" w:rsidRPr="00772FE4" w14:paraId="5C996622" w14:textId="3C8805E5">
      <w:pPr>
        <w:shd w:val="solid" w:color="FFFFFF" w:fill="FFFFFF"/>
        <w:ind w:firstLine="720"/>
        <w:rPr>
          <w:sz w:val="24"/>
          <w:szCs w:val="24"/>
        </w:rPr>
      </w:pPr>
      <w:r w:rsidRPr="00772FE4">
        <w:rPr>
          <w:sz w:val="24"/>
          <w:szCs w:val="24"/>
        </w:rPr>
        <w:t>Highway and Railroad Bridge Rehabilitation (</w:t>
      </w:r>
      <w:r w:rsidR="00AC51EB">
        <w:rPr>
          <w:sz w:val="24"/>
          <w:szCs w:val="24"/>
        </w:rPr>
        <w:t>67</w:t>
      </w:r>
      <w:r w:rsidR="004945CD">
        <w:rPr>
          <w:sz w:val="24"/>
          <w:szCs w:val="24"/>
        </w:rPr>
        <w:t xml:space="preserve"> </w:t>
      </w:r>
      <w:r w:rsidRPr="00772FE4">
        <w:rPr>
          <w:sz w:val="24"/>
          <w:szCs w:val="24"/>
        </w:rPr>
        <w:t>)</w:t>
      </w:r>
    </w:p>
    <w:p w:rsidR="00553E3D" w:rsidRPr="00772FE4" w14:paraId="03EFFDCC" w14:textId="77777777">
      <w:pPr>
        <w:shd w:val="solid" w:color="FFFFFF" w:fill="FFFFFF"/>
        <w:ind w:firstLine="720"/>
        <w:rPr>
          <w:sz w:val="24"/>
          <w:szCs w:val="24"/>
        </w:rPr>
      </w:pPr>
      <w:r w:rsidRPr="00772FE4">
        <w:rPr>
          <w:sz w:val="24"/>
          <w:szCs w:val="24"/>
        </w:rPr>
        <w:t>Water Tank Repainting (0)</w:t>
      </w:r>
    </w:p>
    <w:p w:rsidR="00553E3D" w:rsidRPr="00772FE4" w14:paraId="28E82D9D" w14:textId="4956E494">
      <w:pPr>
        <w:shd w:val="solid" w:color="FFFFFF" w:fill="FFFFFF"/>
        <w:ind w:firstLine="720"/>
        <w:rPr>
          <w:sz w:val="24"/>
          <w:szCs w:val="24"/>
        </w:rPr>
      </w:pPr>
      <w:r w:rsidRPr="00772FE4">
        <w:rPr>
          <w:sz w:val="24"/>
          <w:szCs w:val="24"/>
        </w:rPr>
        <w:t>Petroleum Tank Repainting (</w:t>
      </w:r>
      <w:r w:rsidR="002559C0">
        <w:rPr>
          <w:sz w:val="24"/>
          <w:szCs w:val="24"/>
        </w:rPr>
        <w:t>364</w:t>
      </w:r>
      <w:r w:rsidR="009E5A81">
        <w:rPr>
          <w:sz w:val="24"/>
          <w:szCs w:val="24"/>
        </w:rPr>
        <w:t xml:space="preserve"> </w:t>
      </w:r>
      <w:r w:rsidRPr="00772FE4">
        <w:rPr>
          <w:sz w:val="24"/>
          <w:szCs w:val="24"/>
        </w:rPr>
        <w:t>)</w:t>
      </w:r>
    </w:p>
    <w:p w:rsidR="00553E3D" w:rsidRPr="00772FE4" w14:paraId="6E2AA3D8" w14:textId="77777777">
      <w:pPr>
        <w:shd w:val="solid" w:color="FFFFFF" w:fill="FFFFFF"/>
        <w:ind w:firstLine="720"/>
        <w:rPr>
          <w:sz w:val="24"/>
          <w:szCs w:val="24"/>
        </w:rPr>
      </w:pPr>
      <w:r w:rsidRPr="00772FE4">
        <w:rPr>
          <w:sz w:val="24"/>
          <w:szCs w:val="24"/>
        </w:rPr>
        <w:t>Underground Storage Tank Demolition (0)</w:t>
      </w:r>
    </w:p>
    <w:p w:rsidR="00553E3D" w:rsidRPr="00772FE4" w14:paraId="74DC7E11" w14:textId="258BD90F">
      <w:pPr>
        <w:shd w:val="solid" w:color="FFFFFF" w:fill="FFFFFF"/>
        <w:ind w:firstLine="720"/>
        <w:rPr>
          <w:sz w:val="24"/>
          <w:szCs w:val="24"/>
        </w:rPr>
      </w:pPr>
      <w:r w:rsidRPr="00772FE4">
        <w:rPr>
          <w:sz w:val="24"/>
          <w:szCs w:val="24"/>
        </w:rPr>
        <w:t>Housing Lead Abatement (Public Housing) (</w:t>
      </w:r>
      <w:r w:rsidR="006C3DBB">
        <w:rPr>
          <w:sz w:val="24"/>
          <w:szCs w:val="24"/>
        </w:rPr>
        <w:t>438</w:t>
      </w:r>
      <w:r w:rsidR="005A0AEB">
        <w:rPr>
          <w:sz w:val="24"/>
          <w:szCs w:val="24"/>
        </w:rPr>
        <w:t xml:space="preserve"> </w:t>
      </w:r>
      <w:r w:rsidRPr="00772FE4">
        <w:rPr>
          <w:sz w:val="24"/>
          <w:szCs w:val="24"/>
        </w:rPr>
        <w:t>)</w:t>
      </w:r>
    </w:p>
    <w:p w:rsidR="00553E3D" w:rsidRPr="00772FE4" w14:paraId="49DD41E5" w14:textId="0112DF62">
      <w:pPr>
        <w:shd w:val="solid" w:color="FFFFFF" w:fill="FFFFFF"/>
        <w:ind w:firstLine="720"/>
        <w:rPr>
          <w:sz w:val="24"/>
          <w:szCs w:val="24"/>
        </w:rPr>
      </w:pPr>
      <w:r w:rsidRPr="00772FE4">
        <w:rPr>
          <w:sz w:val="24"/>
          <w:szCs w:val="24"/>
        </w:rPr>
        <w:t>Commercial and Industrial Demolition (</w:t>
      </w:r>
      <w:r w:rsidR="00BA12D8">
        <w:rPr>
          <w:sz w:val="24"/>
          <w:szCs w:val="24"/>
        </w:rPr>
        <w:t>1,442</w:t>
      </w:r>
      <w:r w:rsidR="00981272">
        <w:rPr>
          <w:sz w:val="24"/>
          <w:szCs w:val="24"/>
        </w:rPr>
        <w:t xml:space="preserve"> </w:t>
      </w:r>
      <w:r w:rsidRPr="00772FE4">
        <w:rPr>
          <w:sz w:val="24"/>
          <w:szCs w:val="24"/>
        </w:rPr>
        <w:t>)</w:t>
      </w:r>
    </w:p>
    <w:p w:rsidR="00553E3D" w:rsidRPr="00772FE4" w:rsidP="00A27C19" w14:paraId="4835C170" w14:textId="2A17F6BC">
      <w:pPr>
        <w:shd w:val="solid" w:color="FFFFFF" w:fill="FFFFFF"/>
        <w:tabs>
          <w:tab w:val="right" w:pos="9360"/>
        </w:tabs>
        <w:ind w:firstLine="720"/>
        <w:rPr>
          <w:sz w:val="24"/>
          <w:szCs w:val="24"/>
        </w:rPr>
      </w:pPr>
      <w:r w:rsidRPr="00772FE4">
        <w:rPr>
          <w:sz w:val="24"/>
          <w:szCs w:val="24"/>
        </w:rPr>
        <w:t>Indoor Industrial Facility Maintenance/Renovation (</w:t>
      </w:r>
      <w:r w:rsidR="00744C1E">
        <w:rPr>
          <w:sz w:val="24"/>
          <w:szCs w:val="24"/>
        </w:rPr>
        <w:t>1,286</w:t>
      </w:r>
      <w:r w:rsidR="00981272">
        <w:rPr>
          <w:sz w:val="24"/>
          <w:szCs w:val="24"/>
        </w:rPr>
        <w:t xml:space="preserve"> </w:t>
      </w:r>
      <w:r w:rsidRPr="00772FE4">
        <w:rPr>
          <w:sz w:val="24"/>
          <w:szCs w:val="24"/>
        </w:rPr>
        <w:t>)</w:t>
      </w:r>
      <w:r w:rsidR="00C875CB">
        <w:rPr>
          <w:sz w:val="24"/>
          <w:szCs w:val="24"/>
        </w:rPr>
        <w:tab/>
      </w:r>
    </w:p>
    <w:p w:rsidR="00553E3D" w:rsidRPr="00772FE4" w14:paraId="514AB7F5" w14:textId="74616628">
      <w:pPr>
        <w:shd w:val="solid" w:color="FFFFFF" w:fill="FFFFFF"/>
        <w:ind w:firstLine="720"/>
        <w:rPr>
          <w:sz w:val="24"/>
          <w:szCs w:val="24"/>
        </w:rPr>
      </w:pPr>
      <w:r w:rsidRPr="00772FE4">
        <w:rPr>
          <w:sz w:val="24"/>
          <w:szCs w:val="24"/>
        </w:rPr>
        <w:t>Outdoor Industrial Facility Maintenance/Renovation (</w:t>
      </w:r>
      <w:r w:rsidR="006F736D">
        <w:rPr>
          <w:sz w:val="24"/>
          <w:szCs w:val="24"/>
        </w:rPr>
        <w:t>1</w:t>
      </w:r>
      <w:r w:rsidR="00B82E15">
        <w:rPr>
          <w:sz w:val="24"/>
          <w:szCs w:val="24"/>
        </w:rPr>
        <w:t>,</w:t>
      </w:r>
      <w:r w:rsidR="006F736D">
        <w:rPr>
          <w:sz w:val="24"/>
          <w:szCs w:val="24"/>
        </w:rPr>
        <w:t>6</w:t>
      </w:r>
      <w:r w:rsidR="00B82E15">
        <w:rPr>
          <w:sz w:val="24"/>
          <w:szCs w:val="24"/>
        </w:rPr>
        <w:t>5</w:t>
      </w:r>
      <w:r w:rsidR="006F736D">
        <w:rPr>
          <w:sz w:val="24"/>
          <w:szCs w:val="24"/>
        </w:rPr>
        <w:t>1</w:t>
      </w:r>
      <w:r w:rsidR="00981272">
        <w:rPr>
          <w:sz w:val="24"/>
          <w:szCs w:val="24"/>
        </w:rPr>
        <w:t xml:space="preserve"> </w:t>
      </w:r>
      <w:r w:rsidRPr="00772FE4">
        <w:rPr>
          <w:sz w:val="24"/>
          <w:szCs w:val="24"/>
        </w:rPr>
        <w:t>)</w:t>
      </w:r>
    </w:p>
    <w:p w:rsidR="00553E3D" w:rsidRPr="00F564A3" w14:paraId="3A801CC7" w14:textId="118E929F">
      <w:pPr>
        <w:shd w:val="solid" w:color="FFFFFF" w:fill="FFFFFF"/>
        <w:ind w:firstLine="720"/>
        <w:rPr>
          <w:sz w:val="24"/>
          <w:szCs w:val="24"/>
        </w:rPr>
      </w:pPr>
      <w:r w:rsidRPr="00772FE4">
        <w:rPr>
          <w:sz w:val="24"/>
          <w:szCs w:val="24"/>
        </w:rPr>
        <w:t>Industrial Process Equipment Manufacture/Maintenance/</w:t>
      </w:r>
      <w:r w:rsidRPr="00716774">
        <w:rPr>
          <w:sz w:val="24"/>
          <w:szCs w:val="24"/>
        </w:rPr>
        <w:t>Repair</w:t>
      </w:r>
      <w:r w:rsidRPr="00F564A3">
        <w:rPr>
          <w:sz w:val="24"/>
          <w:szCs w:val="24"/>
        </w:rPr>
        <w:t xml:space="preserve"> (</w:t>
      </w:r>
      <w:r w:rsidRPr="00F564A3" w:rsidR="00F564A3">
        <w:rPr>
          <w:sz w:val="24"/>
          <w:szCs w:val="24"/>
        </w:rPr>
        <w:t>0</w:t>
      </w:r>
      <w:r w:rsidRPr="00F564A3">
        <w:rPr>
          <w:sz w:val="24"/>
          <w:szCs w:val="24"/>
        </w:rPr>
        <w:t>)</w:t>
      </w:r>
    </w:p>
    <w:p w:rsidR="00553E3D" w:rsidRPr="00772FE4" w14:paraId="5FDCD1E9" w14:textId="3837DDA1">
      <w:pPr>
        <w:shd w:val="solid" w:color="FFFFFF" w:fill="FFFFFF"/>
        <w:ind w:firstLine="720"/>
        <w:rPr>
          <w:sz w:val="24"/>
          <w:szCs w:val="24"/>
        </w:rPr>
      </w:pPr>
      <w:r w:rsidRPr="00F564A3">
        <w:rPr>
          <w:sz w:val="24"/>
          <w:szCs w:val="24"/>
        </w:rPr>
        <w:t>Industrial Vacuuming (</w:t>
      </w:r>
      <w:r w:rsidRPr="00F564A3" w:rsidR="008312C6">
        <w:rPr>
          <w:sz w:val="24"/>
          <w:szCs w:val="24"/>
        </w:rPr>
        <w:t>113</w:t>
      </w:r>
      <w:r w:rsidRPr="00F564A3">
        <w:rPr>
          <w:sz w:val="24"/>
          <w:szCs w:val="24"/>
        </w:rPr>
        <w:t>)</w:t>
      </w:r>
    </w:p>
    <w:p w:rsidR="00553E3D" w:rsidRPr="00772FE4" w14:paraId="356DCCC2" w14:textId="523E4520">
      <w:pPr>
        <w:shd w:val="solid" w:color="FFFFFF" w:fill="FFFFFF"/>
        <w:ind w:firstLine="720"/>
        <w:rPr>
          <w:sz w:val="24"/>
          <w:szCs w:val="24"/>
        </w:rPr>
      </w:pPr>
      <w:r w:rsidRPr="00772FE4">
        <w:rPr>
          <w:sz w:val="24"/>
          <w:szCs w:val="24"/>
        </w:rPr>
        <w:t>Stained Glass Window Removal (</w:t>
      </w:r>
      <w:r w:rsidR="0067062F">
        <w:rPr>
          <w:sz w:val="24"/>
          <w:szCs w:val="24"/>
        </w:rPr>
        <w:t>3</w:t>
      </w:r>
      <w:r w:rsidR="00EC16BC">
        <w:rPr>
          <w:sz w:val="24"/>
          <w:szCs w:val="24"/>
        </w:rPr>
        <w:t xml:space="preserve"> </w:t>
      </w:r>
      <w:r w:rsidRPr="00772FE4">
        <w:rPr>
          <w:sz w:val="24"/>
          <w:szCs w:val="24"/>
        </w:rPr>
        <w:t>)</w:t>
      </w:r>
    </w:p>
    <w:p w:rsidR="00553E3D" w:rsidRPr="00772FE4" w14:paraId="505504A5" w14:textId="39EEBC16">
      <w:pPr>
        <w:shd w:val="solid" w:color="FFFFFF" w:fill="FFFFFF"/>
        <w:ind w:firstLine="720"/>
        <w:rPr>
          <w:sz w:val="24"/>
          <w:szCs w:val="24"/>
        </w:rPr>
      </w:pPr>
      <w:r w:rsidRPr="00772FE4">
        <w:rPr>
          <w:sz w:val="24"/>
          <w:szCs w:val="24"/>
        </w:rPr>
        <w:t>Commercial and Institutional Remodeling (</w:t>
      </w:r>
      <w:r w:rsidR="000352CD">
        <w:rPr>
          <w:sz w:val="24"/>
          <w:szCs w:val="24"/>
        </w:rPr>
        <w:t>20,201</w:t>
      </w:r>
      <w:r w:rsidR="00EC16BC">
        <w:rPr>
          <w:sz w:val="24"/>
          <w:szCs w:val="24"/>
        </w:rPr>
        <w:t xml:space="preserve"> </w:t>
      </w:r>
      <w:r w:rsidRPr="00772FE4">
        <w:rPr>
          <w:sz w:val="24"/>
          <w:szCs w:val="24"/>
        </w:rPr>
        <w:t>)</w:t>
      </w:r>
    </w:p>
    <w:p w:rsidR="00553E3D" w:rsidRPr="00772FE4" w14:paraId="68A0036F" w14:textId="16B25B35">
      <w:pPr>
        <w:shd w:val="solid" w:color="FFFFFF" w:fill="FFFFFF"/>
        <w:ind w:firstLine="720"/>
        <w:rPr>
          <w:sz w:val="24"/>
          <w:szCs w:val="24"/>
        </w:rPr>
      </w:pPr>
      <w:r w:rsidRPr="00772FE4">
        <w:rPr>
          <w:sz w:val="24"/>
          <w:szCs w:val="24"/>
        </w:rPr>
        <w:t>Residential Remodeling (</w:t>
      </w:r>
      <w:r w:rsidR="00880289">
        <w:rPr>
          <w:sz w:val="24"/>
          <w:szCs w:val="24"/>
        </w:rPr>
        <w:t>37,676</w:t>
      </w:r>
      <w:r w:rsidR="00432C83">
        <w:rPr>
          <w:sz w:val="24"/>
          <w:szCs w:val="24"/>
        </w:rPr>
        <w:t xml:space="preserve"> </w:t>
      </w:r>
      <w:r w:rsidRPr="00772FE4">
        <w:rPr>
          <w:sz w:val="24"/>
          <w:szCs w:val="24"/>
        </w:rPr>
        <w:t>)</w:t>
      </w:r>
    </w:p>
    <w:p w:rsidR="00553E3D" w:rsidRPr="00772FE4" w14:paraId="5DB09CD4" w14:textId="5361B11B">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 (</w:t>
      </w:r>
      <w:r w:rsidR="002B7E3D">
        <w:rPr>
          <w:sz w:val="24"/>
          <w:szCs w:val="24"/>
        </w:rPr>
        <w:t>8,333</w:t>
      </w:r>
      <w:r w:rsidR="00432C83">
        <w:rPr>
          <w:sz w:val="24"/>
          <w:szCs w:val="24"/>
        </w:rPr>
        <w:t xml:space="preserve"> </w:t>
      </w:r>
      <w:r w:rsidRPr="00772FE4">
        <w:rPr>
          <w:sz w:val="24"/>
          <w:szCs w:val="24"/>
        </w:rPr>
        <w:t>)</w:t>
      </w:r>
    </w:p>
    <w:p w:rsidR="00553E3D" w:rsidRPr="00772FE4" w14:paraId="5B7D533F" w14:textId="77777777">
      <w:pPr>
        <w:shd w:val="solid" w:color="FFFFFF" w:fill="FFFFFF"/>
        <w:ind w:firstLine="720"/>
        <w:rPr>
          <w:sz w:val="24"/>
          <w:szCs w:val="24"/>
        </w:rPr>
      </w:pPr>
      <w:r w:rsidRPr="00772FE4">
        <w:rPr>
          <w:sz w:val="24"/>
          <w:szCs w:val="24"/>
        </w:rPr>
        <w:t>Transmission and Communication Tower Maintenance (0)</w:t>
      </w:r>
    </w:p>
    <w:p w:rsidR="00553E3D" w:rsidRPr="00772FE4" w14:paraId="71EF76BE" w14:textId="77777777">
      <w:pPr>
        <w:shd w:val="solid" w:color="FFFFFF" w:fill="FFFFFF"/>
        <w:rPr>
          <w:sz w:val="24"/>
          <w:szCs w:val="24"/>
        </w:rPr>
      </w:pPr>
    </w:p>
    <w:p w:rsidR="00553E3D" w:rsidRPr="00772FE4" w14:paraId="0AAB5595" w14:textId="20A0CA51">
      <w:pPr>
        <w:shd w:val="solid" w:color="FFFFFF" w:fill="FFFFFF"/>
        <w:rPr>
          <w:sz w:val="24"/>
          <w:szCs w:val="24"/>
        </w:rPr>
      </w:pPr>
      <w:r w:rsidRPr="00772FE4">
        <w:rPr>
          <w:sz w:val="24"/>
          <w:szCs w:val="24"/>
        </w:rPr>
        <w:t xml:space="preserve">By totaling the number of affected firms by project type, OSHA estimates that each of </w:t>
      </w:r>
      <w:r w:rsidRPr="00772FE4" w:rsidR="003B0C01">
        <w:rPr>
          <w:sz w:val="24"/>
          <w:szCs w:val="24"/>
        </w:rPr>
        <w:t>the</w:t>
      </w:r>
      <w:r w:rsidR="003B0C01">
        <w:rPr>
          <w:sz w:val="24"/>
          <w:szCs w:val="24"/>
        </w:rPr>
        <w:t xml:space="preserve"> </w:t>
      </w:r>
      <w:r w:rsidR="00B45C31">
        <w:rPr>
          <w:sz w:val="24"/>
          <w:szCs w:val="24"/>
        </w:rPr>
        <w:t>67,069</w:t>
      </w:r>
      <w:r w:rsidR="00A92580">
        <w:rPr>
          <w:sz w:val="24"/>
          <w:szCs w:val="24"/>
        </w:rPr>
        <w:t xml:space="preserve"> </w:t>
      </w:r>
      <w:r w:rsidRPr="00772FE4">
        <w:rPr>
          <w:sz w:val="24"/>
          <w:szCs w:val="24"/>
        </w:rPr>
        <w:t xml:space="preserve">firms engaged in the project types listed above conducts one session of representative monitoring annually </w:t>
      </w:r>
      <w:r w:rsidRPr="00772FE4" w:rsidR="004F56CA">
        <w:rPr>
          <w:sz w:val="24"/>
          <w:szCs w:val="24"/>
        </w:rPr>
        <w:t>to</w:t>
      </w:r>
      <w:r w:rsidRPr="00772FE4">
        <w:rPr>
          <w:sz w:val="24"/>
          <w:szCs w:val="24"/>
        </w:rPr>
        <w:t xml:space="preserve"> satisfy the Initial Determination requirement.</w:t>
      </w:r>
      <w:r w:rsidR="00001BAB">
        <w:rPr>
          <w:sz w:val="24"/>
          <w:szCs w:val="24"/>
        </w:rPr>
        <w:t xml:space="preserve"> </w:t>
      </w:r>
    </w:p>
    <w:p w:rsidR="00553E3D" w:rsidRPr="00772FE4" w14:paraId="69FEE0A9" w14:textId="77777777">
      <w:pPr>
        <w:shd w:val="solid" w:color="FFFFFF" w:fill="FFFFFF"/>
        <w:rPr>
          <w:sz w:val="24"/>
          <w:szCs w:val="24"/>
        </w:rPr>
      </w:pPr>
    </w:p>
    <w:p w:rsidR="00553E3D" w:rsidRPr="00772FE4" w14:paraId="71FDA1B0" w14:textId="0258E9B1">
      <w:pPr>
        <w:shd w:val="solid" w:color="FFFFFF" w:fill="FFFFFF"/>
        <w:rPr>
          <w:sz w:val="24"/>
          <w:szCs w:val="24"/>
        </w:rPr>
      </w:pPr>
      <w:r w:rsidRPr="00772FE4">
        <w:rPr>
          <w:sz w:val="24"/>
          <w:szCs w:val="24"/>
        </w:rPr>
        <w:t xml:space="preserve">Based on industry and project type characteristics, </w:t>
      </w:r>
      <w:r w:rsidR="005C1214">
        <w:rPr>
          <w:sz w:val="24"/>
          <w:szCs w:val="24"/>
        </w:rPr>
        <w:t>57,</w:t>
      </w:r>
      <w:r w:rsidR="006669CE">
        <w:rPr>
          <w:sz w:val="24"/>
          <w:szCs w:val="24"/>
        </w:rPr>
        <w:t>877</w:t>
      </w:r>
      <w:r w:rsidR="00425F9F">
        <w:rPr>
          <w:sz w:val="24"/>
          <w:szCs w:val="24"/>
        </w:rPr>
        <w:t xml:space="preserve"> </w:t>
      </w:r>
      <w:r w:rsidRPr="00772FE4">
        <w:rPr>
          <w:sz w:val="24"/>
          <w:szCs w:val="24"/>
        </w:rPr>
        <w:t>total firms engaged in Commercial and Institutional Remodeling (</w:t>
      </w:r>
      <w:r w:rsidR="004D5F13">
        <w:rPr>
          <w:sz w:val="24"/>
          <w:szCs w:val="24"/>
        </w:rPr>
        <w:t xml:space="preserve">20,201 </w:t>
      </w:r>
      <w:r w:rsidR="009C2440">
        <w:rPr>
          <w:sz w:val="24"/>
          <w:szCs w:val="24"/>
        </w:rPr>
        <w:t>8</w:t>
      </w:r>
      <w:r w:rsidRPr="00772FE4">
        <w:rPr>
          <w:sz w:val="24"/>
          <w:szCs w:val="24"/>
        </w:rPr>
        <w:t xml:space="preserve"> firms) and Residential Remodeling (</w:t>
      </w:r>
      <w:r w:rsidR="00336DAD">
        <w:rPr>
          <w:sz w:val="24"/>
          <w:szCs w:val="24"/>
        </w:rPr>
        <w:t>37,676 firms</w:t>
      </w:r>
      <w:r w:rsidRPr="00772FE4">
        <w:rPr>
          <w:sz w:val="24"/>
          <w:szCs w:val="24"/>
        </w:rPr>
        <w:t xml:space="preserve">) use in-house staff to perform exposure-monitoring since it is most cost-effective. </w:t>
      </w:r>
      <w:r w:rsidR="00572D96">
        <w:rPr>
          <w:sz w:val="24"/>
          <w:szCs w:val="24"/>
        </w:rPr>
        <w:t xml:space="preserve"> </w:t>
      </w:r>
      <w:r w:rsidR="00284783">
        <w:rPr>
          <w:sz w:val="24"/>
          <w:szCs w:val="24"/>
        </w:rPr>
        <w:t xml:space="preserve">Therefore, the burden hours and wage costs associated with representative monitoring are calculated below for the 53,924 firms engaged in these </w:t>
      </w:r>
      <w:r w:rsidRPr="00772FE4">
        <w:rPr>
          <w:sz w:val="24"/>
          <w:szCs w:val="24"/>
        </w:rPr>
        <w:t xml:space="preserve">project types. </w:t>
      </w:r>
      <w:r w:rsidR="00572D96">
        <w:rPr>
          <w:sz w:val="24"/>
          <w:szCs w:val="24"/>
        </w:rPr>
        <w:t xml:space="preserve"> </w:t>
      </w:r>
      <w:r w:rsidRPr="00772FE4">
        <w:rPr>
          <w:sz w:val="24"/>
          <w:szCs w:val="24"/>
        </w:rPr>
        <w:t>The costs for analyzing the associated air monitoring samples are included in the response to Item 13.</w:t>
      </w:r>
    </w:p>
    <w:p w:rsidR="00553E3D" w:rsidRPr="00772FE4" w14:paraId="2A30C52A" w14:textId="77777777">
      <w:pPr>
        <w:shd w:val="solid" w:color="FFFFFF" w:fill="FFFFFF"/>
        <w:rPr>
          <w:sz w:val="24"/>
          <w:szCs w:val="24"/>
        </w:rPr>
      </w:pPr>
    </w:p>
    <w:p w:rsidR="00553E3D" w:rsidRPr="00772FE4" w14:paraId="2C08A936" w14:textId="774AD573">
      <w:pPr>
        <w:shd w:val="solid" w:color="FFFFFF" w:fill="FFFFFF"/>
        <w:rPr>
          <w:sz w:val="24"/>
          <w:szCs w:val="24"/>
        </w:rPr>
      </w:pPr>
      <w:r w:rsidRPr="00772FE4">
        <w:rPr>
          <w:sz w:val="24"/>
          <w:szCs w:val="24"/>
        </w:rPr>
        <w:t xml:space="preserve">The remaining </w:t>
      </w:r>
      <w:r w:rsidR="00650320">
        <w:rPr>
          <w:sz w:val="24"/>
          <w:szCs w:val="24"/>
        </w:rPr>
        <w:t>14,243</w:t>
      </w:r>
      <w:r w:rsidRPr="00772FE4">
        <w:rPr>
          <w:sz w:val="24"/>
          <w:szCs w:val="24"/>
        </w:rPr>
        <w:t xml:space="preserve"> firms (all firms in all of the affected project types except for Commercial and Institutional Remodeling and Residential Remodeling) hire industrial hygienist contractors to perform exposure-monitoring, since it is more cost-effective. </w:t>
      </w:r>
      <w:r w:rsidR="00572D96">
        <w:rPr>
          <w:sz w:val="24"/>
          <w:szCs w:val="24"/>
        </w:rPr>
        <w:t xml:space="preserve"> </w:t>
      </w:r>
      <w:r w:rsidRPr="00772FE4">
        <w:rPr>
          <w:sz w:val="24"/>
          <w:szCs w:val="24"/>
        </w:rPr>
        <w:t xml:space="preserve">For these firms, there are no burden hours or costs associated with Item 12. </w:t>
      </w:r>
      <w:r w:rsidR="00572D96">
        <w:rPr>
          <w:sz w:val="24"/>
          <w:szCs w:val="24"/>
        </w:rPr>
        <w:t xml:space="preserve"> </w:t>
      </w:r>
      <w:r w:rsidRPr="00772FE4">
        <w:rPr>
          <w:sz w:val="24"/>
          <w:szCs w:val="24"/>
        </w:rPr>
        <w:t>The cost of purchasing industrial hygiene contractor services and the costs for analyzing the associated air monitoring samples are included in the response to Item 13.</w:t>
      </w:r>
    </w:p>
    <w:p w:rsidR="00553E3D" w:rsidRPr="00772FE4" w14:paraId="635044FF" w14:textId="77777777">
      <w:pPr>
        <w:shd w:val="solid" w:color="FFFFFF" w:fill="FFFFFF"/>
        <w:rPr>
          <w:sz w:val="24"/>
          <w:szCs w:val="24"/>
        </w:rPr>
      </w:pPr>
    </w:p>
    <w:p w:rsidR="00D846EF" w14:paraId="639FF30B" w14:textId="77777777">
      <w:pPr>
        <w:shd w:val="solid" w:color="FFFFFF" w:fill="FFFFFF"/>
        <w:rPr>
          <w:sz w:val="24"/>
          <w:szCs w:val="24"/>
        </w:rPr>
      </w:pPr>
      <w:r w:rsidRPr="00772FE4">
        <w:rPr>
          <w:sz w:val="24"/>
          <w:szCs w:val="24"/>
        </w:rPr>
        <w:t xml:space="preserve">Due to the small scale, short duration, and relative rarity of lead-exposed projects among </w:t>
      </w:r>
    </w:p>
    <w:p w:rsidR="00553E3D" w:rsidRPr="00772FE4" w14:paraId="1973D650" w14:textId="0A3BE4F6">
      <w:pPr>
        <w:shd w:val="solid" w:color="FFFFFF" w:fill="FFFFFF"/>
        <w:rPr>
          <w:sz w:val="24"/>
          <w:szCs w:val="24"/>
        </w:rPr>
      </w:pPr>
      <w:r w:rsidRPr="00772FE4">
        <w:rPr>
          <w:sz w:val="24"/>
          <w:szCs w:val="24"/>
        </w:rPr>
        <w:t xml:space="preserve">Commercial and Institutional Remodeling and Residential Remodeling projects, OSHA concludes that it is more cost-effective for employers engaged in these projects to purchase monitoring equipment and have construction supervisors conduct the necessary exposure monitoring rather than paying industrial hygienist contractors to collect data. </w:t>
      </w:r>
      <w:r w:rsidR="00572D96">
        <w:rPr>
          <w:sz w:val="24"/>
          <w:szCs w:val="24"/>
        </w:rPr>
        <w:t xml:space="preserve"> </w:t>
      </w:r>
      <w:r w:rsidRPr="00772FE4">
        <w:rPr>
          <w:sz w:val="24"/>
          <w:szCs w:val="24"/>
        </w:rPr>
        <w:t>Performing representative monitoring and reporting results on a Commercial and Institutional Remodeling project takes three hours of a construction supervisor’s time per monitoring.</w:t>
      </w:r>
      <w:r w:rsidR="00572D96">
        <w:rPr>
          <w:sz w:val="24"/>
          <w:szCs w:val="24"/>
        </w:rPr>
        <w:t xml:space="preserve"> </w:t>
      </w:r>
      <w:r w:rsidRPr="00772FE4">
        <w:rPr>
          <w:sz w:val="24"/>
          <w:szCs w:val="24"/>
        </w:rPr>
        <w:t xml:space="preserve"> Performing representative monitoring and reporting results on a Residential Remodeling project takes two hours of a construction supervisor’s time per monitoring.</w:t>
      </w:r>
    </w:p>
    <w:p w:rsidR="00441FBE" w14:paraId="37E43227" w14:textId="77777777">
      <w:pPr>
        <w:shd w:val="solid" w:color="FFFFFF" w:fill="FFFFFF"/>
        <w:rPr>
          <w:sz w:val="24"/>
          <w:szCs w:val="24"/>
        </w:rPr>
      </w:pPr>
    </w:p>
    <w:p w:rsidR="00553E3D" w:rsidRPr="00772FE4" w14:paraId="484454A4" w14:textId="36CFEC92">
      <w:pPr>
        <w:shd w:val="solid" w:color="FFFFFF" w:fill="FFFFFF"/>
        <w:rPr>
          <w:sz w:val="24"/>
          <w:szCs w:val="24"/>
        </w:rPr>
      </w:pPr>
      <w:r w:rsidRPr="00772FE4">
        <w:rPr>
          <w:sz w:val="24"/>
          <w:szCs w:val="24"/>
        </w:rPr>
        <w:t xml:space="preserve">The formula </w:t>
      </w:r>
      <w:r w:rsidR="00CF6F20">
        <w:rPr>
          <w:sz w:val="24"/>
          <w:szCs w:val="24"/>
        </w:rPr>
        <w:t>for calculating the number of representative monitoring by project type (conducted to satisfy the Initial Determination requirement) is: (# of affected firms by project type) × (1 representative monitoring/firm/year) = # of monitoring</w:t>
      </w:r>
      <w:r w:rsidRPr="00772FE4">
        <w:rPr>
          <w:sz w:val="24"/>
          <w:szCs w:val="24"/>
        </w:rPr>
        <w:t xml:space="preserve"> by project type. </w:t>
      </w:r>
    </w:p>
    <w:p w:rsidR="00553E3D" w:rsidRPr="00772FE4" w14:paraId="006FF23F" w14:textId="77777777">
      <w:pPr>
        <w:shd w:val="solid" w:color="FFFFFF" w:fill="FFFFFF"/>
        <w:rPr>
          <w:sz w:val="24"/>
          <w:szCs w:val="24"/>
        </w:rPr>
      </w:pPr>
    </w:p>
    <w:p w:rsidR="00553E3D" w:rsidRPr="00772FE4" w14:paraId="61AD061E" w14:textId="77777777">
      <w:pPr>
        <w:shd w:val="solid" w:color="FFFFFF" w:fill="FFFFFF"/>
        <w:rPr>
          <w:sz w:val="24"/>
          <w:szCs w:val="24"/>
        </w:rPr>
      </w:pPr>
      <w:r w:rsidRPr="00772FE4">
        <w:rPr>
          <w:sz w:val="24"/>
          <w:szCs w:val="24"/>
        </w:rPr>
        <w:t xml:space="preserve">The total burden hour formula by project type is: (# of monitoring by project type) × (# of labor hours by project type/monitoring) = burden hours by project type. </w:t>
      </w:r>
    </w:p>
    <w:p w:rsidR="00553E3D" w:rsidRPr="00772FE4" w14:paraId="45D0A5AF" w14:textId="77777777">
      <w:pPr>
        <w:shd w:val="solid" w:color="FFFFFF" w:fill="FFFFFF"/>
        <w:rPr>
          <w:sz w:val="24"/>
          <w:szCs w:val="24"/>
        </w:rPr>
      </w:pPr>
    </w:p>
    <w:p w:rsidR="00553E3D" w:rsidRPr="00772FE4" w14:paraId="70710862" w14:textId="77777777">
      <w:pPr>
        <w:shd w:val="solid" w:color="FFFFFF" w:fill="FFFFFF"/>
        <w:rPr>
          <w:sz w:val="24"/>
          <w:szCs w:val="24"/>
        </w:rPr>
      </w:pPr>
      <w:r w:rsidRPr="00772FE4">
        <w:rPr>
          <w:sz w:val="24"/>
          <w:szCs w:val="24"/>
        </w:rPr>
        <w:t>The cost formula is: (# of monitoring by project type) × (# of labor hours by project type/monitoring) × (labor cost/hour) = cost by project type.</w:t>
      </w:r>
    </w:p>
    <w:p w:rsidR="00553E3D" w:rsidRPr="00772FE4" w14:paraId="3B5B8153" w14:textId="77777777">
      <w:pPr>
        <w:shd w:val="solid" w:color="FFFFFF" w:fill="FFFFFF"/>
        <w:rPr>
          <w:sz w:val="24"/>
          <w:szCs w:val="24"/>
        </w:rPr>
      </w:pPr>
    </w:p>
    <w:p w:rsidR="00553E3D" w:rsidRPr="00772FE4" w14:paraId="407D3261" w14:textId="77777777">
      <w:pPr>
        <w:shd w:val="solid" w:color="FFFFFF" w:fill="FFFFFF"/>
        <w:rPr>
          <w:b/>
          <w:bCs/>
          <w:sz w:val="24"/>
          <w:szCs w:val="24"/>
        </w:rPr>
      </w:pPr>
      <w:r w:rsidRPr="00772FE4">
        <w:rPr>
          <w:sz w:val="24"/>
          <w:szCs w:val="24"/>
        </w:rPr>
        <w:t xml:space="preserve">OSHA used the following specific formulas to calculate the burden and costs of this requirement </w:t>
      </w:r>
      <w:r w:rsidRPr="00772FE4">
        <w:rPr>
          <w:sz w:val="24"/>
          <w:szCs w:val="24"/>
        </w:rPr>
        <w:t>for firms engaged in remodeling project types.</w:t>
      </w:r>
    </w:p>
    <w:p w:rsidR="00553E3D" w:rsidRPr="00772FE4" w14:paraId="1E029C4A" w14:textId="77777777">
      <w:pPr>
        <w:rPr>
          <w:sz w:val="24"/>
          <w:szCs w:val="24"/>
        </w:rPr>
      </w:pPr>
    </w:p>
    <w:p w:rsidR="00553E3D" w:rsidRPr="00772FE4" w14:paraId="65328FAF" w14:textId="77777777">
      <w:pPr>
        <w:ind w:firstLine="720"/>
        <w:rPr>
          <w:sz w:val="24"/>
          <w:szCs w:val="24"/>
          <w:u w:val="single"/>
        </w:rPr>
      </w:pPr>
      <w:r w:rsidRPr="00772FE4">
        <w:rPr>
          <w:sz w:val="24"/>
          <w:szCs w:val="24"/>
          <w:u w:val="single"/>
        </w:rPr>
        <w:t>For firms engaged in Commercial and Institutional remodeling projects:</w:t>
      </w:r>
    </w:p>
    <w:p w:rsidR="00553E3D" w:rsidRPr="00772FE4" w14:paraId="5FBF0D61" w14:textId="77777777">
      <w:pPr>
        <w:rPr>
          <w:sz w:val="24"/>
          <w:szCs w:val="24"/>
        </w:rPr>
      </w:pPr>
    </w:p>
    <w:p w:rsidR="00553E3D" w:rsidRPr="00772FE4" w14:paraId="3F713627" w14:textId="42B6402D">
      <w:pPr>
        <w:ind w:firstLine="720"/>
        <w:rPr>
          <w:sz w:val="24"/>
          <w:szCs w:val="24"/>
        </w:rPr>
      </w:pPr>
      <w:r w:rsidRPr="00772FE4">
        <w:rPr>
          <w:sz w:val="24"/>
          <w:szCs w:val="24"/>
        </w:rPr>
        <w:t>(</w:t>
      </w:r>
      <w:r w:rsidR="009A2793">
        <w:rPr>
          <w:sz w:val="24"/>
          <w:szCs w:val="24"/>
        </w:rPr>
        <w:t>20,201</w:t>
      </w:r>
      <w:r w:rsidRPr="00772FE4">
        <w:rPr>
          <w:sz w:val="24"/>
          <w:szCs w:val="24"/>
        </w:rPr>
        <w:t xml:space="preserve"> firms) × (1 representative monitoring/firm/year) = </w:t>
      </w:r>
      <w:r w:rsidR="009A2793">
        <w:rPr>
          <w:sz w:val="24"/>
          <w:szCs w:val="24"/>
        </w:rPr>
        <w:t>20,201</w:t>
      </w:r>
      <w:r w:rsidRPr="00772FE4">
        <w:rPr>
          <w:sz w:val="24"/>
          <w:szCs w:val="24"/>
        </w:rPr>
        <w:t xml:space="preserve"> monitoring sessions </w:t>
      </w:r>
    </w:p>
    <w:p w:rsidR="00553E3D" w:rsidRPr="00772FE4" w14:paraId="75374FEE" w14:textId="77777777">
      <w:pPr>
        <w:rPr>
          <w:sz w:val="24"/>
          <w:szCs w:val="24"/>
        </w:rPr>
      </w:pPr>
    </w:p>
    <w:p w:rsidR="00553E3D" w:rsidRPr="00E02388" w14:paraId="66024E87" w14:textId="08B89400">
      <w:pPr>
        <w:ind w:firstLine="720"/>
        <w:rPr>
          <w:sz w:val="24"/>
          <w:szCs w:val="24"/>
        </w:rPr>
      </w:pPr>
      <w:r w:rsidRPr="00772FE4">
        <w:rPr>
          <w:b/>
          <w:bCs/>
          <w:sz w:val="24"/>
          <w:szCs w:val="24"/>
        </w:rPr>
        <w:t>Burden hours:</w:t>
      </w:r>
      <w:r w:rsidR="002F24C4">
        <w:rPr>
          <w:sz w:val="24"/>
          <w:szCs w:val="24"/>
        </w:rPr>
        <w:tab/>
      </w:r>
      <w:r w:rsidR="009A2793">
        <w:rPr>
          <w:sz w:val="24"/>
          <w:szCs w:val="24"/>
        </w:rPr>
        <w:t>20,201</w:t>
      </w:r>
      <w:r w:rsidRPr="00DE0363">
        <w:rPr>
          <w:sz w:val="24"/>
          <w:szCs w:val="24"/>
        </w:rPr>
        <w:t xml:space="preserve"> monitoring sessions × 3 hours = </w:t>
      </w:r>
      <w:r w:rsidR="00BE7CE0">
        <w:rPr>
          <w:sz w:val="24"/>
          <w:szCs w:val="24"/>
        </w:rPr>
        <w:t>60,603</w:t>
      </w:r>
      <w:r w:rsidRPr="00E02388">
        <w:rPr>
          <w:sz w:val="24"/>
          <w:szCs w:val="24"/>
        </w:rPr>
        <w:t xml:space="preserve"> hours</w:t>
      </w:r>
    </w:p>
    <w:p w:rsidR="00553E3D" w:rsidRPr="00772FE4" w14:paraId="018B6EA2" w14:textId="41D6632E">
      <w:pPr>
        <w:ind w:firstLine="720"/>
        <w:rPr>
          <w:sz w:val="24"/>
          <w:szCs w:val="24"/>
        </w:rPr>
      </w:pPr>
      <w:r w:rsidRPr="00E02388">
        <w:rPr>
          <w:b/>
          <w:bCs/>
          <w:sz w:val="24"/>
          <w:szCs w:val="24"/>
        </w:rPr>
        <w:tab/>
        <w:t xml:space="preserve">   Cost:</w:t>
      </w:r>
      <w:r w:rsidRPr="00E02388" w:rsidR="002F24C4">
        <w:rPr>
          <w:sz w:val="24"/>
          <w:szCs w:val="24"/>
        </w:rPr>
        <w:t xml:space="preserve">   </w:t>
      </w:r>
      <w:r w:rsidRPr="00E02388" w:rsidR="002F24C4">
        <w:rPr>
          <w:sz w:val="24"/>
          <w:szCs w:val="24"/>
        </w:rPr>
        <w:tab/>
      </w:r>
      <w:r w:rsidR="00512D1E">
        <w:rPr>
          <w:sz w:val="24"/>
          <w:szCs w:val="24"/>
        </w:rPr>
        <w:t>60</w:t>
      </w:r>
      <w:r w:rsidR="00BF5139">
        <w:rPr>
          <w:sz w:val="24"/>
          <w:szCs w:val="24"/>
        </w:rPr>
        <w:t>,603</w:t>
      </w:r>
      <w:r w:rsidRPr="00E02388">
        <w:rPr>
          <w:sz w:val="24"/>
          <w:szCs w:val="24"/>
        </w:rPr>
        <w:t xml:space="preserve"> hours × </w:t>
      </w:r>
      <w:r w:rsidRPr="00E02388" w:rsidR="00376692">
        <w:rPr>
          <w:sz w:val="24"/>
          <w:szCs w:val="24"/>
        </w:rPr>
        <w:t>$</w:t>
      </w:r>
      <w:r w:rsidR="003E3AE8">
        <w:rPr>
          <w:sz w:val="24"/>
          <w:szCs w:val="24"/>
        </w:rPr>
        <w:t>55.55</w:t>
      </w:r>
      <w:r w:rsidRPr="00E02388" w:rsidR="00376692">
        <w:rPr>
          <w:sz w:val="24"/>
          <w:szCs w:val="24"/>
        </w:rPr>
        <w:t xml:space="preserve"> =</w:t>
      </w:r>
      <w:r w:rsidRPr="00E02388">
        <w:rPr>
          <w:sz w:val="24"/>
          <w:szCs w:val="24"/>
        </w:rPr>
        <w:t xml:space="preserve"> $</w:t>
      </w:r>
      <w:r w:rsidR="00B472A8">
        <w:rPr>
          <w:sz w:val="24"/>
          <w:szCs w:val="24"/>
        </w:rPr>
        <w:t>3,</w:t>
      </w:r>
      <w:r w:rsidR="0033008F">
        <w:rPr>
          <w:sz w:val="24"/>
          <w:szCs w:val="24"/>
        </w:rPr>
        <w:t xml:space="preserve">363,467 </w:t>
      </w:r>
    </w:p>
    <w:p w:rsidR="00553E3D" w:rsidRPr="00772FE4" w14:paraId="5D1FEB4E" w14:textId="77777777">
      <w:pPr>
        <w:rPr>
          <w:sz w:val="24"/>
          <w:szCs w:val="24"/>
        </w:rPr>
      </w:pPr>
    </w:p>
    <w:p w:rsidR="00553E3D" w:rsidRPr="00772FE4" w14:paraId="2C9300DB" w14:textId="77777777">
      <w:pPr>
        <w:ind w:firstLine="720"/>
        <w:rPr>
          <w:sz w:val="24"/>
          <w:szCs w:val="24"/>
          <w:u w:val="single"/>
        </w:rPr>
      </w:pPr>
      <w:r w:rsidRPr="00772FE4">
        <w:rPr>
          <w:sz w:val="24"/>
          <w:szCs w:val="24"/>
          <w:u w:val="single"/>
        </w:rPr>
        <w:t xml:space="preserve">For firms engaged in </w:t>
      </w:r>
      <w:r w:rsidRPr="007C7138">
        <w:rPr>
          <w:sz w:val="24"/>
          <w:szCs w:val="24"/>
          <w:u w:val="single"/>
        </w:rPr>
        <w:t>Residential Remodeling projects</w:t>
      </w:r>
      <w:r w:rsidRPr="00772FE4">
        <w:rPr>
          <w:sz w:val="24"/>
          <w:szCs w:val="24"/>
          <w:u w:val="single"/>
        </w:rPr>
        <w:t>:</w:t>
      </w:r>
    </w:p>
    <w:p w:rsidR="00553E3D" w:rsidRPr="00772FE4" w14:paraId="1E94979E" w14:textId="77777777">
      <w:pPr>
        <w:rPr>
          <w:sz w:val="24"/>
          <w:szCs w:val="24"/>
        </w:rPr>
      </w:pPr>
    </w:p>
    <w:p w:rsidR="00553E3D" w:rsidRPr="00772FE4" w14:paraId="45895BDE" w14:textId="43D1A623">
      <w:pPr>
        <w:ind w:firstLine="720"/>
        <w:rPr>
          <w:sz w:val="24"/>
          <w:szCs w:val="24"/>
        </w:rPr>
      </w:pPr>
      <w:r w:rsidRPr="00772FE4">
        <w:rPr>
          <w:sz w:val="24"/>
          <w:szCs w:val="24"/>
        </w:rPr>
        <w:t>(</w:t>
      </w:r>
      <w:r w:rsidR="009C2440">
        <w:rPr>
          <w:sz w:val="24"/>
          <w:szCs w:val="24"/>
        </w:rPr>
        <w:t>37,676</w:t>
      </w:r>
      <w:r w:rsidRPr="00772FE4">
        <w:rPr>
          <w:sz w:val="24"/>
          <w:szCs w:val="24"/>
        </w:rPr>
        <w:t xml:space="preserve">) × (1 representative monitoring/firm/year) = </w:t>
      </w:r>
      <w:r w:rsidR="009C2440">
        <w:rPr>
          <w:sz w:val="24"/>
          <w:szCs w:val="24"/>
        </w:rPr>
        <w:t>37,676</w:t>
      </w:r>
      <w:r w:rsidRPr="00772FE4">
        <w:rPr>
          <w:sz w:val="24"/>
          <w:szCs w:val="24"/>
        </w:rPr>
        <w:t xml:space="preserve"> monitoring sessions </w:t>
      </w:r>
    </w:p>
    <w:p w:rsidR="00553E3D" w:rsidRPr="00772FE4" w14:paraId="41963AD3" w14:textId="77777777">
      <w:pPr>
        <w:rPr>
          <w:sz w:val="24"/>
          <w:szCs w:val="24"/>
        </w:rPr>
      </w:pPr>
    </w:p>
    <w:p w:rsidR="00553E3D" w:rsidRPr="00772FE4" w14:paraId="3B5B8F10" w14:textId="01ECA192">
      <w:pPr>
        <w:ind w:firstLine="720"/>
        <w:rPr>
          <w:sz w:val="24"/>
          <w:szCs w:val="24"/>
        </w:rPr>
      </w:pPr>
      <w:r w:rsidRPr="00772FE4">
        <w:rPr>
          <w:b/>
          <w:bCs/>
          <w:sz w:val="24"/>
          <w:szCs w:val="24"/>
        </w:rPr>
        <w:t>Burden hours:</w:t>
      </w:r>
      <w:r w:rsidR="002F24C4">
        <w:rPr>
          <w:b/>
          <w:bCs/>
          <w:sz w:val="24"/>
          <w:szCs w:val="24"/>
        </w:rPr>
        <w:tab/>
      </w:r>
      <w:r w:rsidR="009C2440">
        <w:rPr>
          <w:sz w:val="24"/>
          <w:szCs w:val="24"/>
        </w:rPr>
        <w:t>37,676</w:t>
      </w:r>
      <w:r w:rsidRPr="00772FE4">
        <w:rPr>
          <w:sz w:val="24"/>
          <w:szCs w:val="24"/>
        </w:rPr>
        <w:t xml:space="preserve"> monitoring</w:t>
      </w:r>
      <w:r w:rsidR="00AE061E">
        <w:rPr>
          <w:sz w:val="24"/>
          <w:szCs w:val="24"/>
        </w:rPr>
        <w:t xml:space="preserve"> sessions</w:t>
      </w:r>
      <w:r w:rsidRPr="00772FE4">
        <w:rPr>
          <w:sz w:val="24"/>
          <w:szCs w:val="24"/>
        </w:rPr>
        <w:t xml:space="preserve"> × 2 hours = </w:t>
      </w:r>
      <w:r w:rsidR="009C2440">
        <w:rPr>
          <w:sz w:val="24"/>
          <w:szCs w:val="24"/>
        </w:rPr>
        <w:t>75,352</w:t>
      </w:r>
      <w:r w:rsidR="00425F9F">
        <w:rPr>
          <w:sz w:val="24"/>
          <w:szCs w:val="24"/>
        </w:rPr>
        <w:t xml:space="preserve"> </w:t>
      </w:r>
      <w:r w:rsidRPr="00772FE4">
        <w:rPr>
          <w:sz w:val="24"/>
          <w:szCs w:val="24"/>
        </w:rPr>
        <w:t>hours</w:t>
      </w:r>
    </w:p>
    <w:p w:rsidR="00553E3D" w14:paraId="428C2D8E" w14:textId="7B68997D">
      <w:pPr>
        <w:ind w:firstLine="720"/>
        <w:rPr>
          <w:sz w:val="24"/>
          <w:szCs w:val="24"/>
        </w:rPr>
      </w:pPr>
      <w:r w:rsidRPr="00772FE4">
        <w:rPr>
          <w:b/>
          <w:bCs/>
          <w:sz w:val="24"/>
          <w:szCs w:val="24"/>
        </w:rPr>
        <w:t xml:space="preserve">               Cost:</w:t>
      </w:r>
      <w:r w:rsidR="002F24C4">
        <w:rPr>
          <w:b/>
          <w:bCs/>
          <w:sz w:val="24"/>
          <w:szCs w:val="24"/>
        </w:rPr>
        <w:tab/>
      </w:r>
      <w:r w:rsidR="009C2440">
        <w:rPr>
          <w:sz w:val="24"/>
          <w:szCs w:val="24"/>
        </w:rPr>
        <w:t>75,352</w:t>
      </w:r>
      <w:r w:rsidR="00425F9F">
        <w:rPr>
          <w:sz w:val="24"/>
          <w:szCs w:val="24"/>
        </w:rPr>
        <w:t xml:space="preserve"> </w:t>
      </w:r>
      <w:r w:rsidRPr="00772FE4">
        <w:rPr>
          <w:sz w:val="24"/>
          <w:szCs w:val="24"/>
        </w:rPr>
        <w:t>hours × $</w:t>
      </w:r>
      <w:r w:rsidR="009C2440">
        <w:rPr>
          <w:sz w:val="24"/>
          <w:szCs w:val="24"/>
        </w:rPr>
        <w:t>5</w:t>
      </w:r>
      <w:r w:rsidR="00645C7D">
        <w:rPr>
          <w:sz w:val="24"/>
          <w:szCs w:val="24"/>
        </w:rPr>
        <w:t>5.55</w:t>
      </w:r>
      <w:r w:rsidRPr="00772FE4">
        <w:rPr>
          <w:sz w:val="24"/>
          <w:szCs w:val="24"/>
        </w:rPr>
        <w:t xml:space="preserve"> = $</w:t>
      </w:r>
      <w:r w:rsidR="00432115">
        <w:rPr>
          <w:sz w:val="24"/>
          <w:szCs w:val="24"/>
        </w:rPr>
        <w:t>4,185,</w:t>
      </w:r>
      <w:r w:rsidR="00557A29">
        <w:rPr>
          <w:sz w:val="24"/>
          <w:szCs w:val="24"/>
        </w:rPr>
        <w:t xml:space="preserve">804 </w:t>
      </w:r>
    </w:p>
    <w:p w:rsidR="00553E3D" w:rsidRPr="00772FE4" w14:paraId="16BC8B23" w14:textId="77777777">
      <w:pPr>
        <w:rPr>
          <w:sz w:val="24"/>
          <w:szCs w:val="24"/>
        </w:rPr>
      </w:pPr>
    </w:p>
    <w:p w:rsidR="00553E3D" w:rsidRPr="00772FE4" w14:paraId="5A327C6E" w14:textId="1480E3BA">
      <w:pPr>
        <w:shd w:val="solid" w:color="FFFFFF" w:fill="FFFFFF"/>
        <w:rPr>
          <w:sz w:val="24"/>
          <w:szCs w:val="24"/>
        </w:rPr>
      </w:pPr>
      <w:r w:rsidRPr="00772FE4">
        <w:rPr>
          <w:sz w:val="24"/>
          <w:szCs w:val="24"/>
        </w:rPr>
        <w:t xml:space="preserve">The total burden hours for firms engaged in Commercial and Institutional Remodeling projects and in Residential Remodeling projects is </w:t>
      </w:r>
      <w:r w:rsidR="00600A57">
        <w:rPr>
          <w:sz w:val="24"/>
          <w:szCs w:val="24"/>
        </w:rPr>
        <w:t>135,955</w:t>
      </w:r>
      <w:r w:rsidR="00425F9F">
        <w:rPr>
          <w:sz w:val="24"/>
          <w:szCs w:val="24"/>
        </w:rPr>
        <w:t xml:space="preserve"> </w:t>
      </w:r>
      <w:r w:rsidRPr="00772FE4">
        <w:rPr>
          <w:sz w:val="24"/>
          <w:szCs w:val="24"/>
        </w:rPr>
        <w:t>hours (</w:t>
      </w:r>
      <w:r w:rsidR="00696735">
        <w:rPr>
          <w:sz w:val="24"/>
          <w:szCs w:val="24"/>
        </w:rPr>
        <w:t>60,</w:t>
      </w:r>
      <w:r w:rsidR="00305440">
        <w:rPr>
          <w:sz w:val="24"/>
          <w:szCs w:val="24"/>
        </w:rPr>
        <w:t>603</w:t>
      </w:r>
      <w:r w:rsidR="009C2440">
        <w:rPr>
          <w:sz w:val="24"/>
          <w:szCs w:val="24"/>
        </w:rPr>
        <w:t>48,744</w:t>
      </w:r>
      <w:r w:rsidRPr="00772FE4">
        <w:rPr>
          <w:sz w:val="24"/>
          <w:szCs w:val="24"/>
        </w:rPr>
        <w:t xml:space="preserve"> hou</w:t>
      </w:r>
      <w:r>
        <w:rPr>
          <w:sz w:val="24"/>
          <w:szCs w:val="24"/>
        </w:rPr>
        <w:t>r</w:t>
      </w:r>
      <w:r w:rsidRPr="00772FE4">
        <w:rPr>
          <w:sz w:val="24"/>
          <w:szCs w:val="24"/>
        </w:rPr>
        <w:t>s for Comm</w:t>
      </w:r>
      <w:r>
        <w:rPr>
          <w:sz w:val="24"/>
          <w:szCs w:val="24"/>
        </w:rPr>
        <w:t>e</w:t>
      </w:r>
      <w:r w:rsidRPr="00772FE4">
        <w:rPr>
          <w:sz w:val="24"/>
          <w:szCs w:val="24"/>
        </w:rPr>
        <w:t>rc</w:t>
      </w:r>
      <w:r>
        <w:rPr>
          <w:sz w:val="24"/>
          <w:szCs w:val="24"/>
        </w:rPr>
        <w:t>i</w:t>
      </w:r>
      <w:r w:rsidRPr="00772FE4">
        <w:rPr>
          <w:sz w:val="24"/>
          <w:szCs w:val="24"/>
        </w:rPr>
        <w:t xml:space="preserve">al and Industrial Remodeling firms plus the </w:t>
      </w:r>
      <w:r w:rsidR="00336DAD">
        <w:rPr>
          <w:sz w:val="24"/>
          <w:szCs w:val="24"/>
        </w:rPr>
        <w:t>75,352 hours</w:t>
      </w:r>
      <w:r w:rsidRPr="00772FE4">
        <w:rPr>
          <w:sz w:val="24"/>
          <w:szCs w:val="24"/>
        </w:rPr>
        <w:t xml:space="preserve"> for Residential Remodeling).</w:t>
      </w:r>
    </w:p>
    <w:p w:rsidR="00553E3D" w:rsidRPr="00772FE4" w14:paraId="5DDC6312" w14:textId="77777777">
      <w:pPr>
        <w:shd w:val="solid" w:color="FFFFFF" w:fill="FFFFFF"/>
        <w:rPr>
          <w:sz w:val="24"/>
          <w:szCs w:val="24"/>
        </w:rPr>
      </w:pPr>
    </w:p>
    <w:p w:rsidR="00553E3D" w:rsidRPr="00772FE4" w14:paraId="07B1B7FA" w14:textId="77777777">
      <w:pPr>
        <w:shd w:val="solid" w:color="FFFFFF" w:fill="FFFFFF"/>
        <w:rPr>
          <w:sz w:val="24"/>
          <w:szCs w:val="24"/>
        </w:rPr>
      </w:pPr>
    </w:p>
    <w:p w:rsidR="00553E3D" w:rsidRPr="00772FE4" w14:paraId="47EBA033" w14:textId="421EC96F">
      <w:pPr>
        <w:shd w:val="solid" w:color="FFFFFF" w:fill="FFFFFF"/>
        <w:ind w:firstLine="720"/>
        <w:rPr>
          <w:sz w:val="24"/>
          <w:szCs w:val="24"/>
        </w:rPr>
      </w:pPr>
      <w:r w:rsidRPr="00772FE4">
        <w:rPr>
          <w:b/>
          <w:bCs/>
          <w:sz w:val="24"/>
          <w:szCs w:val="24"/>
        </w:rPr>
        <w:t>Total Burden Hours for Initial Determination:</w:t>
      </w:r>
    </w:p>
    <w:p w:rsidR="00553E3D" w:rsidRPr="00772FE4" w14:paraId="356DAF14" w14:textId="77777777">
      <w:pPr>
        <w:shd w:val="solid" w:color="FFFFFF" w:fill="FFFFFF"/>
        <w:rPr>
          <w:sz w:val="24"/>
          <w:szCs w:val="24"/>
        </w:rPr>
      </w:pPr>
    </w:p>
    <w:p w:rsidR="00553E3D" w:rsidRPr="00772FE4" w14:paraId="4BE250FB" w14:textId="4F39B65F">
      <w:pPr>
        <w:shd w:val="solid" w:color="FFFFFF" w:fill="FFFFFF"/>
        <w:rPr>
          <w:sz w:val="24"/>
          <w:szCs w:val="24"/>
        </w:rPr>
      </w:pPr>
      <w:r w:rsidRPr="00772FE4">
        <w:rPr>
          <w:sz w:val="24"/>
          <w:szCs w:val="24"/>
        </w:rPr>
        <w:t>The total annual burden hours associated with the Initial Determination requirement are the sum of the total annual burden hours associated with determining the presence of lead and the total annual burden hours associated with conducting representative monitoring (</w:t>
      </w:r>
      <w:r w:rsidR="00336DAD">
        <w:rPr>
          <w:sz w:val="24"/>
          <w:szCs w:val="24"/>
        </w:rPr>
        <w:t>102,155 hours</w:t>
      </w:r>
      <w:r w:rsidRPr="00772FE4">
        <w:rPr>
          <w:sz w:val="24"/>
          <w:szCs w:val="24"/>
        </w:rPr>
        <w:t xml:space="preserve"> + </w:t>
      </w:r>
      <w:r w:rsidR="003C3882">
        <w:rPr>
          <w:sz w:val="24"/>
          <w:szCs w:val="24"/>
        </w:rPr>
        <w:t>135,955 hours</w:t>
      </w:r>
      <w:r w:rsidRPr="00772FE4">
        <w:rPr>
          <w:sz w:val="24"/>
          <w:szCs w:val="24"/>
        </w:rPr>
        <w:t>).</w:t>
      </w:r>
      <w:r w:rsidR="00881F26">
        <w:rPr>
          <w:sz w:val="24"/>
          <w:szCs w:val="24"/>
        </w:rPr>
        <w:t xml:space="preserve"> </w:t>
      </w:r>
      <w:r w:rsidRPr="00772FE4">
        <w:rPr>
          <w:sz w:val="24"/>
          <w:szCs w:val="24"/>
        </w:rPr>
        <w:t xml:space="preserve"> The total annual burden hours associated with this requirement are</w:t>
      </w:r>
      <w:r w:rsidRPr="00772FE4">
        <w:rPr>
          <w:b/>
          <w:bCs/>
          <w:sz w:val="24"/>
          <w:szCs w:val="24"/>
        </w:rPr>
        <w:t xml:space="preserve"> </w:t>
      </w:r>
      <w:r w:rsidRPr="00745EBC" w:rsidR="00745EBC">
        <w:rPr>
          <w:b/>
          <w:bCs/>
          <w:sz w:val="24"/>
          <w:szCs w:val="24"/>
        </w:rPr>
        <w:t>238,110</w:t>
      </w:r>
      <w:r w:rsidR="005975D7">
        <w:rPr>
          <w:b/>
          <w:bCs/>
          <w:sz w:val="24"/>
          <w:szCs w:val="24"/>
        </w:rPr>
        <w:t xml:space="preserve"> </w:t>
      </w:r>
      <w:r w:rsidRPr="00772FE4">
        <w:rPr>
          <w:b/>
          <w:bCs/>
          <w:sz w:val="24"/>
          <w:szCs w:val="24"/>
        </w:rPr>
        <w:t>hours</w:t>
      </w:r>
      <w:r w:rsidRPr="00772FE4">
        <w:rPr>
          <w:sz w:val="24"/>
          <w:szCs w:val="24"/>
        </w:rPr>
        <w:t>.</w:t>
      </w:r>
    </w:p>
    <w:p w:rsidR="003A41FF" w14:paraId="442A022D" w14:textId="77777777">
      <w:pPr>
        <w:shd w:val="solid" w:color="FFFFFF" w:fill="FFFFFF"/>
        <w:rPr>
          <w:sz w:val="24"/>
          <w:szCs w:val="24"/>
        </w:rPr>
      </w:pPr>
    </w:p>
    <w:p w:rsidR="00553E3D" w:rsidRPr="00772FE4" w14:paraId="6A6606B9" w14:textId="77777777">
      <w:pPr>
        <w:shd w:val="solid" w:color="FFFFFF" w:fill="FFFFFF"/>
        <w:rPr>
          <w:b/>
          <w:bCs/>
          <w:sz w:val="24"/>
          <w:szCs w:val="24"/>
        </w:rPr>
      </w:pPr>
    </w:p>
    <w:p w:rsidR="00553E3D" w:rsidRPr="00772FE4" w14:paraId="671CE22A" w14:textId="77777777">
      <w:pPr>
        <w:shd w:val="solid" w:color="FFFFFF" w:fill="FFFFFF"/>
        <w:ind w:left="684"/>
        <w:rPr>
          <w:sz w:val="24"/>
          <w:szCs w:val="24"/>
        </w:rPr>
      </w:pPr>
      <w:r w:rsidRPr="00772FE4">
        <w:rPr>
          <w:b/>
          <w:bCs/>
          <w:sz w:val="24"/>
          <w:szCs w:val="24"/>
        </w:rPr>
        <w:t>(2)</w:t>
      </w:r>
      <w:r w:rsidRPr="00772FE4">
        <w:rPr>
          <w:b/>
          <w:bCs/>
          <w:sz w:val="24"/>
          <w:szCs w:val="24"/>
        </w:rPr>
        <w:tab/>
        <w:t>Objective Data</w:t>
      </w:r>
      <w:r w:rsidRPr="00772FE4">
        <w:rPr>
          <w:b/>
          <w:bCs/>
          <w:sz w:val="24"/>
          <w:szCs w:val="24"/>
        </w:rPr>
        <w:tab/>
      </w:r>
    </w:p>
    <w:p w:rsidR="00553E3D" w:rsidRPr="00772FE4" w14:paraId="5A1D41DE" w14:textId="77777777">
      <w:pPr>
        <w:shd w:val="solid" w:color="FFFFFF" w:fill="FFFFFF"/>
        <w:rPr>
          <w:sz w:val="24"/>
          <w:szCs w:val="24"/>
        </w:rPr>
      </w:pPr>
    </w:p>
    <w:p w:rsidR="00553E3D" w:rsidRPr="00772FE4" w14:paraId="2F74CEF8" w14:textId="269FF268">
      <w:pPr>
        <w:shd w:val="solid" w:color="FFFFFF" w:fill="FFFFFF"/>
        <w:rPr>
          <w:sz w:val="24"/>
          <w:szCs w:val="24"/>
        </w:rPr>
      </w:pPr>
      <w:r w:rsidRPr="00772FE4">
        <w:rPr>
          <w:sz w:val="24"/>
          <w:szCs w:val="24"/>
        </w:rPr>
        <w:t>Employers may use objective data to make an initial determination instead of performing exposure-monitoring</w:t>
      </w:r>
      <w:r w:rsidR="00B62D39">
        <w:rPr>
          <w:sz w:val="24"/>
          <w:szCs w:val="24"/>
        </w:rPr>
        <w:t>,</w:t>
      </w:r>
      <w:r w:rsidRPr="00772FE4">
        <w:rPr>
          <w:sz w:val="24"/>
          <w:szCs w:val="24"/>
        </w:rPr>
        <w:t xml:space="preserve"> thereby reducing burden hours and costs. </w:t>
      </w:r>
      <w:r w:rsidR="00881F26">
        <w:rPr>
          <w:sz w:val="24"/>
          <w:szCs w:val="24"/>
        </w:rPr>
        <w:t xml:space="preserve"> </w:t>
      </w:r>
      <w:r w:rsidRPr="00772FE4">
        <w:rPr>
          <w:sz w:val="24"/>
          <w:szCs w:val="24"/>
        </w:rPr>
        <w:t xml:space="preserve">Employers whose lead-exposed operations never </w:t>
      </w:r>
      <w:r w:rsidR="00CD4A3B">
        <w:rPr>
          <w:sz w:val="24"/>
          <w:szCs w:val="24"/>
        </w:rPr>
        <w:t xml:space="preserve">meet or </w:t>
      </w:r>
      <w:r w:rsidRPr="00772FE4">
        <w:rPr>
          <w:sz w:val="24"/>
          <w:szCs w:val="24"/>
        </w:rPr>
        <w:t xml:space="preserve">exceed the action level have paperwork burdens for obtaining and reviewing objective data, making negative initial determinations, and keeping records of the objective data used to make negative initial determinations. </w:t>
      </w:r>
    </w:p>
    <w:p w:rsidR="00553E3D" w:rsidRPr="00772FE4" w14:paraId="2F34DA75" w14:textId="77777777">
      <w:pPr>
        <w:shd w:val="solid" w:color="FFFFFF" w:fill="FFFFFF"/>
        <w:rPr>
          <w:sz w:val="24"/>
          <w:szCs w:val="24"/>
        </w:rPr>
      </w:pPr>
    </w:p>
    <w:p w:rsidR="00553E3D" w:rsidRPr="00772FE4" w14:paraId="19AD9698" w14:textId="74164CA0">
      <w:pPr>
        <w:shd w:val="solid" w:color="FFFFFF" w:fill="FFFFFF"/>
        <w:rPr>
          <w:sz w:val="24"/>
          <w:szCs w:val="24"/>
        </w:rPr>
      </w:pPr>
      <w:r w:rsidRPr="00772FE4">
        <w:rPr>
          <w:sz w:val="24"/>
          <w:szCs w:val="24"/>
        </w:rPr>
        <w:t xml:space="preserve">OSHA assumes that </w:t>
      </w:r>
      <w:r w:rsidR="00183735">
        <w:rPr>
          <w:sz w:val="24"/>
          <w:szCs w:val="24"/>
        </w:rPr>
        <w:t>161</w:t>
      </w:r>
      <w:r w:rsidR="00017D80">
        <w:rPr>
          <w:sz w:val="24"/>
          <w:szCs w:val="24"/>
        </w:rPr>
        <w:t>,156</w:t>
      </w:r>
      <w:r w:rsidR="00FE562A">
        <w:rPr>
          <w:sz w:val="24"/>
          <w:szCs w:val="24"/>
        </w:rPr>
        <w:t xml:space="preserve"> </w:t>
      </w:r>
      <w:r w:rsidRPr="00772FE4">
        <w:rPr>
          <w:sz w:val="24"/>
          <w:szCs w:val="24"/>
        </w:rPr>
        <w:t xml:space="preserve">firms engage in the following project types use objective data </w:t>
      </w:r>
      <w:r w:rsidR="003C3882">
        <w:rPr>
          <w:sz w:val="24"/>
          <w:szCs w:val="24"/>
        </w:rPr>
        <w:t>to</w:t>
      </w:r>
      <w:r w:rsidRPr="00772FE4">
        <w:rPr>
          <w:sz w:val="24"/>
          <w:szCs w:val="24"/>
        </w:rPr>
        <w:t xml:space="preserve"> demonstrate that their worst-case exposures do not </w:t>
      </w:r>
      <w:r w:rsidR="00397FA1">
        <w:rPr>
          <w:sz w:val="24"/>
          <w:szCs w:val="24"/>
        </w:rPr>
        <w:t xml:space="preserve">meet or </w:t>
      </w:r>
      <w:r w:rsidRPr="00772FE4">
        <w:rPr>
          <w:sz w:val="24"/>
          <w:szCs w:val="24"/>
        </w:rPr>
        <w:t>exceed the action level. These project types and the number of affected firms are as follows:</w:t>
      </w:r>
    </w:p>
    <w:p w:rsidR="00553E3D" w:rsidRPr="00772FE4" w14:paraId="337701C3" w14:textId="77777777">
      <w:pPr>
        <w:rPr>
          <w:sz w:val="24"/>
          <w:szCs w:val="24"/>
        </w:rPr>
      </w:pPr>
    </w:p>
    <w:p w:rsidR="00553E3D" w:rsidRPr="00772FE4" w14:paraId="778B66AF" w14:textId="422E1E43">
      <w:pPr>
        <w:ind w:firstLine="720"/>
        <w:rPr>
          <w:sz w:val="24"/>
          <w:szCs w:val="24"/>
        </w:rPr>
      </w:pPr>
      <w:r w:rsidRPr="00772FE4">
        <w:rPr>
          <w:sz w:val="24"/>
          <w:szCs w:val="24"/>
        </w:rPr>
        <w:t>Housing Lead Abatement (Private Housing) (</w:t>
      </w:r>
      <w:r w:rsidR="003C3882">
        <w:rPr>
          <w:sz w:val="24"/>
          <w:szCs w:val="24"/>
        </w:rPr>
        <w:t>4,984)</w:t>
      </w:r>
    </w:p>
    <w:p w:rsidR="00553E3D" w:rsidRPr="00772FE4" w14:paraId="39EF4767" w14:textId="28C08BD0">
      <w:pPr>
        <w:ind w:firstLine="720"/>
        <w:rPr>
          <w:sz w:val="24"/>
          <w:szCs w:val="24"/>
        </w:rPr>
      </w:pPr>
      <w:r w:rsidRPr="00772FE4">
        <w:rPr>
          <w:sz w:val="24"/>
          <w:szCs w:val="24"/>
        </w:rPr>
        <w:t>In-Place Management of Lead-Based Paint (Public Housing) (</w:t>
      </w:r>
      <w:r w:rsidR="00B11F08">
        <w:rPr>
          <w:sz w:val="24"/>
          <w:szCs w:val="24"/>
        </w:rPr>
        <w:t xml:space="preserve">52 </w:t>
      </w:r>
      <w:r w:rsidRPr="00772FE4">
        <w:rPr>
          <w:sz w:val="24"/>
          <w:szCs w:val="24"/>
        </w:rPr>
        <w:t>)</w:t>
      </w:r>
    </w:p>
    <w:p w:rsidR="00553E3D" w:rsidRPr="00772FE4" w14:paraId="2B930FC3" w14:textId="7DC064DA">
      <w:pPr>
        <w:ind w:firstLine="720"/>
        <w:rPr>
          <w:sz w:val="24"/>
          <w:szCs w:val="24"/>
        </w:rPr>
      </w:pPr>
      <w:r w:rsidRPr="00772FE4">
        <w:rPr>
          <w:sz w:val="24"/>
          <w:szCs w:val="24"/>
        </w:rPr>
        <w:t>In-Place Management of Lead-Based Paint (Private Housing) (</w:t>
      </w:r>
      <w:r w:rsidR="00B11F08">
        <w:rPr>
          <w:sz w:val="24"/>
          <w:szCs w:val="24"/>
        </w:rPr>
        <w:t xml:space="preserve">4,899 </w:t>
      </w:r>
      <w:r w:rsidRPr="00772FE4">
        <w:rPr>
          <w:sz w:val="24"/>
          <w:szCs w:val="24"/>
        </w:rPr>
        <w:t>)</w:t>
      </w:r>
    </w:p>
    <w:p w:rsidR="00553E3D" w:rsidRPr="00772FE4" w14:paraId="43D08168" w14:textId="58EA0B89">
      <w:pPr>
        <w:ind w:firstLine="720"/>
        <w:rPr>
          <w:sz w:val="24"/>
          <w:szCs w:val="24"/>
        </w:rPr>
      </w:pPr>
      <w:r w:rsidRPr="00772FE4">
        <w:rPr>
          <w:sz w:val="24"/>
          <w:szCs w:val="24"/>
        </w:rPr>
        <w:t>Lead Joint Work on Cast Iron Soil Pipes (</w:t>
      </w:r>
      <w:r w:rsidR="00AD609A">
        <w:rPr>
          <w:sz w:val="24"/>
          <w:szCs w:val="24"/>
        </w:rPr>
        <w:t xml:space="preserve">2,556 </w:t>
      </w:r>
      <w:r w:rsidRPr="00772FE4">
        <w:rPr>
          <w:sz w:val="24"/>
          <w:szCs w:val="24"/>
        </w:rPr>
        <w:t>)</w:t>
      </w:r>
    </w:p>
    <w:p w:rsidR="00553E3D" w:rsidRPr="00772FE4" w14:paraId="31015D41" w14:textId="25C968DA">
      <w:pPr>
        <w:ind w:firstLine="720"/>
        <w:rPr>
          <w:sz w:val="24"/>
          <w:szCs w:val="24"/>
        </w:rPr>
      </w:pPr>
      <w:r w:rsidRPr="00772FE4">
        <w:rPr>
          <w:sz w:val="24"/>
          <w:szCs w:val="24"/>
        </w:rPr>
        <w:t>Installation of Radiation Shielding (8)</w:t>
      </w:r>
    </w:p>
    <w:p w:rsidR="00553E3D" w:rsidRPr="00772FE4" w14:paraId="1C6364BA" w14:textId="3AC8441E">
      <w:pPr>
        <w:ind w:firstLine="720"/>
        <w:rPr>
          <w:sz w:val="24"/>
          <w:szCs w:val="24"/>
        </w:rPr>
      </w:pPr>
      <w:r w:rsidRPr="00772FE4">
        <w:rPr>
          <w:sz w:val="24"/>
          <w:szCs w:val="24"/>
        </w:rPr>
        <w:t>Commercial and Institutional Remodeling (</w:t>
      </w:r>
      <w:r w:rsidR="006E69B6">
        <w:rPr>
          <w:sz w:val="24"/>
          <w:szCs w:val="24"/>
        </w:rPr>
        <w:t xml:space="preserve">20,201 </w:t>
      </w:r>
      <w:r w:rsidRPr="00772FE4">
        <w:rPr>
          <w:sz w:val="24"/>
          <w:szCs w:val="24"/>
        </w:rPr>
        <w:t>)</w:t>
      </w:r>
    </w:p>
    <w:p w:rsidR="00553E3D" w:rsidRPr="00772FE4" w14:paraId="2C1BEC71" w14:textId="2FEA1355">
      <w:pPr>
        <w:ind w:firstLine="720"/>
        <w:rPr>
          <w:sz w:val="24"/>
          <w:szCs w:val="24"/>
        </w:rPr>
      </w:pPr>
      <w:r w:rsidRPr="00772FE4">
        <w:rPr>
          <w:sz w:val="24"/>
          <w:szCs w:val="24"/>
        </w:rPr>
        <w:t>Residential Remodeling (</w:t>
      </w:r>
      <w:r w:rsidR="00400560">
        <w:rPr>
          <w:sz w:val="24"/>
          <w:szCs w:val="24"/>
        </w:rPr>
        <w:t xml:space="preserve">37,676 </w:t>
      </w:r>
      <w:r w:rsidRPr="00772FE4">
        <w:rPr>
          <w:sz w:val="24"/>
          <w:szCs w:val="24"/>
        </w:rPr>
        <w:t>)</w:t>
      </w:r>
    </w:p>
    <w:p w:rsidR="00553E3D" w:rsidRPr="00772FE4" w14:paraId="464A7FB8" w14:textId="77777777">
      <w:pPr>
        <w:ind w:firstLine="720"/>
        <w:rPr>
          <w:sz w:val="24"/>
          <w:szCs w:val="24"/>
        </w:rPr>
      </w:pPr>
      <w:r w:rsidRPr="00772FE4">
        <w:rPr>
          <w:sz w:val="24"/>
          <w:szCs w:val="24"/>
        </w:rPr>
        <w:t>Elevator Cable Babbitting (0)</w:t>
      </w:r>
    </w:p>
    <w:p w:rsidR="00553E3D" w:rsidRPr="00772FE4" w14:paraId="3312996D" w14:textId="41F474F4">
      <w:pPr>
        <w:ind w:firstLine="720"/>
        <w:rPr>
          <w:sz w:val="24"/>
          <w:szCs w:val="24"/>
        </w:rPr>
      </w:pPr>
      <w:r w:rsidRPr="00772FE4">
        <w:rPr>
          <w:sz w:val="24"/>
          <w:szCs w:val="24"/>
        </w:rPr>
        <w:t>Electrical Cable Splicing (</w:t>
      </w:r>
      <w:r w:rsidR="00B9260B">
        <w:rPr>
          <w:sz w:val="24"/>
          <w:szCs w:val="24"/>
        </w:rPr>
        <w:t xml:space="preserve">417 </w:t>
      </w:r>
      <w:r w:rsidRPr="00772FE4">
        <w:rPr>
          <w:sz w:val="24"/>
          <w:szCs w:val="24"/>
        </w:rPr>
        <w:t>)</w:t>
      </w:r>
    </w:p>
    <w:p w:rsidR="00553E3D" w:rsidRPr="00772FE4" w14:paraId="6B94AD6E" w14:textId="5A377CA5">
      <w:pPr>
        <w:ind w:firstLine="720"/>
        <w:rPr>
          <w:sz w:val="24"/>
          <w:szCs w:val="24"/>
        </w:rPr>
      </w:pPr>
      <w:r w:rsidRPr="00772FE4">
        <w:rPr>
          <w:sz w:val="24"/>
          <w:szCs w:val="24"/>
        </w:rPr>
        <w:t>Repair/Removal of Water Lines (</w:t>
      </w:r>
      <w:r w:rsidR="00275EEA">
        <w:rPr>
          <w:sz w:val="24"/>
          <w:szCs w:val="24"/>
        </w:rPr>
        <w:t>90,363</w:t>
      </w:r>
      <w:r w:rsidR="00E54F21">
        <w:rPr>
          <w:sz w:val="24"/>
          <w:szCs w:val="24"/>
        </w:rPr>
        <w:t xml:space="preserve"> </w:t>
      </w:r>
      <w:r w:rsidRPr="00772FE4">
        <w:rPr>
          <w:sz w:val="24"/>
          <w:szCs w:val="24"/>
        </w:rPr>
        <w:t>)</w:t>
      </w:r>
    </w:p>
    <w:p w:rsidR="00553E3D" w:rsidRPr="00772FE4" w14:paraId="41CE5610" w14:textId="77777777">
      <w:pPr>
        <w:ind w:firstLine="720"/>
        <w:rPr>
          <w:sz w:val="24"/>
          <w:szCs w:val="24"/>
        </w:rPr>
      </w:pPr>
      <w:r w:rsidRPr="00772FE4">
        <w:rPr>
          <w:sz w:val="24"/>
          <w:szCs w:val="24"/>
        </w:rPr>
        <w:t>Installation of Terne Roofing (0)</w:t>
      </w:r>
    </w:p>
    <w:p w:rsidR="00553E3D" w:rsidRPr="00772FE4" w14:paraId="23C87C74" w14:textId="77777777">
      <w:pPr>
        <w:rPr>
          <w:sz w:val="24"/>
          <w:szCs w:val="24"/>
        </w:rPr>
      </w:pPr>
    </w:p>
    <w:p w:rsidR="00553E3D" w:rsidRPr="00772FE4" w14:paraId="5D5B4368" w14:textId="77777777">
      <w:pPr>
        <w:shd w:val="solid" w:color="FFFFFF" w:fill="FFFFFF"/>
        <w:rPr>
          <w:sz w:val="24"/>
          <w:szCs w:val="24"/>
        </w:rPr>
      </w:pPr>
      <w:r w:rsidRPr="00772FE4">
        <w:rPr>
          <w:sz w:val="24"/>
          <w:szCs w:val="24"/>
        </w:rPr>
        <w:t xml:space="preserve">A construction supervisor at each firm spends one hour per year obtaining and reviewing objective data. </w:t>
      </w:r>
    </w:p>
    <w:p w:rsidR="00553E3D" w:rsidRPr="00772FE4" w14:paraId="1135E1BF" w14:textId="77777777">
      <w:pPr>
        <w:shd w:val="solid" w:color="FFFFFF" w:fill="FFFFFF"/>
        <w:rPr>
          <w:sz w:val="24"/>
          <w:szCs w:val="24"/>
        </w:rPr>
      </w:pPr>
    </w:p>
    <w:p w:rsidR="00553E3D" w:rsidRPr="00772FE4" w14:paraId="5B22249E" w14:textId="23018BBF">
      <w:pPr>
        <w:shd w:val="solid" w:color="FFFFFF" w:fill="FFFFFF"/>
        <w:ind w:firstLine="720"/>
        <w:rPr>
          <w:sz w:val="24"/>
          <w:szCs w:val="24"/>
        </w:rPr>
      </w:pPr>
      <w:r w:rsidRPr="00772FE4">
        <w:rPr>
          <w:b/>
          <w:bCs/>
          <w:sz w:val="24"/>
          <w:szCs w:val="24"/>
        </w:rPr>
        <w:t>Burden hours:</w:t>
      </w:r>
      <w:r w:rsidRPr="00772FE4">
        <w:rPr>
          <w:b/>
          <w:bCs/>
          <w:sz w:val="24"/>
          <w:szCs w:val="24"/>
        </w:rPr>
        <w:tab/>
      </w:r>
      <w:r w:rsidRPr="00B63DB7" w:rsidR="000C6B4A">
        <w:rPr>
          <w:sz w:val="24"/>
          <w:szCs w:val="24"/>
        </w:rPr>
        <w:t>161,156</w:t>
      </w:r>
      <w:r w:rsidR="00FE562A">
        <w:rPr>
          <w:sz w:val="24"/>
          <w:szCs w:val="24"/>
        </w:rPr>
        <w:t xml:space="preserve"> </w:t>
      </w:r>
      <w:r w:rsidRPr="00772FE4">
        <w:rPr>
          <w:sz w:val="24"/>
          <w:szCs w:val="24"/>
        </w:rPr>
        <w:t xml:space="preserve">firms × 1 review × 1 hour = </w:t>
      </w:r>
      <w:r w:rsidR="004A5538">
        <w:rPr>
          <w:sz w:val="24"/>
          <w:szCs w:val="24"/>
        </w:rPr>
        <w:t>161,156</w:t>
      </w:r>
      <w:r w:rsidR="00FE562A">
        <w:rPr>
          <w:sz w:val="24"/>
          <w:szCs w:val="24"/>
        </w:rPr>
        <w:t xml:space="preserve"> </w:t>
      </w:r>
      <w:r w:rsidRPr="00772FE4">
        <w:rPr>
          <w:sz w:val="24"/>
          <w:szCs w:val="24"/>
        </w:rPr>
        <w:t>hours</w:t>
      </w:r>
    </w:p>
    <w:p w:rsidR="00553E3D" w:rsidRPr="00772FE4" w14:paraId="47E39F22" w14:textId="3B8DD27E">
      <w:pPr>
        <w:shd w:val="solid" w:color="FFFFFF" w:fill="FFFFFF"/>
        <w:ind w:firstLine="720"/>
        <w:rPr>
          <w:sz w:val="24"/>
          <w:szCs w:val="24"/>
        </w:rPr>
      </w:pPr>
      <w:r w:rsidRPr="00772FE4">
        <w:rPr>
          <w:b/>
          <w:bCs/>
          <w:sz w:val="24"/>
          <w:szCs w:val="24"/>
        </w:rPr>
        <w:t xml:space="preserve">                Cost: </w:t>
      </w:r>
      <w:r w:rsidRPr="00772FE4">
        <w:rPr>
          <w:sz w:val="24"/>
          <w:szCs w:val="24"/>
        </w:rPr>
        <w:tab/>
      </w:r>
      <w:r w:rsidR="004A5538">
        <w:rPr>
          <w:sz w:val="24"/>
          <w:szCs w:val="24"/>
        </w:rPr>
        <w:t>161,156</w:t>
      </w:r>
      <w:r w:rsidR="00FE562A">
        <w:rPr>
          <w:sz w:val="24"/>
          <w:szCs w:val="24"/>
        </w:rPr>
        <w:t xml:space="preserve"> </w:t>
      </w:r>
      <w:r w:rsidRPr="00772FE4">
        <w:rPr>
          <w:sz w:val="24"/>
          <w:szCs w:val="24"/>
        </w:rPr>
        <w:t>hours × $</w:t>
      </w:r>
      <w:r w:rsidR="00E54F21">
        <w:rPr>
          <w:sz w:val="24"/>
          <w:szCs w:val="24"/>
        </w:rPr>
        <w:t>55.</w:t>
      </w:r>
      <w:r w:rsidR="003C3882">
        <w:rPr>
          <w:sz w:val="24"/>
          <w:szCs w:val="24"/>
        </w:rPr>
        <w:t xml:space="preserve">55 </w:t>
      </w:r>
      <w:r w:rsidRPr="00772FE4" w:rsidR="003C3882">
        <w:rPr>
          <w:sz w:val="24"/>
          <w:szCs w:val="24"/>
        </w:rPr>
        <w:t>=</w:t>
      </w:r>
      <w:r w:rsidRPr="00772FE4">
        <w:rPr>
          <w:sz w:val="24"/>
          <w:szCs w:val="24"/>
        </w:rPr>
        <w:t xml:space="preserve"> $</w:t>
      </w:r>
      <w:r w:rsidR="001430D1">
        <w:rPr>
          <w:sz w:val="24"/>
          <w:szCs w:val="24"/>
        </w:rPr>
        <w:t xml:space="preserve">8,944,158 </w:t>
      </w:r>
    </w:p>
    <w:p w:rsidR="00553E3D" w:rsidRPr="00772FE4" w14:paraId="025CBE1C" w14:textId="77777777">
      <w:pPr>
        <w:shd w:val="solid" w:color="FFFFFF" w:fill="FFFFFF"/>
        <w:rPr>
          <w:sz w:val="24"/>
          <w:szCs w:val="24"/>
        </w:rPr>
      </w:pPr>
    </w:p>
    <w:p w:rsidR="00553E3D" w:rsidRPr="00772FE4" w14:paraId="3AF5FB15" w14:textId="77777777">
      <w:pPr>
        <w:shd w:val="solid" w:color="FFFFFF" w:fill="FFFFFF"/>
        <w:ind w:firstLine="720"/>
        <w:rPr>
          <w:sz w:val="24"/>
          <w:szCs w:val="24"/>
        </w:rPr>
      </w:pPr>
      <w:r w:rsidRPr="00772FE4">
        <w:rPr>
          <w:b/>
          <w:bCs/>
          <w:sz w:val="24"/>
          <w:szCs w:val="24"/>
        </w:rPr>
        <w:t>(3)</w:t>
      </w:r>
      <w:r w:rsidRPr="00772FE4">
        <w:rPr>
          <w:b/>
          <w:bCs/>
          <w:sz w:val="24"/>
          <w:szCs w:val="24"/>
        </w:rPr>
        <w:tab/>
        <w:t xml:space="preserve">Protection of Employees </w:t>
      </w:r>
      <w:r w:rsidR="004C53A1">
        <w:rPr>
          <w:b/>
          <w:bCs/>
          <w:sz w:val="24"/>
          <w:szCs w:val="24"/>
        </w:rPr>
        <w:t>D</w:t>
      </w:r>
      <w:r w:rsidRPr="00772FE4">
        <w:rPr>
          <w:b/>
          <w:bCs/>
          <w:sz w:val="24"/>
          <w:szCs w:val="24"/>
        </w:rPr>
        <w:t>uring Assessment of Exposure</w:t>
      </w:r>
    </w:p>
    <w:p w:rsidR="00553E3D" w:rsidRPr="00772FE4" w14:paraId="09AE3657" w14:textId="77777777">
      <w:pPr>
        <w:shd w:val="solid" w:color="FFFFFF" w:fill="FFFFFF"/>
        <w:rPr>
          <w:sz w:val="24"/>
          <w:szCs w:val="24"/>
        </w:rPr>
      </w:pPr>
    </w:p>
    <w:p w:rsidR="003A41FF" w14:paraId="7312CEA3" w14:textId="4FD40994">
      <w:pPr>
        <w:shd w:val="solid" w:color="FFFFFF" w:fill="FFFFFF"/>
        <w:rPr>
          <w:sz w:val="24"/>
          <w:szCs w:val="24"/>
        </w:rPr>
      </w:pPr>
      <w:r w:rsidRPr="00772FE4">
        <w:rPr>
          <w:sz w:val="24"/>
          <w:szCs w:val="24"/>
        </w:rPr>
        <w:t xml:space="preserve">The Standard requires employers to provide certain protections for workers, in job categories specifically identified by OSHA in paragraph (d)(2) of the Standard, before determining the representative exposures of these workers. OSHA requires these protections to be provided until the employer documents that the workers are not exposed over the PEL (if new exposure-monitoring data or exposure-monitoring data no more than 12 months old shows that to be case). </w:t>
      </w:r>
      <w:r w:rsidR="003A62D0">
        <w:rPr>
          <w:sz w:val="24"/>
          <w:szCs w:val="24"/>
        </w:rPr>
        <w:t>Suppose workers covered under (d)(2) are indeed found to be exposed below the PEL. In that case,</w:t>
      </w:r>
      <w:r w:rsidRPr="00772FE4">
        <w:rPr>
          <w:sz w:val="24"/>
          <w:szCs w:val="24"/>
        </w:rPr>
        <w:t xml:space="preserve"> the documentation described in this paragraph is the same documentation that is also required to satisfy the Negative Initial Determination requirement. </w:t>
      </w:r>
      <w:r w:rsidR="00881F26">
        <w:rPr>
          <w:sz w:val="24"/>
          <w:szCs w:val="24"/>
        </w:rPr>
        <w:t xml:space="preserve"> </w:t>
      </w:r>
      <w:r w:rsidRPr="00772FE4">
        <w:rPr>
          <w:sz w:val="24"/>
          <w:szCs w:val="24"/>
        </w:rPr>
        <w:t xml:space="preserve">Thus, the annual burden hours associated </w:t>
      </w:r>
    </w:p>
    <w:p w:rsidR="00553E3D" w:rsidRPr="00772FE4" w14:paraId="7B676CB0" w14:textId="396F04AA">
      <w:pPr>
        <w:shd w:val="solid" w:color="FFFFFF" w:fill="FFFFFF"/>
        <w:rPr>
          <w:sz w:val="24"/>
          <w:szCs w:val="24"/>
        </w:rPr>
      </w:pPr>
      <w:r w:rsidRPr="00772FE4">
        <w:rPr>
          <w:sz w:val="24"/>
          <w:szCs w:val="24"/>
        </w:rPr>
        <w:t>with preparing this documentation are attributable to the Negative Initial Determination requirement and are included below.</w:t>
      </w:r>
    </w:p>
    <w:p w:rsidR="00553E3D" w:rsidRPr="00772FE4" w14:paraId="49C187E9" w14:textId="77777777">
      <w:pPr>
        <w:shd w:val="solid" w:color="FFFFFF" w:fill="FFFFFF"/>
        <w:rPr>
          <w:sz w:val="24"/>
          <w:szCs w:val="24"/>
        </w:rPr>
      </w:pPr>
    </w:p>
    <w:p w:rsidR="003B0C01" w14:paraId="48FFF8B6" w14:textId="77777777">
      <w:pPr>
        <w:shd w:val="solid" w:color="FFFFFF" w:fill="FFFFFF"/>
        <w:ind w:firstLine="720"/>
        <w:rPr>
          <w:b/>
          <w:bCs/>
          <w:sz w:val="24"/>
          <w:szCs w:val="24"/>
        </w:rPr>
      </w:pPr>
    </w:p>
    <w:p w:rsidR="00553E3D" w:rsidRPr="00772FE4" w14:paraId="2087C5BF" w14:textId="77777777">
      <w:pPr>
        <w:shd w:val="solid" w:color="FFFFFF" w:fill="FFFFFF"/>
        <w:ind w:firstLine="720"/>
        <w:rPr>
          <w:b/>
          <w:bCs/>
          <w:sz w:val="24"/>
          <w:szCs w:val="24"/>
        </w:rPr>
      </w:pPr>
      <w:r w:rsidRPr="00772FE4">
        <w:rPr>
          <w:b/>
          <w:bCs/>
          <w:sz w:val="24"/>
          <w:szCs w:val="24"/>
        </w:rPr>
        <w:t>(4)</w:t>
      </w:r>
      <w:r w:rsidRPr="00772FE4">
        <w:rPr>
          <w:b/>
          <w:bCs/>
          <w:sz w:val="24"/>
          <w:szCs w:val="24"/>
        </w:rPr>
        <w:tab/>
        <w:t>Positive Initial Determination and Initial Monitoring</w:t>
      </w:r>
    </w:p>
    <w:p w:rsidR="00553E3D" w:rsidRPr="00772FE4" w14:paraId="13B9EA89" w14:textId="77777777">
      <w:pPr>
        <w:shd w:val="solid" w:color="FFFFFF" w:fill="FFFFFF"/>
        <w:rPr>
          <w:sz w:val="24"/>
          <w:szCs w:val="24"/>
        </w:rPr>
      </w:pPr>
    </w:p>
    <w:p w:rsidR="00553E3D" w:rsidRPr="00772FE4" w14:paraId="5E673B72" w14:textId="7036530E">
      <w:pPr>
        <w:shd w:val="solid" w:color="FFFFFF" w:fill="FFFFFF"/>
        <w:rPr>
          <w:sz w:val="24"/>
          <w:szCs w:val="24"/>
        </w:rPr>
      </w:pPr>
      <w:r w:rsidRPr="00772FE4">
        <w:rPr>
          <w:sz w:val="24"/>
          <w:szCs w:val="24"/>
        </w:rPr>
        <w:t xml:space="preserve">Initial exposure monitoring (representative of each affected </w:t>
      </w:r>
      <w:r w:rsidR="00FA259D">
        <w:rPr>
          <w:sz w:val="24"/>
          <w:szCs w:val="24"/>
        </w:rPr>
        <w:t>worker</w:t>
      </w:r>
      <w:r w:rsidRPr="00772FE4">
        <w:rPr>
          <w:sz w:val="24"/>
          <w:szCs w:val="24"/>
        </w:rPr>
        <w:t xml:space="preserve">’s exposure) is conducted when the initial determination is positive (the employer concludes that lead exposure may </w:t>
      </w:r>
      <w:r w:rsidR="00AD4840">
        <w:rPr>
          <w:sz w:val="24"/>
          <w:szCs w:val="24"/>
        </w:rPr>
        <w:t xml:space="preserve">be at or above the </w:t>
      </w:r>
      <w:r w:rsidRPr="00772FE4">
        <w:rPr>
          <w:sz w:val="24"/>
          <w:szCs w:val="24"/>
        </w:rPr>
        <w:t xml:space="preserve">action level) unless the employer has relevant historical monitoring data from the previous 12 months. </w:t>
      </w:r>
      <w:r w:rsidR="00881F26">
        <w:rPr>
          <w:sz w:val="24"/>
          <w:szCs w:val="24"/>
        </w:rPr>
        <w:t xml:space="preserve"> </w:t>
      </w:r>
      <w:r w:rsidRPr="00772FE4">
        <w:rPr>
          <w:sz w:val="24"/>
          <w:szCs w:val="24"/>
        </w:rPr>
        <w:t xml:space="preserve">All firms use data collected from an annual representative monitoring session (as described above under Initial Determination) to satisfy this requirement as well as the Initial Determination requirement. </w:t>
      </w:r>
      <w:r w:rsidR="00881F26">
        <w:rPr>
          <w:sz w:val="24"/>
          <w:szCs w:val="24"/>
        </w:rPr>
        <w:t xml:space="preserve"> </w:t>
      </w:r>
      <w:r w:rsidRPr="00772FE4">
        <w:rPr>
          <w:sz w:val="24"/>
          <w:szCs w:val="24"/>
        </w:rPr>
        <w:t>The annual burden hours associated with this requirement are already included above.</w:t>
      </w:r>
    </w:p>
    <w:p w:rsidR="00553E3D" w:rsidRPr="00772FE4" w14:paraId="39606EAA" w14:textId="77777777">
      <w:pPr>
        <w:shd w:val="solid" w:color="FFFFFF" w:fill="FFFFFF"/>
        <w:rPr>
          <w:b/>
          <w:bCs/>
          <w:sz w:val="24"/>
          <w:szCs w:val="24"/>
        </w:rPr>
      </w:pPr>
    </w:p>
    <w:p w:rsidR="00553E3D" w:rsidRPr="00772FE4" w14:paraId="438238F6" w14:textId="77777777">
      <w:pPr>
        <w:shd w:val="solid" w:color="FFFFFF" w:fill="FFFFFF"/>
        <w:ind w:firstLine="720"/>
        <w:rPr>
          <w:sz w:val="24"/>
          <w:szCs w:val="24"/>
        </w:rPr>
      </w:pPr>
      <w:r w:rsidRPr="00772FE4">
        <w:rPr>
          <w:b/>
          <w:bCs/>
          <w:sz w:val="24"/>
          <w:szCs w:val="24"/>
        </w:rPr>
        <w:t>(5)</w:t>
      </w:r>
      <w:r w:rsidRPr="00772FE4">
        <w:rPr>
          <w:b/>
          <w:bCs/>
          <w:sz w:val="24"/>
          <w:szCs w:val="24"/>
        </w:rPr>
        <w:tab/>
        <w:t>Negative Initial Determination</w:t>
      </w:r>
    </w:p>
    <w:p w:rsidR="00553E3D" w:rsidRPr="00772FE4" w14:paraId="75D020F6" w14:textId="77777777">
      <w:pPr>
        <w:shd w:val="solid" w:color="FFFFFF" w:fill="FFFFFF"/>
        <w:rPr>
          <w:sz w:val="24"/>
          <w:szCs w:val="24"/>
        </w:rPr>
      </w:pPr>
    </w:p>
    <w:p w:rsidR="00553E3D" w:rsidRPr="00772FE4" w14:paraId="4C8D7746" w14:textId="6F1D3100">
      <w:pPr>
        <w:shd w:val="solid" w:color="FFFFFF" w:fill="FFFFFF"/>
        <w:rPr>
          <w:sz w:val="24"/>
          <w:szCs w:val="24"/>
        </w:rPr>
      </w:pPr>
      <w:r w:rsidRPr="00772FE4">
        <w:rPr>
          <w:sz w:val="24"/>
          <w:szCs w:val="24"/>
        </w:rPr>
        <w:t xml:space="preserve">If the initial determination is negative (e.g., the employer concludes that no </w:t>
      </w:r>
      <w:r w:rsidR="00FA259D">
        <w:rPr>
          <w:sz w:val="24"/>
          <w:szCs w:val="24"/>
        </w:rPr>
        <w:t>worker</w:t>
      </w:r>
      <w:r w:rsidRPr="00772FE4">
        <w:rPr>
          <w:sz w:val="24"/>
          <w:szCs w:val="24"/>
        </w:rPr>
        <w:t xml:space="preserve">s will be exposed at or above the action level), the employer must make a written record of that determination. </w:t>
      </w:r>
      <w:r w:rsidR="00881F26">
        <w:rPr>
          <w:sz w:val="24"/>
          <w:szCs w:val="24"/>
        </w:rPr>
        <w:t xml:space="preserve"> </w:t>
      </w:r>
      <w:r w:rsidRPr="00772FE4">
        <w:rPr>
          <w:sz w:val="24"/>
          <w:szCs w:val="24"/>
        </w:rPr>
        <w:t xml:space="preserve">Firms engaged in the following project types are covered under the scope of </w:t>
      </w:r>
      <w:r w:rsidRPr="00772FE4">
        <w:rPr>
          <w:sz w:val="24"/>
          <w:szCs w:val="24"/>
        </w:rPr>
        <w:t>1926.62 because of the presence of lead-containing materials at the worksite but make negative determinations based on objective data showing airborne lead exposures are below the action level:</w:t>
      </w:r>
    </w:p>
    <w:p w:rsidR="00553E3D" w:rsidRPr="00772FE4" w14:paraId="6A25A6A6" w14:textId="77777777">
      <w:pPr>
        <w:shd w:val="solid" w:color="FFFFFF" w:fill="FFFFFF"/>
        <w:rPr>
          <w:sz w:val="24"/>
          <w:szCs w:val="24"/>
        </w:rPr>
      </w:pPr>
    </w:p>
    <w:p w:rsidR="00553E3D" w:rsidRPr="00772FE4" w14:paraId="41770F90" w14:textId="77777777">
      <w:pPr>
        <w:shd w:val="solid" w:color="FFFFFF" w:fill="FFFFFF"/>
        <w:ind w:firstLine="720"/>
        <w:rPr>
          <w:sz w:val="24"/>
          <w:szCs w:val="24"/>
        </w:rPr>
      </w:pPr>
      <w:r w:rsidRPr="00772FE4">
        <w:rPr>
          <w:sz w:val="24"/>
          <w:szCs w:val="24"/>
        </w:rPr>
        <w:t>Housing Lead Abatement (Private Housing)</w:t>
      </w:r>
    </w:p>
    <w:p w:rsidR="00553E3D" w:rsidRPr="00772FE4" w14:paraId="0F9CD850" w14:textId="77777777">
      <w:pPr>
        <w:shd w:val="solid" w:color="FFFFFF" w:fill="FFFFFF"/>
        <w:ind w:firstLine="720"/>
        <w:rPr>
          <w:sz w:val="24"/>
          <w:szCs w:val="24"/>
        </w:rPr>
      </w:pPr>
      <w:r w:rsidRPr="00772FE4">
        <w:rPr>
          <w:sz w:val="24"/>
          <w:szCs w:val="24"/>
        </w:rPr>
        <w:t>In-Place Management of Lead-Based Paint (Public Housing)</w:t>
      </w:r>
    </w:p>
    <w:p w:rsidR="00553E3D" w:rsidRPr="00772FE4" w14:paraId="0F23361B" w14:textId="77777777">
      <w:pPr>
        <w:shd w:val="solid" w:color="FFFFFF" w:fill="FFFFFF"/>
        <w:ind w:firstLine="720"/>
        <w:rPr>
          <w:sz w:val="24"/>
          <w:szCs w:val="24"/>
        </w:rPr>
      </w:pPr>
      <w:r w:rsidRPr="00772FE4">
        <w:rPr>
          <w:sz w:val="24"/>
          <w:szCs w:val="24"/>
        </w:rPr>
        <w:t>In-Place Management of Lead-Based Paint (Private Housing)</w:t>
      </w:r>
    </w:p>
    <w:p w:rsidR="00553E3D" w:rsidRPr="00772FE4" w14:paraId="54DF5065" w14:textId="77777777">
      <w:pPr>
        <w:shd w:val="solid" w:color="FFFFFF" w:fill="FFFFFF"/>
        <w:ind w:firstLine="720"/>
        <w:rPr>
          <w:sz w:val="24"/>
          <w:szCs w:val="24"/>
        </w:rPr>
      </w:pPr>
      <w:r w:rsidRPr="00772FE4">
        <w:rPr>
          <w:sz w:val="24"/>
          <w:szCs w:val="24"/>
        </w:rPr>
        <w:t>Lead Joint Work on Cast Iron Soil Pipes</w:t>
      </w:r>
    </w:p>
    <w:p w:rsidR="00553E3D" w:rsidRPr="00772FE4" w14:paraId="161C2170" w14:textId="77777777">
      <w:pPr>
        <w:shd w:val="solid" w:color="FFFFFF" w:fill="FFFFFF"/>
        <w:ind w:firstLine="720"/>
        <w:rPr>
          <w:sz w:val="24"/>
          <w:szCs w:val="24"/>
        </w:rPr>
      </w:pPr>
      <w:r w:rsidRPr="00772FE4">
        <w:rPr>
          <w:sz w:val="24"/>
          <w:szCs w:val="24"/>
        </w:rPr>
        <w:t>Installation of Radiation Shielding</w:t>
      </w:r>
    </w:p>
    <w:p w:rsidR="00553E3D" w:rsidRPr="00772FE4" w14:paraId="503B8AFF" w14:textId="77777777">
      <w:pPr>
        <w:shd w:val="solid" w:color="FFFFFF" w:fill="FFFFFF"/>
        <w:ind w:firstLine="720"/>
        <w:rPr>
          <w:sz w:val="24"/>
          <w:szCs w:val="24"/>
        </w:rPr>
      </w:pPr>
      <w:r w:rsidRPr="00772FE4">
        <w:rPr>
          <w:sz w:val="24"/>
          <w:szCs w:val="24"/>
        </w:rPr>
        <w:t>Commercial and Institutional Remodeling (for 85 percent of projects)</w:t>
      </w:r>
    </w:p>
    <w:p w:rsidR="00553E3D" w:rsidRPr="00772FE4" w14:paraId="17503327" w14:textId="77777777">
      <w:pPr>
        <w:shd w:val="solid" w:color="FFFFFF" w:fill="FFFFFF"/>
        <w:ind w:firstLine="720"/>
        <w:rPr>
          <w:sz w:val="24"/>
          <w:szCs w:val="24"/>
        </w:rPr>
      </w:pPr>
      <w:r w:rsidRPr="00772FE4">
        <w:rPr>
          <w:sz w:val="24"/>
          <w:szCs w:val="24"/>
        </w:rPr>
        <w:t>Residential Remodeling (for 97 percent of projects)</w:t>
      </w:r>
    </w:p>
    <w:p w:rsidR="00553E3D" w:rsidRPr="00772FE4" w14:paraId="7AC722D3" w14:textId="77777777">
      <w:pPr>
        <w:shd w:val="solid" w:color="FFFFFF" w:fill="FFFFFF"/>
        <w:ind w:firstLine="720"/>
        <w:rPr>
          <w:sz w:val="24"/>
          <w:szCs w:val="24"/>
        </w:rPr>
      </w:pPr>
      <w:r w:rsidRPr="00772FE4">
        <w:rPr>
          <w:sz w:val="24"/>
          <w:szCs w:val="24"/>
        </w:rPr>
        <w:t>Elevator Cable Babbitting</w:t>
      </w:r>
    </w:p>
    <w:p w:rsidR="00553E3D" w:rsidRPr="00772FE4" w14:paraId="448FF9AE" w14:textId="77777777">
      <w:pPr>
        <w:shd w:val="solid" w:color="FFFFFF" w:fill="FFFFFF"/>
        <w:ind w:firstLine="720"/>
        <w:rPr>
          <w:sz w:val="24"/>
          <w:szCs w:val="24"/>
        </w:rPr>
      </w:pPr>
      <w:r w:rsidRPr="00772FE4">
        <w:rPr>
          <w:sz w:val="24"/>
          <w:szCs w:val="24"/>
        </w:rPr>
        <w:t>Electrical Cable Splicing</w:t>
      </w:r>
    </w:p>
    <w:p w:rsidR="00D846EF" w14:paraId="32D1120D" w14:textId="60BBBBF2">
      <w:pPr>
        <w:shd w:val="solid" w:color="FFFFFF" w:fill="FFFFFF"/>
        <w:ind w:firstLine="720"/>
        <w:rPr>
          <w:sz w:val="24"/>
          <w:szCs w:val="24"/>
        </w:rPr>
      </w:pPr>
      <w:r w:rsidRPr="00772FE4">
        <w:rPr>
          <w:sz w:val="24"/>
          <w:szCs w:val="24"/>
        </w:rPr>
        <w:t>Repair/Removal of Water Lines</w:t>
      </w:r>
    </w:p>
    <w:p w:rsidR="00553E3D" w:rsidRPr="00772FE4" w14:paraId="2509EC5D" w14:textId="58FB113C">
      <w:pPr>
        <w:shd w:val="solid" w:color="FFFFFF" w:fill="FFFFFF"/>
        <w:ind w:firstLine="720"/>
        <w:rPr>
          <w:sz w:val="24"/>
          <w:szCs w:val="24"/>
        </w:rPr>
      </w:pPr>
      <w:r w:rsidRPr="00772FE4">
        <w:rPr>
          <w:sz w:val="24"/>
          <w:szCs w:val="24"/>
        </w:rPr>
        <w:t>Installation of Terne Roofing</w:t>
      </w:r>
    </w:p>
    <w:p w:rsidR="00553E3D" w:rsidRPr="00772FE4" w14:paraId="08BD75E5" w14:textId="77777777">
      <w:pPr>
        <w:shd w:val="solid" w:color="FFFFFF" w:fill="FFFFFF"/>
        <w:rPr>
          <w:sz w:val="24"/>
          <w:szCs w:val="24"/>
        </w:rPr>
      </w:pPr>
    </w:p>
    <w:p w:rsidR="00553E3D" w:rsidRPr="00772FE4" w:rsidP="0079419D" w14:paraId="676077F4" w14:textId="2E4F3F7B">
      <w:pPr>
        <w:shd w:val="solid" w:color="FFFFFF" w:fill="FFFFFF"/>
        <w:tabs>
          <w:tab w:val="left" w:pos="8010"/>
        </w:tabs>
        <w:rPr>
          <w:sz w:val="24"/>
          <w:szCs w:val="24"/>
        </w:rPr>
      </w:pPr>
      <w:r w:rsidRPr="00772FE4">
        <w:rPr>
          <w:sz w:val="24"/>
          <w:szCs w:val="24"/>
        </w:rPr>
        <w:t xml:space="preserve">Each affected firm’s clerical </w:t>
      </w:r>
      <w:r w:rsidR="00FA259D">
        <w:rPr>
          <w:sz w:val="24"/>
          <w:szCs w:val="24"/>
        </w:rPr>
        <w:t>worker</w:t>
      </w:r>
      <w:r w:rsidRPr="00772FE4">
        <w:rPr>
          <w:sz w:val="24"/>
          <w:szCs w:val="24"/>
        </w:rPr>
        <w:t xml:space="preserve"> takes six minutes (</w:t>
      </w:r>
      <w:r w:rsidR="00A914DD">
        <w:rPr>
          <w:sz w:val="24"/>
          <w:szCs w:val="24"/>
        </w:rPr>
        <w:t>6/6</w:t>
      </w:r>
      <w:r w:rsidRPr="00772FE4">
        <w:rPr>
          <w:sz w:val="24"/>
          <w:szCs w:val="24"/>
        </w:rPr>
        <w:t xml:space="preserve">0 hour) to prepare the negative initial determination using a standardized form. </w:t>
      </w:r>
      <w:r w:rsidR="00881F26">
        <w:rPr>
          <w:sz w:val="24"/>
          <w:szCs w:val="24"/>
        </w:rPr>
        <w:t xml:space="preserve"> </w:t>
      </w:r>
      <w:r w:rsidR="00826EBD">
        <w:rPr>
          <w:sz w:val="24"/>
          <w:szCs w:val="24"/>
        </w:rPr>
        <w:t xml:space="preserve">The </w:t>
      </w:r>
      <w:r w:rsidR="00F606D5">
        <w:rPr>
          <w:sz w:val="24"/>
          <w:szCs w:val="24"/>
        </w:rPr>
        <w:t>a</w:t>
      </w:r>
      <w:r w:rsidR="00826EBD">
        <w:rPr>
          <w:sz w:val="24"/>
          <w:szCs w:val="24"/>
        </w:rPr>
        <w:t>gency assumes that t</w:t>
      </w:r>
      <w:r w:rsidRPr="00772FE4">
        <w:rPr>
          <w:sz w:val="24"/>
          <w:szCs w:val="24"/>
        </w:rPr>
        <w:t xml:space="preserve">here are </w:t>
      </w:r>
      <w:r w:rsidR="00B45C31">
        <w:rPr>
          <w:sz w:val="24"/>
          <w:szCs w:val="24"/>
        </w:rPr>
        <w:t>3,</w:t>
      </w:r>
      <w:r w:rsidR="00D37A5F">
        <w:rPr>
          <w:sz w:val="24"/>
          <w:szCs w:val="24"/>
        </w:rPr>
        <w:t>671,805</w:t>
      </w:r>
      <w:r w:rsidR="001B406D">
        <w:rPr>
          <w:sz w:val="24"/>
          <w:szCs w:val="24"/>
        </w:rPr>
        <w:t xml:space="preserve"> </w:t>
      </w:r>
      <w:r w:rsidRPr="00772FE4">
        <w:rPr>
          <w:sz w:val="24"/>
          <w:szCs w:val="24"/>
        </w:rPr>
        <w:t>lead-exposed projects annually, where exposures are less than the action level resulting in negative initial determinations.</w:t>
      </w:r>
    </w:p>
    <w:p w:rsidR="00553E3D" w:rsidRPr="00772FE4" w14:paraId="7AE6BA75" w14:textId="77777777">
      <w:pPr>
        <w:shd w:val="solid" w:color="FFFFFF" w:fill="FFFFFF"/>
        <w:rPr>
          <w:b/>
          <w:bCs/>
          <w:sz w:val="24"/>
          <w:szCs w:val="24"/>
        </w:rPr>
      </w:pPr>
    </w:p>
    <w:p w:rsidR="00553E3D" w:rsidRPr="00772FE4" w14:paraId="008C0D26" w14:textId="745799FC">
      <w:pPr>
        <w:shd w:val="solid" w:color="FFFFFF" w:fill="FFFFFF"/>
        <w:ind w:firstLine="720"/>
        <w:rPr>
          <w:sz w:val="24"/>
          <w:szCs w:val="24"/>
        </w:rPr>
      </w:pPr>
      <w:r w:rsidRPr="00772FE4">
        <w:rPr>
          <w:b/>
          <w:bCs/>
          <w:sz w:val="24"/>
          <w:szCs w:val="24"/>
        </w:rPr>
        <w:t>Burden hours:</w:t>
      </w:r>
      <w:r w:rsidRPr="00772FE4">
        <w:rPr>
          <w:sz w:val="24"/>
          <w:szCs w:val="24"/>
        </w:rPr>
        <w:tab/>
      </w:r>
      <w:r w:rsidR="00B45C31">
        <w:rPr>
          <w:sz w:val="24"/>
          <w:szCs w:val="24"/>
        </w:rPr>
        <w:t>3,</w:t>
      </w:r>
      <w:r w:rsidR="00D37A5F">
        <w:rPr>
          <w:sz w:val="24"/>
          <w:szCs w:val="24"/>
        </w:rPr>
        <w:t>671,805</w:t>
      </w:r>
      <w:r w:rsidRPr="00772FE4">
        <w:rPr>
          <w:sz w:val="24"/>
          <w:szCs w:val="24"/>
        </w:rPr>
        <w:t xml:space="preserve"> projects × 1 form × </w:t>
      </w:r>
      <w:r w:rsidR="00AE061E">
        <w:rPr>
          <w:sz w:val="24"/>
          <w:szCs w:val="24"/>
        </w:rPr>
        <w:t>6/60</w:t>
      </w:r>
      <w:r w:rsidRPr="00772FE4">
        <w:rPr>
          <w:sz w:val="24"/>
          <w:szCs w:val="24"/>
        </w:rPr>
        <w:t xml:space="preserve"> hour = </w:t>
      </w:r>
      <w:r w:rsidR="00393A13">
        <w:rPr>
          <w:sz w:val="24"/>
          <w:szCs w:val="24"/>
        </w:rPr>
        <w:t>367,1</w:t>
      </w:r>
      <w:r w:rsidR="005B0500">
        <w:rPr>
          <w:sz w:val="24"/>
          <w:szCs w:val="24"/>
        </w:rPr>
        <w:t>81</w:t>
      </w:r>
      <w:r w:rsidR="001B406D">
        <w:rPr>
          <w:sz w:val="24"/>
          <w:szCs w:val="24"/>
        </w:rPr>
        <w:t xml:space="preserve"> </w:t>
      </w:r>
      <w:r w:rsidRPr="00772FE4">
        <w:rPr>
          <w:sz w:val="24"/>
          <w:szCs w:val="24"/>
        </w:rPr>
        <w:t>hours</w:t>
      </w:r>
    </w:p>
    <w:p w:rsidR="00553E3D" w:rsidRPr="00772FE4" w14:paraId="17E11AFD" w14:textId="0F36DC70">
      <w:pPr>
        <w:shd w:val="solid" w:color="FFFFFF" w:fill="FFFFFF"/>
        <w:ind w:firstLine="720"/>
        <w:rPr>
          <w:sz w:val="24"/>
          <w:szCs w:val="24"/>
        </w:rPr>
      </w:pPr>
      <w:r w:rsidRPr="00772FE4">
        <w:rPr>
          <w:b/>
          <w:bCs/>
          <w:sz w:val="24"/>
          <w:szCs w:val="24"/>
        </w:rPr>
        <w:t xml:space="preserve">                Cost:</w:t>
      </w:r>
      <w:r w:rsidRPr="00772FE4">
        <w:rPr>
          <w:sz w:val="24"/>
          <w:szCs w:val="24"/>
        </w:rPr>
        <w:tab/>
      </w:r>
      <w:r w:rsidR="005B0500">
        <w:rPr>
          <w:sz w:val="24"/>
          <w:szCs w:val="24"/>
        </w:rPr>
        <w:t>367,181</w:t>
      </w:r>
      <w:r w:rsidR="00B45C31">
        <w:rPr>
          <w:sz w:val="24"/>
          <w:szCs w:val="24"/>
        </w:rPr>
        <w:t>3</w:t>
      </w:r>
      <w:r w:rsidR="001B406D">
        <w:rPr>
          <w:sz w:val="24"/>
          <w:szCs w:val="24"/>
        </w:rPr>
        <w:t xml:space="preserve"> </w:t>
      </w:r>
      <w:r w:rsidRPr="00772FE4">
        <w:rPr>
          <w:sz w:val="24"/>
          <w:szCs w:val="24"/>
        </w:rPr>
        <w:t>× $</w:t>
      </w:r>
      <w:r w:rsidR="009C2440">
        <w:rPr>
          <w:sz w:val="24"/>
          <w:szCs w:val="24"/>
        </w:rPr>
        <w:t>3</w:t>
      </w:r>
      <w:r w:rsidR="0020735B">
        <w:rPr>
          <w:sz w:val="24"/>
          <w:szCs w:val="24"/>
        </w:rPr>
        <w:t>2.7</w:t>
      </w:r>
      <w:r w:rsidR="00F927D4">
        <w:rPr>
          <w:sz w:val="24"/>
          <w:szCs w:val="24"/>
        </w:rPr>
        <w:t>4</w:t>
      </w:r>
      <w:r w:rsidR="0020735B">
        <w:rPr>
          <w:sz w:val="24"/>
          <w:szCs w:val="24"/>
        </w:rPr>
        <w:t xml:space="preserve"> </w:t>
      </w:r>
      <w:r w:rsidRPr="00772FE4">
        <w:rPr>
          <w:sz w:val="24"/>
          <w:szCs w:val="24"/>
        </w:rPr>
        <w:t>= $</w:t>
      </w:r>
      <w:r w:rsidR="00CF2601">
        <w:rPr>
          <w:sz w:val="24"/>
          <w:szCs w:val="24"/>
        </w:rPr>
        <w:t>12,0</w:t>
      </w:r>
      <w:r w:rsidR="00353278">
        <w:rPr>
          <w:sz w:val="24"/>
          <w:szCs w:val="24"/>
        </w:rPr>
        <w:t>21,50</w:t>
      </w:r>
      <w:r w:rsidR="00065D22">
        <w:rPr>
          <w:sz w:val="24"/>
          <w:szCs w:val="24"/>
        </w:rPr>
        <w:t>6</w:t>
      </w:r>
      <w:r w:rsidR="00CF2601">
        <w:rPr>
          <w:sz w:val="24"/>
          <w:szCs w:val="24"/>
        </w:rPr>
        <w:t xml:space="preserve"> </w:t>
      </w:r>
    </w:p>
    <w:p w:rsidR="00553E3D" w:rsidRPr="00772FE4" w14:paraId="31D50785" w14:textId="77777777">
      <w:pPr>
        <w:shd w:val="solid" w:color="FFFFFF" w:fill="FFFFFF"/>
        <w:rPr>
          <w:sz w:val="24"/>
          <w:szCs w:val="24"/>
        </w:rPr>
      </w:pPr>
    </w:p>
    <w:p w:rsidR="00553E3D" w:rsidRPr="00772FE4" w14:paraId="548E53B7" w14:textId="77777777">
      <w:pPr>
        <w:shd w:val="solid" w:color="FFFFFF" w:fill="FFFFFF"/>
        <w:ind w:firstLine="720"/>
        <w:rPr>
          <w:b/>
          <w:bCs/>
          <w:sz w:val="24"/>
          <w:szCs w:val="24"/>
        </w:rPr>
      </w:pPr>
      <w:r w:rsidRPr="00772FE4">
        <w:rPr>
          <w:b/>
          <w:bCs/>
          <w:sz w:val="24"/>
          <w:szCs w:val="24"/>
        </w:rPr>
        <w:t>(6)</w:t>
      </w:r>
      <w:r w:rsidRPr="00772FE4">
        <w:rPr>
          <w:b/>
          <w:bCs/>
          <w:sz w:val="24"/>
          <w:szCs w:val="24"/>
        </w:rPr>
        <w:tab/>
        <w:t>Periodic Exposure Measurement</w:t>
      </w:r>
    </w:p>
    <w:p w:rsidR="00553E3D" w:rsidRPr="00772FE4" w:rsidP="00A27C19" w14:paraId="732E863B" w14:textId="18149730">
      <w:pPr>
        <w:shd w:val="solid" w:color="FFFFFF" w:fill="FFFFFF"/>
        <w:tabs>
          <w:tab w:val="left" w:pos="5964"/>
        </w:tabs>
        <w:rPr>
          <w:sz w:val="24"/>
          <w:szCs w:val="24"/>
        </w:rPr>
      </w:pPr>
      <w:r>
        <w:rPr>
          <w:sz w:val="24"/>
          <w:szCs w:val="24"/>
        </w:rPr>
        <w:tab/>
      </w:r>
    </w:p>
    <w:p w:rsidR="00553E3D" w:rsidRPr="00772FE4" w14:paraId="5AE0796C" w14:textId="1E70AD72">
      <w:pPr>
        <w:shd w:val="solid" w:color="FFFFFF" w:fill="FFFFFF"/>
        <w:rPr>
          <w:sz w:val="24"/>
          <w:szCs w:val="24"/>
        </w:rPr>
      </w:pPr>
      <w:r w:rsidRPr="00772FE4">
        <w:rPr>
          <w:sz w:val="24"/>
          <w:szCs w:val="24"/>
        </w:rPr>
        <w:t>Periodic exposure-monitoring is triggered by the airborne exposure levels found on a given worksite.</w:t>
      </w:r>
      <w:r w:rsidR="00881F26">
        <w:rPr>
          <w:sz w:val="24"/>
          <w:szCs w:val="24"/>
        </w:rPr>
        <w:t xml:space="preserve"> </w:t>
      </w:r>
      <w:r w:rsidRPr="00772FE4">
        <w:rPr>
          <w:sz w:val="24"/>
          <w:szCs w:val="24"/>
        </w:rPr>
        <w:t xml:space="preserve"> The frequency of periodic monitoring is determined by whether the work site exposure levels are </w:t>
      </w:r>
      <w:r w:rsidR="001E2499">
        <w:rPr>
          <w:sz w:val="24"/>
          <w:szCs w:val="24"/>
        </w:rPr>
        <w:t xml:space="preserve">at or </w:t>
      </w:r>
      <w:r w:rsidRPr="00772FE4">
        <w:rPr>
          <w:sz w:val="24"/>
          <w:szCs w:val="24"/>
        </w:rPr>
        <w:t xml:space="preserve">below the action level </w:t>
      </w:r>
      <w:r w:rsidR="001E2499">
        <w:rPr>
          <w:sz w:val="24"/>
          <w:szCs w:val="24"/>
        </w:rPr>
        <w:t xml:space="preserve">but at or below </w:t>
      </w:r>
      <w:r w:rsidRPr="00772FE4">
        <w:rPr>
          <w:sz w:val="24"/>
          <w:szCs w:val="24"/>
        </w:rPr>
        <w:t xml:space="preserve">PEL, or above the PEL. </w:t>
      </w:r>
      <w:r w:rsidR="00881F26">
        <w:rPr>
          <w:sz w:val="24"/>
          <w:szCs w:val="24"/>
        </w:rPr>
        <w:t xml:space="preserve"> </w:t>
      </w:r>
      <w:r w:rsidRPr="00772FE4">
        <w:rPr>
          <w:sz w:val="24"/>
          <w:szCs w:val="24"/>
        </w:rPr>
        <w:t>In addition, since the requirement to perform periodic monitoring is based on the exposure levels associated with a specific worksite, periodic monitoring only occurs if the project is of sufficient duration.</w:t>
      </w:r>
    </w:p>
    <w:p w:rsidR="00553E3D" w:rsidRPr="00772FE4" w14:paraId="709F04F7" w14:textId="77777777">
      <w:pPr>
        <w:shd w:val="solid" w:color="FFFFFF" w:fill="FFFFFF"/>
        <w:rPr>
          <w:sz w:val="24"/>
          <w:szCs w:val="24"/>
        </w:rPr>
      </w:pPr>
    </w:p>
    <w:p w:rsidR="00553E3D" w:rsidRPr="00772FE4" w14:paraId="1F8E64AE" w14:textId="0EFCE63F">
      <w:pPr>
        <w:shd w:val="solid" w:color="FFFFFF" w:fill="FFFFFF"/>
        <w:rPr>
          <w:sz w:val="24"/>
          <w:szCs w:val="24"/>
        </w:rPr>
      </w:pPr>
      <w:r>
        <w:rPr>
          <w:sz w:val="24"/>
          <w:szCs w:val="24"/>
        </w:rPr>
        <w:t>Suppose all worker exposures are at or below the action level. In that case,</w:t>
      </w:r>
      <w:r w:rsidRPr="00772FE4">
        <w:rPr>
          <w:sz w:val="24"/>
          <w:szCs w:val="24"/>
        </w:rPr>
        <w:t xml:space="preserve"> monitoring does not need to be repeated unless there is a change in workplace conditions that may result in </w:t>
      </w:r>
      <w:r w:rsidR="00FA259D">
        <w:rPr>
          <w:sz w:val="24"/>
          <w:szCs w:val="24"/>
        </w:rPr>
        <w:t>worker</w:t>
      </w:r>
      <w:r w:rsidRPr="00772FE4">
        <w:rPr>
          <w:sz w:val="24"/>
          <w:szCs w:val="24"/>
        </w:rPr>
        <w:t xml:space="preserve">s being exposed </w:t>
      </w:r>
      <w:r w:rsidR="00AD4840">
        <w:rPr>
          <w:sz w:val="24"/>
          <w:szCs w:val="24"/>
        </w:rPr>
        <w:t xml:space="preserve">at or </w:t>
      </w:r>
      <w:r w:rsidRPr="00772FE4">
        <w:rPr>
          <w:sz w:val="24"/>
          <w:szCs w:val="24"/>
        </w:rPr>
        <w:t xml:space="preserve">above the action level. </w:t>
      </w:r>
      <w:r w:rsidR="00881F26">
        <w:rPr>
          <w:sz w:val="24"/>
          <w:szCs w:val="24"/>
        </w:rPr>
        <w:t xml:space="preserve"> </w:t>
      </w:r>
      <w:r w:rsidRPr="00772FE4">
        <w:rPr>
          <w:sz w:val="24"/>
          <w:szCs w:val="24"/>
        </w:rPr>
        <w:t>All employers capable of using objective data (to make an initial determination that exposures are</w:t>
      </w:r>
      <w:r w:rsidR="001E2499">
        <w:rPr>
          <w:sz w:val="24"/>
          <w:szCs w:val="24"/>
        </w:rPr>
        <w:t xml:space="preserve"> at or</w:t>
      </w:r>
      <w:r w:rsidRPr="00772FE4">
        <w:rPr>
          <w:sz w:val="24"/>
          <w:szCs w:val="24"/>
        </w:rPr>
        <w:t xml:space="preserve"> below the action level) also have sufficient knowledge about good work practices to prevent worker exposures from </w:t>
      </w:r>
      <w:r w:rsidR="001E2499">
        <w:rPr>
          <w:sz w:val="24"/>
          <w:szCs w:val="24"/>
        </w:rPr>
        <w:t xml:space="preserve">meeting or </w:t>
      </w:r>
      <w:r w:rsidRPr="00772FE4">
        <w:rPr>
          <w:sz w:val="24"/>
          <w:szCs w:val="24"/>
        </w:rPr>
        <w:t xml:space="preserve">exceeding the action level. </w:t>
      </w:r>
      <w:r w:rsidR="00881F26">
        <w:rPr>
          <w:sz w:val="24"/>
          <w:szCs w:val="24"/>
        </w:rPr>
        <w:t xml:space="preserve"> </w:t>
      </w:r>
      <w:r w:rsidRPr="00772FE4">
        <w:rPr>
          <w:sz w:val="24"/>
          <w:szCs w:val="24"/>
        </w:rPr>
        <w:t>Therefore, no annual burden is estimated for this requirement.</w:t>
      </w:r>
    </w:p>
    <w:p w:rsidR="00553E3D" w:rsidRPr="00772FE4" w14:paraId="34B91EE2" w14:textId="77777777">
      <w:pPr>
        <w:shd w:val="solid" w:color="FFFFFF" w:fill="FFFFFF"/>
        <w:rPr>
          <w:sz w:val="24"/>
          <w:szCs w:val="24"/>
        </w:rPr>
      </w:pPr>
    </w:p>
    <w:p w:rsidR="00553E3D" w:rsidRPr="00772FE4" w14:paraId="3CE29C5E" w14:textId="1719B643">
      <w:pPr>
        <w:shd w:val="solid" w:color="FFFFFF" w:fill="FFFFFF"/>
        <w:rPr>
          <w:sz w:val="24"/>
          <w:szCs w:val="24"/>
        </w:rPr>
      </w:pPr>
      <w:r w:rsidRPr="00772FE4">
        <w:rPr>
          <w:sz w:val="24"/>
          <w:szCs w:val="24"/>
        </w:rPr>
        <w:t xml:space="preserve">If worker exposures are at or above the action level but at or below the PEL, monitoring must be conducted every six months for the duration of the project. </w:t>
      </w:r>
      <w:r w:rsidR="00881F26">
        <w:rPr>
          <w:sz w:val="24"/>
          <w:szCs w:val="24"/>
        </w:rPr>
        <w:t xml:space="preserve"> </w:t>
      </w:r>
      <w:r w:rsidRPr="00772FE4">
        <w:rPr>
          <w:sz w:val="24"/>
          <w:szCs w:val="24"/>
        </w:rPr>
        <w:t xml:space="preserve">This situation is unlikely to happen frequently since most of the lead exposure data collected by OSHA and analyzed by project type was either: (1) very low across all data in the project type (i.e., below the action level) or (2) very high (above the PEL) across all data in a project type. </w:t>
      </w:r>
      <w:r w:rsidR="00881F26">
        <w:rPr>
          <w:sz w:val="24"/>
          <w:szCs w:val="24"/>
        </w:rPr>
        <w:t xml:space="preserve"> </w:t>
      </w:r>
      <w:r w:rsidRPr="00772FE4">
        <w:rPr>
          <w:sz w:val="24"/>
          <w:szCs w:val="24"/>
        </w:rPr>
        <w:t>This situation is rare</w:t>
      </w:r>
      <w:r w:rsidR="003A62D0">
        <w:rPr>
          <w:sz w:val="24"/>
          <w:szCs w:val="24"/>
        </w:rPr>
        <w:t>, and therefore,</w:t>
      </w:r>
      <w:r w:rsidRPr="00772FE4">
        <w:rPr>
          <w:sz w:val="24"/>
          <w:szCs w:val="24"/>
        </w:rPr>
        <w:t xml:space="preserve"> no estimates are made of the amount of periodic monitoring triggered by this provision.</w:t>
      </w:r>
    </w:p>
    <w:p w:rsidR="00553E3D" w:rsidRPr="00772FE4" w14:paraId="5C959AF0" w14:textId="77777777">
      <w:pPr>
        <w:shd w:val="solid" w:color="FFFFFF" w:fill="FFFFFF"/>
        <w:rPr>
          <w:sz w:val="24"/>
          <w:szCs w:val="24"/>
        </w:rPr>
      </w:pPr>
    </w:p>
    <w:p w:rsidR="00553E3D" w:rsidRPr="00772FE4" w14:paraId="7265CC64" w14:textId="041747B2">
      <w:pPr>
        <w:shd w:val="solid" w:color="FFFFFF" w:fill="FFFFFF"/>
        <w:rPr>
          <w:sz w:val="24"/>
          <w:szCs w:val="24"/>
        </w:rPr>
      </w:pPr>
      <w:r w:rsidRPr="00772FE4">
        <w:rPr>
          <w:sz w:val="24"/>
          <w:szCs w:val="24"/>
        </w:rPr>
        <w:t xml:space="preserve">If worker exposures are above the PEL, monitoring must be conducted every three months (approximately 60 </w:t>
      </w:r>
      <w:r w:rsidRPr="00772FE4" w:rsidR="00F65254">
        <w:rPr>
          <w:sz w:val="24"/>
          <w:szCs w:val="24"/>
        </w:rPr>
        <w:t>workdays</w:t>
      </w:r>
      <w:r w:rsidRPr="00772FE4">
        <w:rPr>
          <w:sz w:val="24"/>
          <w:szCs w:val="24"/>
        </w:rPr>
        <w:t xml:space="preserve">) for the duration of the project. </w:t>
      </w:r>
      <w:r w:rsidR="00881F26">
        <w:rPr>
          <w:sz w:val="24"/>
          <w:szCs w:val="24"/>
        </w:rPr>
        <w:t xml:space="preserve"> </w:t>
      </w:r>
      <w:r w:rsidRPr="00772FE4">
        <w:rPr>
          <w:sz w:val="24"/>
          <w:szCs w:val="24"/>
        </w:rPr>
        <w:t xml:space="preserve">The following project types have exposures above the PEL, after the implementation of engineering controls, and the typical duration of such projects. </w:t>
      </w:r>
      <w:r w:rsidR="00881F26">
        <w:rPr>
          <w:sz w:val="24"/>
          <w:szCs w:val="24"/>
        </w:rPr>
        <w:t xml:space="preserve"> </w:t>
      </w:r>
      <w:r w:rsidRPr="00772FE4">
        <w:rPr>
          <w:sz w:val="24"/>
          <w:szCs w:val="24"/>
        </w:rPr>
        <w:t>(Average project duration is given in parentheses.)</w:t>
      </w:r>
    </w:p>
    <w:p w:rsidR="00553E3D" w:rsidRPr="00772FE4" w14:paraId="465F050D" w14:textId="77777777">
      <w:pPr>
        <w:shd w:val="solid" w:color="FFFFFF" w:fill="FFFFFF"/>
        <w:rPr>
          <w:sz w:val="24"/>
          <w:szCs w:val="24"/>
        </w:rPr>
      </w:pPr>
    </w:p>
    <w:p w:rsidR="003371D6" w:rsidRPr="00772FE4" w:rsidP="003371D6" w14:paraId="47C3EE16" w14:textId="77777777">
      <w:pPr>
        <w:shd w:val="solid" w:color="FFFFFF" w:fill="FFFFFF"/>
        <w:ind w:firstLine="720"/>
        <w:rPr>
          <w:sz w:val="24"/>
          <w:szCs w:val="24"/>
        </w:rPr>
      </w:pPr>
      <w:r w:rsidRPr="00772FE4">
        <w:rPr>
          <w:sz w:val="24"/>
          <w:szCs w:val="24"/>
        </w:rPr>
        <w:t>Highway and Railroad Bridge Repainting (</w:t>
      </w:r>
      <w:r>
        <w:rPr>
          <w:sz w:val="24"/>
          <w:szCs w:val="24"/>
        </w:rPr>
        <w:t>505</w:t>
      </w:r>
      <w:r w:rsidRPr="00772FE4">
        <w:rPr>
          <w:sz w:val="24"/>
          <w:szCs w:val="24"/>
        </w:rPr>
        <w:t xml:space="preserve"> workdays)</w:t>
      </w:r>
    </w:p>
    <w:p w:rsidR="003371D6" w:rsidRPr="00772FE4" w:rsidP="003371D6" w14:paraId="429193BD" w14:textId="77777777">
      <w:pPr>
        <w:shd w:val="solid" w:color="FFFFFF" w:fill="FFFFFF"/>
        <w:ind w:firstLine="720"/>
        <w:rPr>
          <w:sz w:val="24"/>
          <w:szCs w:val="24"/>
        </w:rPr>
      </w:pPr>
      <w:r w:rsidRPr="00772FE4">
        <w:rPr>
          <w:sz w:val="24"/>
          <w:szCs w:val="24"/>
        </w:rPr>
        <w:t>Highway and Railroad Bridge Rehabilitation (</w:t>
      </w:r>
      <w:r>
        <w:rPr>
          <w:sz w:val="24"/>
          <w:szCs w:val="24"/>
        </w:rPr>
        <w:t>67</w:t>
      </w:r>
      <w:r w:rsidRPr="00772FE4">
        <w:rPr>
          <w:sz w:val="24"/>
          <w:szCs w:val="24"/>
        </w:rPr>
        <w:t xml:space="preserve"> workdays)</w:t>
      </w:r>
    </w:p>
    <w:p w:rsidR="003371D6" w:rsidRPr="00772FE4" w:rsidP="003371D6" w14:paraId="65DD9A04" w14:textId="77777777">
      <w:pPr>
        <w:shd w:val="solid" w:color="FFFFFF" w:fill="FFFFFF"/>
        <w:ind w:firstLine="720"/>
        <w:rPr>
          <w:sz w:val="24"/>
          <w:szCs w:val="24"/>
        </w:rPr>
      </w:pPr>
      <w:r w:rsidRPr="00772FE4">
        <w:rPr>
          <w:sz w:val="24"/>
          <w:szCs w:val="24"/>
        </w:rPr>
        <w:t>Housing Lead Abatement (Public) (</w:t>
      </w:r>
      <w:r>
        <w:rPr>
          <w:sz w:val="24"/>
          <w:szCs w:val="24"/>
        </w:rPr>
        <w:t>438</w:t>
      </w:r>
      <w:r w:rsidRPr="00772FE4">
        <w:rPr>
          <w:sz w:val="24"/>
          <w:szCs w:val="24"/>
        </w:rPr>
        <w:t xml:space="preserve"> workdays)</w:t>
      </w:r>
    </w:p>
    <w:p w:rsidR="003371D6" w:rsidRPr="00772FE4" w:rsidP="003371D6" w14:paraId="016A7BED" w14:textId="77777777">
      <w:pPr>
        <w:shd w:val="solid" w:color="FFFFFF" w:fill="FFFFFF"/>
        <w:ind w:firstLine="720"/>
        <w:rPr>
          <w:sz w:val="24"/>
          <w:szCs w:val="24"/>
        </w:rPr>
      </w:pPr>
      <w:r w:rsidRPr="00772FE4">
        <w:rPr>
          <w:sz w:val="24"/>
          <w:szCs w:val="24"/>
        </w:rPr>
        <w:t>Commercial and Industrial Demolition (</w:t>
      </w:r>
      <w:r>
        <w:rPr>
          <w:sz w:val="24"/>
          <w:szCs w:val="24"/>
        </w:rPr>
        <w:t>1,442</w:t>
      </w:r>
      <w:r w:rsidRPr="00772FE4">
        <w:rPr>
          <w:sz w:val="24"/>
          <w:szCs w:val="24"/>
        </w:rPr>
        <w:t xml:space="preserve"> workdays)</w:t>
      </w:r>
    </w:p>
    <w:p w:rsidR="003371D6" w:rsidRPr="00772FE4" w:rsidP="003371D6" w14:paraId="6D20D8DC" w14:textId="77777777">
      <w:pPr>
        <w:shd w:val="solid" w:color="FFFFFF" w:fill="FFFFFF"/>
        <w:ind w:firstLine="720"/>
        <w:rPr>
          <w:sz w:val="24"/>
          <w:szCs w:val="24"/>
        </w:rPr>
      </w:pPr>
      <w:r w:rsidRPr="00772FE4">
        <w:rPr>
          <w:sz w:val="24"/>
          <w:szCs w:val="24"/>
        </w:rPr>
        <w:t>Transmission and Communication Tow Maintenance (</w:t>
      </w:r>
      <w:r>
        <w:rPr>
          <w:sz w:val="24"/>
          <w:szCs w:val="24"/>
        </w:rPr>
        <w:t>0</w:t>
      </w:r>
      <w:r w:rsidRPr="00772FE4">
        <w:rPr>
          <w:sz w:val="24"/>
          <w:szCs w:val="24"/>
        </w:rPr>
        <w:t xml:space="preserve"> workdays)</w:t>
      </w:r>
    </w:p>
    <w:p w:rsidR="00553E3D" w:rsidRPr="00772FE4" w14:paraId="35060847" w14:textId="77777777">
      <w:pPr>
        <w:shd w:val="solid" w:color="FFFFFF" w:fill="FFFFFF"/>
        <w:rPr>
          <w:sz w:val="24"/>
          <w:szCs w:val="24"/>
        </w:rPr>
      </w:pPr>
    </w:p>
    <w:p w:rsidR="00553E3D" w:rsidRPr="00772FE4" w14:paraId="437848B6" w14:textId="61BE869A">
      <w:pPr>
        <w:shd w:val="solid" w:color="FFFFFF" w:fill="FFFFFF"/>
        <w:rPr>
          <w:sz w:val="24"/>
          <w:szCs w:val="24"/>
        </w:rPr>
      </w:pPr>
      <w:r w:rsidRPr="00772FE4">
        <w:rPr>
          <w:sz w:val="24"/>
          <w:szCs w:val="24"/>
        </w:rPr>
        <w:t>The average number of periodic monitoring per firm per project, by project type, is as follows:</w:t>
      </w:r>
    </w:p>
    <w:p w:rsidR="00D846EF" w:rsidP="00D846EF" w14:paraId="23DF5984" w14:textId="77777777">
      <w:pPr>
        <w:shd w:val="solid" w:color="FFFFFF" w:fill="FFFFFF"/>
        <w:ind w:firstLine="720"/>
        <w:rPr>
          <w:sz w:val="24"/>
          <w:szCs w:val="24"/>
        </w:rPr>
      </w:pPr>
    </w:p>
    <w:p w:rsidR="00553E3D" w:rsidRPr="00772FE4" w:rsidP="00D846EF" w14:paraId="6A174945" w14:textId="2207E4C0">
      <w:pPr>
        <w:shd w:val="solid" w:color="FFFFFF" w:fill="FFFFFF"/>
        <w:ind w:firstLine="720"/>
        <w:rPr>
          <w:sz w:val="24"/>
          <w:szCs w:val="24"/>
        </w:rPr>
      </w:pPr>
      <w:r w:rsidRPr="00772FE4">
        <w:rPr>
          <w:sz w:val="24"/>
          <w:szCs w:val="24"/>
        </w:rPr>
        <w:t>Highway and Railroad Bridge Repainting – 1 monitoring</w:t>
      </w:r>
    </w:p>
    <w:p w:rsidR="00553E3D" w:rsidRPr="00772FE4" w14:paraId="1A62D993" w14:textId="77777777">
      <w:pPr>
        <w:shd w:val="solid" w:color="FFFFFF" w:fill="FFFFFF"/>
        <w:ind w:firstLine="720"/>
        <w:rPr>
          <w:sz w:val="24"/>
          <w:szCs w:val="24"/>
        </w:rPr>
      </w:pPr>
      <w:r w:rsidRPr="00772FE4">
        <w:rPr>
          <w:sz w:val="24"/>
          <w:szCs w:val="24"/>
        </w:rPr>
        <w:t>Highway and Railroad Bridge Rehabilitation – 3 monitoring sessions</w:t>
      </w:r>
    </w:p>
    <w:p w:rsidR="00553E3D" w:rsidRPr="00772FE4" w14:paraId="5D419964" w14:textId="77777777">
      <w:pPr>
        <w:shd w:val="solid" w:color="FFFFFF" w:fill="FFFFFF"/>
        <w:ind w:firstLine="720"/>
        <w:rPr>
          <w:sz w:val="24"/>
          <w:szCs w:val="24"/>
        </w:rPr>
      </w:pPr>
      <w:r w:rsidRPr="00772FE4">
        <w:rPr>
          <w:sz w:val="24"/>
          <w:szCs w:val="24"/>
        </w:rPr>
        <w:t>Housing Lead Abatement (Public) – 1 monitoring</w:t>
      </w:r>
    </w:p>
    <w:p w:rsidR="00553E3D" w:rsidRPr="00772FE4" w14:paraId="38A68BFD" w14:textId="77777777">
      <w:pPr>
        <w:shd w:val="solid" w:color="FFFFFF" w:fill="FFFFFF"/>
        <w:ind w:firstLine="720"/>
        <w:rPr>
          <w:sz w:val="24"/>
          <w:szCs w:val="24"/>
        </w:rPr>
      </w:pPr>
      <w:r w:rsidRPr="00772FE4">
        <w:rPr>
          <w:sz w:val="24"/>
          <w:szCs w:val="24"/>
        </w:rPr>
        <w:t>Commercial and Industrial Demolition – 1 monitoring</w:t>
      </w:r>
    </w:p>
    <w:p w:rsidR="00553E3D" w:rsidRPr="00772FE4" w14:paraId="685529A5" w14:textId="77777777">
      <w:pPr>
        <w:shd w:val="solid" w:color="FFFFFF" w:fill="FFFFFF"/>
        <w:ind w:firstLine="720"/>
        <w:rPr>
          <w:sz w:val="24"/>
          <w:szCs w:val="24"/>
        </w:rPr>
      </w:pPr>
      <w:r w:rsidRPr="00772FE4">
        <w:rPr>
          <w:sz w:val="24"/>
          <w:szCs w:val="24"/>
        </w:rPr>
        <w:t>Transmission and Communication Tower Maintenance – 1 monitoring</w:t>
      </w:r>
    </w:p>
    <w:p w:rsidR="00553E3D" w:rsidRPr="00772FE4" w14:paraId="262B9CBF" w14:textId="77777777">
      <w:pPr>
        <w:shd w:val="solid" w:color="FFFFFF" w:fill="FFFFFF"/>
        <w:rPr>
          <w:sz w:val="24"/>
          <w:szCs w:val="24"/>
        </w:rPr>
      </w:pPr>
    </w:p>
    <w:p w:rsidR="00553E3D" w:rsidRPr="00772FE4" w14:paraId="72292440" w14:textId="14C90B5D">
      <w:pPr>
        <w:shd w:val="solid" w:color="FFFFFF" w:fill="FFFFFF"/>
        <w:rPr>
          <w:sz w:val="24"/>
          <w:szCs w:val="24"/>
        </w:rPr>
      </w:pPr>
      <w:r w:rsidRPr="00772FE4">
        <w:rPr>
          <w:sz w:val="24"/>
          <w:szCs w:val="24"/>
        </w:rPr>
        <w:t xml:space="preserve">All </w:t>
      </w:r>
      <w:r w:rsidR="008F5FDA">
        <w:rPr>
          <w:sz w:val="24"/>
          <w:szCs w:val="24"/>
        </w:rPr>
        <w:t>2,452</w:t>
      </w:r>
      <w:r w:rsidRPr="00772FE4">
        <w:rPr>
          <w:sz w:val="24"/>
          <w:szCs w:val="24"/>
        </w:rPr>
        <w:t xml:space="preserve"> firms (all firms in the project types listed above) are affected by the Periodic Monitoring requirement. </w:t>
      </w:r>
      <w:r w:rsidR="00881F26">
        <w:rPr>
          <w:sz w:val="24"/>
          <w:szCs w:val="24"/>
        </w:rPr>
        <w:t xml:space="preserve"> </w:t>
      </w:r>
      <w:r w:rsidRPr="00772FE4">
        <w:rPr>
          <w:sz w:val="24"/>
          <w:szCs w:val="24"/>
        </w:rPr>
        <w:t xml:space="preserve">OSHA further estimates there are </w:t>
      </w:r>
      <w:r w:rsidR="007F57C3">
        <w:rPr>
          <w:sz w:val="24"/>
          <w:szCs w:val="24"/>
        </w:rPr>
        <w:t>5</w:t>
      </w:r>
      <w:r w:rsidR="00CB6B27">
        <w:rPr>
          <w:sz w:val="24"/>
          <w:szCs w:val="24"/>
        </w:rPr>
        <w:t>,</w:t>
      </w:r>
      <w:r w:rsidR="007F57C3">
        <w:rPr>
          <w:sz w:val="24"/>
          <w:szCs w:val="24"/>
        </w:rPr>
        <w:t>239</w:t>
      </w:r>
      <w:r w:rsidR="00B702E5">
        <w:rPr>
          <w:sz w:val="24"/>
          <w:szCs w:val="24"/>
        </w:rPr>
        <w:t xml:space="preserve"> </w:t>
      </w:r>
      <w:r w:rsidR="007F57C3">
        <w:rPr>
          <w:sz w:val="24"/>
          <w:szCs w:val="24"/>
        </w:rPr>
        <w:t xml:space="preserve"> </w:t>
      </w:r>
      <w:r w:rsidRPr="00772FE4">
        <w:rPr>
          <w:sz w:val="24"/>
          <w:szCs w:val="24"/>
        </w:rPr>
        <w:t xml:space="preserve"> projects requiring periodic monitoring and </w:t>
      </w:r>
      <w:r w:rsidR="0075175A">
        <w:rPr>
          <w:sz w:val="24"/>
          <w:szCs w:val="24"/>
        </w:rPr>
        <w:t xml:space="preserve">7,420 </w:t>
      </w:r>
      <w:r w:rsidRPr="00772FE4" w:rsidR="0075175A">
        <w:rPr>
          <w:sz w:val="24"/>
          <w:szCs w:val="24"/>
        </w:rPr>
        <w:t>occurrences</w:t>
      </w:r>
      <w:r w:rsidRPr="00772FE4">
        <w:rPr>
          <w:sz w:val="24"/>
          <w:szCs w:val="24"/>
        </w:rPr>
        <w:t xml:space="preserve"> of periodic monitoring annually. </w:t>
      </w:r>
      <w:r w:rsidR="00881F26">
        <w:rPr>
          <w:sz w:val="24"/>
          <w:szCs w:val="24"/>
        </w:rPr>
        <w:t xml:space="preserve"> </w:t>
      </w:r>
      <w:r w:rsidRPr="00772FE4">
        <w:rPr>
          <w:sz w:val="24"/>
          <w:szCs w:val="24"/>
        </w:rPr>
        <w:t xml:space="preserve">However, it is most cost-effective for firms engaged in the project types listed above to arrange for industrial hygienist contractors to perform monitoring. </w:t>
      </w:r>
      <w:r w:rsidR="00881F26">
        <w:rPr>
          <w:sz w:val="24"/>
          <w:szCs w:val="24"/>
        </w:rPr>
        <w:t xml:space="preserve"> </w:t>
      </w:r>
      <w:r w:rsidRPr="00772FE4">
        <w:rPr>
          <w:sz w:val="24"/>
          <w:szCs w:val="24"/>
        </w:rPr>
        <w:t xml:space="preserve">Therefore, for these firms, there are no burden hours or </w:t>
      </w:r>
      <w:r w:rsidR="003C4909">
        <w:rPr>
          <w:sz w:val="24"/>
          <w:szCs w:val="24"/>
        </w:rPr>
        <w:t>costs</w:t>
      </w:r>
      <w:r w:rsidRPr="00772FE4" w:rsidR="003C4909">
        <w:rPr>
          <w:sz w:val="24"/>
          <w:szCs w:val="24"/>
        </w:rPr>
        <w:t xml:space="preserve"> </w:t>
      </w:r>
      <w:r w:rsidRPr="00772FE4">
        <w:rPr>
          <w:sz w:val="24"/>
          <w:szCs w:val="24"/>
        </w:rPr>
        <w:t xml:space="preserve">associated with Item 12. </w:t>
      </w:r>
      <w:r w:rsidR="00881F26">
        <w:rPr>
          <w:sz w:val="24"/>
          <w:szCs w:val="24"/>
        </w:rPr>
        <w:t xml:space="preserve"> </w:t>
      </w:r>
      <w:r w:rsidRPr="00772FE4">
        <w:rPr>
          <w:sz w:val="24"/>
          <w:szCs w:val="24"/>
        </w:rPr>
        <w:t xml:space="preserve">The cost to these firms of purchasing industrial hygiene contractor services </w:t>
      </w:r>
      <w:r w:rsidR="00F65254">
        <w:rPr>
          <w:sz w:val="24"/>
          <w:szCs w:val="24"/>
        </w:rPr>
        <w:t>is</w:t>
      </w:r>
      <w:r w:rsidRPr="00772FE4">
        <w:rPr>
          <w:sz w:val="24"/>
          <w:szCs w:val="24"/>
        </w:rPr>
        <w:t xml:space="preserve"> included in Item 13, along with the cost for analyzing the associated air monitoring samples.</w:t>
      </w:r>
    </w:p>
    <w:p w:rsidR="00553E3D" w:rsidRPr="00772FE4" w14:paraId="2F60956D" w14:textId="77777777">
      <w:pPr>
        <w:shd w:val="solid" w:color="FFFFFF" w:fill="FFFFFF"/>
        <w:rPr>
          <w:sz w:val="24"/>
          <w:szCs w:val="24"/>
        </w:rPr>
      </w:pPr>
    </w:p>
    <w:p w:rsidR="00553E3D" w:rsidRPr="00772FE4" w14:paraId="275138E9" w14:textId="77777777">
      <w:pPr>
        <w:shd w:val="solid" w:color="FFFFFF" w:fill="FFFFFF"/>
        <w:ind w:firstLine="720"/>
        <w:rPr>
          <w:b/>
          <w:bCs/>
          <w:sz w:val="24"/>
          <w:szCs w:val="24"/>
        </w:rPr>
      </w:pPr>
      <w:r w:rsidRPr="00772FE4">
        <w:rPr>
          <w:b/>
          <w:bCs/>
          <w:sz w:val="24"/>
          <w:szCs w:val="24"/>
        </w:rPr>
        <w:t>(7)</w:t>
      </w:r>
      <w:r w:rsidRPr="00772FE4">
        <w:rPr>
          <w:b/>
          <w:bCs/>
          <w:sz w:val="24"/>
          <w:szCs w:val="24"/>
        </w:rPr>
        <w:tab/>
        <w:t>Employee Notification of Monitoring Results</w:t>
      </w:r>
      <w:r w:rsidRPr="00772FE4">
        <w:rPr>
          <w:b/>
          <w:bCs/>
          <w:sz w:val="24"/>
          <w:szCs w:val="24"/>
        </w:rPr>
        <w:tab/>
      </w:r>
    </w:p>
    <w:p w:rsidR="00553E3D" w:rsidRPr="00772FE4" w14:paraId="720112F7" w14:textId="77777777">
      <w:pPr>
        <w:shd w:val="solid" w:color="FFFFFF" w:fill="FFFFFF"/>
        <w:rPr>
          <w:sz w:val="24"/>
          <w:szCs w:val="24"/>
        </w:rPr>
      </w:pPr>
    </w:p>
    <w:p w:rsidR="00553E3D" w:rsidRPr="00772FE4" w14:paraId="2E418325" w14:textId="2D7E1D2C">
      <w:pPr>
        <w:shd w:val="solid" w:color="FFFFFF" w:fill="FFFFFF"/>
        <w:rPr>
          <w:sz w:val="24"/>
          <w:szCs w:val="24"/>
        </w:rPr>
      </w:pPr>
      <w:r w:rsidRPr="00772FE4">
        <w:rPr>
          <w:sz w:val="24"/>
          <w:szCs w:val="24"/>
        </w:rPr>
        <w:t xml:space="preserve">Employers are required to notify </w:t>
      </w:r>
      <w:r w:rsidR="00FA259D">
        <w:rPr>
          <w:sz w:val="24"/>
          <w:szCs w:val="24"/>
        </w:rPr>
        <w:t>worker</w:t>
      </w:r>
      <w:r w:rsidRPr="00772FE4">
        <w:rPr>
          <w:sz w:val="24"/>
          <w:szCs w:val="24"/>
        </w:rPr>
        <w:t xml:space="preserve">s individually in writing or by posting the exposure assessment results. </w:t>
      </w:r>
      <w:r w:rsidR="00881F26">
        <w:rPr>
          <w:sz w:val="24"/>
          <w:szCs w:val="24"/>
        </w:rPr>
        <w:t xml:space="preserve"> </w:t>
      </w:r>
      <w:r w:rsidRPr="00772FE4">
        <w:rPr>
          <w:sz w:val="24"/>
          <w:szCs w:val="24"/>
        </w:rPr>
        <w:t xml:space="preserve">If the results are at or above the PEL, the employer must include a statement and a description of corrective measures to be taken. </w:t>
      </w:r>
      <w:r w:rsidR="00881F26">
        <w:rPr>
          <w:sz w:val="24"/>
          <w:szCs w:val="24"/>
        </w:rPr>
        <w:t xml:space="preserve"> </w:t>
      </w:r>
      <w:r w:rsidRPr="00772FE4">
        <w:rPr>
          <w:sz w:val="24"/>
          <w:szCs w:val="24"/>
        </w:rPr>
        <w:t xml:space="preserve">To determine the number of exposure-monitoring notifications, OSHA first calculated the average number of monitoring conducted per firm per year by project type. </w:t>
      </w:r>
      <w:r w:rsidR="00881F26">
        <w:rPr>
          <w:sz w:val="24"/>
          <w:szCs w:val="24"/>
        </w:rPr>
        <w:t xml:space="preserve"> </w:t>
      </w:r>
      <w:r w:rsidRPr="00772FE4">
        <w:rPr>
          <w:sz w:val="24"/>
          <w:szCs w:val="24"/>
        </w:rPr>
        <w:t xml:space="preserve">This number equals the average number of notifications per </w:t>
      </w:r>
      <w:r w:rsidR="00FA259D">
        <w:rPr>
          <w:sz w:val="24"/>
          <w:szCs w:val="24"/>
        </w:rPr>
        <w:t>worker</w:t>
      </w:r>
      <w:r w:rsidRPr="00772FE4">
        <w:rPr>
          <w:sz w:val="24"/>
          <w:szCs w:val="24"/>
        </w:rPr>
        <w:t xml:space="preserve"> per year since each </w:t>
      </w:r>
      <w:r w:rsidR="00FA259D">
        <w:rPr>
          <w:sz w:val="24"/>
          <w:szCs w:val="24"/>
        </w:rPr>
        <w:t>worker</w:t>
      </w:r>
      <w:r w:rsidRPr="00772FE4">
        <w:rPr>
          <w:sz w:val="24"/>
          <w:szCs w:val="24"/>
        </w:rPr>
        <w:t xml:space="preserve"> whose exposure is assessed must be notified of the results of each exposure-monitoring session.</w:t>
      </w:r>
    </w:p>
    <w:p w:rsidR="00553E3D" w:rsidRPr="00772FE4" w14:paraId="2250EE32" w14:textId="77777777">
      <w:pPr>
        <w:shd w:val="solid" w:color="FFFFFF" w:fill="FFFFFF"/>
        <w:rPr>
          <w:sz w:val="24"/>
          <w:szCs w:val="24"/>
        </w:rPr>
      </w:pPr>
    </w:p>
    <w:p w:rsidR="00553E3D" w:rsidRPr="00772FE4" w14:paraId="15CEC025" w14:textId="5BE61666">
      <w:pPr>
        <w:shd w:val="solid" w:color="FFFFFF" w:fill="FFFFFF"/>
        <w:rPr>
          <w:sz w:val="24"/>
          <w:szCs w:val="24"/>
        </w:rPr>
      </w:pPr>
      <w:r w:rsidRPr="00772FE4">
        <w:rPr>
          <w:sz w:val="24"/>
          <w:szCs w:val="24"/>
        </w:rPr>
        <w:t xml:space="preserve">The following formula calculates the number of notifications made per year by project: # of </w:t>
      </w:r>
      <w:r w:rsidR="00FA259D">
        <w:rPr>
          <w:sz w:val="24"/>
          <w:szCs w:val="24"/>
        </w:rPr>
        <w:t>worker</w:t>
      </w:r>
      <w:r w:rsidRPr="00772FE4">
        <w:rPr>
          <w:sz w:val="24"/>
          <w:szCs w:val="24"/>
        </w:rPr>
        <w:t xml:space="preserve">s to be notified by project type) × (average # of notifications per </w:t>
      </w:r>
      <w:r w:rsidR="00FA259D">
        <w:rPr>
          <w:sz w:val="24"/>
          <w:szCs w:val="24"/>
        </w:rPr>
        <w:t>worker</w:t>
      </w:r>
      <w:r w:rsidRPr="00772FE4">
        <w:rPr>
          <w:sz w:val="24"/>
          <w:szCs w:val="24"/>
        </w:rPr>
        <w:t xml:space="preserve"> per year by project type) = number of notifications per year by project type. </w:t>
      </w:r>
      <w:r w:rsidR="00881F26">
        <w:rPr>
          <w:sz w:val="24"/>
          <w:szCs w:val="24"/>
        </w:rPr>
        <w:t xml:space="preserve"> </w:t>
      </w:r>
      <w:r w:rsidRPr="00772FE4">
        <w:rPr>
          <w:sz w:val="24"/>
          <w:szCs w:val="24"/>
        </w:rPr>
        <w:t xml:space="preserve">The </w:t>
      </w:r>
      <w:r w:rsidR="0075175A">
        <w:rPr>
          <w:sz w:val="24"/>
          <w:szCs w:val="24"/>
        </w:rPr>
        <w:t>number of notifications per year, by project type,</w:t>
      </w:r>
      <w:r w:rsidRPr="00772FE4">
        <w:rPr>
          <w:sz w:val="24"/>
          <w:szCs w:val="24"/>
        </w:rPr>
        <w:t xml:space="preserve"> is then totaled to determine the total number of notifications per year across all project types. </w:t>
      </w:r>
      <w:r w:rsidR="00881F26">
        <w:rPr>
          <w:sz w:val="24"/>
          <w:szCs w:val="24"/>
        </w:rPr>
        <w:t xml:space="preserve"> </w:t>
      </w:r>
      <w:r w:rsidRPr="00772FE4">
        <w:rPr>
          <w:sz w:val="24"/>
          <w:szCs w:val="24"/>
        </w:rPr>
        <w:t xml:space="preserve">OSHA estimates there are of </w:t>
      </w:r>
      <w:r w:rsidR="00E42739">
        <w:rPr>
          <w:sz w:val="24"/>
          <w:szCs w:val="24"/>
        </w:rPr>
        <w:t>91,386</w:t>
      </w:r>
      <w:r w:rsidR="001B406D">
        <w:rPr>
          <w:sz w:val="24"/>
          <w:szCs w:val="24"/>
        </w:rPr>
        <w:t xml:space="preserve"> </w:t>
      </w:r>
      <w:r w:rsidRPr="00772FE4">
        <w:rPr>
          <w:sz w:val="24"/>
          <w:szCs w:val="24"/>
        </w:rPr>
        <w:t xml:space="preserve">notifications made annually. </w:t>
      </w:r>
      <w:r w:rsidR="00881F26">
        <w:rPr>
          <w:sz w:val="24"/>
          <w:szCs w:val="24"/>
        </w:rPr>
        <w:t xml:space="preserve"> </w:t>
      </w:r>
      <w:r w:rsidRPr="00772FE4">
        <w:rPr>
          <w:sz w:val="24"/>
          <w:szCs w:val="24"/>
        </w:rPr>
        <w:t xml:space="preserve">A clerical </w:t>
      </w:r>
      <w:r w:rsidR="00FA259D">
        <w:rPr>
          <w:sz w:val="24"/>
          <w:szCs w:val="24"/>
        </w:rPr>
        <w:t>worker</w:t>
      </w:r>
      <w:r w:rsidRPr="00772FE4">
        <w:rPr>
          <w:sz w:val="24"/>
          <w:szCs w:val="24"/>
        </w:rPr>
        <w:t xml:space="preserve"> takes six minutes (</w:t>
      </w:r>
      <w:r w:rsidR="006468A3">
        <w:rPr>
          <w:sz w:val="24"/>
          <w:szCs w:val="24"/>
        </w:rPr>
        <w:t>6/60</w:t>
      </w:r>
      <w:r w:rsidRPr="00772FE4">
        <w:rPr>
          <w:sz w:val="24"/>
          <w:szCs w:val="24"/>
        </w:rPr>
        <w:t xml:space="preserve"> hour) to post the notification annually.</w:t>
      </w:r>
    </w:p>
    <w:p w:rsidR="00553E3D" w:rsidRPr="00772FE4" w14:paraId="37AE05F6" w14:textId="77777777">
      <w:pPr>
        <w:shd w:val="solid" w:color="FFFFFF" w:fill="FFFFFF"/>
        <w:rPr>
          <w:sz w:val="24"/>
          <w:szCs w:val="24"/>
        </w:rPr>
      </w:pPr>
    </w:p>
    <w:p w:rsidR="00553E3D" w:rsidRPr="00772FE4" w14:paraId="2A2782E3" w14:textId="38A5DBEC">
      <w:pPr>
        <w:shd w:val="solid" w:color="FFFFFF" w:fill="FFFFFF"/>
        <w:ind w:firstLine="720"/>
        <w:rPr>
          <w:sz w:val="24"/>
          <w:szCs w:val="24"/>
        </w:rPr>
      </w:pPr>
      <w:r w:rsidRPr="00772FE4">
        <w:rPr>
          <w:b/>
          <w:bCs/>
          <w:sz w:val="24"/>
          <w:szCs w:val="24"/>
        </w:rPr>
        <w:t>Burden hours:</w:t>
      </w:r>
      <w:r w:rsidRPr="00772FE4">
        <w:rPr>
          <w:sz w:val="24"/>
          <w:szCs w:val="24"/>
        </w:rPr>
        <w:tab/>
      </w:r>
      <w:r w:rsidR="00B66282">
        <w:rPr>
          <w:sz w:val="24"/>
          <w:szCs w:val="24"/>
        </w:rPr>
        <w:t>91,386</w:t>
      </w:r>
      <w:r w:rsidR="001B406D">
        <w:rPr>
          <w:sz w:val="24"/>
          <w:szCs w:val="24"/>
        </w:rPr>
        <w:t xml:space="preserve"> </w:t>
      </w:r>
      <w:r w:rsidRPr="00772FE4">
        <w:rPr>
          <w:sz w:val="24"/>
          <w:szCs w:val="24"/>
        </w:rPr>
        <w:t xml:space="preserve">notifications × </w:t>
      </w:r>
      <w:r w:rsidR="00AE061E">
        <w:rPr>
          <w:sz w:val="24"/>
          <w:szCs w:val="24"/>
        </w:rPr>
        <w:t>6/60</w:t>
      </w:r>
      <w:r w:rsidRPr="00772FE4">
        <w:rPr>
          <w:sz w:val="24"/>
          <w:szCs w:val="24"/>
        </w:rPr>
        <w:t xml:space="preserve"> hour = </w:t>
      </w:r>
      <w:r w:rsidR="007673B2">
        <w:rPr>
          <w:sz w:val="24"/>
          <w:szCs w:val="24"/>
        </w:rPr>
        <w:t>9,139</w:t>
      </w:r>
      <w:r w:rsidR="001B406D">
        <w:rPr>
          <w:sz w:val="24"/>
          <w:szCs w:val="24"/>
        </w:rPr>
        <w:t xml:space="preserve"> </w:t>
      </w:r>
      <w:r w:rsidRPr="00772FE4">
        <w:rPr>
          <w:sz w:val="24"/>
          <w:szCs w:val="24"/>
        </w:rPr>
        <w:t>hours</w:t>
      </w:r>
    </w:p>
    <w:p w:rsidR="00553E3D" w:rsidRPr="00772FE4" w14:paraId="48D5141C" w14:textId="17A29D07">
      <w:pPr>
        <w:shd w:val="solid" w:color="FFFFFF" w:fill="FFFFFF"/>
        <w:ind w:firstLine="720"/>
        <w:rPr>
          <w:sz w:val="24"/>
          <w:szCs w:val="24"/>
        </w:rPr>
      </w:pPr>
      <w:r w:rsidRPr="00772FE4">
        <w:rPr>
          <w:b/>
          <w:bCs/>
          <w:sz w:val="24"/>
          <w:szCs w:val="24"/>
        </w:rPr>
        <w:t xml:space="preserve">                Cost:</w:t>
      </w:r>
      <w:r w:rsidRPr="00772FE4">
        <w:rPr>
          <w:sz w:val="24"/>
          <w:szCs w:val="24"/>
        </w:rPr>
        <w:tab/>
      </w:r>
      <w:r w:rsidR="007673B2">
        <w:rPr>
          <w:sz w:val="24"/>
          <w:szCs w:val="24"/>
        </w:rPr>
        <w:t xml:space="preserve">9,139 </w:t>
      </w:r>
      <w:r w:rsidRPr="00772FE4">
        <w:rPr>
          <w:sz w:val="24"/>
          <w:szCs w:val="24"/>
        </w:rPr>
        <w:t>hours × $</w:t>
      </w:r>
      <w:r w:rsidR="007673B2">
        <w:rPr>
          <w:sz w:val="24"/>
          <w:szCs w:val="24"/>
        </w:rPr>
        <w:t>32.74</w:t>
      </w:r>
      <w:r w:rsidRPr="00772FE4">
        <w:rPr>
          <w:sz w:val="24"/>
          <w:szCs w:val="24"/>
        </w:rPr>
        <w:t>= $</w:t>
      </w:r>
      <w:r w:rsidR="00A67711">
        <w:rPr>
          <w:sz w:val="24"/>
          <w:szCs w:val="24"/>
        </w:rPr>
        <w:t xml:space="preserve">299,211 </w:t>
      </w:r>
    </w:p>
    <w:p w:rsidR="00553E3D" w:rsidRPr="00772FE4" w14:paraId="31714140" w14:textId="77777777">
      <w:pPr>
        <w:shd w:val="solid" w:color="FFFFFF" w:fill="FFFFFF"/>
        <w:rPr>
          <w:sz w:val="24"/>
          <w:szCs w:val="24"/>
        </w:rPr>
      </w:pPr>
    </w:p>
    <w:p w:rsidR="00553E3D" w:rsidRPr="00772FE4" w14:paraId="60E10E3D" w14:textId="77777777">
      <w:pPr>
        <w:shd w:val="solid" w:color="FFFFFF" w:fill="FFFFFF"/>
        <w:rPr>
          <w:sz w:val="24"/>
          <w:szCs w:val="24"/>
        </w:rPr>
      </w:pPr>
      <w:r w:rsidRPr="00772FE4">
        <w:rPr>
          <w:b/>
          <w:bCs/>
          <w:sz w:val="24"/>
          <w:szCs w:val="24"/>
        </w:rPr>
        <w:t>B.</w:t>
      </w:r>
      <w:r w:rsidRPr="00772FE4">
        <w:rPr>
          <w:b/>
          <w:bCs/>
          <w:sz w:val="24"/>
          <w:szCs w:val="24"/>
        </w:rPr>
        <w:tab/>
        <w:t>Compliance Program (§1926.62(e))</w:t>
      </w:r>
    </w:p>
    <w:p w:rsidR="00553E3D" w:rsidRPr="00772FE4" w14:paraId="34EC19C5" w14:textId="77777777">
      <w:pPr>
        <w:shd w:val="solid" w:color="FFFFFF" w:fill="FFFFFF"/>
        <w:rPr>
          <w:b/>
          <w:bCs/>
          <w:sz w:val="24"/>
          <w:szCs w:val="24"/>
        </w:rPr>
      </w:pPr>
    </w:p>
    <w:p w:rsidR="00553E3D" w:rsidRPr="00772FE4" w14:paraId="60A56BB6" w14:textId="77777777">
      <w:pPr>
        <w:shd w:val="solid" w:color="FFFFFF" w:fill="FFFFFF"/>
        <w:ind w:firstLine="720"/>
        <w:rPr>
          <w:b/>
          <w:bCs/>
          <w:sz w:val="24"/>
          <w:szCs w:val="24"/>
        </w:rPr>
      </w:pPr>
      <w:r w:rsidRPr="00772FE4">
        <w:rPr>
          <w:b/>
          <w:bCs/>
          <w:sz w:val="24"/>
          <w:szCs w:val="24"/>
        </w:rPr>
        <w:t>(1)</w:t>
      </w:r>
      <w:r w:rsidRPr="00772FE4">
        <w:rPr>
          <w:b/>
          <w:bCs/>
          <w:sz w:val="24"/>
          <w:szCs w:val="24"/>
        </w:rPr>
        <w:tab/>
        <w:t>Written Compliance Program</w:t>
      </w:r>
    </w:p>
    <w:p w:rsidR="00553E3D" w:rsidRPr="00772FE4" w14:paraId="45221A74" w14:textId="77777777">
      <w:pPr>
        <w:shd w:val="solid" w:color="FFFFFF" w:fill="FFFFFF"/>
        <w:rPr>
          <w:sz w:val="24"/>
          <w:szCs w:val="24"/>
        </w:rPr>
      </w:pPr>
    </w:p>
    <w:p w:rsidR="00D846EF" w14:paraId="418DD77B" w14:textId="77777777">
      <w:pPr>
        <w:shd w:val="solid" w:color="FFFFFF" w:fill="FFFFFF"/>
        <w:rPr>
          <w:sz w:val="24"/>
          <w:szCs w:val="24"/>
        </w:rPr>
      </w:pPr>
      <w:r w:rsidRPr="00772FE4">
        <w:rPr>
          <w:sz w:val="24"/>
          <w:szCs w:val="24"/>
        </w:rPr>
        <w:t xml:space="preserve">Employers must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w:t>
      </w:r>
      <w:r w:rsidR="00881F26">
        <w:rPr>
          <w:sz w:val="24"/>
          <w:szCs w:val="24"/>
        </w:rPr>
        <w:t xml:space="preserve"> </w:t>
      </w:r>
      <w:r w:rsidRPr="00772FE4">
        <w:rPr>
          <w:sz w:val="24"/>
          <w:szCs w:val="24"/>
        </w:rPr>
        <w:t xml:space="preserve">Compliance programs must be revised and updated at least annually to reflect the current status of the </w:t>
      </w:r>
    </w:p>
    <w:p w:rsidR="00D846EF" w14:paraId="34FEA991" w14:textId="77777777">
      <w:pPr>
        <w:shd w:val="solid" w:color="FFFFFF" w:fill="FFFFFF"/>
        <w:rPr>
          <w:sz w:val="24"/>
          <w:szCs w:val="24"/>
        </w:rPr>
      </w:pPr>
    </w:p>
    <w:p w:rsidR="00553E3D" w:rsidRPr="00772FE4" w14:paraId="485DBF37" w14:textId="7B691CAF">
      <w:pPr>
        <w:shd w:val="solid" w:color="FFFFFF" w:fill="FFFFFF"/>
        <w:rPr>
          <w:sz w:val="24"/>
          <w:szCs w:val="24"/>
        </w:rPr>
      </w:pPr>
      <w:r w:rsidRPr="00772FE4">
        <w:rPr>
          <w:sz w:val="24"/>
          <w:szCs w:val="24"/>
        </w:rPr>
        <w:t xml:space="preserve">program until all </w:t>
      </w:r>
      <w:r w:rsidR="00FA259D">
        <w:rPr>
          <w:sz w:val="24"/>
          <w:szCs w:val="24"/>
        </w:rPr>
        <w:t>worker</w:t>
      </w:r>
      <w:r w:rsidRPr="00772FE4">
        <w:rPr>
          <w:sz w:val="24"/>
          <w:szCs w:val="24"/>
        </w:rPr>
        <w:t xml:space="preserve"> exposures are reduced to or below the PEL solely by engineering and work practice control methods. </w:t>
      </w:r>
      <w:r w:rsidR="00881F26">
        <w:rPr>
          <w:sz w:val="24"/>
          <w:szCs w:val="24"/>
        </w:rPr>
        <w:t xml:space="preserve"> </w:t>
      </w:r>
      <w:r w:rsidRPr="00772FE4">
        <w:rPr>
          <w:sz w:val="24"/>
          <w:szCs w:val="24"/>
        </w:rPr>
        <w:t xml:space="preserve">The Standard required that compliance with this provision be achieved no later than 50 days from the Standard’s effective date (June 3, 1993). </w:t>
      </w:r>
      <w:r w:rsidR="00881F26">
        <w:rPr>
          <w:sz w:val="24"/>
          <w:szCs w:val="24"/>
        </w:rPr>
        <w:t xml:space="preserve"> </w:t>
      </w:r>
      <w:r w:rsidRPr="00772FE4">
        <w:rPr>
          <w:sz w:val="24"/>
          <w:szCs w:val="24"/>
        </w:rPr>
        <w:t>Employers performing work of the following project types have worker exposures above the PEL.</w:t>
      </w:r>
    </w:p>
    <w:p w:rsidR="00553E3D" w:rsidRPr="00772FE4" w14:paraId="4F7D6A1C" w14:textId="77777777">
      <w:pPr>
        <w:shd w:val="solid" w:color="FFFFFF" w:fill="FFFFFF"/>
        <w:rPr>
          <w:sz w:val="24"/>
          <w:szCs w:val="24"/>
        </w:rPr>
      </w:pPr>
    </w:p>
    <w:p w:rsidR="00553E3D" w:rsidRPr="00772FE4" w14:paraId="195C98CE" w14:textId="77777777">
      <w:pPr>
        <w:shd w:val="solid" w:color="FFFFFF" w:fill="FFFFFF"/>
        <w:ind w:firstLine="720"/>
        <w:rPr>
          <w:sz w:val="24"/>
          <w:szCs w:val="24"/>
        </w:rPr>
      </w:pPr>
      <w:r w:rsidRPr="00772FE4">
        <w:rPr>
          <w:sz w:val="24"/>
          <w:szCs w:val="24"/>
        </w:rPr>
        <w:t>Highway and Railroad Bridge Repainting</w:t>
      </w:r>
    </w:p>
    <w:p w:rsidR="00553E3D" w:rsidRPr="00772FE4" w14:paraId="105EC824" w14:textId="77777777">
      <w:pPr>
        <w:shd w:val="solid" w:color="FFFFFF" w:fill="FFFFFF"/>
        <w:ind w:firstLine="720"/>
        <w:rPr>
          <w:sz w:val="24"/>
          <w:szCs w:val="24"/>
        </w:rPr>
      </w:pPr>
      <w:r w:rsidRPr="00772FE4">
        <w:rPr>
          <w:sz w:val="24"/>
          <w:szCs w:val="24"/>
        </w:rPr>
        <w:t>Highway and Railroad Bridge Rehabilitation</w:t>
      </w:r>
    </w:p>
    <w:p w:rsidR="00553E3D" w:rsidRPr="00772FE4" w14:paraId="1F30D47D" w14:textId="77777777">
      <w:pPr>
        <w:shd w:val="solid" w:color="FFFFFF" w:fill="FFFFFF"/>
        <w:ind w:firstLine="720"/>
        <w:rPr>
          <w:sz w:val="24"/>
          <w:szCs w:val="24"/>
        </w:rPr>
      </w:pPr>
      <w:r w:rsidRPr="00772FE4">
        <w:rPr>
          <w:sz w:val="24"/>
          <w:szCs w:val="24"/>
        </w:rPr>
        <w:t>Water Tank Repainting</w:t>
      </w:r>
    </w:p>
    <w:p w:rsidR="00553E3D" w:rsidRPr="00772FE4" w14:paraId="2F5476DC" w14:textId="77777777">
      <w:pPr>
        <w:shd w:val="solid" w:color="FFFFFF" w:fill="FFFFFF"/>
        <w:ind w:firstLine="720"/>
        <w:rPr>
          <w:sz w:val="24"/>
          <w:szCs w:val="24"/>
        </w:rPr>
      </w:pPr>
      <w:r w:rsidRPr="00772FE4">
        <w:rPr>
          <w:sz w:val="24"/>
          <w:szCs w:val="24"/>
        </w:rPr>
        <w:t>Petroleum Tank Repainting</w:t>
      </w:r>
    </w:p>
    <w:p w:rsidR="00553E3D" w:rsidRPr="00772FE4" w14:paraId="56609948" w14:textId="77777777">
      <w:pPr>
        <w:shd w:val="solid" w:color="FFFFFF" w:fill="FFFFFF"/>
        <w:ind w:firstLine="720"/>
        <w:rPr>
          <w:sz w:val="24"/>
          <w:szCs w:val="24"/>
        </w:rPr>
      </w:pPr>
      <w:r w:rsidRPr="00772FE4">
        <w:rPr>
          <w:sz w:val="24"/>
          <w:szCs w:val="24"/>
        </w:rPr>
        <w:t>Underground Storage Tank Demolition</w:t>
      </w:r>
    </w:p>
    <w:p w:rsidR="00553E3D" w:rsidRPr="00772FE4" w14:paraId="52E5444F" w14:textId="77777777">
      <w:pPr>
        <w:shd w:val="solid" w:color="FFFFFF" w:fill="FFFFFF"/>
        <w:ind w:firstLine="720"/>
        <w:rPr>
          <w:sz w:val="24"/>
          <w:szCs w:val="24"/>
        </w:rPr>
      </w:pPr>
      <w:r w:rsidRPr="00772FE4">
        <w:rPr>
          <w:sz w:val="24"/>
          <w:szCs w:val="24"/>
        </w:rPr>
        <w:t>Housing Lead Abatement (Public Housing)</w:t>
      </w:r>
    </w:p>
    <w:p w:rsidR="00553E3D" w:rsidRPr="00772FE4" w14:paraId="407A6CC8" w14:textId="77777777">
      <w:pPr>
        <w:shd w:val="solid" w:color="FFFFFF" w:fill="FFFFFF"/>
        <w:ind w:firstLine="720"/>
        <w:rPr>
          <w:sz w:val="24"/>
          <w:szCs w:val="24"/>
        </w:rPr>
      </w:pPr>
      <w:r w:rsidRPr="00772FE4">
        <w:rPr>
          <w:sz w:val="24"/>
          <w:szCs w:val="24"/>
        </w:rPr>
        <w:t>Commercial and Industrial Demolition</w:t>
      </w:r>
    </w:p>
    <w:p w:rsidR="00553E3D" w:rsidRPr="00772FE4" w14:paraId="33AC0594" w14:textId="77777777">
      <w:pPr>
        <w:shd w:val="solid" w:color="FFFFFF" w:fill="FFFFFF"/>
        <w:ind w:firstLine="720"/>
        <w:rPr>
          <w:sz w:val="24"/>
          <w:szCs w:val="24"/>
        </w:rPr>
      </w:pPr>
      <w:r w:rsidRPr="00772FE4">
        <w:rPr>
          <w:sz w:val="24"/>
          <w:szCs w:val="24"/>
        </w:rPr>
        <w:t>Indoor Industrial Facility Maintenance/Renovation</w:t>
      </w:r>
    </w:p>
    <w:p w:rsidR="00553E3D" w:rsidRPr="00772FE4" w14:paraId="695EDF32" w14:textId="77777777">
      <w:pPr>
        <w:shd w:val="solid" w:color="FFFFFF" w:fill="FFFFFF"/>
        <w:ind w:firstLine="720"/>
        <w:rPr>
          <w:sz w:val="24"/>
          <w:szCs w:val="24"/>
        </w:rPr>
      </w:pPr>
      <w:r w:rsidRPr="00772FE4">
        <w:rPr>
          <w:sz w:val="24"/>
          <w:szCs w:val="24"/>
        </w:rPr>
        <w:t>Outdoor Industrial Facility Maintenance /Renovation</w:t>
      </w:r>
    </w:p>
    <w:p w:rsidR="00553E3D" w:rsidRPr="00772FE4" w14:paraId="77A57899" w14:textId="75A9B603">
      <w:pPr>
        <w:shd w:val="solid" w:color="FFFFFF" w:fill="FFFFFF"/>
        <w:ind w:firstLine="720"/>
        <w:rPr>
          <w:sz w:val="24"/>
          <w:szCs w:val="24"/>
        </w:rPr>
      </w:pPr>
      <w:r w:rsidRPr="00772FE4">
        <w:rPr>
          <w:sz w:val="24"/>
          <w:szCs w:val="24"/>
        </w:rPr>
        <w:t>Industrial Process Equipment Manufacture/Maintenance/Repair</w:t>
      </w:r>
    </w:p>
    <w:p w:rsidR="00553E3D" w:rsidRPr="00772FE4" w14:paraId="221073F4" w14:textId="77777777">
      <w:pPr>
        <w:shd w:val="solid" w:color="FFFFFF" w:fill="FFFFFF"/>
        <w:ind w:firstLine="720"/>
        <w:rPr>
          <w:sz w:val="24"/>
          <w:szCs w:val="24"/>
        </w:rPr>
      </w:pPr>
      <w:r w:rsidRPr="00772FE4">
        <w:rPr>
          <w:sz w:val="24"/>
          <w:szCs w:val="24"/>
        </w:rPr>
        <w:t>Industrial Vacuuming</w:t>
      </w:r>
    </w:p>
    <w:p w:rsidR="00553E3D" w:rsidRPr="00772FE4" w14:paraId="6C3D208B" w14:textId="77777777">
      <w:pPr>
        <w:shd w:val="solid" w:color="FFFFFF" w:fill="FFFFFF"/>
        <w:ind w:firstLine="720"/>
        <w:rPr>
          <w:sz w:val="24"/>
          <w:szCs w:val="24"/>
        </w:rPr>
      </w:pPr>
      <w:r w:rsidRPr="00772FE4">
        <w:rPr>
          <w:sz w:val="24"/>
          <w:szCs w:val="24"/>
        </w:rPr>
        <w:t>Stained Glass Window Removal</w:t>
      </w:r>
    </w:p>
    <w:p w:rsidR="00553E3D" w:rsidRPr="00772FE4" w14:paraId="00166A96" w14:textId="77777777">
      <w:pPr>
        <w:shd w:val="solid" w:color="FFFFFF" w:fill="FFFFFF"/>
        <w:ind w:firstLine="720"/>
        <w:rPr>
          <w:sz w:val="24"/>
          <w:szCs w:val="24"/>
        </w:rPr>
      </w:pPr>
      <w:r w:rsidRPr="00772FE4">
        <w:rPr>
          <w:sz w:val="24"/>
          <w:szCs w:val="24"/>
        </w:rPr>
        <w:t>Commercial and Institutional Remodeling</w:t>
      </w:r>
    </w:p>
    <w:p w:rsidR="00553E3D" w:rsidRPr="00772FE4" w14:paraId="7703BA28" w14:textId="77777777">
      <w:pPr>
        <w:shd w:val="solid" w:color="FFFFFF" w:fill="FFFFFF"/>
        <w:ind w:firstLine="720"/>
        <w:rPr>
          <w:sz w:val="24"/>
          <w:szCs w:val="24"/>
        </w:rPr>
      </w:pPr>
      <w:r w:rsidRPr="00772FE4">
        <w:rPr>
          <w:sz w:val="24"/>
          <w:szCs w:val="24"/>
        </w:rPr>
        <w:t>Residential Remodeling</w:t>
      </w:r>
    </w:p>
    <w:p w:rsidR="00553E3D" w:rsidRPr="00772FE4" w14:paraId="65097D2D" w14:textId="7CD38340">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w:t>
      </w:r>
    </w:p>
    <w:p w:rsidR="00553E3D" w:rsidRPr="00772FE4" w14:paraId="38141D83" w14:textId="77777777">
      <w:pPr>
        <w:shd w:val="solid" w:color="FFFFFF" w:fill="FFFFFF"/>
        <w:ind w:firstLine="720"/>
        <w:rPr>
          <w:sz w:val="24"/>
          <w:szCs w:val="24"/>
        </w:rPr>
      </w:pPr>
      <w:r w:rsidRPr="00772FE4">
        <w:rPr>
          <w:sz w:val="24"/>
          <w:szCs w:val="24"/>
        </w:rPr>
        <w:t>Transmission and Communication Tower Maintenance</w:t>
      </w:r>
    </w:p>
    <w:p w:rsidR="00553E3D" w:rsidRPr="00772FE4" w14:paraId="76BCEF39" w14:textId="77777777">
      <w:pPr>
        <w:shd w:val="solid" w:color="FFFFFF" w:fill="FFFFFF"/>
        <w:rPr>
          <w:sz w:val="24"/>
          <w:szCs w:val="24"/>
        </w:rPr>
      </w:pPr>
    </w:p>
    <w:p w:rsidR="00553E3D" w:rsidRPr="00772FE4" w14:paraId="4932463B" w14:textId="3BCBD7D7">
      <w:pPr>
        <w:shd w:val="solid" w:color="FFFFFF" w:fill="FFFFFF"/>
        <w:rPr>
          <w:sz w:val="24"/>
          <w:szCs w:val="24"/>
        </w:rPr>
      </w:pPr>
      <w:r w:rsidRPr="00772FE4">
        <w:rPr>
          <w:sz w:val="24"/>
          <w:szCs w:val="24"/>
        </w:rPr>
        <w:t xml:space="preserve">OSHA estimates there are </w:t>
      </w:r>
      <w:r w:rsidR="00A35106">
        <w:rPr>
          <w:sz w:val="24"/>
          <w:szCs w:val="24"/>
        </w:rPr>
        <w:t>72,120</w:t>
      </w:r>
      <w:r w:rsidR="001B406D">
        <w:rPr>
          <w:sz w:val="24"/>
          <w:szCs w:val="24"/>
        </w:rPr>
        <w:t xml:space="preserve"> </w:t>
      </w:r>
      <w:r w:rsidRPr="00772FE4">
        <w:rPr>
          <w:sz w:val="24"/>
          <w:szCs w:val="24"/>
        </w:rPr>
        <w:t>firms engaged in these project types.</w:t>
      </w:r>
    </w:p>
    <w:p w:rsidR="00553E3D" w:rsidRPr="00772FE4" w14:paraId="28BD2E43" w14:textId="77777777">
      <w:pPr>
        <w:shd w:val="solid" w:color="FFFFFF" w:fill="FFFFFF"/>
        <w:rPr>
          <w:sz w:val="24"/>
          <w:szCs w:val="24"/>
        </w:rPr>
      </w:pPr>
    </w:p>
    <w:p w:rsidR="00553E3D" w:rsidRPr="003022AB" w14:paraId="7CA4783C" w14:textId="77777777">
      <w:pPr>
        <w:shd w:val="solid" w:color="FFFFFF" w:fill="FFFFFF"/>
        <w:ind w:firstLine="720"/>
        <w:rPr>
          <w:sz w:val="24"/>
          <w:szCs w:val="24"/>
        </w:rPr>
      </w:pPr>
      <w:r w:rsidRPr="003022AB">
        <w:rPr>
          <w:b/>
          <w:bCs/>
          <w:sz w:val="24"/>
          <w:szCs w:val="24"/>
        </w:rPr>
        <w:t>(1)(a)</w:t>
      </w:r>
      <w:r w:rsidRPr="003022AB">
        <w:rPr>
          <w:b/>
          <w:bCs/>
          <w:sz w:val="24"/>
          <w:szCs w:val="24"/>
        </w:rPr>
        <w:tab/>
        <w:t>Development of Written Compliance Program</w:t>
      </w:r>
    </w:p>
    <w:p w:rsidR="00553E3D" w:rsidRPr="003022AB" w14:paraId="4CA582F8" w14:textId="77777777">
      <w:pPr>
        <w:shd w:val="solid" w:color="FFFFFF" w:fill="FFFFFF"/>
        <w:rPr>
          <w:sz w:val="24"/>
          <w:szCs w:val="24"/>
        </w:rPr>
      </w:pPr>
    </w:p>
    <w:p w:rsidR="00553E3D" w:rsidRPr="003022AB" w14:paraId="049E3099" w14:textId="1324AE2D">
      <w:pPr>
        <w:shd w:val="solid" w:color="FFFFFF" w:fill="FFFFFF"/>
        <w:rPr>
          <w:sz w:val="24"/>
          <w:szCs w:val="24"/>
        </w:rPr>
      </w:pPr>
      <w:r w:rsidRPr="003022AB">
        <w:rPr>
          <w:sz w:val="24"/>
          <w:szCs w:val="24"/>
        </w:rPr>
        <w:t xml:space="preserve">OSHA assumes that all existing firms </w:t>
      </w:r>
      <w:r w:rsidRPr="003022AB" w:rsidR="008D03F6">
        <w:rPr>
          <w:sz w:val="24"/>
          <w:szCs w:val="24"/>
        </w:rPr>
        <w:t>are complying</w:t>
      </w:r>
      <w:r w:rsidRPr="003022AB">
        <w:rPr>
          <w:sz w:val="24"/>
          <w:szCs w:val="24"/>
        </w:rPr>
        <w:t xml:space="preserve"> and have already prepared their written plans. </w:t>
      </w:r>
      <w:r w:rsidRPr="003022AB" w:rsidR="00881F26">
        <w:rPr>
          <w:sz w:val="24"/>
          <w:szCs w:val="24"/>
        </w:rPr>
        <w:t xml:space="preserve"> </w:t>
      </w:r>
      <w:r w:rsidRPr="003022AB">
        <w:rPr>
          <w:sz w:val="24"/>
          <w:szCs w:val="24"/>
        </w:rPr>
        <w:t xml:space="preserve">Therefore, only new firms must develop a written compliance program. </w:t>
      </w:r>
      <w:r w:rsidRPr="003022AB" w:rsidR="00881F26">
        <w:rPr>
          <w:sz w:val="24"/>
          <w:szCs w:val="24"/>
        </w:rPr>
        <w:t xml:space="preserve"> </w:t>
      </w:r>
      <w:r w:rsidR="008D03F6">
        <w:rPr>
          <w:sz w:val="24"/>
          <w:szCs w:val="24"/>
        </w:rPr>
        <w:t>To calculate</w:t>
      </w:r>
      <w:r w:rsidRPr="003022AB">
        <w:rPr>
          <w:sz w:val="24"/>
          <w:szCs w:val="24"/>
        </w:rPr>
        <w:t xml:space="preserve"> the burden hours and costs, OSHA assumes that, on an annual basis, 10 percent of the total number of firms (</w:t>
      </w:r>
      <w:r w:rsidR="00587A83">
        <w:rPr>
          <w:sz w:val="24"/>
          <w:szCs w:val="24"/>
        </w:rPr>
        <w:t>7,212</w:t>
      </w:r>
      <w:r w:rsidRPr="003022AB" w:rsidR="009C2440">
        <w:rPr>
          <w:sz w:val="24"/>
          <w:szCs w:val="24"/>
        </w:rPr>
        <w:t xml:space="preserve"> </w:t>
      </w:r>
      <w:r w:rsidRPr="003022AB">
        <w:rPr>
          <w:sz w:val="24"/>
          <w:szCs w:val="24"/>
        </w:rPr>
        <w:t>new firms) with worker exposures above the PEL and are new entrants to the industry.</w:t>
      </w:r>
      <w:r w:rsidRPr="003022AB" w:rsidR="00881F26">
        <w:rPr>
          <w:sz w:val="24"/>
          <w:szCs w:val="24"/>
        </w:rPr>
        <w:t xml:space="preserve"> </w:t>
      </w:r>
      <w:r w:rsidRPr="003022AB">
        <w:rPr>
          <w:sz w:val="24"/>
          <w:szCs w:val="24"/>
        </w:rPr>
        <w:t xml:space="preserve"> OSHA estimates </w:t>
      </w:r>
      <w:r w:rsidR="008D03F6">
        <w:rPr>
          <w:sz w:val="24"/>
          <w:szCs w:val="24"/>
        </w:rPr>
        <w:t xml:space="preserve">that </w:t>
      </w:r>
      <w:r w:rsidRPr="003022AB">
        <w:rPr>
          <w:sz w:val="24"/>
          <w:szCs w:val="24"/>
        </w:rPr>
        <w:t>a construction supervisor takes between one and eight hours to develop a written compliance program, depending on the project type involved.</w:t>
      </w:r>
      <w:r w:rsidRPr="003022AB" w:rsidR="00881F26">
        <w:rPr>
          <w:sz w:val="24"/>
          <w:szCs w:val="24"/>
        </w:rPr>
        <w:t xml:space="preserve"> </w:t>
      </w:r>
      <w:r w:rsidRPr="003022AB">
        <w:rPr>
          <w:sz w:val="24"/>
          <w:szCs w:val="24"/>
        </w:rPr>
        <w:t xml:space="preserve"> The formula used to derive the burden hours by project type is: (# of new firms) × (1 program/firm) × (# of </w:t>
      </w:r>
      <w:r w:rsidRPr="003022AB">
        <w:rPr>
          <w:sz w:val="24"/>
          <w:szCs w:val="24"/>
        </w:rPr>
        <w:t xml:space="preserve">hours of labor time/program/project type) = burden hours by project type. </w:t>
      </w:r>
      <w:r w:rsidRPr="003022AB" w:rsidR="00881F26">
        <w:rPr>
          <w:sz w:val="24"/>
          <w:szCs w:val="24"/>
        </w:rPr>
        <w:t xml:space="preserve"> </w:t>
      </w:r>
      <w:r w:rsidRPr="003022AB">
        <w:rPr>
          <w:sz w:val="24"/>
          <w:szCs w:val="24"/>
        </w:rPr>
        <w:t xml:space="preserve">The burden hours by project type are totaled to derive the total burden hours for this requirement. </w:t>
      </w:r>
      <w:r w:rsidRPr="003022AB" w:rsidR="00881F26">
        <w:rPr>
          <w:sz w:val="24"/>
          <w:szCs w:val="24"/>
        </w:rPr>
        <w:t xml:space="preserve"> </w:t>
      </w:r>
      <w:r w:rsidRPr="003022AB">
        <w:rPr>
          <w:sz w:val="24"/>
          <w:szCs w:val="24"/>
        </w:rPr>
        <w:t xml:space="preserve">The annual total burden hours for this requirement are </w:t>
      </w:r>
      <w:r w:rsidR="00C82FF4">
        <w:rPr>
          <w:sz w:val="24"/>
          <w:szCs w:val="24"/>
        </w:rPr>
        <w:t>15,</w:t>
      </w:r>
      <w:r w:rsidR="009713DB">
        <w:rPr>
          <w:sz w:val="24"/>
          <w:szCs w:val="24"/>
        </w:rPr>
        <w:t>827</w:t>
      </w:r>
      <w:r w:rsidRPr="003022AB" w:rsidR="001B406D">
        <w:rPr>
          <w:sz w:val="24"/>
          <w:szCs w:val="24"/>
        </w:rPr>
        <w:t xml:space="preserve"> </w:t>
      </w:r>
      <w:r w:rsidRPr="003022AB">
        <w:rPr>
          <w:sz w:val="24"/>
          <w:szCs w:val="24"/>
        </w:rPr>
        <w:t>hours.</w:t>
      </w:r>
    </w:p>
    <w:p w:rsidR="00553E3D" w:rsidRPr="003022AB" w14:paraId="43BB2284" w14:textId="77777777">
      <w:pPr>
        <w:shd w:val="solid" w:color="FFFFFF" w:fill="FFFFFF"/>
        <w:rPr>
          <w:sz w:val="24"/>
          <w:szCs w:val="24"/>
        </w:rPr>
      </w:pPr>
    </w:p>
    <w:p w:rsidR="00553E3D" w:rsidRPr="003022AB" w14:paraId="7D27FFFC" w14:textId="666229C1">
      <w:pPr>
        <w:shd w:val="solid" w:color="FFFFFF" w:fill="FFFFFF"/>
        <w:ind w:firstLine="720"/>
        <w:rPr>
          <w:sz w:val="24"/>
          <w:szCs w:val="24"/>
        </w:rPr>
      </w:pPr>
      <w:r w:rsidRPr="003022AB">
        <w:rPr>
          <w:b/>
          <w:bCs/>
          <w:sz w:val="24"/>
          <w:szCs w:val="24"/>
        </w:rPr>
        <w:t>Burden hours:</w:t>
      </w:r>
      <w:r w:rsidRPr="003022AB">
        <w:rPr>
          <w:sz w:val="24"/>
          <w:szCs w:val="24"/>
        </w:rPr>
        <w:tab/>
      </w:r>
      <w:r w:rsidR="00617250">
        <w:rPr>
          <w:sz w:val="24"/>
          <w:szCs w:val="24"/>
        </w:rPr>
        <w:t>7,212</w:t>
      </w:r>
      <w:r w:rsidRPr="003022AB" w:rsidR="003B0C01">
        <w:rPr>
          <w:sz w:val="24"/>
          <w:szCs w:val="24"/>
        </w:rPr>
        <w:t xml:space="preserve"> new</w:t>
      </w:r>
      <w:r w:rsidRPr="003022AB">
        <w:rPr>
          <w:sz w:val="24"/>
          <w:szCs w:val="24"/>
        </w:rPr>
        <w:t xml:space="preserve"> firms x 1 program/firm x 2.19</w:t>
      </w:r>
      <w:r w:rsidR="00FB7EB6">
        <w:rPr>
          <w:sz w:val="24"/>
          <w:szCs w:val="24"/>
        </w:rPr>
        <w:t>6 hours</w:t>
      </w:r>
      <w:r w:rsidRPr="003022AB">
        <w:rPr>
          <w:sz w:val="24"/>
          <w:szCs w:val="24"/>
        </w:rPr>
        <w:t xml:space="preserve"> = </w:t>
      </w:r>
      <w:r w:rsidR="00336DAD">
        <w:rPr>
          <w:sz w:val="24"/>
          <w:szCs w:val="24"/>
        </w:rPr>
        <w:t xml:space="preserve">15,827 </w:t>
      </w:r>
      <w:r w:rsidRPr="003022AB" w:rsidR="00336DAD">
        <w:rPr>
          <w:sz w:val="24"/>
          <w:szCs w:val="24"/>
        </w:rPr>
        <w:t>hours</w:t>
      </w:r>
    </w:p>
    <w:p w:rsidR="00553E3D" w:rsidRPr="003022AB" w14:paraId="11FA484A" w14:textId="692838A7">
      <w:pPr>
        <w:shd w:val="solid" w:color="FFFFFF" w:fill="FFFFFF"/>
        <w:ind w:firstLine="720"/>
        <w:rPr>
          <w:sz w:val="24"/>
          <w:szCs w:val="24"/>
        </w:rPr>
      </w:pPr>
      <w:r w:rsidRPr="003022AB">
        <w:rPr>
          <w:b/>
          <w:bCs/>
          <w:sz w:val="24"/>
          <w:szCs w:val="24"/>
        </w:rPr>
        <w:t xml:space="preserve">                Cost: </w:t>
      </w:r>
      <w:r w:rsidRPr="003022AB">
        <w:rPr>
          <w:sz w:val="24"/>
          <w:szCs w:val="24"/>
        </w:rPr>
        <w:tab/>
      </w:r>
      <w:r w:rsidRPr="003022AB" w:rsidR="009C2440">
        <w:rPr>
          <w:sz w:val="24"/>
          <w:szCs w:val="24"/>
        </w:rPr>
        <w:t>1</w:t>
      </w:r>
      <w:r w:rsidR="00657452">
        <w:rPr>
          <w:sz w:val="24"/>
          <w:szCs w:val="24"/>
        </w:rPr>
        <w:t>5,827</w:t>
      </w:r>
      <w:r w:rsidR="00190D7F">
        <w:rPr>
          <w:sz w:val="24"/>
          <w:szCs w:val="24"/>
        </w:rPr>
        <w:t xml:space="preserve"> </w:t>
      </w:r>
      <w:r w:rsidR="00336DAD">
        <w:rPr>
          <w:sz w:val="24"/>
          <w:szCs w:val="24"/>
        </w:rPr>
        <w:t>hours</w:t>
      </w:r>
      <w:r w:rsidRPr="003022AB" w:rsidR="00767CF1">
        <w:rPr>
          <w:sz w:val="24"/>
          <w:szCs w:val="24"/>
        </w:rPr>
        <w:t xml:space="preserve"> </w:t>
      </w:r>
      <w:r w:rsidRPr="003022AB">
        <w:rPr>
          <w:sz w:val="24"/>
          <w:szCs w:val="24"/>
        </w:rPr>
        <w:t>× $</w:t>
      </w:r>
      <w:r w:rsidRPr="003022AB" w:rsidR="009C2440">
        <w:rPr>
          <w:sz w:val="24"/>
          <w:szCs w:val="24"/>
        </w:rPr>
        <w:t>5</w:t>
      </w:r>
      <w:r w:rsidR="00657452">
        <w:rPr>
          <w:sz w:val="24"/>
          <w:szCs w:val="24"/>
        </w:rPr>
        <w:t>5.55</w:t>
      </w:r>
      <w:r w:rsidRPr="003022AB">
        <w:rPr>
          <w:sz w:val="24"/>
          <w:szCs w:val="24"/>
        </w:rPr>
        <w:t xml:space="preserve"> = $</w:t>
      </w:r>
      <w:r w:rsidR="00C82FF4">
        <w:rPr>
          <w:sz w:val="24"/>
          <w:szCs w:val="24"/>
        </w:rPr>
        <w:t>879,190</w:t>
      </w:r>
      <w:r w:rsidR="00190D7F">
        <w:rPr>
          <w:sz w:val="24"/>
          <w:szCs w:val="24"/>
        </w:rPr>
        <w:t xml:space="preserve"> </w:t>
      </w:r>
    </w:p>
    <w:p w:rsidR="003B0C01" w:rsidRPr="003022AB" w14:paraId="423B1B33" w14:textId="77777777">
      <w:pPr>
        <w:shd w:val="solid" w:color="FFFFFF" w:fill="FFFFFF"/>
        <w:ind w:firstLine="720"/>
        <w:rPr>
          <w:b/>
          <w:bCs/>
          <w:sz w:val="24"/>
          <w:szCs w:val="24"/>
        </w:rPr>
      </w:pPr>
    </w:p>
    <w:p w:rsidR="00553E3D" w:rsidRPr="003022AB" w14:paraId="49B409AA" w14:textId="77777777">
      <w:pPr>
        <w:shd w:val="solid" w:color="FFFFFF" w:fill="FFFFFF"/>
        <w:ind w:firstLine="720"/>
        <w:rPr>
          <w:sz w:val="24"/>
          <w:szCs w:val="24"/>
        </w:rPr>
      </w:pPr>
      <w:r w:rsidRPr="003022AB">
        <w:rPr>
          <w:b/>
          <w:bCs/>
          <w:sz w:val="24"/>
          <w:szCs w:val="24"/>
        </w:rPr>
        <w:t>(1)(b)</w:t>
      </w:r>
      <w:r w:rsidRPr="003022AB">
        <w:rPr>
          <w:b/>
          <w:bCs/>
          <w:sz w:val="24"/>
          <w:szCs w:val="24"/>
        </w:rPr>
        <w:tab/>
        <w:t>Annual Review of the Written Compliance Program Review</w:t>
      </w:r>
    </w:p>
    <w:p w:rsidR="00553E3D" w:rsidRPr="003022AB" w14:paraId="1AE393E1" w14:textId="77777777">
      <w:pPr>
        <w:shd w:val="solid" w:color="FFFFFF" w:fill="FFFFFF"/>
        <w:rPr>
          <w:sz w:val="24"/>
          <w:szCs w:val="24"/>
        </w:rPr>
      </w:pPr>
    </w:p>
    <w:p w:rsidR="00553E3D" w:rsidRPr="003022AB" w14:paraId="27ACDF67" w14:textId="013AA02F">
      <w:pPr>
        <w:shd w:val="solid" w:color="FFFFFF" w:fill="FFFFFF"/>
        <w:rPr>
          <w:sz w:val="24"/>
          <w:szCs w:val="24"/>
        </w:rPr>
      </w:pPr>
      <w:r w:rsidRPr="003022AB">
        <w:rPr>
          <w:sz w:val="24"/>
          <w:szCs w:val="24"/>
        </w:rPr>
        <w:t xml:space="preserve">All </w:t>
      </w:r>
      <w:r w:rsidRPr="003256BB" w:rsidR="004E3851">
        <w:rPr>
          <w:sz w:val="24"/>
          <w:szCs w:val="24"/>
        </w:rPr>
        <w:t>72,120</w:t>
      </w:r>
      <w:r w:rsidRPr="003022AB" w:rsidR="005A2B25">
        <w:rPr>
          <w:sz w:val="24"/>
          <w:szCs w:val="24"/>
        </w:rPr>
        <w:t xml:space="preserve"> </w:t>
      </w:r>
      <w:r w:rsidRPr="003022AB">
        <w:rPr>
          <w:sz w:val="24"/>
          <w:szCs w:val="24"/>
        </w:rPr>
        <w:t xml:space="preserve">firms, which include new firms, have some workers with exposures above the PEL requiring firms to review their written compliance plans annually. </w:t>
      </w:r>
      <w:r w:rsidRPr="003022AB" w:rsidR="00881F26">
        <w:rPr>
          <w:sz w:val="24"/>
          <w:szCs w:val="24"/>
        </w:rPr>
        <w:t xml:space="preserve"> </w:t>
      </w:r>
      <w:r w:rsidRPr="003022AB">
        <w:rPr>
          <w:sz w:val="24"/>
          <w:szCs w:val="24"/>
        </w:rPr>
        <w:t xml:space="preserve">A construction supervisor spends half the amount of time </w:t>
      </w:r>
      <w:r w:rsidR="008D03F6">
        <w:rPr>
          <w:sz w:val="24"/>
          <w:szCs w:val="24"/>
        </w:rPr>
        <w:t>reviewing rather than developing</w:t>
      </w:r>
      <w:r w:rsidRPr="003022AB">
        <w:rPr>
          <w:sz w:val="24"/>
          <w:szCs w:val="24"/>
        </w:rPr>
        <w:t xml:space="preserve"> a written compliance plan (</w:t>
      </w:r>
      <w:r w:rsidRPr="003022AB" w:rsidR="00376692">
        <w:rPr>
          <w:sz w:val="24"/>
          <w:szCs w:val="24"/>
        </w:rPr>
        <w:t>i.e.,</w:t>
      </w:r>
      <w:r w:rsidRPr="003022AB">
        <w:rPr>
          <w:sz w:val="24"/>
          <w:szCs w:val="24"/>
        </w:rPr>
        <w:t xml:space="preserve"> between 30 minutes </w:t>
      </w:r>
      <w:r w:rsidRPr="003022AB" w:rsidR="009C2440">
        <w:rPr>
          <w:sz w:val="24"/>
          <w:szCs w:val="24"/>
        </w:rPr>
        <w:t xml:space="preserve">and </w:t>
      </w:r>
      <w:r w:rsidRPr="003022AB">
        <w:rPr>
          <w:sz w:val="24"/>
          <w:szCs w:val="24"/>
        </w:rPr>
        <w:t xml:space="preserve">four hours). </w:t>
      </w:r>
      <w:r w:rsidRPr="003022AB" w:rsidR="00881F26">
        <w:rPr>
          <w:sz w:val="24"/>
          <w:szCs w:val="24"/>
        </w:rPr>
        <w:t xml:space="preserve"> </w:t>
      </w:r>
      <w:r w:rsidRPr="003022AB">
        <w:rPr>
          <w:sz w:val="24"/>
          <w:szCs w:val="24"/>
        </w:rPr>
        <w:t xml:space="preserve">The formula for </w:t>
      </w:r>
      <w:r w:rsidR="00C92153">
        <w:rPr>
          <w:sz w:val="24"/>
          <w:szCs w:val="24"/>
        </w:rPr>
        <w:t xml:space="preserve">the </w:t>
      </w:r>
      <w:r w:rsidRPr="003022AB">
        <w:rPr>
          <w:sz w:val="24"/>
          <w:szCs w:val="24"/>
        </w:rPr>
        <w:t xml:space="preserve">annual review of compliance plans is as follows: (number of firms) × (time per review firm/project type) × (1 review a year) = burden hours by project time. </w:t>
      </w:r>
      <w:r w:rsidRPr="003022AB" w:rsidR="00881F26">
        <w:rPr>
          <w:sz w:val="24"/>
          <w:szCs w:val="24"/>
        </w:rPr>
        <w:t xml:space="preserve"> </w:t>
      </w:r>
      <w:r w:rsidRPr="003022AB">
        <w:rPr>
          <w:sz w:val="24"/>
          <w:szCs w:val="24"/>
        </w:rPr>
        <w:t xml:space="preserve">The burden hours by project type were totaled to determine the total burden hours across all project times. </w:t>
      </w:r>
      <w:r w:rsidRPr="003022AB" w:rsidR="00881F26">
        <w:rPr>
          <w:sz w:val="24"/>
          <w:szCs w:val="24"/>
        </w:rPr>
        <w:t xml:space="preserve"> </w:t>
      </w:r>
      <w:r w:rsidRPr="003022AB">
        <w:rPr>
          <w:sz w:val="24"/>
          <w:szCs w:val="24"/>
        </w:rPr>
        <w:t xml:space="preserve">The annual total burden hours for this requirement </w:t>
      </w:r>
      <w:r w:rsidRPr="003022AB" w:rsidR="00376692">
        <w:rPr>
          <w:sz w:val="24"/>
          <w:szCs w:val="24"/>
        </w:rPr>
        <w:t>are</w:t>
      </w:r>
      <w:r w:rsidRPr="003022AB">
        <w:rPr>
          <w:sz w:val="24"/>
          <w:szCs w:val="24"/>
        </w:rPr>
        <w:t xml:space="preserve"> </w:t>
      </w:r>
      <w:r w:rsidR="004E3851">
        <w:rPr>
          <w:bCs/>
          <w:sz w:val="24"/>
          <w:szCs w:val="24"/>
        </w:rPr>
        <w:t>79,977</w:t>
      </w:r>
      <w:r w:rsidRPr="003022AB" w:rsidR="0038258E">
        <w:rPr>
          <w:sz w:val="24"/>
          <w:szCs w:val="24"/>
        </w:rPr>
        <w:t xml:space="preserve"> </w:t>
      </w:r>
      <w:r w:rsidRPr="003022AB">
        <w:rPr>
          <w:sz w:val="24"/>
          <w:szCs w:val="24"/>
        </w:rPr>
        <w:t>hours</w:t>
      </w:r>
      <w:r w:rsidRPr="003022AB" w:rsidR="009C2440">
        <w:rPr>
          <w:sz w:val="24"/>
          <w:szCs w:val="24"/>
        </w:rPr>
        <w:t>.</w:t>
      </w:r>
    </w:p>
    <w:p w:rsidR="00553E3D" w:rsidRPr="003022AB" w14:paraId="2E0342E4" w14:textId="77777777">
      <w:pPr>
        <w:shd w:val="solid" w:color="FFFFFF" w:fill="FFFFFF"/>
        <w:rPr>
          <w:sz w:val="24"/>
          <w:szCs w:val="24"/>
        </w:rPr>
      </w:pPr>
    </w:p>
    <w:p w:rsidR="00553E3D" w:rsidRPr="003022AB" w14:paraId="4E2A01D0" w14:textId="4C46BCFE">
      <w:pPr>
        <w:shd w:val="solid" w:color="FFFFFF" w:fill="FFFFFF"/>
        <w:ind w:firstLine="720"/>
        <w:rPr>
          <w:sz w:val="24"/>
          <w:szCs w:val="24"/>
        </w:rPr>
      </w:pPr>
      <w:r w:rsidRPr="003022AB">
        <w:rPr>
          <w:b/>
          <w:bCs/>
          <w:sz w:val="24"/>
          <w:szCs w:val="24"/>
        </w:rPr>
        <w:t>Burden hours:</w:t>
      </w:r>
      <w:r w:rsidRPr="003022AB">
        <w:rPr>
          <w:b/>
          <w:bCs/>
          <w:sz w:val="24"/>
          <w:szCs w:val="24"/>
        </w:rPr>
        <w:tab/>
      </w:r>
      <w:r w:rsidRPr="00B63DB7" w:rsidR="001B45F2">
        <w:rPr>
          <w:sz w:val="24"/>
          <w:szCs w:val="24"/>
        </w:rPr>
        <w:t>72,120</w:t>
      </w:r>
      <w:r w:rsidR="001B45F2">
        <w:rPr>
          <w:bCs/>
          <w:sz w:val="24"/>
          <w:szCs w:val="24"/>
        </w:rPr>
        <w:t xml:space="preserve"> </w:t>
      </w:r>
      <w:r w:rsidRPr="003022AB" w:rsidR="001B45F2">
        <w:rPr>
          <w:sz w:val="24"/>
          <w:szCs w:val="24"/>
        </w:rPr>
        <w:t>firms</w:t>
      </w:r>
      <w:r w:rsidRPr="003022AB">
        <w:rPr>
          <w:sz w:val="24"/>
          <w:szCs w:val="24"/>
        </w:rPr>
        <w:t xml:space="preserve"> x</w:t>
      </w:r>
      <w:r w:rsidRPr="003022AB">
        <w:rPr>
          <w:b/>
          <w:bCs/>
          <w:sz w:val="24"/>
          <w:szCs w:val="24"/>
        </w:rPr>
        <w:t xml:space="preserve"> </w:t>
      </w:r>
      <w:r w:rsidRPr="003022AB">
        <w:rPr>
          <w:sz w:val="24"/>
          <w:szCs w:val="24"/>
        </w:rPr>
        <w:t>1 annually</w:t>
      </w:r>
      <w:r w:rsidRPr="003022AB">
        <w:rPr>
          <w:b/>
          <w:bCs/>
          <w:sz w:val="24"/>
          <w:szCs w:val="24"/>
        </w:rPr>
        <w:t xml:space="preserve"> </w:t>
      </w:r>
      <w:r w:rsidRPr="003022AB">
        <w:rPr>
          <w:sz w:val="24"/>
          <w:szCs w:val="24"/>
        </w:rPr>
        <w:t>x</w:t>
      </w:r>
      <w:r w:rsidRPr="003022AB">
        <w:rPr>
          <w:b/>
          <w:bCs/>
          <w:sz w:val="24"/>
          <w:szCs w:val="24"/>
        </w:rPr>
        <w:t xml:space="preserve"> </w:t>
      </w:r>
      <w:r w:rsidRPr="003022AB">
        <w:rPr>
          <w:sz w:val="24"/>
          <w:szCs w:val="24"/>
        </w:rPr>
        <w:t>1.109</w:t>
      </w:r>
      <w:r w:rsidR="00FC6CD4">
        <w:rPr>
          <w:sz w:val="24"/>
          <w:szCs w:val="24"/>
        </w:rPr>
        <w:t xml:space="preserve"> hours</w:t>
      </w:r>
      <w:r w:rsidRPr="003022AB">
        <w:rPr>
          <w:b/>
          <w:bCs/>
          <w:sz w:val="24"/>
          <w:szCs w:val="24"/>
        </w:rPr>
        <w:t xml:space="preserve"> = </w:t>
      </w:r>
      <w:r w:rsidR="00A76A16">
        <w:rPr>
          <w:bCs/>
          <w:sz w:val="24"/>
          <w:szCs w:val="24"/>
        </w:rPr>
        <w:t>79,9</w:t>
      </w:r>
      <w:r w:rsidR="005665B8">
        <w:rPr>
          <w:bCs/>
          <w:sz w:val="24"/>
          <w:szCs w:val="24"/>
        </w:rPr>
        <w:t xml:space="preserve">77 </w:t>
      </w:r>
      <w:r w:rsidRPr="003022AB">
        <w:rPr>
          <w:sz w:val="24"/>
          <w:szCs w:val="24"/>
        </w:rPr>
        <w:t>hours</w:t>
      </w:r>
    </w:p>
    <w:p w:rsidR="00553E3D" w:rsidRPr="00772FE4" w14:paraId="3C94725D" w14:textId="016B5BB1">
      <w:pPr>
        <w:shd w:val="solid" w:color="FFFFFF" w:fill="FFFFFF"/>
        <w:ind w:firstLine="720"/>
        <w:rPr>
          <w:sz w:val="24"/>
          <w:szCs w:val="24"/>
        </w:rPr>
      </w:pPr>
      <w:r w:rsidRPr="003022AB">
        <w:rPr>
          <w:b/>
          <w:bCs/>
          <w:sz w:val="24"/>
          <w:szCs w:val="24"/>
        </w:rPr>
        <w:t xml:space="preserve">                Cost:</w:t>
      </w:r>
      <w:r w:rsidRPr="003022AB">
        <w:rPr>
          <w:b/>
          <w:bCs/>
          <w:sz w:val="24"/>
          <w:szCs w:val="24"/>
        </w:rPr>
        <w:tab/>
      </w:r>
      <w:r w:rsidRPr="003022AB" w:rsidR="009C2440">
        <w:rPr>
          <w:bCs/>
          <w:sz w:val="24"/>
          <w:szCs w:val="24"/>
        </w:rPr>
        <w:t>7</w:t>
      </w:r>
      <w:r w:rsidR="005665B8">
        <w:rPr>
          <w:bCs/>
          <w:sz w:val="24"/>
          <w:szCs w:val="24"/>
        </w:rPr>
        <w:t xml:space="preserve">9,977 </w:t>
      </w:r>
      <w:r w:rsidRPr="003022AB">
        <w:rPr>
          <w:sz w:val="24"/>
          <w:szCs w:val="24"/>
        </w:rPr>
        <w:t>× $</w:t>
      </w:r>
      <w:r w:rsidRPr="003022AB" w:rsidR="009C2440">
        <w:rPr>
          <w:sz w:val="24"/>
          <w:szCs w:val="24"/>
        </w:rPr>
        <w:t>5</w:t>
      </w:r>
      <w:r w:rsidR="005665B8">
        <w:rPr>
          <w:sz w:val="24"/>
          <w:szCs w:val="24"/>
        </w:rPr>
        <w:t>5.55</w:t>
      </w:r>
      <w:r w:rsidRPr="003022AB">
        <w:rPr>
          <w:sz w:val="24"/>
          <w:szCs w:val="24"/>
        </w:rPr>
        <w:t xml:space="preserve"> = $</w:t>
      </w:r>
      <w:r w:rsidR="005E1A90">
        <w:rPr>
          <w:sz w:val="24"/>
          <w:szCs w:val="24"/>
        </w:rPr>
        <w:t>4,4</w:t>
      </w:r>
      <w:r w:rsidR="00831C57">
        <w:rPr>
          <w:sz w:val="24"/>
          <w:szCs w:val="24"/>
        </w:rPr>
        <w:t>42,</w:t>
      </w:r>
      <w:r w:rsidR="007B2BAB">
        <w:rPr>
          <w:sz w:val="24"/>
          <w:szCs w:val="24"/>
        </w:rPr>
        <w:t>722</w:t>
      </w:r>
    </w:p>
    <w:p w:rsidR="00553E3D" w:rsidRPr="00772FE4" w14:paraId="25F41F8C" w14:textId="77777777">
      <w:pPr>
        <w:shd w:val="solid" w:color="FFFFFF" w:fill="FFFFFF"/>
        <w:rPr>
          <w:sz w:val="24"/>
          <w:szCs w:val="24"/>
        </w:rPr>
      </w:pPr>
    </w:p>
    <w:p w:rsidR="00553E3D" w:rsidRPr="00772FE4" w14:paraId="216AF575" w14:textId="77777777">
      <w:pPr>
        <w:shd w:val="solid" w:color="FFFFFF" w:fill="FFFFFF"/>
        <w:ind w:firstLine="720"/>
        <w:rPr>
          <w:sz w:val="24"/>
          <w:szCs w:val="24"/>
        </w:rPr>
      </w:pPr>
      <w:r w:rsidRPr="00772FE4">
        <w:rPr>
          <w:b/>
          <w:bCs/>
          <w:sz w:val="24"/>
          <w:szCs w:val="24"/>
        </w:rPr>
        <w:t>Total Burden and Costs of Written Compliance Program Requirement</w:t>
      </w:r>
    </w:p>
    <w:p w:rsidR="00553E3D" w:rsidRPr="00772FE4" w14:paraId="1F575ACE" w14:textId="77777777">
      <w:pPr>
        <w:shd w:val="solid" w:color="FFFFFF" w:fill="FFFFFF"/>
        <w:rPr>
          <w:b/>
          <w:bCs/>
          <w:sz w:val="24"/>
          <w:szCs w:val="24"/>
        </w:rPr>
      </w:pPr>
    </w:p>
    <w:p w:rsidR="00553E3D" w:rsidRPr="00772FE4" w14:paraId="75434761" w14:textId="470C21ED">
      <w:pPr>
        <w:shd w:val="solid" w:color="FFFFFF" w:fill="FFFFFF"/>
        <w:rPr>
          <w:sz w:val="24"/>
          <w:szCs w:val="24"/>
        </w:rPr>
      </w:pPr>
      <w:r w:rsidRPr="00772FE4">
        <w:rPr>
          <w:sz w:val="24"/>
          <w:szCs w:val="24"/>
        </w:rPr>
        <w:t xml:space="preserve">The total annual burden hours for the Written Compliance Program requirement </w:t>
      </w:r>
      <w:r w:rsidRPr="00772FE4" w:rsidR="00376692">
        <w:rPr>
          <w:sz w:val="24"/>
          <w:szCs w:val="24"/>
        </w:rPr>
        <w:t>are</w:t>
      </w:r>
      <w:r w:rsidRPr="00772FE4">
        <w:rPr>
          <w:sz w:val="24"/>
          <w:szCs w:val="24"/>
        </w:rPr>
        <w:t xml:space="preserve"> </w:t>
      </w:r>
      <w:r w:rsidR="001B45F2">
        <w:rPr>
          <w:sz w:val="24"/>
          <w:szCs w:val="24"/>
        </w:rPr>
        <w:t xml:space="preserve">95,804 </w:t>
      </w:r>
      <w:r w:rsidR="001B45F2">
        <w:rPr>
          <w:b/>
          <w:bCs/>
          <w:sz w:val="24"/>
          <w:szCs w:val="24"/>
        </w:rPr>
        <w:t>hours</w:t>
      </w:r>
      <w:r w:rsidRPr="00CE69A7">
        <w:rPr>
          <w:sz w:val="24"/>
          <w:szCs w:val="24"/>
        </w:rPr>
        <w:t>;</w:t>
      </w:r>
      <w:r w:rsidRPr="00772FE4">
        <w:rPr>
          <w:sz w:val="24"/>
          <w:szCs w:val="24"/>
        </w:rPr>
        <w:t xml:space="preserve"> </w:t>
      </w:r>
      <w:r w:rsidR="009C009C">
        <w:rPr>
          <w:sz w:val="24"/>
          <w:szCs w:val="24"/>
        </w:rPr>
        <w:t xml:space="preserve">15,827 </w:t>
      </w:r>
      <w:r w:rsidRPr="00772FE4">
        <w:rPr>
          <w:sz w:val="24"/>
          <w:szCs w:val="24"/>
        </w:rPr>
        <w:t xml:space="preserve">hours for developing new compliance programs, plus </w:t>
      </w:r>
      <w:r w:rsidR="004753F2">
        <w:rPr>
          <w:sz w:val="24"/>
          <w:szCs w:val="24"/>
        </w:rPr>
        <w:t>79,977</w:t>
      </w:r>
      <w:r w:rsidR="0038258E">
        <w:rPr>
          <w:sz w:val="24"/>
          <w:szCs w:val="24"/>
        </w:rPr>
        <w:t xml:space="preserve"> </w:t>
      </w:r>
      <w:r w:rsidRPr="00772FE4">
        <w:rPr>
          <w:sz w:val="24"/>
          <w:szCs w:val="24"/>
        </w:rPr>
        <w:t>hours for annual review of existing compliance programs.</w:t>
      </w:r>
    </w:p>
    <w:p w:rsidR="00553E3D" w:rsidRPr="00772FE4" w14:paraId="31165D6F" w14:textId="77777777">
      <w:pPr>
        <w:shd w:val="solid" w:color="FFFFFF" w:fill="FFFFFF"/>
        <w:rPr>
          <w:sz w:val="24"/>
          <w:szCs w:val="24"/>
        </w:rPr>
      </w:pPr>
    </w:p>
    <w:p w:rsidR="00553E3D" w:rsidRPr="00772FE4" w14:paraId="4307C959" w14:textId="77777777">
      <w:pPr>
        <w:shd w:val="solid" w:color="FFFFFF" w:fill="FFFFFF"/>
        <w:rPr>
          <w:sz w:val="24"/>
          <w:szCs w:val="24"/>
        </w:rPr>
      </w:pPr>
    </w:p>
    <w:p w:rsidR="00553E3D" w:rsidRPr="00772FE4" w14:paraId="1CC42C08" w14:textId="77777777">
      <w:pPr>
        <w:shd w:val="solid" w:color="FFFFFF" w:fill="FFFFFF"/>
        <w:ind w:firstLine="720"/>
        <w:rPr>
          <w:sz w:val="24"/>
          <w:szCs w:val="24"/>
        </w:rPr>
      </w:pPr>
      <w:r w:rsidRPr="00772FE4">
        <w:rPr>
          <w:b/>
          <w:bCs/>
          <w:sz w:val="24"/>
          <w:szCs w:val="24"/>
        </w:rPr>
        <w:t>(2)</w:t>
      </w:r>
      <w:r w:rsidRPr="00772FE4">
        <w:rPr>
          <w:b/>
          <w:bCs/>
          <w:sz w:val="24"/>
          <w:szCs w:val="24"/>
        </w:rPr>
        <w:tab/>
        <w:t>Administrative Controls</w:t>
      </w:r>
    </w:p>
    <w:p w:rsidR="00553E3D" w:rsidRPr="00772FE4" w14:paraId="2CD9FA6F" w14:textId="77777777">
      <w:pPr>
        <w:shd w:val="solid" w:color="FFFFFF" w:fill="FFFFFF"/>
        <w:rPr>
          <w:sz w:val="24"/>
          <w:szCs w:val="24"/>
        </w:rPr>
      </w:pPr>
    </w:p>
    <w:p w:rsidR="00553E3D" w:rsidRPr="00772FE4" w14:paraId="416951C3" w14:textId="15F07182">
      <w:pPr>
        <w:shd w:val="solid" w:color="FFFFFF" w:fill="FFFFFF"/>
        <w:rPr>
          <w:sz w:val="24"/>
          <w:szCs w:val="24"/>
        </w:rPr>
      </w:pPr>
      <w:r w:rsidRPr="00772FE4">
        <w:rPr>
          <w:sz w:val="24"/>
          <w:szCs w:val="24"/>
        </w:rPr>
        <w:t xml:space="preserve">The Lead in Construction Standard permits the use of </w:t>
      </w:r>
      <w:r w:rsidR="00FA259D">
        <w:rPr>
          <w:sz w:val="24"/>
          <w:szCs w:val="24"/>
        </w:rPr>
        <w:t>worker</w:t>
      </w:r>
      <w:r w:rsidRPr="00772FE4">
        <w:rPr>
          <w:sz w:val="24"/>
          <w:szCs w:val="24"/>
        </w:rPr>
        <w:t xml:space="preserve"> rotation to control exposure to lead. </w:t>
      </w:r>
      <w:r w:rsidR="00881F26">
        <w:rPr>
          <w:sz w:val="24"/>
          <w:szCs w:val="24"/>
        </w:rPr>
        <w:t xml:space="preserve"> </w:t>
      </w:r>
      <w:r w:rsidRPr="00772FE4">
        <w:rPr>
          <w:sz w:val="24"/>
          <w:szCs w:val="24"/>
        </w:rPr>
        <w:t xml:space="preserve">Employers who make use of </w:t>
      </w:r>
      <w:r w:rsidR="00FA259D">
        <w:rPr>
          <w:sz w:val="24"/>
          <w:szCs w:val="24"/>
        </w:rPr>
        <w:t>worker</w:t>
      </w:r>
      <w:r w:rsidRPr="00772FE4">
        <w:rPr>
          <w:sz w:val="24"/>
          <w:szCs w:val="24"/>
        </w:rPr>
        <w:t xml:space="preserve"> rotation as an administrative control must establish a job rotation schedule as part of the written compliance program. </w:t>
      </w:r>
      <w:r w:rsidR="00881F26">
        <w:rPr>
          <w:sz w:val="24"/>
          <w:szCs w:val="24"/>
        </w:rPr>
        <w:t xml:space="preserve"> </w:t>
      </w:r>
      <w:r w:rsidRPr="00772FE4">
        <w:rPr>
          <w:sz w:val="24"/>
          <w:szCs w:val="24"/>
        </w:rPr>
        <w:t xml:space="preserve">Only employers performing project types involving abrasive blasting tasks are likely to establish and implement job rotation schedules due to the unusually high levels of airborne lead associated with that activity. </w:t>
      </w:r>
      <w:r w:rsidR="00881F26">
        <w:rPr>
          <w:sz w:val="24"/>
          <w:szCs w:val="24"/>
        </w:rPr>
        <w:t xml:space="preserve"> </w:t>
      </w:r>
      <w:r w:rsidRPr="00772FE4">
        <w:rPr>
          <w:sz w:val="24"/>
          <w:szCs w:val="24"/>
        </w:rPr>
        <w:t xml:space="preserve">Although there may be other construction project types where </w:t>
      </w:r>
      <w:r w:rsidR="00FA259D">
        <w:rPr>
          <w:sz w:val="24"/>
          <w:szCs w:val="24"/>
        </w:rPr>
        <w:t>worker</w:t>
      </w:r>
      <w:r w:rsidRPr="00772FE4">
        <w:rPr>
          <w:sz w:val="24"/>
          <w:szCs w:val="24"/>
        </w:rPr>
        <w:t xml:space="preserve"> rotation </w:t>
      </w:r>
      <w:r w:rsidR="00C92153">
        <w:rPr>
          <w:sz w:val="24"/>
          <w:szCs w:val="24"/>
        </w:rPr>
        <w:t xml:space="preserve">may occur, OSHA has no indication of the number of employers or workers who may be involved and believes that the </w:t>
      </w:r>
      <w:r w:rsidRPr="00772FE4">
        <w:rPr>
          <w:sz w:val="24"/>
          <w:szCs w:val="24"/>
        </w:rPr>
        <w:t xml:space="preserve">use of rotation as an administrative control is rare among employers engaged in other project types and tasks. </w:t>
      </w:r>
    </w:p>
    <w:p w:rsidR="00553E3D" w:rsidRPr="00772FE4" w14:paraId="00726CBA" w14:textId="77777777">
      <w:pPr>
        <w:shd w:val="solid" w:color="FFFFFF" w:fill="FFFFFF"/>
        <w:rPr>
          <w:sz w:val="24"/>
          <w:szCs w:val="24"/>
        </w:rPr>
      </w:pPr>
    </w:p>
    <w:p w:rsidR="00553E3D" w:rsidRPr="00772FE4" w14:paraId="40C1C89A" w14:textId="77777777">
      <w:pPr>
        <w:shd w:val="solid" w:color="FFFFFF" w:fill="FFFFFF"/>
        <w:rPr>
          <w:sz w:val="24"/>
          <w:szCs w:val="24"/>
        </w:rPr>
      </w:pPr>
      <w:r w:rsidRPr="00772FE4">
        <w:rPr>
          <w:sz w:val="24"/>
          <w:szCs w:val="24"/>
        </w:rPr>
        <w:t>The following five project types involve abrasive blasting tasks (the number of affected firms is given in parentheses):</w:t>
      </w:r>
    </w:p>
    <w:p w:rsidR="00553E3D" w:rsidRPr="00772FE4" w14:paraId="65399C27" w14:textId="77777777">
      <w:pPr>
        <w:shd w:val="solid" w:color="FFFFFF" w:fill="FFFFFF"/>
        <w:rPr>
          <w:sz w:val="24"/>
          <w:szCs w:val="24"/>
        </w:rPr>
      </w:pPr>
    </w:p>
    <w:p w:rsidR="00553E3D" w:rsidRPr="00772FE4" w14:paraId="6E287229" w14:textId="4D200C4E">
      <w:pPr>
        <w:shd w:val="solid" w:color="FFFFFF" w:fill="FFFFFF"/>
        <w:ind w:firstLine="720"/>
        <w:rPr>
          <w:sz w:val="24"/>
          <w:szCs w:val="24"/>
        </w:rPr>
      </w:pPr>
      <w:r w:rsidRPr="00772FE4">
        <w:rPr>
          <w:sz w:val="24"/>
          <w:szCs w:val="24"/>
        </w:rPr>
        <w:t>Highway and Railroad Bridge Repainting (</w:t>
      </w:r>
      <w:r w:rsidR="00925A1E">
        <w:rPr>
          <w:sz w:val="24"/>
          <w:szCs w:val="24"/>
        </w:rPr>
        <w:t>505</w:t>
      </w:r>
      <w:r w:rsidRPr="00772FE4">
        <w:rPr>
          <w:sz w:val="24"/>
          <w:szCs w:val="24"/>
        </w:rPr>
        <w:t>)</w:t>
      </w:r>
    </w:p>
    <w:p w:rsidR="00553E3D" w:rsidRPr="00772FE4" w14:paraId="20B0819D" w14:textId="77777777">
      <w:pPr>
        <w:shd w:val="solid" w:color="FFFFFF" w:fill="FFFFFF"/>
        <w:ind w:firstLine="720"/>
        <w:rPr>
          <w:sz w:val="24"/>
          <w:szCs w:val="24"/>
        </w:rPr>
      </w:pPr>
      <w:r w:rsidRPr="00772FE4">
        <w:rPr>
          <w:sz w:val="24"/>
          <w:szCs w:val="24"/>
        </w:rPr>
        <w:t>Water Tank Repainting (0)</w:t>
      </w:r>
    </w:p>
    <w:p w:rsidR="00553E3D" w:rsidRPr="00772FE4" w14:paraId="2E691B1C" w14:textId="6184D936">
      <w:pPr>
        <w:shd w:val="solid" w:color="FFFFFF" w:fill="FFFFFF"/>
        <w:ind w:firstLine="720"/>
        <w:rPr>
          <w:sz w:val="24"/>
          <w:szCs w:val="24"/>
        </w:rPr>
      </w:pPr>
      <w:r w:rsidRPr="00772FE4">
        <w:rPr>
          <w:sz w:val="24"/>
          <w:szCs w:val="24"/>
        </w:rPr>
        <w:t>Petroleum Tank Repainting (</w:t>
      </w:r>
      <w:r w:rsidR="00CE308F">
        <w:rPr>
          <w:sz w:val="24"/>
          <w:szCs w:val="24"/>
        </w:rPr>
        <w:t>364</w:t>
      </w:r>
      <w:r w:rsidRPr="00772FE4">
        <w:rPr>
          <w:sz w:val="24"/>
          <w:szCs w:val="24"/>
        </w:rPr>
        <w:t>)</w:t>
      </w:r>
    </w:p>
    <w:p w:rsidR="00553E3D" w:rsidRPr="00772FE4" w14:paraId="1141C80F" w14:textId="55AA4A98">
      <w:pPr>
        <w:shd w:val="solid" w:color="FFFFFF" w:fill="FFFFFF"/>
        <w:ind w:firstLine="720"/>
        <w:rPr>
          <w:sz w:val="24"/>
          <w:szCs w:val="24"/>
        </w:rPr>
      </w:pPr>
      <w:r w:rsidRPr="00772FE4">
        <w:rPr>
          <w:sz w:val="24"/>
          <w:szCs w:val="24"/>
        </w:rPr>
        <w:t>Indoor Industrial Facility Maintenance/Renovation (</w:t>
      </w:r>
      <w:r w:rsidR="001B45F2">
        <w:rPr>
          <w:sz w:val="24"/>
          <w:szCs w:val="24"/>
        </w:rPr>
        <w:t>1,286)</w:t>
      </w:r>
    </w:p>
    <w:p w:rsidR="00553E3D" w:rsidRPr="00772FE4" w14:paraId="23A4947C" w14:textId="5CA82893">
      <w:pPr>
        <w:shd w:val="solid" w:color="FFFFFF" w:fill="FFFFFF"/>
        <w:ind w:firstLine="720"/>
        <w:rPr>
          <w:sz w:val="24"/>
          <w:szCs w:val="24"/>
        </w:rPr>
      </w:pPr>
      <w:r w:rsidRPr="00772FE4">
        <w:rPr>
          <w:sz w:val="24"/>
          <w:szCs w:val="24"/>
        </w:rPr>
        <w:t>Outdoor Industrial Facility Maintenance/Renovation (</w:t>
      </w:r>
      <w:r w:rsidR="001B45F2">
        <w:rPr>
          <w:sz w:val="24"/>
          <w:szCs w:val="24"/>
        </w:rPr>
        <w:t>1,651)</w:t>
      </w:r>
    </w:p>
    <w:p w:rsidR="00553E3D" w:rsidRPr="00772FE4" w14:paraId="7BE112E3" w14:textId="77777777">
      <w:pPr>
        <w:shd w:val="solid" w:color="FFFFFF" w:fill="FFFFFF"/>
        <w:rPr>
          <w:sz w:val="24"/>
          <w:szCs w:val="24"/>
        </w:rPr>
      </w:pPr>
    </w:p>
    <w:p w:rsidR="00553E3D" w:rsidRPr="00772FE4" w:rsidP="0079419D" w14:paraId="049E975D" w14:textId="443F3389">
      <w:pPr>
        <w:shd w:val="solid" w:color="FFFFFF" w:fill="FFFFFF"/>
        <w:tabs>
          <w:tab w:val="left" w:pos="6660"/>
        </w:tabs>
        <w:rPr>
          <w:sz w:val="24"/>
          <w:szCs w:val="24"/>
        </w:rPr>
      </w:pPr>
      <w:r w:rsidRPr="00772FE4">
        <w:rPr>
          <w:sz w:val="24"/>
          <w:szCs w:val="24"/>
        </w:rPr>
        <w:t xml:space="preserve">By summing the number of firms affected in each of the five project types, OSHA estimates a total of </w:t>
      </w:r>
      <w:r w:rsidR="00EA1BC7">
        <w:rPr>
          <w:sz w:val="24"/>
          <w:szCs w:val="24"/>
        </w:rPr>
        <w:t>3,806</w:t>
      </w:r>
      <w:r w:rsidRPr="00772FE4">
        <w:rPr>
          <w:sz w:val="24"/>
          <w:szCs w:val="24"/>
        </w:rPr>
        <w:t xml:space="preserve"> firms utilize </w:t>
      </w:r>
      <w:r w:rsidR="00FA259D">
        <w:rPr>
          <w:sz w:val="24"/>
          <w:szCs w:val="24"/>
        </w:rPr>
        <w:t>worker</w:t>
      </w:r>
      <w:r w:rsidRPr="00772FE4">
        <w:rPr>
          <w:sz w:val="24"/>
          <w:szCs w:val="24"/>
        </w:rPr>
        <w:t xml:space="preserve"> rotation as an administrative control. </w:t>
      </w:r>
      <w:r w:rsidR="00881F26">
        <w:rPr>
          <w:sz w:val="24"/>
          <w:szCs w:val="24"/>
        </w:rPr>
        <w:t xml:space="preserve"> </w:t>
      </w:r>
      <w:r w:rsidR="00C92153">
        <w:rPr>
          <w:sz w:val="24"/>
          <w:szCs w:val="24"/>
        </w:rPr>
        <w:t>Developing</w:t>
      </w:r>
      <w:r w:rsidRPr="00772FE4">
        <w:rPr>
          <w:sz w:val="24"/>
          <w:szCs w:val="24"/>
        </w:rPr>
        <w:t xml:space="preserve"> the required job rotation schedules takes no more than one hour of construction supervisor time per firm per year. </w:t>
      </w:r>
      <w:r w:rsidR="00881F26">
        <w:rPr>
          <w:sz w:val="24"/>
          <w:szCs w:val="24"/>
        </w:rPr>
        <w:t xml:space="preserve"> </w:t>
      </w:r>
      <w:r w:rsidRPr="00772FE4">
        <w:rPr>
          <w:sz w:val="24"/>
          <w:szCs w:val="24"/>
        </w:rPr>
        <w:t>Therefore, the formula for calculating total annual burden hours is:</w:t>
      </w:r>
    </w:p>
    <w:p w:rsidR="00553E3D" w:rsidRPr="00772FE4" w14:paraId="532178DD" w14:textId="77777777">
      <w:pPr>
        <w:shd w:val="solid" w:color="FFFFFF" w:fill="FFFFFF"/>
        <w:rPr>
          <w:sz w:val="24"/>
          <w:szCs w:val="24"/>
        </w:rPr>
      </w:pPr>
    </w:p>
    <w:p w:rsidR="00553E3D" w:rsidRPr="00772FE4" w14:paraId="4626AB53" w14:textId="5F79A477">
      <w:pPr>
        <w:shd w:val="solid" w:color="FFFFFF" w:fill="FFFFFF"/>
        <w:ind w:left="720"/>
        <w:rPr>
          <w:sz w:val="24"/>
          <w:szCs w:val="24"/>
        </w:rPr>
      </w:pPr>
      <w:r w:rsidRPr="00772FE4">
        <w:rPr>
          <w:b/>
          <w:bCs/>
          <w:sz w:val="24"/>
          <w:szCs w:val="24"/>
        </w:rPr>
        <w:t>Burden hours:</w:t>
      </w:r>
      <w:r w:rsidRPr="00772FE4">
        <w:rPr>
          <w:sz w:val="24"/>
          <w:szCs w:val="24"/>
        </w:rPr>
        <w:tab/>
      </w:r>
      <w:r w:rsidR="00660BB7">
        <w:rPr>
          <w:sz w:val="24"/>
          <w:szCs w:val="24"/>
        </w:rPr>
        <w:t>3,806</w:t>
      </w:r>
      <w:r w:rsidRPr="00772FE4">
        <w:rPr>
          <w:sz w:val="24"/>
          <w:szCs w:val="24"/>
        </w:rPr>
        <w:t xml:space="preserve"> firms × 1 hour = </w:t>
      </w:r>
      <w:r w:rsidR="001B45F2">
        <w:rPr>
          <w:sz w:val="24"/>
          <w:szCs w:val="24"/>
        </w:rPr>
        <w:t xml:space="preserve">3,806 </w:t>
      </w:r>
      <w:r w:rsidRPr="00772FE4" w:rsidR="001B45F2">
        <w:rPr>
          <w:sz w:val="24"/>
          <w:szCs w:val="24"/>
        </w:rPr>
        <w:t>hours</w:t>
      </w:r>
    </w:p>
    <w:p w:rsidR="00553E3D" w:rsidRPr="00772FE4" w14:paraId="54875E5A" w14:textId="629387C4">
      <w:pPr>
        <w:shd w:val="solid" w:color="FFFFFF" w:fill="FFFFFF"/>
        <w:ind w:left="720"/>
        <w:rPr>
          <w:sz w:val="24"/>
          <w:szCs w:val="24"/>
        </w:rPr>
      </w:pPr>
      <w:r w:rsidRPr="00772FE4">
        <w:rPr>
          <w:b/>
          <w:bCs/>
          <w:sz w:val="24"/>
          <w:szCs w:val="24"/>
        </w:rPr>
        <w:t xml:space="preserve">                Cost:</w:t>
      </w:r>
      <w:r w:rsidRPr="00772FE4">
        <w:rPr>
          <w:sz w:val="24"/>
          <w:szCs w:val="24"/>
        </w:rPr>
        <w:tab/>
      </w:r>
      <w:r w:rsidR="001B45F2">
        <w:rPr>
          <w:sz w:val="24"/>
          <w:szCs w:val="24"/>
        </w:rPr>
        <w:t xml:space="preserve">3,806 </w:t>
      </w:r>
      <w:r w:rsidRPr="00772FE4" w:rsidR="001B45F2">
        <w:rPr>
          <w:sz w:val="24"/>
          <w:szCs w:val="24"/>
        </w:rPr>
        <w:t>firms</w:t>
      </w:r>
      <w:r w:rsidRPr="00772FE4">
        <w:rPr>
          <w:sz w:val="24"/>
          <w:szCs w:val="24"/>
        </w:rPr>
        <w:t xml:space="preserve"> × $</w:t>
      </w:r>
      <w:r w:rsidR="00E16D72">
        <w:rPr>
          <w:sz w:val="24"/>
          <w:szCs w:val="24"/>
        </w:rPr>
        <w:t>5</w:t>
      </w:r>
      <w:r w:rsidR="00497077">
        <w:rPr>
          <w:sz w:val="24"/>
          <w:szCs w:val="24"/>
        </w:rPr>
        <w:t>5.</w:t>
      </w:r>
      <w:r w:rsidR="001B45F2">
        <w:rPr>
          <w:sz w:val="24"/>
          <w:szCs w:val="24"/>
        </w:rPr>
        <w:t xml:space="preserve">55 </w:t>
      </w:r>
      <w:r w:rsidRPr="00772FE4" w:rsidR="001B45F2">
        <w:rPr>
          <w:sz w:val="24"/>
          <w:szCs w:val="24"/>
        </w:rPr>
        <w:t>=</w:t>
      </w:r>
      <w:r w:rsidRPr="00772FE4">
        <w:rPr>
          <w:sz w:val="24"/>
          <w:szCs w:val="24"/>
        </w:rPr>
        <w:t xml:space="preserve"> $</w:t>
      </w:r>
      <w:r w:rsidR="0023450D">
        <w:rPr>
          <w:sz w:val="24"/>
          <w:szCs w:val="24"/>
        </w:rPr>
        <w:t xml:space="preserve">211,423 </w:t>
      </w:r>
    </w:p>
    <w:p w:rsidR="00553E3D" w:rsidRPr="00772FE4" w14:paraId="683B7C4F" w14:textId="77777777">
      <w:pPr>
        <w:shd w:val="solid" w:color="FFFFFF" w:fill="FFFFFF"/>
        <w:rPr>
          <w:b/>
          <w:bCs/>
          <w:sz w:val="24"/>
          <w:szCs w:val="24"/>
        </w:rPr>
      </w:pPr>
    </w:p>
    <w:p w:rsidR="00553E3D" w:rsidRPr="00772FE4" w14:paraId="4D1CC5D4" w14:textId="77777777">
      <w:pPr>
        <w:shd w:val="solid" w:color="FFFFFF" w:fill="FFFFFF"/>
        <w:ind w:firstLine="720"/>
        <w:rPr>
          <w:b/>
          <w:bCs/>
          <w:sz w:val="24"/>
          <w:szCs w:val="24"/>
        </w:rPr>
      </w:pPr>
      <w:r w:rsidRPr="00772FE4">
        <w:rPr>
          <w:b/>
          <w:bCs/>
          <w:sz w:val="24"/>
          <w:szCs w:val="24"/>
        </w:rPr>
        <w:t>(3)</w:t>
      </w:r>
      <w:r w:rsidRPr="00772FE4">
        <w:rPr>
          <w:b/>
          <w:bCs/>
          <w:sz w:val="24"/>
          <w:szCs w:val="24"/>
        </w:rPr>
        <w:tab/>
        <w:t>Notification of Other Onsite Employers</w:t>
      </w:r>
    </w:p>
    <w:p w:rsidR="00553E3D" w:rsidRPr="00772FE4" w14:paraId="63DE3BC4" w14:textId="77777777">
      <w:pPr>
        <w:shd w:val="solid" w:color="FFFFFF" w:fill="FFFFFF"/>
        <w:rPr>
          <w:sz w:val="24"/>
          <w:szCs w:val="24"/>
        </w:rPr>
      </w:pPr>
    </w:p>
    <w:p w:rsidR="00553E3D" w:rsidRPr="00772FE4" w14:paraId="5FA7C1AA" w14:textId="1AF872C9">
      <w:pPr>
        <w:shd w:val="solid" w:color="FFFFFF" w:fill="FFFFFF"/>
        <w:rPr>
          <w:sz w:val="24"/>
          <w:szCs w:val="24"/>
        </w:rPr>
      </w:pPr>
      <w:r w:rsidRPr="00772FE4">
        <w:rPr>
          <w:sz w:val="24"/>
          <w:szCs w:val="24"/>
        </w:rPr>
        <w:t xml:space="preserve">The Lead in Construction </w:t>
      </w:r>
      <w:r w:rsidRPr="00772FE4" w:rsidR="005176ED">
        <w:rPr>
          <w:sz w:val="24"/>
          <w:szCs w:val="24"/>
        </w:rPr>
        <w:t>Standard ‘</w:t>
      </w:r>
      <w:r w:rsidRPr="00772FE4">
        <w:rPr>
          <w:sz w:val="24"/>
          <w:szCs w:val="24"/>
        </w:rPr>
        <w:t xml:space="preserve">s compliance program elements </w:t>
      </w:r>
      <w:r w:rsidR="00C92153">
        <w:rPr>
          <w:sz w:val="24"/>
          <w:szCs w:val="24"/>
        </w:rPr>
        <w:t xml:space="preserve">contain a reference to 1926.16 (Rule of Construction), which requires that the written program include a description of the arrangements made among contractors on multi-contractor sites to inform affected workers of potential exposure to lead and </w:t>
      </w:r>
      <w:r w:rsidRPr="00772FE4">
        <w:rPr>
          <w:sz w:val="24"/>
          <w:szCs w:val="24"/>
        </w:rPr>
        <w:t xml:space="preserve">respect to responsibility for compliance with the Lead Standard. </w:t>
      </w:r>
      <w:r w:rsidR="00881F26">
        <w:rPr>
          <w:sz w:val="24"/>
          <w:szCs w:val="24"/>
        </w:rPr>
        <w:t xml:space="preserve"> </w:t>
      </w:r>
      <w:r w:rsidRPr="00772FE4">
        <w:rPr>
          <w:sz w:val="24"/>
          <w:szCs w:val="24"/>
        </w:rPr>
        <w:t xml:space="preserve">No burden hours have been attributed for contractors notifying other contractors about the potential for exposure to lead since prime contractors customarily notify subcontractors of all conditions relevant to performing subcontracted work. </w:t>
      </w:r>
      <w:r w:rsidR="00881F26">
        <w:rPr>
          <w:sz w:val="24"/>
          <w:szCs w:val="24"/>
        </w:rPr>
        <w:t xml:space="preserve"> </w:t>
      </w:r>
      <w:r w:rsidRPr="00772FE4">
        <w:rPr>
          <w:sz w:val="24"/>
          <w:szCs w:val="24"/>
        </w:rPr>
        <w:t xml:space="preserve">The annual burden associated with documenting these compliance arrangements is included in the estimated burden hours for </w:t>
      </w:r>
      <w:r w:rsidR="00551BC2">
        <w:rPr>
          <w:sz w:val="24"/>
          <w:szCs w:val="24"/>
        </w:rPr>
        <w:t>developing</w:t>
      </w:r>
      <w:r w:rsidRPr="00772FE4">
        <w:rPr>
          <w:sz w:val="24"/>
          <w:szCs w:val="24"/>
        </w:rPr>
        <w:t xml:space="preserve"> the written compliance program given above.</w:t>
      </w:r>
    </w:p>
    <w:p w:rsidR="00553E3D" w:rsidRPr="00772FE4" w14:paraId="41BD9370" w14:textId="77777777">
      <w:pPr>
        <w:shd w:val="solid" w:color="FFFFFF" w:fill="FFFFFF"/>
        <w:rPr>
          <w:b/>
          <w:bCs/>
          <w:sz w:val="24"/>
          <w:szCs w:val="24"/>
        </w:rPr>
      </w:pPr>
    </w:p>
    <w:p w:rsidR="00553E3D" w:rsidRPr="00772FE4" w14:paraId="20CE131F" w14:textId="77777777">
      <w:pPr>
        <w:shd w:val="solid" w:color="FFFFFF" w:fill="FFFFFF"/>
        <w:ind w:firstLine="720"/>
        <w:rPr>
          <w:b/>
          <w:bCs/>
          <w:sz w:val="24"/>
          <w:szCs w:val="24"/>
        </w:rPr>
      </w:pPr>
      <w:r w:rsidRPr="00772FE4">
        <w:rPr>
          <w:b/>
          <w:bCs/>
          <w:sz w:val="24"/>
          <w:szCs w:val="24"/>
        </w:rPr>
        <w:t>(4)</w:t>
      </w:r>
      <w:r w:rsidRPr="00772FE4">
        <w:rPr>
          <w:b/>
          <w:bCs/>
          <w:sz w:val="24"/>
          <w:szCs w:val="24"/>
        </w:rPr>
        <w:tab/>
        <w:t>Submission of Written Compliance Programs</w:t>
      </w:r>
      <w:r w:rsidRPr="00772FE4">
        <w:rPr>
          <w:b/>
          <w:bCs/>
          <w:sz w:val="24"/>
          <w:szCs w:val="24"/>
        </w:rPr>
        <w:tab/>
      </w:r>
    </w:p>
    <w:p w:rsidR="00553E3D" w:rsidRPr="00772FE4" w14:paraId="1CC0412A" w14:textId="77777777">
      <w:pPr>
        <w:shd w:val="solid" w:color="FFFFFF" w:fill="FFFFFF"/>
        <w:rPr>
          <w:sz w:val="24"/>
          <w:szCs w:val="24"/>
        </w:rPr>
      </w:pPr>
    </w:p>
    <w:p w:rsidR="00553E3D" w14:paraId="1690A4E1" w14:textId="25F056B7">
      <w:pPr>
        <w:shd w:val="solid" w:color="FFFFFF" w:fill="FFFFFF"/>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w:t>
      </w:r>
      <w:r w:rsidR="00551BC2">
        <w:rPr>
          <w:sz w:val="24"/>
          <w:szCs w:val="24"/>
        </w:rPr>
        <w:t xml:space="preserve"> to OSHA and NIOSH</w:t>
      </w:r>
      <w:r w:rsidRPr="00772FE4">
        <w:rPr>
          <w:sz w:val="24"/>
          <w:szCs w:val="24"/>
        </w:rPr>
        <w:t xml:space="preserve"> and must be available at the worksite for examination and copying by OSHA and NIOSH.</w:t>
      </w:r>
      <w:r w:rsidR="00881F26">
        <w:rPr>
          <w:sz w:val="24"/>
          <w:szCs w:val="24"/>
        </w:rPr>
        <w:t xml:space="preserve"> </w:t>
      </w:r>
      <w:r w:rsidRPr="00772FE4">
        <w:rPr>
          <w:sz w:val="24"/>
          <w:szCs w:val="24"/>
        </w:rPr>
        <w:t xml:space="preserve"> OSHA assumes that if there is full compliance with the Standard, </w:t>
      </w:r>
      <w:r w:rsidR="00FA259D">
        <w:rPr>
          <w:sz w:val="24"/>
          <w:szCs w:val="24"/>
        </w:rPr>
        <w:t>worker</w:t>
      </w:r>
      <w:r w:rsidRPr="00772FE4">
        <w:rPr>
          <w:sz w:val="24"/>
          <w:szCs w:val="24"/>
        </w:rPr>
        <w:t xml:space="preserve">s will not request access to the written compliance program since employers must train </w:t>
      </w:r>
      <w:r w:rsidR="00FA259D">
        <w:rPr>
          <w:sz w:val="24"/>
          <w:szCs w:val="24"/>
        </w:rPr>
        <w:t>worker</w:t>
      </w:r>
      <w:r w:rsidRPr="00772FE4">
        <w:rPr>
          <w:sz w:val="24"/>
          <w:szCs w:val="24"/>
        </w:rPr>
        <w:t xml:space="preserve">s in the contents of the compliance plan </w:t>
      </w:r>
      <w:r w:rsidR="00551BC2">
        <w:rPr>
          <w:sz w:val="24"/>
          <w:szCs w:val="24"/>
        </w:rPr>
        <w:t>to</w:t>
      </w:r>
      <w:r w:rsidRPr="00772FE4">
        <w:rPr>
          <w:sz w:val="24"/>
          <w:szCs w:val="24"/>
        </w:rPr>
        <w:t xml:space="preserve"> comply with paragraph (1) of 1926.62. </w:t>
      </w:r>
      <w:r w:rsidR="00881F26">
        <w:rPr>
          <w:sz w:val="24"/>
          <w:szCs w:val="24"/>
        </w:rPr>
        <w:t xml:space="preserve"> </w:t>
      </w:r>
      <w:r w:rsidRPr="00772FE4">
        <w:rPr>
          <w:sz w:val="24"/>
          <w:szCs w:val="24"/>
        </w:rPr>
        <w:t xml:space="preserve">Therefore, no burden was estimated for </w:t>
      </w:r>
      <w:r w:rsidR="00FA259D">
        <w:rPr>
          <w:sz w:val="24"/>
          <w:szCs w:val="24"/>
        </w:rPr>
        <w:t>worker</w:t>
      </w:r>
      <w:r w:rsidRPr="00772FE4">
        <w:rPr>
          <w:sz w:val="24"/>
          <w:szCs w:val="24"/>
        </w:rPr>
        <w:t xml:space="preserve"> access. </w:t>
      </w:r>
      <w:r w:rsidR="00881F26">
        <w:rPr>
          <w:sz w:val="24"/>
          <w:szCs w:val="24"/>
        </w:rPr>
        <w:t xml:space="preserve"> </w:t>
      </w:r>
      <w:r w:rsidRPr="00772FE4">
        <w:rPr>
          <w:sz w:val="24"/>
          <w:szCs w:val="24"/>
        </w:rPr>
        <w:t xml:space="preserve">The annual burden associated with the submission of written compliance programs to OSHA and NIOSH </w:t>
      </w:r>
      <w:r w:rsidR="00551BC2">
        <w:rPr>
          <w:sz w:val="24"/>
          <w:szCs w:val="24"/>
        </w:rPr>
        <w:t xml:space="preserve">is discussed in the </w:t>
      </w:r>
      <w:r w:rsidRPr="00772FE4">
        <w:rPr>
          <w:sz w:val="24"/>
          <w:szCs w:val="24"/>
        </w:rPr>
        <w:t>“Federal Access to Records” requirements below.</w:t>
      </w:r>
    </w:p>
    <w:p w:rsidR="00656550" w14:paraId="12AFD3F5" w14:textId="77777777">
      <w:pPr>
        <w:shd w:val="solid" w:color="FFFFFF" w:fill="FFFFFF"/>
        <w:rPr>
          <w:sz w:val="24"/>
          <w:szCs w:val="24"/>
        </w:rPr>
      </w:pPr>
    </w:p>
    <w:p w:rsidR="00656550" w:rsidRPr="00772FE4" w14:paraId="7E632748" w14:textId="0EEF2724">
      <w:pPr>
        <w:shd w:val="solid" w:color="FFFFFF" w:fill="FFFFFF"/>
        <w:rPr>
          <w:sz w:val="24"/>
          <w:szCs w:val="24"/>
        </w:rPr>
      </w:pPr>
      <w:r w:rsidRPr="00A1067C">
        <w:rPr>
          <w:sz w:val="24"/>
          <w:szCs w:val="24"/>
        </w:rPr>
        <w:t xml:space="preserve">OSHA has determined that the requirement for employers to make information available upon request to the Assistant Secretary is also not a collection of information; OSHA typically requests access to </w:t>
      </w:r>
      <w:r>
        <w:rPr>
          <w:sz w:val="24"/>
          <w:szCs w:val="24"/>
        </w:rPr>
        <w:t>information</w:t>
      </w:r>
      <w:r w:rsidRPr="00A1067C">
        <w:rPr>
          <w:sz w:val="24"/>
          <w:szCs w:val="24"/>
        </w:rPr>
        <w:t xml:space="preserve"> during an inspection, and information collected by the </w:t>
      </w:r>
      <w:r w:rsidR="00D03FF4">
        <w:rPr>
          <w:sz w:val="24"/>
          <w:szCs w:val="24"/>
        </w:rPr>
        <w:t>a</w:t>
      </w:r>
      <w:r w:rsidRPr="00A1067C">
        <w:rPr>
          <w:sz w:val="24"/>
          <w:szCs w:val="24"/>
        </w:rPr>
        <w:t>gency during the investigation is not subject to the PRA under 5 CFR 1320.4(a)(2).</w:t>
      </w:r>
      <w:r w:rsidR="00881F26">
        <w:rPr>
          <w:sz w:val="24"/>
          <w:szCs w:val="24"/>
        </w:rPr>
        <w:t xml:space="preserve"> </w:t>
      </w:r>
      <w:r w:rsidRPr="00A1067C">
        <w:rPr>
          <w:sz w:val="24"/>
          <w:szCs w:val="24"/>
        </w:rPr>
        <w:t xml:space="preserve"> While NIOSH may use </w:t>
      </w:r>
      <w:r>
        <w:rPr>
          <w:sz w:val="24"/>
          <w:szCs w:val="24"/>
        </w:rPr>
        <w:t>information</w:t>
      </w:r>
      <w:r w:rsidRPr="00A1067C">
        <w:rPr>
          <w:sz w:val="24"/>
          <w:szCs w:val="24"/>
        </w:rPr>
        <w:t xml:space="preserve"> collected from employers for research purposes, the </w:t>
      </w:r>
      <w:r w:rsidR="00D03FF4">
        <w:rPr>
          <w:sz w:val="24"/>
          <w:szCs w:val="24"/>
        </w:rPr>
        <w:t>a</w:t>
      </w:r>
      <w:r w:rsidRPr="00A1067C">
        <w:rPr>
          <w:sz w:val="24"/>
          <w:szCs w:val="24"/>
        </w:rPr>
        <w:t xml:space="preserve">gency does not anticipate </w:t>
      </w:r>
      <w:r>
        <w:rPr>
          <w:sz w:val="24"/>
          <w:szCs w:val="24"/>
        </w:rPr>
        <w:t xml:space="preserve">that </w:t>
      </w:r>
      <w:r w:rsidRPr="00A1067C">
        <w:rPr>
          <w:sz w:val="24"/>
          <w:szCs w:val="24"/>
        </w:rPr>
        <w:t xml:space="preserve">NIOSH </w:t>
      </w:r>
      <w:r>
        <w:rPr>
          <w:sz w:val="24"/>
          <w:szCs w:val="24"/>
        </w:rPr>
        <w:t xml:space="preserve">will </w:t>
      </w:r>
      <w:r w:rsidRPr="00A1067C">
        <w:rPr>
          <w:sz w:val="24"/>
          <w:szCs w:val="24"/>
        </w:rPr>
        <w:t xml:space="preserve">request employers to make available </w:t>
      </w:r>
      <w:r>
        <w:rPr>
          <w:sz w:val="24"/>
          <w:szCs w:val="24"/>
        </w:rPr>
        <w:t>information</w:t>
      </w:r>
      <w:r w:rsidRPr="00A1067C">
        <w:rPr>
          <w:sz w:val="24"/>
          <w:szCs w:val="24"/>
        </w:rPr>
        <w:t xml:space="preserve"> during the approval period.  Therefore, the burden for the employer to make this information available to NIOSH is zero.</w:t>
      </w:r>
    </w:p>
    <w:p w:rsidR="00553E3D" w:rsidRPr="00772FE4" w14:paraId="4611FD31" w14:textId="77777777">
      <w:pPr>
        <w:shd w:val="solid" w:color="FFFFFF" w:fill="FFFFFF"/>
        <w:rPr>
          <w:sz w:val="24"/>
          <w:szCs w:val="24"/>
        </w:rPr>
      </w:pPr>
    </w:p>
    <w:p w:rsidR="00553E3D" w:rsidRPr="00772FE4" w14:paraId="3B2B1625" w14:textId="77777777">
      <w:pPr>
        <w:shd w:val="solid" w:color="FFFFFF" w:fill="FFFFFF"/>
        <w:rPr>
          <w:sz w:val="24"/>
          <w:szCs w:val="24"/>
        </w:rPr>
      </w:pPr>
      <w:r w:rsidRPr="00772FE4">
        <w:rPr>
          <w:b/>
          <w:bCs/>
          <w:sz w:val="24"/>
          <w:szCs w:val="24"/>
        </w:rPr>
        <w:t>C.</w:t>
      </w:r>
      <w:r w:rsidRPr="00772FE4">
        <w:rPr>
          <w:b/>
          <w:bCs/>
          <w:sz w:val="24"/>
          <w:szCs w:val="24"/>
        </w:rPr>
        <w:tab/>
        <w:t>Respirator Program (§1926.62(f))</w:t>
      </w:r>
    </w:p>
    <w:p w:rsidR="00553E3D" w:rsidRPr="00772FE4" w14:paraId="7EFD5F02" w14:textId="77777777">
      <w:pPr>
        <w:shd w:val="solid" w:color="FFFFFF" w:fill="FFFFFF"/>
        <w:rPr>
          <w:sz w:val="24"/>
          <w:szCs w:val="24"/>
        </w:rPr>
      </w:pPr>
    </w:p>
    <w:p w:rsidR="00553E3D" w:rsidRPr="00772FE4" w14:paraId="5932BA33" w14:textId="103B5F9C">
      <w:pPr>
        <w:shd w:val="solid" w:color="FFFFFF" w:fill="FFFFFF"/>
        <w:rPr>
          <w:sz w:val="24"/>
          <w:szCs w:val="24"/>
        </w:rPr>
      </w:pPr>
      <w:r w:rsidRPr="00772FE4">
        <w:rPr>
          <w:sz w:val="24"/>
          <w:szCs w:val="24"/>
        </w:rPr>
        <w:t xml:space="preserve">OSHA takes the burden </w:t>
      </w:r>
      <w:r w:rsidR="00551BC2">
        <w:rPr>
          <w:sz w:val="24"/>
          <w:szCs w:val="24"/>
        </w:rPr>
        <w:t>of written respirator procedures, emergency use respirators,</w:t>
      </w:r>
      <w:r w:rsidRPr="00772FE4">
        <w:rPr>
          <w:sz w:val="24"/>
          <w:szCs w:val="24"/>
        </w:rPr>
        <w:t xml:space="preserve"> and fit</w:t>
      </w:r>
      <w:r w:rsidR="00C10CD0">
        <w:rPr>
          <w:sz w:val="24"/>
          <w:szCs w:val="24"/>
        </w:rPr>
        <w:t>-</w:t>
      </w:r>
      <w:r w:rsidRPr="00772FE4">
        <w:rPr>
          <w:sz w:val="24"/>
          <w:szCs w:val="24"/>
        </w:rPr>
        <w:t>testing in the ICR for the Respiratory Protection Standard, OMB Control Number 1218-0099</w:t>
      </w:r>
      <w:r w:rsidR="00C10CD0">
        <w:rPr>
          <w:sz w:val="24"/>
          <w:szCs w:val="24"/>
        </w:rPr>
        <w:t>, Exp. Date 2/28/2025</w:t>
      </w:r>
      <w:r w:rsidRPr="00772FE4">
        <w:rPr>
          <w:sz w:val="24"/>
          <w:szCs w:val="24"/>
        </w:rPr>
        <w:t>.</w:t>
      </w:r>
    </w:p>
    <w:p w:rsidR="00553E3D" w:rsidRPr="00772FE4" w14:paraId="0A1E14B7" w14:textId="77777777">
      <w:pPr>
        <w:shd w:val="solid" w:color="FFFFFF" w:fill="FFFFFF"/>
        <w:rPr>
          <w:sz w:val="24"/>
          <w:szCs w:val="24"/>
        </w:rPr>
      </w:pPr>
    </w:p>
    <w:p w:rsidR="00553E3D" w:rsidRPr="00772FE4" w14:paraId="3F0D7052" w14:textId="77777777">
      <w:pPr>
        <w:shd w:val="solid" w:color="FFFFFF" w:fill="FFFFFF"/>
        <w:rPr>
          <w:sz w:val="24"/>
          <w:szCs w:val="24"/>
        </w:rPr>
      </w:pPr>
      <w:r w:rsidRPr="00772FE4">
        <w:rPr>
          <w:b/>
          <w:bCs/>
          <w:sz w:val="24"/>
          <w:szCs w:val="24"/>
        </w:rPr>
        <w:t>D.</w:t>
      </w:r>
      <w:r w:rsidRPr="00772FE4">
        <w:rPr>
          <w:b/>
          <w:bCs/>
          <w:sz w:val="24"/>
          <w:szCs w:val="24"/>
        </w:rPr>
        <w:tab/>
        <w:t>Notifying the Laundry (§1926.62(g))</w:t>
      </w:r>
    </w:p>
    <w:p w:rsidR="00553E3D" w:rsidRPr="00772FE4" w14:paraId="019ACA57" w14:textId="77777777">
      <w:pPr>
        <w:shd w:val="solid" w:color="FFFFFF" w:fill="FFFFFF"/>
        <w:rPr>
          <w:sz w:val="24"/>
          <w:szCs w:val="24"/>
        </w:rPr>
      </w:pPr>
    </w:p>
    <w:p w:rsidR="00553E3D" w:rsidRPr="00772FE4" w14:paraId="2A512933" w14:textId="33A4242D">
      <w:pPr>
        <w:shd w:val="solid" w:color="FFFFFF" w:fill="FFFFFF"/>
        <w:rPr>
          <w:sz w:val="24"/>
          <w:szCs w:val="24"/>
        </w:rPr>
      </w:pPr>
      <w:r w:rsidRPr="00772FE4">
        <w:rPr>
          <w:sz w:val="24"/>
          <w:szCs w:val="24"/>
        </w:rPr>
        <w:t xml:space="preserve">The Lead in Construction Standard requires employers to provide </w:t>
      </w:r>
      <w:r w:rsidR="00FA259D">
        <w:rPr>
          <w:sz w:val="24"/>
          <w:szCs w:val="24"/>
        </w:rPr>
        <w:t>worker</w:t>
      </w:r>
      <w:r w:rsidRPr="00772FE4">
        <w:rPr>
          <w:sz w:val="24"/>
          <w:szCs w:val="24"/>
        </w:rPr>
        <w:t xml:space="preserve">s exposed to lead above the PEL with protective work clothing and equipment. </w:t>
      </w:r>
      <w:r w:rsidR="00881F26">
        <w:rPr>
          <w:sz w:val="24"/>
          <w:szCs w:val="24"/>
        </w:rPr>
        <w:t xml:space="preserve"> </w:t>
      </w:r>
      <w:r w:rsidRPr="00772FE4">
        <w:rPr>
          <w:sz w:val="24"/>
          <w:szCs w:val="24"/>
        </w:rPr>
        <w:t xml:space="preserve">Employers supplying such clothing and equipment must inform, in writing, those persons responsible for cleaning and laundering the protective clothing and equipment about the hazards of lead. </w:t>
      </w:r>
      <w:r w:rsidR="00881F26">
        <w:rPr>
          <w:sz w:val="24"/>
          <w:szCs w:val="24"/>
        </w:rPr>
        <w:t xml:space="preserve"> </w:t>
      </w:r>
      <w:r w:rsidRPr="00772FE4">
        <w:rPr>
          <w:sz w:val="24"/>
          <w:szCs w:val="24"/>
        </w:rPr>
        <w:t xml:space="preserve">OSHA assumes </w:t>
      </w:r>
      <w:r w:rsidR="00FA259D">
        <w:rPr>
          <w:sz w:val="24"/>
          <w:szCs w:val="24"/>
        </w:rPr>
        <w:t>worker</w:t>
      </w:r>
      <w:r w:rsidRPr="00772FE4">
        <w:rPr>
          <w:sz w:val="24"/>
          <w:szCs w:val="24"/>
        </w:rPr>
        <w:t xml:space="preserve">s of the affected firms clean the protective equipment. </w:t>
      </w:r>
      <w:r w:rsidR="00881F26">
        <w:rPr>
          <w:sz w:val="24"/>
          <w:szCs w:val="24"/>
        </w:rPr>
        <w:t xml:space="preserve"> </w:t>
      </w:r>
      <w:r w:rsidRPr="00772FE4">
        <w:rPr>
          <w:sz w:val="24"/>
          <w:szCs w:val="24"/>
        </w:rPr>
        <w:t xml:space="preserve">Therefore, the notification process is part of the Hazard Communication training given to the workers responsible for such duties since the employer must provide </w:t>
      </w:r>
      <w:r w:rsidR="00FA259D">
        <w:rPr>
          <w:sz w:val="24"/>
          <w:szCs w:val="24"/>
        </w:rPr>
        <w:t>worker</w:t>
      </w:r>
      <w:r w:rsidRPr="00772FE4">
        <w:rPr>
          <w:sz w:val="24"/>
          <w:szCs w:val="24"/>
        </w:rPr>
        <w:t xml:space="preserve">s with information (such as a safety data sheet) about the hazards of lead to comply with that Standard (§ 1926.59). </w:t>
      </w:r>
      <w:r w:rsidR="00881F26">
        <w:rPr>
          <w:sz w:val="24"/>
          <w:szCs w:val="24"/>
        </w:rPr>
        <w:t xml:space="preserve"> </w:t>
      </w:r>
      <w:r w:rsidRPr="00772FE4">
        <w:rPr>
          <w:sz w:val="24"/>
          <w:szCs w:val="24"/>
        </w:rPr>
        <w:t>Therefore, no burden is taken for this requirement.</w:t>
      </w:r>
    </w:p>
    <w:p w:rsidR="00553E3D" w:rsidRPr="00772FE4" w14:paraId="06A648D9" w14:textId="77777777">
      <w:pPr>
        <w:shd w:val="solid" w:color="FFFFFF" w:fill="FFFFFF"/>
        <w:rPr>
          <w:sz w:val="24"/>
          <w:szCs w:val="24"/>
        </w:rPr>
      </w:pPr>
    </w:p>
    <w:p w:rsidR="00553E3D" w:rsidRPr="00772FE4" w14:paraId="3445581B" w14:textId="7ECB9628">
      <w:pPr>
        <w:shd w:val="solid" w:color="FFFFFF" w:fill="FFFFFF"/>
        <w:rPr>
          <w:sz w:val="24"/>
          <w:szCs w:val="24"/>
        </w:rPr>
      </w:pPr>
      <w:r w:rsidRPr="00772FE4">
        <w:rPr>
          <w:sz w:val="24"/>
          <w:szCs w:val="24"/>
        </w:rPr>
        <w:t xml:space="preserve">OSHA estimates that </w:t>
      </w:r>
      <w:r w:rsidR="00AB3CD2">
        <w:rPr>
          <w:sz w:val="24"/>
          <w:szCs w:val="24"/>
        </w:rPr>
        <w:t>72,120</w:t>
      </w:r>
      <w:r w:rsidR="007C25D6">
        <w:rPr>
          <w:sz w:val="24"/>
          <w:szCs w:val="24"/>
        </w:rPr>
        <w:t xml:space="preserve">  </w:t>
      </w:r>
      <w:r w:rsidR="00064D7A">
        <w:rPr>
          <w:sz w:val="24"/>
          <w:szCs w:val="24"/>
        </w:rPr>
        <w:t xml:space="preserve"> </w:t>
      </w:r>
      <w:r w:rsidRPr="00772FE4">
        <w:rPr>
          <w:sz w:val="24"/>
          <w:szCs w:val="24"/>
        </w:rPr>
        <w:t xml:space="preserve">firms provide protective clothing and equipment to their </w:t>
      </w:r>
      <w:r w:rsidR="00FA259D">
        <w:rPr>
          <w:sz w:val="24"/>
          <w:szCs w:val="24"/>
        </w:rPr>
        <w:t>worker</w:t>
      </w:r>
      <w:r w:rsidRPr="00772FE4">
        <w:rPr>
          <w:sz w:val="24"/>
          <w:szCs w:val="24"/>
        </w:rPr>
        <w:t xml:space="preserve">s. </w:t>
      </w:r>
      <w:r w:rsidR="00881F26">
        <w:rPr>
          <w:sz w:val="24"/>
          <w:szCs w:val="24"/>
        </w:rPr>
        <w:t xml:space="preserve"> </w:t>
      </w:r>
      <w:r w:rsidRPr="00772FE4">
        <w:rPr>
          <w:sz w:val="24"/>
          <w:szCs w:val="24"/>
        </w:rPr>
        <w:t xml:space="preserve">Each of these firms contracts out the cleaning of protective clothing to a single commercial laundry service on an annual basis. </w:t>
      </w:r>
      <w:r w:rsidR="00881F26">
        <w:rPr>
          <w:sz w:val="24"/>
          <w:szCs w:val="24"/>
        </w:rPr>
        <w:t xml:space="preserve"> </w:t>
      </w:r>
      <w:r w:rsidRPr="00772FE4">
        <w:rPr>
          <w:sz w:val="24"/>
          <w:szCs w:val="24"/>
        </w:rPr>
        <w:t>OSHA estimates that notifying the laundry of the potentially harmful effects of exposure to lead requires six minutes (</w:t>
      </w:r>
      <w:r w:rsidR="00A914DD">
        <w:rPr>
          <w:sz w:val="24"/>
          <w:szCs w:val="24"/>
        </w:rPr>
        <w:t>6/60</w:t>
      </w:r>
      <w:r w:rsidRPr="00772FE4">
        <w:rPr>
          <w:sz w:val="24"/>
          <w:szCs w:val="24"/>
        </w:rPr>
        <w:t xml:space="preserve"> hour</w:t>
      </w:r>
      <w:r w:rsidR="0067695A">
        <w:rPr>
          <w:sz w:val="24"/>
          <w:szCs w:val="24"/>
        </w:rPr>
        <w:t>s</w:t>
      </w:r>
      <w:r w:rsidRPr="00772FE4">
        <w:rPr>
          <w:sz w:val="24"/>
          <w:szCs w:val="24"/>
        </w:rPr>
        <w:t>) of clerical time, per firm per year.</w:t>
      </w:r>
    </w:p>
    <w:p w:rsidR="00553E3D" w:rsidRPr="00772FE4" w14:paraId="6351C688" w14:textId="77777777">
      <w:pPr>
        <w:shd w:val="solid" w:color="FFFFFF" w:fill="FFFFFF"/>
        <w:rPr>
          <w:sz w:val="24"/>
          <w:szCs w:val="24"/>
        </w:rPr>
      </w:pPr>
    </w:p>
    <w:p w:rsidR="00553E3D" w:rsidRPr="00772FE4" w14:paraId="533A32DF" w14:textId="7DD148F4">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9E1727">
        <w:rPr>
          <w:bCs/>
          <w:sz w:val="24"/>
          <w:szCs w:val="24"/>
        </w:rPr>
        <w:t xml:space="preserve">72,120 </w:t>
      </w:r>
      <w:r w:rsidR="009E1727">
        <w:rPr>
          <w:sz w:val="24"/>
          <w:szCs w:val="24"/>
        </w:rPr>
        <w:t>firms</w:t>
      </w:r>
      <w:r w:rsidRPr="00772FE4">
        <w:rPr>
          <w:sz w:val="24"/>
          <w:szCs w:val="24"/>
        </w:rPr>
        <w:t xml:space="preserve"> × 1 notification × </w:t>
      </w:r>
      <w:r w:rsidR="00153972">
        <w:rPr>
          <w:sz w:val="24"/>
          <w:szCs w:val="24"/>
        </w:rPr>
        <w:t>6/60</w:t>
      </w:r>
      <w:r w:rsidRPr="00772FE4">
        <w:rPr>
          <w:sz w:val="24"/>
          <w:szCs w:val="24"/>
        </w:rPr>
        <w:t xml:space="preserve"> hour</w:t>
      </w:r>
      <w:r w:rsidR="0067695A">
        <w:rPr>
          <w:sz w:val="24"/>
          <w:szCs w:val="24"/>
        </w:rPr>
        <w:t>s</w:t>
      </w:r>
      <w:r w:rsidRPr="00772FE4">
        <w:rPr>
          <w:sz w:val="24"/>
          <w:szCs w:val="24"/>
        </w:rPr>
        <w:t xml:space="preserve"> = </w:t>
      </w:r>
      <w:r w:rsidR="0007077C">
        <w:rPr>
          <w:sz w:val="24"/>
          <w:szCs w:val="24"/>
        </w:rPr>
        <w:t>7,212 hours</w:t>
      </w:r>
    </w:p>
    <w:p w:rsidR="00553E3D" w:rsidRPr="00772FE4" w14:paraId="7ABE86E6" w14:textId="1CE4973E">
      <w:pPr>
        <w:shd w:val="solid" w:color="FFFFFF" w:fill="FFFFFF"/>
        <w:ind w:left="720" w:firstLine="720"/>
        <w:rPr>
          <w:sz w:val="24"/>
          <w:szCs w:val="24"/>
        </w:rPr>
      </w:pPr>
      <w:r w:rsidRPr="00772FE4">
        <w:rPr>
          <w:b/>
          <w:bCs/>
          <w:sz w:val="24"/>
          <w:szCs w:val="24"/>
        </w:rPr>
        <w:t xml:space="preserve">  Cost:</w:t>
      </w:r>
      <w:r w:rsidRPr="00772FE4">
        <w:rPr>
          <w:sz w:val="24"/>
          <w:szCs w:val="24"/>
        </w:rPr>
        <w:tab/>
      </w:r>
      <w:r>
        <w:rPr>
          <w:sz w:val="24"/>
          <w:szCs w:val="24"/>
        </w:rPr>
        <w:t xml:space="preserve"> </w:t>
      </w:r>
      <w:r w:rsidR="002F24C4">
        <w:rPr>
          <w:sz w:val="24"/>
          <w:szCs w:val="24"/>
        </w:rPr>
        <w:tab/>
      </w:r>
      <w:r w:rsidR="009E1727">
        <w:rPr>
          <w:sz w:val="24"/>
          <w:szCs w:val="24"/>
        </w:rPr>
        <w:t>7,212 hours</w:t>
      </w:r>
      <w:r w:rsidRPr="00772FE4">
        <w:rPr>
          <w:sz w:val="24"/>
          <w:szCs w:val="24"/>
        </w:rPr>
        <w:t xml:space="preserve"> × $</w:t>
      </w:r>
      <w:r w:rsidR="00E16D72">
        <w:rPr>
          <w:sz w:val="24"/>
          <w:szCs w:val="24"/>
        </w:rPr>
        <w:t>3</w:t>
      </w:r>
      <w:r w:rsidR="00A07A5F">
        <w:rPr>
          <w:sz w:val="24"/>
          <w:szCs w:val="24"/>
        </w:rPr>
        <w:t xml:space="preserve">2.74 </w:t>
      </w:r>
      <w:r w:rsidRPr="00772FE4">
        <w:rPr>
          <w:sz w:val="24"/>
          <w:szCs w:val="24"/>
        </w:rPr>
        <w:t>= $</w:t>
      </w:r>
      <w:r w:rsidR="00A07A5F">
        <w:rPr>
          <w:sz w:val="24"/>
          <w:szCs w:val="24"/>
        </w:rPr>
        <w:t>236,</w:t>
      </w:r>
      <w:r w:rsidR="00210A38">
        <w:rPr>
          <w:sz w:val="24"/>
          <w:szCs w:val="24"/>
        </w:rPr>
        <w:t xml:space="preserve">121 </w:t>
      </w:r>
    </w:p>
    <w:p w:rsidR="00553E3D" w:rsidRPr="00772FE4" w14:paraId="7A4A295A" w14:textId="77777777">
      <w:pPr>
        <w:shd w:val="solid" w:color="FFFFFF" w:fill="FFFFFF"/>
        <w:rPr>
          <w:sz w:val="24"/>
          <w:szCs w:val="24"/>
        </w:rPr>
      </w:pPr>
    </w:p>
    <w:p w:rsidR="00553E3D" w:rsidRPr="00772FE4" w14:paraId="0A214F05" w14:textId="77777777">
      <w:pPr>
        <w:shd w:val="solid" w:color="FFFFFF" w:fill="FFFFFF"/>
        <w:rPr>
          <w:sz w:val="24"/>
          <w:szCs w:val="24"/>
        </w:rPr>
      </w:pPr>
      <w:r w:rsidRPr="00772FE4">
        <w:rPr>
          <w:b/>
          <w:bCs/>
          <w:sz w:val="24"/>
          <w:szCs w:val="24"/>
        </w:rPr>
        <w:t>E.</w:t>
      </w:r>
      <w:r w:rsidRPr="00772FE4">
        <w:rPr>
          <w:b/>
          <w:bCs/>
          <w:sz w:val="24"/>
          <w:szCs w:val="24"/>
        </w:rPr>
        <w:tab/>
        <w:t>Medical Surveillance (§1926.62(j))</w:t>
      </w:r>
    </w:p>
    <w:p w:rsidR="00553E3D" w:rsidRPr="00772FE4" w14:paraId="3AE126E4" w14:textId="77777777">
      <w:pPr>
        <w:shd w:val="solid" w:color="FFFFFF" w:fill="FFFFFF"/>
        <w:rPr>
          <w:sz w:val="24"/>
          <w:szCs w:val="24"/>
        </w:rPr>
      </w:pPr>
    </w:p>
    <w:p w:rsidR="00553E3D" w:rsidRPr="00772FE4" w14:paraId="6A9DDBE2" w14:textId="7A1DC30F">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881F26">
        <w:rPr>
          <w:sz w:val="24"/>
          <w:szCs w:val="24"/>
        </w:rPr>
        <w:t xml:space="preserve"> </w:t>
      </w:r>
      <w:r w:rsidRPr="00772FE4">
        <w:rPr>
          <w:sz w:val="24"/>
          <w:szCs w:val="24"/>
        </w:rPr>
        <w:t xml:space="preserve">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881F26">
        <w:rPr>
          <w:sz w:val="24"/>
          <w:szCs w:val="24"/>
        </w:rPr>
        <w:t xml:space="preserve"> </w:t>
      </w:r>
      <w:r w:rsidRPr="00772FE4">
        <w:rPr>
          <w:sz w:val="24"/>
          <w:szCs w:val="24"/>
        </w:rPr>
        <w:t xml:space="preserve">The medical surveillance program includes </w:t>
      </w:r>
      <w:r w:rsidR="0067695A">
        <w:rPr>
          <w:sz w:val="24"/>
          <w:szCs w:val="24"/>
        </w:rPr>
        <w:t xml:space="preserve">a </w:t>
      </w:r>
      <w:r w:rsidRPr="00772FE4">
        <w:rPr>
          <w:sz w:val="24"/>
          <w:szCs w:val="24"/>
        </w:rPr>
        <w:t xml:space="preserve">regular schedule of biological monitoring. </w:t>
      </w:r>
      <w:r w:rsidR="00881F26">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rsidR="00553E3D" w:rsidRPr="00772FE4" w14:paraId="45094BE3" w14:textId="77777777">
      <w:pPr>
        <w:shd w:val="solid" w:color="FFFFFF" w:fill="FFFFFF"/>
        <w:rPr>
          <w:sz w:val="24"/>
          <w:szCs w:val="24"/>
        </w:rPr>
      </w:pPr>
    </w:p>
    <w:p w:rsidR="00553E3D" w:rsidRPr="00772FE4" w14:paraId="10B114B1" w14:textId="50CF8ED4">
      <w:pPr>
        <w:shd w:val="solid" w:color="FFFFFF" w:fill="FFFFFF"/>
        <w:rPr>
          <w:sz w:val="24"/>
          <w:szCs w:val="24"/>
        </w:rPr>
      </w:pPr>
      <w:r w:rsidRPr="00772FE4">
        <w:rPr>
          <w:sz w:val="24"/>
          <w:szCs w:val="24"/>
        </w:rPr>
        <w:t>OSHA assumes, given the implementation of the engineering controls and respirators necessary to comply with the Standard, that the blood-lead levels of construction workers do not exceed 25 micrograms per deciliter (µg/dl)</w:t>
      </w:r>
      <w:r>
        <w:rPr>
          <w:sz w:val="24"/>
          <w:szCs w:val="24"/>
          <w:vertAlign w:val="superscript"/>
        </w:rPr>
        <w:footnoteReference w:id="13"/>
      </w:r>
      <w:r w:rsidRPr="00772FE4">
        <w:rPr>
          <w:sz w:val="24"/>
          <w:szCs w:val="24"/>
        </w:rPr>
        <w:t xml:space="preserve">. </w:t>
      </w:r>
      <w:r w:rsidR="00881F26">
        <w:rPr>
          <w:sz w:val="24"/>
          <w:szCs w:val="24"/>
        </w:rPr>
        <w:t xml:space="preserve"> </w:t>
      </w:r>
      <w:r w:rsidRPr="00772FE4">
        <w:rPr>
          <w:sz w:val="24"/>
          <w:szCs w:val="24"/>
        </w:rPr>
        <w:t xml:space="preserve">This conclusion is relevant to the development of the burden estimates presented below since many of the medical surveillance requirements in </w:t>
      </w:r>
      <w:r w:rsidRPr="00772FE4">
        <w:rPr>
          <w:b/>
          <w:bCs/>
          <w:sz w:val="24"/>
          <w:szCs w:val="24"/>
        </w:rPr>
        <w:t>§</w:t>
      </w:r>
      <w:r w:rsidRPr="00772FE4">
        <w:rPr>
          <w:sz w:val="24"/>
          <w:szCs w:val="24"/>
        </w:rPr>
        <w:t xml:space="preserve">1926.62 are </w:t>
      </w:r>
      <w:r w:rsidRPr="00772FE4">
        <w:rPr>
          <w:sz w:val="24"/>
          <w:szCs w:val="24"/>
        </w:rPr>
        <w:t xml:space="preserve">triggered by elevated blood-lead levels. </w:t>
      </w:r>
      <w:r w:rsidR="00881F26">
        <w:rPr>
          <w:sz w:val="24"/>
          <w:szCs w:val="24"/>
        </w:rPr>
        <w:t xml:space="preserve"> </w:t>
      </w:r>
      <w:r w:rsidRPr="00772FE4">
        <w:rPr>
          <w:sz w:val="24"/>
          <w:szCs w:val="24"/>
        </w:rPr>
        <w:t xml:space="preserve">(It should be noted that this conclusion is based on the nature of exposure pattern in the construction industry. </w:t>
      </w:r>
      <w:r w:rsidR="00881F26">
        <w:rPr>
          <w:sz w:val="24"/>
          <w:szCs w:val="24"/>
        </w:rPr>
        <w:t xml:space="preserve"> </w:t>
      </w:r>
      <w:r w:rsidRPr="00772FE4">
        <w:rPr>
          <w:sz w:val="24"/>
          <w:szCs w:val="24"/>
        </w:rPr>
        <w:t xml:space="preserve">Unlike worker in manufacturing facilities covered under the General Industry Lead Standard, most construction workers are not exposed to lead </w:t>
      </w:r>
      <w:r w:rsidR="0067695A">
        <w:rPr>
          <w:sz w:val="24"/>
          <w:szCs w:val="24"/>
        </w:rPr>
        <w:t>daily</w:t>
      </w:r>
      <w:r w:rsidRPr="00772FE4">
        <w:rPr>
          <w:sz w:val="24"/>
          <w:szCs w:val="24"/>
        </w:rPr>
        <w:t xml:space="preserve"> throughout an entire work year.)</w:t>
      </w:r>
    </w:p>
    <w:p w:rsidR="00553E3D" w:rsidRPr="00772FE4" w14:paraId="747379E1" w14:textId="77777777">
      <w:pPr>
        <w:rPr>
          <w:sz w:val="24"/>
          <w:szCs w:val="24"/>
        </w:rPr>
      </w:pPr>
    </w:p>
    <w:p w:rsidR="00553E3D" w:rsidRPr="00772FE4" w14:paraId="0D1793B1" w14:textId="77777777">
      <w:pPr>
        <w:ind w:firstLine="720"/>
        <w:rPr>
          <w:b/>
          <w:bCs/>
          <w:sz w:val="24"/>
          <w:szCs w:val="24"/>
        </w:rPr>
      </w:pPr>
      <w:r w:rsidRPr="00772FE4">
        <w:rPr>
          <w:b/>
          <w:bCs/>
          <w:sz w:val="24"/>
          <w:szCs w:val="24"/>
        </w:rPr>
        <w:t>(1)</w:t>
      </w:r>
      <w:r w:rsidRPr="00772FE4">
        <w:rPr>
          <w:b/>
          <w:bCs/>
          <w:sz w:val="24"/>
          <w:szCs w:val="24"/>
        </w:rPr>
        <w:tab/>
        <w:t>Biological Monitoring</w:t>
      </w:r>
    </w:p>
    <w:p w:rsidR="00553E3D" w:rsidRPr="00772FE4" w14:paraId="5C89B6F4" w14:textId="77777777">
      <w:pPr>
        <w:shd w:val="solid" w:color="FFFFFF" w:fill="FFFFFF"/>
        <w:rPr>
          <w:sz w:val="24"/>
          <w:szCs w:val="24"/>
        </w:rPr>
      </w:pPr>
    </w:p>
    <w:p w:rsidR="00553E3D" w:rsidRPr="00772FE4" w14:paraId="2A3C9DB0" w14:textId="77777777">
      <w:pPr>
        <w:shd w:val="solid" w:color="FFFFFF" w:fill="FFFFFF"/>
        <w:rPr>
          <w:sz w:val="24"/>
          <w:szCs w:val="24"/>
        </w:rPr>
      </w:pPr>
      <w:r w:rsidRPr="00772FE4">
        <w:rPr>
          <w:sz w:val="24"/>
          <w:szCs w:val="24"/>
        </w:rPr>
        <w:t xml:space="preserve">Employers are required to provide biological monitoring to the following categories of </w:t>
      </w:r>
      <w:r w:rsidR="00FA259D">
        <w:rPr>
          <w:sz w:val="24"/>
          <w:szCs w:val="24"/>
        </w:rPr>
        <w:t>worker</w:t>
      </w:r>
      <w:r w:rsidRPr="00772FE4">
        <w:rPr>
          <w:sz w:val="24"/>
          <w:szCs w:val="24"/>
        </w:rPr>
        <w:t>s:</w:t>
      </w:r>
    </w:p>
    <w:p w:rsidR="00553E3D" w:rsidRPr="00772FE4" w14:paraId="727A23C1" w14:textId="77777777">
      <w:pPr>
        <w:shd w:val="solid" w:color="FFFFFF" w:fill="FFFFFF"/>
        <w:ind w:left="720"/>
        <w:rPr>
          <w:sz w:val="24"/>
          <w:szCs w:val="24"/>
        </w:rPr>
      </w:pPr>
    </w:p>
    <w:p w:rsidR="00553E3D" w:rsidRPr="00B63DB7" w:rsidP="00B63DB7" w14:paraId="52BA9381" w14:textId="77777777">
      <w:pPr>
        <w:pStyle w:val="ListParagraph"/>
        <w:numPr>
          <w:ilvl w:val="0"/>
          <w:numId w:val="8"/>
        </w:numPr>
        <w:shd w:val="solid" w:color="FFFFFF" w:fill="FFFFFF"/>
        <w:rPr>
          <w:sz w:val="24"/>
          <w:szCs w:val="24"/>
        </w:rPr>
      </w:pPr>
      <w:r w:rsidRPr="00B63DB7">
        <w:rPr>
          <w:sz w:val="24"/>
          <w:szCs w:val="24"/>
        </w:rPr>
        <w:t xml:space="preserve">Initial medical surveillance consisting of a single blood test (analyzed for lead and zinc protoporphyrin levels) for </w:t>
      </w:r>
      <w:r w:rsidRPr="00B63DB7" w:rsidR="00FA259D">
        <w:rPr>
          <w:sz w:val="24"/>
          <w:szCs w:val="24"/>
        </w:rPr>
        <w:t>worker</w:t>
      </w:r>
      <w:r w:rsidRPr="00B63DB7">
        <w:rPr>
          <w:sz w:val="24"/>
          <w:szCs w:val="24"/>
        </w:rPr>
        <w:t xml:space="preserve">s exposed on any day to lead </w:t>
      </w:r>
      <w:r w:rsidRPr="00B63DB7" w:rsidR="00AD4840">
        <w:rPr>
          <w:sz w:val="24"/>
          <w:szCs w:val="24"/>
        </w:rPr>
        <w:t xml:space="preserve">at or above the </w:t>
      </w:r>
      <w:r w:rsidRPr="00B63DB7">
        <w:rPr>
          <w:sz w:val="24"/>
          <w:szCs w:val="24"/>
        </w:rPr>
        <w:t>action level;</w:t>
      </w:r>
    </w:p>
    <w:p w:rsidR="00563CB7" w:rsidP="00553E3D" w14:paraId="7CB86BC7" w14:textId="77777777">
      <w:pPr>
        <w:shd w:val="solid" w:color="FFFFFF" w:fill="FFFFFF"/>
        <w:ind w:left="360"/>
        <w:rPr>
          <w:sz w:val="24"/>
          <w:szCs w:val="24"/>
        </w:rPr>
      </w:pPr>
    </w:p>
    <w:p w:rsidR="00553E3D" w:rsidRPr="00B63DB7" w:rsidP="00B63DB7" w14:paraId="1F574D8B" w14:textId="4E465F07">
      <w:pPr>
        <w:pStyle w:val="ListParagraph"/>
        <w:numPr>
          <w:ilvl w:val="0"/>
          <w:numId w:val="8"/>
        </w:numPr>
        <w:shd w:val="solid" w:color="FFFFFF" w:fill="FFFFFF"/>
        <w:rPr>
          <w:sz w:val="24"/>
          <w:szCs w:val="24"/>
        </w:rPr>
      </w:pPr>
      <w:r w:rsidRPr="00B63DB7">
        <w:rPr>
          <w:sz w:val="24"/>
          <w:szCs w:val="24"/>
        </w:rPr>
        <w:t xml:space="preserve">Periodic medical surveillance consisting of regularly scheduled blood tests (analyzed for lead and zinc protoporphyrin levels) as part of a medical surveillance program for all </w:t>
      </w:r>
      <w:r w:rsidRPr="00B63DB7" w:rsidR="00FA259D">
        <w:rPr>
          <w:sz w:val="24"/>
          <w:szCs w:val="24"/>
        </w:rPr>
        <w:t>worker</w:t>
      </w:r>
      <w:r w:rsidRPr="00B63DB7">
        <w:rPr>
          <w:sz w:val="24"/>
          <w:szCs w:val="24"/>
        </w:rPr>
        <w:t xml:space="preserve">s exposed </w:t>
      </w:r>
      <w:r w:rsidRPr="00B63DB7" w:rsidR="00AD4840">
        <w:rPr>
          <w:sz w:val="24"/>
          <w:szCs w:val="24"/>
        </w:rPr>
        <w:t xml:space="preserve">at or </w:t>
      </w:r>
      <w:r w:rsidRPr="00B63DB7">
        <w:rPr>
          <w:sz w:val="24"/>
          <w:szCs w:val="24"/>
        </w:rPr>
        <w:t xml:space="preserve">above the action level more than thirty days per year. </w:t>
      </w:r>
      <w:r w:rsidRPr="00B63DB7" w:rsidR="00881F26">
        <w:rPr>
          <w:sz w:val="24"/>
          <w:szCs w:val="24"/>
        </w:rPr>
        <w:t xml:space="preserve"> </w:t>
      </w:r>
      <w:r w:rsidRPr="00B63DB7">
        <w:rPr>
          <w:sz w:val="24"/>
          <w:szCs w:val="24"/>
        </w:rPr>
        <w:t>These tests are to be administered at least every two months for the first six months of employment and every six months thereafter.</w:t>
      </w:r>
    </w:p>
    <w:p w:rsidR="00553E3D" w:rsidRPr="00772FE4" w14:paraId="73469965" w14:textId="77777777">
      <w:pPr>
        <w:shd w:val="solid" w:color="FFFFFF" w:fill="FFFFFF"/>
        <w:rPr>
          <w:sz w:val="24"/>
          <w:szCs w:val="24"/>
        </w:rPr>
      </w:pPr>
    </w:p>
    <w:p w:rsidR="00553E3D" w:rsidRPr="00B63DB7" w:rsidP="00B63DB7" w14:paraId="7677B7F7" w14:textId="62505C4A">
      <w:pPr>
        <w:pStyle w:val="ListParagraph"/>
        <w:numPr>
          <w:ilvl w:val="0"/>
          <w:numId w:val="8"/>
        </w:numPr>
        <w:shd w:val="solid" w:color="FFFFFF" w:fill="FFFFFF"/>
        <w:rPr>
          <w:sz w:val="24"/>
          <w:szCs w:val="24"/>
        </w:rPr>
      </w:pPr>
      <w:r w:rsidRPr="00B63DB7">
        <w:rPr>
          <w:sz w:val="24"/>
          <w:szCs w:val="24"/>
        </w:rPr>
        <w:t xml:space="preserve">Additional blood tests for all </w:t>
      </w:r>
      <w:r w:rsidRPr="00B63DB7" w:rsidR="00FA259D">
        <w:rPr>
          <w:sz w:val="24"/>
          <w:szCs w:val="24"/>
        </w:rPr>
        <w:t>worker</w:t>
      </w:r>
      <w:r w:rsidRPr="00B63DB7">
        <w:rPr>
          <w:sz w:val="24"/>
          <w:szCs w:val="24"/>
        </w:rPr>
        <w:t xml:space="preserve">s exposed </w:t>
      </w:r>
      <w:r w:rsidRPr="00B63DB7" w:rsidR="00AD4840">
        <w:rPr>
          <w:sz w:val="24"/>
          <w:szCs w:val="24"/>
        </w:rPr>
        <w:t xml:space="preserve">at or </w:t>
      </w:r>
      <w:r w:rsidRPr="00B63DB7">
        <w:rPr>
          <w:sz w:val="24"/>
          <w:szCs w:val="24"/>
        </w:rPr>
        <w:t xml:space="preserve">above the action level whose last blood sampling and analysis indicated a blood-level at or above 40 µg/dl. </w:t>
      </w:r>
      <w:r w:rsidRPr="00B63DB7" w:rsidR="00881F26">
        <w:rPr>
          <w:sz w:val="24"/>
          <w:szCs w:val="24"/>
        </w:rPr>
        <w:t xml:space="preserve"> </w:t>
      </w:r>
      <w:r w:rsidRPr="00B63DB7">
        <w:rPr>
          <w:sz w:val="24"/>
          <w:szCs w:val="24"/>
        </w:rPr>
        <w:t>These tests are to be administered at least every two months until two consecutive blood test results indicate a blood-lead level below 40 µg/dl;</w:t>
      </w:r>
    </w:p>
    <w:p w:rsidR="00553E3D" w:rsidRPr="00772FE4" w14:paraId="69D97DBB" w14:textId="77777777">
      <w:pPr>
        <w:shd w:val="solid" w:color="FFFFFF" w:fill="FFFFFF"/>
        <w:rPr>
          <w:sz w:val="24"/>
          <w:szCs w:val="24"/>
        </w:rPr>
      </w:pPr>
    </w:p>
    <w:p w:rsidR="00553E3D" w:rsidRPr="00B63DB7" w:rsidP="00B63DB7" w14:paraId="57B96AA4" w14:textId="37A6A272">
      <w:pPr>
        <w:pStyle w:val="ListParagraph"/>
        <w:numPr>
          <w:ilvl w:val="0"/>
          <w:numId w:val="8"/>
        </w:numPr>
        <w:shd w:val="solid" w:color="FFFFFF" w:fill="FFFFFF"/>
        <w:rPr>
          <w:sz w:val="24"/>
          <w:szCs w:val="24"/>
        </w:rPr>
      </w:pPr>
      <w:r w:rsidRPr="00B63DB7">
        <w:rPr>
          <w:sz w:val="24"/>
          <w:szCs w:val="24"/>
        </w:rPr>
        <w:t xml:space="preserve">Follow-up blood tests for </w:t>
      </w:r>
      <w:r w:rsidRPr="00B63DB7" w:rsidR="00FA259D">
        <w:rPr>
          <w:sz w:val="24"/>
          <w:szCs w:val="24"/>
        </w:rPr>
        <w:t>worker</w:t>
      </w:r>
      <w:r w:rsidRPr="00B63DB7">
        <w:rPr>
          <w:sz w:val="24"/>
          <w:szCs w:val="24"/>
        </w:rPr>
        <w:t xml:space="preserve">s removed from exposure to lead due to an elevated blood-lead level (at or above 50µg/dl). </w:t>
      </w:r>
      <w:r w:rsidRPr="00B63DB7" w:rsidR="00881F26">
        <w:rPr>
          <w:sz w:val="24"/>
          <w:szCs w:val="24"/>
        </w:rPr>
        <w:t xml:space="preserve"> </w:t>
      </w:r>
      <w:r w:rsidRPr="00B63DB7">
        <w:rPr>
          <w:sz w:val="24"/>
          <w:szCs w:val="24"/>
        </w:rPr>
        <w:t xml:space="preserve">These tests are to be administered within two weeks after the employer receives the results of the first blood sampling test; and </w:t>
      </w:r>
    </w:p>
    <w:p w:rsidR="00553E3D" w:rsidRPr="00772FE4" w14:paraId="7F3CEB25" w14:textId="77777777">
      <w:pPr>
        <w:shd w:val="solid" w:color="FFFFFF" w:fill="FFFFFF"/>
        <w:rPr>
          <w:sz w:val="24"/>
          <w:szCs w:val="24"/>
        </w:rPr>
      </w:pPr>
    </w:p>
    <w:p w:rsidR="00553E3D" w:rsidRPr="00B63DB7" w:rsidP="00B63DB7" w14:paraId="5F15D4EA" w14:textId="762DC223">
      <w:pPr>
        <w:pStyle w:val="ListParagraph"/>
        <w:numPr>
          <w:ilvl w:val="0"/>
          <w:numId w:val="8"/>
        </w:numPr>
        <w:shd w:val="solid" w:color="FFFFFF" w:fill="FFFFFF"/>
        <w:rPr>
          <w:sz w:val="24"/>
          <w:szCs w:val="24"/>
        </w:rPr>
      </w:pPr>
      <w:r w:rsidRPr="00B63DB7">
        <w:rPr>
          <w:sz w:val="24"/>
          <w:szCs w:val="24"/>
        </w:rPr>
        <w:t xml:space="preserve">Additional blood tests for </w:t>
      </w:r>
      <w:r w:rsidRPr="00B63DB7" w:rsidR="00FA259D">
        <w:rPr>
          <w:sz w:val="24"/>
          <w:szCs w:val="24"/>
        </w:rPr>
        <w:t>worker</w:t>
      </w:r>
      <w:r w:rsidRPr="00B63DB7">
        <w:rPr>
          <w:sz w:val="24"/>
          <w:szCs w:val="24"/>
        </w:rPr>
        <w:t xml:space="preserve">s removed from exposure to lead due to an elevated blood-lead level (50 µg/dl or more). </w:t>
      </w:r>
      <w:r w:rsidRPr="00B63DB7" w:rsidR="00881F26">
        <w:rPr>
          <w:sz w:val="24"/>
          <w:szCs w:val="24"/>
        </w:rPr>
        <w:t xml:space="preserve"> </w:t>
      </w:r>
      <w:r w:rsidRPr="00B63DB7">
        <w:rPr>
          <w:sz w:val="24"/>
          <w:szCs w:val="24"/>
        </w:rPr>
        <w:t>These tests are to be administered at least monthly during the removal period.</w:t>
      </w:r>
    </w:p>
    <w:p w:rsidR="00553E3D" w:rsidRPr="00772FE4" w14:paraId="6395F331" w14:textId="77777777">
      <w:pPr>
        <w:shd w:val="solid" w:color="FFFFFF" w:fill="FFFFFF"/>
        <w:rPr>
          <w:sz w:val="24"/>
          <w:szCs w:val="24"/>
        </w:rPr>
      </w:pPr>
    </w:p>
    <w:p w:rsidR="00553E3D" w:rsidRPr="00772FE4" w14:paraId="0A9F8502" w14:textId="34226991">
      <w:pPr>
        <w:shd w:val="solid" w:color="FFFFFF" w:fill="FFFFFF"/>
        <w:rPr>
          <w:sz w:val="24"/>
          <w:szCs w:val="24"/>
        </w:rPr>
      </w:pPr>
      <w:r w:rsidRPr="00772FE4">
        <w:rPr>
          <w:sz w:val="24"/>
          <w:szCs w:val="24"/>
        </w:rPr>
        <w:t>All biological monitoring tests must be performed by, or under the supervision of, a licensed physician.</w:t>
      </w:r>
      <w:r w:rsidR="00881F26">
        <w:rPr>
          <w:sz w:val="24"/>
          <w:szCs w:val="24"/>
        </w:rPr>
        <w:t xml:space="preserve"> </w:t>
      </w:r>
      <w:r w:rsidRPr="00772FE4">
        <w:rPr>
          <w:sz w:val="24"/>
          <w:szCs w:val="24"/>
        </w:rPr>
        <w:t xml:space="preserve"> (Blood-lead samples are often collected by occupational health nurses or other qualified health-care practitioners). </w:t>
      </w:r>
      <w:r w:rsidR="00881F26">
        <w:rPr>
          <w:sz w:val="24"/>
          <w:szCs w:val="24"/>
        </w:rPr>
        <w:t xml:space="preserve"> </w:t>
      </w:r>
      <w:r w:rsidRPr="00772FE4">
        <w:rPr>
          <w:sz w:val="24"/>
          <w:szCs w:val="24"/>
        </w:rPr>
        <w:t xml:space="preserve">Because construction firms do not typically have health care professional on staff, employers will purchase biological monitoring services. </w:t>
      </w:r>
      <w:r w:rsidR="00881F26">
        <w:rPr>
          <w:sz w:val="24"/>
          <w:szCs w:val="24"/>
        </w:rPr>
        <w:t xml:space="preserve"> </w:t>
      </w:r>
      <w:r w:rsidRPr="00772FE4">
        <w:rPr>
          <w:sz w:val="24"/>
          <w:szCs w:val="24"/>
        </w:rPr>
        <w:t>The costs of biological monitoring tests are taken under Item</w:t>
      </w:r>
      <w:r w:rsidR="000A2151">
        <w:rPr>
          <w:sz w:val="24"/>
          <w:szCs w:val="24"/>
        </w:rPr>
        <w:t xml:space="preserve"> </w:t>
      </w:r>
      <w:r w:rsidRPr="00772FE4">
        <w:rPr>
          <w:sz w:val="24"/>
          <w:szCs w:val="24"/>
        </w:rPr>
        <w:t>13.</w:t>
      </w:r>
    </w:p>
    <w:p w:rsidR="00553E3D" w:rsidRPr="00772FE4" w14:paraId="24BE47EA" w14:textId="7CFF2792">
      <w:pPr>
        <w:shd w:val="solid" w:color="FFFFFF" w:fill="FFFFFF"/>
        <w:rPr>
          <w:sz w:val="24"/>
          <w:szCs w:val="24"/>
        </w:rPr>
      </w:pPr>
    </w:p>
    <w:p w:rsidR="00553E3D" w:rsidRPr="00772FE4" w14:paraId="32D9999A" w14:textId="77777777">
      <w:pPr>
        <w:shd w:val="solid" w:color="FFFFFF" w:fill="FFFFFF"/>
        <w:ind w:firstLine="720"/>
        <w:rPr>
          <w:sz w:val="24"/>
          <w:szCs w:val="24"/>
        </w:rPr>
      </w:pPr>
      <w:r w:rsidRPr="00772FE4">
        <w:rPr>
          <w:b/>
          <w:bCs/>
          <w:sz w:val="24"/>
          <w:szCs w:val="24"/>
        </w:rPr>
        <w:t>(1)(a)</w:t>
      </w:r>
      <w:r w:rsidRPr="00772FE4">
        <w:rPr>
          <w:b/>
          <w:bCs/>
          <w:sz w:val="24"/>
          <w:szCs w:val="24"/>
        </w:rPr>
        <w:tab/>
        <w:t>Initial Medical Surveillance</w:t>
      </w:r>
    </w:p>
    <w:p w:rsidR="00553E3D" w:rsidRPr="00772FE4" w14:paraId="60E66842" w14:textId="77777777">
      <w:pPr>
        <w:shd w:val="solid" w:color="FFFFFF" w:fill="FFFFFF"/>
        <w:rPr>
          <w:sz w:val="24"/>
          <w:szCs w:val="24"/>
        </w:rPr>
      </w:pPr>
    </w:p>
    <w:p w:rsidR="00553E3D" w:rsidRPr="00772FE4" w14:paraId="023A987A" w14:textId="18E57F96">
      <w:pPr>
        <w:shd w:val="solid" w:color="FFFFFF" w:fill="FFFFFF"/>
        <w:rPr>
          <w:sz w:val="24"/>
          <w:szCs w:val="24"/>
        </w:rPr>
      </w:pPr>
      <w:r w:rsidRPr="00772FE4">
        <w:rPr>
          <w:sz w:val="24"/>
          <w:szCs w:val="24"/>
        </w:rPr>
        <w:t xml:space="preserve">The Standard requires that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over the action level be provided with initial medical surveillance consisting of a single blood test (analyzed for blood-lead and zinc protoporphyrin levels) offered on a one-time basis.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least one day per year:</w:t>
      </w:r>
    </w:p>
    <w:p w:rsidR="00553E3D" w:rsidRPr="00772FE4" w14:paraId="1CF83466" w14:textId="77777777">
      <w:pPr>
        <w:shd w:val="solid" w:color="FFFFFF" w:fill="FFFFFF"/>
        <w:rPr>
          <w:sz w:val="24"/>
          <w:szCs w:val="24"/>
        </w:rPr>
      </w:pPr>
    </w:p>
    <w:p w:rsidR="00553E3D" w:rsidRPr="00772FE4" w14:paraId="78FEE9BF" w14:textId="77777777">
      <w:pPr>
        <w:shd w:val="solid" w:color="FFFFFF" w:fill="FFFFFF"/>
        <w:ind w:firstLine="720"/>
        <w:rPr>
          <w:sz w:val="24"/>
          <w:szCs w:val="24"/>
        </w:rPr>
      </w:pPr>
      <w:r w:rsidRPr="00772FE4">
        <w:rPr>
          <w:sz w:val="24"/>
          <w:szCs w:val="24"/>
        </w:rPr>
        <w:t>Highway and Railroad Bridge Repainting</w:t>
      </w:r>
    </w:p>
    <w:p w:rsidR="00553E3D" w:rsidRPr="00772FE4" w14:paraId="665A3A2C" w14:textId="77777777">
      <w:pPr>
        <w:shd w:val="solid" w:color="FFFFFF" w:fill="FFFFFF"/>
        <w:ind w:firstLine="720"/>
        <w:rPr>
          <w:sz w:val="24"/>
          <w:szCs w:val="24"/>
        </w:rPr>
      </w:pPr>
      <w:r w:rsidRPr="00772FE4">
        <w:rPr>
          <w:sz w:val="24"/>
          <w:szCs w:val="24"/>
        </w:rPr>
        <w:t>Highway and Railroad Bridge Rehabilitation</w:t>
      </w:r>
    </w:p>
    <w:p w:rsidR="00553E3D" w:rsidRPr="00772FE4" w14:paraId="2E769881" w14:textId="77777777">
      <w:pPr>
        <w:shd w:val="solid" w:color="FFFFFF" w:fill="FFFFFF"/>
        <w:ind w:firstLine="720"/>
        <w:rPr>
          <w:sz w:val="24"/>
          <w:szCs w:val="24"/>
        </w:rPr>
      </w:pPr>
      <w:r w:rsidRPr="00772FE4">
        <w:rPr>
          <w:sz w:val="24"/>
          <w:szCs w:val="24"/>
        </w:rPr>
        <w:t>Water Tank Repainting</w:t>
      </w:r>
    </w:p>
    <w:p w:rsidR="00553E3D" w:rsidRPr="00772FE4" w14:paraId="16C563A2" w14:textId="77777777">
      <w:pPr>
        <w:shd w:val="solid" w:color="FFFFFF" w:fill="FFFFFF"/>
        <w:ind w:firstLine="720"/>
        <w:rPr>
          <w:sz w:val="24"/>
          <w:szCs w:val="24"/>
        </w:rPr>
      </w:pPr>
      <w:r w:rsidRPr="00772FE4">
        <w:rPr>
          <w:sz w:val="24"/>
          <w:szCs w:val="24"/>
        </w:rPr>
        <w:t>Petroleum Tank Repainting</w:t>
      </w:r>
    </w:p>
    <w:p w:rsidR="00553E3D" w:rsidRPr="00772FE4" w14:paraId="2D8BFE5E" w14:textId="77777777">
      <w:pPr>
        <w:shd w:val="solid" w:color="FFFFFF" w:fill="FFFFFF"/>
        <w:ind w:firstLine="720"/>
        <w:rPr>
          <w:sz w:val="24"/>
          <w:szCs w:val="24"/>
        </w:rPr>
      </w:pPr>
      <w:r w:rsidRPr="00772FE4">
        <w:rPr>
          <w:sz w:val="24"/>
          <w:szCs w:val="24"/>
        </w:rPr>
        <w:t>Underground Storage Tank Demolition</w:t>
      </w:r>
    </w:p>
    <w:p w:rsidR="00553E3D" w:rsidRPr="00772FE4" w14:paraId="6EAA1EAF" w14:textId="77777777">
      <w:pPr>
        <w:shd w:val="solid" w:color="FFFFFF" w:fill="FFFFFF"/>
        <w:ind w:firstLine="720"/>
        <w:rPr>
          <w:sz w:val="24"/>
          <w:szCs w:val="24"/>
        </w:rPr>
      </w:pPr>
      <w:r w:rsidRPr="00772FE4">
        <w:rPr>
          <w:sz w:val="24"/>
          <w:szCs w:val="24"/>
        </w:rPr>
        <w:t>Housing Lead Abatement (Public Housing)</w:t>
      </w:r>
    </w:p>
    <w:p w:rsidR="00553E3D" w:rsidRPr="00772FE4" w14:paraId="0F6804CE" w14:textId="77777777">
      <w:pPr>
        <w:shd w:val="solid" w:color="FFFFFF" w:fill="FFFFFF"/>
        <w:ind w:firstLine="720"/>
        <w:rPr>
          <w:sz w:val="24"/>
          <w:szCs w:val="24"/>
        </w:rPr>
      </w:pPr>
      <w:r w:rsidRPr="00772FE4">
        <w:rPr>
          <w:sz w:val="24"/>
          <w:szCs w:val="24"/>
        </w:rPr>
        <w:t>Commercial and Industrial Demolition</w:t>
      </w:r>
    </w:p>
    <w:p w:rsidR="00553E3D" w:rsidRPr="00772FE4" w14:paraId="248D1599" w14:textId="77777777">
      <w:pPr>
        <w:shd w:val="solid" w:color="FFFFFF" w:fill="FFFFFF"/>
        <w:ind w:firstLine="720"/>
        <w:rPr>
          <w:sz w:val="24"/>
          <w:szCs w:val="24"/>
        </w:rPr>
      </w:pPr>
      <w:r w:rsidRPr="00772FE4">
        <w:rPr>
          <w:sz w:val="24"/>
          <w:szCs w:val="24"/>
        </w:rPr>
        <w:t>Indoor Industrial Facility Maintenance/Renovation</w:t>
      </w:r>
    </w:p>
    <w:p w:rsidR="00553E3D" w:rsidRPr="00772FE4" w14:paraId="5382625A" w14:textId="77777777">
      <w:pPr>
        <w:shd w:val="solid" w:color="FFFFFF" w:fill="FFFFFF"/>
        <w:ind w:firstLine="720"/>
        <w:rPr>
          <w:sz w:val="24"/>
          <w:szCs w:val="24"/>
        </w:rPr>
      </w:pPr>
      <w:r w:rsidRPr="00772FE4">
        <w:rPr>
          <w:sz w:val="24"/>
          <w:szCs w:val="24"/>
        </w:rPr>
        <w:t>Outdoor Industrial Facility Maintenance/Renovation</w:t>
      </w:r>
    </w:p>
    <w:p w:rsidR="00553E3D" w:rsidRPr="00772FE4" w14:paraId="4C03F362" w14:textId="77777777">
      <w:pPr>
        <w:shd w:val="solid" w:color="FFFFFF" w:fill="FFFFFF"/>
        <w:ind w:firstLine="720"/>
        <w:rPr>
          <w:sz w:val="24"/>
          <w:szCs w:val="24"/>
        </w:rPr>
      </w:pPr>
      <w:r w:rsidRPr="00772FE4">
        <w:rPr>
          <w:sz w:val="24"/>
          <w:szCs w:val="24"/>
        </w:rPr>
        <w:t>Industrial Process Equipment Manufacture/Maintenance/Repair</w:t>
      </w:r>
    </w:p>
    <w:p w:rsidR="00553E3D" w:rsidRPr="00772FE4" w14:paraId="4E9CC487" w14:textId="77777777">
      <w:pPr>
        <w:shd w:val="solid" w:color="FFFFFF" w:fill="FFFFFF"/>
        <w:ind w:firstLine="720"/>
        <w:rPr>
          <w:sz w:val="24"/>
          <w:szCs w:val="24"/>
        </w:rPr>
      </w:pPr>
      <w:r w:rsidRPr="00772FE4">
        <w:rPr>
          <w:sz w:val="24"/>
          <w:szCs w:val="24"/>
        </w:rPr>
        <w:t>Industrial Vacuuming</w:t>
      </w:r>
    </w:p>
    <w:p w:rsidR="00553E3D" w:rsidRPr="00772FE4" w14:paraId="6F2C4548" w14:textId="77777777">
      <w:pPr>
        <w:shd w:val="solid" w:color="FFFFFF" w:fill="FFFFFF"/>
        <w:ind w:firstLine="720"/>
        <w:rPr>
          <w:sz w:val="24"/>
          <w:szCs w:val="24"/>
        </w:rPr>
      </w:pPr>
      <w:r w:rsidRPr="00772FE4">
        <w:rPr>
          <w:sz w:val="24"/>
          <w:szCs w:val="24"/>
        </w:rPr>
        <w:t>Stained Glass Window Removal</w:t>
      </w:r>
    </w:p>
    <w:p w:rsidR="00553E3D" w:rsidRPr="00772FE4" w14:paraId="106ADDFC" w14:textId="77777777">
      <w:pPr>
        <w:shd w:val="solid" w:color="FFFFFF" w:fill="FFFFFF"/>
        <w:ind w:firstLine="720"/>
        <w:rPr>
          <w:sz w:val="24"/>
          <w:szCs w:val="24"/>
        </w:rPr>
      </w:pPr>
      <w:r w:rsidRPr="00772FE4">
        <w:rPr>
          <w:sz w:val="24"/>
          <w:szCs w:val="24"/>
        </w:rPr>
        <w:t>Commercial and Institutional Remodeling</w:t>
      </w:r>
    </w:p>
    <w:p w:rsidR="00553E3D" w:rsidRPr="00772FE4" w14:paraId="6ED2C5B7" w14:textId="77777777">
      <w:pPr>
        <w:shd w:val="solid" w:color="FFFFFF" w:fill="FFFFFF"/>
        <w:ind w:firstLine="720"/>
        <w:rPr>
          <w:sz w:val="24"/>
          <w:szCs w:val="24"/>
        </w:rPr>
      </w:pPr>
      <w:r w:rsidRPr="00772FE4">
        <w:rPr>
          <w:sz w:val="24"/>
          <w:szCs w:val="24"/>
        </w:rPr>
        <w:t>Residential Remodeling</w:t>
      </w:r>
    </w:p>
    <w:p w:rsidR="00553E3D" w:rsidRPr="00772FE4" w14:paraId="26F7EE06" w14:textId="595F1F9E">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w:t>
      </w:r>
    </w:p>
    <w:p w:rsidR="00553E3D" w:rsidRPr="00772FE4" w14:paraId="10732F6E" w14:textId="77777777">
      <w:pPr>
        <w:shd w:val="solid" w:color="FFFFFF" w:fill="FFFFFF"/>
        <w:ind w:firstLine="720"/>
        <w:rPr>
          <w:sz w:val="24"/>
          <w:szCs w:val="24"/>
        </w:rPr>
      </w:pPr>
      <w:r w:rsidRPr="00772FE4">
        <w:rPr>
          <w:sz w:val="24"/>
          <w:szCs w:val="24"/>
        </w:rPr>
        <w:t>Transmission and Communication Tower Maintenance</w:t>
      </w:r>
    </w:p>
    <w:p w:rsidR="00553E3D" w:rsidRPr="00772FE4" w14:paraId="2DEF3ADF" w14:textId="77777777">
      <w:pPr>
        <w:shd w:val="solid" w:color="FFFFFF" w:fill="FFFFFF"/>
        <w:rPr>
          <w:sz w:val="24"/>
          <w:szCs w:val="24"/>
        </w:rPr>
      </w:pPr>
    </w:p>
    <w:p w:rsidR="00553E3D" w:rsidRPr="00772FE4" w14:paraId="4DB2416C" w14:textId="47A19CC3">
      <w:pPr>
        <w:shd w:val="solid" w:color="FFFFFF" w:fill="FFFFFF"/>
        <w:rPr>
          <w:sz w:val="24"/>
          <w:szCs w:val="24"/>
        </w:rPr>
      </w:pPr>
      <w:r w:rsidRPr="00772FE4">
        <w:rPr>
          <w:sz w:val="24"/>
          <w:szCs w:val="24"/>
        </w:rPr>
        <w:t xml:space="preserve">Since the Standard took effect in 1993, all existing </w:t>
      </w:r>
      <w:r w:rsidR="00FA259D">
        <w:rPr>
          <w:sz w:val="24"/>
          <w:szCs w:val="24"/>
        </w:rPr>
        <w:t>worker</w:t>
      </w:r>
      <w:r w:rsidRPr="00772FE4">
        <w:rPr>
          <w:sz w:val="24"/>
          <w:szCs w:val="24"/>
        </w:rPr>
        <w:t xml:space="preserve">s exposed </w:t>
      </w:r>
      <w:r w:rsidR="00AD4840">
        <w:rPr>
          <w:sz w:val="24"/>
          <w:szCs w:val="24"/>
        </w:rPr>
        <w:t>at or above</w:t>
      </w:r>
      <w:r w:rsidRPr="00772FE4" w:rsidR="00AD4840">
        <w:rPr>
          <w:sz w:val="24"/>
          <w:szCs w:val="24"/>
        </w:rPr>
        <w:t xml:space="preserve"> </w:t>
      </w:r>
      <w:r w:rsidRPr="00772FE4">
        <w:rPr>
          <w:sz w:val="24"/>
          <w:szCs w:val="24"/>
        </w:rPr>
        <w:t xml:space="preserve">the action level have been given initial medical surveillance. </w:t>
      </w:r>
      <w:r w:rsidR="00881F26">
        <w:rPr>
          <w:sz w:val="24"/>
          <w:szCs w:val="24"/>
        </w:rPr>
        <w:t xml:space="preserve"> </w:t>
      </w:r>
      <w:r w:rsidRPr="00772FE4">
        <w:rPr>
          <w:sz w:val="24"/>
          <w:szCs w:val="24"/>
        </w:rPr>
        <w:t xml:space="preserve">Therefore, only new </w:t>
      </w:r>
      <w:r w:rsidR="00FA259D">
        <w:rPr>
          <w:sz w:val="24"/>
          <w:szCs w:val="24"/>
        </w:rPr>
        <w:t>worker</w:t>
      </w:r>
      <w:r w:rsidRPr="00772FE4">
        <w:rPr>
          <w:sz w:val="24"/>
          <w:szCs w:val="24"/>
        </w:rPr>
        <w:t xml:space="preserve">s will need to have initial medical surveillance. </w:t>
      </w:r>
      <w:r w:rsidR="00881F26">
        <w:rPr>
          <w:sz w:val="24"/>
          <w:szCs w:val="24"/>
        </w:rPr>
        <w:t xml:space="preserve"> </w:t>
      </w:r>
      <w:r w:rsidRPr="00772FE4">
        <w:rPr>
          <w:sz w:val="24"/>
          <w:szCs w:val="24"/>
        </w:rPr>
        <w:t xml:space="preserve">OSHA estimates that, on an annual basis, there are </w:t>
      </w:r>
      <w:r w:rsidR="008C126A">
        <w:rPr>
          <w:sz w:val="24"/>
          <w:szCs w:val="24"/>
        </w:rPr>
        <w:t>158,</w:t>
      </w:r>
      <w:r w:rsidR="003B7370">
        <w:rPr>
          <w:sz w:val="24"/>
          <w:szCs w:val="24"/>
        </w:rPr>
        <w:t>442</w:t>
      </w:r>
      <w:r w:rsidR="00C0202D">
        <w:rPr>
          <w:sz w:val="24"/>
          <w:szCs w:val="24"/>
        </w:rPr>
        <w:t xml:space="preserve"> </w:t>
      </w:r>
      <w:r w:rsidRPr="00772FE4">
        <w:rPr>
          <w:sz w:val="24"/>
          <w:szCs w:val="24"/>
        </w:rPr>
        <w:t xml:space="preserve"> workers exposed</w:t>
      </w:r>
      <w:r w:rsidR="00AD4840">
        <w:rPr>
          <w:sz w:val="24"/>
          <w:szCs w:val="24"/>
        </w:rPr>
        <w:t xml:space="preserve"> at or</w:t>
      </w:r>
      <w:r w:rsidRPr="00772FE4">
        <w:rPr>
          <w:sz w:val="24"/>
          <w:szCs w:val="24"/>
        </w:rPr>
        <w:t xml:space="preserve"> above the action level on at least one day per year</w:t>
      </w:r>
      <w:r w:rsidR="00B1546A">
        <w:rPr>
          <w:sz w:val="24"/>
          <w:szCs w:val="24"/>
        </w:rPr>
        <w:t xml:space="preserve"> </w:t>
      </w:r>
      <w:r w:rsidR="00C7070B">
        <w:rPr>
          <w:sz w:val="24"/>
          <w:szCs w:val="24"/>
        </w:rPr>
        <w:t>(</w:t>
      </w:r>
      <w:r w:rsidR="005C585A">
        <w:rPr>
          <w:sz w:val="24"/>
          <w:szCs w:val="24"/>
        </w:rPr>
        <w:t>736,845 total worker</w:t>
      </w:r>
      <w:r w:rsidR="00171BB7">
        <w:rPr>
          <w:sz w:val="24"/>
          <w:szCs w:val="24"/>
        </w:rPr>
        <w:t xml:space="preserve">s x 21.5%  = </w:t>
      </w:r>
      <w:r w:rsidR="00C7070B">
        <w:rPr>
          <w:sz w:val="24"/>
          <w:szCs w:val="24"/>
        </w:rPr>
        <w:t>158,442</w:t>
      </w:r>
      <w:r w:rsidR="00B93E5A">
        <w:rPr>
          <w:sz w:val="24"/>
          <w:szCs w:val="24"/>
        </w:rPr>
        <w:t xml:space="preserve"> workers above action level</w:t>
      </w:r>
      <w:r w:rsidR="00C7070B">
        <w:rPr>
          <w:sz w:val="24"/>
          <w:szCs w:val="24"/>
        </w:rPr>
        <w:t>)</w:t>
      </w:r>
      <w:r w:rsidRPr="00772FE4">
        <w:rPr>
          <w:sz w:val="24"/>
          <w:szCs w:val="24"/>
        </w:rPr>
        <w:t>.</w:t>
      </w:r>
      <w:r>
        <w:rPr>
          <w:sz w:val="24"/>
          <w:szCs w:val="24"/>
          <w:vertAlign w:val="superscript"/>
        </w:rPr>
        <w:footnoteReference w:id="14"/>
      </w:r>
      <w:r w:rsidRPr="00772FE4">
        <w:rPr>
          <w:sz w:val="24"/>
          <w:szCs w:val="24"/>
        </w:rPr>
        <w:t xml:space="preserve"> </w:t>
      </w:r>
      <w:r w:rsidR="00881F26">
        <w:rPr>
          <w:sz w:val="24"/>
          <w:szCs w:val="24"/>
        </w:rPr>
        <w:t xml:space="preserve"> </w:t>
      </w:r>
      <w:r w:rsidRPr="00772FE4">
        <w:rPr>
          <w:sz w:val="24"/>
          <w:szCs w:val="24"/>
        </w:rPr>
        <w:t xml:space="preserve">OSHA assumes that </w:t>
      </w:r>
      <w:r w:rsidR="0060505C">
        <w:rPr>
          <w:sz w:val="24"/>
          <w:szCs w:val="24"/>
        </w:rPr>
        <w:t>39</w:t>
      </w:r>
      <w:r w:rsidR="005F6495">
        <w:rPr>
          <w:sz w:val="24"/>
          <w:szCs w:val="24"/>
        </w:rPr>
        <w:t>.0</w:t>
      </w:r>
      <w:r w:rsidR="00B45C31">
        <w:rPr>
          <w:sz w:val="24"/>
          <w:szCs w:val="24"/>
        </w:rPr>
        <w:t xml:space="preserve"> </w:t>
      </w:r>
      <w:r w:rsidRPr="00772FE4">
        <w:rPr>
          <w:sz w:val="24"/>
          <w:szCs w:val="24"/>
        </w:rPr>
        <w:t xml:space="preserve">percent of these workers are new </w:t>
      </w:r>
      <w:r w:rsidR="00FA259D">
        <w:rPr>
          <w:sz w:val="24"/>
          <w:szCs w:val="24"/>
        </w:rPr>
        <w:t>worker</w:t>
      </w:r>
      <w:r w:rsidRPr="00772FE4">
        <w:rPr>
          <w:sz w:val="24"/>
          <w:szCs w:val="24"/>
        </w:rPr>
        <w:t xml:space="preserve">s based on the average turnover rate of </w:t>
      </w:r>
      <w:r w:rsidR="00374104">
        <w:rPr>
          <w:sz w:val="24"/>
          <w:szCs w:val="24"/>
        </w:rPr>
        <w:t>39.0</w:t>
      </w:r>
      <w:r w:rsidR="00163DE5">
        <w:rPr>
          <w:sz w:val="24"/>
          <w:szCs w:val="24"/>
        </w:rPr>
        <w:t xml:space="preserve"> </w:t>
      </w:r>
      <w:r w:rsidRPr="00772FE4">
        <w:rPr>
          <w:sz w:val="24"/>
          <w:szCs w:val="24"/>
        </w:rPr>
        <w:t xml:space="preserve"> percent for </w:t>
      </w:r>
      <w:r w:rsidR="00FA259D">
        <w:rPr>
          <w:sz w:val="24"/>
          <w:szCs w:val="24"/>
        </w:rPr>
        <w:t>worker</w:t>
      </w:r>
      <w:r w:rsidRPr="00772FE4">
        <w:rPr>
          <w:sz w:val="24"/>
          <w:szCs w:val="24"/>
        </w:rPr>
        <w:t>s in the affected construction sectors</w:t>
      </w:r>
      <w:r w:rsidR="0053307C">
        <w:rPr>
          <w:sz w:val="24"/>
          <w:szCs w:val="24"/>
        </w:rPr>
        <w:t>.</w:t>
      </w:r>
      <w:r>
        <w:rPr>
          <w:rStyle w:val="FootnoteReference"/>
          <w:sz w:val="24"/>
          <w:szCs w:val="24"/>
        </w:rPr>
        <w:footnoteReference w:id="15"/>
      </w:r>
      <w:r w:rsidRPr="00772FE4">
        <w:rPr>
          <w:sz w:val="24"/>
          <w:szCs w:val="24"/>
        </w:rPr>
        <w:t xml:space="preserve"> </w:t>
      </w:r>
      <w:r w:rsidR="00881F26">
        <w:rPr>
          <w:sz w:val="24"/>
          <w:szCs w:val="24"/>
        </w:rPr>
        <w:t xml:space="preserve"> </w:t>
      </w:r>
      <w:r w:rsidRPr="00772FE4">
        <w:rPr>
          <w:sz w:val="24"/>
          <w:szCs w:val="24"/>
        </w:rPr>
        <w:t>OSHA</w:t>
      </w:r>
      <w:r w:rsidR="005F69C4">
        <w:rPr>
          <w:sz w:val="24"/>
          <w:szCs w:val="24"/>
        </w:rPr>
        <w:t xml:space="preserve">, therefore, estimates that there are </w:t>
      </w:r>
      <w:r w:rsidRPr="00772FE4">
        <w:rPr>
          <w:sz w:val="24"/>
          <w:szCs w:val="24"/>
        </w:rPr>
        <w:t xml:space="preserve">approximately </w:t>
      </w:r>
      <w:r w:rsidR="00374104">
        <w:rPr>
          <w:sz w:val="24"/>
          <w:szCs w:val="24"/>
        </w:rPr>
        <w:t xml:space="preserve">61,785 </w:t>
      </w:r>
      <w:r w:rsidR="00094C5F">
        <w:rPr>
          <w:sz w:val="24"/>
          <w:szCs w:val="24"/>
        </w:rPr>
        <w:t xml:space="preserve"> </w:t>
      </w:r>
      <w:r w:rsidRPr="00772FE4">
        <w:rPr>
          <w:sz w:val="24"/>
          <w:szCs w:val="24"/>
        </w:rPr>
        <w:t xml:space="preserve">new hires, each </w:t>
      </w:r>
      <w:r w:rsidR="00FA259D">
        <w:rPr>
          <w:sz w:val="24"/>
          <w:szCs w:val="24"/>
        </w:rPr>
        <w:t>worker</w:t>
      </w:r>
      <w:r w:rsidRPr="00772FE4">
        <w:rPr>
          <w:sz w:val="24"/>
          <w:szCs w:val="24"/>
        </w:rPr>
        <w:t xml:space="preserve"> receiving an initial test</w:t>
      </w:r>
      <w:r w:rsidR="003C481E">
        <w:rPr>
          <w:sz w:val="24"/>
          <w:szCs w:val="24"/>
        </w:rPr>
        <w:t xml:space="preserve"> (158,442 </w:t>
      </w:r>
      <w:r w:rsidR="00FD00B4">
        <w:rPr>
          <w:sz w:val="24"/>
          <w:szCs w:val="24"/>
        </w:rPr>
        <w:t>al wor</w:t>
      </w:r>
      <w:r w:rsidR="0020454E">
        <w:rPr>
          <w:sz w:val="24"/>
          <w:szCs w:val="24"/>
        </w:rPr>
        <w:t xml:space="preserve">kers </w:t>
      </w:r>
      <w:r w:rsidR="003C481E">
        <w:rPr>
          <w:sz w:val="24"/>
          <w:szCs w:val="24"/>
        </w:rPr>
        <w:t xml:space="preserve">x </w:t>
      </w:r>
      <w:r w:rsidR="00FD00B4">
        <w:rPr>
          <w:sz w:val="24"/>
          <w:szCs w:val="24"/>
        </w:rPr>
        <w:t>39% turnover rate = 61,785 new hires)</w:t>
      </w:r>
      <w:r w:rsidRPr="00772FE4">
        <w:rPr>
          <w:sz w:val="24"/>
          <w:szCs w:val="24"/>
        </w:rPr>
        <w:t xml:space="preserve">. </w:t>
      </w:r>
      <w:r w:rsidR="00881F26">
        <w:rPr>
          <w:sz w:val="24"/>
          <w:szCs w:val="24"/>
        </w:rPr>
        <w:t xml:space="preserve"> </w:t>
      </w:r>
      <w:r w:rsidRPr="00772FE4">
        <w:rPr>
          <w:sz w:val="24"/>
          <w:szCs w:val="24"/>
        </w:rPr>
        <w:t xml:space="preserve">The blood sampling used to obtain the </w:t>
      </w:r>
      <w:r w:rsidR="005F69C4">
        <w:rPr>
          <w:sz w:val="24"/>
          <w:szCs w:val="24"/>
        </w:rPr>
        <w:t>blood lead and zinc protoporphyrin levels requires 15 minutes (15/60 hours</w:t>
      </w:r>
      <w:r w:rsidRPr="00772FE4">
        <w:rPr>
          <w:sz w:val="24"/>
          <w:szCs w:val="24"/>
        </w:rPr>
        <w:t xml:space="preserve">)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 xml:space="preserve">The </w:t>
      </w:r>
      <w:r w:rsidR="00FA259D">
        <w:rPr>
          <w:sz w:val="24"/>
          <w:szCs w:val="24"/>
        </w:rPr>
        <w:t>worker</w:t>
      </w:r>
      <w:r w:rsidRPr="00772FE4">
        <w:rPr>
          <w:sz w:val="24"/>
          <w:szCs w:val="24"/>
        </w:rPr>
        <w:t xml:space="preserve"> wage rate, including benefits</w:t>
      </w:r>
      <w:r w:rsidR="005F69C4">
        <w:rPr>
          <w:sz w:val="24"/>
          <w:szCs w:val="24"/>
        </w:rPr>
        <w:t>,</w:t>
      </w:r>
      <w:r w:rsidRPr="00772FE4">
        <w:rPr>
          <w:sz w:val="24"/>
          <w:szCs w:val="24"/>
        </w:rPr>
        <w:t xml:space="preserve"> is $</w:t>
      </w:r>
      <w:r w:rsidR="006D238B">
        <w:rPr>
          <w:sz w:val="24"/>
          <w:szCs w:val="24"/>
        </w:rPr>
        <w:t>42.</w:t>
      </w:r>
      <w:r w:rsidR="001B45F2">
        <w:rPr>
          <w:sz w:val="24"/>
          <w:szCs w:val="24"/>
        </w:rPr>
        <w:t>00.</w:t>
      </w:r>
      <w:r w:rsidR="00B45C31">
        <w:rPr>
          <w:sz w:val="24"/>
          <w:szCs w:val="24"/>
        </w:rPr>
        <w:t xml:space="preserve"> </w:t>
      </w:r>
      <w:r w:rsidRPr="00772FE4">
        <w:rPr>
          <w:sz w:val="24"/>
          <w:szCs w:val="24"/>
        </w:rPr>
        <w:t>The following formula calculates the annual burden of this requirement:</w:t>
      </w:r>
    </w:p>
    <w:p w:rsidR="00553E3D" w:rsidRPr="00772FE4" w14:paraId="4A849FDB" w14:textId="77777777">
      <w:pPr>
        <w:shd w:val="solid" w:color="FFFFFF" w:fill="FFFFFF"/>
        <w:rPr>
          <w:sz w:val="24"/>
          <w:szCs w:val="24"/>
        </w:rPr>
      </w:pPr>
    </w:p>
    <w:p w:rsidR="00553E3D" w:rsidRPr="00772FE4" w14:paraId="5CF5634F" w14:textId="574F181B">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1B45F2">
        <w:rPr>
          <w:sz w:val="24"/>
          <w:szCs w:val="24"/>
        </w:rPr>
        <w:t>61,785 workers</w:t>
      </w:r>
      <w:r w:rsidRPr="00772FE4">
        <w:rPr>
          <w:sz w:val="24"/>
          <w:szCs w:val="24"/>
        </w:rPr>
        <w:t xml:space="preserve"> × 1 initial test × </w:t>
      </w:r>
      <w:r w:rsidR="00153972">
        <w:rPr>
          <w:sz w:val="24"/>
          <w:szCs w:val="24"/>
        </w:rPr>
        <w:t>15/60</w:t>
      </w:r>
      <w:r w:rsidRPr="00772FE4">
        <w:rPr>
          <w:sz w:val="24"/>
          <w:szCs w:val="24"/>
        </w:rPr>
        <w:t xml:space="preserve"> hour</w:t>
      </w:r>
      <w:r w:rsidR="005F69C4">
        <w:rPr>
          <w:sz w:val="24"/>
          <w:szCs w:val="24"/>
        </w:rPr>
        <w:t>s</w:t>
      </w:r>
      <w:r w:rsidRPr="00772FE4">
        <w:rPr>
          <w:sz w:val="24"/>
          <w:szCs w:val="24"/>
        </w:rPr>
        <w:t xml:space="preserve"> =</w:t>
      </w:r>
      <w:r w:rsidR="001B45F2">
        <w:rPr>
          <w:sz w:val="24"/>
          <w:szCs w:val="24"/>
        </w:rPr>
        <w:t>15,446 hours</w:t>
      </w:r>
    </w:p>
    <w:p w:rsidR="00553E3D" w:rsidRPr="00772FE4" w14:paraId="4CEFA3DE" w14:textId="4B726CF4">
      <w:pPr>
        <w:shd w:val="solid" w:color="FFFFFF" w:fill="FFFFFF"/>
        <w:ind w:firstLine="720"/>
        <w:rPr>
          <w:sz w:val="24"/>
          <w:szCs w:val="24"/>
        </w:rPr>
      </w:pPr>
      <w:r w:rsidRPr="00772FE4">
        <w:rPr>
          <w:b/>
          <w:bCs/>
          <w:sz w:val="24"/>
          <w:szCs w:val="24"/>
        </w:rPr>
        <w:t xml:space="preserve">                Cost: </w:t>
      </w:r>
      <w:r w:rsidR="002F24C4">
        <w:rPr>
          <w:b/>
          <w:bCs/>
          <w:sz w:val="24"/>
          <w:szCs w:val="24"/>
        </w:rPr>
        <w:tab/>
      </w:r>
      <w:r w:rsidR="001B45F2">
        <w:rPr>
          <w:bCs/>
          <w:sz w:val="24"/>
          <w:szCs w:val="24"/>
        </w:rPr>
        <w:t xml:space="preserve">15,446 </w:t>
      </w:r>
      <w:r w:rsidR="001B45F2">
        <w:rPr>
          <w:sz w:val="24"/>
          <w:szCs w:val="24"/>
        </w:rPr>
        <w:t>hours</w:t>
      </w:r>
      <w:r w:rsidRPr="00772FE4">
        <w:rPr>
          <w:sz w:val="24"/>
          <w:szCs w:val="24"/>
        </w:rPr>
        <w:t xml:space="preserve"> × $</w:t>
      </w:r>
      <w:r w:rsidR="00840969">
        <w:rPr>
          <w:sz w:val="24"/>
          <w:szCs w:val="24"/>
        </w:rPr>
        <w:t xml:space="preserve">42.00 </w:t>
      </w:r>
      <w:r w:rsidRPr="00772FE4">
        <w:rPr>
          <w:sz w:val="24"/>
          <w:szCs w:val="24"/>
        </w:rPr>
        <w:t>= $</w:t>
      </w:r>
      <w:r w:rsidR="00A74B10">
        <w:rPr>
          <w:sz w:val="24"/>
          <w:szCs w:val="24"/>
        </w:rPr>
        <w:t xml:space="preserve">648,732 </w:t>
      </w:r>
      <w:r w:rsidR="005865A4">
        <w:rPr>
          <w:sz w:val="24"/>
          <w:szCs w:val="24"/>
        </w:rPr>
        <w:t xml:space="preserve"> </w:t>
      </w:r>
    </w:p>
    <w:p w:rsidR="00553E3D" w:rsidRPr="00772FE4" w14:paraId="206E5125" w14:textId="77777777">
      <w:pPr>
        <w:shd w:val="solid" w:color="FFFFFF" w:fill="FFFFFF"/>
        <w:rPr>
          <w:sz w:val="24"/>
          <w:szCs w:val="24"/>
        </w:rPr>
      </w:pPr>
    </w:p>
    <w:p w:rsidR="00553E3D" w:rsidRPr="00772FE4" w14:paraId="432BB595" w14:textId="77777777">
      <w:pPr>
        <w:shd w:val="solid" w:color="FFFFFF" w:fill="FFFFFF"/>
        <w:ind w:firstLine="720"/>
        <w:rPr>
          <w:sz w:val="24"/>
          <w:szCs w:val="24"/>
        </w:rPr>
      </w:pPr>
      <w:r w:rsidRPr="00E01EBA">
        <w:rPr>
          <w:b/>
          <w:bCs/>
          <w:sz w:val="24"/>
          <w:szCs w:val="24"/>
        </w:rPr>
        <w:t>(1)(b)</w:t>
      </w:r>
      <w:r w:rsidRPr="00E01EBA">
        <w:rPr>
          <w:b/>
          <w:bCs/>
          <w:sz w:val="24"/>
          <w:szCs w:val="24"/>
        </w:rPr>
        <w:tab/>
        <w:t>Periodic Medical Surveillance</w:t>
      </w:r>
    </w:p>
    <w:p w:rsidR="00553E3D" w:rsidRPr="00772FE4" w14:paraId="7EE1F75B" w14:textId="77777777">
      <w:pPr>
        <w:shd w:val="solid" w:color="FFFFFF" w:fill="FFFFFF"/>
        <w:rPr>
          <w:sz w:val="24"/>
          <w:szCs w:val="24"/>
        </w:rPr>
      </w:pPr>
    </w:p>
    <w:p w:rsidR="00553E3D" w:rsidRPr="00772FE4" w14:paraId="3DDB6348" w14:textId="50EAEA91">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AD4840">
        <w:rPr>
          <w:sz w:val="24"/>
          <w:szCs w:val="24"/>
        </w:rPr>
        <w:t xml:space="preserve">at or </w:t>
      </w:r>
      <w:r w:rsidRPr="00772FE4">
        <w:rPr>
          <w:sz w:val="24"/>
          <w:szCs w:val="24"/>
        </w:rPr>
        <w:t xml:space="preserve">above the action level on 30 or </w:t>
      </w:r>
      <w:r w:rsidRPr="00772FE4">
        <w:rPr>
          <w:sz w:val="24"/>
          <w:szCs w:val="24"/>
        </w:rPr>
        <w:t xml:space="preserve">more days per year.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for 30 or more days per year:</w:t>
      </w:r>
    </w:p>
    <w:p w:rsidR="00553E3D" w:rsidRPr="00772FE4" w14:paraId="5B197CE5" w14:textId="77777777">
      <w:pPr>
        <w:shd w:val="solid" w:color="FFFFFF" w:fill="FFFFFF"/>
        <w:ind w:firstLine="720"/>
        <w:rPr>
          <w:sz w:val="24"/>
          <w:szCs w:val="24"/>
        </w:rPr>
      </w:pPr>
      <w:r w:rsidRPr="00772FE4">
        <w:rPr>
          <w:sz w:val="24"/>
          <w:szCs w:val="24"/>
        </w:rPr>
        <w:t>Highway and Railroad Bridge Repainting</w:t>
      </w:r>
    </w:p>
    <w:p w:rsidR="00553E3D" w:rsidRPr="00772FE4" w14:paraId="7BD93C46" w14:textId="77777777">
      <w:pPr>
        <w:shd w:val="solid" w:color="FFFFFF" w:fill="FFFFFF"/>
        <w:ind w:firstLine="720"/>
        <w:rPr>
          <w:sz w:val="24"/>
          <w:szCs w:val="24"/>
        </w:rPr>
      </w:pPr>
      <w:r w:rsidRPr="00772FE4">
        <w:rPr>
          <w:sz w:val="24"/>
          <w:szCs w:val="24"/>
        </w:rPr>
        <w:t>Highway and Railroad Bridge Rehabilitation</w:t>
      </w:r>
    </w:p>
    <w:p w:rsidR="00553E3D" w:rsidRPr="00772FE4" w14:paraId="57EA3686" w14:textId="77777777">
      <w:pPr>
        <w:shd w:val="solid" w:color="FFFFFF" w:fill="FFFFFF"/>
        <w:ind w:firstLine="720"/>
        <w:rPr>
          <w:sz w:val="24"/>
          <w:szCs w:val="24"/>
        </w:rPr>
      </w:pPr>
      <w:r w:rsidRPr="00772FE4">
        <w:rPr>
          <w:sz w:val="24"/>
          <w:szCs w:val="24"/>
        </w:rPr>
        <w:t>Water Tank Repainting</w:t>
      </w:r>
    </w:p>
    <w:p w:rsidR="00553E3D" w:rsidRPr="00772FE4" w14:paraId="4F3A9E80" w14:textId="77777777">
      <w:pPr>
        <w:shd w:val="solid" w:color="FFFFFF" w:fill="FFFFFF"/>
        <w:ind w:firstLine="720"/>
        <w:rPr>
          <w:sz w:val="24"/>
          <w:szCs w:val="24"/>
        </w:rPr>
      </w:pPr>
      <w:r w:rsidRPr="00772FE4">
        <w:rPr>
          <w:sz w:val="24"/>
          <w:szCs w:val="24"/>
        </w:rPr>
        <w:t>Petroleum Tank Repainting</w:t>
      </w:r>
    </w:p>
    <w:p w:rsidR="00553E3D" w:rsidRPr="00772FE4" w14:paraId="16DF7CF4" w14:textId="77777777">
      <w:pPr>
        <w:shd w:val="solid" w:color="FFFFFF" w:fill="FFFFFF"/>
        <w:ind w:firstLine="720"/>
        <w:rPr>
          <w:sz w:val="24"/>
          <w:szCs w:val="24"/>
        </w:rPr>
      </w:pPr>
      <w:r w:rsidRPr="00772FE4">
        <w:rPr>
          <w:sz w:val="24"/>
          <w:szCs w:val="24"/>
        </w:rPr>
        <w:t>Housing Lead Abatement (Public Housing)</w:t>
      </w:r>
    </w:p>
    <w:p w:rsidR="00553E3D" w:rsidRPr="00772FE4" w14:paraId="16C95810" w14:textId="77777777">
      <w:pPr>
        <w:shd w:val="solid" w:color="FFFFFF" w:fill="FFFFFF"/>
        <w:ind w:firstLine="720"/>
        <w:rPr>
          <w:sz w:val="24"/>
          <w:szCs w:val="24"/>
        </w:rPr>
      </w:pPr>
      <w:r w:rsidRPr="00772FE4">
        <w:rPr>
          <w:sz w:val="24"/>
          <w:szCs w:val="24"/>
        </w:rPr>
        <w:t>Commercial and Industrial Demolition</w:t>
      </w:r>
    </w:p>
    <w:p w:rsidR="00553E3D" w:rsidRPr="00772FE4" w14:paraId="454412DD" w14:textId="77777777">
      <w:pPr>
        <w:shd w:val="solid" w:color="FFFFFF" w:fill="FFFFFF"/>
        <w:ind w:firstLine="720"/>
        <w:rPr>
          <w:sz w:val="24"/>
          <w:szCs w:val="24"/>
        </w:rPr>
      </w:pPr>
      <w:r w:rsidRPr="00772FE4">
        <w:rPr>
          <w:sz w:val="24"/>
          <w:szCs w:val="24"/>
        </w:rPr>
        <w:t>Indoor Industrial Facility Maintenance/Renovation</w:t>
      </w:r>
    </w:p>
    <w:p w:rsidR="00553E3D" w:rsidRPr="00772FE4" w14:paraId="5F9472D6" w14:textId="77777777">
      <w:pPr>
        <w:shd w:val="solid" w:color="FFFFFF" w:fill="FFFFFF"/>
        <w:ind w:firstLine="720"/>
        <w:rPr>
          <w:sz w:val="24"/>
          <w:szCs w:val="24"/>
        </w:rPr>
      </w:pPr>
      <w:r w:rsidRPr="00772FE4">
        <w:rPr>
          <w:sz w:val="24"/>
          <w:szCs w:val="24"/>
        </w:rPr>
        <w:t>Outdoor Industrial Facility Maintenance/Renovation</w:t>
      </w:r>
    </w:p>
    <w:p w:rsidR="00553E3D" w:rsidRPr="00772FE4" w14:paraId="5D0671AE" w14:textId="77777777">
      <w:pPr>
        <w:shd w:val="solid" w:color="FFFFFF" w:fill="FFFFFF"/>
        <w:ind w:firstLine="720"/>
        <w:rPr>
          <w:sz w:val="24"/>
          <w:szCs w:val="24"/>
        </w:rPr>
      </w:pPr>
      <w:r w:rsidRPr="00772FE4">
        <w:rPr>
          <w:sz w:val="24"/>
          <w:szCs w:val="24"/>
        </w:rPr>
        <w:t>Industrial Process Equipment Manufacture/Maintenance/Repair</w:t>
      </w:r>
    </w:p>
    <w:p w:rsidR="00553E3D" w:rsidRPr="00772FE4" w14:paraId="5B43F64D" w14:textId="77777777">
      <w:pPr>
        <w:shd w:val="solid" w:color="FFFFFF" w:fill="FFFFFF"/>
        <w:ind w:firstLine="720"/>
        <w:rPr>
          <w:sz w:val="24"/>
          <w:szCs w:val="24"/>
        </w:rPr>
      </w:pPr>
      <w:r w:rsidRPr="00772FE4">
        <w:rPr>
          <w:sz w:val="24"/>
          <w:szCs w:val="24"/>
        </w:rPr>
        <w:t>Stained Glass Window Removal</w:t>
      </w:r>
    </w:p>
    <w:p w:rsidR="00553E3D" w:rsidRPr="00772FE4" w14:paraId="594CDCDC" w14:textId="77777777">
      <w:pPr>
        <w:shd w:val="solid" w:color="FFFFFF" w:fill="FFFFFF"/>
        <w:ind w:firstLine="720"/>
        <w:rPr>
          <w:sz w:val="24"/>
          <w:szCs w:val="24"/>
        </w:rPr>
      </w:pPr>
      <w:r w:rsidRPr="00772FE4">
        <w:rPr>
          <w:sz w:val="24"/>
          <w:szCs w:val="24"/>
        </w:rPr>
        <w:t>Transmission and communication Tower Maintenance</w:t>
      </w:r>
    </w:p>
    <w:p w:rsidR="00553E3D" w:rsidRPr="00772FE4" w14:paraId="74C1CB8B" w14:textId="77777777">
      <w:pPr>
        <w:shd w:val="solid" w:color="FFFFFF" w:fill="FFFFFF"/>
        <w:rPr>
          <w:sz w:val="24"/>
          <w:szCs w:val="24"/>
        </w:rPr>
      </w:pPr>
    </w:p>
    <w:p w:rsidR="00553E3D" w:rsidRPr="00772FE4" w14:paraId="49AA9BB7" w14:textId="793928B9">
      <w:pPr>
        <w:shd w:val="solid" w:color="FFFFFF" w:fill="FFFFFF"/>
        <w:rPr>
          <w:sz w:val="24"/>
          <w:szCs w:val="24"/>
        </w:rPr>
      </w:pPr>
      <w:r w:rsidRPr="00772FE4">
        <w:rPr>
          <w:sz w:val="24"/>
          <w:szCs w:val="24"/>
        </w:rPr>
        <w:t xml:space="preserve">OSHA estimates that </w:t>
      </w:r>
      <w:r w:rsidR="00C7718B">
        <w:rPr>
          <w:sz w:val="24"/>
          <w:szCs w:val="24"/>
        </w:rPr>
        <w:t>41,</w:t>
      </w:r>
      <w:r w:rsidR="00D15806">
        <w:rPr>
          <w:sz w:val="24"/>
          <w:szCs w:val="24"/>
        </w:rPr>
        <w:t xml:space="preserve">157 </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s).</w:t>
      </w:r>
      <w:r>
        <w:rPr>
          <w:sz w:val="24"/>
          <w:szCs w:val="24"/>
          <w:vertAlign w:val="superscript"/>
        </w:rPr>
        <w:footnoteReference w:id="16"/>
      </w:r>
      <w:r w:rsidRPr="00772FE4">
        <w:rPr>
          <w:sz w:val="24"/>
          <w:szCs w:val="24"/>
        </w:rPr>
        <w:t xml:space="preserve"> </w:t>
      </w:r>
      <w:r w:rsidR="00881F26">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AD4840">
        <w:rPr>
          <w:sz w:val="24"/>
          <w:szCs w:val="24"/>
        </w:rPr>
        <w:t xml:space="preserve">at or </w:t>
      </w:r>
      <w:r w:rsidRPr="00772FE4">
        <w:rPr>
          <w:sz w:val="24"/>
          <w:szCs w:val="24"/>
        </w:rPr>
        <w:t xml:space="preserve">above the action level for 30 or more days per year and remain employed by the employer. </w:t>
      </w:r>
      <w:r w:rsidR="00881F26">
        <w:rPr>
          <w:sz w:val="24"/>
          <w:szCs w:val="24"/>
        </w:rPr>
        <w:t xml:space="preserve"> </w:t>
      </w:r>
      <w:r w:rsidRPr="00772FE4">
        <w:rPr>
          <w:sz w:val="24"/>
          <w:szCs w:val="24"/>
        </w:rPr>
        <w:t xml:space="preserve">Thus, in the first year of employment, </w:t>
      </w:r>
      <w:r w:rsidR="00FA259D">
        <w:rPr>
          <w:sz w:val="24"/>
          <w:szCs w:val="24"/>
        </w:rPr>
        <w:t>worker</w:t>
      </w:r>
      <w:r w:rsidRPr="00772FE4">
        <w:rPr>
          <w:sz w:val="24"/>
          <w:szCs w:val="24"/>
        </w:rPr>
        <w:t xml:space="preserve">s receive four sessions of biological monitoring (at months 2, 4, 6, and 12). After the first year of employment, </w:t>
      </w:r>
      <w:r w:rsidR="00FA259D">
        <w:rPr>
          <w:sz w:val="24"/>
          <w:szCs w:val="24"/>
        </w:rPr>
        <w:t>worker</w:t>
      </w:r>
      <w:r w:rsidRPr="00772FE4">
        <w:rPr>
          <w:sz w:val="24"/>
          <w:szCs w:val="24"/>
        </w:rPr>
        <w:t xml:space="preserve">s are monitored semi-annually (at months 6 and 12). Because new </w:t>
      </w:r>
      <w:r w:rsidR="00FA259D">
        <w:rPr>
          <w:sz w:val="24"/>
          <w:szCs w:val="24"/>
        </w:rPr>
        <w:t>worker</w:t>
      </w:r>
      <w:r w:rsidRPr="00772FE4">
        <w:rPr>
          <w:sz w:val="24"/>
          <w:szCs w:val="24"/>
        </w:rPr>
        <w:t xml:space="preserve">s receive two sessions of biological monitoring per year, OSHA calculated the annual burden associated with this requirement separately for new and existing </w:t>
      </w:r>
      <w:r w:rsidR="00FA259D">
        <w:rPr>
          <w:sz w:val="24"/>
          <w:szCs w:val="24"/>
        </w:rPr>
        <w:t>worker</w:t>
      </w:r>
      <w:r w:rsidRPr="00772FE4">
        <w:rPr>
          <w:sz w:val="24"/>
          <w:szCs w:val="24"/>
        </w:rPr>
        <w:t>s.</w:t>
      </w:r>
    </w:p>
    <w:p w:rsidR="00553E3D" w:rsidRPr="00772FE4" w14:paraId="31249E03" w14:textId="77777777">
      <w:pPr>
        <w:shd w:val="solid" w:color="FFFFFF" w:fill="FFFFFF"/>
        <w:rPr>
          <w:sz w:val="24"/>
          <w:szCs w:val="24"/>
        </w:rPr>
      </w:pPr>
    </w:p>
    <w:p w:rsidR="00553E3D" w:rsidRPr="00772FE4" w14:paraId="64CEAD75" w14:textId="1E07C892">
      <w:pPr>
        <w:shd w:val="solid" w:color="FFFFFF" w:fill="FFFFFF"/>
        <w:rPr>
          <w:sz w:val="24"/>
          <w:szCs w:val="24"/>
        </w:rPr>
      </w:pPr>
      <w:r w:rsidRPr="00F86EE9">
        <w:rPr>
          <w:sz w:val="24"/>
          <w:szCs w:val="24"/>
        </w:rPr>
        <w:t xml:space="preserve">An estimated </w:t>
      </w:r>
      <w:r w:rsidR="001B45F2">
        <w:rPr>
          <w:sz w:val="24"/>
          <w:szCs w:val="24"/>
        </w:rPr>
        <w:t xml:space="preserve">16,051 </w:t>
      </w:r>
      <w:r w:rsidRPr="00F86EE9" w:rsidR="001B45F2">
        <w:rPr>
          <w:sz w:val="24"/>
          <w:szCs w:val="24"/>
        </w:rPr>
        <w:t>new</w:t>
      </w:r>
      <w:r w:rsidRPr="00F86EE9">
        <w:rPr>
          <w:sz w:val="24"/>
          <w:szCs w:val="24"/>
        </w:rPr>
        <w:t xml:space="preserve"> hires</w:t>
      </w:r>
      <w:r w:rsidRPr="00772FE4">
        <w:rPr>
          <w:sz w:val="24"/>
          <w:szCs w:val="24"/>
        </w:rPr>
        <w:t xml:space="preserve"> (</w:t>
      </w:r>
      <w:r w:rsidR="00DB7153">
        <w:rPr>
          <w:sz w:val="24"/>
          <w:szCs w:val="24"/>
        </w:rPr>
        <w:t>39</w:t>
      </w:r>
      <w:r w:rsidR="005B50CD">
        <w:rPr>
          <w:sz w:val="24"/>
          <w:szCs w:val="24"/>
        </w:rPr>
        <w:t>.0</w:t>
      </w:r>
      <w:r w:rsidRPr="00772FE4" w:rsidR="00F43EE7">
        <w:rPr>
          <w:sz w:val="24"/>
          <w:szCs w:val="24"/>
        </w:rPr>
        <w:t xml:space="preserve"> </w:t>
      </w:r>
      <w:r w:rsidRPr="00772FE4">
        <w:rPr>
          <w:sz w:val="24"/>
          <w:szCs w:val="24"/>
        </w:rPr>
        <w:t xml:space="preserve">percent of </w:t>
      </w:r>
      <w:r w:rsidR="001B45F2">
        <w:rPr>
          <w:sz w:val="24"/>
          <w:szCs w:val="24"/>
        </w:rPr>
        <w:t xml:space="preserve">41,157 </w:t>
      </w:r>
      <w:r w:rsidRPr="00772FE4" w:rsidR="001B45F2">
        <w:rPr>
          <w:sz w:val="24"/>
          <w:szCs w:val="24"/>
        </w:rPr>
        <w:t>workers</w:t>
      </w:r>
      <w:r w:rsidRPr="00772FE4">
        <w:rPr>
          <w:sz w:val="24"/>
          <w:szCs w:val="24"/>
        </w:rPr>
        <w:t>) receive four biological monitoring tests per year (for a total of</w:t>
      </w:r>
      <w:r w:rsidR="00CB1A29">
        <w:rPr>
          <w:sz w:val="24"/>
          <w:szCs w:val="24"/>
        </w:rPr>
        <w:t xml:space="preserve"> </w:t>
      </w:r>
      <w:r w:rsidR="001B45F2">
        <w:rPr>
          <w:sz w:val="24"/>
          <w:szCs w:val="24"/>
        </w:rPr>
        <w:t xml:space="preserve">64,204 </w:t>
      </w:r>
      <w:r w:rsidRPr="00772FE4" w:rsidR="001B45F2">
        <w:rPr>
          <w:sz w:val="24"/>
          <w:szCs w:val="24"/>
        </w:rPr>
        <w:t>tests</w:t>
      </w:r>
      <w:r w:rsidRPr="00772FE4">
        <w:rPr>
          <w:sz w:val="24"/>
          <w:szCs w:val="24"/>
        </w:rPr>
        <w:t xml:space="preserve">) in addition to the initial medical surveillance given once to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w:t>
      </w:r>
      <w:r w:rsidR="00E01EBA">
        <w:rPr>
          <w:sz w:val="24"/>
          <w:szCs w:val="24"/>
        </w:rPr>
        <w:t>t</w:t>
      </w:r>
      <w:r w:rsidRPr="00772FE4">
        <w:rPr>
          <w:sz w:val="24"/>
          <w:szCs w:val="24"/>
        </w:rPr>
        <w:t xml:space="preserve"> one day per year. </w:t>
      </w:r>
      <w:r w:rsidR="00881F26">
        <w:rPr>
          <w:sz w:val="24"/>
          <w:szCs w:val="24"/>
        </w:rPr>
        <w:t xml:space="preserve"> </w:t>
      </w:r>
      <w:r w:rsidRPr="00772FE4">
        <w:rPr>
          <w:sz w:val="24"/>
          <w:szCs w:val="24"/>
        </w:rPr>
        <w:t>The blood sampling requires 15 minutes (</w:t>
      </w:r>
      <w:r w:rsidR="00630308">
        <w:rPr>
          <w:sz w:val="24"/>
          <w:szCs w:val="24"/>
        </w:rPr>
        <w:t>15/60</w:t>
      </w:r>
      <w:r w:rsidRPr="00772FE4">
        <w:rPr>
          <w:sz w:val="24"/>
          <w:szCs w:val="24"/>
        </w:rPr>
        <w:t xml:space="preserve"> </w:t>
      </w:r>
      <w:r w:rsidR="008771CC">
        <w:rPr>
          <w:sz w:val="24"/>
          <w:szCs w:val="24"/>
        </w:rPr>
        <w:t>hours</w:t>
      </w:r>
      <w:r w:rsidRPr="00772FE4">
        <w:rPr>
          <w:sz w:val="24"/>
          <w:szCs w:val="24"/>
        </w:rPr>
        <w:t xml:space="preserve">)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OSHA uses the following formula to calculate the annual burden of this requirement.</w:t>
      </w:r>
    </w:p>
    <w:p w:rsidR="00553E3D" w:rsidRPr="00772FE4" w14:paraId="67E14F92" w14:textId="77777777">
      <w:pPr>
        <w:shd w:val="solid" w:color="FFFFFF" w:fill="FFFFFF"/>
        <w:rPr>
          <w:sz w:val="24"/>
          <w:szCs w:val="24"/>
        </w:rPr>
      </w:pPr>
    </w:p>
    <w:p w:rsidR="00553E3D" w:rsidRPr="00772FE4" w14:paraId="49B68DB9" w14:textId="682ED888">
      <w:pPr>
        <w:shd w:val="solid" w:color="FFFFFF" w:fill="FFFFFF"/>
        <w:ind w:firstLine="720"/>
        <w:rPr>
          <w:sz w:val="24"/>
          <w:szCs w:val="24"/>
        </w:rPr>
      </w:pPr>
      <w:r w:rsidRPr="00772FE4">
        <w:rPr>
          <w:b/>
          <w:bCs/>
          <w:sz w:val="24"/>
          <w:szCs w:val="24"/>
        </w:rPr>
        <w:t>Burden hours:</w:t>
      </w:r>
      <w:r w:rsidR="0041263A">
        <w:rPr>
          <w:b/>
          <w:bCs/>
          <w:sz w:val="24"/>
          <w:szCs w:val="24"/>
        </w:rPr>
        <w:tab/>
      </w:r>
      <w:r w:rsidR="001B45F2">
        <w:rPr>
          <w:bCs/>
          <w:sz w:val="24"/>
          <w:szCs w:val="24"/>
        </w:rPr>
        <w:t xml:space="preserve">16,051 </w:t>
      </w:r>
      <w:r w:rsidRPr="00772FE4" w:rsidR="001B45F2">
        <w:rPr>
          <w:sz w:val="24"/>
          <w:szCs w:val="24"/>
        </w:rPr>
        <w:t>workers</w:t>
      </w:r>
      <w:r w:rsidRPr="00772FE4">
        <w:rPr>
          <w:sz w:val="24"/>
          <w:szCs w:val="24"/>
        </w:rPr>
        <w:t xml:space="preserve"> × 4 tests × </w:t>
      </w:r>
      <w:r w:rsidR="00153972">
        <w:rPr>
          <w:sz w:val="24"/>
          <w:szCs w:val="24"/>
        </w:rPr>
        <w:t>15/60</w:t>
      </w:r>
      <w:r w:rsidRPr="00772FE4">
        <w:rPr>
          <w:sz w:val="24"/>
          <w:szCs w:val="24"/>
        </w:rPr>
        <w:t xml:space="preserve"> hour</w:t>
      </w:r>
      <w:r w:rsidR="008771CC">
        <w:rPr>
          <w:sz w:val="24"/>
          <w:szCs w:val="24"/>
        </w:rPr>
        <w:t>s</w:t>
      </w:r>
      <w:r w:rsidRPr="00772FE4">
        <w:rPr>
          <w:sz w:val="24"/>
          <w:szCs w:val="24"/>
        </w:rPr>
        <w:t xml:space="preserve"> = </w:t>
      </w:r>
      <w:r w:rsidR="00A31629">
        <w:rPr>
          <w:sz w:val="24"/>
          <w:szCs w:val="24"/>
        </w:rPr>
        <w:t>16,051</w:t>
      </w:r>
      <w:r w:rsidR="00A47AC3">
        <w:rPr>
          <w:sz w:val="24"/>
          <w:szCs w:val="24"/>
        </w:rPr>
        <w:t xml:space="preserve"> </w:t>
      </w:r>
      <w:r w:rsidRPr="00772FE4">
        <w:rPr>
          <w:sz w:val="24"/>
          <w:szCs w:val="24"/>
        </w:rPr>
        <w:t>hours</w:t>
      </w:r>
    </w:p>
    <w:p w:rsidR="00553E3D" w:rsidRPr="00772FE4" w14:paraId="7B67CB71" w14:textId="0AC071DC">
      <w:pPr>
        <w:shd w:val="solid" w:color="FFFFFF" w:fill="FFFFFF"/>
        <w:ind w:firstLine="720"/>
        <w:rPr>
          <w:sz w:val="24"/>
          <w:szCs w:val="24"/>
        </w:rPr>
      </w:pPr>
      <w:r w:rsidRPr="00772FE4">
        <w:rPr>
          <w:b/>
          <w:bCs/>
          <w:sz w:val="24"/>
          <w:szCs w:val="24"/>
        </w:rPr>
        <w:t xml:space="preserve">                Cost: </w:t>
      </w:r>
      <w:r w:rsidR="0041263A">
        <w:rPr>
          <w:b/>
          <w:bCs/>
          <w:sz w:val="24"/>
          <w:szCs w:val="24"/>
        </w:rPr>
        <w:tab/>
      </w:r>
      <w:r w:rsidR="00A31629">
        <w:rPr>
          <w:bCs/>
          <w:sz w:val="24"/>
          <w:szCs w:val="24"/>
        </w:rPr>
        <w:t>16,051</w:t>
      </w:r>
      <w:r w:rsidRPr="00772FE4">
        <w:rPr>
          <w:sz w:val="24"/>
          <w:szCs w:val="24"/>
        </w:rPr>
        <w:t xml:space="preserve"> hours × $</w:t>
      </w:r>
      <w:r w:rsidR="00A31629">
        <w:rPr>
          <w:sz w:val="24"/>
          <w:szCs w:val="24"/>
        </w:rPr>
        <w:t>42.</w:t>
      </w:r>
      <w:r w:rsidR="001B45F2">
        <w:rPr>
          <w:sz w:val="24"/>
          <w:szCs w:val="24"/>
        </w:rPr>
        <w:t xml:space="preserve">00 </w:t>
      </w:r>
      <w:r w:rsidRPr="00772FE4" w:rsidR="001B45F2">
        <w:rPr>
          <w:sz w:val="24"/>
          <w:szCs w:val="24"/>
        </w:rPr>
        <w:t>=</w:t>
      </w:r>
      <w:r w:rsidRPr="00772FE4">
        <w:rPr>
          <w:sz w:val="24"/>
          <w:szCs w:val="24"/>
        </w:rPr>
        <w:t xml:space="preserve"> $</w:t>
      </w:r>
      <w:r w:rsidR="0021248C">
        <w:rPr>
          <w:sz w:val="24"/>
          <w:szCs w:val="24"/>
        </w:rPr>
        <w:t xml:space="preserve">674,142 </w:t>
      </w:r>
    </w:p>
    <w:p w:rsidR="00553E3D" w:rsidRPr="00772FE4" w14:paraId="57F4BB11" w14:textId="77777777">
      <w:pPr>
        <w:shd w:val="solid" w:color="FFFFFF" w:fill="FFFFFF"/>
        <w:rPr>
          <w:sz w:val="24"/>
          <w:szCs w:val="24"/>
        </w:rPr>
      </w:pPr>
    </w:p>
    <w:p w:rsidR="00553E3D" w:rsidRPr="00772FE4" w14:paraId="62B94F52" w14:textId="0BC61793">
      <w:pPr>
        <w:shd w:val="solid" w:color="FFFFFF" w:fill="FFFFFF"/>
        <w:rPr>
          <w:sz w:val="24"/>
          <w:szCs w:val="24"/>
        </w:rPr>
      </w:pPr>
      <w:r w:rsidRPr="00772FE4">
        <w:rPr>
          <w:sz w:val="24"/>
          <w:szCs w:val="24"/>
        </w:rPr>
        <w:t xml:space="preserve">OSHA assumes that </w:t>
      </w:r>
      <w:r w:rsidR="001B45F2">
        <w:rPr>
          <w:sz w:val="24"/>
          <w:szCs w:val="24"/>
        </w:rPr>
        <w:t xml:space="preserve">25,106 </w:t>
      </w:r>
      <w:r w:rsidRPr="00772FE4" w:rsidR="001B45F2">
        <w:rPr>
          <w:sz w:val="24"/>
          <w:szCs w:val="24"/>
        </w:rPr>
        <w:t>workers</w:t>
      </w:r>
      <w:r w:rsidRPr="00772FE4">
        <w:rPr>
          <w:sz w:val="24"/>
          <w:szCs w:val="24"/>
        </w:rPr>
        <w:t xml:space="preserve">, or </w:t>
      </w:r>
      <w:r w:rsidR="00D1652E">
        <w:rPr>
          <w:sz w:val="24"/>
          <w:szCs w:val="24"/>
        </w:rPr>
        <w:t>61</w:t>
      </w:r>
      <w:r w:rsidR="009316BD">
        <w:rPr>
          <w:sz w:val="24"/>
          <w:szCs w:val="24"/>
        </w:rPr>
        <w:t>.0</w:t>
      </w:r>
      <w:r w:rsidRPr="00772FE4">
        <w:rPr>
          <w:sz w:val="24"/>
          <w:szCs w:val="24"/>
        </w:rPr>
        <w:t xml:space="preserve"> percent of the </w:t>
      </w:r>
      <w:r w:rsidR="001B45F2">
        <w:rPr>
          <w:sz w:val="24"/>
          <w:szCs w:val="24"/>
        </w:rPr>
        <w:t>41,157 workers</w:t>
      </w:r>
      <w:r w:rsidRPr="00772FE4">
        <w:rPr>
          <w:sz w:val="24"/>
          <w:szCs w:val="24"/>
        </w:rPr>
        <w:t xml:space="preserve"> eligible to receive periodic medical surveillance, are full-year </w:t>
      </w:r>
      <w:r w:rsidR="001B45F2">
        <w:rPr>
          <w:sz w:val="24"/>
          <w:szCs w:val="24"/>
        </w:rPr>
        <w:t>worker</w:t>
      </w:r>
      <w:r w:rsidRPr="00772FE4" w:rsidR="001B45F2">
        <w:rPr>
          <w:sz w:val="24"/>
          <w:szCs w:val="24"/>
        </w:rPr>
        <w:t>s</w:t>
      </w:r>
      <w:r w:rsidR="001B45F2">
        <w:rPr>
          <w:sz w:val="24"/>
          <w:szCs w:val="24"/>
        </w:rPr>
        <w:t>.</w:t>
      </w:r>
      <w:r w:rsidRPr="00772FE4">
        <w:rPr>
          <w:sz w:val="24"/>
          <w:szCs w:val="24"/>
        </w:rPr>
        <w:t xml:space="preserve"> </w:t>
      </w:r>
      <w:r w:rsidR="008771CC">
        <w:rPr>
          <w:sz w:val="24"/>
          <w:szCs w:val="24"/>
        </w:rPr>
        <w:t>Eligible full-year workers receive two biological monitoring tests per year, for a total of 50,212 tests</w:t>
      </w:r>
      <w:r w:rsidRPr="00772FE4">
        <w:rPr>
          <w:sz w:val="24"/>
          <w:szCs w:val="24"/>
        </w:rPr>
        <w:t xml:space="preserve">. </w:t>
      </w:r>
      <w:r w:rsidR="00881F26">
        <w:rPr>
          <w:sz w:val="24"/>
          <w:szCs w:val="24"/>
        </w:rPr>
        <w:t xml:space="preserve"> </w:t>
      </w:r>
    </w:p>
    <w:p w:rsidR="00553E3D" w:rsidRPr="00772FE4" w14:paraId="7A24D5F3" w14:textId="77777777">
      <w:pPr>
        <w:shd w:val="solid" w:color="FFFFFF" w:fill="FFFFFF"/>
        <w:rPr>
          <w:sz w:val="24"/>
          <w:szCs w:val="24"/>
        </w:rPr>
      </w:pPr>
    </w:p>
    <w:p w:rsidR="007D54A8" w:rsidP="00B63DB7" w14:paraId="4D655DB0" w14:textId="5F05C09B">
      <w:pPr>
        <w:shd w:val="solid" w:color="FFFFFF" w:fill="FFFFFF"/>
        <w:ind w:firstLine="720"/>
        <w:rPr>
          <w:sz w:val="24"/>
          <w:szCs w:val="24"/>
        </w:rPr>
      </w:pPr>
      <w:r w:rsidRPr="00772FE4">
        <w:rPr>
          <w:b/>
          <w:bCs/>
          <w:sz w:val="24"/>
          <w:szCs w:val="24"/>
        </w:rPr>
        <w:t>Burden hours:</w:t>
      </w:r>
      <w:r w:rsidR="00303FC8">
        <w:rPr>
          <w:b/>
          <w:bCs/>
          <w:sz w:val="24"/>
          <w:szCs w:val="24"/>
        </w:rPr>
        <w:t xml:space="preserve"> </w:t>
      </w:r>
      <w:r w:rsidR="0041263A">
        <w:rPr>
          <w:b/>
          <w:bCs/>
          <w:sz w:val="24"/>
          <w:szCs w:val="24"/>
        </w:rPr>
        <w:tab/>
      </w:r>
      <w:r w:rsidRPr="00B63DB7" w:rsidR="001B7A9C">
        <w:rPr>
          <w:sz w:val="24"/>
          <w:szCs w:val="24"/>
        </w:rPr>
        <w:t>25,106</w:t>
      </w:r>
      <w:r w:rsidR="00070A35">
        <w:rPr>
          <w:b/>
          <w:bCs/>
          <w:sz w:val="24"/>
          <w:szCs w:val="24"/>
        </w:rPr>
        <w:t xml:space="preserve"> </w:t>
      </w:r>
      <w:r w:rsidR="00B45C31">
        <w:rPr>
          <w:sz w:val="24"/>
          <w:szCs w:val="24"/>
        </w:rPr>
        <w:t>5</w:t>
      </w:r>
      <w:r w:rsidRPr="00772FE4">
        <w:rPr>
          <w:sz w:val="24"/>
          <w:szCs w:val="24"/>
        </w:rPr>
        <w:t xml:space="preserve"> full-year </w:t>
      </w:r>
      <w:r w:rsidR="00FA259D">
        <w:rPr>
          <w:sz w:val="24"/>
          <w:szCs w:val="24"/>
        </w:rPr>
        <w:t>worker</w:t>
      </w:r>
      <w:r w:rsidRPr="00772FE4">
        <w:rPr>
          <w:sz w:val="24"/>
          <w:szCs w:val="24"/>
        </w:rPr>
        <w:t xml:space="preserve">s × 2 tests × </w:t>
      </w:r>
      <w:r w:rsidR="00153972">
        <w:rPr>
          <w:sz w:val="24"/>
          <w:szCs w:val="24"/>
        </w:rPr>
        <w:t xml:space="preserve">15/60 </w:t>
      </w:r>
      <w:r w:rsidRPr="00772FE4">
        <w:rPr>
          <w:sz w:val="24"/>
          <w:szCs w:val="24"/>
        </w:rPr>
        <w:t>hour</w:t>
      </w:r>
      <w:r w:rsidR="00193B3D">
        <w:rPr>
          <w:sz w:val="24"/>
          <w:szCs w:val="24"/>
        </w:rPr>
        <w:t>s</w:t>
      </w:r>
      <w:r w:rsidRPr="00772FE4">
        <w:rPr>
          <w:sz w:val="24"/>
          <w:szCs w:val="24"/>
        </w:rPr>
        <w:t xml:space="preserve"> = </w:t>
      </w:r>
      <w:r w:rsidR="001B45F2">
        <w:rPr>
          <w:sz w:val="24"/>
          <w:szCs w:val="24"/>
        </w:rPr>
        <w:t xml:space="preserve">12,553 </w:t>
      </w:r>
      <w:r w:rsidRPr="00772FE4" w:rsidR="001B45F2">
        <w:rPr>
          <w:sz w:val="24"/>
          <w:szCs w:val="24"/>
        </w:rPr>
        <w:t>hours</w:t>
      </w:r>
    </w:p>
    <w:p w:rsidR="009D1B42" w:rsidP="00B63DB7" w14:paraId="3F24DA5B" w14:textId="1741B404">
      <w:pPr>
        <w:shd w:val="solid" w:color="FFFFFF" w:fill="FFFFFF"/>
        <w:ind w:left="1440"/>
        <w:rPr>
          <w:sz w:val="24"/>
          <w:szCs w:val="24"/>
        </w:rPr>
      </w:pPr>
      <w:r w:rsidRPr="00772FE4">
        <w:rPr>
          <w:b/>
          <w:bCs/>
          <w:sz w:val="24"/>
          <w:szCs w:val="24"/>
        </w:rPr>
        <w:t xml:space="preserve">Cost: </w:t>
      </w:r>
      <w:r>
        <w:rPr>
          <w:sz w:val="24"/>
          <w:szCs w:val="24"/>
        </w:rPr>
        <w:t xml:space="preserve">          </w:t>
      </w:r>
      <w:r w:rsidR="002D194D">
        <w:rPr>
          <w:sz w:val="24"/>
          <w:szCs w:val="24"/>
        </w:rPr>
        <w:tab/>
        <w:t>12,553</w:t>
      </w:r>
      <w:r w:rsidRPr="00772FE4">
        <w:rPr>
          <w:sz w:val="24"/>
          <w:szCs w:val="24"/>
        </w:rPr>
        <w:t xml:space="preserve"> hours × $</w:t>
      </w:r>
      <w:r>
        <w:rPr>
          <w:sz w:val="24"/>
          <w:szCs w:val="24"/>
        </w:rPr>
        <w:t>42.</w:t>
      </w:r>
      <w:r w:rsidR="00B67198">
        <w:rPr>
          <w:sz w:val="24"/>
          <w:szCs w:val="24"/>
        </w:rPr>
        <w:t xml:space="preserve">00 </w:t>
      </w:r>
      <w:r w:rsidRPr="00772FE4" w:rsidR="00B67198">
        <w:rPr>
          <w:sz w:val="24"/>
          <w:szCs w:val="24"/>
        </w:rPr>
        <w:t>=</w:t>
      </w:r>
      <w:r w:rsidRPr="00772FE4">
        <w:rPr>
          <w:sz w:val="24"/>
          <w:szCs w:val="24"/>
        </w:rPr>
        <w:t xml:space="preserve"> $</w:t>
      </w:r>
      <w:r w:rsidR="009C11B9">
        <w:rPr>
          <w:sz w:val="24"/>
          <w:szCs w:val="24"/>
        </w:rPr>
        <w:t>527,226</w:t>
      </w:r>
    </w:p>
    <w:p w:rsidR="00A34FF6" w:rsidP="007D54A8" w14:paraId="453B0878" w14:textId="77777777">
      <w:pPr>
        <w:shd w:val="solid" w:color="FFFFFF" w:fill="FFFFFF"/>
        <w:rPr>
          <w:sz w:val="24"/>
          <w:szCs w:val="24"/>
        </w:rPr>
      </w:pPr>
    </w:p>
    <w:p w:rsidR="007D54A8" w:rsidRPr="00772FE4" w:rsidP="007D54A8" w14:paraId="7D581DB1" w14:textId="49830D1C">
      <w:pPr>
        <w:shd w:val="solid" w:color="FFFFFF" w:fill="FFFFFF"/>
        <w:rPr>
          <w:sz w:val="24"/>
          <w:szCs w:val="24"/>
        </w:rPr>
      </w:pPr>
      <w:r w:rsidRPr="00772FE4">
        <w:rPr>
          <w:sz w:val="24"/>
          <w:szCs w:val="24"/>
        </w:rPr>
        <w:t xml:space="preserve">An additional </w:t>
      </w:r>
      <w:r>
        <w:rPr>
          <w:sz w:val="24"/>
          <w:szCs w:val="24"/>
        </w:rPr>
        <w:t>8,026</w:t>
      </w:r>
      <w:r w:rsidRPr="00772FE4">
        <w:rPr>
          <w:sz w:val="24"/>
          <w:szCs w:val="24"/>
        </w:rPr>
        <w:t xml:space="preserve"> part-year </w:t>
      </w:r>
      <w:r>
        <w:rPr>
          <w:sz w:val="24"/>
          <w:szCs w:val="24"/>
        </w:rPr>
        <w:t>worker</w:t>
      </w:r>
      <w:r w:rsidRPr="00772FE4">
        <w:rPr>
          <w:sz w:val="24"/>
          <w:szCs w:val="24"/>
        </w:rPr>
        <w:t>s (</w:t>
      </w:r>
      <w:r>
        <w:rPr>
          <w:sz w:val="24"/>
          <w:szCs w:val="24"/>
        </w:rPr>
        <w:t>19.5</w:t>
      </w:r>
      <w:r w:rsidRPr="00772FE4">
        <w:rPr>
          <w:sz w:val="24"/>
          <w:szCs w:val="24"/>
        </w:rPr>
        <w:t xml:space="preserve"> percent or ½ of the </w:t>
      </w:r>
      <w:r>
        <w:rPr>
          <w:sz w:val="24"/>
          <w:szCs w:val="24"/>
        </w:rPr>
        <w:t>39.0</w:t>
      </w:r>
      <w:r w:rsidRPr="00772FE4">
        <w:rPr>
          <w:sz w:val="24"/>
          <w:szCs w:val="24"/>
        </w:rPr>
        <w:t xml:space="preserve"> percent annual turnover </w:t>
      </w:r>
      <w:r w:rsidRPr="00772FE4">
        <w:rPr>
          <w:sz w:val="24"/>
          <w:szCs w:val="24"/>
        </w:rPr>
        <w:t xml:space="preserve">rate) receive at least one of the two biological monitoring tests, since departing </w:t>
      </w:r>
      <w:r>
        <w:rPr>
          <w:sz w:val="24"/>
          <w:szCs w:val="24"/>
        </w:rPr>
        <w:t>worker</w:t>
      </w:r>
      <w:r w:rsidRPr="00772FE4">
        <w:rPr>
          <w:sz w:val="24"/>
          <w:szCs w:val="24"/>
        </w:rPr>
        <w:t>s leave at an even rate throughout the year</w:t>
      </w:r>
      <w:r w:rsidR="00B74C30">
        <w:rPr>
          <w:sz w:val="24"/>
          <w:szCs w:val="24"/>
        </w:rPr>
        <w:t xml:space="preserve"> (</w:t>
      </w:r>
      <w:r w:rsidR="005C0745">
        <w:rPr>
          <w:sz w:val="24"/>
          <w:szCs w:val="24"/>
        </w:rPr>
        <w:t xml:space="preserve">41,157 workers x </w:t>
      </w:r>
      <w:r w:rsidR="008D04EF">
        <w:rPr>
          <w:sz w:val="24"/>
          <w:szCs w:val="24"/>
        </w:rPr>
        <w:t>19.5%</w:t>
      </w:r>
      <w:r w:rsidR="009D5E27">
        <w:rPr>
          <w:sz w:val="24"/>
          <w:szCs w:val="24"/>
        </w:rPr>
        <w:t xml:space="preserve"> = 8,026</w:t>
      </w:r>
      <w:r w:rsidR="00950584">
        <w:rPr>
          <w:sz w:val="24"/>
          <w:szCs w:val="24"/>
        </w:rPr>
        <w:t xml:space="preserve"> part-time workers)</w:t>
      </w:r>
      <w:r w:rsidRPr="00772FE4">
        <w:rPr>
          <w:sz w:val="24"/>
          <w:szCs w:val="24"/>
        </w:rPr>
        <w:t xml:space="preserve">. </w:t>
      </w:r>
      <w:r>
        <w:rPr>
          <w:sz w:val="24"/>
          <w:szCs w:val="24"/>
        </w:rPr>
        <w:t xml:space="preserve"> </w:t>
      </w:r>
      <w:r w:rsidRPr="00772FE4">
        <w:rPr>
          <w:sz w:val="24"/>
          <w:szCs w:val="24"/>
        </w:rPr>
        <w:t xml:space="preserve">Thus, </w:t>
      </w:r>
      <w:r w:rsidR="00144F38">
        <w:rPr>
          <w:sz w:val="24"/>
          <w:szCs w:val="24"/>
        </w:rPr>
        <w:t xml:space="preserve">8,026 </w:t>
      </w:r>
      <w:r w:rsidRPr="00772FE4" w:rsidR="00144F38">
        <w:rPr>
          <w:sz w:val="24"/>
          <w:szCs w:val="24"/>
        </w:rPr>
        <w:t>tests</w:t>
      </w:r>
      <w:r w:rsidRPr="00772FE4">
        <w:rPr>
          <w:sz w:val="24"/>
          <w:szCs w:val="24"/>
        </w:rPr>
        <w:t xml:space="preserve"> are given to part-year </w:t>
      </w:r>
      <w:r>
        <w:rPr>
          <w:sz w:val="24"/>
          <w:szCs w:val="24"/>
        </w:rPr>
        <w:t>worker</w:t>
      </w:r>
      <w:r w:rsidRPr="00772FE4">
        <w:rPr>
          <w:sz w:val="24"/>
          <w:szCs w:val="24"/>
        </w:rPr>
        <w:t>s.</w:t>
      </w:r>
      <w:r>
        <w:rPr>
          <w:sz w:val="24"/>
          <w:szCs w:val="24"/>
        </w:rPr>
        <w:t xml:space="preserve"> </w:t>
      </w:r>
      <w:r w:rsidRPr="00772FE4">
        <w:rPr>
          <w:sz w:val="24"/>
          <w:szCs w:val="24"/>
        </w:rPr>
        <w:t>A blood sampling requires 15 minutes (</w:t>
      </w:r>
      <w:r>
        <w:rPr>
          <w:sz w:val="24"/>
          <w:szCs w:val="24"/>
        </w:rPr>
        <w:t>15/60</w:t>
      </w:r>
      <w:r w:rsidRPr="00772FE4">
        <w:rPr>
          <w:sz w:val="24"/>
          <w:szCs w:val="24"/>
        </w:rPr>
        <w:t xml:space="preserve"> </w:t>
      </w:r>
      <w:r w:rsidR="00193B3D">
        <w:rPr>
          <w:sz w:val="24"/>
          <w:szCs w:val="24"/>
        </w:rPr>
        <w:t>hours</w:t>
      </w:r>
      <w:r w:rsidRPr="00772FE4">
        <w:rPr>
          <w:sz w:val="24"/>
          <w:szCs w:val="24"/>
        </w:rPr>
        <w:t xml:space="preserve">) of the </w:t>
      </w:r>
      <w:r>
        <w:rPr>
          <w:sz w:val="24"/>
          <w:szCs w:val="24"/>
        </w:rPr>
        <w:t>worker</w:t>
      </w:r>
      <w:r w:rsidRPr="00772FE4">
        <w:rPr>
          <w:sz w:val="24"/>
          <w:szCs w:val="24"/>
        </w:rPr>
        <w:t xml:space="preserve">’s time per test. </w:t>
      </w:r>
    </w:p>
    <w:p w:rsidR="007D54A8" w:rsidRPr="00772FE4" w:rsidP="00B63DB7" w14:paraId="207B0702" w14:textId="77777777">
      <w:pPr>
        <w:shd w:val="solid" w:color="FFFFFF" w:fill="FFFFFF"/>
        <w:rPr>
          <w:sz w:val="24"/>
          <w:szCs w:val="24"/>
        </w:rPr>
      </w:pPr>
    </w:p>
    <w:p w:rsidR="00553E3D" w:rsidRPr="00772FE4" w:rsidP="00B63DB7" w14:paraId="55DB3558" w14:textId="535DA37A">
      <w:pPr>
        <w:shd w:val="solid" w:color="FFFFFF" w:fill="FFFFFF"/>
        <w:ind w:firstLine="720"/>
        <w:rPr>
          <w:sz w:val="24"/>
          <w:szCs w:val="24"/>
        </w:rPr>
      </w:pPr>
      <w:r w:rsidRPr="00772FE4">
        <w:rPr>
          <w:b/>
          <w:bCs/>
          <w:sz w:val="24"/>
          <w:szCs w:val="24"/>
        </w:rPr>
        <w:t>Burden hours:</w:t>
      </w:r>
      <w:r w:rsidR="00667C61">
        <w:rPr>
          <w:b/>
          <w:bCs/>
          <w:sz w:val="24"/>
          <w:szCs w:val="24"/>
        </w:rPr>
        <w:tab/>
      </w:r>
      <w:r w:rsidR="001B45F2">
        <w:rPr>
          <w:sz w:val="24"/>
          <w:szCs w:val="24"/>
        </w:rPr>
        <w:t xml:space="preserve">8,026 </w:t>
      </w:r>
      <w:r w:rsidRPr="00772FE4" w:rsidR="001B45F2">
        <w:rPr>
          <w:sz w:val="24"/>
          <w:szCs w:val="24"/>
        </w:rPr>
        <w:t>part</w:t>
      </w:r>
      <w:r w:rsidRPr="00772FE4">
        <w:rPr>
          <w:sz w:val="24"/>
          <w:szCs w:val="24"/>
        </w:rPr>
        <w:t xml:space="preserve">-year </w:t>
      </w:r>
      <w:r w:rsidR="00FA259D">
        <w:rPr>
          <w:sz w:val="24"/>
          <w:szCs w:val="24"/>
        </w:rPr>
        <w:t>worker</w:t>
      </w:r>
      <w:r w:rsidRPr="00772FE4">
        <w:rPr>
          <w:sz w:val="24"/>
          <w:szCs w:val="24"/>
        </w:rPr>
        <w:t xml:space="preserve">s × 1 test × </w:t>
      </w:r>
      <w:r w:rsidR="00153972">
        <w:rPr>
          <w:sz w:val="24"/>
          <w:szCs w:val="24"/>
        </w:rPr>
        <w:t xml:space="preserve">15/60 </w:t>
      </w:r>
      <w:r w:rsidRPr="00772FE4">
        <w:rPr>
          <w:sz w:val="24"/>
          <w:szCs w:val="24"/>
        </w:rPr>
        <w:t>hour</w:t>
      </w:r>
      <w:r w:rsidR="00193B3D">
        <w:rPr>
          <w:sz w:val="24"/>
          <w:szCs w:val="24"/>
        </w:rPr>
        <w:t>s</w:t>
      </w:r>
      <w:r w:rsidRPr="00772FE4">
        <w:rPr>
          <w:sz w:val="24"/>
          <w:szCs w:val="24"/>
        </w:rPr>
        <w:t xml:space="preserve"> = </w:t>
      </w:r>
      <w:r w:rsidR="0007077C">
        <w:rPr>
          <w:sz w:val="24"/>
          <w:szCs w:val="24"/>
        </w:rPr>
        <w:t>2,007 hours</w:t>
      </w:r>
    </w:p>
    <w:p w:rsidR="00553E3D" w:rsidRPr="00772FE4" w14:paraId="559A42DD" w14:textId="4787BE03">
      <w:pPr>
        <w:shd w:val="solid" w:color="FFFFFF" w:fill="FFFFFF"/>
        <w:ind w:firstLine="720"/>
        <w:rPr>
          <w:sz w:val="24"/>
          <w:szCs w:val="24"/>
        </w:rPr>
      </w:pPr>
      <w:r w:rsidRPr="00772FE4">
        <w:rPr>
          <w:b/>
          <w:bCs/>
          <w:sz w:val="24"/>
          <w:szCs w:val="24"/>
        </w:rPr>
        <w:t xml:space="preserve">               Cost: </w:t>
      </w:r>
      <w:r w:rsidR="000B5929">
        <w:rPr>
          <w:sz w:val="24"/>
          <w:szCs w:val="24"/>
        </w:rPr>
        <w:t xml:space="preserve"> </w:t>
      </w:r>
      <w:r w:rsidR="00064D7A">
        <w:rPr>
          <w:sz w:val="24"/>
          <w:szCs w:val="24"/>
        </w:rPr>
        <w:t xml:space="preserve">         </w:t>
      </w:r>
      <w:r w:rsidR="00B665B7">
        <w:rPr>
          <w:sz w:val="24"/>
          <w:szCs w:val="24"/>
        </w:rPr>
        <w:t>2,007</w:t>
      </w:r>
      <w:r w:rsidR="00CE4DD5">
        <w:rPr>
          <w:sz w:val="24"/>
          <w:szCs w:val="24"/>
        </w:rPr>
        <w:t xml:space="preserve"> </w:t>
      </w:r>
      <w:r w:rsidRPr="00772FE4">
        <w:rPr>
          <w:sz w:val="24"/>
          <w:szCs w:val="24"/>
        </w:rPr>
        <w:t>hours × $</w:t>
      </w:r>
      <w:r w:rsidR="002539CE">
        <w:rPr>
          <w:sz w:val="24"/>
          <w:szCs w:val="24"/>
        </w:rPr>
        <w:t>42.00</w:t>
      </w:r>
      <w:r w:rsidRPr="00772FE4">
        <w:rPr>
          <w:sz w:val="24"/>
          <w:szCs w:val="24"/>
        </w:rPr>
        <w:t xml:space="preserve"> = $</w:t>
      </w:r>
      <w:r w:rsidR="00E223E2">
        <w:rPr>
          <w:sz w:val="24"/>
          <w:szCs w:val="24"/>
        </w:rPr>
        <w:t>84,294</w:t>
      </w:r>
    </w:p>
    <w:p w:rsidR="00553E3D" w:rsidRPr="00772FE4" w14:paraId="1A040695" w14:textId="77777777">
      <w:pPr>
        <w:shd w:val="solid" w:color="FFFFFF" w:fill="FFFFFF"/>
        <w:rPr>
          <w:sz w:val="24"/>
          <w:szCs w:val="24"/>
        </w:rPr>
      </w:pPr>
    </w:p>
    <w:p w:rsidR="00553E3D" w:rsidRPr="00772FE4" w14:paraId="277D43FE" w14:textId="0B6172F0">
      <w:pPr>
        <w:shd w:val="solid" w:color="FFFFFF" w:fill="FFFFFF"/>
        <w:ind w:firstLine="720"/>
        <w:rPr>
          <w:sz w:val="24"/>
          <w:szCs w:val="24"/>
        </w:rPr>
      </w:pPr>
      <w:r w:rsidRPr="00772FE4">
        <w:rPr>
          <w:b/>
          <w:bCs/>
          <w:sz w:val="24"/>
          <w:szCs w:val="24"/>
        </w:rPr>
        <w:t>Total Burden of Periodic Medical Surveillance Requirement</w:t>
      </w:r>
    </w:p>
    <w:p w:rsidR="00553E3D" w:rsidRPr="00772FE4" w14:paraId="0BA63427" w14:textId="77777777">
      <w:pPr>
        <w:shd w:val="solid" w:color="FFFFFF" w:fill="FFFFFF"/>
        <w:rPr>
          <w:sz w:val="24"/>
          <w:szCs w:val="24"/>
        </w:rPr>
      </w:pPr>
    </w:p>
    <w:p w:rsidR="00553E3D" w:rsidRPr="00772FE4" w14:paraId="022B7D96" w14:textId="439AD98B">
      <w:pPr>
        <w:shd w:val="solid" w:color="FFFFFF" w:fill="FFFFFF"/>
        <w:rPr>
          <w:sz w:val="24"/>
          <w:szCs w:val="24"/>
        </w:rPr>
      </w:pPr>
      <w:r w:rsidRPr="00772FE4">
        <w:rPr>
          <w:sz w:val="24"/>
          <w:szCs w:val="24"/>
        </w:rPr>
        <w:t xml:space="preserve">OSHA calculated the total annual burden of providing periodic medical surveillance to new </w:t>
      </w:r>
      <w:r w:rsidR="00FA259D">
        <w:rPr>
          <w:sz w:val="24"/>
          <w:szCs w:val="24"/>
        </w:rPr>
        <w:t>worker</w:t>
      </w:r>
      <w:r w:rsidRPr="00772FE4">
        <w:rPr>
          <w:sz w:val="24"/>
          <w:szCs w:val="24"/>
        </w:rPr>
        <w:t xml:space="preserve">s to the total annual burden of providing periodic medical surveillance to full-year and part-year </w:t>
      </w:r>
      <w:r w:rsidR="00FA259D">
        <w:rPr>
          <w:sz w:val="24"/>
          <w:szCs w:val="24"/>
        </w:rPr>
        <w:t>worker</w:t>
      </w:r>
      <w:r w:rsidRPr="00772FE4">
        <w:rPr>
          <w:sz w:val="24"/>
          <w:szCs w:val="24"/>
        </w:rPr>
        <w:t>s (</w:t>
      </w:r>
      <w:r w:rsidR="007762FC">
        <w:rPr>
          <w:sz w:val="24"/>
          <w:szCs w:val="24"/>
        </w:rPr>
        <w:t>16,051 hours +</w:t>
      </w:r>
      <w:r w:rsidR="00603B64">
        <w:rPr>
          <w:sz w:val="24"/>
          <w:szCs w:val="24"/>
        </w:rPr>
        <w:t xml:space="preserve"> </w:t>
      </w:r>
      <w:r w:rsidR="005626D8">
        <w:rPr>
          <w:sz w:val="24"/>
          <w:szCs w:val="24"/>
        </w:rPr>
        <w:t xml:space="preserve">12,553 </w:t>
      </w:r>
      <w:r w:rsidRPr="00772FE4">
        <w:rPr>
          <w:sz w:val="24"/>
          <w:szCs w:val="24"/>
        </w:rPr>
        <w:t xml:space="preserve">hours + </w:t>
      </w:r>
      <w:r w:rsidR="00A13165">
        <w:rPr>
          <w:sz w:val="24"/>
          <w:szCs w:val="24"/>
        </w:rPr>
        <w:t>2,007</w:t>
      </w:r>
      <w:r w:rsidRPr="00772FE4">
        <w:rPr>
          <w:sz w:val="24"/>
          <w:szCs w:val="24"/>
        </w:rPr>
        <w:t xml:space="preserve"> hours). </w:t>
      </w:r>
      <w:r w:rsidR="00881F26">
        <w:rPr>
          <w:sz w:val="24"/>
          <w:szCs w:val="24"/>
        </w:rPr>
        <w:t xml:space="preserve"> </w:t>
      </w:r>
      <w:r w:rsidRPr="00772FE4">
        <w:rPr>
          <w:sz w:val="24"/>
          <w:szCs w:val="24"/>
        </w:rPr>
        <w:t xml:space="preserve">The total annual burden associated with the Periodic Medical Surveillance requirement is </w:t>
      </w:r>
      <w:r w:rsidRPr="00716774" w:rsidR="005A2235">
        <w:rPr>
          <w:sz w:val="24"/>
          <w:szCs w:val="24"/>
        </w:rPr>
        <w:t>30,611</w:t>
      </w:r>
      <w:r w:rsidRPr="00716774">
        <w:rPr>
          <w:sz w:val="24"/>
          <w:szCs w:val="24"/>
        </w:rPr>
        <w:t xml:space="preserve"> hours</w:t>
      </w:r>
      <w:r w:rsidRPr="00772FE4">
        <w:rPr>
          <w:sz w:val="24"/>
          <w:szCs w:val="24"/>
        </w:rPr>
        <w:t>.</w:t>
      </w:r>
    </w:p>
    <w:p w:rsidR="00E17EB4" w:rsidP="00B63DB7" w14:paraId="5D72EAF6" w14:textId="77777777">
      <w:pPr>
        <w:shd w:val="solid" w:color="FFFFFF" w:fill="FFFFFF"/>
        <w:rPr>
          <w:b/>
          <w:bCs/>
          <w:sz w:val="24"/>
          <w:szCs w:val="24"/>
        </w:rPr>
      </w:pPr>
    </w:p>
    <w:p w:rsidR="00553E3D" w:rsidRPr="00772FE4" w14:paraId="7324CA55" w14:textId="2580E8E2">
      <w:pPr>
        <w:shd w:val="solid" w:color="FFFFFF" w:fill="FFFFFF"/>
        <w:ind w:left="720"/>
        <w:rPr>
          <w:b/>
          <w:bCs/>
          <w:sz w:val="24"/>
          <w:szCs w:val="24"/>
        </w:rPr>
      </w:pPr>
      <w:r w:rsidRPr="00772FE4">
        <w:rPr>
          <w:b/>
          <w:bCs/>
          <w:sz w:val="24"/>
          <w:szCs w:val="24"/>
        </w:rPr>
        <w:t>Additional Medical Surveillance Based on Blood-Lead Levels</w:t>
      </w:r>
    </w:p>
    <w:p w:rsidR="00553E3D" w:rsidRPr="00772FE4" w14:paraId="657315CA" w14:textId="77777777">
      <w:pPr>
        <w:shd w:val="solid" w:color="FFFFFF" w:fill="FFFFFF"/>
        <w:rPr>
          <w:sz w:val="24"/>
          <w:szCs w:val="24"/>
        </w:rPr>
      </w:pPr>
    </w:p>
    <w:p w:rsidR="00553E3D" w:rsidRPr="00772FE4" w14:paraId="0B17CA6A" w14:textId="26987254">
      <w:pPr>
        <w:shd w:val="solid" w:color="FFFFFF" w:fill="FFFFFF"/>
        <w:rPr>
          <w:sz w:val="24"/>
          <w:szCs w:val="24"/>
        </w:rPr>
      </w:pPr>
      <w:r w:rsidRPr="00772FE4">
        <w:rPr>
          <w:sz w:val="24"/>
          <w:szCs w:val="24"/>
        </w:rPr>
        <w:t xml:space="preserve">As described above, OSHA assumes employers </w:t>
      </w:r>
      <w:r w:rsidR="00193B3D">
        <w:rPr>
          <w:sz w:val="24"/>
          <w:szCs w:val="24"/>
        </w:rPr>
        <w:t>comply</w:t>
      </w:r>
      <w:r w:rsidRPr="00772FE4">
        <w:rPr>
          <w:sz w:val="24"/>
          <w:szCs w:val="24"/>
        </w:rPr>
        <w:t xml:space="preserve"> with the Standard; therefore, construction workers do not have blood-lead levels greater than 25µg/d. </w:t>
      </w:r>
      <w:r w:rsidR="00881F26">
        <w:rPr>
          <w:sz w:val="24"/>
          <w:szCs w:val="24"/>
        </w:rPr>
        <w:t xml:space="preserve"> </w:t>
      </w:r>
      <w:r w:rsidRPr="00772FE4">
        <w:rPr>
          <w:sz w:val="24"/>
          <w:szCs w:val="24"/>
        </w:rPr>
        <w:t>Therefore, there are no incidences of biological monitoring triggered by worker blood-lead levels in excess of 40 µg/dl, no follow-up tests on workers triggered by a single blood lead test result in excess of 50 µg/dl, and no additional testing for persons on medical removal due to a blood-lead level in excess of 50 µg/dl.</w:t>
      </w:r>
    </w:p>
    <w:p w:rsidR="00553E3D" w:rsidRPr="00772FE4" w14:paraId="2ABD0ACB" w14:textId="77777777">
      <w:pPr>
        <w:shd w:val="solid" w:color="FFFFFF" w:fill="FFFFFF"/>
        <w:rPr>
          <w:sz w:val="24"/>
          <w:szCs w:val="24"/>
        </w:rPr>
      </w:pPr>
    </w:p>
    <w:p w:rsidR="00553E3D" w:rsidRPr="00772FE4" w14:paraId="3153CFC2" w14:textId="77777777">
      <w:pPr>
        <w:shd w:val="solid" w:color="FFFFFF" w:fill="FFFFFF"/>
        <w:ind w:firstLine="720"/>
        <w:rPr>
          <w:sz w:val="24"/>
          <w:szCs w:val="24"/>
        </w:rPr>
      </w:pPr>
      <w:r w:rsidRPr="00772FE4">
        <w:rPr>
          <w:b/>
          <w:bCs/>
          <w:sz w:val="24"/>
          <w:szCs w:val="24"/>
        </w:rPr>
        <w:t>(2)</w:t>
      </w:r>
      <w:r w:rsidRPr="00772FE4">
        <w:rPr>
          <w:b/>
          <w:bCs/>
          <w:sz w:val="24"/>
          <w:szCs w:val="24"/>
        </w:rPr>
        <w:tab/>
      </w:r>
      <w:r w:rsidR="00FA259D">
        <w:rPr>
          <w:b/>
          <w:bCs/>
          <w:sz w:val="24"/>
          <w:szCs w:val="24"/>
        </w:rPr>
        <w:t>Worker</w:t>
      </w:r>
      <w:r w:rsidRPr="00772FE4">
        <w:rPr>
          <w:b/>
          <w:bCs/>
          <w:sz w:val="24"/>
          <w:szCs w:val="24"/>
        </w:rPr>
        <w:t xml:space="preserve"> Notification of Results</w:t>
      </w:r>
    </w:p>
    <w:p w:rsidR="00553E3D" w:rsidRPr="00772FE4" w14:paraId="77562049" w14:textId="77777777">
      <w:pPr>
        <w:shd w:val="solid" w:color="FFFFFF" w:fill="FFFFFF"/>
        <w:rPr>
          <w:sz w:val="24"/>
          <w:szCs w:val="24"/>
        </w:rPr>
      </w:pPr>
    </w:p>
    <w:p w:rsidR="00553E3D" w:rsidRPr="00772FE4" w14:paraId="3E21966B" w14:textId="771427EA">
      <w:pPr>
        <w:shd w:val="solid" w:color="FFFFFF" w:fill="FFFFFF"/>
        <w:rPr>
          <w:sz w:val="24"/>
          <w:szCs w:val="24"/>
        </w:rPr>
      </w:pPr>
      <w:r w:rsidRPr="00772FE4">
        <w:rPr>
          <w:sz w:val="24"/>
          <w:szCs w:val="24"/>
        </w:rPr>
        <w:t xml:space="preserve">Employers must </w:t>
      </w:r>
      <w:r w:rsidR="00193B3D">
        <w:rPr>
          <w:sz w:val="24"/>
          <w:szCs w:val="24"/>
        </w:rPr>
        <w:t>notify each worker of his or her blood-lead level in writing within five working days of receiving biological monitoring results. The Standard requires employers to notify each worker whose blood-lead level exceeds 40µg/dl and provides</w:t>
      </w:r>
      <w:r w:rsidRPr="00772FE4">
        <w:rPr>
          <w:sz w:val="24"/>
          <w:szCs w:val="24"/>
        </w:rPr>
        <w:t xml:space="preserve"> temporary medical removal with medical removal protection benefits when a </w:t>
      </w:r>
      <w:r w:rsidR="00FA259D">
        <w:rPr>
          <w:sz w:val="24"/>
          <w:szCs w:val="24"/>
        </w:rPr>
        <w:t>worker</w:t>
      </w:r>
      <w:r w:rsidRPr="00772FE4">
        <w:rPr>
          <w:sz w:val="24"/>
          <w:szCs w:val="24"/>
        </w:rPr>
        <w:t>’s blood-lead level exceeds 50 µg/dl.</w:t>
      </w:r>
    </w:p>
    <w:p w:rsidR="00553E3D" w:rsidRPr="00772FE4" w14:paraId="29945120" w14:textId="77777777">
      <w:pPr>
        <w:shd w:val="solid" w:color="FFFFFF" w:fill="FFFFFF"/>
        <w:rPr>
          <w:sz w:val="24"/>
          <w:szCs w:val="24"/>
        </w:rPr>
      </w:pPr>
    </w:p>
    <w:p w:rsidR="00553E3D" w:rsidRPr="00772FE4" w14:paraId="39F912B1" w14:textId="5B4C3504">
      <w:pPr>
        <w:shd w:val="solid" w:color="FFFFFF" w:fill="FFFFFF"/>
        <w:rPr>
          <w:sz w:val="24"/>
          <w:szCs w:val="24"/>
        </w:rPr>
      </w:pPr>
      <w:r w:rsidRPr="00772FE4">
        <w:rPr>
          <w:sz w:val="24"/>
          <w:szCs w:val="24"/>
        </w:rPr>
        <w:t xml:space="preserve">OSHA estimates that </w:t>
      </w:r>
      <w:r w:rsidR="004F1108">
        <w:rPr>
          <w:sz w:val="24"/>
          <w:szCs w:val="24"/>
        </w:rPr>
        <w:t>184</w:t>
      </w:r>
      <w:r w:rsidR="000F1C3D">
        <w:rPr>
          <w:sz w:val="24"/>
          <w:szCs w:val="24"/>
        </w:rPr>
        <w:t>,227</w:t>
      </w:r>
      <w:r w:rsidR="00064D7A">
        <w:rPr>
          <w:sz w:val="24"/>
          <w:szCs w:val="24"/>
        </w:rPr>
        <w:t xml:space="preserve"> </w:t>
      </w:r>
      <w:r w:rsidRPr="00772FE4">
        <w:rPr>
          <w:sz w:val="24"/>
          <w:szCs w:val="24"/>
        </w:rPr>
        <w:t>biological monitoring tests are administered annually based on the following calculations:</w:t>
      </w:r>
    </w:p>
    <w:p w:rsidR="00553E3D" w:rsidRPr="00772FE4" w14:paraId="234ED084" w14:textId="77777777">
      <w:pPr>
        <w:shd w:val="solid" w:color="FFFFFF" w:fill="FFFFFF"/>
        <w:rPr>
          <w:sz w:val="24"/>
          <w:szCs w:val="24"/>
        </w:rPr>
      </w:pPr>
    </w:p>
    <w:p w:rsidR="00553E3D" w:rsidRPr="00772FE4" w14:paraId="21A224FB" w14:textId="2E9CB7F8">
      <w:pPr>
        <w:shd w:val="solid" w:color="FFFFFF" w:fill="FFFFFF"/>
        <w:ind w:firstLine="720"/>
        <w:rPr>
          <w:sz w:val="24"/>
          <w:szCs w:val="24"/>
        </w:rPr>
      </w:pPr>
      <w:r w:rsidRPr="00772FE4">
        <w:rPr>
          <w:sz w:val="24"/>
          <w:szCs w:val="24"/>
        </w:rPr>
        <w:t>(</w:t>
      </w:r>
      <w:r w:rsidR="0007077C">
        <w:rPr>
          <w:sz w:val="24"/>
          <w:szCs w:val="24"/>
        </w:rPr>
        <w:t>61,785 new</w:t>
      </w:r>
      <w:r w:rsidRPr="00772FE4">
        <w:rPr>
          <w:sz w:val="24"/>
          <w:szCs w:val="24"/>
        </w:rPr>
        <w:t xml:space="preserve"> </w:t>
      </w:r>
      <w:r w:rsidR="00FA259D">
        <w:rPr>
          <w:sz w:val="24"/>
          <w:szCs w:val="24"/>
        </w:rPr>
        <w:t>worker</w:t>
      </w:r>
      <w:r w:rsidRPr="00772FE4">
        <w:rPr>
          <w:sz w:val="24"/>
          <w:szCs w:val="24"/>
        </w:rPr>
        <w:t>s) × (1 initial test) =</w:t>
      </w:r>
      <w:r w:rsidR="001B7A11">
        <w:rPr>
          <w:sz w:val="24"/>
          <w:szCs w:val="24"/>
        </w:rPr>
        <w:t xml:space="preserve"> </w:t>
      </w:r>
      <w:r w:rsidR="0007077C">
        <w:rPr>
          <w:sz w:val="24"/>
          <w:szCs w:val="24"/>
        </w:rPr>
        <w:t>61,785 tests</w:t>
      </w:r>
    </w:p>
    <w:p w:rsidR="00553E3D" w:rsidRPr="00772FE4" w14:paraId="64718088" w14:textId="08686748">
      <w:pPr>
        <w:shd w:val="solid" w:color="FFFFFF" w:fill="FFFFFF"/>
        <w:ind w:firstLine="720"/>
        <w:rPr>
          <w:sz w:val="24"/>
          <w:szCs w:val="24"/>
        </w:rPr>
      </w:pPr>
      <w:r w:rsidRPr="00772FE4">
        <w:rPr>
          <w:sz w:val="24"/>
          <w:szCs w:val="24"/>
        </w:rPr>
        <w:t>(</w:t>
      </w:r>
      <w:r w:rsidR="0007077C">
        <w:rPr>
          <w:sz w:val="24"/>
          <w:szCs w:val="24"/>
        </w:rPr>
        <w:t xml:space="preserve">16,051 </w:t>
      </w:r>
      <w:r w:rsidRPr="00772FE4" w:rsidR="0007077C">
        <w:rPr>
          <w:sz w:val="24"/>
          <w:szCs w:val="24"/>
        </w:rPr>
        <w:t>new</w:t>
      </w:r>
      <w:r w:rsidRPr="00772FE4">
        <w:rPr>
          <w:sz w:val="24"/>
          <w:szCs w:val="24"/>
        </w:rPr>
        <w:t xml:space="preserve"> </w:t>
      </w:r>
      <w:r w:rsidR="00FA259D">
        <w:rPr>
          <w:sz w:val="24"/>
          <w:szCs w:val="24"/>
        </w:rPr>
        <w:t>worker</w:t>
      </w:r>
      <w:r w:rsidRPr="00772FE4">
        <w:rPr>
          <w:sz w:val="24"/>
          <w:szCs w:val="24"/>
        </w:rPr>
        <w:t xml:space="preserve">s) × (4 periodic tests) = </w:t>
      </w:r>
      <w:r w:rsidR="0007077C">
        <w:rPr>
          <w:sz w:val="24"/>
          <w:szCs w:val="24"/>
        </w:rPr>
        <w:t xml:space="preserve">64,204 </w:t>
      </w:r>
      <w:r w:rsidRPr="00772FE4" w:rsidR="0007077C">
        <w:rPr>
          <w:sz w:val="24"/>
          <w:szCs w:val="24"/>
        </w:rPr>
        <w:t>tests</w:t>
      </w:r>
    </w:p>
    <w:p w:rsidR="00553E3D" w:rsidRPr="00772FE4" w14:paraId="715CC8F4" w14:textId="1B5D85DD">
      <w:pPr>
        <w:shd w:val="solid" w:color="FFFFFF" w:fill="FFFFFF"/>
        <w:ind w:firstLine="720"/>
        <w:rPr>
          <w:sz w:val="24"/>
          <w:szCs w:val="24"/>
        </w:rPr>
      </w:pPr>
      <w:r w:rsidRPr="00772FE4">
        <w:rPr>
          <w:sz w:val="24"/>
          <w:szCs w:val="24"/>
        </w:rPr>
        <w:t>(</w:t>
      </w:r>
      <w:r w:rsidR="0007077C">
        <w:rPr>
          <w:sz w:val="24"/>
          <w:szCs w:val="24"/>
        </w:rPr>
        <w:t xml:space="preserve">25,106 </w:t>
      </w:r>
      <w:r w:rsidRPr="00772FE4" w:rsidR="0007077C">
        <w:rPr>
          <w:sz w:val="24"/>
          <w:szCs w:val="24"/>
        </w:rPr>
        <w:t>full</w:t>
      </w:r>
      <w:r w:rsidRPr="00772FE4">
        <w:rPr>
          <w:sz w:val="24"/>
          <w:szCs w:val="24"/>
        </w:rPr>
        <w:t xml:space="preserve">-year </w:t>
      </w:r>
      <w:r w:rsidR="00FA259D">
        <w:rPr>
          <w:sz w:val="24"/>
          <w:szCs w:val="24"/>
        </w:rPr>
        <w:t>worker</w:t>
      </w:r>
      <w:r w:rsidRPr="00772FE4">
        <w:rPr>
          <w:sz w:val="24"/>
          <w:szCs w:val="24"/>
        </w:rPr>
        <w:t xml:space="preserve">s) × (2 periodic tests) = </w:t>
      </w:r>
      <w:r w:rsidR="0007077C">
        <w:rPr>
          <w:sz w:val="24"/>
          <w:szCs w:val="24"/>
        </w:rPr>
        <w:t xml:space="preserve">50,212 </w:t>
      </w:r>
      <w:r w:rsidRPr="00772FE4" w:rsidR="0007077C">
        <w:rPr>
          <w:sz w:val="24"/>
          <w:szCs w:val="24"/>
        </w:rPr>
        <w:t>tests</w:t>
      </w:r>
    </w:p>
    <w:p w:rsidR="00553E3D" w:rsidRPr="00772FE4" w14:paraId="0F9639E5" w14:textId="3AF117DC">
      <w:pPr>
        <w:shd w:val="solid" w:color="FFFFFF" w:fill="FFFFFF"/>
        <w:ind w:firstLine="720"/>
        <w:rPr>
          <w:sz w:val="24"/>
          <w:szCs w:val="24"/>
        </w:rPr>
      </w:pPr>
      <w:r w:rsidRPr="00772FE4">
        <w:rPr>
          <w:sz w:val="24"/>
          <w:szCs w:val="24"/>
        </w:rPr>
        <w:t>(</w:t>
      </w:r>
      <w:r w:rsidR="0007077C">
        <w:rPr>
          <w:sz w:val="24"/>
          <w:szCs w:val="24"/>
        </w:rPr>
        <w:t>8,026 part</w:t>
      </w:r>
      <w:r w:rsidRPr="00772FE4">
        <w:rPr>
          <w:sz w:val="24"/>
          <w:szCs w:val="24"/>
        </w:rPr>
        <w:t xml:space="preserve">-year </w:t>
      </w:r>
      <w:r w:rsidR="00FA259D">
        <w:rPr>
          <w:sz w:val="24"/>
          <w:szCs w:val="24"/>
        </w:rPr>
        <w:t>worker</w:t>
      </w:r>
      <w:r w:rsidRPr="00772FE4">
        <w:rPr>
          <w:sz w:val="24"/>
          <w:szCs w:val="24"/>
        </w:rPr>
        <w:t xml:space="preserve">s) × (1 periodic test) = </w:t>
      </w:r>
      <w:r w:rsidR="0007077C">
        <w:rPr>
          <w:sz w:val="24"/>
          <w:szCs w:val="24"/>
        </w:rPr>
        <w:t xml:space="preserve">8,026 </w:t>
      </w:r>
      <w:r w:rsidRPr="00772FE4" w:rsidR="0007077C">
        <w:rPr>
          <w:sz w:val="24"/>
          <w:szCs w:val="24"/>
        </w:rPr>
        <w:t>tests</w:t>
      </w:r>
    </w:p>
    <w:p w:rsidR="008911CD" w14:paraId="1C11F3F2" w14:textId="77777777">
      <w:pPr>
        <w:shd w:val="solid" w:color="FFFFFF" w:fill="FFFFFF"/>
        <w:rPr>
          <w:sz w:val="24"/>
          <w:szCs w:val="24"/>
        </w:rPr>
      </w:pPr>
    </w:p>
    <w:p w:rsidR="00553E3D" w:rsidRPr="00772FE4" w14:paraId="23C350CF" w14:textId="6D08DBA3">
      <w:pPr>
        <w:shd w:val="solid" w:color="FFFFFF" w:fill="FFFFFF"/>
        <w:rPr>
          <w:sz w:val="24"/>
          <w:szCs w:val="24"/>
        </w:rPr>
      </w:pPr>
      <w:r w:rsidRPr="00772FE4">
        <w:rPr>
          <w:sz w:val="24"/>
          <w:szCs w:val="24"/>
        </w:rPr>
        <w:t xml:space="preserve">A </w:t>
      </w:r>
      <w:r w:rsidR="00DA15B1">
        <w:rPr>
          <w:sz w:val="24"/>
          <w:szCs w:val="24"/>
        </w:rPr>
        <w:t xml:space="preserve">supervisor </w:t>
      </w:r>
      <w:r w:rsidRPr="00772FE4">
        <w:rPr>
          <w:sz w:val="24"/>
          <w:szCs w:val="24"/>
        </w:rPr>
        <w:t>takes six minutes (</w:t>
      </w:r>
      <w:r w:rsidR="00A914DD">
        <w:rPr>
          <w:sz w:val="24"/>
          <w:szCs w:val="24"/>
        </w:rPr>
        <w:t>6/60</w:t>
      </w:r>
      <w:r w:rsidRPr="00772FE4">
        <w:rPr>
          <w:sz w:val="24"/>
          <w:szCs w:val="24"/>
        </w:rPr>
        <w:t xml:space="preserve"> </w:t>
      </w:r>
      <w:r w:rsidR="00193B3D">
        <w:rPr>
          <w:sz w:val="24"/>
          <w:szCs w:val="24"/>
        </w:rPr>
        <w:t>hours</w:t>
      </w:r>
      <w:r w:rsidRPr="00772FE4">
        <w:rPr>
          <w:sz w:val="24"/>
          <w:szCs w:val="24"/>
        </w:rPr>
        <w:t xml:space="preserve">) to provide notification results to the affected </w:t>
      </w:r>
      <w:r w:rsidR="00FA259D">
        <w:rPr>
          <w:sz w:val="24"/>
          <w:szCs w:val="24"/>
        </w:rPr>
        <w:t>worker</w:t>
      </w:r>
      <w:r w:rsidRPr="00772FE4">
        <w:rPr>
          <w:sz w:val="24"/>
          <w:szCs w:val="24"/>
        </w:rPr>
        <w:t>. This notification includes the physician’s written medical opinion (described below).</w:t>
      </w:r>
    </w:p>
    <w:p w:rsidR="00553E3D" w:rsidRPr="00772FE4" w14:paraId="16FFE48D" w14:textId="77777777">
      <w:pPr>
        <w:shd w:val="solid" w:color="FFFFFF" w:fill="FFFFFF"/>
        <w:rPr>
          <w:sz w:val="24"/>
          <w:szCs w:val="24"/>
        </w:rPr>
      </w:pPr>
    </w:p>
    <w:p w:rsidR="00553E3D" w:rsidRPr="00772FE4" w14:paraId="71EFB668" w14:textId="358BE278">
      <w:pPr>
        <w:shd w:val="solid" w:color="FFFFFF" w:fill="FFFFFF"/>
        <w:ind w:firstLine="720"/>
        <w:rPr>
          <w:sz w:val="24"/>
          <w:szCs w:val="24"/>
        </w:rPr>
      </w:pPr>
      <w:r w:rsidRPr="00772FE4">
        <w:rPr>
          <w:b/>
          <w:bCs/>
          <w:sz w:val="24"/>
          <w:szCs w:val="24"/>
        </w:rPr>
        <w:t>Burden hours:</w:t>
      </w:r>
      <w:r w:rsidRPr="00772FE4">
        <w:rPr>
          <w:sz w:val="24"/>
          <w:szCs w:val="24"/>
        </w:rPr>
        <w:tab/>
      </w:r>
      <w:r w:rsidR="00B5319B">
        <w:rPr>
          <w:sz w:val="24"/>
          <w:szCs w:val="24"/>
        </w:rPr>
        <w:t xml:space="preserve"> </w:t>
      </w:r>
      <w:r w:rsidR="0020328B">
        <w:rPr>
          <w:sz w:val="24"/>
          <w:szCs w:val="24"/>
        </w:rPr>
        <w:t xml:space="preserve">184,227 </w:t>
      </w:r>
      <w:r w:rsidRPr="00772FE4">
        <w:rPr>
          <w:sz w:val="24"/>
          <w:szCs w:val="24"/>
        </w:rPr>
        <w:t xml:space="preserve">tests × 1 notification × </w:t>
      </w:r>
      <w:r w:rsidR="00153972">
        <w:rPr>
          <w:sz w:val="24"/>
          <w:szCs w:val="24"/>
        </w:rPr>
        <w:t>6/60</w:t>
      </w:r>
      <w:r w:rsidRPr="00772FE4">
        <w:rPr>
          <w:sz w:val="24"/>
          <w:szCs w:val="24"/>
        </w:rPr>
        <w:t xml:space="preserve"> hour</w:t>
      </w:r>
      <w:r w:rsidR="00193B3D">
        <w:rPr>
          <w:sz w:val="24"/>
          <w:szCs w:val="24"/>
        </w:rPr>
        <w:t>s</w:t>
      </w:r>
      <w:r w:rsidRPr="00772FE4">
        <w:rPr>
          <w:sz w:val="24"/>
          <w:szCs w:val="24"/>
        </w:rPr>
        <w:t xml:space="preserve"> = </w:t>
      </w:r>
      <w:r w:rsidR="005715A5">
        <w:rPr>
          <w:sz w:val="24"/>
          <w:szCs w:val="24"/>
        </w:rPr>
        <w:t>18,</w:t>
      </w:r>
      <w:r w:rsidR="00236A37">
        <w:rPr>
          <w:sz w:val="24"/>
          <w:szCs w:val="24"/>
        </w:rPr>
        <w:t>423</w:t>
      </w:r>
      <w:r w:rsidR="00094C5F">
        <w:rPr>
          <w:sz w:val="24"/>
          <w:szCs w:val="24"/>
        </w:rPr>
        <w:t xml:space="preserve"> </w:t>
      </w:r>
      <w:r w:rsidRPr="00772FE4">
        <w:rPr>
          <w:sz w:val="24"/>
          <w:szCs w:val="24"/>
        </w:rPr>
        <w:t>hours</w:t>
      </w:r>
    </w:p>
    <w:p w:rsidR="00553E3D" w:rsidRPr="00772FE4" w14:paraId="1435B509" w14:textId="1FD1429B">
      <w:pPr>
        <w:shd w:val="solid" w:color="FFFFFF" w:fill="FFFFFF"/>
        <w:ind w:firstLine="720"/>
        <w:rPr>
          <w:sz w:val="24"/>
          <w:szCs w:val="24"/>
        </w:rPr>
      </w:pPr>
      <w:r w:rsidRPr="00772FE4">
        <w:rPr>
          <w:b/>
          <w:bCs/>
          <w:sz w:val="24"/>
          <w:szCs w:val="24"/>
        </w:rPr>
        <w:t xml:space="preserve">                Cost:</w:t>
      </w:r>
      <w:r w:rsidRPr="00772FE4">
        <w:rPr>
          <w:sz w:val="24"/>
          <w:szCs w:val="24"/>
        </w:rPr>
        <w:tab/>
      </w:r>
      <w:r w:rsidR="00236A37">
        <w:rPr>
          <w:sz w:val="24"/>
          <w:szCs w:val="24"/>
        </w:rPr>
        <w:t>18,423</w:t>
      </w:r>
      <w:r w:rsidR="00094C5F">
        <w:rPr>
          <w:sz w:val="24"/>
          <w:szCs w:val="24"/>
        </w:rPr>
        <w:t xml:space="preserve"> </w:t>
      </w:r>
      <w:r w:rsidRPr="00772FE4">
        <w:rPr>
          <w:sz w:val="24"/>
          <w:szCs w:val="24"/>
        </w:rPr>
        <w:t>hours × $</w:t>
      </w:r>
      <w:r w:rsidR="000867E8">
        <w:rPr>
          <w:sz w:val="24"/>
          <w:szCs w:val="24"/>
        </w:rPr>
        <w:t>55.55</w:t>
      </w:r>
      <w:r w:rsidR="00DA15B1">
        <w:rPr>
          <w:sz w:val="24"/>
          <w:szCs w:val="24"/>
        </w:rPr>
        <w:t xml:space="preserve"> </w:t>
      </w:r>
      <w:r w:rsidRPr="00772FE4">
        <w:rPr>
          <w:sz w:val="24"/>
          <w:szCs w:val="24"/>
        </w:rPr>
        <w:t>= $</w:t>
      </w:r>
      <w:r w:rsidR="0062590C">
        <w:rPr>
          <w:sz w:val="24"/>
          <w:szCs w:val="24"/>
        </w:rPr>
        <w:t>1,023</w:t>
      </w:r>
      <w:r w:rsidR="00102C10">
        <w:rPr>
          <w:sz w:val="24"/>
          <w:szCs w:val="24"/>
        </w:rPr>
        <w:t>,398</w:t>
      </w:r>
    </w:p>
    <w:p w:rsidR="00553E3D" w:rsidRPr="00772FE4" w14:paraId="6B6EDA7B" w14:textId="77777777">
      <w:pPr>
        <w:shd w:val="solid" w:color="FFFFFF" w:fill="FFFFFF"/>
        <w:rPr>
          <w:b/>
          <w:bCs/>
          <w:sz w:val="24"/>
          <w:szCs w:val="24"/>
        </w:rPr>
      </w:pPr>
    </w:p>
    <w:p w:rsidR="00553E3D" w:rsidRPr="00772FE4" w14:paraId="16C09413" w14:textId="77777777">
      <w:pPr>
        <w:shd w:val="solid" w:color="FFFFFF" w:fill="FFFFFF"/>
        <w:ind w:firstLine="720"/>
        <w:rPr>
          <w:b/>
          <w:bCs/>
          <w:sz w:val="24"/>
          <w:szCs w:val="24"/>
        </w:rPr>
      </w:pPr>
      <w:r w:rsidRPr="00772FE4">
        <w:rPr>
          <w:b/>
          <w:bCs/>
          <w:sz w:val="24"/>
          <w:szCs w:val="24"/>
        </w:rPr>
        <w:t>(3)</w:t>
      </w:r>
      <w:r w:rsidRPr="00772FE4">
        <w:rPr>
          <w:b/>
          <w:bCs/>
          <w:sz w:val="24"/>
          <w:szCs w:val="24"/>
        </w:rPr>
        <w:tab/>
        <w:t>Medical Examinations and Consultations</w:t>
      </w:r>
    </w:p>
    <w:p w:rsidR="00553E3D" w:rsidRPr="00772FE4" w14:paraId="74FD6C40" w14:textId="77777777">
      <w:pPr>
        <w:shd w:val="solid" w:color="FFFFFF" w:fill="FFFFFF"/>
        <w:rPr>
          <w:sz w:val="24"/>
          <w:szCs w:val="24"/>
        </w:rPr>
      </w:pPr>
    </w:p>
    <w:p w:rsidR="00553E3D" w:rsidRPr="00772FE4" w14:paraId="392EBACD" w14:textId="77777777">
      <w:pPr>
        <w:shd w:val="solid" w:color="FFFFFF" w:fill="FFFFFF"/>
        <w:rPr>
          <w:sz w:val="24"/>
          <w:szCs w:val="24"/>
        </w:rPr>
      </w:pPr>
      <w:r w:rsidRPr="00772FE4">
        <w:rPr>
          <w:sz w:val="24"/>
          <w:szCs w:val="24"/>
        </w:rPr>
        <w:t xml:space="preserve">The employer is required to provide medical examinations and/or consultations to the following categories of </w:t>
      </w:r>
      <w:r w:rsidR="00FA259D">
        <w:rPr>
          <w:sz w:val="24"/>
          <w:szCs w:val="24"/>
        </w:rPr>
        <w:t>worker</w:t>
      </w:r>
      <w:r w:rsidRPr="00772FE4">
        <w:rPr>
          <w:sz w:val="24"/>
          <w:szCs w:val="24"/>
        </w:rPr>
        <w:t>s:</w:t>
      </w:r>
    </w:p>
    <w:p w:rsidR="00553E3D" w:rsidRPr="00772FE4" w14:paraId="50C12583" w14:textId="77777777">
      <w:pPr>
        <w:shd w:val="solid" w:color="FFFFFF" w:fill="FFFFFF"/>
        <w:rPr>
          <w:sz w:val="24"/>
          <w:szCs w:val="24"/>
        </w:rPr>
      </w:pPr>
    </w:p>
    <w:p w:rsidR="00553E3D" w:rsidRPr="00772FE4" w14:paraId="1CC8E0AB" w14:textId="77777777">
      <w:pPr>
        <w:shd w:val="solid" w:color="FFFFFF" w:fill="FFFFFF"/>
        <w:ind w:left="720" w:hanging="360"/>
        <w:rPr>
          <w:sz w:val="24"/>
          <w:szCs w:val="24"/>
        </w:rPr>
      </w:pPr>
      <w:r>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more than thirty days per year with blood-lead levels at or above 40µg/dl.</w:t>
      </w:r>
    </w:p>
    <w:p w:rsidR="00553E3D" w:rsidRPr="00772FE4" w14:paraId="615FBDEF" w14:textId="77777777">
      <w:pPr>
        <w:shd w:val="solid" w:color="FFFFFF" w:fill="FFFFFF"/>
        <w:rPr>
          <w:sz w:val="24"/>
          <w:szCs w:val="24"/>
        </w:rPr>
      </w:pPr>
    </w:p>
    <w:p w:rsidR="00553E3D" w:rsidRPr="00772FE4" w14:paraId="31067468" w14:textId="77777777">
      <w:pPr>
        <w:shd w:val="solid" w:color="FFFFFF" w:fill="FFFFFF"/>
        <w:ind w:left="720" w:hanging="360"/>
        <w:rPr>
          <w:sz w:val="24"/>
          <w:szCs w:val="24"/>
        </w:rPr>
      </w:pPr>
      <w:r>
        <w:rPr>
          <w:sz w:val="24"/>
          <w:szCs w:val="24"/>
        </w:rPr>
        <w:t>Worker</w:t>
      </w:r>
      <w:r w:rsidRPr="00772FE4">
        <w:rPr>
          <w:sz w:val="24"/>
          <w:szCs w:val="24"/>
        </w:rPr>
        <w:t>s with signs or symptoms associated with lead intoxication:</w:t>
      </w:r>
    </w:p>
    <w:p w:rsidR="00553E3D" w:rsidRPr="00772FE4" w14:paraId="5FAC99EA" w14:textId="77777777">
      <w:pPr>
        <w:shd w:val="solid" w:color="FFFFFF" w:fill="FFFFFF"/>
        <w:rPr>
          <w:sz w:val="24"/>
          <w:szCs w:val="24"/>
        </w:rPr>
      </w:pPr>
    </w:p>
    <w:p w:rsidR="00553E3D" w:rsidRPr="00772FE4" w14:paraId="7B998191" w14:textId="77777777">
      <w:pPr>
        <w:shd w:val="solid" w:color="FFFFFF" w:fill="FFFFFF"/>
        <w:ind w:left="720" w:hanging="360"/>
        <w:rPr>
          <w:sz w:val="24"/>
          <w:szCs w:val="24"/>
        </w:rPr>
      </w:pPr>
      <w:r>
        <w:rPr>
          <w:sz w:val="24"/>
          <w:szCs w:val="24"/>
        </w:rPr>
        <w:t>Worker</w:t>
      </w:r>
      <w:r w:rsidRPr="00772FE4">
        <w:rPr>
          <w:sz w:val="24"/>
          <w:szCs w:val="24"/>
        </w:rPr>
        <w:t>s desiring medical advice about the interaction of lead exposure and reproductions;</w:t>
      </w:r>
    </w:p>
    <w:p w:rsidR="00563CB7" w:rsidP="005C3959" w14:paraId="535833CC" w14:textId="77777777">
      <w:pPr>
        <w:shd w:val="solid" w:color="FFFFFF" w:fill="FFFFFF"/>
        <w:rPr>
          <w:sz w:val="24"/>
          <w:szCs w:val="24"/>
        </w:rPr>
      </w:pPr>
    </w:p>
    <w:p w:rsidR="00553E3D" w:rsidRPr="00772FE4" w14:paraId="3CF7A6D0" w14:textId="7738A67E">
      <w:pPr>
        <w:shd w:val="solid" w:color="FFFFFF" w:fill="FFFFFF"/>
        <w:ind w:left="720" w:hanging="360"/>
        <w:rPr>
          <w:sz w:val="24"/>
          <w:szCs w:val="24"/>
        </w:rPr>
      </w:pPr>
      <w:r>
        <w:rPr>
          <w:sz w:val="24"/>
          <w:szCs w:val="24"/>
        </w:rPr>
        <w:t>Worker</w:t>
      </w:r>
      <w:r w:rsidRPr="00772FE4">
        <w:rPr>
          <w:sz w:val="24"/>
          <w:szCs w:val="24"/>
        </w:rPr>
        <w:t>s who are pregnant;</w:t>
      </w:r>
    </w:p>
    <w:p w:rsidR="00553E3D" w:rsidRPr="00772FE4" w14:paraId="03C75760" w14:textId="77777777">
      <w:pPr>
        <w:shd w:val="solid" w:color="FFFFFF" w:fill="FFFFFF"/>
        <w:rPr>
          <w:sz w:val="24"/>
          <w:szCs w:val="24"/>
        </w:rPr>
      </w:pPr>
    </w:p>
    <w:p w:rsidR="00553E3D" w:rsidRPr="00772FE4" w14:paraId="116FC13D" w14:textId="07DEEF15">
      <w:pPr>
        <w:shd w:val="solid" w:color="FFFFFF" w:fill="FFFFFF"/>
        <w:ind w:left="720" w:hanging="360"/>
        <w:rPr>
          <w:sz w:val="24"/>
          <w:szCs w:val="24"/>
        </w:rPr>
      </w:pPr>
      <w:r>
        <w:rPr>
          <w:sz w:val="24"/>
          <w:szCs w:val="24"/>
        </w:rPr>
        <w:t>Worker</w:t>
      </w:r>
      <w:r w:rsidRPr="00772FE4">
        <w:rPr>
          <w:sz w:val="24"/>
          <w:szCs w:val="24"/>
        </w:rPr>
        <w:t>s experiencing difficulty in breathing during a respirator fit test or during use and</w:t>
      </w:r>
    </w:p>
    <w:p w:rsidR="00553E3D" w:rsidRPr="00772FE4" w14:paraId="0754FFF4" w14:textId="77777777">
      <w:pPr>
        <w:shd w:val="solid" w:color="FFFFFF" w:fill="FFFFFF"/>
        <w:rPr>
          <w:sz w:val="24"/>
          <w:szCs w:val="24"/>
        </w:rPr>
      </w:pPr>
    </w:p>
    <w:p w:rsidR="00553E3D" w:rsidRPr="00772FE4" w14:paraId="62EBEF5B" w14:textId="77777777">
      <w:pPr>
        <w:shd w:val="solid" w:color="FFFFFF" w:fill="FFFFFF"/>
        <w:ind w:left="720" w:hanging="360"/>
        <w:rPr>
          <w:sz w:val="24"/>
          <w:szCs w:val="24"/>
        </w:rPr>
      </w:pPr>
      <w:r>
        <w:rPr>
          <w:sz w:val="24"/>
          <w:szCs w:val="24"/>
        </w:rPr>
        <w:t>Worker</w:t>
      </w:r>
      <w:r w:rsidRPr="00772FE4">
        <w:rPr>
          <w:sz w:val="24"/>
          <w:szCs w:val="24"/>
        </w:rPr>
        <w:t>s medically removed from lead exposure or limited by a final medical determination.</w:t>
      </w:r>
    </w:p>
    <w:p w:rsidR="00553E3D" w:rsidRPr="00772FE4" w14:paraId="104A6D59" w14:textId="77777777">
      <w:pPr>
        <w:shd w:val="solid" w:color="FFFFFF" w:fill="FFFFFF"/>
        <w:rPr>
          <w:sz w:val="24"/>
          <w:szCs w:val="24"/>
        </w:rPr>
      </w:pPr>
    </w:p>
    <w:p w:rsidR="00553E3D" w:rsidRPr="00772FE4" w14:paraId="1251A968" w14:textId="297352C1">
      <w:pPr>
        <w:shd w:val="solid" w:color="FFFFFF" w:fill="FFFFFF"/>
        <w:rPr>
          <w:sz w:val="24"/>
          <w:szCs w:val="24"/>
        </w:rPr>
      </w:pPr>
      <w:r w:rsidRPr="00772FE4">
        <w:rPr>
          <w:sz w:val="24"/>
          <w:szCs w:val="24"/>
        </w:rPr>
        <w:t xml:space="preserve">Consistent with the assumptions above, OSHA assumes there are no medical examinations required because of worker blood-lead levels in excess of 40 µg/dl and no medical removal associated with worker blood-lead levels in excess of 50 µg/dl since no workers are expected to have blood-lead levels above 25 µg/dl if full compliance with 1926.62 is achieved. </w:t>
      </w:r>
      <w:r w:rsidR="007F3A34">
        <w:rPr>
          <w:sz w:val="24"/>
          <w:szCs w:val="24"/>
        </w:rPr>
        <w:t xml:space="preserve"> </w:t>
      </w:r>
      <w:r w:rsidRPr="00772FE4">
        <w:rPr>
          <w:sz w:val="24"/>
          <w:szCs w:val="24"/>
        </w:rPr>
        <w:t xml:space="preserve">OSHA does not have data on the annual number of </w:t>
      </w:r>
      <w:r w:rsidR="00FA259D">
        <w:rPr>
          <w:sz w:val="24"/>
          <w:szCs w:val="24"/>
        </w:rPr>
        <w:t>worker</w:t>
      </w:r>
      <w:r w:rsidRPr="00772FE4">
        <w:rPr>
          <w:sz w:val="24"/>
          <w:szCs w:val="24"/>
        </w:rPr>
        <w:t>s given medical examinations due to signs or symptoms associated with lead intoxication, desire for advice about reproductive issues, pregnancy, or difficulties with respirators.</w:t>
      </w:r>
    </w:p>
    <w:p w:rsidR="00553E3D" w:rsidRPr="00772FE4" w14:paraId="61DCA57D" w14:textId="77777777">
      <w:pPr>
        <w:shd w:val="solid" w:color="FFFFFF" w:fill="FFFFFF"/>
        <w:rPr>
          <w:sz w:val="24"/>
          <w:szCs w:val="24"/>
        </w:rPr>
      </w:pPr>
    </w:p>
    <w:p w:rsidR="00553E3D" w:rsidRPr="00772FE4" w14:paraId="68C59AC7" w14:textId="12348E3C">
      <w:pPr>
        <w:shd w:val="solid" w:color="FFFFFF" w:fill="FFFFFF"/>
        <w:rPr>
          <w:sz w:val="24"/>
          <w:szCs w:val="24"/>
        </w:rPr>
      </w:pPr>
      <w:r w:rsidRPr="00772FE4">
        <w:rPr>
          <w:sz w:val="24"/>
          <w:szCs w:val="24"/>
        </w:rPr>
        <w:t xml:space="preserve">Therefore, OSHA assumes that no more than 5 percent or </w:t>
      </w:r>
      <w:r w:rsidR="001B45F2">
        <w:rPr>
          <w:sz w:val="24"/>
          <w:szCs w:val="24"/>
        </w:rPr>
        <w:t>7,921 of</w:t>
      </w:r>
      <w:r w:rsidRPr="00772FE4">
        <w:rPr>
          <w:sz w:val="24"/>
          <w:szCs w:val="24"/>
        </w:rPr>
        <w:t xml:space="preserve"> the </w:t>
      </w:r>
      <w:r w:rsidR="00FD0765">
        <w:rPr>
          <w:sz w:val="24"/>
          <w:szCs w:val="24"/>
        </w:rPr>
        <w:t>158</w:t>
      </w:r>
      <w:r w:rsidR="00DD39BE">
        <w:rPr>
          <w:sz w:val="24"/>
          <w:szCs w:val="24"/>
        </w:rPr>
        <w:t>,422</w:t>
      </w:r>
      <w:r w:rsidRPr="00772FE4">
        <w:rPr>
          <w:sz w:val="24"/>
          <w:szCs w:val="24"/>
        </w:rPr>
        <w:t xml:space="preser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on any one day (and thus eligible for biological monitoring due to significant airborne lead exposure) will be given a medical examination or consultation.</w:t>
      </w:r>
    </w:p>
    <w:p w:rsidR="00553E3D" w:rsidRPr="00772FE4" w14:paraId="7FCFB37C" w14:textId="77777777">
      <w:pPr>
        <w:shd w:val="solid" w:color="FFFFFF" w:fill="FFFFFF"/>
        <w:rPr>
          <w:sz w:val="24"/>
          <w:szCs w:val="24"/>
        </w:rPr>
      </w:pPr>
    </w:p>
    <w:p w:rsidR="00553E3D" w:rsidRPr="00772FE4" w14:paraId="5E258B2A" w14:textId="3940462F">
      <w:pPr>
        <w:shd w:val="solid" w:color="FFFFFF" w:fill="FFFFFF"/>
        <w:rPr>
          <w:sz w:val="24"/>
          <w:szCs w:val="24"/>
        </w:rPr>
      </w:pPr>
      <w:r w:rsidRPr="00772FE4">
        <w:rPr>
          <w:sz w:val="24"/>
          <w:szCs w:val="24"/>
        </w:rPr>
        <w:t>All medical examinations and procedures must be performed by or under the supervision of, a licensed physician.</w:t>
      </w:r>
      <w:r w:rsidR="007F3A34">
        <w:rPr>
          <w:sz w:val="24"/>
          <w:szCs w:val="24"/>
        </w:rPr>
        <w:t xml:space="preserve"> </w:t>
      </w:r>
      <w:r w:rsidRPr="00772FE4">
        <w:rPr>
          <w:sz w:val="24"/>
          <w:szCs w:val="24"/>
        </w:rPr>
        <w:t xml:space="preserve"> Because construction firms do not typically have </w:t>
      </w:r>
      <w:r w:rsidR="00884926">
        <w:rPr>
          <w:sz w:val="24"/>
          <w:szCs w:val="24"/>
        </w:rPr>
        <w:t xml:space="preserve">a </w:t>
      </w:r>
      <w:r w:rsidR="00DE2CEC">
        <w:rPr>
          <w:sz w:val="24"/>
          <w:szCs w:val="24"/>
        </w:rPr>
        <w:t>healthcare</w:t>
      </w:r>
      <w:r w:rsidRPr="00772FE4">
        <w:rPr>
          <w:sz w:val="24"/>
          <w:szCs w:val="24"/>
        </w:rPr>
        <w:t xml:space="preserve"> professional on staff, employers will purchase physician services. </w:t>
      </w:r>
      <w:r w:rsidR="007F3A34">
        <w:rPr>
          <w:sz w:val="24"/>
          <w:szCs w:val="24"/>
        </w:rPr>
        <w:t xml:space="preserve"> </w:t>
      </w:r>
      <w:r w:rsidRPr="00772FE4">
        <w:rPr>
          <w:sz w:val="24"/>
          <w:szCs w:val="24"/>
        </w:rPr>
        <w:t>The costs of medical examinations are in Item 13.</w:t>
      </w:r>
      <w:r w:rsidR="007F3A34">
        <w:rPr>
          <w:sz w:val="24"/>
          <w:szCs w:val="24"/>
        </w:rPr>
        <w:t xml:space="preserve"> </w:t>
      </w:r>
      <w:r w:rsidRPr="00772FE4">
        <w:rPr>
          <w:sz w:val="24"/>
          <w:szCs w:val="24"/>
        </w:rPr>
        <w:t xml:space="preserve"> Medical examinations require workers</w:t>
      </w:r>
      <w:r w:rsidR="00DE2CEC">
        <w:rPr>
          <w:sz w:val="24"/>
          <w:szCs w:val="24"/>
        </w:rPr>
        <w:t xml:space="preserve"> earning $42.00 an hour</w:t>
      </w:r>
      <w:r w:rsidRPr="00772FE4">
        <w:rPr>
          <w:sz w:val="24"/>
          <w:szCs w:val="24"/>
        </w:rPr>
        <w:t xml:space="preserve"> to be away from their </w:t>
      </w:r>
      <w:r w:rsidRPr="00772FE4" w:rsidR="009815AA">
        <w:rPr>
          <w:sz w:val="24"/>
          <w:szCs w:val="24"/>
        </w:rPr>
        <w:t>workstations</w:t>
      </w:r>
      <w:r w:rsidRPr="00772FE4">
        <w:rPr>
          <w:sz w:val="24"/>
          <w:szCs w:val="24"/>
        </w:rPr>
        <w:t xml:space="preserve"> for approximately two hours.</w:t>
      </w:r>
    </w:p>
    <w:p w:rsidR="00553E3D" w:rsidRPr="00772FE4" w14:paraId="6158B27B" w14:textId="77777777">
      <w:pPr>
        <w:shd w:val="solid" w:color="FFFFFF" w:fill="FFFFFF"/>
        <w:rPr>
          <w:sz w:val="24"/>
          <w:szCs w:val="24"/>
        </w:rPr>
      </w:pPr>
    </w:p>
    <w:p w:rsidR="00553E3D" w:rsidRPr="00772FE4" w14:paraId="22C40BED" w14:textId="6E73DD04">
      <w:pPr>
        <w:shd w:val="solid" w:color="FFFFFF" w:fill="FFFFFF"/>
        <w:ind w:firstLine="720"/>
        <w:rPr>
          <w:sz w:val="24"/>
          <w:szCs w:val="24"/>
        </w:rPr>
      </w:pPr>
      <w:r w:rsidRPr="00772FE4">
        <w:rPr>
          <w:b/>
          <w:bCs/>
          <w:sz w:val="24"/>
          <w:szCs w:val="24"/>
        </w:rPr>
        <w:t>Burden hours:</w:t>
      </w:r>
      <w:r w:rsidRPr="00772FE4">
        <w:rPr>
          <w:sz w:val="24"/>
          <w:szCs w:val="24"/>
        </w:rPr>
        <w:tab/>
      </w:r>
      <w:r w:rsidR="00F71FB6">
        <w:rPr>
          <w:sz w:val="24"/>
          <w:szCs w:val="24"/>
        </w:rPr>
        <w:t>7,9</w:t>
      </w:r>
      <w:r w:rsidR="001F61F4">
        <w:rPr>
          <w:sz w:val="24"/>
          <w:szCs w:val="24"/>
        </w:rPr>
        <w:t>2</w:t>
      </w:r>
      <w:r w:rsidR="009C5E6F">
        <w:rPr>
          <w:sz w:val="24"/>
          <w:szCs w:val="24"/>
        </w:rPr>
        <w:t xml:space="preserve">1 </w:t>
      </w:r>
      <w:r w:rsidR="001F61F4">
        <w:rPr>
          <w:sz w:val="24"/>
          <w:szCs w:val="24"/>
        </w:rPr>
        <w:t xml:space="preserve"> </w:t>
      </w:r>
      <w:r w:rsidR="00987984">
        <w:rPr>
          <w:sz w:val="24"/>
          <w:szCs w:val="24"/>
        </w:rPr>
        <w:t xml:space="preserve"> </w:t>
      </w:r>
      <w:r w:rsidR="00FA259D">
        <w:rPr>
          <w:sz w:val="24"/>
          <w:szCs w:val="24"/>
        </w:rPr>
        <w:t>worker</w:t>
      </w:r>
      <w:r w:rsidRPr="00772FE4">
        <w:rPr>
          <w:sz w:val="24"/>
          <w:szCs w:val="24"/>
        </w:rPr>
        <w:t xml:space="preserve">s × 1 examination/year × 2 hours = </w:t>
      </w:r>
      <w:r w:rsidR="00900D46">
        <w:rPr>
          <w:sz w:val="24"/>
          <w:szCs w:val="24"/>
        </w:rPr>
        <w:t xml:space="preserve">15,842 </w:t>
      </w:r>
      <w:r w:rsidRPr="00772FE4">
        <w:rPr>
          <w:sz w:val="24"/>
          <w:szCs w:val="24"/>
        </w:rPr>
        <w:t>hours</w:t>
      </w:r>
    </w:p>
    <w:p w:rsidR="00553E3D" w:rsidRPr="00772FE4" w14:paraId="560A4482" w14:textId="0AEE9996">
      <w:pPr>
        <w:shd w:val="solid" w:color="FFFFFF" w:fill="FFFFFF"/>
        <w:ind w:firstLine="720"/>
        <w:rPr>
          <w:sz w:val="24"/>
          <w:szCs w:val="24"/>
        </w:rPr>
      </w:pPr>
      <w:r w:rsidRPr="00772FE4">
        <w:rPr>
          <w:b/>
          <w:bCs/>
          <w:sz w:val="24"/>
          <w:szCs w:val="24"/>
        </w:rPr>
        <w:t xml:space="preserve">                Cost:</w:t>
      </w:r>
      <w:r w:rsidRPr="00772FE4">
        <w:rPr>
          <w:b/>
          <w:bCs/>
          <w:sz w:val="24"/>
          <w:szCs w:val="24"/>
        </w:rPr>
        <w:tab/>
      </w:r>
      <w:r w:rsidR="0007077C">
        <w:rPr>
          <w:sz w:val="24"/>
          <w:szCs w:val="24"/>
        </w:rPr>
        <w:t>15,842 hours</w:t>
      </w:r>
      <w:r w:rsidRPr="00772FE4">
        <w:rPr>
          <w:sz w:val="24"/>
          <w:szCs w:val="24"/>
        </w:rPr>
        <w:t xml:space="preserve"> × $</w:t>
      </w:r>
      <w:r w:rsidR="00142F5A">
        <w:rPr>
          <w:sz w:val="24"/>
          <w:szCs w:val="24"/>
        </w:rPr>
        <w:t>42.</w:t>
      </w:r>
      <w:r w:rsidR="00E33918">
        <w:rPr>
          <w:sz w:val="24"/>
          <w:szCs w:val="24"/>
        </w:rPr>
        <w:t xml:space="preserve">00 </w:t>
      </w:r>
      <w:r w:rsidRPr="00772FE4" w:rsidR="00E33918">
        <w:rPr>
          <w:sz w:val="24"/>
          <w:szCs w:val="24"/>
        </w:rPr>
        <w:t>=</w:t>
      </w:r>
      <w:r w:rsidRPr="00772FE4">
        <w:rPr>
          <w:sz w:val="24"/>
          <w:szCs w:val="24"/>
        </w:rPr>
        <w:t xml:space="preserve"> $</w:t>
      </w:r>
      <w:r w:rsidR="008543CC">
        <w:rPr>
          <w:sz w:val="24"/>
          <w:szCs w:val="24"/>
        </w:rPr>
        <w:t>665,36</w:t>
      </w:r>
      <w:r w:rsidR="009053D2">
        <w:rPr>
          <w:sz w:val="24"/>
          <w:szCs w:val="24"/>
        </w:rPr>
        <w:t>4</w:t>
      </w:r>
    </w:p>
    <w:p w:rsidR="00553E3D" w:rsidRPr="00772FE4" w14:paraId="62F31F05" w14:textId="77777777">
      <w:pPr>
        <w:shd w:val="solid" w:color="FFFFFF" w:fill="FFFFFF"/>
        <w:rPr>
          <w:sz w:val="24"/>
          <w:szCs w:val="24"/>
        </w:rPr>
      </w:pPr>
    </w:p>
    <w:p w:rsidR="00553E3D" w:rsidRPr="00772FE4" w14:paraId="23F9DCF5" w14:textId="77777777">
      <w:pPr>
        <w:shd w:val="solid" w:color="FFFFFF" w:fill="FFFFFF"/>
        <w:ind w:firstLine="720"/>
        <w:rPr>
          <w:b/>
          <w:bCs/>
          <w:sz w:val="24"/>
          <w:szCs w:val="24"/>
        </w:rPr>
      </w:pPr>
      <w:r w:rsidRPr="00772FE4">
        <w:rPr>
          <w:b/>
          <w:bCs/>
          <w:sz w:val="24"/>
          <w:szCs w:val="24"/>
        </w:rPr>
        <w:t>(4)</w:t>
      </w:r>
      <w:r w:rsidRPr="00772FE4">
        <w:rPr>
          <w:b/>
          <w:bCs/>
          <w:sz w:val="24"/>
          <w:szCs w:val="24"/>
        </w:rPr>
        <w:tab/>
        <w:t>Notification of Multiple Physician Review Option</w:t>
      </w:r>
    </w:p>
    <w:p w:rsidR="00553E3D" w:rsidRPr="00772FE4" w14:paraId="439E6A30" w14:textId="77777777">
      <w:pPr>
        <w:shd w:val="solid" w:color="FFFFFF" w:fill="FFFFFF"/>
        <w:rPr>
          <w:sz w:val="24"/>
          <w:szCs w:val="24"/>
        </w:rPr>
      </w:pPr>
    </w:p>
    <w:p w:rsidR="00553E3D" w:rsidRPr="00772FE4" w14:paraId="2F5C7C58" w14:textId="71D14AE5">
      <w:pPr>
        <w:shd w:val="solid" w:color="FFFFFF" w:fill="FFFFFF"/>
        <w:rPr>
          <w:sz w:val="24"/>
          <w:szCs w:val="24"/>
        </w:rPr>
      </w:pPr>
      <w:r w:rsidRPr="00772FE4">
        <w:rPr>
          <w:sz w:val="24"/>
          <w:szCs w:val="24"/>
        </w:rPr>
        <w:t xml:space="preserve">The Lead in Construction Standard requires that each employer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 </w:t>
      </w:r>
      <w:r w:rsidR="007F3A34">
        <w:rPr>
          <w:sz w:val="24"/>
          <w:szCs w:val="24"/>
        </w:rPr>
        <w:t xml:space="preserve"> </w:t>
      </w:r>
      <w:r w:rsidRPr="00772FE4">
        <w:rPr>
          <w:sz w:val="24"/>
          <w:szCs w:val="24"/>
        </w:rPr>
        <w:t xml:space="preserve">This requirement can be fulfilled </w:t>
      </w:r>
      <w:r w:rsidRPr="00602794">
        <w:rPr>
          <w:sz w:val="24"/>
          <w:szCs w:val="24"/>
        </w:rPr>
        <w:t>by including a photocopy of such notification with the physician’s written examination</w:t>
      </w:r>
      <w:r w:rsidRPr="00772FE4">
        <w:rPr>
          <w:sz w:val="24"/>
          <w:szCs w:val="24"/>
        </w:rPr>
        <w:t>.</w:t>
      </w:r>
      <w:r w:rsidR="007F3A34">
        <w:rPr>
          <w:sz w:val="24"/>
          <w:szCs w:val="24"/>
        </w:rPr>
        <w:t xml:space="preserve"> </w:t>
      </w:r>
      <w:r w:rsidRPr="00772FE4">
        <w:rPr>
          <w:sz w:val="24"/>
          <w:szCs w:val="24"/>
        </w:rPr>
        <w:t xml:space="preserve"> OSHA estimates that </w:t>
      </w:r>
      <w:r w:rsidR="00A7233A">
        <w:rPr>
          <w:sz w:val="24"/>
          <w:szCs w:val="24"/>
        </w:rPr>
        <w:t>including</w:t>
      </w:r>
      <w:r w:rsidRPr="00772FE4">
        <w:rPr>
          <w:sz w:val="24"/>
          <w:szCs w:val="24"/>
        </w:rPr>
        <w:t xml:space="preserve"> this notification form takes no more than one </w:t>
      </w:r>
      <w:r w:rsidRPr="009815AA">
        <w:rPr>
          <w:sz w:val="24"/>
          <w:szCs w:val="24"/>
        </w:rPr>
        <w:t>minute (</w:t>
      </w:r>
      <w:r w:rsidRPr="009815AA" w:rsidR="008046DD">
        <w:rPr>
          <w:sz w:val="24"/>
          <w:szCs w:val="24"/>
        </w:rPr>
        <w:t>1/60</w:t>
      </w:r>
      <w:r w:rsidRPr="009815AA">
        <w:rPr>
          <w:sz w:val="24"/>
          <w:szCs w:val="24"/>
        </w:rPr>
        <w:t xml:space="preserve"> hour) of </w:t>
      </w:r>
      <w:r w:rsidRPr="009815AA" w:rsidR="00DA15B1">
        <w:rPr>
          <w:sz w:val="24"/>
          <w:szCs w:val="24"/>
        </w:rPr>
        <w:t xml:space="preserve">supervisor </w:t>
      </w:r>
      <w:r w:rsidRPr="009815AA">
        <w:rPr>
          <w:sz w:val="24"/>
          <w:szCs w:val="24"/>
        </w:rPr>
        <w:t xml:space="preserve">time per notification. </w:t>
      </w:r>
      <w:r w:rsidRPr="009815AA" w:rsidR="007F3A34">
        <w:rPr>
          <w:sz w:val="24"/>
          <w:szCs w:val="24"/>
        </w:rPr>
        <w:t xml:space="preserve"> </w:t>
      </w:r>
      <w:r w:rsidRPr="009815AA">
        <w:rPr>
          <w:sz w:val="24"/>
          <w:szCs w:val="24"/>
        </w:rPr>
        <w:t xml:space="preserve">OSHA estimates there are </w:t>
      </w:r>
      <w:r w:rsidR="00EA31F2">
        <w:rPr>
          <w:sz w:val="24"/>
          <w:szCs w:val="24"/>
        </w:rPr>
        <w:t xml:space="preserve">7,921 </w:t>
      </w:r>
      <w:r w:rsidRPr="009815AA" w:rsidR="00EA31F2">
        <w:rPr>
          <w:sz w:val="24"/>
          <w:szCs w:val="24"/>
        </w:rPr>
        <w:t>medical</w:t>
      </w:r>
      <w:r w:rsidRPr="009815AA">
        <w:rPr>
          <w:sz w:val="24"/>
          <w:szCs w:val="24"/>
        </w:rPr>
        <w:t xml:space="preserve"> examinations annually.</w:t>
      </w:r>
      <w:r w:rsidRPr="00772FE4">
        <w:rPr>
          <w:sz w:val="24"/>
          <w:szCs w:val="24"/>
        </w:rPr>
        <w:t xml:space="preserve"> </w:t>
      </w:r>
    </w:p>
    <w:p w:rsidR="00553E3D" w:rsidRPr="00772FE4" w14:paraId="0A1B0BB2" w14:textId="77777777">
      <w:pPr>
        <w:shd w:val="solid" w:color="FFFFFF" w:fill="FFFFFF"/>
        <w:rPr>
          <w:sz w:val="24"/>
          <w:szCs w:val="24"/>
        </w:rPr>
      </w:pPr>
    </w:p>
    <w:p w:rsidR="00553E3D" w:rsidRPr="00772FE4" w14:paraId="4A9C6954" w14:textId="1C26A893">
      <w:pPr>
        <w:shd w:val="solid" w:color="FFFFFF" w:fill="FFFFFF"/>
        <w:ind w:firstLine="720"/>
        <w:rPr>
          <w:sz w:val="24"/>
          <w:szCs w:val="24"/>
        </w:rPr>
      </w:pPr>
      <w:r w:rsidRPr="00772FE4">
        <w:rPr>
          <w:b/>
          <w:bCs/>
          <w:sz w:val="24"/>
          <w:szCs w:val="24"/>
        </w:rPr>
        <w:t>Burden hours:</w:t>
      </w:r>
      <w:r w:rsidRPr="00772FE4">
        <w:rPr>
          <w:b/>
          <w:bCs/>
          <w:sz w:val="24"/>
          <w:szCs w:val="24"/>
        </w:rPr>
        <w:tab/>
      </w:r>
      <w:r w:rsidR="00EA31F2">
        <w:rPr>
          <w:sz w:val="24"/>
          <w:szCs w:val="24"/>
        </w:rPr>
        <w:t xml:space="preserve">7,921 </w:t>
      </w:r>
      <w:r w:rsidRPr="00772FE4" w:rsidR="00EA31F2">
        <w:rPr>
          <w:sz w:val="24"/>
          <w:szCs w:val="24"/>
        </w:rPr>
        <w:t>×</w:t>
      </w:r>
      <w:r w:rsidRPr="00772FE4">
        <w:rPr>
          <w:sz w:val="24"/>
          <w:szCs w:val="24"/>
        </w:rPr>
        <w:t xml:space="preserve"> 1 notification/exam </w:t>
      </w:r>
      <w:r w:rsidRPr="008046DD">
        <w:rPr>
          <w:sz w:val="24"/>
          <w:szCs w:val="24"/>
        </w:rPr>
        <w:t xml:space="preserve">× </w:t>
      </w:r>
      <w:r w:rsidRPr="008046DD" w:rsidR="00153972">
        <w:rPr>
          <w:sz w:val="24"/>
          <w:szCs w:val="24"/>
        </w:rPr>
        <w:t>1/60</w:t>
      </w:r>
      <w:r w:rsidRPr="008046DD">
        <w:rPr>
          <w:sz w:val="24"/>
          <w:szCs w:val="24"/>
        </w:rPr>
        <w:t xml:space="preserve"> hour</w:t>
      </w:r>
      <w:r w:rsidR="00A7233A">
        <w:rPr>
          <w:sz w:val="24"/>
          <w:szCs w:val="24"/>
        </w:rPr>
        <w:t>s</w:t>
      </w:r>
      <w:r w:rsidRPr="00772FE4">
        <w:rPr>
          <w:sz w:val="24"/>
          <w:szCs w:val="24"/>
        </w:rPr>
        <w:t xml:space="preserve"> = </w:t>
      </w:r>
      <w:r w:rsidR="00EA31F2">
        <w:rPr>
          <w:sz w:val="24"/>
          <w:szCs w:val="24"/>
        </w:rPr>
        <w:t>132 hours</w:t>
      </w:r>
      <w:r w:rsidR="00F71FB6">
        <w:rPr>
          <w:sz w:val="24"/>
          <w:szCs w:val="24"/>
        </w:rPr>
        <w:t xml:space="preserve">      </w:t>
      </w:r>
    </w:p>
    <w:p w:rsidR="00553E3D" w:rsidRPr="00772FE4" w14:paraId="6D81A829" w14:textId="15F4AA8C">
      <w:pPr>
        <w:shd w:val="solid" w:color="FFFFFF" w:fill="FFFFFF"/>
        <w:ind w:firstLine="720"/>
        <w:rPr>
          <w:sz w:val="24"/>
          <w:szCs w:val="24"/>
        </w:rPr>
      </w:pPr>
      <w:r w:rsidRPr="00772FE4">
        <w:rPr>
          <w:b/>
          <w:bCs/>
          <w:sz w:val="24"/>
          <w:szCs w:val="24"/>
        </w:rPr>
        <w:t xml:space="preserve">                Cost:</w:t>
      </w:r>
      <w:r w:rsidRPr="00772FE4">
        <w:rPr>
          <w:sz w:val="24"/>
          <w:szCs w:val="24"/>
        </w:rPr>
        <w:tab/>
      </w:r>
      <w:r w:rsidR="00CC2F81">
        <w:rPr>
          <w:sz w:val="24"/>
          <w:szCs w:val="24"/>
        </w:rPr>
        <w:t>132</w:t>
      </w:r>
      <w:r w:rsidR="00884926">
        <w:rPr>
          <w:sz w:val="24"/>
          <w:szCs w:val="24"/>
        </w:rPr>
        <w:t xml:space="preserve"> </w:t>
      </w:r>
      <w:r w:rsidRPr="00772FE4">
        <w:rPr>
          <w:sz w:val="24"/>
          <w:szCs w:val="24"/>
        </w:rPr>
        <w:t>hours × $</w:t>
      </w:r>
      <w:r w:rsidR="00CC2F81">
        <w:rPr>
          <w:sz w:val="24"/>
          <w:szCs w:val="24"/>
        </w:rPr>
        <w:t>55.55</w:t>
      </w:r>
      <w:r w:rsidR="001D7D1B">
        <w:rPr>
          <w:sz w:val="24"/>
          <w:szCs w:val="24"/>
        </w:rPr>
        <w:t xml:space="preserve"> </w:t>
      </w:r>
      <w:r w:rsidRPr="00772FE4">
        <w:rPr>
          <w:sz w:val="24"/>
          <w:szCs w:val="24"/>
        </w:rPr>
        <w:t>= $</w:t>
      </w:r>
      <w:r w:rsidR="008A6C8C">
        <w:rPr>
          <w:sz w:val="24"/>
          <w:szCs w:val="24"/>
        </w:rPr>
        <w:t xml:space="preserve">7,333 </w:t>
      </w:r>
      <w:r w:rsidR="004A709A">
        <w:rPr>
          <w:sz w:val="24"/>
          <w:szCs w:val="24"/>
        </w:rPr>
        <w:t xml:space="preserve"> </w:t>
      </w:r>
    </w:p>
    <w:p w:rsidR="00553E3D" w:rsidRPr="00772FE4" w14:paraId="221D1546" w14:textId="77777777">
      <w:pPr>
        <w:shd w:val="solid" w:color="FFFFFF" w:fill="FFFFFF"/>
        <w:rPr>
          <w:sz w:val="24"/>
          <w:szCs w:val="24"/>
        </w:rPr>
      </w:pPr>
    </w:p>
    <w:p w:rsidR="00553E3D" w:rsidRPr="00772FE4" w14:paraId="50C5D2F4" w14:textId="77777777">
      <w:pPr>
        <w:ind w:firstLine="720"/>
        <w:rPr>
          <w:b/>
          <w:bCs/>
          <w:sz w:val="24"/>
          <w:szCs w:val="24"/>
        </w:rPr>
      </w:pPr>
      <w:r w:rsidRPr="00772FE4">
        <w:rPr>
          <w:b/>
          <w:bCs/>
          <w:sz w:val="24"/>
          <w:szCs w:val="24"/>
        </w:rPr>
        <w:t>(5)</w:t>
      </w:r>
      <w:r w:rsidRPr="00772FE4">
        <w:rPr>
          <w:b/>
          <w:bCs/>
          <w:sz w:val="24"/>
          <w:szCs w:val="24"/>
        </w:rPr>
        <w:tab/>
        <w:t>Information Provided to Examining/Consulting Physicians</w:t>
      </w:r>
    </w:p>
    <w:p w:rsidR="00553E3D" w:rsidRPr="00772FE4" w14:paraId="503AC124" w14:textId="77777777">
      <w:pPr>
        <w:shd w:val="solid" w:color="FFFFFF" w:fill="FFFFFF"/>
        <w:rPr>
          <w:sz w:val="24"/>
          <w:szCs w:val="24"/>
        </w:rPr>
      </w:pPr>
    </w:p>
    <w:p w:rsidR="00553E3D" w:rsidRPr="00772FE4" w14:paraId="79106E7F" w14:textId="05331A85">
      <w:pPr>
        <w:shd w:val="solid" w:color="FFFFFF" w:fill="FFFFFF"/>
        <w:rPr>
          <w:sz w:val="24"/>
          <w:szCs w:val="24"/>
        </w:rPr>
      </w:pPr>
      <w:r w:rsidRPr="00772FE4">
        <w:rPr>
          <w:sz w:val="24"/>
          <w:szCs w:val="24"/>
        </w:rPr>
        <w:t xml:space="preserve">Employers must provide the physician conducting a medical examination or consultation with the following information: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Pr="00602794">
        <w:rPr>
          <w:sz w:val="24"/>
          <w:szCs w:val="24"/>
        </w:rPr>
        <w:t>prior blood-lead test results; and any prior written medical opinions</w:t>
      </w:r>
      <w:r w:rsidRPr="00772FE4">
        <w:rPr>
          <w:sz w:val="24"/>
          <w:szCs w:val="24"/>
        </w:rPr>
        <w:t xml:space="preserve"> concerning the </w:t>
      </w:r>
      <w:r w:rsidR="00FA259D">
        <w:rPr>
          <w:sz w:val="24"/>
          <w:szCs w:val="24"/>
        </w:rPr>
        <w:t>worker</w:t>
      </w:r>
      <w:r w:rsidRPr="00772FE4">
        <w:rPr>
          <w:sz w:val="24"/>
          <w:szCs w:val="24"/>
        </w:rPr>
        <w:t xml:space="preserve"> in the employer’s control.  OSHA estimates 15 minutes (</w:t>
      </w:r>
      <w:r w:rsidR="00A26C9A">
        <w:rPr>
          <w:sz w:val="24"/>
          <w:szCs w:val="24"/>
        </w:rPr>
        <w:t>15/60</w:t>
      </w:r>
      <w:r w:rsidRPr="00772FE4">
        <w:rPr>
          <w:sz w:val="24"/>
          <w:szCs w:val="24"/>
        </w:rPr>
        <w:t xml:space="preserve"> </w:t>
      </w:r>
      <w:r w:rsidR="00A7233A">
        <w:rPr>
          <w:sz w:val="24"/>
          <w:szCs w:val="24"/>
        </w:rPr>
        <w:t>hours</w:t>
      </w:r>
      <w:r w:rsidRPr="00772FE4">
        <w:rPr>
          <w:sz w:val="24"/>
          <w:szCs w:val="24"/>
        </w:rPr>
        <w:t xml:space="preserve">) of </w:t>
      </w:r>
      <w:r w:rsidR="001D7D1B">
        <w:rPr>
          <w:sz w:val="24"/>
          <w:szCs w:val="24"/>
        </w:rPr>
        <w:t xml:space="preserve">supervisor </w:t>
      </w:r>
      <w:r w:rsidRPr="00772FE4">
        <w:rPr>
          <w:sz w:val="24"/>
          <w:szCs w:val="24"/>
        </w:rPr>
        <w:t>time per examination is needed.</w:t>
      </w:r>
    </w:p>
    <w:p w:rsidR="00553E3D" w:rsidRPr="00772FE4" w14:paraId="066BF7F9" w14:textId="77777777">
      <w:pPr>
        <w:shd w:val="solid" w:color="FFFFFF" w:fill="FFFFFF"/>
        <w:rPr>
          <w:sz w:val="24"/>
          <w:szCs w:val="24"/>
        </w:rPr>
      </w:pPr>
    </w:p>
    <w:p w:rsidR="00553E3D" w:rsidRPr="00772FE4" w14:paraId="7714CC6B" w14:textId="77C253F6">
      <w:pPr>
        <w:shd w:val="solid" w:color="FFFFFF" w:fill="FFFFFF"/>
        <w:ind w:firstLine="720"/>
        <w:rPr>
          <w:sz w:val="24"/>
          <w:szCs w:val="24"/>
        </w:rPr>
      </w:pPr>
      <w:r w:rsidRPr="00772FE4">
        <w:rPr>
          <w:b/>
          <w:bCs/>
          <w:sz w:val="24"/>
          <w:szCs w:val="24"/>
        </w:rPr>
        <w:t>Burden hours:</w:t>
      </w:r>
      <w:r w:rsidRPr="00772FE4">
        <w:rPr>
          <w:sz w:val="24"/>
          <w:szCs w:val="24"/>
        </w:rPr>
        <w:tab/>
      </w:r>
      <w:r w:rsidR="00EA31F2">
        <w:rPr>
          <w:sz w:val="24"/>
          <w:szCs w:val="24"/>
        </w:rPr>
        <w:t xml:space="preserve">7,921 </w:t>
      </w:r>
      <w:r w:rsidRPr="00772FE4" w:rsidR="00EA31F2">
        <w:rPr>
          <w:sz w:val="24"/>
          <w:szCs w:val="24"/>
        </w:rPr>
        <w:t>exams</w:t>
      </w:r>
      <w:r w:rsidRPr="00772FE4">
        <w:rPr>
          <w:sz w:val="24"/>
          <w:szCs w:val="24"/>
        </w:rPr>
        <w:t xml:space="preserve"> × </w:t>
      </w:r>
      <w:r w:rsidR="00153972">
        <w:rPr>
          <w:sz w:val="24"/>
          <w:szCs w:val="24"/>
        </w:rPr>
        <w:t>15/60</w:t>
      </w:r>
      <w:r w:rsidRPr="00772FE4">
        <w:rPr>
          <w:sz w:val="24"/>
          <w:szCs w:val="24"/>
        </w:rPr>
        <w:t xml:space="preserve"> hour</w:t>
      </w:r>
      <w:r w:rsidR="00A7233A">
        <w:rPr>
          <w:sz w:val="24"/>
          <w:szCs w:val="24"/>
        </w:rPr>
        <w:t>s</w:t>
      </w:r>
      <w:r w:rsidRPr="00772FE4">
        <w:rPr>
          <w:sz w:val="24"/>
          <w:szCs w:val="24"/>
        </w:rPr>
        <w:t xml:space="preserve"> per examination = </w:t>
      </w:r>
      <w:r w:rsidR="00EA31F2">
        <w:rPr>
          <w:sz w:val="24"/>
          <w:szCs w:val="24"/>
        </w:rPr>
        <w:t>1,980 hours</w:t>
      </w:r>
    </w:p>
    <w:p w:rsidR="00553E3D" w:rsidRPr="00772FE4" w14:paraId="73F31137" w14:textId="253364C4">
      <w:pPr>
        <w:shd w:val="solid" w:color="FFFFFF" w:fill="FFFFFF"/>
        <w:ind w:firstLine="720"/>
        <w:rPr>
          <w:sz w:val="24"/>
          <w:szCs w:val="24"/>
        </w:rPr>
      </w:pPr>
      <w:r w:rsidRPr="00772FE4">
        <w:rPr>
          <w:b/>
          <w:bCs/>
          <w:sz w:val="24"/>
          <w:szCs w:val="24"/>
        </w:rPr>
        <w:t xml:space="preserve">                Cost: </w:t>
      </w:r>
      <w:r w:rsidR="00884926">
        <w:rPr>
          <w:b/>
          <w:bCs/>
          <w:sz w:val="24"/>
          <w:szCs w:val="24"/>
        </w:rPr>
        <w:tab/>
      </w:r>
      <w:r w:rsidR="00EA31F2">
        <w:rPr>
          <w:sz w:val="24"/>
          <w:szCs w:val="24"/>
        </w:rPr>
        <w:t xml:space="preserve">1,980 </w:t>
      </w:r>
      <w:r w:rsidRPr="00772FE4" w:rsidR="00EA31F2">
        <w:rPr>
          <w:sz w:val="24"/>
          <w:szCs w:val="24"/>
        </w:rPr>
        <w:t>×</w:t>
      </w:r>
      <w:r w:rsidRPr="00772FE4">
        <w:rPr>
          <w:sz w:val="24"/>
          <w:szCs w:val="24"/>
        </w:rPr>
        <w:t xml:space="preserve"> $</w:t>
      </w:r>
      <w:r w:rsidR="00F2417C">
        <w:rPr>
          <w:sz w:val="24"/>
          <w:szCs w:val="24"/>
        </w:rPr>
        <w:t>55.</w:t>
      </w:r>
      <w:r w:rsidR="00EA31F2">
        <w:rPr>
          <w:sz w:val="24"/>
          <w:szCs w:val="24"/>
        </w:rPr>
        <w:t>55 =</w:t>
      </w:r>
      <w:r w:rsidRPr="00772FE4">
        <w:rPr>
          <w:sz w:val="24"/>
          <w:szCs w:val="24"/>
        </w:rPr>
        <w:t xml:space="preserve"> $</w:t>
      </w:r>
      <w:r w:rsidR="00DD2D63">
        <w:rPr>
          <w:sz w:val="24"/>
          <w:szCs w:val="24"/>
        </w:rPr>
        <w:t xml:space="preserve">109,989 </w:t>
      </w:r>
    </w:p>
    <w:p w:rsidR="00553E3D" w:rsidRPr="00772FE4" w14:paraId="4EE85DFF" w14:textId="77777777">
      <w:pPr>
        <w:rPr>
          <w:sz w:val="24"/>
          <w:szCs w:val="24"/>
        </w:rPr>
      </w:pPr>
    </w:p>
    <w:p w:rsidR="00553E3D" w:rsidRPr="00772FE4" w14:paraId="436AD295" w14:textId="77777777">
      <w:pPr>
        <w:ind w:firstLine="720"/>
        <w:rPr>
          <w:b/>
          <w:bCs/>
          <w:sz w:val="24"/>
          <w:szCs w:val="24"/>
        </w:rPr>
      </w:pPr>
      <w:r w:rsidRPr="00772FE4">
        <w:rPr>
          <w:b/>
          <w:bCs/>
          <w:sz w:val="24"/>
          <w:szCs w:val="24"/>
        </w:rPr>
        <w:t>(6)</w:t>
      </w:r>
      <w:r w:rsidRPr="00772FE4">
        <w:rPr>
          <w:b/>
          <w:bCs/>
          <w:sz w:val="24"/>
          <w:szCs w:val="24"/>
        </w:rPr>
        <w:tab/>
        <w:t>Physician’s Written Medical Opinion</w:t>
      </w:r>
    </w:p>
    <w:p w:rsidR="00553E3D" w:rsidRPr="00772FE4" w14:paraId="741D7AE3" w14:textId="77777777">
      <w:pPr>
        <w:rPr>
          <w:sz w:val="24"/>
          <w:szCs w:val="24"/>
        </w:rPr>
      </w:pPr>
    </w:p>
    <w:p w:rsidR="00553E3D" w:rsidRPr="00772FE4" w14:paraId="2A0051B9" w14:textId="148D2661">
      <w:pPr>
        <w:shd w:val="solid" w:color="FFFFFF" w:fill="FFFFFF"/>
        <w:rPr>
          <w:sz w:val="24"/>
          <w:szCs w:val="24"/>
        </w:rPr>
      </w:pPr>
      <w:r w:rsidRPr="00772FE4">
        <w:rPr>
          <w:sz w:val="24"/>
          <w:szCs w:val="24"/>
        </w:rPr>
        <w:t xml:space="preserve">Employers must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rsidR="00553E3D" w:rsidRPr="00772FE4" w14:paraId="694BF867" w14:textId="77777777">
      <w:pPr>
        <w:shd w:val="solid" w:color="FFFFFF" w:fill="FFFFFF"/>
        <w:rPr>
          <w:sz w:val="24"/>
          <w:szCs w:val="24"/>
        </w:rPr>
      </w:pPr>
    </w:p>
    <w:p w:rsidR="00553E3D" w:rsidRPr="00772FE4" w14:paraId="22856B39" w14:textId="3FB046B5">
      <w:pPr>
        <w:shd w:val="solid" w:color="FFFFFF" w:fill="FFFFFF"/>
        <w:ind w:firstLine="720"/>
        <w:rPr>
          <w:sz w:val="24"/>
          <w:szCs w:val="24"/>
        </w:rPr>
      </w:pPr>
      <w:r w:rsidRPr="00772FE4">
        <w:rPr>
          <w:b/>
          <w:bCs/>
          <w:sz w:val="24"/>
          <w:szCs w:val="24"/>
        </w:rPr>
        <w:t>(6)(a)</w:t>
      </w:r>
      <w:r w:rsidRPr="00772FE4">
        <w:rPr>
          <w:b/>
          <w:bCs/>
          <w:sz w:val="24"/>
          <w:szCs w:val="24"/>
        </w:rPr>
        <w:tab/>
        <w:t>Preparation of the Written Medical Opinion</w:t>
      </w:r>
    </w:p>
    <w:p w:rsidR="00553E3D" w:rsidRPr="00772FE4" w14:paraId="736F4172" w14:textId="77777777">
      <w:pPr>
        <w:shd w:val="solid" w:color="FFFFFF" w:fill="FFFFFF"/>
        <w:rPr>
          <w:sz w:val="24"/>
          <w:szCs w:val="24"/>
        </w:rPr>
      </w:pPr>
    </w:p>
    <w:p w:rsidR="00553E3D" w:rsidRPr="00772FE4" w14:paraId="0E2EA728" w14:textId="2FE18B25">
      <w:pPr>
        <w:shd w:val="solid" w:color="FFFFFF" w:fill="FFFFFF"/>
        <w:rPr>
          <w:sz w:val="24"/>
          <w:szCs w:val="24"/>
        </w:rPr>
      </w:pPr>
      <w:r>
        <w:rPr>
          <w:sz w:val="24"/>
          <w:szCs w:val="24"/>
        </w:rPr>
        <w:t>No burden hours are</w:t>
      </w:r>
      <w:r w:rsidRPr="00772FE4">
        <w:rPr>
          <w:sz w:val="24"/>
          <w:szCs w:val="24"/>
        </w:rPr>
        <w:t xml:space="preserve"> associated with this requirement since most physicians are not </w:t>
      </w:r>
      <w:r w:rsidR="00FA259D">
        <w:rPr>
          <w:sz w:val="24"/>
          <w:szCs w:val="24"/>
        </w:rPr>
        <w:t>worker</w:t>
      </w:r>
      <w:r w:rsidRPr="00772FE4">
        <w:rPr>
          <w:sz w:val="24"/>
          <w:szCs w:val="24"/>
        </w:rPr>
        <w:t xml:space="preserve">s of the affected construction firms. </w:t>
      </w:r>
      <w:r w:rsidR="007F3A34">
        <w:rPr>
          <w:sz w:val="24"/>
          <w:szCs w:val="24"/>
        </w:rPr>
        <w:t xml:space="preserve"> </w:t>
      </w:r>
      <w:r w:rsidRPr="00772FE4">
        <w:rPr>
          <w:sz w:val="24"/>
          <w:szCs w:val="24"/>
        </w:rPr>
        <w:t xml:space="preserve">The costs for </w:t>
      </w:r>
      <w:r>
        <w:rPr>
          <w:sz w:val="24"/>
          <w:szCs w:val="24"/>
        </w:rPr>
        <w:t>preparing</w:t>
      </w:r>
      <w:r w:rsidRPr="00772FE4">
        <w:rPr>
          <w:sz w:val="24"/>
          <w:szCs w:val="24"/>
        </w:rPr>
        <w:t xml:space="preserve"> the written medical opinion are included in the costs of the biological monitoring, medical examination, or consultation services. </w:t>
      </w:r>
      <w:r w:rsidR="007F3A34">
        <w:rPr>
          <w:sz w:val="24"/>
          <w:szCs w:val="24"/>
        </w:rPr>
        <w:t xml:space="preserve"> </w:t>
      </w:r>
      <w:r w:rsidRPr="00772FE4">
        <w:rPr>
          <w:sz w:val="24"/>
          <w:szCs w:val="24"/>
        </w:rPr>
        <w:t>The cost of these services is presented in the response to Item 13.</w:t>
      </w:r>
    </w:p>
    <w:p w:rsidR="00553E3D" w:rsidRPr="00772FE4" w14:paraId="2ECF5D02" w14:textId="77777777">
      <w:pPr>
        <w:shd w:val="solid" w:color="FFFFFF" w:fill="FFFFFF"/>
        <w:rPr>
          <w:sz w:val="24"/>
          <w:szCs w:val="24"/>
        </w:rPr>
      </w:pPr>
    </w:p>
    <w:p w:rsidR="00553E3D" w:rsidRPr="00772FE4" w14:paraId="642FE766" w14:textId="77777777">
      <w:pPr>
        <w:shd w:val="solid" w:color="FFFFFF" w:fill="FFFFFF"/>
        <w:ind w:firstLine="720"/>
        <w:rPr>
          <w:sz w:val="24"/>
          <w:szCs w:val="24"/>
        </w:rPr>
      </w:pPr>
      <w:r w:rsidRPr="00772FE4">
        <w:rPr>
          <w:b/>
          <w:bCs/>
          <w:sz w:val="24"/>
          <w:szCs w:val="24"/>
        </w:rPr>
        <w:t>(6)(b)</w:t>
      </w:r>
      <w:r w:rsidRPr="00772FE4">
        <w:rPr>
          <w:b/>
          <w:bCs/>
          <w:sz w:val="24"/>
          <w:szCs w:val="24"/>
        </w:rPr>
        <w:tab/>
        <w:t>Provision of the Written Medical Opinion</w:t>
      </w:r>
    </w:p>
    <w:p w:rsidR="00553E3D" w:rsidRPr="00772FE4" w14:paraId="1CCD0D72" w14:textId="77777777">
      <w:pPr>
        <w:shd w:val="solid" w:color="FFFFFF" w:fill="FFFFFF"/>
        <w:rPr>
          <w:sz w:val="24"/>
          <w:szCs w:val="24"/>
        </w:rPr>
      </w:pPr>
    </w:p>
    <w:p w:rsidR="00553E3D" w:rsidRPr="00772FE4" w14:paraId="01899CA5" w14:textId="209740C0">
      <w:pPr>
        <w:shd w:val="solid" w:color="FFFFFF" w:fill="FFFFFF"/>
        <w:rPr>
          <w:sz w:val="24"/>
          <w:szCs w:val="24"/>
        </w:rPr>
      </w:pPr>
      <w:r w:rsidRPr="00772FE4">
        <w:rPr>
          <w:sz w:val="24"/>
          <w:szCs w:val="24"/>
        </w:rPr>
        <w:t xml:space="preserve">A </w:t>
      </w:r>
      <w:r w:rsidR="001D7D1B">
        <w:rPr>
          <w:sz w:val="24"/>
          <w:szCs w:val="24"/>
        </w:rPr>
        <w:t xml:space="preserve">supervisor </w:t>
      </w:r>
      <w:r w:rsidR="00FA259D">
        <w:rPr>
          <w:sz w:val="24"/>
          <w:szCs w:val="24"/>
        </w:rPr>
        <w:t>worker</w:t>
      </w:r>
      <w:r w:rsidRPr="00772FE4">
        <w:rPr>
          <w:sz w:val="24"/>
          <w:szCs w:val="24"/>
        </w:rPr>
        <w:t xml:space="preserve"> </w:t>
      </w:r>
      <w:r w:rsidRPr="00772FE4" w:rsidR="00AE061E">
        <w:rPr>
          <w:sz w:val="24"/>
          <w:szCs w:val="24"/>
        </w:rPr>
        <w:t>takes</w:t>
      </w:r>
      <w:r w:rsidRPr="00772FE4">
        <w:rPr>
          <w:sz w:val="24"/>
          <w:szCs w:val="24"/>
        </w:rPr>
        <w:t xml:space="preserve"> six minutes (</w:t>
      </w:r>
      <w:r w:rsidR="00A914DD">
        <w:rPr>
          <w:sz w:val="24"/>
          <w:szCs w:val="24"/>
        </w:rPr>
        <w:t>6/60</w:t>
      </w:r>
      <w:r w:rsidRPr="00772FE4">
        <w:rPr>
          <w:sz w:val="24"/>
          <w:szCs w:val="24"/>
        </w:rPr>
        <w:t xml:space="preserve"> </w:t>
      </w:r>
      <w:r w:rsidR="00972E3D">
        <w:rPr>
          <w:sz w:val="24"/>
          <w:szCs w:val="24"/>
        </w:rPr>
        <w:t>hours</w:t>
      </w:r>
      <w:r w:rsidRPr="00772FE4">
        <w:rPr>
          <w:sz w:val="24"/>
          <w:szCs w:val="24"/>
        </w:rPr>
        <w:t xml:space="preserve">) per test or examination to provide </w:t>
      </w:r>
      <w:r w:rsidR="00972E3D">
        <w:rPr>
          <w:sz w:val="24"/>
          <w:szCs w:val="24"/>
        </w:rPr>
        <w:t>the affected worker a copy of the physician’s written medical opinion</w:t>
      </w:r>
      <w:r w:rsidRPr="00772FE4">
        <w:rPr>
          <w:sz w:val="24"/>
          <w:szCs w:val="24"/>
        </w:rPr>
        <w:t xml:space="preserve">. </w:t>
      </w:r>
      <w:r w:rsidR="007F3A34">
        <w:rPr>
          <w:sz w:val="24"/>
          <w:szCs w:val="24"/>
        </w:rPr>
        <w:t xml:space="preserve"> </w:t>
      </w:r>
      <w:r w:rsidRPr="00772FE4">
        <w:rPr>
          <w:sz w:val="24"/>
          <w:szCs w:val="24"/>
        </w:rPr>
        <w:t xml:space="preserve">However, the burden associated with providing written medical opinions for biological monitoring results is in the discussion of the Employee Notification requirement. </w:t>
      </w:r>
      <w:r w:rsidR="007F3A34">
        <w:rPr>
          <w:sz w:val="24"/>
          <w:szCs w:val="24"/>
        </w:rPr>
        <w:t xml:space="preserve"> </w:t>
      </w:r>
      <w:r w:rsidRPr="00772FE4">
        <w:rPr>
          <w:sz w:val="24"/>
          <w:szCs w:val="24"/>
        </w:rPr>
        <w:t xml:space="preserve">Therefore, </w:t>
      </w:r>
      <w:r w:rsidR="00972E3D">
        <w:rPr>
          <w:sz w:val="24"/>
          <w:szCs w:val="24"/>
        </w:rPr>
        <w:t>to</w:t>
      </w:r>
      <w:r w:rsidRPr="00772FE4">
        <w:rPr>
          <w:sz w:val="24"/>
          <w:szCs w:val="24"/>
        </w:rPr>
        <w:t xml:space="preserve"> avoid double-counting, the number of burden hours presented here is only for those written opinions generated by medical examinations.</w:t>
      </w:r>
    </w:p>
    <w:p w:rsidR="00553E3D" w:rsidRPr="00772FE4" w14:paraId="174B0B55" w14:textId="77777777">
      <w:pPr>
        <w:shd w:val="solid" w:color="FFFFFF" w:fill="FFFFFF"/>
        <w:rPr>
          <w:sz w:val="24"/>
          <w:szCs w:val="24"/>
        </w:rPr>
      </w:pPr>
    </w:p>
    <w:p w:rsidR="00553E3D" w:rsidRPr="00772FE4" w14:paraId="34FE87DC" w14:textId="29DCAE00">
      <w:pPr>
        <w:shd w:val="solid" w:color="FFFFFF" w:fill="FFFFFF"/>
        <w:ind w:firstLine="720"/>
        <w:rPr>
          <w:sz w:val="24"/>
          <w:szCs w:val="24"/>
        </w:rPr>
      </w:pPr>
      <w:r w:rsidRPr="00772FE4">
        <w:rPr>
          <w:b/>
          <w:bCs/>
          <w:sz w:val="24"/>
          <w:szCs w:val="24"/>
        </w:rPr>
        <w:t>Burden hours:</w:t>
      </w:r>
      <w:r w:rsidRPr="00772FE4">
        <w:rPr>
          <w:b/>
          <w:bCs/>
          <w:sz w:val="24"/>
          <w:szCs w:val="24"/>
        </w:rPr>
        <w:tab/>
      </w:r>
      <w:r w:rsidR="00001DD5">
        <w:rPr>
          <w:sz w:val="24"/>
          <w:szCs w:val="24"/>
        </w:rPr>
        <w:t xml:space="preserve">7,921 </w:t>
      </w:r>
      <w:r w:rsidRPr="00772FE4" w:rsidR="00001DD5">
        <w:rPr>
          <w:sz w:val="24"/>
          <w:szCs w:val="24"/>
        </w:rPr>
        <w:t>exams</w:t>
      </w:r>
      <w:r w:rsidRPr="00772FE4">
        <w:rPr>
          <w:sz w:val="24"/>
          <w:szCs w:val="24"/>
        </w:rPr>
        <w:t xml:space="preserve"> × 1 notification/exam × </w:t>
      </w:r>
      <w:r w:rsidR="00153972">
        <w:rPr>
          <w:sz w:val="24"/>
          <w:szCs w:val="24"/>
        </w:rPr>
        <w:t>6/60</w:t>
      </w:r>
      <w:r w:rsidRPr="00772FE4">
        <w:rPr>
          <w:sz w:val="24"/>
          <w:szCs w:val="24"/>
        </w:rPr>
        <w:t xml:space="preserve"> hour</w:t>
      </w:r>
      <w:r w:rsidR="00972E3D">
        <w:rPr>
          <w:sz w:val="24"/>
          <w:szCs w:val="24"/>
        </w:rPr>
        <w:t>s</w:t>
      </w:r>
      <w:r w:rsidRPr="00772FE4">
        <w:rPr>
          <w:sz w:val="24"/>
          <w:szCs w:val="24"/>
        </w:rPr>
        <w:t xml:space="preserve"> = </w:t>
      </w:r>
      <w:r w:rsidR="00E33918">
        <w:rPr>
          <w:sz w:val="24"/>
          <w:szCs w:val="24"/>
        </w:rPr>
        <w:t>792 hours</w:t>
      </w:r>
    </w:p>
    <w:p w:rsidR="00553E3D" w:rsidRPr="00772FE4" w14:paraId="23AEC8F2" w14:textId="07A84CF2">
      <w:pPr>
        <w:shd w:val="solid" w:color="FFFFFF" w:fill="FFFFFF"/>
        <w:ind w:firstLine="720"/>
        <w:rPr>
          <w:sz w:val="24"/>
          <w:szCs w:val="24"/>
        </w:rPr>
      </w:pPr>
      <w:r w:rsidRPr="00772FE4">
        <w:rPr>
          <w:b/>
          <w:bCs/>
          <w:sz w:val="24"/>
          <w:szCs w:val="24"/>
        </w:rPr>
        <w:t xml:space="preserve">                Cost:</w:t>
      </w:r>
      <w:r w:rsidRPr="00772FE4">
        <w:rPr>
          <w:b/>
          <w:bCs/>
          <w:sz w:val="24"/>
          <w:szCs w:val="24"/>
        </w:rPr>
        <w:tab/>
      </w:r>
      <w:r w:rsidR="00001DD5">
        <w:rPr>
          <w:sz w:val="24"/>
          <w:szCs w:val="24"/>
        </w:rPr>
        <w:t>792 hours</w:t>
      </w:r>
      <w:r w:rsidRPr="00772FE4">
        <w:rPr>
          <w:sz w:val="24"/>
          <w:szCs w:val="24"/>
        </w:rPr>
        <w:t xml:space="preserve"> × $</w:t>
      </w:r>
      <w:r w:rsidR="00141241">
        <w:rPr>
          <w:sz w:val="24"/>
          <w:szCs w:val="24"/>
        </w:rPr>
        <w:t>55.</w:t>
      </w:r>
      <w:r w:rsidR="00E33918">
        <w:rPr>
          <w:sz w:val="24"/>
          <w:szCs w:val="24"/>
        </w:rPr>
        <w:t>55 =</w:t>
      </w:r>
      <w:r w:rsidRPr="00772FE4">
        <w:rPr>
          <w:sz w:val="24"/>
          <w:szCs w:val="24"/>
        </w:rPr>
        <w:t xml:space="preserve"> $</w:t>
      </w:r>
      <w:r w:rsidR="00085BF7">
        <w:rPr>
          <w:sz w:val="24"/>
          <w:szCs w:val="24"/>
        </w:rPr>
        <w:t>43,</w:t>
      </w:r>
      <w:r w:rsidR="000D75D9">
        <w:rPr>
          <w:sz w:val="24"/>
          <w:szCs w:val="24"/>
        </w:rPr>
        <w:t xml:space="preserve">996 </w:t>
      </w:r>
    </w:p>
    <w:p w:rsidR="00553E3D" w:rsidRPr="00772FE4" w14:paraId="035FA8B9" w14:textId="77777777">
      <w:pPr>
        <w:shd w:val="solid" w:color="FFFFFF" w:fill="FFFFFF"/>
        <w:rPr>
          <w:sz w:val="24"/>
          <w:szCs w:val="24"/>
        </w:rPr>
      </w:pPr>
    </w:p>
    <w:p w:rsidR="00553E3D" w:rsidRPr="00772FE4" w14:paraId="07D870E7" w14:textId="77777777">
      <w:pPr>
        <w:shd w:val="solid" w:color="FFFFFF" w:fill="FFFFFF"/>
        <w:ind w:firstLine="720"/>
        <w:rPr>
          <w:b/>
          <w:bCs/>
          <w:sz w:val="24"/>
          <w:szCs w:val="24"/>
        </w:rPr>
      </w:pPr>
      <w:r w:rsidRPr="00772FE4">
        <w:rPr>
          <w:b/>
          <w:bCs/>
          <w:sz w:val="24"/>
          <w:szCs w:val="24"/>
        </w:rPr>
        <w:t>(7)</w:t>
      </w:r>
      <w:r w:rsidRPr="00772FE4">
        <w:rPr>
          <w:sz w:val="24"/>
          <w:szCs w:val="24"/>
        </w:rPr>
        <w:t xml:space="preserve">  </w:t>
      </w:r>
      <w:r w:rsidRPr="00772FE4">
        <w:rPr>
          <w:b/>
          <w:bCs/>
          <w:sz w:val="24"/>
          <w:szCs w:val="24"/>
        </w:rPr>
        <w:t>Chelation Notification</w:t>
      </w:r>
    </w:p>
    <w:p w:rsidR="00553E3D" w:rsidRPr="00772FE4" w14:paraId="157005C8" w14:textId="77777777">
      <w:pPr>
        <w:shd w:val="solid" w:color="FFFFFF" w:fill="FFFFFF"/>
        <w:rPr>
          <w:sz w:val="24"/>
          <w:szCs w:val="24"/>
        </w:rPr>
      </w:pPr>
    </w:p>
    <w:p w:rsidR="00553E3D" w:rsidRPr="00772FE4" w14:paraId="059A79CD" w14:textId="659BD70C">
      <w:pPr>
        <w:shd w:val="solid" w:color="FFFFFF" w:fill="FFFFFF"/>
        <w:rPr>
          <w:sz w:val="24"/>
          <w:szCs w:val="24"/>
        </w:rPr>
      </w:pPr>
      <w:r w:rsidRPr="00772FE4">
        <w:rPr>
          <w:sz w:val="24"/>
          <w:szCs w:val="24"/>
        </w:rPr>
        <w:t xml:space="preserve">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w:t>
      </w:r>
      <w:r w:rsidR="00972E3D">
        <w:rPr>
          <w:sz w:val="24"/>
          <w:szCs w:val="24"/>
        </w:rPr>
        <w:t>before</w:t>
      </w:r>
      <w:r w:rsidRPr="00772FE4">
        <w:rPr>
          <w:sz w:val="24"/>
          <w:szCs w:val="24"/>
        </w:rPr>
        <w:t xml:space="preserve"> the occurrence of the chelation. In general, chelation is only performed in severe cases of lead intoxication.</w:t>
      </w:r>
      <w:r w:rsidR="007F3A34">
        <w:rPr>
          <w:sz w:val="24"/>
          <w:szCs w:val="24"/>
        </w:rPr>
        <w:t xml:space="preserve"> </w:t>
      </w:r>
      <w:r w:rsidRPr="00772FE4">
        <w:rPr>
          <w:sz w:val="24"/>
          <w:szCs w:val="24"/>
        </w:rPr>
        <w:t xml:space="preserve"> If employers are in full compliance with the Standard, </w:t>
      </w:r>
      <w:r w:rsidR="00FA259D">
        <w:rPr>
          <w:sz w:val="24"/>
          <w:szCs w:val="24"/>
        </w:rPr>
        <w:t>worker</w:t>
      </w:r>
      <w:r w:rsidRPr="00772FE4">
        <w:rPr>
          <w:sz w:val="24"/>
          <w:szCs w:val="24"/>
        </w:rPr>
        <w:t xml:space="preserve">s should not experience blood-lead levels high enough to require therapeutic or diagnostic chelation to be performed. </w:t>
      </w:r>
      <w:r w:rsidR="007F3A34">
        <w:rPr>
          <w:sz w:val="24"/>
          <w:szCs w:val="24"/>
        </w:rPr>
        <w:t xml:space="preserve"> </w:t>
      </w:r>
      <w:r w:rsidRPr="00772FE4">
        <w:rPr>
          <w:sz w:val="24"/>
          <w:szCs w:val="24"/>
        </w:rPr>
        <w:t>Therefore, no annual burden has been estimated for this requirement.</w:t>
      </w:r>
    </w:p>
    <w:p w:rsidR="00553E3D" w:rsidRPr="00772FE4" w14:paraId="123F68C8" w14:textId="77777777">
      <w:pPr>
        <w:shd w:val="solid" w:color="FFFFFF" w:fill="FFFFFF"/>
        <w:rPr>
          <w:sz w:val="24"/>
          <w:szCs w:val="24"/>
        </w:rPr>
      </w:pPr>
    </w:p>
    <w:p w:rsidR="00553E3D" w:rsidRPr="00772FE4" w14:paraId="59961ABB" w14:textId="77777777">
      <w:pPr>
        <w:shd w:val="solid" w:color="FFFFFF" w:fill="FFFFFF"/>
        <w:rPr>
          <w:sz w:val="24"/>
          <w:szCs w:val="24"/>
        </w:rPr>
      </w:pPr>
      <w:r w:rsidRPr="00772FE4">
        <w:rPr>
          <w:b/>
          <w:bCs/>
          <w:sz w:val="24"/>
          <w:szCs w:val="24"/>
        </w:rPr>
        <w:t>G.</w:t>
      </w:r>
      <w:r w:rsidRPr="00772FE4">
        <w:rPr>
          <w:b/>
          <w:bCs/>
          <w:sz w:val="24"/>
          <w:szCs w:val="24"/>
        </w:rPr>
        <w:tab/>
        <w:t>Recordkeeping (§ 1926.62 (n))</w:t>
      </w:r>
    </w:p>
    <w:p w:rsidR="00553E3D" w:rsidRPr="00772FE4" w14:paraId="6E8C6ADF" w14:textId="77777777">
      <w:pPr>
        <w:shd w:val="solid" w:color="FFFFFF" w:fill="FFFFFF"/>
        <w:rPr>
          <w:sz w:val="24"/>
          <w:szCs w:val="24"/>
        </w:rPr>
      </w:pPr>
    </w:p>
    <w:p w:rsidR="00553E3D" w:rsidRPr="00772FE4" w14:paraId="1BECDF48" w14:textId="77777777">
      <w:pPr>
        <w:shd w:val="solid" w:color="FFFFFF" w:fill="FFFFFF"/>
        <w:ind w:firstLine="720"/>
        <w:rPr>
          <w:b/>
          <w:bCs/>
          <w:sz w:val="24"/>
          <w:szCs w:val="24"/>
        </w:rPr>
      </w:pPr>
      <w:r w:rsidRPr="00772FE4">
        <w:rPr>
          <w:b/>
          <w:bCs/>
          <w:sz w:val="24"/>
          <w:szCs w:val="24"/>
        </w:rPr>
        <w:t>(1)</w:t>
      </w:r>
      <w:r w:rsidRPr="00772FE4">
        <w:rPr>
          <w:b/>
          <w:bCs/>
          <w:sz w:val="24"/>
          <w:szCs w:val="24"/>
        </w:rPr>
        <w:tab/>
        <w:t xml:space="preserve">Exposure </w:t>
      </w:r>
      <w:r w:rsidR="0041263A">
        <w:rPr>
          <w:b/>
          <w:bCs/>
          <w:sz w:val="24"/>
          <w:szCs w:val="24"/>
        </w:rPr>
        <w:t>M</w:t>
      </w:r>
      <w:r w:rsidRPr="00772FE4">
        <w:rPr>
          <w:b/>
          <w:bCs/>
          <w:sz w:val="24"/>
          <w:szCs w:val="24"/>
        </w:rPr>
        <w:t>onitoring Records</w:t>
      </w:r>
      <w:r w:rsidRPr="00772FE4">
        <w:rPr>
          <w:b/>
          <w:bCs/>
          <w:sz w:val="24"/>
          <w:szCs w:val="24"/>
        </w:rPr>
        <w:tab/>
      </w:r>
    </w:p>
    <w:p w:rsidR="00553E3D" w:rsidRPr="00772FE4" w14:paraId="693E80C8" w14:textId="77777777">
      <w:pPr>
        <w:shd w:val="solid" w:color="FFFFFF" w:fill="FFFFFF"/>
        <w:rPr>
          <w:sz w:val="24"/>
          <w:szCs w:val="24"/>
        </w:rPr>
      </w:pPr>
    </w:p>
    <w:p w:rsidR="00553E3D" w:rsidRPr="00772FE4" w14:paraId="1DDF5844" w14:textId="1E1D5B94">
      <w:pPr>
        <w:shd w:val="solid" w:color="FFFFFF" w:fill="FFFFFF"/>
        <w:rPr>
          <w:sz w:val="24"/>
          <w:szCs w:val="24"/>
        </w:rPr>
      </w:pPr>
      <w:r w:rsidRPr="00772FE4">
        <w:rPr>
          <w:sz w:val="24"/>
          <w:szCs w:val="24"/>
        </w:rPr>
        <w:t xml:space="preserve">The Standard requires employers to establish and maintain an accurate record of all monitoring and other data in conducting </w:t>
      </w:r>
      <w:r w:rsidR="00FA259D">
        <w:rPr>
          <w:sz w:val="24"/>
          <w:szCs w:val="24"/>
        </w:rPr>
        <w:t>worker</w:t>
      </w:r>
      <w:r w:rsidRPr="00772FE4">
        <w:rPr>
          <w:sz w:val="24"/>
          <w:szCs w:val="24"/>
        </w:rPr>
        <w:t xml:space="preserve"> exposure assessments. </w:t>
      </w:r>
      <w:r w:rsidR="007F3A34">
        <w:rPr>
          <w:sz w:val="24"/>
          <w:szCs w:val="24"/>
        </w:rPr>
        <w:t xml:space="preserve"> </w:t>
      </w:r>
      <w:r w:rsidRPr="00772FE4">
        <w:rPr>
          <w:sz w:val="24"/>
          <w:szCs w:val="24"/>
        </w:rPr>
        <w:t xml:space="preserve">As described above, </w:t>
      </w:r>
      <w:r w:rsidR="00BD20AC">
        <w:rPr>
          <w:sz w:val="24"/>
          <w:szCs w:val="24"/>
        </w:rPr>
        <w:t>72,120 firms</w:t>
      </w:r>
      <w:r w:rsidRPr="00772FE4">
        <w:rPr>
          <w:sz w:val="24"/>
          <w:szCs w:val="24"/>
        </w:rPr>
        <w:t xml:space="preserve"> with worker exposures above the PEL conduct one session of representative monitoring per year for a total of </w:t>
      </w:r>
      <w:r w:rsidR="00BD20AC">
        <w:rPr>
          <w:sz w:val="24"/>
          <w:szCs w:val="24"/>
        </w:rPr>
        <w:t>72,120 representative</w:t>
      </w:r>
      <w:r w:rsidRPr="00772FE4">
        <w:rPr>
          <w:sz w:val="24"/>
          <w:szCs w:val="24"/>
        </w:rPr>
        <w:t xml:space="preserve"> </w:t>
      </w:r>
      <w:r w:rsidRPr="00772FE4" w:rsidR="006B0AB9">
        <w:rPr>
          <w:sz w:val="24"/>
          <w:szCs w:val="24"/>
        </w:rPr>
        <w:t>monitoring</w:t>
      </w:r>
      <w:r w:rsidRPr="00772FE4">
        <w:rPr>
          <w:sz w:val="24"/>
          <w:szCs w:val="24"/>
        </w:rPr>
        <w:t xml:space="preserve"> per year. </w:t>
      </w:r>
      <w:r w:rsidR="007F3A34">
        <w:rPr>
          <w:sz w:val="24"/>
          <w:szCs w:val="24"/>
        </w:rPr>
        <w:t xml:space="preserve"> </w:t>
      </w:r>
      <w:r w:rsidRPr="00772FE4">
        <w:rPr>
          <w:sz w:val="24"/>
          <w:szCs w:val="24"/>
        </w:rPr>
        <w:t xml:space="preserve">OSHA also estimates that </w:t>
      </w:r>
      <w:r w:rsidR="00BD20AC">
        <w:rPr>
          <w:sz w:val="24"/>
          <w:szCs w:val="24"/>
        </w:rPr>
        <w:t xml:space="preserve">5,239 </w:t>
      </w:r>
      <w:r w:rsidRPr="00772FE4" w:rsidR="00BD20AC">
        <w:rPr>
          <w:sz w:val="24"/>
          <w:szCs w:val="24"/>
        </w:rPr>
        <w:t>firms</w:t>
      </w:r>
      <w:r w:rsidRPr="00772FE4">
        <w:rPr>
          <w:sz w:val="24"/>
          <w:szCs w:val="24"/>
        </w:rPr>
        <w:t xml:space="preserve"> </w:t>
      </w:r>
      <w:r w:rsidRPr="00772FE4" w:rsidR="00972E3D">
        <w:rPr>
          <w:sz w:val="24"/>
          <w:szCs w:val="24"/>
        </w:rPr>
        <w:t>conduct,</w:t>
      </w:r>
      <w:r w:rsidR="00DC5689">
        <w:rPr>
          <w:sz w:val="24"/>
          <w:szCs w:val="24"/>
        </w:rPr>
        <w:t xml:space="preserve"> and the 2,181</w:t>
      </w:r>
      <w:r w:rsidR="00914AC5">
        <w:rPr>
          <w:sz w:val="24"/>
          <w:szCs w:val="24"/>
        </w:rPr>
        <w:t xml:space="preserve"> firms equals</w:t>
      </w:r>
      <w:r w:rsidRPr="00772FE4">
        <w:rPr>
          <w:sz w:val="24"/>
          <w:szCs w:val="24"/>
        </w:rPr>
        <w:t xml:space="preserve"> a total of </w:t>
      </w:r>
      <w:r w:rsidR="00BD20AC">
        <w:rPr>
          <w:sz w:val="24"/>
          <w:szCs w:val="24"/>
        </w:rPr>
        <w:t xml:space="preserve">7,420 </w:t>
      </w:r>
      <w:r w:rsidRPr="00772FE4" w:rsidR="00BD20AC">
        <w:rPr>
          <w:sz w:val="24"/>
          <w:szCs w:val="24"/>
        </w:rPr>
        <w:t>periodic</w:t>
      </w:r>
      <w:r w:rsidRPr="00772FE4">
        <w:rPr>
          <w:sz w:val="24"/>
          <w:szCs w:val="24"/>
        </w:rPr>
        <w:t xml:space="preserve"> </w:t>
      </w:r>
      <w:r w:rsidRPr="00772FE4" w:rsidR="006B0AB9">
        <w:rPr>
          <w:sz w:val="24"/>
          <w:szCs w:val="24"/>
        </w:rPr>
        <w:t>monitoring</w:t>
      </w:r>
      <w:r w:rsidRPr="00772FE4">
        <w:rPr>
          <w:sz w:val="24"/>
          <w:szCs w:val="24"/>
        </w:rPr>
        <w:t xml:space="preserve"> per year. </w:t>
      </w:r>
      <w:r w:rsidR="007F3A34">
        <w:rPr>
          <w:sz w:val="24"/>
          <w:szCs w:val="24"/>
        </w:rPr>
        <w:t xml:space="preserve"> </w:t>
      </w:r>
      <w:r w:rsidRPr="00772FE4">
        <w:rPr>
          <w:sz w:val="24"/>
          <w:szCs w:val="24"/>
        </w:rPr>
        <w:t xml:space="preserve">Thus, there are </w:t>
      </w:r>
      <w:r w:rsidR="00BD20AC">
        <w:rPr>
          <w:sz w:val="24"/>
          <w:szCs w:val="24"/>
        </w:rPr>
        <w:t>79,540 exposure</w:t>
      </w:r>
      <w:r w:rsidRPr="00772FE4">
        <w:rPr>
          <w:sz w:val="24"/>
          <w:szCs w:val="24"/>
        </w:rPr>
        <w:t xml:space="preserve"> </w:t>
      </w:r>
      <w:r w:rsidRPr="00772FE4" w:rsidR="006B0AB9">
        <w:rPr>
          <w:sz w:val="24"/>
          <w:szCs w:val="24"/>
        </w:rPr>
        <w:t>monitoring</w:t>
      </w:r>
      <w:r w:rsidRPr="00772FE4">
        <w:rPr>
          <w:sz w:val="24"/>
          <w:szCs w:val="24"/>
        </w:rPr>
        <w:t xml:space="preserve"> per year for which records are kept. </w:t>
      </w:r>
      <w:r w:rsidR="007F3A34">
        <w:rPr>
          <w:sz w:val="24"/>
          <w:szCs w:val="24"/>
        </w:rPr>
        <w:t xml:space="preserve"> </w:t>
      </w:r>
      <w:r w:rsidRPr="00772FE4">
        <w:rPr>
          <w:sz w:val="24"/>
          <w:szCs w:val="24"/>
        </w:rPr>
        <w:t xml:space="preserve">OSHA estimates that establishment and maintenance of </w:t>
      </w:r>
      <w:r w:rsidR="00FA259D">
        <w:rPr>
          <w:sz w:val="24"/>
          <w:szCs w:val="24"/>
        </w:rPr>
        <w:t>worker</w:t>
      </w:r>
      <w:r w:rsidRPr="00772FE4">
        <w:rPr>
          <w:sz w:val="24"/>
          <w:szCs w:val="24"/>
        </w:rPr>
        <w:t xml:space="preserve"> monitoring records requires approximately six minutes (</w:t>
      </w:r>
      <w:r w:rsidR="00A914DD">
        <w:rPr>
          <w:sz w:val="24"/>
          <w:szCs w:val="24"/>
        </w:rPr>
        <w:t>6/60</w:t>
      </w:r>
      <w:r w:rsidRPr="00772FE4">
        <w:rPr>
          <w:sz w:val="24"/>
          <w:szCs w:val="24"/>
        </w:rPr>
        <w:t xml:space="preserve"> hour</w:t>
      </w:r>
      <w:r w:rsidR="00972E3D">
        <w:rPr>
          <w:sz w:val="24"/>
          <w:szCs w:val="24"/>
        </w:rPr>
        <w:t>s</w:t>
      </w:r>
      <w:r w:rsidRPr="00772FE4">
        <w:rPr>
          <w:sz w:val="24"/>
          <w:szCs w:val="24"/>
        </w:rPr>
        <w:t xml:space="preserve">) of clerical time per record. </w:t>
      </w:r>
      <w:r w:rsidR="007F3A34">
        <w:rPr>
          <w:sz w:val="24"/>
          <w:szCs w:val="24"/>
        </w:rPr>
        <w:t xml:space="preserve"> </w:t>
      </w:r>
      <w:r w:rsidRPr="00772FE4">
        <w:rPr>
          <w:sz w:val="24"/>
          <w:szCs w:val="24"/>
        </w:rPr>
        <w:t>The total annual burden for this requirement is derived using the following formula:</w:t>
      </w:r>
    </w:p>
    <w:p w:rsidR="00553E3D" w:rsidRPr="00772FE4" w14:paraId="1C49F9DA" w14:textId="77777777">
      <w:pPr>
        <w:shd w:val="solid" w:color="FFFFFF" w:fill="FFFFFF"/>
        <w:rPr>
          <w:sz w:val="24"/>
          <w:szCs w:val="24"/>
        </w:rPr>
      </w:pPr>
    </w:p>
    <w:p w:rsidR="00553E3D" w:rsidRPr="00772FE4" w14:paraId="5D02EF2B" w14:textId="751421FE">
      <w:pPr>
        <w:shd w:val="solid" w:color="FFFFFF" w:fill="FFFFFF"/>
        <w:ind w:firstLine="720"/>
        <w:rPr>
          <w:sz w:val="24"/>
          <w:szCs w:val="24"/>
        </w:rPr>
      </w:pPr>
      <w:r w:rsidRPr="00772FE4">
        <w:rPr>
          <w:b/>
          <w:bCs/>
          <w:sz w:val="24"/>
          <w:szCs w:val="24"/>
        </w:rPr>
        <w:t>Burden hours:</w:t>
      </w:r>
      <w:r w:rsidRPr="00772FE4">
        <w:rPr>
          <w:sz w:val="24"/>
          <w:szCs w:val="24"/>
        </w:rPr>
        <w:tab/>
      </w:r>
      <w:r w:rsidR="00BD20AC">
        <w:rPr>
          <w:sz w:val="24"/>
          <w:szCs w:val="24"/>
        </w:rPr>
        <w:t>79,540 records</w:t>
      </w:r>
      <w:r w:rsidRPr="00772FE4">
        <w:rPr>
          <w:sz w:val="24"/>
          <w:szCs w:val="24"/>
        </w:rPr>
        <w:t xml:space="preserve"> × </w:t>
      </w:r>
      <w:r w:rsidR="00153972">
        <w:rPr>
          <w:sz w:val="24"/>
          <w:szCs w:val="24"/>
        </w:rPr>
        <w:t>6/60</w:t>
      </w:r>
      <w:r w:rsidRPr="00772FE4">
        <w:rPr>
          <w:sz w:val="24"/>
          <w:szCs w:val="24"/>
        </w:rPr>
        <w:t xml:space="preserve"> hour</w:t>
      </w:r>
      <w:r w:rsidR="00972E3D">
        <w:rPr>
          <w:sz w:val="24"/>
          <w:szCs w:val="24"/>
        </w:rPr>
        <w:t>s</w:t>
      </w:r>
      <w:r w:rsidRPr="00772FE4">
        <w:rPr>
          <w:sz w:val="24"/>
          <w:szCs w:val="24"/>
        </w:rPr>
        <w:t xml:space="preserve"> = </w:t>
      </w:r>
      <w:r w:rsidR="00BD20AC">
        <w:rPr>
          <w:sz w:val="24"/>
          <w:szCs w:val="24"/>
        </w:rPr>
        <w:t>7,954 hours</w:t>
      </w:r>
    </w:p>
    <w:p w:rsidR="00553E3D" w:rsidRPr="00772FE4" w14:paraId="549E2FB1" w14:textId="6DD04C60">
      <w:pPr>
        <w:shd w:val="solid" w:color="FFFFFF" w:fill="FFFFFF"/>
        <w:ind w:firstLine="720"/>
        <w:rPr>
          <w:sz w:val="24"/>
          <w:szCs w:val="24"/>
        </w:rPr>
      </w:pPr>
      <w:r w:rsidRPr="00772FE4">
        <w:rPr>
          <w:b/>
          <w:bCs/>
          <w:sz w:val="24"/>
          <w:szCs w:val="24"/>
        </w:rPr>
        <w:t xml:space="preserve">                Cost:</w:t>
      </w:r>
      <w:r w:rsidRPr="00772FE4">
        <w:rPr>
          <w:sz w:val="24"/>
          <w:szCs w:val="24"/>
        </w:rPr>
        <w:tab/>
      </w:r>
      <w:r w:rsidR="00BD20AC">
        <w:rPr>
          <w:sz w:val="24"/>
          <w:szCs w:val="24"/>
        </w:rPr>
        <w:t xml:space="preserve">7,954 </w:t>
      </w:r>
      <w:r w:rsidRPr="00772FE4" w:rsidR="00BD20AC">
        <w:rPr>
          <w:sz w:val="24"/>
          <w:szCs w:val="24"/>
        </w:rPr>
        <w:t>hours</w:t>
      </w:r>
      <w:r w:rsidRPr="00772FE4">
        <w:rPr>
          <w:sz w:val="24"/>
          <w:szCs w:val="24"/>
        </w:rPr>
        <w:t xml:space="preserve"> × $</w:t>
      </w:r>
      <w:r w:rsidR="00BB0D62">
        <w:rPr>
          <w:sz w:val="24"/>
          <w:szCs w:val="24"/>
        </w:rPr>
        <w:t>32.</w:t>
      </w:r>
      <w:r w:rsidR="00BD20AC">
        <w:rPr>
          <w:sz w:val="24"/>
          <w:szCs w:val="24"/>
        </w:rPr>
        <w:t xml:space="preserve">74 </w:t>
      </w:r>
      <w:r w:rsidRPr="00772FE4" w:rsidR="00BD20AC">
        <w:rPr>
          <w:sz w:val="24"/>
          <w:szCs w:val="24"/>
        </w:rPr>
        <w:t>=</w:t>
      </w:r>
      <w:r w:rsidRPr="00772FE4">
        <w:rPr>
          <w:sz w:val="24"/>
          <w:szCs w:val="24"/>
        </w:rPr>
        <w:t xml:space="preserve"> $</w:t>
      </w:r>
      <w:r w:rsidR="00BC7BFA">
        <w:rPr>
          <w:sz w:val="24"/>
          <w:szCs w:val="24"/>
        </w:rPr>
        <w:t>2</w:t>
      </w:r>
      <w:r w:rsidR="00F45FAE">
        <w:rPr>
          <w:sz w:val="24"/>
          <w:szCs w:val="24"/>
        </w:rPr>
        <w:t xml:space="preserve">60,414 </w:t>
      </w:r>
    </w:p>
    <w:p w:rsidR="00553E3D" w:rsidRPr="00772FE4" w14:paraId="539888CB" w14:textId="77777777">
      <w:pPr>
        <w:shd w:val="solid" w:color="FFFFFF" w:fill="FFFFFF"/>
        <w:rPr>
          <w:sz w:val="24"/>
          <w:szCs w:val="24"/>
        </w:rPr>
      </w:pPr>
    </w:p>
    <w:p w:rsidR="00553E3D" w:rsidRPr="00772FE4" w14:paraId="1DC4B861" w14:textId="77777777">
      <w:pPr>
        <w:shd w:val="solid" w:color="FFFFFF" w:fill="FFFFFF"/>
        <w:ind w:firstLine="720"/>
        <w:rPr>
          <w:b/>
          <w:bCs/>
          <w:sz w:val="24"/>
          <w:szCs w:val="24"/>
        </w:rPr>
      </w:pPr>
      <w:r w:rsidRPr="00772FE4">
        <w:rPr>
          <w:b/>
          <w:bCs/>
          <w:sz w:val="24"/>
          <w:szCs w:val="24"/>
        </w:rPr>
        <w:t>(2)</w:t>
      </w:r>
      <w:r w:rsidRPr="00772FE4">
        <w:rPr>
          <w:b/>
          <w:bCs/>
          <w:sz w:val="24"/>
          <w:szCs w:val="24"/>
        </w:rPr>
        <w:tab/>
        <w:t>Medical Surveillance Records</w:t>
      </w:r>
    </w:p>
    <w:p w:rsidR="00553E3D" w:rsidRPr="00772FE4" w14:paraId="1EE2128B" w14:textId="77777777">
      <w:pPr>
        <w:shd w:val="solid" w:color="FFFFFF" w:fill="FFFFFF"/>
        <w:rPr>
          <w:sz w:val="24"/>
          <w:szCs w:val="24"/>
        </w:rPr>
      </w:pPr>
    </w:p>
    <w:p w:rsidR="00553E3D" w:rsidRPr="00772FE4" w14:paraId="61EE25E7" w14:textId="7E5FDA6E">
      <w:pPr>
        <w:shd w:val="solid" w:color="FFFFFF" w:fill="FFFFFF"/>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 </w:t>
      </w:r>
      <w:r w:rsidR="007F3A34">
        <w:rPr>
          <w:sz w:val="24"/>
          <w:szCs w:val="24"/>
        </w:rPr>
        <w:t xml:space="preserve"> </w:t>
      </w:r>
      <w:r w:rsidRPr="00772FE4">
        <w:rPr>
          <w:sz w:val="24"/>
          <w:szCs w:val="24"/>
        </w:rPr>
        <w:t xml:space="preserve">The number of records to be established and maintained is the sum of the number of sessions of biological monitoring administered each year and the number of medical examinations administered each year. </w:t>
      </w:r>
      <w:r w:rsidR="007F3A34">
        <w:rPr>
          <w:sz w:val="24"/>
          <w:szCs w:val="24"/>
        </w:rPr>
        <w:t xml:space="preserve"> </w:t>
      </w:r>
      <w:r w:rsidRPr="00772FE4">
        <w:rPr>
          <w:sz w:val="24"/>
          <w:szCs w:val="24"/>
        </w:rPr>
        <w:t xml:space="preserve">The following annual number of tests and exams are provided as described above: </w:t>
      </w:r>
      <w:r w:rsidR="00B91FDB">
        <w:rPr>
          <w:sz w:val="24"/>
          <w:szCs w:val="24"/>
        </w:rPr>
        <w:t xml:space="preserve">184,227 </w:t>
      </w:r>
      <w:r w:rsidRPr="00772FE4">
        <w:rPr>
          <w:sz w:val="24"/>
          <w:szCs w:val="24"/>
        </w:rPr>
        <w:t xml:space="preserve">biological monitoring tests and </w:t>
      </w:r>
      <w:r w:rsidR="00001DD5">
        <w:rPr>
          <w:sz w:val="24"/>
          <w:szCs w:val="24"/>
        </w:rPr>
        <w:t xml:space="preserve">7,921 </w:t>
      </w:r>
      <w:r w:rsidRPr="00772FE4" w:rsidR="00001DD5">
        <w:rPr>
          <w:sz w:val="24"/>
          <w:szCs w:val="24"/>
        </w:rPr>
        <w:t>exams</w:t>
      </w:r>
      <w:r w:rsidRPr="00772FE4">
        <w:rPr>
          <w:sz w:val="24"/>
          <w:szCs w:val="24"/>
        </w:rPr>
        <w:t xml:space="preserve">. </w:t>
      </w:r>
      <w:r w:rsidR="007F3A34">
        <w:rPr>
          <w:sz w:val="24"/>
          <w:szCs w:val="24"/>
        </w:rPr>
        <w:t xml:space="preserve"> </w:t>
      </w:r>
      <w:r w:rsidRPr="00772FE4">
        <w:rPr>
          <w:sz w:val="24"/>
          <w:szCs w:val="24"/>
        </w:rPr>
        <w:t>OSHA estimates that approximately six minutes (</w:t>
      </w:r>
      <w:r w:rsidR="00A914DD">
        <w:rPr>
          <w:sz w:val="24"/>
          <w:szCs w:val="24"/>
        </w:rPr>
        <w:t>6/60</w:t>
      </w:r>
      <w:r w:rsidRPr="00772FE4">
        <w:rPr>
          <w:sz w:val="24"/>
          <w:szCs w:val="24"/>
        </w:rPr>
        <w:t xml:space="preserve"> </w:t>
      </w:r>
      <w:r w:rsidR="002138E0">
        <w:rPr>
          <w:sz w:val="24"/>
          <w:szCs w:val="24"/>
        </w:rPr>
        <w:t>hours</w:t>
      </w:r>
      <w:r w:rsidRPr="00772FE4">
        <w:rPr>
          <w:sz w:val="24"/>
          <w:szCs w:val="24"/>
        </w:rPr>
        <w:t xml:space="preserve">) of </w:t>
      </w:r>
      <w:r w:rsidR="001D7D1B">
        <w:rPr>
          <w:sz w:val="24"/>
          <w:szCs w:val="24"/>
        </w:rPr>
        <w:t xml:space="preserve">supervisor </w:t>
      </w:r>
      <w:r w:rsidRPr="00772FE4">
        <w:rPr>
          <w:sz w:val="24"/>
          <w:szCs w:val="24"/>
        </w:rPr>
        <w:t xml:space="preserve">time per record is required to establish and maintain </w:t>
      </w:r>
      <w:r w:rsidR="00FA259D">
        <w:rPr>
          <w:sz w:val="24"/>
          <w:szCs w:val="24"/>
        </w:rPr>
        <w:t>worker</w:t>
      </w:r>
      <w:r w:rsidRPr="00772FE4">
        <w:rPr>
          <w:sz w:val="24"/>
          <w:szCs w:val="24"/>
        </w:rPr>
        <w:t xml:space="preserve"> medical surveillance records. </w:t>
      </w:r>
    </w:p>
    <w:p w:rsidR="00553E3D" w:rsidRPr="00772FE4" w14:paraId="0830ECBB" w14:textId="77777777">
      <w:pPr>
        <w:shd w:val="solid" w:color="FFFFFF" w:fill="FFFFFF"/>
        <w:rPr>
          <w:sz w:val="24"/>
          <w:szCs w:val="24"/>
        </w:rPr>
      </w:pPr>
    </w:p>
    <w:p w:rsidR="00553E3D" w:rsidRPr="00772FE4" w14:paraId="57F6854B" w14:textId="0C360E7F">
      <w:pPr>
        <w:shd w:val="solid" w:color="FFFFFF" w:fill="FFFFFF"/>
        <w:ind w:firstLine="720"/>
        <w:rPr>
          <w:sz w:val="24"/>
          <w:szCs w:val="24"/>
        </w:rPr>
      </w:pPr>
      <w:r w:rsidRPr="00772FE4">
        <w:rPr>
          <w:b/>
          <w:bCs/>
          <w:sz w:val="24"/>
          <w:szCs w:val="24"/>
        </w:rPr>
        <w:t>Burden hours:</w:t>
      </w:r>
      <w:r w:rsidRPr="00772FE4">
        <w:rPr>
          <w:sz w:val="24"/>
          <w:szCs w:val="24"/>
        </w:rPr>
        <w:tab/>
      </w:r>
      <w:r w:rsidR="00B91FDB">
        <w:rPr>
          <w:sz w:val="24"/>
          <w:szCs w:val="24"/>
        </w:rPr>
        <w:t>192,148</w:t>
      </w:r>
      <w:r w:rsidR="007776DE">
        <w:rPr>
          <w:sz w:val="24"/>
          <w:szCs w:val="24"/>
        </w:rPr>
        <w:t xml:space="preserve"> </w:t>
      </w:r>
      <w:r w:rsidRPr="00772FE4">
        <w:rPr>
          <w:sz w:val="24"/>
          <w:szCs w:val="24"/>
        </w:rPr>
        <w:t xml:space="preserve">monitoring &amp; exam records × </w:t>
      </w:r>
      <w:r w:rsidR="00153972">
        <w:rPr>
          <w:sz w:val="24"/>
          <w:szCs w:val="24"/>
        </w:rPr>
        <w:t>6/60</w:t>
      </w:r>
      <w:r w:rsidRPr="00772FE4">
        <w:rPr>
          <w:sz w:val="24"/>
          <w:szCs w:val="24"/>
        </w:rPr>
        <w:t xml:space="preserve"> hour</w:t>
      </w:r>
      <w:r w:rsidR="002138E0">
        <w:rPr>
          <w:sz w:val="24"/>
          <w:szCs w:val="24"/>
        </w:rPr>
        <w:t>s</w:t>
      </w:r>
      <w:r w:rsidRPr="00772FE4">
        <w:rPr>
          <w:sz w:val="24"/>
          <w:szCs w:val="24"/>
        </w:rPr>
        <w:t xml:space="preserve"> =</w:t>
      </w:r>
      <w:r w:rsidR="00001DD5">
        <w:rPr>
          <w:sz w:val="24"/>
          <w:szCs w:val="24"/>
        </w:rPr>
        <w:t>19,215 hours</w:t>
      </w:r>
    </w:p>
    <w:p w:rsidR="00553E3D" w:rsidRPr="00772FE4" w:rsidP="001D7D1B" w14:paraId="27647367" w14:textId="07E22498">
      <w:pPr>
        <w:shd w:val="solid" w:color="FFFFFF" w:fill="FFFFFF"/>
        <w:ind w:firstLine="720"/>
        <w:rPr>
          <w:sz w:val="24"/>
          <w:szCs w:val="24"/>
        </w:rPr>
      </w:pPr>
      <w:r w:rsidRPr="00772FE4">
        <w:rPr>
          <w:b/>
          <w:bCs/>
          <w:sz w:val="24"/>
          <w:szCs w:val="24"/>
        </w:rPr>
        <w:t xml:space="preserve">                Cost:</w:t>
      </w:r>
      <w:r w:rsidRPr="00772FE4">
        <w:rPr>
          <w:sz w:val="24"/>
          <w:szCs w:val="24"/>
        </w:rPr>
        <w:tab/>
      </w:r>
      <w:r w:rsidR="002D3B5A">
        <w:rPr>
          <w:sz w:val="24"/>
          <w:szCs w:val="24"/>
        </w:rPr>
        <w:t>19,215</w:t>
      </w:r>
      <w:r w:rsidR="007776DE">
        <w:rPr>
          <w:sz w:val="24"/>
          <w:szCs w:val="24"/>
        </w:rPr>
        <w:t xml:space="preserve"> </w:t>
      </w:r>
      <w:r w:rsidRPr="00772FE4">
        <w:rPr>
          <w:sz w:val="24"/>
          <w:szCs w:val="24"/>
        </w:rPr>
        <w:t xml:space="preserve">× </w:t>
      </w:r>
      <w:r w:rsidR="00001DD5">
        <w:rPr>
          <w:sz w:val="24"/>
          <w:szCs w:val="24"/>
        </w:rPr>
        <w:t xml:space="preserve">55.55 </w:t>
      </w:r>
      <w:r w:rsidRPr="00772FE4" w:rsidR="00001DD5">
        <w:rPr>
          <w:sz w:val="24"/>
          <w:szCs w:val="24"/>
        </w:rPr>
        <w:t>=</w:t>
      </w:r>
      <w:r w:rsidRPr="00772FE4">
        <w:rPr>
          <w:sz w:val="24"/>
          <w:szCs w:val="24"/>
        </w:rPr>
        <w:t xml:space="preserve"> $</w:t>
      </w:r>
      <w:r w:rsidR="00673D97">
        <w:rPr>
          <w:sz w:val="24"/>
          <w:szCs w:val="24"/>
        </w:rPr>
        <w:t>1,</w:t>
      </w:r>
      <w:r w:rsidR="003C5BC9">
        <w:rPr>
          <w:sz w:val="24"/>
          <w:szCs w:val="24"/>
        </w:rPr>
        <w:t xml:space="preserve">067,393 </w:t>
      </w:r>
    </w:p>
    <w:p w:rsidR="00553E3D" w:rsidRPr="00772FE4" w14:paraId="53ABF223" w14:textId="77777777">
      <w:pPr>
        <w:shd w:val="solid" w:color="FFFFFF" w:fill="FFFFFF"/>
        <w:rPr>
          <w:sz w:val="24"/>
          <w:szCs w:val="24"/>
        </w:rPr>
      </w:pPr>
    </w:p>
    <w:p w:rsidR="00553E3D" w:rsidRPr="00772FE4" w14:paraId="0674F9A4" w14:textId="77777777">
      <w:pPr>
        <w:shd w:val="solid" w:color="FFFFFF" w:fill="FFFFFF"/>
        <w:ind w:firstLine="720"/>
        <w:rPr>
          <w:sz w:val="24"/>
          <w:szCs w:val="24"/>
        </w:rPr>
      </w:pPr>
      <w:r w:rsidRPr="00772FE4">
        <w:rPr>
          <w:b/>
          <w:bCs/>
          <w:sz w:val="24"/>
          <w:szCs w:val="24"/>
        </w:rPr>
        <w:t>(3)</w:t>
      </w:r>
      <w:r w:rsidRPr="00772FE4">
        <w:rPr>
          <w:b/>
          <w:bCs/>
          <w:sz w:val="24"/>
          <w:szCs w:val="24"/>
        </w:rPr>
        <w:tab/>
        <w:t>Medical Removal Records</w:t>
      </w:r>
    </w:p>
    <w:p w:rsidR="00553E3D" w:rsidRPr="00772FE4" w14:paraId="5099C2A6" w14:textId="77777777">
      <w:pPr>
        <w:shd w:val="solid" w:color="FFFFFF" w:fill="FFFFFF"/>
        <w:rPr>
          <w:sz w:val="24"/>
          <w:szCs w:val="24"/>
        </w:rPr>
      </w:pPr>
    </w:p>
    <w:p w:rsidR="00553E3D" w:rsidRPr="00772FE4" w14:paraId="35CD2B61" w14:textId="3E4BB1E9">
      <w:pPr>
        <w:shd w:val="solid" w:color="FFFFFF" w:fill="FFFFFF"/>
        <w:rPr>
          <w:sz w:val="24"/>
          <w:szCs w:val="24"/>
        </w:rPr>
      </w:pPr>
      <w:r w:rsidRPr="00772FE4">
        <w:rPr>
          <w:sz w:val="24"/>
          <w:szCs w:val="24"/>
        </w:rPr>
        <w:t xml:space="preserve">The Standard requires employers to establish and maintain an accurate record for each </w:t>
      </w:r>
      <w:r w:rsidR="00FA259D">
        <w:rPr>
          <w:sz w:val="24"/>
          <w:szCs w:val="24"/>
        </w:rPr>
        <w:t>worker</w:t>
      </w:r>
      <w:r w:rsidRPr="00772FE4">
        <w:rPr>
          <w:sz w:val="24"/>
          <w:szCs w:val="24"/>
        </w:rPr>
        <w:t xml:space="preserve"> subject to medical removal. </w:t>
      </w:r>
      <w:r w:rsidR="007F3A34">
        <w:rPr>
          <w:sz w:val="24"/>
          <w:szCs w:val="24"/>
        </w:rPr>
        <w:t xml:space="preserve"> </w:t>
      </w:r>
      <w:r w:rsidRPr="00772FE4">
        <w:rPr>
          <w:sz w:val="24"/>
          <w:szCs w:val="24"/>
        </w:rPr>
        <w:t xml:space="preserve">However, OSHA assumes employers are in full compliance; therefore, no </w:t>
      </w:r>
      <w:r w:rsidR="00FA259D">
        <w:rPr>
          <w:sz w:val="24"/>
          <w:szCs w:val="24"/>
        </w:rPr>
        <w:t>worker</w:t>
      </w:r>
      <w:r w:rsidRPr="00772FE4">
        <w:rPr>
          <w:sz w:val="24"/>
          <w:szCs w:val="24"/>
        </w:rPr>
        <w:t xml:space="preserve"> will need to be medically </w:t>
      </w:r>
      <w:r w:rsidRPr="00772FE4" w:rsidR="002138E0">
        <w:rPr>
          <w:sz w:val="24"/>
          <w:szCs w:val="24"/>
        </w:rPr>
        <w:t>removed,</w:t>
      </w:r>
      <w:r w:rsidRPr="00772FE4">
        <w:rPr>
          <w:sz w:val="24"/>
          <w:szCs w:val="24"/>
        </w:rPr>
        <w:t xml:space="preserve"> and no medical removal records are created.</w:t>
      </w:r>
      <w:r w:rsidR="007F3A34">
        <w:rPr>
          <w:sz w:val="24"/>
          <w:szCs w:val="24"/>
        </w:rPr>
        <w:t xml:space="preserve"> </w:t>
      </w:r>
      <w:r w:rsidRPr="00772FE4">
        <w:rPr>
          <w:sz w:val="24"/>
          <w:szCs w:val="24"/>
        </w:rPr>
        <w:t xml:space="preserve"> Therefore, </w:t>
      </w:r>
      <w:r w:rsidR="009F2F93">
        <w:rPr>
          <w:sz w:val="24"/>
          <w:szCs w:val="24"/>
        </w:rPr>
        <w:t xml:space="preserve">the agency </w:t>
      </w:r>
      <w:r w:rsidR="00717298">
        <w:rPr>
          <w:sz w:val="24"/>
          <w:szCs w:val="24"/>
        </w:rPr>
        <w:t xml:space="preserve">attributed </w:t>
      </w:r>
      <w:r w:rsidR="00877574">
        <w:rPr>
          <w:sz w:val="24"/>
          <w:szCs w:val="24"/>
        </w:rPr>
        <w:t xml:space="preserve">no </w:t>
      </w:r>
      <w:r w:rsidR="00717298">
        <w:rPr>
          <w:sz w:val="24"/>
          <w:szCs w:val="24"/>
        </w:rPr>
        <w:t>hour</w:t>
      </w:r>
      <w:r w:rsidR="00877574">
        <w:rPr>
          <w:sz w:val="24"/>
          <w:szCs w:val="24"/>
        </w:rPr>
        <w:t>s</w:t>
      </w:r>
      <w:r w:rsidR="00717298">
        <w:rPr>
          <w:sz w:val="24"/>
          <w:szCs w:val="24"/>
        </w:rPr>
        <w:t xml:space="preserve"> </w:t>
      </w:r>
      <w:r w:rsidRPr="00772FE4">
        <w:rPr>
          <w:sz w:val="24"/>
          <w:szCs w:val="24"/>
        </w:rPr>
        <w:t xml:space="preserve">to this provision. </w:t>
      </w:r>
    </w:p>
    <w:p w:rsidR="00553E3D" w:rsidRPr="00772FE4" w14:paraId="1B05F03F" w14:textId="77777777">
      <w:pPr>
        <w:shd w:val="solid" w:color="FFFFFF" w:fill="FFFFFF"/>
        <w:rPr>
          <w:b/>
          <w:bCs/>
          <w:sz w:val="24"/>
          <w:szCs w:val="24"/>
        </w:rPr>
      </w:pPr>
    </w:p>
    <w:p w:rsidR="00553E3D" w14:paraId="4DDE69B7" w14:textId="77777777">
      <w:pPr>
        <w:shd w:val="solid" w:color="FFFFFF" w:fill="FFFFFF"/>
        <w:ind w:firstLine="720"/>
        <w:rPr>
          <w:b/>
          <w:bCs/>
          <w:sz w:val="24"/>
          <w:szCs w:val="24"/>
        </w:rPr>
      </w:pPr>
      <w:r w:rsidRPr="00772FE4">
        <w:rPr>
          <w:b/>
          <w:bCs/>
          <w:sz w:val="24"/>
          <w:szCs w:val="24"/>
        </w:rPr>
        <w:t>(4)</w:t>
      </w:r>
      <w:r w:rsidRPr="00772FE4">
        <w:rPr>
          <w:b/>
          <w:bCs/>
          <w:sz w:val="24"/>
          <w:szCs w:val="24"/>
        </w:rPr>
        <w:tab/>
        <w:t>Objective Data Records</w:t>
      </w:r>
    </w:p>
    <w:p w:rsidR="00E23A6F" w:rsidRPr="00772FE4" w14:paraId="1E3174C7" w14:textId="77777777">
      <w:pPr>
        <w:shd w:val="solid" w:color="FFFFFF" w:fill="FFFFFF"/>
        <w:ind w:firstLine="720"/>
        <w:rPr>
          <w:b/>
          <w:bCs/>
          <w:sz w:val="24"/>
          <w:szCs w:val="24"/>
        </w:rPr>
      </w:pPr>
    </w:p>
    <w:p w:rsidR="00553E3D" w:rsidRPr="00772FE4" w14:paraId="247455BC" w14:textId="78F50C89">
      <w:pPr>
        <w:shd w:val="solid" w:color="FFFFFF" w:fill="FFFFFF"/>
        <w:rPr>
          <w:sz w:val="24"/>
          <w:szCs w:val="24"/>
        </w:rPr>
      </w:pPr>
      <w:r w:rsidRPr="00772FE4">
        <w:rPr>
          <w:sz w:val="24"/>
          <w:szCs w:val="24"/>
        </w:rPr>
        <w:t xml:space="preserve">The Standard requires employers to establish and maintain records of the objective data relied upon to make initial determinations. </w:t>
      </w:r>
      <w:r w:rsidR="007F3A34">
        <w:rPr>
          <w:sz w:val="24"/>
          <w:szCs w:val="24"/>
        </w:rPr>
        <w:t xml:space="preserve"> </w:t>
      </w:r>
      <w:r w:rsidRPr="00772FE4">
        <w:rPr>
          <w:sz w:val="24"/>
          <w:szCs w:val="24"/>
        </w:rPr>
        <w:t xml:space="preserve">A construction supervisor completes </w:t>
      </w:r>
      <w:r w:rsidR="002138E0">
        <w:rPr>
          <w:sz w:val="24"/>
          <w:szCs w:val="24"/>
        </w:rPr>
        <w:t xml:space="preserve">a </w:t>
      </w:r>
      <w:r w:rsidRPr="00772FE4">
        <w:rPr>
          <w:sz w:val="24"/>
          <w:szCs w:val="24"/>
        </w:rPr>
        <w:t>standardized form for each project where objective data is used to make a negative initial determination.</w:t>
      </w:r>
      <w:r w:rsidR="007F3A34">
        <w:rPr>
          <w:sz w:val="24"/>
          <w:szCs w:val="24"/>
        </w:rPr>
        <w:t xml:space="preserve"> </w:t>
      </w:r>
      <w:r w:rsidRPr="00772FE4">
        <w:rPr>
          <w:sz w:val="24"/>
          <w:szCs w:val="24"/>
        </w:rPr>
        <w:t xml:space="preserve"> The completed form identifies the objective data being used and lists the reasons supporting the employer’s conclusion that the objective data is appropriate for use in characterizing exposures at the specific work site. </w:t>
      </w:r>
      <w:r w:rsidR="007F3A34">
        <w:rPr>
          <w:sz w:val="24"/>
          <w:szCs w:val="24"/>
        </w:rPr>
        <w:t xml:space="preserve"> </w:t>
      </w:r>
      <w:r w:rsidRPr="00772FE4">
        <w:rPr>
          <w:sz w:val="24"/>
          <w:szCs w:val="24"/>
        </w:rPr>
        <w:t>Preparation of this form takes six minutes (</w:t>
      </w:r>
      <w:r w:rsidR="00A914DD">
        <w:rPr>
          <w:sz w:val="24"/>
          <w:szCs w:val="24"/>
        </w:rPr>
        <w:t>6/60</w:t>
      </w:r>
      <w:r w:rsidRPr="00772FE4">
        <w:rPr>
          <w:sz w:val="24"/>
          <w:szCs w:val="24"/>
        </w:rPr>
        <w:t xml:space="preserve"> </w:t>
      </w:r>
      <w:r w:rsidR="002138E0">
        <w:rPr>
          <w:sz w:val="24"/>
          <w:szCs w:val="24"/>
        </w:rPr>
        <w:t>hours) of a construction supervisor's</w:t>
      </w:r>
      <w:r w:rsidRPr="00772FE4">
        <w:rPr>
          <w:sz w:val="24"/>
          <w:szCs w:val="24"/>
        </w:rPr>
        <w:t xml:space="preserve"> time per affected project. </w:t>
      </w:r>
      <w:r w:rsidR="007F3A34">
        <w:rPr>
          <w:sz w:val="24"/>
          <w:szCs w:val="24"/>
        </w:rPr>
        <w:t xml:space="preserve"> </w:t>
      </w:r>
      <w:r w:rsidRPr="00772FE4">
        <w:rPr>
          <w:sz w:val="24"/>
          <w:szCs w:val="24"/>
        </w:rPr>
        <w:t xml:space="preserve">OSHA estimates there are approximately </w:t>
      </w:r>
      <w:r w:rsidR="00BD20AC">
        <w:rPr>
          <w:sz w:val="24"/>
          <w:szCs w:val="24"/>
        </w:rPr>
        <w:t xml:space="preserve">3,671,805 </w:t>
      </w:r>
      <w:r w:rsidRPr="00772FE4" w:rsidR="00BD20AC">
        <w:rPr>
          <w:sz w:val="24"/>
          <w:szCs w:val="24"/>
        </w:rPr>
        <w:t>lead</w:t>
      </w:r>
      <w:r w:rsidRPr="00772FE4">
        <w:rPr>
          <w:sz w:val="24"/>
          <w:szCs w:val="24"/>
        </w:rPr>
        <w:t>-exposed projects per year where objective data is used to make a negative initial determination.</w:t>
      </w:r>
    </w:p>
    <w:p w:rsidR="00553E3D" w:rsidRPr="00772FE4" w14:paraId="1E09D335" w14:textId="77777777">
      <w:pPr>
        <w:shd w:val="solid" w:color="FFFFFF" w:fill="FFFFFF"/>
        <w:rPr>
          <w:sz w:val="24"/>
          <w:szCs w:val="24"/>
        </w:rPr>
      </w:pPr>
      <w:r w:rsidRPr="00772FE4">
        <w:rPr>
          <w:sz w:val="24"/>
          <w:szCs w:val="24"/>
        </w:rPr>
        <w:t xml:space="preserve"> </w:t>
      </w:r>
    </w:p>
    <w:p w:rsidR="00553E3D" w:rsidRPr="00772FE4" w14:paraId="79F85DC9" w14:textId="6E54505C">
      <w:pPr>
        <w:shd w:val="solid" w:color="FFFFFF" w:fill="FFFFFF"/>
        <w:ind w:firstLine="720"/>
        <w:rPr>
          <w:sz w:val="24"/>
          <w:szCs w:val="24"/>
        </w:rPr>
      </w:pPr>
      <w:r w:rsidRPr="00772FE4">
        <w:rPr>
          <w:b/>
          <w:bCs/>
          <w:sz w:val="24"/>
          <w:szCs w:val="24"/>
        </w:rPr>
        <w:t>Burden hours:</w:t>
      </w:r>
      <w:r w:rsidRPr="00772FE4">
        <w:rPr>
          <w:sz w:val="24"/>
          <w:szCs w:val="24"/>
        </w:rPr>
        <w:tab/>
      </w:r>
      <w:r w:rsidR="00BD20AC">
        <w:rPr>
          <w:sz w:val="24"/>
          <w:szCs w:val="24"/>
        </w:rPr>
        <w:t xml:space="preserve">3,671,805 </w:t>
      </w:r>
      <w:r w:rsidRPr="00772FE4" w:rsidR="00BD20AC">
        <w:rPr>
          <w:sz w:val="24"/>
          <w:szCs w:val="24"/>
        </w:rPr>
        <w:t>projects</w:t>
      </w:r>
      <w:r w:rsidRPr="00772FE4">
        <w:rPr>
          <w:sz w:val="24"/>
          <w:szCs w:val="24"/>
        </w:rPr>
        <w:t xml:space="preserve"> × </w:t>
      </w:r>
      <w:r w:rsidR="00153972">
        <w:rPr>
          <w:sz w:val="24"/>
          <w:szCs w:val="24"/>
        </w:rPr>
        <w:t>6/60</w:t>
      </w:r>
      <w:r w:rsidRPr="00772FE4">
        <w:rPr>
          <w:sz w:val="24"/>
          <w:szCs w:val="24"/>
        </w:rPr>
        <w:t xml:space="preserve"> hour</w:t>
      </w:r>
      <w:r w:rsidR="002138E0">
        <w:rPr>
          <w:sz w:val="24"/>
          <w:szCs w:val="24"/>
        </w:rPr>
        <w:t>s</w:t>
      </w:r>
      <w:r w:rsidRPr="00772FE4">
        <w:rPr>
          <w:sz w:val="24"/>
          <w:szCs w:val="24"/>
        </w:rPr>
        <w:t xml:space="preserve"> =</w:t>
      </w:r>
      <w:r w:rsidR="009D23A3">
        <w:rPr>
          <w:sz w:val="24"/>
          <w:szCs w:val="24"/>
        </w:rPr>
        <w:t xml:space="preserve">367,181 </w:t>
      </w:r>
      <w:r w:rsidRPr="00772FE4">
        <w:rPr>
          <w:sz w:val="24"/>
          <w:szCs w:val="24"/>
        </w:rPr>
        <w:t>hours</w:t>
      </w:r>
    </w:p>
    <w:p w:rsidR="00553E3D" w:rsidRPr="00772FE4" w14:paraId="4832D770" w14:textId="5BE854DB">
      <w:pPr>
        <w:shd w:val="solid" w:color="FFFFFF" w:fill="FFFFFF"/>
        <w:ind w:left="720" w:firstLine="720"/>
        <w:rPr>
          <w:sz w:val="24"/>
          <w:szCs w:val="24"/>
        </w:rPr>
      </w:pPr>
      <w:r w:rsidRPr="00772FE4">
        <w:rPr>
          <w:b/>
          <w:bCs/>
          <w:sz w:val="24"/>
          <w:szCs w:val="24"/>
        </w:rPr>
        <w:t xml:space="preserve">   Cost:</w:t>
      </w:r>
      <w:r w:rsidRPr="00772FE4">
        <w:rPr>
          <w:sz w:val="24"/>
          <w:szCs w:val="24"/>
        </w:rPr>
        <w:tab/>
      </w:r>
      <w:r w:rsidR="00933A82">
        <w:rPr>
          <w:sz w:val="24"/>
          <w:szCs w:val="24"/>
        </w:rPr>
        <w:t>367,181</w:t>
      </w:r>
      <w:r w:rsidR="003B22A9">
        <w:rPr>
          <w:sz w:val="24"/>
          <w:szCs w:val="24"/>
        </w:rPr>
        <w:t xml:space="preserve"> </w:t>
      </w:r>
      <w:r w:rsidRPr="00772FE4">
        <w:rPr>
          <w:sz w:val="24"/>
          <w:szCs w:val="24"/>
        </w:rPr>
        <w:t>hours × $</w:t>
      </w:r>
      <w:r w:rsidR="009D23A3">
        <w:rPr>
          <w:sz w:val="24"/>
          <w:szCs w:val="24"/>
        </w:rPr>
        <w:t>55.55</w:t>
      </w:r>
      <w:r w:rsidRPr="00772FE4">
        <w:rPr>
          <w:sz w:val="24"/>
          <w:szCs w:val="24"/>
        </w:rPr>
        <w:t xml:space="preserve"> = $</w:t>
      </w:r>
      <w:r w:rsidR="005E5C8A">
        <w:rPr>
          <w:sz w:val="24"/>
          <w:szCs w:val="24"/>
        </w:rPr>
        <w:t xml:space="preserve">20,396,905 </w:t>
      </w:r>
    </w:p>
    <w:p w:rsidR="00553E3D" w:rsidRPr="00772FE4" w14:paraId="617FC16C" w14:textId="77777777">
      <w:pPr>
        <w:shd w:val="solid" w:color="FFFFFF" w:fill="FFFFFF"/>
        <w:ind w:firstLine="720"/>
        <w:rPr>
          <w:sz w:val="24"/>
          <w:szCs w:val="24"/>
        </w:rPr>
      </w:pPr>
    </w:p>
    <w:p w:rsidR="00553E3D" w:rsidRPr="00772FE4" w14:paraId="7D2C2EFD" w14:textId="77777777">
      <w:pPr>
        <w:shd w:val="solid" w:color="FFFFFF" w:fill="FFFFFF"/>
        <w:ind w:firstLine="720"/>
        <w:rPr>
          <w:b/>
          <w:bCs/>
          <w:sz w:val="24"/>
          <w:szCs w:val="24"/>
        </w:rPr>
      </w:pPr>
      <w:r w:rsidRPr="00772FE4">
        <w:rPr>
          <w:b/>
          <w:bCs/>
          <w:sz w:val="24"/>
          <w:szCs w:val="24"/>
        </w:rPr>
        <w:t>(5)</w:t>
      </w:r>
      <w:r w:rsidRPr="00772FE4">
        <w:rPr>
          <w:b/>
          <w:bCs/>
          <w:sz w:val="24"/>
          <w:szCs w:val="24"/>
        </w:rPr>
        <w:tab/>
        <w:t>Employee Access to Records</w:t>
      </w:r>
    </w:p>
    <w:p w:rsidR="00553E3D" w:rsidRPr="00772FE4" w14:paraId="23138930" w14:textId="77777777">
      <w:pPr>
        <w:shd w:val="solid" w:color="FFFFFF" w:fill="FFFFFF"/>
        <w:rPr>
          <w:sz w:val="24"/>
          <w:szCs w:val="24"/>
        </w:rPr>
      </w:pPr>
    </w:p>
    <w:p w:rsidR="00553E3D" w:rsidRPr="00772FE4" w14:paraId="3F82B1DB" w14:textId="45848673">
      <w:pPr>
        <w:shd w:val="solid" w:color="FFFFFF" w:fill="FFFFFF"/>
        <w:rPr>
          <w:sz w:val="24"/>
          <w:szCs w:val="24"/>
        </w:rPr>
      </w:pPr>
      <w:r w:rsidRPr="00772FE4">
        <w:rPr>
          <w:sz w:val="24"/>
          <w:szCs w:val="24"/>
        </w:rPr>
        <w:t xml:space="preserve">The Standard requires employers to make available, upon request, the written compliance program, the training materials, and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 xml:space="preserve">s, and the designated representatives. </w:t>
      </w:r>
      <w:r w:rsidR="00FA259D">
        <w:rPr>
          <w:sz w:val="24"/>
          <w:szCs w:val="24"/>
        </w:rPr>
        <w:t>Worker</w:t>
      </w:r>
      <w:r w:rsidRPr="00772FE4">
        <w:rPr>
          <w:sz w:val="24"/>
          <w:szCs w:val="24"/>
        </w:rPr>
        <w:t xml:space="preserve">s will not request access to the written compliance program or the training program material since all </w:t>
      </w:r>
      <w:r w:rsidR="00FA259D">
        <w:rPr>
          <w:sz w:val="24"/>
          <w:szCs w:val="24"/>
        </w:rPr>
        <w:t>worker</w:t>
      </w:r>
      <w:r w:rsidRPr="00772FE4">
        <w:rPr>
          <w:sz w:val="24"/>
          <w:szCs w:val="24"/>
        </w:rPr>
        <w:t xml:space="preserve">s exposed </w:t>
      </w:r>
      <w:r w:rsidR="00AD4840">
        <w:rPr>
          <w:sz w:val="24"/>
          <w:szCs w:val="24"/>
        </w:rPr>
        <w:t xml:space="preserve">at or above </w:t>
      </w:r>
      <w:r w:rsidRPr="00772FE4">
        <w:rPr>
          <w:sz w:val="24"/>
          <w:szCs w:val="24"/>
        </w:rPr>
        <w:t xml:space="preserve">the action level receive training covering the content of the training program, and the training must include an explanation of the contents of the written compliance program. </w:t>
      </w:r>
      <w:r w:rsidR="007F3A34">
        <w:rPr>
          <w:sz w:val="24"/>
          <w:szCs w:val="24"/>
        </w:rPr>
        <w:t xml:space="preserve"> </w:t>
      </w:r>
      <w:r w:rsidRPr="00772FE4">
        <w:rPr>
          <w:sz w:val="24"/>
          <w:szCs w:val="24"/>
        </w:rPr>
        <w:t xml:space="preserve">Therefore, </w:t>
      </w:r>
      <w:r w:rsidR="00FA259D">
        <w:rPr>
          <w:sz w:val="24"/>
          <w:szCs w:val="24"/>
        </w:rPr>
        <w:t>worker</w:t>
      </w:r>
      <w:r w:rsidRPr="00772FE4">
        <w:rPr>
          <w:sz w:val="24"/>
          <w:szCs w:val="24"/>
        </w:rPr>
        <w:t xml:space="preserve">s will only request access to their exposure-monitoring, medical, and/or medical removal records. </w:t>
      </w:r>
      <w:r w:rsidR="007F3A34">
        <w:rPr>
          <w:sz w:val="24"/>
          <w:szCs w:val="24"/>
        </w:rPr>
        <w:t xml:space="preserve"> </w:t>
      </w:r>
      <w:r w:rsidRPr="00772FE4">
        <w:rPr>
          <w:sz w:val="24"/>
          <w:szCs w:val="24"/>
        </w:rPr>
        <w:t>OSHA assumes that approximately 10 percent, or</w:t>
      </w:r>
      <w:r w:rsidR="005C3959">
        <w:rPr>
          <w:sz w:val="24"/>
          <w:szCs w:val="24"/>
        </w:rPr>
        <w:t xml:space="preserve"> </w:t>
      </w:r>
      <w:r w:rsidR="00BD20AC">
        <w:rPr>
          <w:sz w:val="24"/>
          <w:szCs w:val="24"/>
        </w:rPr>
        <w:t>15,842 workers</w:t>
      </w:r>
      <w:r w:rsidRPr="00772FE4">
        <w:rPr>
          <w:sz w:val="24"/>
          <w:szCs w:val="24"/>
        </w:rPr>
        <w:t xml:space="preserve">, of the </w:t>
      </w:r>
      <w:r w:rsidR="00BD20AC">
        <w:rPr>
          <w:sz w:val="24"/>
          <w:szCs w:val="24"/>
        </w:rPr>
        <w:t xml:space="preserve">158,422 </w:t>
      </w:r>
      <w:r w:rsidRPr="00772FE4" w:rsidR="00BD20AC">
        <w:rPr>
          <w:sz w:val="24"/>
          <w:szCs w:val="24"/>
        </w:rPr>
        <w:t>workers</w:t>
      </w:r>
      <w:r w:rsidRPr="00772FE4">
        <w:rPr>
          <w:sz w:val="24"/>
          <w:szCs w:val="24"/>
        </w:rPr>
        <w:t xml:space="preserve"> for whom exposure-monitoring and biological monitoring records are generated will request access to these records each year. </w:t>
      </w:r>
      <w:r w:rsidR="007F3A34">
        <w:rPr>
          <w:sz w:val="24"/>
          <w:szCs w:val="24"/>
        </w:rPr>
        <w:t xml:space="preserve"> </w:t>
      </w:r>
      <w:r w:rsidRPr="00772FE4">
        <w:rPr>
          <w:sz w:val="24"/>
          <w:szCs w:val="24"/>
        </w:rPr>
        <w:t>OSHA estimates a clerk takes 15 minutes (</w:t>
      </w:r>
      <w:r w:rsidR="00A914DD">
        <w:rPr>
          <w:sz w:val="24"/>
          <w:szCs w:val="24"/>
        </w:rPr>
        <w:t>15/60</w:t>
      </w:r>
      <w:r w:rsidRPr="00772FE4">
        <w:rPr>
          <w:sz w:val="24"/>
          <w:szCs w:val="24"/>
        </w:rPr>
        <w:t xml:space="preserve"> </w:t>
      </w:r>
      <w:r w:rsidR="002138E0">
        <w:rPr>
          <w:sz w:val="24"/>
          <w:szCs w:val="24"/>
        </w:rPr>
        <w:t>hours</w:t>
      </w:r>
      <w:r w:rsidRPr="00772FE4">
        <w:rPr>
          <w:sz w:val="24"/>
          <w:szCs w:val="24"/>
        </w:rPr>
        <w:t>) to provide access to records.</w:t>
      </w:r>
    </w:p>
    <w:p w:rsidR="00553E3D" w:rsidRPr="00772FE4" w14:paraId="13EDF9F9" w14:textId="55EC4BD8">
      <w:pPr>
        <w:shd w:val="solid" w:color="FFFFFF" w:fill="FFFFFF"/>
        <w:rPr>
          <w:sz w:val="24"/>
          <w:szCs w:val="24"/>
        </w:rPr>
      </w:pPr>
      <w:r>
        <w:rPr>
          <w:sz w:val="24"/>
          <w:szCs w:val="24"/>
        </w:rPr>
        <w:t xml:space="preserve">                </w:t>
      </w:r>
    </w:p>
    <w:p w:rsidR="00553E3D" w:rsidRPr="00772FE4" w14:paraId="2B9B9003" w14:textId="6FDF97D0">
      <w:pPr>
        <w:shd w:val="solid" w:color="FFFFFF" w:fill="FFFFFF"/>
        <w:ind w:firstLine="720"/>
        <w:rPr>
          <w:sz w:val="24"/>
          <w:szCs w:val="24"/>
        </w:rPr>
      </w:pPr>
      <w:r w:rsidRPr="00772FE4">
        <w:rPr>
          <w:b/>
          <w:bCs/>
          <w:sz w:val="24"/>
          <w:szCs w:val="24"/>
        </w:rPr>
        <w:t>Burden hours:</w:t>
      </w:r>
      <w:r w:rsidRPr="00772FE4">
        <w:rPr>
          <w:sz w:val="24"/>
          <w:szCs w:val="24"/>
        </w:rPr>
        <w:tab/>
      </w:r>
      <w:r w:rsidR="00400333">
        <w:rPr>
          <w:sz w:val="24"/>
          <w:szCs w:val="24"/>
        </w:rPr>
        <w:t>15,842</w:t>
      </w:r>
      <w:r w:rsidRPr="00772FE4">
        <w:rPr>
          <w:sz w:val="24"/>
          <w:szCs w:val="24"/>
        </w:rPr>
        <w:t xml:space="preserve"> requests × </w:t>
      </w:r>
      <w:r w:rsidR="00153972">
        <w:rPr>
          <w:sz w:val="24"/>
          <w:szCs w:val="24"/>
        </w:rPr>
        <w:t>15/60</w:t>
      </w:r>
      <w:r w:rsidRPr="00772FE4">
        <w:rPr>
          <w:sz w:val="24"/>
          <w:szCs w:val="24"/>
        </w:rPr>
        <w:t xml:space="preserve"> hour</w:t>
      </w:r>
      <w:r w:rsidR="002138E0">
        <w:rPr>
          <w:sz w:val="24"/>
          <w:szCs w:val="24"/>
        </w:rPr>
        <w:t>s</w:t>
      </w:r>
      <w:r w:rsidRPr="00772FE4">
        <w:rPr>
          <w:sz w:val="24"/>
          <w:szCs w:val="24"/>
        </w:rPr>
        <w:t xml:space="preserve"> =</w:t>
      </w:r>
      <w:r w:rsidR="005C3959">
        <w:rPr>
          <w:sz w:val="24"/>
          <w:szCs w:val="24"/>
        </w:rPr>
        <w:t>3</w:t>
      </w:r>
      <w:r w:rsidR="00400333">
        <w:rPr>
          <w:sz w:val="24"/>
          <w:szCs w:val="24"/>
        </w:rPr>
        <w:t>,961</w:t>
      </w:r>
      <w:r w:rsidRPr="00772FE4">
        <w:rPr>
          <w:sz w:val="24"/>
          <w:szCs w:val="24"/>
        </w:rPr>
        <w:t xml:space="preserve"> hours</w:t>
      </w:r>
    </w:p>
    <w:p w:rsidR="00553E3D" w:rsidRPr="00772FE4" w14:paraId="09F092AB" w14:textId="64E03965">
      <w:pPr>
        <w:shd w:val="solid" w:color="FFFFFF" w:fill="FFFFFF"/>
        <w:ind w:firstLine="720"/>
        <w:rPr>
          <w:sz w:val="24"/>
          <w:szCs w:val="24"/>
        </w:rPr>
      </w:pPr>
      <w:r w:rsidRPr="00772FE4">
        <w:rPr>
          <w:b/>
          <w:bCs/>
          <w:sz w:val="24"/>
          <w:szCs w:val="24"/>
        </w:rPr>
        <w:t xml:space="preserve">                Cost: </w:t>
      </w:r>
      <w:r w:rsidRPr="00772FE4">
        <w:rPr>
          <w:sz w:val="24"/>
          <w:szCs w:val="24"/>
        </w:rPr>
        <w:tab/>
      </w:r>
      <w:r w:rsidR="005C3959">
        <w:rPr>
          <w:sz w:val="24"/>
          <w:szCs w:val="24"/>
        </w:rPr>
        <w:t>3,</w:t>
      </w:r>
      <w:r w:rsidR="00293D0F">
        <w:rPr>
          <w:sz w:val="24"/>
          <w:szCs w:val="24"/>
        </w:rPr>
        <w:t>961</w:t>
      </w:r>
      <w:r w:rsidRPr="00772FE4">
        <w:rPr>
          <w:sz w:val="24"/>
          <w:szCs w:val="24"/>
        </w:rPr>
        <w:t xml:space="preserve"> hours × $</w:t>
      </w:r>
      <w:r w:rsidR="005C3959">
        <w:rPr>
          <w:sz w:val="24"/>
          <w:szCs w:val="24"/>
        </w:rPr>
        <w:t>3</w:t>
      </w:r>
      <w:r w:rsidR="00293D0F">
        <w:rPr>
          <w:sz w:val="24"/>
          <w:szCs w:val="24"/>
        </w:rPr>
        <w:t>2.</w:t>
      </w:r>
      <w:r w:rsidR="00BD20AC">
        <w:rPr>
          <w:sz w:val="24"/>
          <w:szCs w:val="24"/>
        </w:rPr>
        <w:t xml:space="preserve">74 </w:t>
      </w:r>
      <w:r w:rsidRPr="00772FE4" w:rsidR="00BD20AC">
        <w:rPr>
          <w:sz w:val="24"/>
          <w:szCs w:val="24"/>
        </w:rPr>
        <w:t>=</w:t>
      </w:r>
      <w:r w:rsidRPr="00772FE4">
        <w:rPr>
          <w:sz w:val="24"/>
          <w:szCs w:val="24"/>
        </w:rPr>
        <w:t xml:space="preserve"> $</w:t>
      </w:r>
      <w:r w:rsidR="005657D2">
        <w:rPr>
          <w:sz w:val="24"/>
          <w:szCs w:val="24"/>
        </w:rPr>
        <w:t>129,</w:t>
      </w:r>
      <w:r w:rsidR="00FE6B3A">
        <w:rPr>
          <w:sz w:val="24"/>
          <w:szCs w:val="24"/>
        </w:rPr>
        <w:t xml:space="preserve">683 </w:t>
      </w:r>
    </w:p>
    <w:p w:rsidR="005062E8" w14:paraId="0BB7F8BB" w14:textId="77777777">
      <w:pPr>
        <w:widowControl/>
        <w:overflowPunct/>
        <w:autoSpaceDE/>
        <w:autoSpaceDN/>
        <w:adjustRightInd/>
        <w:rPr>
          <w:sz w:val="24"/>
          <w:szCs w:val="24"/>
        </w:rPr>
      </w:pPr>
    </w:p>
    <w:p w:rsidR="005062E8" w14:paraId="6DDA9B0D" w14:textId="77777777">
      <w:pPr>
        <w:widowControl/>
        <w:overflowPunct/>
        <w:autoSpaceDE/>
        <w:autoSpaceDN/>
        <w:adjustRightInd/>
        <w:rPr>
          <w:sz w:val="24"/>
          <w:szCs w:val="24"/>
        </w:rPr>
      </w:pPr>
    </w:p>
    <w:p w:rsidR="005062E8" w14:paraId="7EC01816" w14:textId="0826C5B8">
      <w:pPr>
        <w:widowControl/>
        <w:overflowPunct/>
        <w:autoSpaceDE/>
        <w:autoSpaceDN/>
        <w:adjustRightInd/>
        <w:rPr>
          <w:sz w:val="24"/>
          <w:szCs w:val="24"/>
        </w:rPr>
        <w:sectPr w:rsidSect="00DE0363">
          <w:headerReference w:type="default" r:id="rId10"/>
          <w:footerReference w:type="default" r:id="rId11"/>
          <w:headerReference w:type="first" r:id="rId12"/>
          <w:pgSz w:w="12240" w:h="15840"/>
          <w:pgMar w:top="1440" w:right="1440" w:bottom="1440" w:left="1440" w:header="720" w:footer="720" w:gutter="0"/>
          <w:pgNumType w:start="20"/>
          <w:cols w:space="720"/>
          <w:noEndnote/>
          <w:docGrid w:linePitch="272"/>
        </w:sectPr>
      </w:pPr>
      <w:r>
        <w:rPr>
          <w:sz w:val="24"/>
          <w:szCs w:val="24"/>
        </w:rPr>
        <w:t xml:space="preserve">A summary of </w:t>
      </w:r>
      <w:r w:rsidR="002138E0">
        <w:rPr>
          <w:sz w:val="24"/>
          <w:szCs w:val="24"/>
        </w:rPr>
        <w:t>the estimated annualized respondent burden and cost is</w:t>
      </w:r>
      <w:r>
        <w:rPr>
          <w:sz w:val="24"/>
          <w:szCs w:val="24"/>
        </w:rPr>
        <w:t xml:space="preserve"> presented in Table 2.</w:t>
      </w:r>
    </w:p>
    <w:p w:rsidR="005062E8" w:rsidP="005062E8" w14:paraId="74695CBF" w14:textId="14A45503">
      <w:pPr>
        <w:rPr>
          <w:color w:val="FF0000"/>
          <w:sz w:val="24"/>
          <w:szCs w:val="24"/>
        </w:rPr>
      </w:pPr>
    </w:p>
    <w:p w:rsidR="00EA0034" w:rsidP="005062E8" w14:paraId="7F5E05D7" w14:textId="5512FA52">
      <w:pPr>
        <w:rPr>
          <w:color w:val="FF0000"/>
          <w:sz w:val="24"/>
          <w:szCs w:val="24"/>
        </w:rPr>
      </w:pPr>
    </w:p>
    <w:p w:rsidR="00EA0034" w:rsidRPr="00AC653E" w:rsidP="005062E8" w14:paraId="541A074F" w14:textId="77777777">
      <w:pPr>
        <w:rPr>
          <w:color w:val="FF0000"/>
          <w:sz w:val="24"/>
          <w:szCs w:val="24"/>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6"/>
        <w:gridCol w:w="1261"/>
        <w:gridCol w:w="1355"/>
        <w:gridCol w:w="1441"/>
        <w:gridCol w:w="1171"/>
        <w:gridCol w:w="1530"/>
        <w:gridCol w:w="1171"/>
        <w:gridCol w:w="1438"/>
        <w:gridCol w:w="1611"/>
      </w:tblGrid>
      <w:tr w14:paraId="7890280C" w14:textId="77777777" w:rsidTr="00EA0034">
        <w:tblPrEx>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blHeader/>
        </w:trPr>
        <w:tc>
          <w:tcPr>
            <w:tcW w:w="5000" w:type="pct"/>
            <w:gridSpan w:val="9"/>
            <w:shd w:val="clear" w:color="auto" w:fill="9CC2E5" w:themeFill="accent1" w:themeFillTint="99"/>
            <w:noWrap/>
            <w:vAlign w:val="bottom"/>
            <w:hideMark/>
          </w:tcPr>
          <w:p w:rsidR="005062E8" w:rsidRPr="00B409A4" w:rsidP="00EA0034" w14:paraId="0917FEA1" w14:textId="5A7F4A39">
            <w:pPr>
              <w:widowControl/>
              <w:overflowPunct/>
              <w:autoSpaceDE/>
              <w:autoSpaceDN/>
              <w:adjustRightInd/>
              <w:jc w:val="center"/>
              <w:rPr>
                <w:b/>
                <w:bCs/>
                <w:color w:val="000000"/>
                <w:kern w:val="0"/>
              </w:rPr>
            </w:pPr>
            <w:r w:rsidRPr="00B409A4">
              <w:rPr>
                <w:b/>
                <w:bCs/>
                <w:color w:val="000000"/>
                <w:kern w:val="0"/>
              </w:rPr>
              <w:t xml:space="preserve">Table </w:t>
            </w:r>
            <w:r>
              <w:rPr>
                <w:b/>
                <w:bCs/>
                <w:color w:val="000000"/>
                <w:kern w:val="0"/>
              </w:rPr>
              <w:t>2</w:t>
            </w:r>
            <w:r w:rsidRPr="00B409A4">
              <w:rPr>
                <w:b/>
                <w:bCs/>
                <w:color w:val="000000"/>
                <w:kern w:val="0"/>
              </w:rPr>
              <w:t xml:space="preserve"> - Summary of Estimated Annualized Respondent Hours and Cost Burden</w:t>
            </w:r>
          </w:p>
        </w:tc>
      </w:tr>
      <w:tr w14:paraId="0E7D6EC5" w14:textId="77777777" w:rsidTr="00001E63">
        <w:tblPrEx>
          <w:tblW w:w="5210" w:type="pct"/>
          <w:tblLayout w:type="fixed"/>
          <w:tblLook w:val="04A0"/>
        </w:tblPrEx>
        <w:trPr>
          <w:trHeight w:val="300"/>
          <w:tblHeader/>
        </w:trPr>
        <w:tc>
          <w:tcPr>
            <w:tcW w:w="932" w:type="pct"/>
            <w:vMerge w:val="restart"/>
            <w:shd w:val="clear" w:color="auto" w:fill="BDD6EE" w:themeFill="accent1" w:themeFillTint="66"/>
            <w:vAlign w:val="center"/>
            <w:hideMark/>
          </w:tcPr>
          <w:p w:rsidR="005062E8" w:rsidRPr="00CF4AA7" w:rsidP="00EA0034" w14:paraId="4D5D5217" w14:textId="7178C689">
            <w:pPr>
              <w:widowControl/>
              <w:overflowPunct/>
              <w:autoSpaceDE/>
              <w:autoSpaceDN/>
              <w:adjustRightInd/>
              <w:jc w:val="center"/>
              <w:rPr>
                <w:b/>
                <w:bCs/>
                <w:color w:val="000000"/>
                <w:kern w:val="0"/>
              </w:rPr>
            </w:pPr>
            <w:r>
              <w:rPr>
                <w:b/>
                <w:bCs/>
                <w:color w:val="000000"/>
                <w:kern w:val="0"/>
              </w:rPr>
              <w:t xml:space="preserve">  </w:t>
            </w:r>
            <w:r w:rsidRPr="00CF4AA7">
              <w:rPr>
                <w:b/>
                <w:bCs/>
                <w:color w:val="000000"/>
                <w:kern w:val="0"/>
              </w:rPr>
              <w:t>Collection of Information</w:t>
            </w:r>
          </w:p>
        </w:tc>
        <w:tc>
          <w:tcPr>
            <w:tcW w:w="467" w:type="pct"/>
            <w:shd w:val="clear" w:color="auto" w:fill="BDD6EE" w:themeFill="accent1" w:themeFillTint="66"/>
            <w:vAlign w:val="center"/>
            <w:hideMark/>
          </w:tcPr>
          <w:p w:rsidR="005062E8" w:rsidRPr="00CF4AA7" w:rsidP="00EA0034" w14:paraId="10230E68" w14:textId="77777777">
            <w:pPr>
              <w:widowControl/>
              <w:overflowPunct/>
              <w:autoSpaceDE/>
              <w:autoSpaceDN/>
              <w:adjustRightInd/>
              <w:rPr>
                <w:b/>
                <w:bCs/>
                <w:color w:val="000000"/>
                <w:kern w:val="0"/>
              </w:rPr>
            </w:pPr>
            <w:r w:rsidRPr="00CF4AA7">
              <w:rPr>
                <w:b/>
                <w:bCs/>
                <w:color w:val="000000"/>
                <w:kern w:val="0"/>
              </w:rPr>
              <w:t> </w:t>
            </w:r>
          </w:p>
        </w:tc>
        <w:tc>
          <w:tcPr>
            <w:tcW w:w="502" w:type="pct"/>
            <w:shd w:val="clear" w:color="auto" w:fill="BDD6EE" w:themeFill="accent1" w:themeFillTint="66"/>
            <w:vAlign w:val="center"/>
            <w:hideMark/>
          </w:tcPr>
          <w:p w:rsidR="005062E8" w:rsidRPr="00CF4AA7" w:rsidP="00EA0034" w14:paraId="2BEC5B4A" w14:textId="77777777">
            <w:pPr>
              <w:widowControl/>
              <w:overflowPunct/>
              <w:autoSpaceDE/>
              <w:autoSpaceDN/>
              <w:adjustRightInd/>
              <w:rPr>
                <w:b/>
                <w:bCs/>
                <w:color w:val="000000"/>
                <w:kern w:val="0"/>
              </w:rPr>
            </w:pPr>
            <w:r w:rsidRPr="00CF4AA7">
              <w:rPr>
                <w:b/>
                <w:bCs/>
                <w:color w:val="000000"/>
                <w:kern w:val="0"/>
              </w:rPr>
              <w:t> </w:t>
            </w:r>
          </w:p>
        </w:tc>
        <w:tc>
          <w:tcPr>
            <w:tcW w:w="534" w:type="pct"/>
            <w:shd w:val="clear" w:color="auto" w:fill="BDD6EE" w:themeFill="accent1" w:themeFillTint="66"/>
            <w:vAlign w:val="center"/>
            <w:hideMark/>
          </w:tcPr>
          <w:p w:rsidR="005062E8" w:rsidRPr="00CF4AA7" w:rsidP="00EA0034" w14:paraId="2576DF81" w14:textId="77777777">
            <w:pPr>
              <w:widowControl/>
              <w:overflowPunct/>
              <w:autoSpaceDE/>
              <w:autoSpaceDN/>
              <w:adjustRightInd/>
              <w:jc w:val="center"/>
              <w:rPr>
                <w:b/>
                <w:bCs/>
                <w:color w:val="000000"/>
                <w:kern w:val="0"/>
              </w:rPr>
            </w:pPr>
            <w:r w:rsidRPr="00CF4AA7">
              <w:rPr>
                <w:b/>
                <w:bCs/>
                <w:color w:val="000000"/>
                <w:kern w:val="0"/>
              </w:rPr>
              <w:t> </w:t>
            </w:r>
          </w:p>
        </w:tc>
        <w:tc>
          <w:tcPr>
            <w:tcW w:w="434" w:type="pct"/>
            <w:shd w:val="clear" w:color="auto" w:fill="BDD6EE" w:themeFill="accent1" w:themeFillTint="66"/>
            <w:vAlign w:val="center"/>
            <w:hideMark/>
          </w:tcPr>
          <w:p w:rsidR="005062E8" w:rsidRPr="00CF4AA7" w:rsidP="00EA0034" w14:paraId="5C69257D" w14:textId="77777777">
            <w:pPr>
              <w:widowControl/>
              <w:overflowPunct/>
              <w:autoSpaceDE/>
              <w:autoSpaceDN/>
              <w:adjustRightInd/>
              <w:jc w:val="center"/>
              <w:rPr>
                <w:b/>
                <w:bCs/>
                <w:color w:val="000000"/>
                <w:kern w:val="0"/>
              </w:rPr>
            </w:pPr>
            <w:r w:rsidRPr="00CF4AA7">
              <w:rPr>
                <w:b/>
                <w:bCs/>
                <w:color w:val="000000"/>
                <w:kern w:val="0"/>
              </w:rPr>
              <w:t> </w:t>
            </w:r>
          </w:p>
        </w:tc>
        <w:tc>
          <w:tcPr>
            <w:tcW w:w="567" w:type="pct"/>
            <w:shd w:val="clear" w:color="auto" w:fill="BDD6EE" w:themeFill="accent1" w:themeFillTint="66"/>
            <w:vAlign w:val="center"/>
            <w:hideMark/>
          </w:tcPr>
          <w:p w:rsidR="005062E8" w:rsidRPr="00CF4AA7" w:rsidP="00EA0034" w14:paraId="48D00D24" w14:textId="77777777">
            <w:pPr>
              <w:widowControl/>
              <w:overflowPunct/>
              <w:autoSpaceDE/>
              <w:autoSpaceDN/>
              <w:adjustRightInd/>
              <w:jc w:val="center"/>
              <w:rPr>
                <w:b/>
                <w:bCs/>
                <w:color w:val="000000"/>
                <w:kern w:val="0"/>
              </w:rPr>
            </w:pPr>
            <w:r w:rsidRPr="00CF4AA7">
              <w:rPr>
                <w:b/>
                <w:bCs/>
                <w:color w:val="000000"/>
                <w:kern w:val="0"/>
              </w:rPr>
              <w:t> </w:t>
            </w:r>
          </w:p>
        </w:tc>
        <w:tc>
          <w:tcPr>
            <w:tcW w:w="434" w:type="pct"/>
            <w:shd w:val="clear" w:color="auto" w:fill="BDD6EE" w:themeFill="accent1" w:themeFillTint="66"/>
            <w:vAlign w:val="center"/>
            <w:hideMark/>
          </w:tcPr>
          <w:p w:rsidR="005062E8" w:rsidRPr="00CF4AA7" w:rsidP="00EA0034" w14:paraId="70950B05" w14:textId="77777777">
            <w:pPr>
              <w:widowControl/>
              <w:overflowPunct/>
              <w:autoSpaceDE/>
              <w:autoSpaceDN/>
              <w:adjustRightInd/>
              <w:jc w:val="center"/>
              <w:rPr>
                <w:b/>
                <w:bCs/>
                <w:color w:val="000000"/>
                <w:kern w:val="0"/>
              </w:rPr>
            </w:pPr>
            <w:r w:rsidRPr="00CF4AA7">
              <w:rPr>
                <w:b/>
                <w:bCs/>
                <w:color w:val="000000"/>
                <w:kern w:val="0"/>
              </w:rPr>
              <w:t> </w:t>
            </w:r>
          </w:p>
        </w:tc>
        <w:tc>
          <w:tcPr>
            <w:tcW w:w="533" w:type="pct"/>
            <w:shd w:val="clear" w:color="auto" w:fill="BDD6EE" w:themeFill="accent1" w:themeFillTint="66"/>
            <w:vAlign w:val="center"/>
            <w:hideMark/>
          </w:tcPr>
          <w:p w:rsidR="005062E8" w:rsidRPr="00CF4AA7" w:rsidP="00EA0034" w14:paraId="20D4C311" w14:textId="77777777">
            <w:pPr>
              <w:widowControl/>
              <w:overflowPunct/>
              <w:autoSpaceDE/>
              <w:autoSpaceDN/>
              <w:adjustRightInd/>
              <w:jc w:val="center"/>
              <w:rPr>
                <w:b/>
                <w:bCs/>
                <w:color w:val="000000"/>
                <w:kern w:val="0"/>
              </w:rPr>
            </w:pPr>
            <w:r w:rsidRPr="00CF4AA7">
              <w:rPr>
                <w:b/>
                <w:bCs/>
                <w:color w:val="000000"/>
                <w:kern w:val="0"/>
              </w:rPr>
              <w:t> </w:t>
            </w:r>
          </w:p>
        </w:tc>
        <w:tc>
          <w:tcPr>
            <w:tcW w:w="598" w:type="pct"/>
            <w:shd w:val="clear" w:color="auto" w:fill="BDD6EE" w:themeFill="accent1" w:themeFillTint="66"/>
            <w:noWrap/>
            <w:vAlign w:val="center"/>
            <w:hideMark/>
          </w:tcPr>
          <w:p w:rsidR="005062E8" w:rsidRPr="00CF4AA7" w:rsidP="00EA0034" w14:paraId="1D4C2D95" w14:textId="77777777">
            <w:pPr>
              <w:widowControl/>
              <w:overflowPunct/>
              <w:autoSpaceDE/>
              <w:autoSpaceDN/>
              <w:adjustRightInd/>
              <w:rPr>
                <w:rFonts w:ascii="Calibri" w:hAnsi="Calibri" w:cs="Calibri"/>
                <w:color w:val="000000"/>
                <w:kern w:val="0"/>
                <w:sz w:val="22"/>
                <w:szCs w:val="22"/>
              </w:rPr>
            </w:pPr>
            <w:r w:rsidRPr="00CF4AA7">
              <w:rPr>
                <w:rFonts w:ascii="Calibri" w:hAnsi="Calibri" w:cs="Calibri"/>
                <w:color w:val="000000"/>
                <w:kern w:val="0"/>
                <w:sz w:val="22"/>
                <w:szCs w:val="22"/>
              </w:rPr>
              <w:t> </w:t>
            </w:r>
          </w:p>
        </w:tc>
      </w:tr>
      <w:tr w14:paraId="00D31B6C" w14:textId="77777777" w:rsidTr="00001E63">
        <w:tblPrEx>
          <w:tblW w:w="5210" w:type="pct"/>
          <w:tblLayout w:type="fixed"/>
          <w:tblLook w:val="04A0"/>
        </w:tblPrEx>
        <w:trPr>
          <w:trHeight w:val="1584"/>
          <w:tblHeader/>
        </w:trPr>
        <w:tc>
          <w:tcPr>
            <w:tcW w:w="932" w:type="pct"/>
            <w:vMerge/>
            <w:shd w:val="clear" w:color="auto" w:fill="BDD6EE" w:themeFill="accent1" w:themeFillTint="66"/>
            <w:vAlign w:val="center"/>
            <w:hideMark/>
          </w:tcPr>
          <w:p w:rsidR="005062E8" w:rsidRPr="00CF4AA7" w:rsidP="00EA0034" w14:paraId="7D0F3389" w14:textId="77777777">
            <w:pPr>
              <w:widowControl/>
              <w:overflowPunct/>
              <w:autoSpaceDE/>
              <w:autoSpaceDN/>
              <w:adjustRightInd/>
              <w:rPr>
                <w:b/>
                <w:bCs/>
                <w:color w:val="000000"/>
                <w:kern w:val="0"/>
              </w:rPr>
            </w:pPr>
          </w:p>
        </w:tc>
        <w:tc>
          <w:tcPr>
            <w:tcW w:w="467" w:type="pct"/>
            <w:shd w:val="clear" w:color="auto" w:fill="BDD6EE" w:themeFill="accent1" w:themeFillTint="66"/>
            <w:vAlign w:val="center"/>
            <w:hideMark/>
          </w:tcPr>
          <w:p w:rsidR="005062E8" w:rsidRPr="00CF4AA7" w:rsidP="00EA0034" w14:paraId="4B3902E8" w14:textId="77777777">
            <w:pPr>
              <w:widowControl/>
              <w:overflowPunct/>
              <w:autoSpaceDE/>
              <w:autoSpaceDN/>
              <w:adjustRightInd/>
              <w:rPr>
                <w:b/>
                <w:bCs/>
                <w:color w:val="000000"/>
                <w:kern w:val="0"/>
              </w:rPr>
            </w:pPr>
            <w:r w:rsidRPr="00CF4AA7">
              <w:rPr>
                <w:b/>
                <w:bCs/>
                <w:color w:val="000000"/>
                <w:kern w:val="0"/>
              </w:rPr>
              <w:t>Type of Respondent (Employer)</w:t>
            </w:r>
          </w:p>
        </w:tc>
        <w:tc>
          <w:tcPr>
            <w:tcW w:w="502" w:type="pct"/>
            <w:shd w:val="clear" w:color="auto" w:fill="BDD6EE" w:themeFill="accent1" w:themeFillTint="66"/>
            <w:vAlign w:val="center"/>
            <w:hideMark/>
          </w:tcPr>
          <w:p w:rsidR="005062E8" w:rsidRPr="00CF4AA7" w:rsidP="00EA0034" w14:paraId="65316D19" w14:textId="7C04CC58">
            <w:pPr>
              <w:widowControl/>
              <w:overflowPunct/>
              <w:autoSpaceDE/>
              <w:autoSpaceDN/>
              <w:adjustRightInd/>
              <w:jc w:val="center"/>
              <w:rPr>
                <w:b/>
                <w:bCs/>
                <w:color w:val="000000"/>
                <w:kern w:val="0"/>
              </w:rPr>
            </w:pPr>
            <w:r w:rsidRPr="00CF4AA7">
              <w:rPr>
                <w:b/>
                <w:bCs/>
                <w:color w:val="000000"/>
                <w:kern w:val="0"/>
              </w:rPr>
              <w:t>No. of Respondents</w:t>
            </w:r>
            <w:r w:rsidR="00BE61E7">
              <w:rPr>
                <w:b/>
                <w:bCs/>
                <w:color w:val="000000"/>
                <w:kern w:val="0"/>
              </w:rPr>
              <w:t>*</w:t>
            </w:r>
          </w:p>
        </w:tc>
        <w:tc>
          <w:tcPr>
            <w:tcW w:w="534" w:type="pct"/>
            <w:shd w:val="clear" w:color="auto" w:fill="BDD6EE" w:themeFill="accent1" w:themeFillTint="66"/>
            <w:vAlign w:val="center"/>
            <w:hideMark/>
          </w:tcPr>
          <w:p w:rsidR="005062E8" w:rsidRPr="00CF4AA7" w:rsidP="00EA0034" w14:paraId="34334AB9" w14:textId="5D83C71D">
            <w:pPr>
              <w:widowControl/>
              <w:overflowPunct/>
              <w:autoSpaceDE/>
              <w:autoSpaceDN/>
              <w:adjustRightInd/>
              <w:jc w:val="center"/>
              <w:rPr>
                <w:b/>
                <w:bCs/>
                <w:color w:val="000000"/>
                <w:kern w:val="0"/>
              </w:rPr>
            </w:pPr>
            <w:r w:rsidRPr="00CF4AA7">
              <w:rPr>
                <w:b/>
                <w:bCs/>
                <w:color w:val="000000"/>
                <w:kern w:val="0"/>
              </w:rPr>
              <w:t>Responses per Respondent</w:t>
            </w:r>
          </w:p>
        </w:tc>
        <w:tc>
          <w:tcPr>
            <w:tcW w:w="434" w:type="pct"/>
            <w:shd w:val="clear" w:color="auto" w:fill="BDD6EE" w:themeFill="accent1" w:themeFillTint="66"/>
            <w:vAlign w:val="center"/>
            <w:hideMark/>
          </w:tcPr>
          <w:p w:rsidR="005062E8" w:rsidRPr="00CF4AA7" w:rsidP="00EA0034" w14:paraId="2EC6719A" w14:textId="237A9BB9">
            <w:pPr>
              <w:widowControl/>
              <w:overflowPunct/>
              <w:autoSpaceDE/>
              <w:autoSpaceDN/>
              <w:adjustRightInd/>
              <w:jc w:val="center"/>
              <w:rPr>
                <w:b/>
                <w:bCs/>
                <w:color w:val="000000"/>
                <w:kern w:val="0"/>
              </w:rPr>
            </w:pPr>
            <w:r w:rsidRPr="00CF4AA7">
              <w:rPr>
                <w:b/>
                <w:bCs/>
                <w:color w:val="000000"/>
                <w:kern w:val="0"/>
              </w:rPr>
              <w:t>Total Responses</w:t>
            </w:r>
          </w:p>
        </w:tc>
        <w:tc>
          <w:tcPr>
            <w:tcW w:w="567" w:type="pct"/>
            <w:shd w:val="clear" w:color="auto" w:fill="BDD6EE" w:themeFill="accent1" w:themeFillTint="66"/>
            <w:vAlign w:val="center"/>
            <w:hideMark/>
          </w:tcPr>
          <w:p w:rsidR="005062E8" w:rsidRPr="00CF4AA7" w:rsidP="00EA0034" w14:paraId="0E00E4FC" w14:textId="31B4C92C">
            <w:pPr>
              <w:widowControl/>
              <w:overflowPunct/>
              <w:autoSpaceDE/>
              <w:autoSpaceDN/>
              <w:adjustRightInd/>
              <w:jc w:val="center"/>
              <w:rPr>
                <w:b/>
                <w:bCs/>
                <w:color w:val="000000"/>
                <w:kern w:val="0"/>
              </w:rPr>
            </w:pPr>
            <w:r w:rsidRPr="00CF4AA7">
              <w:rPr>
                <w:b/>
                <w:bCs/>
                <w:color w:val="000000"/>
                <w:kern w:val="0"/>
              </w:rPr>
              <w:t xml:space="preserve"> </w:t>
            </w:r>
            <w:r w:rsidR="00151503">
              <w:rPr>
                <w:b/>
                <w:bCs/>
                <w:color w:val="000000"/>
                <w:kern w:val="0"/>
              </w:rPr>
              <w:t xml:space="preserve">Time </w:t>
            </w:r>
            <w:r w:rsidRPr="00CF4AA7">
              <w:rPr>
                <w:b/>
                <w:bCs/>
                <w:color w:val="000000"/>
                <w:kern w:val="0"/>
              </w:rPr>
              <w:t>per Response (in hours)</w:t>
            </w:r>
          </w:p>
        </w:tc>
        <w:tc>
          <w:tcPr>
            <w:tcW w:w="434" w:type="pct"/>
            <w:shd w:val="clear" w:color="auto" w:fill="BDD6EE" w:themeFill="accent1" w:themeFillTint="66"/>
            <w:vAlign w:val="center"/>
            <w:hideMark/>
          </w:tcPr>
          <w:p w:rsidR="005062E8" w:rsidRPr="00CF4AA7" w:rsidP="00EA0034" w14:paraId="535D4853" w14:textId="7F9662F7">
            <w:pPr>
              <w:widowControl/>
              <w:overflowPunct/>
              <w:autoSpaceDE/>
              <w:autoSpaceDN/>
              <w:adjustRightInd/>
              <w:jc w:val="center"/>
              <w:rPr>
                <w:b/>
                <w:bCs/>
                <w:color w:val="000000"/>
                <w:kern w:val="0"/>
              </w:rPr>
            </w:pPr>
            <w:r w:rsidRPr="00CF4AA7">
              <w:rPr>
                <w:b/>
                <w:bCs/>
                <w:color w:val="000000"/>
                <w:kern w:val="0"/>
              </w:rPr>
              <w:t>Burden Hours</w:t>
            </w:r>
          </w:p>
        </w:tc>
        <w:tc>
          <w:tcPr>
            <w:tcW w:w="533" w:type="pct"/>
            <w:shd w:val="clear" w:color="auto" w:fill="BDD6EE" w:themeFill="accent1" w:themeFillTint="66"/>
            <w:vAlign w:val="center"/>
            <w:hideMark/>
          </w:tcPr>
          <w:p w:rsidR="005062E8" w:rsidRPr="00CF4AA7" w:rsidP="00EA0034" w14:paraId="3CAC7B82" w14:textId="144B383A">
            <w:pPr>
              <w:widowControl/>
              <w:overflowPunct/>
              <w:autoSpaceDE/>
              <w:autoSpaceDN/>
              <w:adjustRightInd/>
              <w:jc w:val="center"/>
              <w:rPr>
                <w:b/>
                <w:bCs/>
                <w:color w:val="000000"/>
                <w:kern w:val="0"/>
              </w:rPr>
            </w:pPr>
            <w:r>
              <w:rPr>
                <w:b/>
                <w:bCs/>
                <w:color w:val="000000"/>
                <w:kern w:val="0"/>
              </w:rPr>
              <w:t>Loaded</w:t>
            </w:r>
            <w:r w:rsidRPr="00CF4AA7">
              <w:rPr>
                <w:b/>
                <w:bCs/>
                <w:color w:val="000000"/>
                <w:kern w:val="0"/>
              </w:rPr>
              <w:t xml:space="preserve"> Hourly</w:t>
            </w:r>
            <w:r w:rsidRPr="00CF4AA7">
              <w:rPr>
                <w:b/>
                <w:bCs/>
                <w:color w:val="000000"/>
                <w:kern w:val="0"/>
              </w:rPr>
              <w:t xml:space="preserve"> Wage Rate</w:t>
            </w:r>
          </w:p>
        </w:tc>
        <w:tc>
          <w:tcPr>
            <w:tcW w:w="598" w:type="pct"/>
            <w:shd w:val="clear" w:color="auto" w:fill="BDD6EE" w:themeFill="accent1" w:themeFillTint="66"/>
            <w:vAlign w:val="center"/>
            <w:hideMark/>
          </w:tcPr>
          <w:p w:rsidR="005062E8" w:rsidRPr="00CF4AA7" w:rsidP="00EA0034" w14:paraId="400AFE85" w14:textId="383B0297">
            <w:pPr>
              <w:widowControl/>
              <w:overflowPunct/>
              <w:autoSpaceDE/>
              <w:autoSpaceDN/>
              <w:adjustRightInd/>
              <w:jc w:val="center"/>
              <w:rPr>
                <w:b/>
                <w:bCs/>
                <w:color w:val="000000"/>
                <w:kern w:val="0"/>
              </w:rPr>
            </w:pPr>
            <w:r w:rsidRPr="00CF4AA7">
              <w:rPr>
                <w:b/>
                <w:bCs/>
                <w:color w:val="000000"/>
                <w:kern w:val="0"/>
              </w:rPr>
              <w:t>Burden Costs</w:t>
            </w:r>
          </w:p>
        </w:tc>
      </w:tr>
      <w:tr w14:paraId="0042F492" w14:textId="77777777" w:rsidTr="00001E63">
        <w:tblPrEx>
          <w:tblW w:w="5210" w:type="pct"/>
          <w:tblLayout w:type="fixed"/>
          <w:tblLook w:val="04A0"/>
        </w:tblPrEx>
        <w:trPr>
          <w:trHeight w:val="540"/>
          <w:tblHeader/>
        </w:trPr>
        <w:tc>
          <w:tcPr>
            <w:tcW w:w="932" w:type="pct"/>
            <w:vMerge/>
            <w:shd w:val="clear" w:color="auto" w:fill="BDD6EE" w:themeFill="accent1" w:themeFillTint="66"/>
            <w:vAlign w:val="center"/>
            <w:hideMark/>
          </w:tcPr>
          <w:p w:rsidR="005062E8" w:rsidRPr="00CF4AA7" w:rsidP="00EA0034" w14:paraId="3DCFAF50" w14:textId="77777777">
            <w:pPr>
              <w:widowControl/>
              <w:overflowPunct/>
              <w:autoSpaceDE/>
              <w:autoSpaceDN/>
              <w:adjustRightInd/>
              <w:rPr>
                <w:b/>
                <w:bCs/>
                <w:color w:val="000000"/>
                <w:kern w:val="0"/>
              </w:rPr>
            </w:pPr>
          </w:p>
        </w:tc>
        <w:tc>
          <w:tcPr>
            <w:tcW w:w="467" w:type="pct"/>
            <w:shd w:val="clear" w:color="auto" w:fill="BDD6EE" w:themeFill="accent1" w:themeFillTint="66"/>
            <w:vAlign w:val="center"/>
            <w:hideMark/>
          </w:tcPr>
          <w:p w:rsidR="005062E8" w:rsidRPr="00CF4AA7" w:rsidP="00EA0034" w14:paraId="638568ED" w14:textId="77777777">
            <w:pPr>
              <w:widowControl/>
              <w:overflowPunct/>
              <w:autoSpaceDE/>
              <w:autoSpaceDN/>
              <w:adjustRightInd/>
              <w:rPr>
                <w:b/>
                <w:bCs/>
                <w:color w:val="000000"/>
                <w:kern w:val="0"/>
              </w:rPr>
            </w:pPr>
            <w:r w:rsidRPr="00CF4AA7">
              <w:rPr>
                <w:b/>
                <w:bCs/>
                <w:color w:val="000000"/>
                <w:kern w:val="0"/>
              </w:rPr>
              <w:t> </w:t>
            </w:r>
          </w:p>
        </w:tc>
        <w:tc>
          <w:tcPr>
            <w:tcW w:w="502" w:type="pct"/>
            <w:shd w:val="clear" w:color="auto" w:fill="BDD6EE" w:themeFill="accent1" w:themeFillTint="66"/>
            <w:vAlign w:val="center"/>
            <w:hideMark/>
          </w:tcPr>
          <w:p w:rsidR="005062E8" w:rsidRPr="00CF4AA7" w:rsidP="00EA0034" w14:paraId="101741BD" w14:textId="77777777">
            <w:pPr>
              <w:widowControl/>
              <w:overflowPunct/>
              <w:autoSpaceDE/>
              <w:autoSpaceDN/>
              <w:adjustRightInd/>
              <w:jc w:val="center"/>
              <w:rPr>
                <w:b/>
                <w:bCs/>
                <w:color w:val="000000"/>
                <w:kern w:val="0"/>
              </w:rPr>
            </w:pPr>
            <w:r w:rsidRPr="00CF4AA7">
              <w:rPr>
                <w:b/>
                <w:bCs/>
                <w:color w:val="000000"/>
                <w:kern w:val="0"/>
              </w:rPr>
              <w:t>(A)</w:t>
            </w:r>
          </w:p>
        </w:tc>
        <w:tc>
          <w:tcPr>
            <w:tcW w:w="534" w:type="pct"/>
            <w:shd w:val="clear" w:color="auto" w:fill="BDD6EE" w:themeFill="accent1" w:themeFillTint="66"/>
            <w:vAlign w:val="center"/>
            <w:hideMark/>
          </w:tcPr>
          <w:p w:rsidR="005062E8" w:rsidRPr="00CF4AA7" w:rsidP="00EA0034" w14:paraId="6741A9E1" w14:textId="77777777">
            <w:pPr>
              <w:widowControl/>
              <w:overflowPunct/>
              <w:autoSpaceDE/>
              <w:autoSpaceDN/>
              <w:adjustRightInd/>
              <w:jc w:val="center"/>
              <w:rPr>
                <w:b/>
                <w:bCs/>
                <w:color w:val="000000"/>
                <w:kern w:val="0"/>
              </w:rPr>
            </w:pPr>
            <w:r w:rsidRPr="00CF4AA7">
              <w:rPr>
                <w:b/>
                <w:bCs/>
                <w:color w:val="000000"/>
                <w:kern w:val="0"/>
              </w:rPr>
              <w:t>(B)</w:t>
            </w:r>
          </w:p>
        </w:tc>
        <w:tc>
          <w:tcPr>
            <w:tcW w:w="434" w:type="pct"/>
            <w:shd w:val="clear" w:color="auto" w:fill="BDD6EE" w:themeFill="accent1" w:themeFillTint="66"/>
            <w:vAlign w:val="center"/>
            <w:hideMark/>
          </w:tcPr>
          <w:p w:rsidR="005062E8" w:rsidRPr="00CF4AA7" w:rsidP="00EA0034" w14:paraId="5D1EFBBF" w14:textId="77777777">
            <w:pPr>
              <w:widowControl/>
              <w:overflowPunct/>
              <w:autoSpaceDE/>
              <w:autoSpaceDN/>
              <w:adjustRightInd/>
              <w:jc w:val="center"/>
              <w:rPr>
                <w:b/>
                <w:bCs/>
                <w:color w:val="000000"/>
                <w:kern w:val="0"/>
              </w:rPr>
            </w:pPr>
            <w:r w:rsidRPr="00CF4AA7">
              <w:rPr>
                <w:b/>
                <w:bCs/>
                <w:color w:val="000000"/>
                <w:kern w:val="0"/>
              </w:rPr>
              <w:t>C = A*B</w:t>
            </w:r>
          </w:p>
        </w:tc>
        <w:tc>
          <w:tcPr>
            <w:tcW w:w="567" w:type="pct"/>
            <w:shd w:val="clear" w:color="auto" w:fill="BDD6EE" w:themeFill="accent1" w:themeFillTint="66"/>
            <w:vAlign w:val="center"/>
            <w:hideMark/>
          </w:tcPr>
          <w:p w:rsidR="005062E8" w:rsidRPr="00CF4AA7" w:rsidP="00EA0034" w14:paraId="08ACB485" w14:textId="77777777">
            <w:pPr>
              <w:widowControl/>
              <w:overflowPunct/>
              <w:autoSpaceDE/>
              <w:autoSpaceDN/>
              <w:adjustRightInd/>
              <w:jc w:val="center"/>
              <w:rPr>
                <w:b/>
                <w:bCs/>
                <w:color w:val="000000"/>
                <w:kern w:val="0"/>
              </w:rPr>
            </w:pPr>
            <w:r w:rsidRPr="00CF4AA7">
              <w:rPr>
                <w:b/>
                <w:bCs/>
                <w:color w:val="000000"/>
                <w:kern w:val="0"/>
              </w:rPr>
              <w:t>(D)</w:t>
            </w:r>
          </w:p>
        </w:tc>
        <w:tc>
          <w:tcPr>
            <w:tcW w:w="434" w:type="pct"/>
            <w:shd w:val="clear" w:color="auto" w:fill="BDD6EE" w:themeFill="accent1" w:themeFillTint="66"/>
            <w:vAlign w:val="center"/>
            <w:hideMark/>
          </w:tcPr>
          <w:p w:rsidR="005062E8" w:rsidRPr="00CF4AA7" w:rsidP="00EA0034" w14:paraId="6495F588" w14:textId="77777777">
            <w:pPr>
              <w:widowControl/>
              <w:overflowPunct/>
              <w:autoSpaceDE/>
              <w:autoSpaceDN/>
              <w:adjustRightInd/>
              <w:jc w:val="center"/>
              <w:rPr>
                <w:b/>
                <w:bCs/>
                <w:color w:val="000000"/>
                <w:kern w:val="0"/>
              </w:rPr>
            </w:pPr>
            <w:r w:rsidRPr="00CF4AA7">
              <w:rPr>
                <w:b/>
                <w:bCs/>
                <w:color w:val="000000"/>
                <w:kern w:val="0"/>
              </w:rPr>
              <w:t>E = C*D</w:t>
            </w:r>
          </w:p>
        </w:tc>
        <w:tc>
          <w:tcPr>
            <w:tcW w:w="533" w:type="pct"/>
            <w:shd w:val="clear" w:color="auto" w:fill="BDD6EE" w:themeFill="accent1" w:themeFillTint="66"/>
            <w:vAlign w:val="center"/>
            <w:hideMark/>
          </w:tcPr>
          <w:p w:rsidR="005062E8" w:rsidRPr="00CF4AA7" w:rsidP="00EA0034" w14:paraId="67F94A7B" w14:textId="77777777">
            <w:pPr>
              <w:widowControl/>
              <w:overflowPunct/>
              <w:autoSpaceDE/>
              <w:autoSpaceDN/>
              <w:adjustRightInd/>
              <w:jc w:val="center"/>
              <w:rPr>
                <w:b/>
                <w:bCs/>
                <w:color w:val="000000"/>
                <w:kern w:val="0"/>
              </w:rPr>
            </w:pPr>
            <w:r w:rsidRPr="00CF4AA7">
              <w:rPr>
                <w:b/>
                <w:bCs/>
                <w:color w:val="000000"/>
                <w:kern w:val="0"/>
              </w:rPr>
              <w:t>(F)</w:t>
            </w:r>
          </w:p>
        </w:tc>
        <w:tc>
          <w:tcPr>
            <w:tcW w:w="598" w:type="pct"/>
            <w:shd w:val="clear" w:color="auto" w:fill="BDD6EE" w:themeFill="accent1" w:themeFillTint="66"/>
            <w:noWrap/>
            <w:vAlign w:val="center"/>
            <w:hideMark/>
          </w:tcPr>
          <w:p w:rsidR="005062E8" w:rsidRPr="00CF4AA7" w:rsidP="00EA0034" w14:paraId="61AB35FC" w14:textId="77777777">
            <w:pPr>
              <w:widowControl/>
              <w:overflowPunct/>
              <w:autoSpaceDE/>
              <w:autoSpaceDN/>
              <w:adjustRightInd/>
              <w:jc w:val="center"/>
              <w:rPr>
                <w:b/>
                <w:bCs/>
                <w:color w:val="000000"/>
                <w:kern w:val="0"/>
              </w:rPr>
            </w:pPr>
            <w:r w:rsidRPr="00CF4AA7">
              <w:rPr>
                <w:b/>
                <w:bCs/>
                <w:color w:val="000000"/>
                <w:kern w:val="0"/>
              </w:rPr>
              <w:t>G = E*F</w:t>
            </w:r>
          </w:p>
        </w:tc>
      </w:tr>
      <w:tr w14:paraId="635D65B2" w14:textId="77777777" w:rsidTr="00001E63">
        <w:tblPrEx>
          <w:tblW w:w="5210" w:type="pct"/>
          <w:tblLayout w:type="fixed"/>
          <w:tblLook w:val="04A0"/>
        </w:tblPrEx>
        <w:trPr>
          <w:trHeight w:val="300"/>
        </w:trPr>
        <w:tc>
          <w:tcPr>
            <w:tcW w:w="932" w:type="pct"/>
            <w:shd w:val="clear" w:color="auto" w:fill="auto"/>
            <w:vAlign w:val="center"/>
            <w:hideMark/>
          </w:tcPr>
          <w:p w:rsidR="005062E8" w:rsidRPr="00CF4AA7" w:rsidP="00EA0034" w14:paraId="23AD275C" w14:textId="77777777">
            <w:pPr>
              <w:widowControl/>
              <w:overflowPunct/>
              <w:autoSpaceDE/>
              <w:autoSpaceDN/>
              <w:adjustRightInd/>
              <w:rPr>
                <w:b/>
                <w:bCs/>
                <w:color w:val="000000"/>
                <w:kern w:val="0"/>
              </w:rPr>
            </w:pPr>
            <w:r w:rsidRPr="00CF4AA7">
              <w:rPr>
                <w:b/>
                <w:bCs/>
                <w:color w:val="000000"/>
                <w:kern w:val="0"/>
              </w:rPr>
              <w:t> </w:t>
            </w:r>
          </w:p>
        </w:tc>
        <w:tc>
          <w:tcPr>
            <w:tcW w:w="467" w:type="pct"/>
            <w:shd w:val="clear" w:color="auto" w:fill="auto"/>
            <w:vAlign w:val="center"/>
            <w:hideMark/>
          </w:tcPr>
          <w:p w:rsidR="005062E8" w:rsidRPr="00CF4AA7" w:rsidP="00EA0034" w14:paraId="44CBAF3E" w14:textId="77777777">
            <w:pPr>
              <w:widowControl/>
              <w:overflowPunct/>
              <w:autoSpaceDE/>
              <w:autoSpaceDN/>
              <w:adjustRightInd/>
              <w:jc w:val="center"/>
              <w:rPr>
                <w:color w:val="000000"/>
                <w:kern w:val="0"/>
              </w:rPr>
            </w:pPr>
            <w:r w:rsidRPr="00CF4AA7">
              <w:rPr>
                <w:color w:val="000000"/>
                <w:kern w:val="0"/>
              </w:rPr>
              <w:t> </w:t>
            </w:r>
          </w:p>
        </w:tc>
        <w:tc>
          <w:tcPr>
            <w:tcW w:w="502" w:type="pct"/>
            <w:shd w:val="clear" w:color="auto" w:fill="auto"/>
            <w:vAlign w:val="center"/>
            <w:hideMark/>
          </w:tcPr>
          <w:p w:rsidR="005062E8" w:rsidRPr="00CF4AA7" w:rsidP="00EA0034" w14:paraId="550EB5F0" w14:textId="77777777">
            <w:pPr>
              <w:widowControl/>
              <w:overflowPunct/>
              <w:autoSpaceDE/>
              <w:autoSpaceDN/>
              <w:adjustRightInd/>
              <w:jc w:val="center"/>
              <w:rPr>
                <w:color w:val="000000"/>
                <w:kern w:val="0"/>
              </w:rPr>
            </w:pPr>
            <w:r w:rsidRPr="00CF4AA7">
              <w:rPr>
                <w:color w:val="000000"/>
                <w:kern w:val="0"/>
              </w:rPr>
              <w:t> </w:t>
            </w:r>
          </w:p>
        </w:tc>
        <w:tc>
          <w:tcPr>
            <w:tcW w:w="534" w:type="pct"/>
            <w:shd w:val="clear" w:color="auto" w:fill="auto"/>
            <w:vAlign w:val="center"/>
            <w:hideMark/>
          </w:tcPr>
          <w:p w:rsidR="005062E8" w:rsidRPr="00CF4AA7" w:rsidP="00EA0034" w14:paraId="30669EEA" w14:textId="77777777">
            <w:pPr>
              <w:widowControl/>
              <w:overflowPunct/>
              <w:autoSpaceDE/>
              <w:autoSpaceDN/>
              <w:adjustRightInd/>
              <w:jc w:val="center"/>
              <w:rPr>
                <w:color w:val="000000"/>
                <w:kern w:val="0"/>
              </w:rPr>
            </w:pPr>
            <w:r w:rsidRPr="00CF4AA7">
              <w:rPr>
                <w:color w:val="000000"/>
                <w:kern w:val="0"/>
              </w:rPr>
              <w:t> </w:t>
            </w:r>
          </w:p>
        </w:tc>
        <w:tc>
          <w:tcPr>
            <w:tcW w:w="434" w:type="pct"/>
            <w:shd w:val="clear" w:color="auto" w:fill="auto"/>
            <w:vAlign w:val="center"/>
            <w:hideMark/>
          </w:tcPr>
          <w:p w:rsidR="005062E8" w:rsidRPr="00CF4AA7" w:rsidP="00EA0034" w14:paraId="6BEB51F8" w14:textId="77777777">
            <w:pPr>
              <w:widowControl/>
              <w:overflowPunct/>
              <w:autoSpaceDE/>
              <w:autoSpaceDN/>
              <w:adjustRightInd/>
              <w:jc w:val="center"/>
              <w:rPr>
                <w:color w:val="000000"/>
                <w:kern w:val="0"/>
              </w:rPr>
            </w:pPr>
            <w:r w:rsidRPr="00CF4AA7">
              <w:rPr>
                <w:color w:val="000000"/>
                <w:kern w:val="0"/>
              </w:rPr>
              <w:t> </w:t>
            </w:r>
          </w:p>
        </w:tc>
        <w:tc>
          <w:tcPr>
            <w:tcW w:w="567" w:type="pct"/>
            <w:shd w:val="clear" w:color="auto" w:fill="auto"/>
            <w:vAlign w:val="center"/>
            <w:hideMark/>
          </w:tcPr>
          <w:p w:rsidR="005062E8" w:rsidRPr="00CF4AA7" w:rsidP="00EA0034" w14:paraId="3DB48491" w14:textId="77777777">
            <w:pPr>
              <w:widowControl/>
              <w:overflowPunct/>
              <w:autoSpaceDE/>
              <w:autoSpaceDN/>
              <w:adjustRightInd/>
              <w:jc w:val="center"/>
              <w:rPr>
                <w:color w:val="000000"/>
                <w:kern w:val="0"/>
              </w:rPr>
            </w:pPr>
            <w:r w:rsidRPr="00CF4AA7">
              <w:rPr>
                <w:color w:val="000000"/>
                <w:kern w:val="0"/>
              </w:rPr>
              <w:t> </w:t>
            </w:r>
          </w:p>
        </w:tc>
        <w:tc>
          <w:tcPr>
            <w:tcW w:w="434" w:type="pct"/>
            <w:shd w:val="clear" w:color="auto" w:fill="auto"/>
            <w:vAlign w:val="center"/>
            <w:hideMark/>
          </w:tcPr>
          <w:p w:rsidR="005062E8" w:rsidRPr="00CF4AA7" w:rsidP="00EA0034" w14:paraId="514E70B0" w14:textId="77777777">
            <w:pPr>
              <w:widowControl/>
              <w:overflowPunct/>
              <w:autoSpaceDE/>
              <w:autoSpaceDN/>
              <w:adjustRightInd/>
              <w:jc w:val="center"/>
              <w:rPr>
                <w:color w:val="000000"/>
                <w:kern w:val="0"/>
              </w:rPr>
            </w:pPr>
            <w:r w:rsidRPr="00CF4AA7">
              <w:rPr>
                <w:color w:val="000000"/>
                <w:kern w:val="0"/>
              </w:rPr>
              <w:t> </w:t>
            </w:r>
          </w:p>
        </w:tc>
        <w:tc>
          <w:tcPr>
            <w:tcW w:w="533" w:type="pct"/>
            <w:shd w:val="clear" w:color="auto" w:fill="auto"/>
            <w:vAlign w:val="center"/>
            <w:hideMark/>
          </w:tcPr>
          <w:p w:rsidR="005062E8" w:rsidRPr="00CF4AA7" w:rsidP="00EA0034" w14:paraId="4945EAC0" w14:textId="77777777">
            <w:pPr>
              <w:widowControl/>
              <w:overflowPunct/>
              <w:autoSpaceDE/>
              <w:autoSpaceDN/>
              <w:adjustRightInd/>
              <w:jc w:val="center"/>
              <w:rPr>
                <w:color w:val="000000"/>
                <w:kern w:val="0"/>
              </w:rPr>
            </w:pPr>
            <w:r w:rsidRPr="00CF4AA7">
              <w:rPr>
                <w:color w:val="000000"/>
                <w:kern w:val="0"/>
              </w:rPr>
              <w:t> </w:t>
            </w:r>
          </w:p>
        </w:tc>
        <w:tc>
          <w:tcPr>
            <w:tcW w:w="598" w:type="pct"/>
            <w:shd w:val="clear" w:color="auto" w:fill="auto"/>
            <w:noWrap/>
            <w:vAlign w:val="center"/>
            <w:hideMark/>
          </w:tcPr>
          <w:p w:rsidR="005062E8" w:rsidRPr="00CF4AA7" w:rsidP="00EA0034" w14:paraId="1A4BA749" w14:textId="77777777">
            <w:pPr>
              <w:widowControl/>
              <w:overflowPunct/>
              <w:autoSpaceDE/>
              <w:autoSpaceDN/>
              <w:adjustRightInd/>
              <w:rPr>
                <w:rFonts w:ascii="Calibri" w:hAnsi="Calibri" w:cs="Calibri"/>
                <w:color w:val="000000"/>
                <w:kern w:val="0"/>
                <w:sz w:val="22"/>
                <w:szCs w:val="22"/>
              </w:rPr>
            </w:pPr>
            <w:r w:rsidRPr="00CF4AA7">
              <w:rPr>
                <w:rFonts w:ascii="Calibri" w:hAnsi="Calibri" w:cs="Calibri"/>
                <w:color w:val="000000"/>
                <w:kern w:val="0"/>
                <w:sz w:val="22"/>
                <w:szCs w:val="22"/>
              </w:rPr>
              <w:t> </w:t>
            </w:r>
          </w:p>
        </w:tc>
      </w:tr>
      <w:tr w14:paraId="0486F398"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11135720" w14:textId="62098EF5">
            <w:pPr>
              <w:widowControl/>
              <w:overflowPunct/>
              <w:autoSpaceDE/>
              <w:autoSpaceDN/>
              <w:adjustRightInd/>
              <w:rPr>
                <w:b/>
                <w:bCs/>
                <w:color w:val="000000"/>
                <w:kern w:val="0"/>
              </w:rPr>
            </w:pPr>
            <w:r>
              <w:rPr>
                <w:b/>
                <w:bCs/>
                <w:color w:val="000000"/>
                <w:kern w:val="0"/>
              </w:rPr>
              <w:t xml:space="preserve">(A) </w:t>
            </w:r>
            <w:r w:rsidRPr="003840F0">
              <w:rPr>
                <w:b/>
                <w:bCs/>
                <w:color w:val="000000"/>
                <w:kern w:val="0"/>
              </w:rPr>
              <w:t>Exposure Monitoring</w:t>
            </w:r>
          </w:p>
        </w:tc>
        <w:tc>
          <w:tcPr>
            <w:tcW w:w="467" w:type="pct"/>
            <w:shd w:val="clear" w:color="auto" w:fill="auto"/>
            <w:vAlign w:val="center"/>
            <w:hideMark/>
          </w:tcPr>
          <w:p w:rsidR="005062E8" w:rsidRPr="003840F0" w:rsidP="00EA0034" w14:paraId="2E022AF6" w14:textId="77777777">
            <w:pPr>
              <w:widowControl/>
              <w:overflowPunct/>
              <w:autoSpaceDE/>
              <w:autoSpaceDN/>
              <w:adjustRightInd/>
              <w:jc w:val="center"/>
              <w:rPr>
                <w:color w:val="000000"/>
                <w:kern w:val="0"/>
              </w:rPr>
            </w:pPr>
            <w:r w:rsidRPr="003840F0">
              <w:rPr>
                <w:color w:val="000000"/>
                <w:kern w:val="0"/>
              </w:rPr>
              <w:t> </w:t>
            </w:r>
          </w:p>
        </w:tc>
        <w:tc>
          <w:tcPr>
            <w:tcW w:w="502" w:type="pct"/>
            <w:shd w:val="clear" w:color="auto" w:fill="auto"/>
            <w:vAlign w:val="center"/>
            <w:hideMark/>
          </w:tcPr>
          <w:p w:rsidR="005062E8" w:rsidRPr="003840F0" w:rsidP="00EA0034" w14:paraId="2436EC05" w14:textId="77777777">
            <w:pPr>
              <w:widowControl/>
              <w:overflowPunct/>
              <w:autoSpaceDE/>
              <w:autoSpaceDN/>
              <w:adjustRightInd/>
              <w:jc w:val="center"/>
              <w:rPr>
                <w:color w:val="000000"/>
                <w:kern w:val="0"/>
              </w:rPr>
            </w:pPr>
            <w:r w:rsidRPr="003840F0">
              <w:rPr>
                <w:color w:val="000000"/>
                <w:kern w:val="0"/>
              </w:rPr>
              <w:t> </w:t>
            </w:r>
          </w:p>
        </w:tc>
        <w:tc>
          <w:tcPr>
            <w:tcW w:w="534" w:type="pct"/>
            <w:shd w:val="clear" w:color="auto" w:fill="auto"/>
            <w:vAlign w:val="center"/>
            <w:hideMark/>
          </w:tcPr>
          <w:p w:rsidR="005062E8" w:rsidRPr="003840F0" w:rsidP="00EA0034" w14:paraId="6A094EAF" w14:textId="77777777">
            <w:pPr>
              <w:widowControl/>
              <w:overflowPunct/>
              <w:autoSpaceDE/>
              <w:autoSpaceDN/>
              <w:adjustRightInd/>
              <w:jc w:val="center"/>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021C8BBC" w14:textId="77777777">
            <w:pPr>
              <w:widowControl/>
              <w:overflowPunct/>
              <w:autoSpaceDE/>
              <w:autoSpaceDN/>
              <w:adjustRightInd/>
              <w:jc w:val="center"/>
              <w:rPr>
                <w:color w:val="000000"/>
                <w:kern w:val="0"/>
              </w:rPr>
            </w:pPr>
            <w:r w:rsidRPr="003840F0">
              <w:rPr>
                <w:color w:val="000000"/>
                <w:kern w:val="0"/>
              </w:rPr>
              <w:t> </w:t>
            </w:r>
          </w:p>
        </w:tc>
        <w:tc>
          <w:tcPr>
            <w:tcW w:w="567" w:type="pct"/>
            <w:shd w:val="clear" w:color="auto" w:fill="auto"/>
            <w:vAlign w:val="center"/>
            <w:hideMark/>
          </w:tcPr>
          <w:p w:rsidR="005062E8" w:rsidRPr="003840F0" w:rsidP="00EA0034" w14:paraId="1C295DF3" w14:textId="77777777">
            <w:pPr>
              <w:widowControl/>
              <w:overflowPunct/>
              <w:autoSpaceDE/>
              <w:autoSpaceDN/>
              <w:adjustRightInd/>
              <w:jc w:val="center"/>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7A060506" w14:textId="77777777">
            <w:pPr>
              <w:widowControl/>
              <w:overflowPunct/>
              <w:autoSpaceDE/>
              <w:autoSpaceDN/>
              <w:adjustRightInd/>
              <w:jc w:val="center"/>
              <w:rPr>
                <w:color w:val="000000"/>
                <w:kern w:val="0"/>
              </w:rPr>
            </w:pPr>
            <w:r w:rsidRPr="003840F0">
              <w:rPr>
                <w:color w:val="000000"/>
                <w:kern w:val="0"/>
              </w:rPr>
              <w:t> </w:t>
            </w:r>
          </w:p>
        </w:tc>
        <w:tc>
          <w:tcPr>
            <w:tcW w:w="533" w:type="pct"/>
            <w:shd w:val="clear" w:color="auto" w:fill="auto"/>
            <w:vAlign w:val="center"/>
            <w:hideMark/>
          </w:tcPr>
          <w:p w:rsidR="005062E8" w:rsidRPr="003840F0" w:rsidP="00EA0034" w14:paraId="53FBAE8A" w14:textId="77777777">
            <w:pPr>
              <w:widowControl/>
              <w:overflowPunct/>
              <w:autoSpaceDE/>
              <w:autoSpaceDN/>
              <w:adjustRightInd/>
              <w:jc w:val="center"/>
              <w:rPr>
                <w:color w:val="000000"/>
                <w:kern w:val="0"/>
              </w:rPr>
            </w:pPr>
            <w:r w:rsidRPr="003840F0">
              <w:rPr>
                <w:color w:val="000000"/>
                <w:kern w:val="0"/>
              </w:rPr>
              <w:t> </w:t>
            </w:r>
          </w:p>
        </w:tc>
        <w:tc>
          <w:tcPr>
            <w:tcW w:w="598" w:type="pct"/>
            <w:shd w:val="clear" w:color="auto" w:fill="auto"/>
            <w:noWrap/>
            <w:vAlign w:val="center"/>
            <w:hideMark/>
          </w:tcPr>
          <w:p w:rsidR="005062E8" w:rsidRPr="003840F0" w:rsidP="00EA0034" w14:paraId="7963CB9B" w14:textId="77777777">
            <w:pPr>
              <w:widowControl/>
              <w:overflowPunct/>
              <w:autoSpaceDE/>
              <w:autoSpaceDN/>
              <w:adjustRightInd/>
              <w:rPr>
                <w:color w:val="000000"/>
                <w:kern w:val="0"/>
              </w:rPr>
            </w:pPr>
            <w:r w:rsidRPr="003840F0">
              <w:rPr>
                <w:color w:val="000000"/>
                <w:kern w:val="0"/>
              </w:rPr>
              <w:t> </w:t>
            </w:r>
          </w:p>
        </w:tc>
      </w:tr>
      <w:tr w14:paraId="08C68316"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483BD27A" w14:textId="77777777">
            <w:pPr>
              <w:widowControl/>
              <w:overflowPunct/>
              <w:autoSpaceDE/>
              <w:autoSpaceDN/>
              <w:adjustRightInd/>
              <w:ind w:firstLine="200" w:firstLineChars="100"/>
              <w:rPr>
                <w:color w:val="000000"/>
                <w:kern w:val="0"/>
              </w:rPr>
            </w:pPr>
            <w:r w:rsidRPr="003840F0">
              <w:rPr>
                <w:color w:val="000000"/>
                <w:kern w:val="0"/>
              </w:rPr>
              <w:t>Initial Determination</w:t>
            </w:r>
          </w:p>
        </w:tc>
        <w:tc>
          <w:tcPr>
            <w:tcW w:w="467" w:type="pct"/>
            <w:shd w:val="clear" w:color="auto" w:fill="auto"/>
            <w:vAlign w:val="center"/>
            <w:hideMark/>
          </w:tcPr>
          <w:p w:rsidR="005062E8" w:rsidRPr="003840F0" w:rsidP="00EA0034" w14:paraId="3A067E5E" w14:textId="77777777">
            <w:pPr>
              <w:widowControl/>
              <w:overflowPunct/>
              <w:autoSpaceDE/>
              <w:autoSpaceDN/>
              <w:adjustRightInd/>
              <w:jc w:val="center"/>
              <w:rPr>
                <w:color w:val="000000"/>
                <w:kern w:val="0"/>
              </w:rPr>
            </w:pPr>
            <w:r w:rsidRPr="003840F0">
              <w:rPr>
                <w:color w:val="000000"/>
                <w:kern w:val="0"/>
              </w:rPr>
              <w:t> </w:t>
            </w:r>
          </w:p>
        </w:tc>
        <w:tc>
          <w:tcPr>
            <w:tcW w:w="502" w:type="pct"/>
            <w:shd w:val="clear" w:color="auto" w:fill="auto"/>
            <w:vAlign w:val="center"/>
            <w:hideMark/>
          </w:tcPr>
          <w:p w:rsidR="005062E8" w:rsidRPr="003840F0" w:rsidP="00EA0034" w14:paraId="262AB324" w14:textId="77777777">
            <w:pPr>
              <w:widowControl/>
              <w:overflowPunct/>
              <w:autoSpaceDE/>
              <w:autoSpaceDN/>
              <w:adjustRightInd/>
              <w:jc w:val="center"/>
              <w:rPr>
                <w:color w:val="000000"/>
                <w:kern w:val="0"/>
              </w:rPr>
            </w:pPr>
            <w:r w:rsidRPr="003840F0">
              <w:rPr>
                <w:color w:val="000000"/>
                <w:kern w:val="0"/>
              </w:rPr>
              <w:t> </w:t>
            </w:r>
          </w:p>
        </w:tc>
        <w:tc>
          <w:tcPr>
            <w:tcW w:w="534" w:type="pct"/>
            <w:shd w:val="clear" w:color="auto" w:fill="auto"/>
            <w:vAlign w:val="center"/>
            <w:hideMark/>
          </w:tcPr>
          <w:p w:rsidR="005062E8" w:rsidRPr="003840F0" w:rsidP="00EA0034" w14:paraId="4F27417F" w14:textId="77777777">
            <w:pPr>
              <w:widowControl/>
              <w:overflowPunct/>
              <w:autoSpaceDE/>
              <w:autoSpaceDN/>
              <w:adjustRightInd/>
              <w:jc w:val="center"/>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300881AD" w14:textId="77777777">
            <w:pPr>
              <w:widowControl/>
              <w:overflowPunct/>
              <w:autoSpaceDE/>
              <w:autoSpaceDN/>
              <w:adjustRightInd/>
              <w:jc w:val="center"/>
              <w:rPr>
                <w:color w:val="000000"/>
                <w:kern w:val="0"/>
              </w:rPr>
            </w:pPr>
            <w:r w:rsidRPr="003840F0">
              <w:rPr>
                <w:color w:val="000000"/>
                <w:kern w:val="0"/>
              </w:rPr>
              <w:t> </w:t>
            </w:r>
          </w:p>
        </w:tc>
        <w:tc>
          <w:tcPr>
            <w:tcW w:w="567" w:type="pct"/>
            <w:shd w:val="clear" w:color="auto" w:fill="auto"/>
            <w:vAlign w:val="center"/>
            <w:hideMark/>
          </w:tcPr>
          <w:p w:rsidR="005062E8" w:rsidRPr="003840F0" w:rsidP="00EA0034" w14:paraId="516389D6" w14:textId="77777777">
            <w:pPr>
              <w:widowControl/>
              <w:overflowPunct/>
              <w:autoSpaceDE/>
              <w:autoSpaceDN/>
              <w:adjustRightInd/>
              <w:jc w:val="center"/>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72ABB539" w14:textId="77777777">
            <w:pPr>
              <w:widowControl/>
              <w:overflowPunct/>
              <w:autoSpaceDE/>
              <w:autoSpaceDN/>
              <w:adjustRightInd/>
              <w:jc w:val="center"/>
              <w:rPr>
                <w:color w:val="000000"/>
                <w:kern w:val="0"/>
              </w:rPr>
            </w:pPr>
            <w:r w:rsidRPr="003840F0">
              <w:rPr>
                <w:color w:val="000000"/>
                <w:kern w:val="0"/>
              </w:rPr>
              <w:t> </w:t>
            </w:r>
          </w:p>
        </w:tc>
        <w:tc>
          <w:tcPr>
            <w:tcW w:w="533" w:type="pct"/>
            <w:shd w:val="clear" w:color="auto" w:fill="auto"/>
            <w:vAlign w:val="center"/>
            <w:hideMark/>
          </w:tcPr>
          <w:p w:rsidR="005062E8" w:rsidRPr="003840F0" w:rsidP="00EA0034" w14:paraId="40544DC8" w14:textId="77777777">
            <w:pPr>
              <w:widowControl/>
              <w:overflowPunct/>
              <w:autoSpaceDE/>
              <w:autoSpaceDN/>
              <w:adjustRightInd/>
              <w:jc w:val="center"/>
              <w:rPr>
                <w:color w:val="000000"/>
                <w:kern w:val="0"/>
              </w:rPr>
            </w:pPr>
            <w:r w:rsidRPr="003840F0">
              <w:rPr>
                <w:color w:val="000000"/>
                <w:kern w:val="0"/>
              </w:rPr>
              <w:t> </w:t>
            </w:r>
          </w:p>
        </w:tc>
        <w:tc>
          <w:tcPr>
            <w:tcW w:w="598" w:type="pct"/>
            <w:shd w:val="clear" w:color="auto" w:fill="auto"/>
            <w:noWrap/>
            <w:vAlign w:val="center"/>
            <w:hideMark/>
          </w:tcPr>
          <w:p w:rsidR="005062E8" w:rsidRPr="003840F0" w:rsidP="00EA0034" w14:paraId="7D38D814" w14:textId="77777777">
            <w:pPr>
              <w:widowControl/>
              <w:overflowPunct/>
              <w:autoSpaceDE/>
              <w:autoSpaceDN/>
              <w:adjustRightInd/>
              <w:rPr>
                <w:color w:val="000000"/>
                <w:kern w:val="0"/>
              </w:rPr>
            </w:pPr>
            <w:r w:rsidRPr="003840F0">
              <w:rPr>
                <w:color w:val="000000"/>
                <w:kern w:val="0"/>
              </w:rPr>
              <w:t> </w:t>
            </w:r>
          </w:p>
        </w:tc>
      </w:tr>
      <w:tr w14:paraId="70BD2048" w14:textId="77777777" w:rsidTr="00001E63">
        <w:tblPrEx>
          <w:tblW w:w="5210" w:type="pct"/>
          <w:tblLayout w:type="fixed"/>
          <w:tblLook w:val="04A0"/>
        </w:tblPrEx>
        <w:trPr>
          <w:trHeight w:val="492"/>
        </w:trPr>
        <w:tc>
          <w:tcPr>
            <w:tcW w:w="932" w:type="pct"/>
            <w:shd w:val="clear" w:color="auto" w:fill="auto"/>
            <w:vAlign w:val="center"/>
            <w:hideMark/>
          </w:tcPr>
          <w:p w:rsidR="005062E8" w:rsidRPr="003840F0" w:rsidP="00EA0034" w14:paraId="429F945F" w14:textId="77777777">
            <w:pPr>
              <w:widowControl/>
              <w:overflowPunct/>
              <w:autoSpaceDE/>
              <w:autoSpaceDN/>
              <w:adjustRightInd/>
              <w:ind w:firstLine="400" w:firstLineChars="200"/>
              <w:rPr>
                <w:i/>
                <w:iCs/>
                <w:color w:val="000000"/>
                <w:kern w:val="0"/>
              </w:rPr>
            </w:pPr>
            <w:r w:rsidRPr="003840F0">
              <w:rPr>
                <w:i/>
                <w:iCs/>
                <w:color w:val="000000"/>
                <w:kern w:val="0"/>
              </w:rPr>
              <w:t>Initial Exposure Measurement (lead detection swabs)</w:t>
            </w:r>
          </w:p>
        </w:tc>
        <w:tc>
          <w:tcPr>
            <w:tcW w:w="467" w:type="pct"/>
            <w:shd w:val="clear" w:color="auto" w:fill="auto"/>
            <w:vAlign w:val="center"/>
            <w:hideMark/>
          </w:tcPr>
          <w:p w:rsidR="005062E8" w:rsidRPr="003840F0" w:rsidP="00EA0034" w14:paraId="7F0BCEE2"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noWrap/>
            <w:vAlign w:val="center"/>
            <w:hideMark/>
          </w:tcPr>
          <w:p w:rsidR="005062E8" w:rsidRPr="00060279" w:rsidP="00B63DB7" w14:paraId="030CB428" w14:textId="62C5F857">
            <w:pPr>
              <w:widowControl/>
              <w:overflowPunct/>
              <w:autoSpaceDE/>
              <w:autoSpaceDN/>
              <w:adjustRightInd/>
              <w:jc w:val="center"/>
              <w:rPr>
                <w:color w:val="000000"/>
                <w:kern w:val="0"/>
              </w:rPr>
            </w:pPr>
            <w:r w:rsidRPr="00060279">
              <w:rPr>
                <w:color w:val="000000"/>
                <w:kern w:val="0"/>
              </w:rPr>
              <w:t xml:space="preserve">175,399 </w:t>
            </w:r>
          </w:p>
        </w:tc>
        <w:tc>
          <w:tcPr>
            <w:tcW w:w="534" w:type="pct"/>
            <w:shd w:val="clear" w:color="auto" w:fill="auto"/>
            <w:vAlign w:val="center"/>
            <w:hideMark/>
          </w:tcPr>
          <w:p w:rsidR="005062E8" w:rsidRPr="00060279" w:rsidP="00B63DB7" w14:paraId="19682658" w14:textId="5FD50170">
            <w:pPr>
              <w:widowControl/>
              <w:overflowPunct/>
              <w:autoSpaceDE/>
              <w:autoSpaceDN/>
              <w:adjustRightInd/>
              <w:jc w:val="center"/>
              <w:rPr>
                <w:color w:val="000000"/>
                <w:kern w:val="0"/>
              </w:rPr>
            </w:pPr>
            <w:r w:rsidRPr="00060279">
              <w:rPr>
                <w:color w:val="000000"/>
                <w:kern w:val="0"/>
              </w:rPr>
              <w:t>2.3</w:t>
            </w:r>
            <w:r w:rsidRPr="00060279" w:rsidR="008361AB">
              <w:rPr>
                <w:color w:val="000000"/>
                <w:kern w:val="0"/>
              </w:rPr>
              <w:t>29665506</w:t>
            </w:r>
          </w:p>
        </w:tc>
        <w:tc>
          <w:tcPr>
            <w:tcW w:w="434" w:type="pct"/>
            <w:shd w:val="clear" w:color="auto" w:fill="auto"/>
            <w:vAlign w:val="center"/>
            <w:hideMark/>
          </w:tcPr>
          <w:p w:rsidR="005062E8" w:rsidRPr="00060279" w:rsidP="00B63DB7" w14:paraId="4B93C035" w14:textId="09A50BBE">
            <w:pPr>
              <w:widowControl/>
              <w:overflowPunct/>
              <w:autoSpaceDE/>
              <w:autoSpaceDN/>
              <w:adjustRightInd/>
              <w:jc w:val="center"/>
              <w:rPr>
                <w:color w:val="000000"/>
                <w:kern w:val="0"/>
              </w:rPr>
            </w:pPr>
            <w:r w:rsidRPr="00060279">
              <w:rPr>
                <w:color w:val="000000"/>
                <w:kern w:val="0"/>
              </w:rPr>
              <w:t>408,</w:t>
            </w:r>
            <w:r w:rsidRPr="00060279" w:rsidR="00093E4A">
              <w:rPr>
                <w:color w:val="000000"/>
                <w:kern w:val="0"/>
              </w:rPr>
              <w:t xml:space="preserve">621 </w:t>
            </w:r>
          </w:p>
        </w:tc>
        <w:tc>
          <w:tcPr>
            <w:tcW w:w="567" w:type="pct"/>
            <w:shd w:val="clear" w:color="auto" w:fill="auto"/>
            <w:vAlign w:val="center"/>
            <w:hideMark/>
          </w:tcPr>
          <w:p w:rsidR="005062E8" w:rsidRPr="00060279" w:rsidP="00B63DB7" w14:paraId="7E41919C" w14:textId="02E34251">
            <w:pPr>
              <w:widowControl/>
              <w:overflowPunct/>
              <w:autoSpaceDE/>
              <w:autoSpaceDN/>
              <w:adjustRightInd/>
              <w:jc w:val="center"/>
              <w:rPr>
                <w:color w:val="000000"/>
                <w:kern w:val="0"/>
              </w:rPr>
            </w:pPr>
            <w:r w:rsidRPr="00060279">
              <w:rPr>
                <w:color w:val="000000"/>
                <w:kern w:val="0"/>
              </w:rPr>
              <w:t>15/</w:t>
            </w:r>
            <w:r w:rsidRPr="00060279" w:rsidR="00F3386D">
              <w:rPr>
                <w:color w:val="000000"/>
                <w:kern w:val="0"/>
              </w:rPr>
              <w:t>60</w:t>
            </w:r>
          </w:p>
        </w:tc>
        <w:tc>
          <w:tcPr>
            <w:tcW w:w="434" w:type="pct"/>
            <w:shd w:val="clear" w:color="auto" w:fill="auto"/>
            <w:vAlign w:val="center"/>
            <w:hideMark/>
          </w:tcPr>
          <w:p w:rsidR="005062E8" w:rsidRPr="00060279" w:rsidP="00B63DB7" w14:paraId="347BFE24" w14:textId="1BC03AA3">
            <w:pPr>
              <w:widowControl/>
              <w:overflowPunct/>
              <w:autoSpaceDE/>
              <w:autoSpaceDN/>
              <w:adjustRightInd/>
              <w:jc w:val="center"/>
              <w:rPr>
                <w:color w:val="000000"/>
                <w:kern w:val="0"/>
              </w:rPr>
            </w:pPr>
            <w:r w:rsidRPr="00060279">
              <w:rPr>
                <w:color w:val="000000"/>
                <w:kern w:val="0"/>
              </w:rPr>
              <w:t xml:space="preserve">102,155 </w:t>
            </w:r>
          </w:p>
        </w:tc>
        <w:tc>
          <w:tcPr>
            <w:tcW w:w="533" w:type="pct"/>
            <w:shd w:val="clear" w:color="auto" w:fill="auto"/>
            <w:vAlign w:val="center"/>
            <w:hideMark/>
          </w:tcPr>
          <w:p w:rsidR="005062E8" w:rsidRPr="00060279" w:rsidP="00B63DB7" w14:paraId="13D17749" w14:textId="3896450C">
            <w:pPr>
              <w:widowControl/>
              <w:overflowPunct/>
              <w:autoSpaceDE/>
              <w:autoSpaceDN/>
              <w:adjustRightInd/>
              <w:jc w:val="center"/>
              <w:rPr>
                <w:color w:val="000000"/>
                <w:kern w:val="0"/>
              </w:rPr>
            </w:pPr>
            <w:r w:rsidRPr="00060279">
              <w:rPr>
                <w:color w:val="000000"/>
                <w:kern w:val="0"/>
              </w:rPr>
              <w:t>$</w:t>
            </w:r>
            <w:r w:rsidRPr="00060279" w:rsidR="008361AB">
              <w:rPr>
                <w:color w:val="000000"/>
                <w:kern w:val="0"/>
              </w:rPr>
              <w:t>55.55</w:t>
            </w:r>
          </w:p>
        </w:tc>
        <w:tc>
          <w:tcPr>
            <w:tcW w:w="598" w:type="pct"/>
            <w:shd w:val="clear" w:color="auto" w:fill="auto"/>
            <w:noWrap/>
            <w:vAlign w:val="center"/>
            <w:hideMark/>
          </w:tcPr>
          <w:p w:rsidR="005062E8" w:rsidRPr="00060279" w:rsidP="00B63DB7" w14:paraId="65D9D494" w14:textId="77E3C249">
            <w:pPr>
              <w:widowControl/>
              <w:overflowPunct/>
              <w:autoSpaceDE/>
              <w:autoSpaceDN/>
              <w:adjustRightInd/>
              <w:jc w:val="center"/>
              <w:rPr>
                <w:color w:val="000000"/>
                <w:kern w:val="0"/>
              </w:rPr>
            </w:pPr>
            <w:r w:rsidRPr="00060279">
              <w:rPr>
                <w:color w:val="000000"/>
                <w:kern w:val="0"/>
              </w:rPr>
              <w:t>$</w:t>
            </w:r>
            <w:r w:rsidRPr="00060279" w:rsidR="008361AB">
              <w:rPr>
                <w:color w:val="000000"/>
                <w:kern w:val="0"/>
              </w:rPr>
              <w:t>5,</w:t>
            </w:r>
            <w:r w:rsidRPr="00060279" w:rsidR="00397401">
              <w:rPr>
                <w:color w:val="000000"/>
                <w:kern w:val="0"/>
              </w:rPr>
              <w:t xml:space="preserve">674,710 </w:t>
            </w:r>
          </w:p>
        </w:tc>
      </w:tr>
      <w:tr w14:paraId="27787029" w14:textId="77777777" w:rsidTr="00001E63">
        <w:tblPrEx>
          <w:tblW w:w="5210" w:type="pct"/>
          <w:tblLayout w:type="fixed"/>
          <w:tblLook w:val="04A0"/>
        </w:tblPrEx>
        <w:trPr>
          <w:trHeight w:val="492"/>
        </w:trPr>
        <w:tc>
          <w:tcPr>
            <w:tcW w:w="932" w:type="pct"/>
            <w:shd w:val="clear" w:color="auto" w:fill="auto"/>
            <w:vAlign w:val="center"/>
            <w:hideMark/>
          </w:tcPr>
          <w:p w:rsidR="005062E8" w:rsidRPr="003840F0" w:rsidP="00EA0034" w14:paraId="228C674A" w14:textId="77777777">
            <w:pPr>
              <w:widowControl/>
              <w:overflowPunct/>
              <w:autoSpaceDE/>
              <w:autoSpaceDN/>
              <w:adjustRightInd/>
              <w:ind w:firstLine="400" w:firstLineChars="200"/>
              <w:rPr>
                <w:i/>
                <w:iCs/>
                <w:color w:val="000000"/>
                <w:kern w:val="0"/>
              </w:rPr>
            </w:pPr>
            <w:r w:rsidRPr="003840F0">
              <w:rPr>
                <w:i/>
                <w:iCs/>
                <w:color w:val="000000"/>
                <w:kern w:val="0"/>
              </w:rPr>
              <w:t>Commercial and Institutional remodeling projects (Firms)</w:t>
            </w:r>
          </w:p>
        </w:tc>
        <w:tc>
          <w:tcPr>
            <w:tcW w:w="467" w:type="pct"/>
            <w:shd w:val="clear" w:color="auto" w:fill="auto"/>
            <w:vAlign w:val="center"/>
            <w:hideMark/>
          </w:tcPr>
          <w:p w:rsidR="005062E8" w:rsidRPr="003840F0" w:rsidP="00EA0034" w14:paraId="7F63428B"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noWrap/>
            <w:vAlign w:val="center"/>
            <w:hideMark/>
          </w:tcPr>
          <w:p w:rsidR="005062E8" w:rsidRPr="00060279" w:rsidP="00B63DB7" w14:paraId="1DFCC556" w14:textId="77A15E0E">
            <w:pPr>
              <w:widowControl/>
              <w:overflowPunct/>
              <w:autoSpaceDE/>
              <w:autoSpaceDN/>
              <w:adjustRightInd/>
              <w:jc w:val="center"/>
              <w:rPr>
                <w:color w:val="000000"/>
                <w:kern w:val="0"/>
              </w:rPr>
            </w:pPr>
            <w:r w:rsidRPr="00060279">
              <w:rPr>
                <w:color w:val="000000"/>
                <w:kern w:val="0"/>
              </w:rPr>
              <w:t>20,201</w:t>
            </w:r>
          </w:p>
        </w:tc>
        <w:tc>
          <w:tcPr>
            <w:tcW w:w="534" w:type="pct"/>
            <w:shd w:val="clear" w:color="auto" w:fill="auto"/>
            <w:vAlign w:val="center"/>
            <w:hideMark/>
          </w:tcPr>
          <w:p w:rsidR="005062E8" w:rsidRPr="00060279" w:rsidP="00B63DB7" w14:paraId="052B2B05" w14:textId="77777777">
            <w:pPr>
              <w:widowControl/>
              <w:overflowPunct/>
              <w:autoSpaceDE/>
              <w:autoSpaceDN/>
              <w:adjustRightInd/>
              <w:jc w:val="center"/>
              <w:rPr>
                <w:color w:val="000000"/>
                <w:kern w:val="0"/>
              </w:rPr>
            </w:pPr>
            <w:r w:rsidRPr="00060279">
              <w:rPr>
                <w:color w:val="000000"/>
                <w:kern w:val="0"/>
              </w:rPr>
              <w:t>1</w:t>
            </w:r>
          </w:p>
        </w:tc>
        <w:tc>
          <w:tcPr>
            <w:tcW w:w="434" w:type="pct"/>
            <w:shd w:val="clear" w:color="auto" w:fill="auto"/>
            <w:vAlign w:val="center"/>
            <w:hideMark/>
          </w:tcPr>
          <w:p w:rsidR="005062E8" w:rsidRPr="00060279" w:rsidP="00B63DB7" w14:paraId="641E09D3" w14:textId="04A242E4">
            <w:pPr>
              <w:widowControl/>
              <w:overflowPunct/>
              <w:autoSpaceDE/>
              <w:autoSpaceDN/>
              <w:adjustRightInd/>
              <w:jc w:val="center"/>
              <w:rPr>
                <w:color w:val="000000"/>
                <w:kern w:val="0"/>
              </w:rPr>
            </w:pPr>
            <w:r w:rsidRPr="00060279">
              <w:rPr>
                <w:color w:val="000000"/>
                <w:kern w:val="0"/>
              </w:rPr>
              <w:t xml:space="preserve">20,201 </w:t>
            </w:r>
          </w:p>
        </w:tc>
        <w:tc>
          <w:tcPr>
            <w:tcW w:w="567" w:type="pct"/>
            <w:shd w:val="clear" w:color="auto" w:fill="auto"/>
            <w:vAlign w:val="center"/>
            <w:hideMark/>
          </w:tcPr>
          <w:p w:rsidR="005062E8" w:rsidRPr="00060279" w:rsidP="00B63DB7" w14:paraId="6F6BC787" w14:textId="77777777">
            <w:pPr>
              <w:widowControl/>
              <w:overflowPunct/>
              <w:autoSpaceDE/>
              <w:autoSpaceDN/>
              <w:adjustRightInd/>
              <w:jc w:val="center"/>
              <w:rPr>
                <w:color w:val="000000"/>
                <w:kern w:val="0"/>
              </w:rPr>
            </w:pPr>
            <w:r w:rsidRPr="00060279">
              <w:rPr>
                <w:color w:val="000000"/>
                <w:kern w:val="0"/>
              </w:rPr>
              <w:t>3</w:t>
            </w:r>
          </w:p>
        </w:tc>
        <w:tc>
          <w:tcPr>
            <w:tcW w:w="434" w:type="pct"/>
            <w:shd w:val="clear" w:color="auto" w:fill="auto"/>
            <w:vAlign w:val="center"/>
            <w:hideMark/>
          </w:tcPr>
          <w:p w:rsidR="005062E8" w:rsidRPr="00060279" w:rsidP="00B63DB7" w14:paraId="14D28B1E" w14:textId="5FECC56C">
            <w:pPr>
              <w:widowControl/>
              <w:overflowPunct/>
              <w:autoSpaceDE/>
              <w:autoSpaceDN/>
              <w:adjustRightInd/>
              <w:jc w:val="center"/>
              <w:rPr>
                <w:color w:val="000000"/>
                <w:kern w:val="0"/>
              </w:rPr>
            </w:pPr>
            <w:r w:rsidRPr="00060279">
              <w:rPr>
                <w:color w:val="000000"/>
                <w:kern w:val="0"/>
              </w:rPr>
              <w:t>60,603</w:t>
            </w:r>
          </w:p>
        </w:tc>
        <w:tc>
          <w:tcPr>
            <w:tcW w:w="533" w:type="pct"/>
            <w:shd w:val="clear" w:color="auto" w:fill="auto"/>
            <w:vAlign w:val="center"/>
            <w:hideMark/>
          </w:tcPr>
          <w:p w:rsidR="005062E8" w:rsidRPr="00060279" w:rsidP="00B63DB7" w14:paraId="6C2FC826" w14:textId="195E9A9A">
            <w:pPr>
              <w:widowControl/>
              <w:overflowPunct/>
              <w:autoSpaceDE/>
              <w:autoSpaceDN/>
              <w:adjustRightInd/>
              <w:jc w:val="center"/>
              <w:rPr>
                <w:color w:val="000000"/>
                <w:kern w:val="0"/>
              </w:rPr>
            </w:pPr>
            <w:r w:rsidRPr="00060279">
              <w:rPr>
                <w:color w:val="000000"/>
                <w:kern w:val="0"/>
              </w:rPr>
              <w:t>$</w:t>
            </w:r>
            <w:r w:rsidRPr="00060279" w:rsidR="00E9143F">
              <w:rPr>
                <w:color w:val="000000"/>
                <w:kern w:val="0"/>
              </w:rPr>
              <w:t>55.55</w:t>
            </w:r>
          </w:p>
        </w:tc>
        <w:tc>
          <w:tcPr>
            <w:tcW w:w="598" w:type="pct"/>
            <w:shd w:val="clear" w:color="auto" w:fill="auto"/>
            <w:noWrap/>
            <w:vAlign w:val="center"/>
            <w:hideMark/>
          </w:tcPr>
          <w:p w:rsidR="005062E8" w:rsidRPr="00060279" w:rsidP="00B63DB7" w14:paraId="001E5A3C" w14:textId="6FF57206">
            <w:pPr>
              <w:widowControl/>
              <w:overflowPunct/>
              <w:autoSpaceDE/>
              <w:autoSpaceDN/>
              <w:adjustRightInd/>
              <w:jc w:val="center"/>
              <w:rPr>
                <w:color w:val="000000"/>
                <w:kern w:val="0"/>
              </w:rPr>
            </w:pPr>
            <w:r w:rsidRPr="00060279">
              <w:rPr>
                <w:color w:val="000000"/>
                <w:kern w:val="0"/>
              </w:rPr>
              <w:t>$</w:t>
            </w:r>
            <w:r w:rsidRPr="00060279" w:rsidR="00E9143F">
              <w:rPr>
                <w:color w:val="000000"/>
                <w:kern w:val="0"/>
              </w:rPr>
              <w:t>3,363,</w:t>
            </w:r>
            <w:r w:rsidRPr="00060279" w:rsidR="005C7EF6">
              <w:rPr>
                <w:color w:val="000000"/>
                <w:kern w:val="0"/>
              </w:rPr>
              <w:t>467</w:t>
            </w:r>
          </w:p>
        </w:tc>
      </w:tr>
      <w:tr w14:paraId="3361DDB2"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5273AFDC" w14:textId="77777777">
            <w:pPr>
              <w:widowControl/>
              <w:overflowPunct/>
              <w:autoSpaceDE/>
              <w:autoSpaceDN/>
              <w:adjustRightInd/>
              <w:ind w:firstLine="400" w:firstLineChars="200"/>
              <w:rPr>
                <w:i/>
                <w:iCs/>
                <w:color w:val="000000"/>
                <w:kern w:val="0"/>
              </w:rPr>
            </w:pPr>
            <w:r w:rsidRPr="003840F0">
              <w:rPr>
                <w:i/>
                <w:iCs/>
                <w:color w:val="000000"/>
                <w:kern w:val="0"/>
              </w:rPr>
              <w:t>Residential Remodeling projects</w:t>
            </w:r>
          </w:p>
        </w:tc>
        <w:tc>
          <w:tcPr>
            <w:tcW w:w="467" w:type="pct"/>
            <w:shd w:val="clear" w:color="auto" w:fill="auto"/>
            <w:vAlign w:val="center"/>
            <w:hideMark/>
          </w:tcPr>
          <w:p w:rsidR="005062E8" w:rsidRPr="003840F0" w:rsidP="00EA0034" w14:paraId="3B2E606A"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noWrap/>
            <w:vAlign w:val="center"/>
            <w:hideMark/>
          </w:tcPr>
          <w:p w:rsidR="005062E8" w:rsidRPr="00060279" w:rsidP="00B63DB7" w14:paraId="7D35A602" w14:textId="77777777">
            <w:pPr>
              <w:widowControl/>
              <w:overflowPunct/>
              <w:autoSpaceDE/>
              <w:autoSpaceDN/>
              <w:adjustRightInd/>
              <w:jc w:val="center"/>
              <w:rPr>
                <w:color w:val="000000"/>
                <w:kern w:val="0"/>
              </w:rPr>
            </w:pPr>
            <w:r w:rsidRPr="00060279">
              <w:rPr>
                <w:color w:val="000000"/>
                <w:kern w:val="0"/>
              </w:rPr>
              <w:t>37,676</w:t>
            </w:r>
          </w:p>
        </w:tc>
        <w:tc>
          <w:tcPr>
            <w:tcW w:w="534" w:type="pct"/>
            <w:shd w:val="clear" w:color="auto" w:fill="auto"/>
            <w:vAlign w:val="center"/>
            <w:hideMark/>
          </w:tcPr>
          <w:p w:rsidR="005062E8" w:rsidRPr="00060279" w:rsidP="00B63DB7" w14:paraId="0E2EA353" w14:textId="77777777">
            <w:pPr>
              <w:widowControl/>
              <w:overflowPunct/>
              <w:autoSpaceDE/>
              <w:autoSpaceDN/>
              <w:adjustRightInd/>
              <w:jc w:val="center"/>
              <w:rPr>
                <w:color w:val="000000"/>
                <w:kern w:val="0"/>
              </w:rPr>
            </w:pPr>
            <w:r w:rsidRPr="00060279">
              <w:rPr>
                <w:color w:val="000000"/>
                <w:kern w:val="0"/>
              </w:rPr>
              <w:t>1</w:t>
            </w:r>
          </w:p>
        </w:tc>
        <w:tc>
          <w:tcPr>
            <w:tcW w:w="434" w:type="pct"/>
            <w:shd w:val="clear" w:color="auto" w:fill="auto"/>
            <w:vAlign w:val="center"/>
            <w:hideMark/>
          </w:tcPr>
          <w:p w:rsidR="005062E8" w:rsidRPr="00060279" w:rsidP="00B63DB7" w14:paraId="2E3C5FBA" w14:textId="77777777">
            <w:pPr>
              <w:widowControl/>
              <w:overflowPunct/>
              <w:autoSpaceDE/>
              <w:autoSpaceDN/>
              <w:adjustRightInd/>
              <w:jc w:val="center"/>
              <w:rPr>
                <w:color w:val="000000"/>
                <w:kern w:val="0"/>
              </w:rPr>
            </w:pPr>
            <w:r w:rsidRPr="00060279">
              <w:rPr>
                <w:color w:val="000000"/>
                <w:kern w:val="0"/>
              </w:rPr>
              <w:t>37,676</w:t>
            </w:r>
          </w:p>
        </w:tc>
        <w:tc>
          <w:tcPr>
            <w:tcW w:w="567" w:type="pct"/>
            <w:shd w:val="clear" w:color="auto" w:fill="auto"/>
            <w:vAlign w:val="center"/>
            <w:hideMark/>
          </w:tcPr>
          <w:p w:rsidR="005062E8" w:rsidRPr="00060279" w:rsidP="00B63DB7" w14:paraId="5D311B5D" w14:textId="77777777">
            <w:pPr>
              <w:widowControl/>
              <w:overflowPunct/>
              <w:autoSpaceDE/>
              <w:autoSpaceDN/>
              <w:adjustRightInd/>
              <w:jc w:val="center"/>
              <w:rPr>
                <w:color w:val="000000"/>
                <w:kern w:val="0"/>
              </w:rPr>
            </w:pPr>
            <w:r w:rsidRPr="00060279">
              <w:rPr>
                <w:color w:val="000000"/>
                <w:kern w:val="0"/>
              </w:rPr>
              <w:t>2</w:t>
            </w:r>
          </w:p>
        </w:tc>
        <w:tc>
          <w:tcPr>
            <w:tcW w:w="434" w:type="pct"/>
            <w:shd w:val="clear" w:color="auto" w:fill="auto"/>
            <w:vAlign w:val="center"/>
            <w:hideMark/>
          </w:tcPr>
          <w:p w:rsidR="005062E8" w:rsidRPr="00060279" w:rsidP="00B63DB7" w14:paraId="3FF3B2D9" w14:textId="36244764">
            <w:pPr>
              <w:widowControl/>
              <w:overflowPunct/>
              <w:autoSpaceDE/>
              <w:autoSpaceDN/>
              <w:adjustRightInd/>
              <w:jc w:val="center"/>
              <w:rPr>
                <w:color w:val="000000"/>
                <w:kern w:val="0"/>
              </w:rPr>
            </w:pPr>
            <w:r w:rsidRPr="00060279">
              <w:rPr>
                <w:color w:val="000000"/>
                <w:kern w:val="0"/>
              </w:rPr>
              <w:t>75,352</w:t>
            </w:r>
          </w:p>
        </w:tc>
        <w:tc>
          <w:tcPr>
            <w:tcW w:w="533" w:type="pct"/>
            <w:shd w:val="clear" w:color="auto" w:fill="auto"/>
            <w:vAlign w:val="center"/>
            <w:hideMark/>
          </w:tcPr>
          <w:p w:rsidR="005062E8" w:rsidRPr="00060279" w:rsidP="00B63DB7" w14:paraId="03211689" w14:textId="28D3A0DF">
            <w:pPr>
              <w:widowControl/>
              <w:overflowPunct/>
              <w:autoSpaceDE/>
              <w:autoSpaceDN/>
              <w:adjustRightInd/>
              <w:jc w:val="center"/>
              <w:rPr>
                <w:color w:val="000000"/>
                <w:kern w:val="0"/>
              </w:rPr>
            </w:pPr>
            <w:r w:rsidRPr="00060279">
              <w:rPr>
                <w:color w:val="000000"/>
                <w:kern w:val="0"/>
              </w:rPr>
              <w:t>$</w:t>
            </w:r>
            <w:r w:rsidRPr="00060279" w:rsidR="00F20EEC">
              <w:rPr>
                <w:color w:val="000000"/>
                <w:kern w:val="0"/>
              </w:rPr>
              <w:t>55.55</w:t>
            </w:r>
          </w:p>
        </w:tc>
        <w:tc>
          <w:tcPr>
            <w:tcW w:w="598" w:type="pct"/>
            <w:shd w:val="clear" w:color="auto" w:fill="auto"/>
            <w:noWrap/>
            <w:vAlign w:val="center"/>
            <w:hideMark/>
          </w:tcPr>
          <w:p w:rsidR="005062E8" w:rsidRPr="00060279" w:rsidP="00B63DB7" w14:paraId="276A483C" w14:textId="59CF40CF">
            <w:pPr>
              <w:widowControl/>
              <w:overflowPunct/>
              <w:autoSpaceDE/>
              <w:autoSpaceDN/>
              <w:adjustRightInd/>
              <w:jc w:val="center"/>
              <w:rPr>
                <w:color w:val="000000"/>
                <w:kern w:val="0"/>
              </w:rPr>
            </w:pPr>
            <w:r w:rsidRPr="00060279">
              <w:rPr>
                <w:color w:val="000000"/>
                <w:kern w:val="0"/>
              </w:rPr>
              <w:t>$</w:t>
            </w:r>
            <w:r w:rsidRPr="00060279" w:rsidR="00F02288">
              <w:rPr>
                <w:color w:val="000000"/>
                <w:kern w:val="0"/>
              </w:rPr>
              <w:t xml:space="preserve">4,185,804 </w:t>
            </w:r>
          </w:p>
        </w:tc>
      </w:tr>
      <w:tr w14:paraId="65FEAAF0" w14:textId="77777777" w:rsidTr="00001E63">
        <w:tblPrEx>
          <w:tblW w:w="5210" w:type="pct"/>
          <w:tblLayout w:type="fixed"/>
          <w:tblLook w:val="04A0"/>
        </w:tblPrEx>
        <w:trPr>
          <w:trHeight w:val="300"/>
        </w:trPr>
        <w:tc>
          <w:tcPr>
            <w:tcW w:w="932" w:type="pct"/>
            <w:shd w:val="clear" w:color="000000" w:fill="F2F2F2"/>
            <w:vAlign w:val="center"/>
            <w:hideMark/>
          </w:tcPr>
          <w:p w:rsidR="005062E8" w:rsidRPr="003840F0" w:rsidP="00EA0034" w14:paraId="4C82D379" w14:textId="77777777">
            <w:pPr>
              <w:widowControl/>
              <w:overflowPunct/>
              <w:autoSpaceDE/>
              <w:autoSpaceDN/>
              <w:adjustRightInd/>
              <w:ind w:firstLine="400" w:firstLineChars="200"/>
              <w:rPr>
                <w:color w:val="000000"/>
                <w:kern w:val="0"/>
              </w:rPr>
            </w:pPr>
            <w:r w:rsidRPr="003840F0">
              <w:rPr>
                <w:color w:val="000000"/>
                <w:kern w:val="0"/>
              </w:rPr>
              <w:t>Initial Determination Subtotal</w:t>
            </w:r>
          </w:p>
        </w:tc>
        <w:tc>
          <w:tcPr>
            <w:tcW w:w="467" w:type="pct"/>
            <w:shd w:val="clear" w:color="000000" w:fill="F2F2F2"/>
            <w:vAlign w:val="center"/>
            <w:hideMark/>
          </w:tcPr>
          <w:p w:rsidR="005062E8" w:rsidRPr="003840F0" w:rsidP="00EA0034" w14:paraId="51F7B2AE"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000000" w:fill="F2F2F2"/>
            <w:noWrap/>
            <w:vAlign w:val="center"/>
            <w:hideMark/>
          </w:tcPr>
          <w:p w:rsidR="005062E8" w:rsidRPr="00060279" w:rsidP="00B63DB7" w14:paraId="268EA25E" w14:textId="5A5BE397">
            <w:pPr>
              <w:widowControl/>
              <w:overflowPunct/>
              <w:autoSpaceDE/>
              <w:autoSpaceDN/>
              <w:adjustRightInd/>
              <w:jc w:val="center"/>
              <w:rPr>
                <w:color w:val="000000"/>
                <w:kern w:val="0"/>
              </w:rPr>
            </w:pPr>
          </w:p>
        </w:tc>
        <w:tc>
          <w:tcPr>
            <w:tcW w:w="534" w:type="pct"/>
            <w:shd w:val="clear" w:color="000000" w:fill="F2F2F2"/>
            <w:vAlign w:val="center"/>
            <w:hideMark/>
          </w:tcPr>
          <w:p w:rsidR="005062E8" w:rsidRPr="00060279" w:rsidP="00B63DB7" w14:paraId="48F7ABDE" w14:textId="1237040E">
            <w:pPr>
              <w:widowControl/>
              <w:overflowPunct/>
              <w:autoSpaceDE/>
              <w:autoSpaceDN/>
              <w:adjustRightInd/>
              <w:jc w:val="center"/>
              <w:rPr>
                <w:color w:val="000000"/>
                <w:kern w:val="0"/>
              </w:rPr>
            </w:pPr>
          </w:p>
        </w:tc>
        <w:tc>
          <w:tcPr>
            <w:tcW w:w="434" w:type="pct"/>
            <w:shd w:val="clear" w:color="000000" w:fill="F2F2F2"/>
            <w:vAlign w:val="center"/>
            <w:hideMark/>
          </w:tcPr>
          <w:p w:rsidR="005062E8" w:rsidRPr="00060279" w:rsidP="00B63DB7" w14:paraId="60893492" w14:textId="7EF62F12">
            <w:pPr>
              <w:widowControl/>
              <w:overflowPunct/>
              <w:autoSpaceDE/>
              <w:autoSpaceDN/>
              <w:adjustRightInd/>
              <w:jc w:val="center"/>
              <w:rPr>
                <w:color w:val="000000"/>
                <w:kern w:val="0"/>
              </w:rPr>
            </w:pPr>
            <w:r w:rsidRPr="00060279">
              <w:rPr>
                <w:color w:val="000000"/>
                <w:kern w:val="0"/>
              </w:rPr>
              <w:t>466,498</w:t>
            </w:r>
          </w:p>
        </w:tc>
        <w:tc>
          <w:tcPr>
            <w:tcW w:w="567" w:type="pct"/>
            <w:shd w:val="clear" w:color="000000" w:fill="F2F2F2"/>
            <w:vAlign w:val="center"/>
            <w:hideMark/>
          </w:tcPr>
          <w:p w:rsidR="005062E8" w:rsidRPr="00060279" w:rsidP="00B63DB7" w14:paraId="0AB2A57A" w14:textId="63A34BA6">
            <w:pPr>
              <w:widowControl/>
              <w:overflowPunct/>
              <w:autoSpaceDE/>
              <w:autoSpaceDN/>
              <w:adjustRightInd/>
              <w:jc w:val="center"/>
              <w:rPr>
                <w:color w:val="000000"/>
                <w:kern w:val="0"/>
              </w:rPr>
            </w:pPr>
          </w:p>
        </w:tc>
        <w:tc>
          <w:tcPr>
            <w:tcW w:w="434" w:type="pct"/>
            <w:shd w:val="clear" w:color="000000" w:fill="F2F2F2"/>
            <w:vAlign w:val="center"/>
            <w:hideMark/>
          </w:tcPr>
          <w:p w:rsidR="005062E8" w:rsidRPr="00060279" w:rsidP="00B63DB7" w14:paraId="0282E409" w14:textId="434FD254">
            <w:pPr>
              <w:widowControl/>
              <w:overflowPunct/>
              <w:autoSpaceDE/>
              <w:autoSpaceDN/>
              <w:adjustRightInd/>
              <w:jc w:val="center"/>
              <w:rPr>
                <w:color w:val="000000"/>
                <w:kern w:val="0"/>
              </w:rPr>
            </w:pPr>
            <w:r w:rsidRPr="00060279">
              <w:rPr>
                <w:color w:val="000000"/>
                <w:kern w:val="0"/>
              </w:rPr>
              <w:t>238,110</w:t>
            </w:r>
          </w:p>
        </w:tc>
        <w:tc>
          <w:tcPr>
            <w:tcW w:w="533" w:type="pct"/>
            <w:shd w:val="clear" w:color="000000" w:fill="F2F2F2"/>
            <w:vAlign w:val="center"/>
            <w:hideMark/>
          </w:tcPr>
          <w:p w:rsidR="005062E8" w:rsidRPr="00060279" w:rsidP="00B63DB7" w14:paraId="7272CEE9" w14:textId="0A9A12D9">
            <w:pPr>
              <w:widowControl/>
              <w:overflowPunct/>
              <w:autoSpaceDE/>
              <w:autoSpaceDN/>
              <w:adjustRightInd/>
              <w:jc w:val="center"/>
              <w:rPr>
                <w:color w:val="000000"/>
                <w:kern w:val="0"/>
              </w:rPr>
            </w:pPr>
          </w:p>
        </w:tc>
        <w:tc>
          <w:tcPr>
            <w:tcW w:w="598" w:type="pct"/>
            <w:shd w:val="clear" w:color="000000" w:fill="F2F2F2"/>
            <w:noWrap/>
            <w:vAlign w:val="center"/>
            <w:hideMark/>
          </w:tcPr>
          <w:p w:rsidR="005062E8" w:rsidRPr="00060279" w:rsidP="00B63DB7" w14:paraId="3978AFD7" w14:textId="6844B22F">
            <w:pPr>
              <w:widowControl/>
              <w:overflowPunct/>
              <w:autoSpaceDE/>
              <w:autoSpaceDN/>
              <w:adjustRightInd/>
              <w:jc w:val="center"/>
              <w:rPr>
                <w:color w:val="000000"/>
                <w:kern w:val="0"/>
              </w:rPr>
            </w:pPr>
            <w:r w:rsidRPr="00060279">
              <w:rPr>
                <w:color w:val="000000"/>
                <w:kern w:val="0"/>
              </w:rPr>
              <w:t>$</w:t>
            </w:r>
            <w:r w:rsidRPr="00060279" w:rsidR="004C60E6">
              <w:rPr>
                <w:color w:val="000000"/>
                <w:kern w:val="0"/>
              </w:rPr>
              <w:t>13,</w:t>
            </w:r>
            <w:r w:rsidRPr="00060279" w:rsidR="007B0F13">
              <w:rPr>
                <w:color w:val="000000"/>
                <w:kern w:val="0"/>
              </w:rPr>
              <w:t xml:space="preserve">223,981 </w:t>
            </w:r>
          </w:p>
        </w:tc>
      </w:tr>
      <w:tr w14:paraId="61723C83" w14:textId="77777777" w:rsidTr="00001E63">
        <w:tblPrEx>
          <w:tblW w:w="5210" w:type="pct"/>
          <w:tblLayout w:type="fixed"/>
          <w:tblLook w:val="04A0"/>
        </w:tblPrEx>
        <w:trPr>
          <w:trHeight w:val="540"/>
        </w:trPr>
        <w:tc>
          <w:tcPr>
            <w:tcW w:w="932" w:type="pct"/>
            <w:shd w:val="clear" w:color="auto" w:fill="auto"/>
            <w:noWrap/>
            <w:vAlign w:val="center"/>
            <w:hideMark/>
          </w:tcPr>
          <w:p w:rsidR="005062E8" w:rsidRPr="003840F0" w:rsidP="00EA0034" w14:paraId="75F09F3D" w14:textId="77777777">
            <w:pPr>
              <w:widowControl/>
              <w:overflowPunct/>
              <w:autoSpaceDE/>
              <w:autoSpaceDN/>
              <w:adjustRightInd/>
              <w:ind w:firstLine="200" w:firstLineChars="100"/>
              <w:rPr>
                <w:color w:val="000000"/>
                <w:kern w:val="0"/>
              </w:rPr>
            </w:pPr>
            <w:r w:rsidRPr="003840F0">
              <w:rPr>
                <w:color w:val="000000"/>
                <w:kern w:val="0"/>
              </w:rPr>
              <w:t>Objective Data</w:t>
            </w:r>
          </w:p>
        </w:tc>
        <w:tc>
          <w:tcPr>
            <w:tcW w:w="467" w:type="pct"/>
            <w:shd w:val="clear" w:color="auto" w:fill="auto"/>
            <w:vAlign w:val="center"/>
            <w:hideMark/>
          </w:tcPr>
          <w:p w:rsidR="005062E8" w:rsidRPr="003840F0" w:rsidP="00EA0034" w14:paraId="2B19D023"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noWrap/>
            <w:vAlign w:val="center"/>
            <w:hideMark/>
          </w:tcPr>
          <w:p w:rsidR="005062E8" w:rsidRPr="00847BF6" w:rsidP="00B63DB7" w14:paraId="185294A0" w14:textId="4E49F73D">
            <w:pPr>
              <w:widowControl/>
              <w:overflowPunct/>
              <w:autoSpaceDE/>
              <w:autoSpaceDN/>
              <w:adjustRightInd/>
              <w:jc w:val="center"/>
              <w:rPr>
                <w:color w:val="000000"/>
                <w:kern w:val="0"/>
              </w:rPr>
            </w:pPr>
            <w:r w:rsidRPr="00847BF6">
              <w:rPr>
                <w:color w:val="000000"/>
                <w:kern w:val="0"/>
              </w:rPr>
              <w:t>161,156</w:t>
            </w:r>
            <w:r w:rsidRPr="00847BF6" w:rsidR="008F783A">
              <w:rPr>
                <w:color w:val="000000"/>
                <w:kern w:val="0"/>
              </w:rPr>
              <w:t xml:space="preserve"> </w:t>
            </w:r>
          </w:p>
        </w:tc>
        <w:tc>
          <w:tcPr>
            <w:tcW w:w="534" w:type="pct"/>
            <w:shd w:val="clear" w:color="auto" w:fill="auto"/>
            <w:vAlign w:val="center"/>
            <w:hideMark/>
          </w:tcPr>
          <w:p w:rsidR="005062E8" w:rsidRPr="00847BF6" w:rsidP="00B63DB7" w14:paraId="331C83A9" w14:textId="77777777">
            <w:pPr>
              <w:widowControl/>
              <w:overflowPunct/>
              <w:autoSpaceDE/>
              <w:autoSpaceDN/>
              <w:adjustRightInd/>
              <w:jc w:val="center"/>
              <w:rPr>
                <w:color w:val="000000"/>
                <w:kern w:val="0"/>
              </w:rPr>
            </w:pPr>
            <w:r w:rsidRPr="00847BF6">
              <w:rPr>
                <w:color w:val="000000"/>
                <w:kern w:val="0"/>
              </w:rPr>
              <w:t>1</w:t>
            </w:r>
          </w:p>
        </w:tc>
        <w:tc>
          <w:tcPr>
            <w:tcW w:w="434" w:type="pct"/>
            <w:shd w:val="clear" w:color="auto" w:fill="auto"/>
            <w:vAlign w:val="center"/>
            <w:hideMark/>
          </w:tcPr>
          <w:p w:rsidR="005062E8" w:rsidRPr="00847BF6" w:rsidP="00B63DB7" w14:paraId="67F3B373" w14:textId="4F26D273">
            <w:pPr>
              <w:widowControl/>
              <w:overflowPunct/>
              <w:autoSpaceDE/>
              <w:autoSpaceDN/>
              <w:adjustRightInd/>
              <w:jc w:val="center"/>
              <w:rPr>
                <w:color w:val="000000"/>
                <w:kern w:val="0"/>
              </w:rPr>
            </w:pPr>
            <w:r w:rsidRPr="00847BF6">
              <w:rPr>
                <w:color w:val="000000"/>
                <w:kern w:val="0"/>
              </w:rPr>
              <w:t>161,156</w:t>
            </w:r>
            <w:r w:rsidRPr="00847BF6" w:rsidR="00B9609F">
              <w:rPr>
                <w:color w:val="000000"/>
                <w:kern w:val="0"/>
              </w:rPr>
              <w:t xml:space="preserve"> </w:t>
            </w:r>
          </w:p>
        </w:tc>
        <w:tc>
          <w:tcPr>
            <w:tcW w:w="567" w:type="pct"/>
            <w:shd w:val="clear" w:color="auto" w:fill="auto"/>
            <w:vAlign w:val="center"/>
            <w:hideMark/>
          </w:tcPr>
          <w:p w:rsidR="005062E8" w:rsidRPr="00847BF6" w:rsidP="00B63DB7" w14:paraId="0B382071" w14:textId="77777777">
            <w:pPr>
              <w:widowControl/>
              <w:overflowPunct/>
              <w:autoSpaceDE/>
              <w:autoSpaceDN/>
              <w:adjustRightInd/>
              <w:jc w:val="center"/>
              <w:rPr>
                <w:color w:val="000000"/>
                <w:kern w:val="0"/>
              </w:rPr>
            </w:pPr>
            <w:r w:rsidRPr="00847BF6">
              <w:rPr>
                <w:color w:val="000000"/>
                <w:kern w:val="0"/>
              </w:rPr>
              <w:t>1</w:t>
            </w:r>
          </w:p>
        </w:tc>
        <w:tc>
          <w:tcPr>
            <w:tcW w:w="434" w:type="pct"/>
            <w:shd w:val="clear" w:color="auto" w:fill="auto"/>
            <w:vAlign w:val="center"/>
            <w:hideMark/>
          </w:tcPr>
          <w:p w:rsidR="005062E8" w:rsidRPr="00847BF6" w:rsidP="00B63DB7" w14:paraId="0341447B" w14:textId="67E8EB40">
            <w:pPr>
              <w:widowControl/>
              <w:overflowPunct/>
              <w:autoSpaceDE/>
              <w:autoSpaceDN/>
              <w:adjustRightInd/>
              <w:jc w:val="center"/>
              <w:rPr>
                <w:color w:val="000000"/>
                <w:kern w:val="0"/>
              </w:rPr>
            </w:pPr>
            <w:r w:rsidRPr="00847BF6">
              <w:rPr>
                <w:color w:val="000000"/>
                <w:kern w:val="0"/>
              </w:rPr>
              <w:t>161,156</w:t>
            </w:r>
          </w:p>
        </w:tc>
        <w:tc>
          <w:tcPr>
            <w:tcW w:w="533" w:type="pct"/>
            <w:shd w:val="clear" w:color="auto" w:fill="auto"/>
            <w:vAlign w:val="center"/>
            <w:hideMark/>
          </w:tcPr>
          <w:p w:rsidR="005062E8" w:rsidRPr="00847BF6" w:rsidP="00B63DB7" w14:paraId="79ECC359" w14:textId="6D95E7B0">
            <w:pPr>
              <w:widowControl/>
              <w:overflowPunct/>
              <w:autoSpaceDE/>
              <w:autoSpaceDN/>
              <w:adjustRightInd/>
              <w:jc w:val="center"/>
              <w:rPr>
                <w:color w:val="000000"/>
                <w:kern w:val="0"/>
              </w:rPr>
            </w:pPr>
            <w:r w:rsidRPr="00847BF6">
              <w:rPr>
                <w:color w:val="000000"/>
                <w:kern w:val="0"/>
              </w:rPr>
              <w:t>$</w:t>
            </w:r>
            <w:r w:rsidRPr="00847BF6" w:rsidR="00B9609F">
              <w:rPr>
                <w:color w:val="000000"/>
                <w:kern w:val="0"/>
              </w:rPr>
              <w:t>55.55</w:t>
            </w:r>
          </w:p>
        </w:tc>
        <w:tc>
          <w:tcPr>
            <w:tcW w:w="598" w:type="pct"/>
            <w:shd w:val="clear" w:color="auto" w:fill="auto"/>
            <w:noWrap/>
            <w:vAlign w:val="center"/>
            <w:hideMark/>
          </w:tcPr>
          <w:p w:rsidR="005062E8" w:rsidRPr="00847BF6" w:rsidP="00B63DB7" w14:paraId="0B0F3508" w14:textId="2A8AD3CB">
            <w:pPr>
              <w:widowControl/>
              <w:overflowPunct/>
              <w:autoSpaceDE/>
              <w:autoSpaceDN/>
              <w:adjustRightInd/>
              <w:jc w:val="center"/>
              <w:rPr>
                <w:color w:val="000000"/>
                <w:kern w:val="0"/>
              </w:rPr>
            </w:pPr>
            <w:r w:rsidRPr="00847BF6">
              <w:rPr>
                <w:color w:val="000000"/>
                <w:kern w:val="0"/>
              </w:rPr>
              <w:t>$</w:t>
            </w:r>
            <w:r w:rsidRPr="00B63DB7" w:rsidR="001430D1">
              <w:t xml:space="preserve">8,944,158 </w:t>
            </w:r>
          </w:p>
        </w:tc>
      </w:tr>
      <w:tr w14:paraId="19A730B1" w14:textId="77777777" w:rsidTr="00001E63">
        <w:tblPrEx>
          <w:tblW w:w="5210" w:type="pct"/>
          <w:tblLayout w:type="fixed"/>
          <w:tblLook w:val="04A0"/>
        </w:tblPrEx>
        <w:trPr>
          <w:trHeight w:val="300"/>
        </w:trPr>
        <w:tc>
          <w:tcPr>
            <w:tcW w:w="932" w:type="pct"/>
            <w:shd w:val="clear" w:color="auto" w:fill="auto"/>
            <w:noWrap/>
            <w:vAlign w:val="center"/>
            <w:hideMark/>
          </w:tcPr>
          <w:p w:rsidR="005062E8" w:rsidRPr="003840F0" w:rsidP="00EA0034" w14:paraId="768847CD" w14:textId="77777777">
            <w:pPr>
              <w:widowControl/>
              <w:overflowPunct/>
              <w:autoSpaceDE/>
              <w:autoSpaceDN/>
              <w:adjustRightInd/>
              <w:ind w:firstLine="200" w:firstLineChars="100"/>
              <w:rPr>
                <w:color w:val="000000"/>
                <w:kern w:val="0"/>
              </w:rPr>
            </w:pPr>
            <w:r w:rsidRPr="003840F0">
              <w:rPr>
                <w:color w:val="000000"/>
                <w:kern w:val="0"/>
              </w:rPr>
              <w:t>Negative Initial Determination</w:t>
            </w:r>
          </w:p>
        </w:tc>
        <w:tc>
          <w:tcPr>
            <w:tcW w:w="467" w:type="pct"/>
            <w:shd w:val="clear" w:color="auto" w:fill="auto"/>
            <w:vAlign w:val="center"/>
            <w:hideMark/>
          </w:tcPr>
          <w:p w:rsidR="005062E8" w:rsidRPr="003840F0" w:rsidP="00EA0034" w14:paraId="653777FC" w14:textId="77777777">
            <w:pPr>
              <w:widowControl/>
              <w:overflowPunct/>
              <w:autoSpaceDE/>
              <w:autoSpaceDN/>
              <w:adjustRightInd/>
              <w:jc w:val="right"/>
              <w:rPr>
                <w:color w:val="000000"/>
                <w:kern w:val="0"/>
              </w:rPr>
            </w:pPr>
            <w:r w:rsidRPr="003840F0">
              <w:rPr>
                <w:color w:val="000000"/>
                <w:kern w:val="0"/>
              </w:rPr>
              <w:t>Clerical</w:t>
            </w:r>
          </w:p>
        </w:tc>
        <w:tc>
          <w:tcPr>
            <w:tcW w:w="502" w:type="pct"/>
            <w:shd w:val="clear" w:color="auto" w:fill="auto"/>
            <w:noWrap/>
            <w:vAlign w:val="center"/>
            <w:hideMark/>
          </w:tcPr>
          <w:p w:rsidR="005062E8" w:rsidRPr="00847BF6" w:rsidP="00B63DB7" w14:paraId="1C02E9C6" w14:textId="2AEBDD9A">
            <w:pPr>
              <w:widowControl/>
              <w:overflowPunct/>
              <w:autoSpaceDE/>
              <w:autoSpaceDN/>
              <w:adjustRightInd/>
              <w:jc w:val="center"/>
              <w:rPr>
                <w:color w:val="000000"/>
                <w:kern w:val="0"/>
              </w:rPr>
            </w:pPr>
            <w:r w:rsidRPr="00847BF6">
              <w:rPr>
                <w:color w:val="000000"/>
                <w:kern w:val="0"/>
              </w:rPr>
              <w:t xml:space="preserve">175,399 </w:t>
            </w:r>
          </w:p>
        </w:tc>
        <w:tc>
          <w:tcPr>
            <w:tcW w:w="534" w:type="pct"/>
            <w:shd w:val="clear" w:color="auto" w:fill="auto"/>
            <w:vAlign w:val="center"/>
            <w:hideMark/>
          </w:tcPr>
          <w:p w:rsidR="005062E8" w:rsidRPr="00847BF6" w:rsidP="00B63DB7" w14:paraId="36CF01A2" w14:textId="35A12208">
            <w:pPr>
              <w:widowControl/>
              <w:overflowPunct/>
              <w:autoSpaceDE/>
              <w:autoSpaceDN/>
              <w:adjustRightInd/>
              <w:jc w:val="center"/>
              <w:rPr>
                <w:color w:val="000000"/>
                <w:kern w:val="0"/>
              </w:rPr>
            </w:pPr>
            <w:r w:rsidRPr="00847BF6">
              <w:rPr>
                <w:color w:val="000000"/>
                <w:kern w:val="0"/>
              </w:rPr>
              <w:t>20</w:t>
            </w:r>
            <w:r w:rsidRPr="00847BF6" w:rsidR="00584CCE">
              <w:rPr>
                <w:color w:val="000000"/>
                <w:kern w:val="0"/>
              </w:rPr>
              <w:t>.9340133</w:t>
            </w:r>
          </w:p>
        </w:tc>
        <w:tc>
          <w:tcPr>
            <w:tcW w:w="434" w:type="pct"/>
            <w:shd w:val="clear" w:color="auto" w:fill="auto"/>
            <w:vAlign w:val="center"/>
            <w:hideMark/>
          </w:tcPr>
          <w:p w:rsidR="005062E8" w:rsidRPr="00847BF6" w:rsidP="00B63DB7" w14:paraId="3E7E803D" w14:textId="57388D5C">
            <w:pPr>
              <w:widowControl/>
              <w:overflowPunct/>
              <w:autoSpaceDE/>
              <w:autoSpaceDN/>
              <w:adjustRightInd/>
              <w:jc w:val="center"/>
              <w:rPr>
                <w:color w:val="000000"/>
                <w:kern w:val="0"/>
              </w:rPr>
            </w:pPr>
            <w:r w:rsidRPr="00B63DB7">
              <w:t>3,671,805</w:t>
            </w:r>
          </w:p>
        </w:tc>
        <w:tc>
          <w:tcPr>
            <w:tcW w:w="567" w:type="pct"/>
            <w:shd w:val="clear" w:color="auto" w:fill="auto"/>
            <w:vAlign w:val="center"/>
            <w:hideMark/>
          </w:tcPr>
          <w:p w:rsidR="005062E8" w:rsidRPr="00847BF6" w:rsidP="00B63DB7" w14:paraId="160A7C94" w14:textId="1B6F4CF5">
            <w:pPr>
              <w:widowControl/>
              <w:overflowPunct/>
              <w:autoSpaceDE/>
              <w:autoSpaceDN/>
              <w:adjustRightInd/>
              <w:jc w:val="center"/>
              <w:rPr>
                <w:color w:val="000000"/>
                <w:kern w:val="0"/>
              </w:rPr>
            </w:pPr>
            <w:r w:rsidRPr="00847BF6">
              <w:rPr>
                <w:color w:val="000000"/>
                <w:kern w:val="0"/>
              </w:rPr>
              <w:t>6/60</w:t>
            </w:r>
          </w:p>
        </w:tc>
        <w:tc>
          <w:tcPr>
            <w:tcW w:w="434" w:type="pct"/>
            <w:shd w:val="clear" w:color="auto" w:fill="auto"/>
            <w:vAlign w:val="center"/>
            <w:hideMark/>
          </w:tcPr>
          <w:p w:rsidR="005062E8" w:rsidRPr="00847BF6" w:rsidP="00B63DB7" w14:paraId="2B59FA21" w14:textId="588C6FF5">
            <w:pPr>
              <w:widowControl/>
              <w:overflowPunct/>
              <w:autoSpaceDE/>
              <w:autoSpaceDN/>
              <w:adjustRightInd/>
              <w:jc w:val="center"/>
              <w:rPr>
                <w:color w:val="000000"/>
                <w:kern w:val="0"/>
              </w:rPr>
            </w:pPr>
            <w:r w:rsidRPr="00847BF6">
              <w:rPr>
                <w:color w:val="000000"/>
                <w:kern w:val="0"/>
              </w:rPr>
              <w:t xml:space="preserve">367,181 </w:t>
            </w:r>
          </w:p>
        </w:tc>
        <w:tc>
          <w:tcPr>
            <w:tcW w:w="533" w:type="pct"/>
            <w:shd w:val="clear" w:color="auto" w:fill="auto"/>
            <w:vAlign w:val="center"/>
            <w:hideMark/>
          </w:tcPr>
          <w:p w:rsidR="005062E8" w:rsidRPr="00847BF6" w:rsidP="00B63DB7" w14:paraId="35DD9EF4" w14:textId="1EAFE425">
            <w:pPr>
              <w:widowControl/>
              <w:overflowPunct/>
              <w:autoSpaceDE/>
              <w:autoSpaceDN/>
              <w:adjustRightInd/>
              <w:jc w:val="center"/>
              <w:rPr>
                <w:color w:val="000000"/>
                <w:kern w:val="0"/>
              </w:rPr>
            </w:pPr>
            <w:r w:rsidRPr="00847BF6">
              <w:rPr>
                <w:color w:val="000000"/>
                <w:kern w:val="0"/>
              </w:rPr>
              <w:t>$</w:t>
            </w:r>
            <w:r w:rsidRPr="00847BF6" w:rsidR="00375C16">
              <w:rPr>
                <w:color w:val="000000"/>
                <w:kern w:val="0"/>
              </w:rPr>
              <w:t>32.</w:t>
            </w:r>
            <w:r w:rsidRPr="00847BF6" w:rsidR="007A7BD4">
              <w:rPr>
                <w:color w:val="000000"/>
                <w:kern w:val="0"/>
              </w:rPr>
              <w:t xml:space="preserve">74 </w:t>
            </w:r>
          </w:p>
        </w:tc>
        <w:tc>
          <w:tcPr>
            <w:tcW w:w="598" w:type="pct"/>
            <w:shd w:val="clear" w:color="auto" w:fill="auto"/>
            <w:noWrap/>
            <w:vAlign w:val="center"/>
            <w:hideMark/>
          </w:tcPr>
          <w:p w:rsidR="005062E8" w:rsidRPr="00847BF6" w:rsidP="00B63DB7" w14:paraId="1227BDC0" w14:textId="5CD0269F">
            <w:pPr>
              <w:widowControl/>
              <w:overflowPunct/>
              <w:autoSpaceDE/>
              <w:autoSpaceDN/>
              <w:adjustRightInd/>
              <w:jc w:val="center"/>
              <w:rPr>
                <w:color w:val="000000"/>
                <w:kern w:val="0"/>
              </w:rPr>
            </w:pPr>
            <w:r w:rsidRPr="00847BF6">
              <w:rPr>
                <w:color w:val="000000"/>
                <w:kern w:val="0"/>
              </w:rPr>
              <w:t>$</w:t>
            </w:r>
            <w:r w:rsidRPr="00847BF6" w:rsidR="00B24AA5">
              <w:rPr>
                <w:color w:val="000000"/>
                <w:kern w:val="0"/>
              </w:rPr>
              <w:t xml:space="preserve">12,021,506 </w:t>
            </w:r>
          </w:p>
        </w:tc>
      </w:tr>
      <w:tr w14:paraId="646C1D37"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3E03A3C8" w14:textId="77777777">
            <w:pPr>
              <w:widowControl/>
              <w:overflowPunct/>
              <w:autoSpaceDE/>
              <w:autoSpaceDN/>
              <w:adjustRightInd/>
              <w:ind w:firstLine="200" w:firstLineChars="100"/>
              <w:rPr>
                <w:color w:val="000000"/>
                <w:kern w:val="0"/>
              </w:rPr>
            </w:pPr>
            <w:r w:rsidRPr="003840F0">
              <w:rPr>
                <w:color w:val="000000"/>
                <w:kern w:val="0"/>
              </w:rPr>
              <w:t>Periodic Exposure Measurement (Item 13 Cost)</w:t>
            </w:r>
          </w:p>
        </w:tc>
        <w:tc>
          <w:tcPr>
            <w:tcW w:w="467" w:type="pct"/>
            <w:shd w:val="clear" w:color="auto" w:fill="auto"/>
            <w:vAlign w:val="center"/>
            <w:hideMark/>
          </w:tcPr>
          <w:p w:rsidR="005062E8" w:rsidRPr="003840F0" w:rsidP="00EA0034" w14:paraId="2CAF1350"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847BF6" w:rsidP="00B63DB7" w14:paraId="5384ADDE" w14:textId="77777777">
            <w:pPr>
              <w:widowControl/>
              <w:overflowPunct/>
              <w:autoSpaceDE/>
              <w:autoSpaceDN/>
              <w:adjustRightInd/>
              <w:jc w:val="center"/>
              <w:rPr>
                <w:color w:val="000000"/>
                <w:kern w:val="0"/>
              </w:rPr>
            </w:pPr>
            <w:r w:rsidRPr="00847BF6">
              <w:rPr>
                <w:color w:val="000000"/>
                <w:kern w:val="0"/>
              </w:rPr>
              <w:t>0</w:t>
            </w:r>
          </w:p>
        </w:tc>
        <w:tc>
          <w:tcPr>
            <w:tcW w:w="534" w:type="pct"/>
            <w:shd w:val="clear" w:color="auto" w:fill="auto"/>
            <w:vAlign w:val="center"/>
            <w:hideMark/>
          </w:tcPr>
          <w:p w:rsidR="005062E8" w:rsidRPr="00847BF6" w:rsidP="00B63DB7" w14:paraId="240EF444" w14:textId="77777777">
            <w:pPr>
              <w:widowControl/>
              <w:overflowPunct/>
              <w:autoSpaceDE/>
              <w:autoSpaceDN/>
              <w:adjustRightInd/>
              <w:jc w:val="center"/>
              <w:rPr>
                <w:color w:val="000000"/>
                <w:kern w:val="0"/>
              </w:rPr>
            </w:pPr>
            <w:r w:rsidRPr="00847BF6">
              <w:rPr>
                <w:color w:val="000000"/>
                <w:kern w:val="0"/>
              </w:rPr>
              <w:t>1</w:t>
            </w:r>
          </w:p>
        </w:tc>
        <w:tc>
          <w:tcPr>
            <w:tcW w:w="434" w:type="pct"/>
            <w:shd w:val="clear" w:color="auto" w:fill="auto"/>
            <w:vAlign w:val="center"/>
            <w:hideMark/>
          </w:tcPr>
          <w:p w:rsidR="005062E8" w:rsidRPr="00847BF6" w:rsidP="00B63DB7" w14:paraId="6CBDADA4" w14:textId="77777777">
            <w:pPr>
              <w:widowControl/>
              <w:overflowPunct/>
              <w:autoSpaceDE/>
              <w:autoSpaceDN/>
              <w:adjustRightInd/>
              <w:jc w:val="center"/>
              <w:rPr>
                <w:color w:val="000000"/>
                <w:kern w:val="0"/>
              </w:rPr>
            </w:pPr>
            <w:r w:rsidRPr="00847BF6">
              <w:rPr>
                <w:color w:val="000000"/>
                <w:kern w:val="0"/>
              </w:rPr>
              <w:t>0</w:t>
            </w:r>
          </w:p>
        </w:tc>
        <w:tc>
          <w:tcPr>
            <w:tcW w:w="567" w:type="pct"/>
            <w:shd w:val="clear" w:color="auto" w:fill="auto"/>
            <w:vAlign w:val="center"/>
            <w:hideMark/>
          </w:tcPr>
          <w:p w:rsidR="005062E8" w:rsidRPr="00847BF6" w:rsidP="00B63DB7" w14:paraId="43BB5DB8" w14:textId="77777777">
            <w:pPr>
              <w:widowControl/>
              <w:overflowPunct/>
              <w:autoSpaceDE/>
              <w:autoSpaceDN/>
              <w:adjustRightInd/>
              <w:jc w:val="center"/>
              <w:rPr>
                <w:color w:val="000000"/>
                <w:kern w:val="0"/>
              </w:rPr>
            </w:pPr>
            <w:r w:rsidRPr="00847BF6">
              <w:rPr>
                <w:color w:val="000000"/>
                <w:kern w:val="0"/>
              </w:rPr>
              <w:t>1</w:t>
            </w:r>
          </w:p>
        </w:tc>
        <w:tc>
          <w:tcPr>
            <w:tcW w:w="434" w:type="pct"/>
            <w:shd w:val="clear" w:color="auto" w:fill="auto"/>
            <w:vAlign w:val="center"/>
            <w:hideMark/>
          </w:tcPr>
          <w:p w:rsidR="005062E8" w:rsidRPr="00847BF6" w:rsidP="00B63DB7" w14:paraId="0607407A" w14:textId="77777777">
            <w:pPr>
              <w:widowControl/>
              <w:overflowPunct/>
              <w:autoSpaceDE/>
              <w:autoSpaceDN/>
              <w:adjustRightInd/>
              <w:jc w:val="center"/>
              <w:rPr>
                <w:color w:val="000000"/>
                <w:kern w:val="0"/>
              </w:rPr>
            </w:pPr>
            <w:r w:rsidRPr="00847BF6">
              <w:rPr>
                <w:color w:val="000000"/>
                <w:kern w:val="0"/>
              </w:rPr>
              <w:t>0</w:t>
            </w:r>
          </w:p>
        </w:tc>
        <w:tc>
          <w:tcPr>
            <w:tcW w:w="533" w:type="pct"/>
            <w:shd w:val="clear" w:color="auto" w:fill="auto"/>
            <w:vAlign w:val="center"/>
            <w:hideMark/>
          </w:tcPr>
          <w:p w:rsidR="005062E8" w:rsidRPr="00847BF6" w:rsidP="00B63DB7" w14:paraId="5F41399F" w14:textId="3B3CAE7B">
            <w:pPr>
              <w:widowControl/>
              <w:overflowPunct/>
              <w:autoSpaceDE/>
              <w:autoSpaceDN/>
              <w:adjustRightInd/>
              <w:jc w:val="center"/>
              <w:rPr>
                <w:color w:val="000000"/>
                <w:kern w:val="0"/>
              </w:rPr>
            </w:pPr>
            <w:r w:rsidRPr="00847BF6">
              <w:rPr>
                <w:color w:val="000000"/>
                <w:kern w:val="0"/>
              </w:rPr>
              <w:t>$52.46</w:t>
            </w:r>
          </w:p>
        </w:tc>
        <w:tc>
          <w:tcPr>
            <w:tcW w:w="598" w:type="pct"/>
            <w:shd w:val="clear" w:color="auto" w:fill="auto"/>
            <w:noWrap/>
            <w:vAlign w:val="center"/>
            <w:hideMark/>
          </w:tcPr>
          <w:p w:rsidR="005062E8" w:rsidRPr="00847BF6" w:rsidP="00B63DB7" w14:paraId="644C7688" w14:textId="21FE741C">
            <w:pPr>
              <w:widowControl/>
              <w:overflowPunct/>
              <w:autoSpaceDE/>
              <w:autoSpaceDN/>
              <w:adjustRightInd/>
              <w:jc w:val="center"/>
              <w:rPr>
                <w:color w:val="000000"/>
                <w:kern w:val="0"/>
              </w:rPr>
            </w:pPr>
            <w:r w:rsidRPr="00847BF6">
              <w:rPr>
                <w:color w:val="000000"/>
                <w:kern w:val="0"/>
              </w:rPr>
              <w:t>$0.00</w:t>
            </w:r>
          </w:p>
        </w:tc>
      </w:tr>
      <w:tr w14:paraId="4CF9E000"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22A9B0B5" w14:textId="77777777">
            <w:pPr>
              <w:widowControl/>
              <w:overflowPunct/>
              <w:autoSpaceDE/>
              <w:autoSpaceDN/>
              <w:adjustRightInd/>
              <w:ind w:firstLine="200" w:firstLineChars="100"/>
              <w:rPr>
                <w:color w:val="000000"/>
                <w:kern w:val="0"/>
              </w:rPr>
            </w:pPr>
            <w:r w:rsidRPr="003840F0">
              <w:rPr>
                <w:color w:val="000000"/>
                <w:kern w:val="0"/>
              </w:rPr>
              <w:t>Employee Notification of Monitoring Results</w:t>
            </w:r>
          </w:p>
        </w:tc>
        <w:tc>
          <w:tcPr>
            <w:tcW w:w="467" w:type="pct"/>
            <w:shd w:val="clear" w:color="auto" w:fill="auto"/>
            <w:vAlign w:val="center"/>
            <w:hideMark/>
          </w:tcPr>
          <w:p w:rsidR="005062E8" w:rsidRPr="003840F0" w:rsidP="00EA0034" w14:paraId="62ECCE8B" w14:textId="77777777">
            <w:pPr>
              <w:widowControl/>
              <w:overflowPunct/>
              <w:autoSpaceDE/>
              <w:autoSpaceDN/>
              <w:adjustRightInd/>
              <w:jc w:val="right"/>
              <w:rPr>
                <w:color w:val="000000"/>
                <w:kern w:val="0"/>
              </w:rPr>
            </w:pPr>
            <w:r w:rsidRPr="003840F0">
              <w:rPr>
                <w:color w:val="000000"/>
                <w:kern w:val="0"/>
              </w:rPr>
              <w:t>Clerical</w:t>
            </w:r>
          </w:p>
        </w:tc>
        <w:tc>
          <w:tcPr>
            <w:tcW w:w="502" w:type="pct"/>
            <w:shd w:val="clear" w:color="auto" w:fill="auto"/>
            <w:vAlign w:val="center"/>
            <w:hideMark/>
          </w:tcPr>
          <w:p w:rsidR="005062E8" w:rsidRPr="00847BF6" w:rsidP="00B63DB7" w14:paraId="31BC8C94" w14:textId="51D6AFA1">
            <w:pPr>
              <w:widowControl/>
              <w:overflowPunct/>
              <w:autoSpaceDE/>
              <w:autoSpaceDN/>
              <w:adjustRightInd/>
              <w:jc w:val="center"/>
              <w:rPr>
                <w:color w:val="000000"/>
                <w:kern w:val="0"/>
              </w:rPr>
            </w:pPr>
            <w:r w:rsidRPr="00847BF6">
              <w:rPr>
                <w:color w:val="000000"/>
                <w:kern w:val="0"/>
              </w:rPr>
              <w:t xml:space="preserve">91,386 </w:t>
            </w:r>
          </w:p>
        </w:tc>
        <w:tc>
          <w:tcPr>
            <w:tcW w:w="534" w:type="pct"/>
            <w:shd w:val="clear" w:color="auto" w:fill="auto"/>
            <w:vAlign w:val="center"/>
            <w:hideMark/>
          </w:tcPr>
          <w:p w:rsidR="005062E8" w:rsidRPr="00847BF6" w:rsidP="00B63DB7" w14:paraId="2969DAB1" w14:textId="77777777">
            <w:pPr>
              <w:widowControl/>
              <w:overflowPunct/>
              <w:autoSpaceDE/>
              <w:autoSpaceDN/>
              <w:adjustRightInd/>
              <w:jc w:val="center"/>
              <w:rPr>
                <w:color w:val="000000"/>
                <w:kern w:val="0"/>
              </w:rPr>
            </w:pPr>
            <w:r w:rsidRPr="00847BF6">
              <w:rPr>
                <w:color w:val="000000"/>
                <w:kern w:val="0"/>
              </w:rPr>
              <w:t>1</w:t>
            </w:r>
          </w:p>
        </w:tc>
        <w:tc>
          <w:tcPr>
            <w:tcW w:w="434" w:type="pct"/>
            <w:shd w:val="clear" w:color="auto" w:fill="auto"/>
            <w:vAlign w:val="center"/>
            <w:hideMark/>
          </w:tcPr>
          <w:p w:rsidR="005062E8" w:rsidRPr="00847BF6" w:rsidP="00B63DB7" w14:paraId="5CF7725E" w14:textId="341C9785">
            <w:pPr>
              <w:widowControl/>
              <w:overflowPunct/>
              <w:autoSpaceDE/>
              <w:autoSpaceDN/>
              <w:adjustRightInd/>
              <w:jc w:val="center"/>
              <w:rPr>
                <w:color w:val="000000"/>
                <w:kern w:val="0"/>
              </w:rPr>
            </w:pPr>
            <w:r w:rsidRPr="00847BF6">
              <w:rPr>
                <w:color w:val="000000"/>
                <w:kern w:val="0"/>
              </w:rPr>
              <w:t xml:space="preserve">91,386 </w:t>
            </w:r>
          </w:p>
        </w:tc>
        <w:tc>
          <w:tcPr>
            <w:tcW w:w="567" w:type="pct"/>
            <w:shd w:val="clear" w:color="auto" w:fill="auto"/>
            <w:vAlign w:val="center"/>
            <w:hideMark/>
          </w:tcPr>
          <w:p w:rsidR="005062E8" w:rsidRPr="00847BF6" w:rsidP="00B63DB7" w14:paraId="1BEB7796" w14:textId="17E81E4F">
            <w:pPr>
              <w:widowControl/>
              <w:overflowPunct/>
              <w:autoSpaceDE/>
              <w:autoSpaceDN/>
              <w:adjustRightInd/>
              <w:jc w:val="center"/>
              <w:rPr>
                <w:color w:val="000000"/>
                <w:kern w:val="0"/>
              </w:rPr>
            </w:pPr>
            <w:r w:rsidRPr="00847BF6">
              <w:rPr>
                <w:color w:val="000000"/>
                <w:kern w:val="0"/>
              </w:rPr>
              <w:t>6/60</w:t>
            </w:r>
          </w:p>
        </w:tc>
        <w:tc>
          <w:tcPr>
            <w:tcW w:w="434" w:type="pct"/>
            <w:shd w:val="clear" w:color="auto" w:fill="auto"/>
            <w:vAlign w:val="center"/>
            <w:hideMark/>
          </w:tcPr>
          <w:p w:rsidR="005062E8" w:rsidRPr="00847BF6" w:rsidP="00B63DB7" w14:paraId="33577D80" w14:textId="47ED8F99">
            <w:pPr>
              <w:widowControl/>
              <w:overflowPunct/>
              <w:autoSpaceDE/>
              <w:autoSpaceDN/>
              <w:adjustRightInd/>
              <w:jc w:val="center"/>
              <w:rPr>
                <w:color w:val="000000"/>
                <w:kern w:val="0"/>
              </w:rPr>
            </w:pPr>
            <w:r w:rsidRPr="00847BF6">
              <w:rPr>
                <w:color w:val="000000"/>
                <w:kern w:val="0"/>
              </w:rPr>
              <w:t xml:space="preserve">9,139 </w:t>
            </w:r>
          </w:p>
        </w:tc>
        <w:tc>
          <w:tcPr>
            <w:tcW w:w="533" w:type="pct"/>
            <w:shd w:val="clear" w:color="auto" w:fill="auto"/>
            <w:vAlign w:val="center"/>
            <w:hideMark/>
          </w:tcPr>
          <w:p w:rsidR="005062E8" w:rsidRPr="00847BF6" w:rsidP="00B63DB7" w14:paraId="3E766055" w14:textId="7FAAC8F4">
            <w:pPr>
              <w:widowControl/>
              <w:overflowPunct/>
              <w:autoSpaceDE/>
              <w:autoSpaceDN/>
              <w:adjustRightInd/>
              <w:jc w:val="center"/>
              <w:rPr>
                <w:color w:val="000000"/>
                <w:kern w:val="0"/>
              </w:rPr>
            </w:pPr>
            <w:r w:rsidRPr="00847BF6">
              <w:rPr>
                <w:color w:val="000000"/>
                <w:kern w:val="0"/>
              </w:rPr>
              <w:t>$</w:t>
            </w:r>
            <w:r w:rsidRPr="00847BF6" w:rsidR="006216E0">
              <w:rPr>
                <w:color w:val="000000"/>
                <w:kern w:val="0"/>
              </w:rPr>
              <w:t>32.74</w:t>
            </w:r>
          </w:p>
        </w:tc>
        <w:tc>
          <w:tcPr>
            <w:tcW w:w="598" w:type="pct"/>
            <w:shd w:val="clear" w:color="auto" w:fill="auto"/>
            <w:noWrap/>
            <w:vAlign w:val="center"/>
            <w:hideMark/>
          </w:tcPr>
          <w:p w:rsidR="005062E8" w:rsidRPr="00847BF6" w:rsidP="00B63DB7" w14:paraId="5E5A65A2" w14:textId="55EC39D1">
            <w:pPr>
              <w:widowControl/>
              <w:overflowPunct/>
              <w:autoSpaceDE/>
              <w:autoSpaceDN/>
              <w:adjustRightInd/>
              <w:jc w:val="center"/>
              <w:rPr>
                <w:color w:val="000000"/>
                <w:kern w:val="0"/>
              </w:rPr>
            </w:pPr>
            <w:r w:rsidRPr="00847BF6">
              <w:rPr>
                <w:color w:val="000000"/>
                <w:kern w:val="0"/>
              </w:rPr>
              <w:t>$</w:t>
            </w:r>
            <w:r w:rsidRPr="00847BF6" w:rsidR="00EE43E7">
              <w:rPr>
                <w:color w:val="000000"/>
                <w:kern w:val="0"/>
              </w:rPr>
              <w:t xml:space="preserve">299,211 </w:t>
            </w:r>
          </w:p>
        </w:tc>
      </w:tr>
      <w:tr w14:paraId="1EF4C0E4" w14:textId="77777777" w:rsidTr="00001E63">
        <w:tblPrEx>
          <w:tblW w:w="5210" w:type="pct"/>
          <w:tblLayout w:type="fixed"/>
          <w:tblLook w:val="04A0"/>
        </w:tblPrEx>
        <w:trPr>
          <w:trHeight w:val="540"/>
        </w:trPr>
        <w:tc>
          <w:tcPr>
            <w:tcW w:w="932" w:type="pct"/>
            <w:shd w:val="clear" w:color="auto" w:fill="F2F2F2" w:themeFill="background1" w:themeFillShade="F2"/>
            <w:vAlign w:val="center"/>
          </w:tcPr>
          <w:p w:rsidR="004A418F" w:rsidRPr="003840F0" w:rsidP="00EA0034" w14:paraId="70B07245" w14:textId="4B360899">
            <w:pPr>
              <w:widowControl/>
              <w:overflowPunct/>
              <w:autoSpaceDE/>
              <w:autoSpaceDN/>
              <w:adjustRightInd/>
              <w:ind w:firstLine="200" w:firstLineChars="100"/>
              <w:rPr>
                <w:color w:val="000000"/>
                <w:kern w:val="0"/>
              </w:rPr>
            </w:pPr>
            <w:r>
              <w:rPr>
                <w:color w:val="000000"/>
                <w:kern w:val="0"/>
              </w:rPr>
              <w:t>Subtotal</w:t>
            </w:r>
            <w:r w:rsidR="005C5B53">
              <w:rPr>
                <w:color w:val="000000"/>
                <w:kern w:val="0"/>
              </w:rPr>
              <w:t xml:space="preserve"> </w:t>
            </w:r>
          </w:p>
        </w:tc>
        <w:tc>
          <w:tcPr>
            <w:tcW w:w="467" w:type="pct"/>
            <w:shd w:val="clear" w:color="auto" w:fill="F2F2F2" w:themeFill="background1" w:themeFillShade="F2"/>
            <w:vAlign w:val="center"/>
          </w:tcPr>
          <w:p w:rsidR="004A418F" w:rsidRPr="003840F0" w:rsidP="00EA0034" w14:paraId="3C1CC311" w14:textId="77777777">
            <w:pPr>
              <w:widowControl/>
              <w:overflowPunct/>
              <w:autoSpaceDE/>
              <w:autoSpaceDN/>
              <w:adjustRightInd/>
              <w:jc w:val="right"/>
              <w:rPr>
                <w:color w:val="000000"/>
                <w:kern w:val="0"/>
              </w:rPr>
            </w:pPr>
          </w:p>
        </w:tc>
        <w:tc>
          <w:tcPr>
            <w:tcW w:w="502" w:type="pct"/>
            <w:shd w:val="clear" w:color="auto" w:fill="F2F2F2" w:themeFill="background1" w:themeFillShade="F2"/>
            <w:vAlign w:val="center"/>
          </w:tcPr>
          <w:p w:rsidR="004A418F" w:rsidRPr="00847BF6" w:rsidP="00847BF6" w14:paraId="367442B6" w14:textId="77777777">
            <w:pPr>
              <w:widowControl/>
              <w:overflowPunct/>
              <w:autoSpaceDE/>
              <w:autoSpaceDN/>
              <w:adjustRightInd/>
              <w:jc w:val="center"/>
              <w:rPr>
                <w:color w:val="000000"/>
                <w:kern w:val="0"/>
              </w:rPr>
            </w:pPr>
          </w:p>
        </w:tc>
        <w:tc>
          <w:tcPr>
            <w:tcW w:w="534" w:type="pct"/>
            <w:shd w:val="clear" w:color="auto" w:fill="F2F2F2" w:themeFill="background1" w:themeFillShade="F2"/>
            <w:vAlign w:val="center"/>
          </w:tcPr>
          <w:p w:rsidR="004A418F" w:rsidRPr="00847BF6" w:rsidP="00847BF6" w14:paraId="25300A4C" w14:textId="77777777">
            <w:pPr>
              <w:widowControl/>
              <w:overflowPunct/>
              <w:autoSpaceDE/>
              <w:autoSpaceDN/>
              <w:adjustRightInd/>
              <w:jc w:val="center"/>
              <w:rPr>
                <w:color w:val="000000"/>
                <w:kern w:val="0"/>
              </w:rPr>
            </w:pPr>
          </w:p>
        </w:tc>
        <w:tc>
          <w:tcPr>
            <w:tcW w:w="434" w:type="pct"/>
            <w:shd w:val="clear" w:color="auto" w:fill="F2F2F2" w:themeFill="background1" w:themeFillShade="F2"/>
            <w:vAlign w:val="center"/>
          </w:tcPr>
          <w:p w:rsidR="004A418F" w:rsidRPr="00847BF6" w:rsidP="00847BF6" w14:paraId="3F07D8B5" w14:textId="71DC3613">
            <w:pPr>
              <w:widowControl/>
              <w:overflowPunct/>
              <w:autoSpaceDE/>
              <w:autoSpaceDN/>
              <w:adjustRightInd/>
              <w:jc w:val="center"/>
              <w:rPr>
                <w:color w:val="000000"/>
                <w:kern w:val="0"/>
              </w:rPr>
            </w:pPr>
            <w:r>
              <w:rPr>
                <w:color w:val="000000"/>
                <w:kern w:val="0"/>
              </w:rPr>
              <w:t>3,924,347</w:t>
            </w:r>
          </w:p>
        </w:tc>
        <w:tc>
          <w:tcPr>
            <w:tcW w:w="567" w:type="pct"/>
            <w:shd w:val="clear" w:color="auto" w:fill="F2F2F2" w:themeFill="background1" w:themeFillShade="F2"/>
            <w:vAlign w:val="center"/>
          </w:tcPr>
          <w:p w:rsidR="004A418F" w:rsidRPr="00847BF6" w:rsidP="00847BF6" w14:paraId="2B115C17" w14:textId="77777777">
            <w:pPr>
              <w:widowControl/>
              <w:overflowPunct/>
              <w:autoSpaceDE/>
              <w:autoSpaceDN/>
              <w:adjustRightInd/>
              <w:jc w:val="center"/>
              <w:rPr>
                <w:color w:val="000000"/>
                <w:kern w:val="0"/>
              </w:rPr>
            </w:pPr>
          </w:p>
        </w:tc>
        <w:tc>
          <w:tcPr>
            <w:tcW w:w="434" w:type="pct"/>
            <w:shd w:val="clear" w:color="auto" w:fill="F2F2F2" w:themeFill="background1" w:themeFillShade="F2"/>
            <w:vAlign w:val="center"/>
          </w:tcPr>
          <w:p w:rsidR="004A418F" w:rsidRPr="00847BF6" w:rsidP="00847BF6" w14:paraId="5406AB02" w14:textId="5C9ACFBD">
            <w:pPr>
              <w:widowControl/>
              <w:overflowPunct/>
              <w:autoSpaceDE/>
              <w:autoSpaceDN/>
              <w:adjustRightInd/>
              <w:jc w:val="center"/>
              <w:rPr>
                <w:color w:val="000000"/>
                <w:kern w:val="0"/>
              </w:rPr>
            </w:pPr>
            <w:r>
              <w:rPr>
                <w:color w:val="000000"/>
                <w:kern w:val="0"/>
              </w:rPr>
              <w:t>537,476</w:t>
            </w:r>
          </w:p>
        </w:tc>
        <w:tc>
          <w:tcPr>
            <w:tcW w:w="533" w:type="pct"/>
            <w:shd w:val="clear" w:color="auto" w:fill="F2F2F2" w:themeFill="background1" w:themeFillShade="F2"/>
            <w:vAlign w:val="center"/>
          </w:tcPr>
          <w:p w:rsidR="004A418F" w:rsidRPr="00847BF6" w:rsidP="00847BF6" w14:paraId="1EDB3E99" w14:textId="77777777">
            <w:pPr>
              <w:widowControl/>
              <w:overflowPunct/>
              <w:autoSpaceDE/>
              <w:autoSpaceDN/>
              <w:adjustRightInd/>
              <w:jc w:val="center"/>
              <w:rPr>
                <w:color w:val="000000"/>
                <w:kern w:val="0"/>
              </w:rPr>
            </w:pPr>
          </w:p>
        </w:tc>
        <w:tc>
          <w:tcPr>
            <w:tcW w:w="598" w:type="pct"/>
            <w:shd w:val="clear" w:color="auto" w:fill="F2F2F2" w:themeFill="background1" w:themeFillShade="F2"/>
            <w:noWrap/>
            <w:vAlign w:val="center"/>
          </w:tcPr>
          <w:p w:rsidR="004A418F" w:rsidRPr="00847BF6" w:rsidP="00847BF6" w14:paraId="5BFD4960" w14:textId="07C68F46">
            <w:pPr>
              <w:widowControl/>
              <w:overflowPunct/>
              <w:autoSpaceDE/>
              <w:autoSpaceDN/>
              <w:adjustRightInd/>
              <w:jc w:val="center"/>
              <w:rPr>
                <w:color w:val="000000"/>
                <w:kern w:val="0"/>
              </w:rPr>
            </w:pPr>
            <w:r>
              <w:rPr>
                <w:color w:val="000000"/>
                <w:kern w:val="0"/>
              </w:rPr>
              <w:t>$</w:t>
            </w:r>
            <w:r w:rsidR="000D638C">
              <w:rPr>
                <w:color w:val="000000"/>
                <w:kern w:val="0"/>
              </w:rPr>
              <w:t>21,264,875</w:t>
            </w:r>
          </w:p>
        </w:tc>
      </w:tr>
      <w:tr w14:paraId="46D6015E"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29134C46" w14:textId="71D0FE32">
            <w:pPr>
              <w:widowControl/>
              <w:overflowPunct/>
              <w:autoSpaceDE/>
              <w:autoSpaceDN/>
              <w:adjustRightInd/>
              <w:rPr>
                <w:b/>
                <w:bCs/>
                <w:color w:val="000000"/>
                <w:kern w:val="0"/>
              </w:rPr>
            </w:pPr>
            <w:r>
              <w:rPr>
                <w:b/>
                <w:bCs/>
                <w:color w:val="000000"/>
                <w:kern w:val="0"/>
              </w:rPr>
              <w:t xml:space="preserve">(B) </w:t>
            </w:r>
            <w:r w:rsidRPr="003840F0">
              <w:rPr>
                <w:b/>
                <w:bCs/>
                <w:color w:val="000000"/>
                <w:kern w:val="0"/>
              </w:rPr>
              <w:t>Compliance Program</w:t>
            </w:r>
          </w:p>
        </w:tc>
        <w:tc>
          <w:tcPr>
            <w:tcW w:w="467" w:type="pct"/>
            <w:shd w:val="clear" w:color="auto" w:fill="auto"/>
            <w:vAlign w:val="center"/>
            <w:hideMark/>
          </w:tcPr>
          <w:p w:rsidR="005062E8" w:rsidRPr="003840F0" w:rsidP="00EA0034" w14:paraId="6461DEF6"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auto" w:fill="auto"/>
            <w:vAlign w:val="center"/>
            <w:hideMark/>
          </w:tcPr>
          <w:p w:rsidR="005062E8" w:rsidRPr="003840F0" w:rsidP="00EA0034" w14:paraId="19B372CA" w14:textId="77777777">
            <w:pPr>
              <w:widowControl/>
              <w:overflowPunct/>
              <w:autoSpaceDE/>
              <w:autoSpaceDN/>
              <w:adjustRightInd/>
              <w:jc w:val="right"/>
              <w:rPr>
                <w:color w:val="000000"/>
                <w:kern w:val="0"/>
              </w:rPr>
            </w:pPr>
            <w:r w:rsidRPr="003840F0">
              <w:rPr>
                <w:color w:val="000000"/>
                <w:kern w:val="0"/>
              </w:rPr>
              <w:t> </w:t>
            </w:r>
          </w:p>
        </w:tc>
        <w:tc>
          <w:tcPr>
            <w:tcW w:w="534" w:type="pct"/>
            <w:shd w:val="clear" w:color="auto" w:fill="auto"/>
            <w:vAlign w:val="center"/>
            <w:hideMark/>
          </w:tcPr>
          <w:p w:rsidR="005062E8" w:rsidRPr="003840F0" w:rsidP="00EA0034" w14:paraId="144766AF"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123AFD00"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005062E8" w:rsidRPr="003840F0" w:rsidP="00EA0034" w14:paraId="7C08B007"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7456043C"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005062E8" w:rsidRPr="003840F0" w:rsidP="00EA0034" w14:paraId="22ED7034" w14:textId="77777777">
            <w:pPr>
              <w:widowControl/>
              <w:overflowPunct/>
              <w:autoSpaceDE/>
              <w:autoSpaceDN/>
              <w:adjustRightInd/>
              <w:jc w:val="right"/>
              <w:rPr>
                <w:color w:val="000000"/>
                <w:kern w:val="0"/>
              </w:rPr>
            </w:pPr>
            <w:r w:rsidRPr="003840F0">
              <w:rPr>
                <w:color w:val="000000"/>
                <w:kern w:val="0"/>
              </w:rPr>
              <w:t> </w:t>
            </w:r>
          </w:p>
        </w:tc>
        <w:tc>
          <w:tcPr>
            <w:tcW w:w="598" w:type="pct"/>
            <w:shd w:val="clear" w:color="auto" w:fill="auto"/>
            <w:noWrap/>
            <w:vAlign w:val="center"/>
            <w:hideMark/>
          </w:tcPr>
          <w:p w:rsidR="005062E8" w:rsidRPr="003840F0" w:rsidP="00EA0034" w14:paraId="09F63EDB" w14:textId="77777777">
            <w:pPr>
              <w:widowControl/>
              <w:overflowPunct/>
              <w:autoSpaceDE/>
              <w:autoSpaceDN/>
              <w:adjustRightInd/>
              <w:jc w:val="right"/>
              <w:rPr>
                <w:color w:val="000000"/>
                <w:kern w:val="0"/>
              </w:rPr>
            </w:pPr>
            <w:r w:rsidRPr="003840F0">
              <w:rPr>
                <w:color w:val="000000"/>
                <w:kern w:val="0"/>
              </w:rPr>
              <w:t> </w:t>
            </w:r>
          </w:p>
        </w:tc>
      </w:tr>
      <w:tr w14:paraId="5C4CAA4E"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1AFF5AA1" w14:textId="77777777">
            <w:pPr>
              <w:widowControl/>
              <w:overflowPunct/>
              <w:autoSpaceDE/>
              <w:autoSpaceDN/>
              <w:adjustRightInd/>
              <w:ind w:firstLine="400" w:firstLineChars="200"/>
              <w:rPr>
                <w:i/>
                <w:iCs/>
                <w:color w:val="000000"/>
                <w:kern w:val="0"/>
              </w:rPr>
            </w:pPr>
            <w:r w:rsidRPr="003840F0">
              <w:rPr>
                <w:i/>
                <w:iCs/>
                <w:color w:val="000000"/>
                <w:kern w:val="0"/>
              </w:rPr>
              <w:t>Develop Plan</w:t>
            </w:r>
          </w:p>
        </w:tc>
        <w:tc>
          <w:tcPr>
            <w:tcW w:w="467" w:type="pct"/>
            <w:shd w:val="clear" w:color="auto" w:fill="auto"/>
            <w:vAlign w:val="center"/>
            <w:hideMark/>
          </w:tcPr>
          <w:p w:rsidR="005062E8" w:rsidRPr="003840F0" w:rsidP="00EA0034" w14:paraId="5144800B"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4BF1109E" w14:textId="6272E675">
            <w:pPr>
              <w:widowControl/>
              <w:overflowPunct/>
              <w:autoSpaceDE/>
              <w:autoSpaceDN/>
              <w:adjustRightInd/>
              <w:jc w:val="center"/>
              <w:rPr>
                <w:color w:val="000000"/>
                <w:kern w:val="0"/>
              </w:rPr>
            </w:pPr>
            <w:r>
              <w:rPr>
                <w:color w:val="000000"/>
                <w:kern w:val="0"/>
              </w:rPr>
              <w:t>7,212</w:t>
            </w:r>
          </w:p>
        </w:tc>
        <w:tc>
          <w:tcPr>
            <w:tcW w:w="534" w:type="pct"/>
            <w:shd w:val="clear" w:color="auto" w:fill="auto"/>
            <w:vAlign w:val="center"/>
            <w:hideMark/>
          </w:tcPr>
          <w:p w:rsidR="005062E8" w:rsidRPr="003840F0" w:rsidP="00B63DB7" w14:paraId="7A176971"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6F351167" w14:textId="6D00070B">
            <w:pPr>
              <w:widowControl/>
              <w:overflowPunct/>
              <w:autoSpaceDE/>
              <w:autoSpaceDN/>
              <w:adjustRightInd/>
              <w:jc w:val="center"/>
              <w:rPr>
                <w:color w:val="000000"/>
                <w:kern w:val="0"/>
              </w:rPr>
            </w:pPr>
            <w:r>
              <w:rPr>
                <w:color w:val="000000"/>
                <w:kern w:val="0"/>
              </w:rPr>
              <w:t xml:space="preserve">7,212 </w:t>
            </w:r>
          </w:p>
        </w:tc>
        <w:tc>
          <w:tcPr>
            <w:tcW w:w="567" w:type="pct"/>
            <w:shd w:val="clear" w:color="auto" w:fill="auto"/>
            <w:vAlign w:val="center"/>
            <w:hideMark/>
          </w:tcPr>
          <w:p w:rsidR="005062E8" w:rsidRPr="003840F0" w:rsidP="00B63DB7" w14:paraId="61E99846" w14:textId="77777777">
            <w:pPr>
              <w:widowControl/>
              <w:overflowPunct/>
              <w:autoSpaceDE/>
              <w:autoSpaceDN/>
              <w:adjustRightInd/>
              <w:jc w:val="center"/>
              <w:rPr>
                <w:color w:val="000000"/>
                <w:kern w:val="0"/>
              </w:rPr>
            </w:pPr>
            <w:r w:rsidRPr="003840F0">
              <w:rPr>
                <w:color w:val="000000"/>
                <w:kern w:val="0"/>
              </w:rPr>
              <w:t>2.194564</w:t>
            </w:r>
          </w:p>
        </w:tc>
        <w:tc>
          <w:tcPr>
            <w:tcW w:w="434" w:type="pct"/>
            <w:shd w:val="clear" w:color="auto" w:fill="auto"/>
            <w:vAlign w:val="center"/>
            <w:hideMark/>
          </w:tcPr>
          <w:p w:rsidR="005062E8" w:rsidRPr="003840F0" w:rsidP="00B63DB7" w14:paraId="59839902" w14:textId="351B2A75">
            <w:pPr>
              <w:widowControl/>
              <w:overflowPunct/>
              <w:autoSpaceDE/>
              <w:autoSpaceDN/>
              <w:adjustRightInd/>
              <w:jc w:val="center"/>
              <w:rPr>
                <w:color w:val="000000"/>
                <w:kern w:val="0"/>
              </w:rPr>
            </w:pPr>
            <w:r>
              <w:rPr>
                <w:color w:val="000000"/>
                <w:kern w:val="0"/>
              </w:rPr>
              <w:t>15,</w:t>
            </w:r>
            <w:r w:rsidR="00FB31A0">
              <w:rPr>
                <w:color w:val="000000"/>
                <w:kern w:val="0"/>
              </w:rPr>
              <w:t>827</w:t>
            </w:r>
          </w:p>
        </w:tc>
        <w:tc>
          <w:tcPr>
            <w:tcW w:w="533" w:type="pct"/>
            <w:shd w:val="clear" w:color="auto" w:fill="auto"/>
            <w:vAlign w:val="center"/>
            <w:hideMark/>
          </w:tcPr>
          <w:p w:rsidR="005062E8" w:rsidRPr="003840F0" w:rsidP="00B63DB7" w14:paraId="2891CAED" w14:textId="6E388EE9">
            <w:pPr>
              <w:widowControl/>
              <w:overflowPunct/>
              <w:autoSpaceDE/>
              <w:autoSpaceDN/>
              <w:adjustRightInd/>
              <w:jc w:val="center"/>
              <w:rPr>
                <w:color w:val="000000"/>
                <w:kern w:val="0"/>
              </w:rPr>
            </w:pPr>
            <w:r w:rsidRPr="003840F0">
              <w:rPr>
                <w:color w:val="000000"/>
                <w:kern w:val="0"/>
              </w:rPr>
              <w:t>$</w:t>
            </w:r>
            <w:r w:rsidR="00DE526A">
              <w:rPr>
                <w:color w:val="000000"/>
                <w:kern w:val="0"/>
              </w:rPr>
              <w:t>55.55</w:t>
            </w:r>
          </w:p>
        </w:tc>
        <w:tc>
          <w:tcPr>
            <w:tcW w:w="598" w:type="pct"/>
            <w:shd w:val="clear" w:color="auto" w:fill="auto"/>
            <w:noWrap/>
            <w:vAlign w:val="center"/>
            <w:hideMark/>
          </w:tcPr>
          <w:p w:rsidR="005062E8" w:rsidRPr="003840F0" w:rsidP="00B63DB7" w14:paraId="7C22C0D5" w14:textId="0ACF7AA2">
            <w:pPr>
              <w:widowControl/>
              <w:overflowPunct/>
              <w:autoSpaceDE/>
              <w:autoSpaceDN/>
              <w:adjustRightInd/>
              <w:jc w:val="center"/>
              <w:rPr>
                <w:color w:val="000000"/>
                <w:kern w:val="0"/>
              </w:rPr>
            </w:pPr>
            <w:r w:rsidRPr="003840F0">
              <w:rPr>
                <w:color w:val="000000"/>
                <w:kern w:val="0"/>
              </w:rPr>
              <w:t>$</w:t>
            </w:r>
            <w:r w:rsidR="002845CB">
              <w:rPr>
                <w:color w:val="000000"/>
                <w:kern w:val="0"/>
              </w:rPr>
              <w:t xml:space="preserve">879,190 </w:t>
            </w:r>
          </w:p>
        </w:tc>
      </w:tr>
      <w:tr w14:paraId="625FE5F1"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042E6727" w14:textId="77777777">
            <w:pPr>
              <w:widowControl/>
              <w:overflowPunct/>
              <w:autoSpaceDE/>
              <w:autoSpaceDN/>
              <w:adjustRightInd/>
              <w:ind w:firstLine="400" w:firstLineChars="200"/>
              <w:rPr>
                <w:i/>
                <w:iCs/>
                <w:color w:val="000000"/>
                <w:kern w:val="0"/>
              </w:rPr>
            </w:pPr>
            <w:r w:rsidRPr="003840F0">
              <w:rPr>
                <w:i/>
                <w:iCs/>
                <w:color w:val="000000"/>
                <w:kern w:val="0"/>
              </w:rPr>
              <w:t xml:space="preserve">Annual Review of </w:t>
            </w:r>
            <w:r>
              <w:rPr>
                <w:i/>
                <w:iCs/>
                <w:color w:val="000000"/>
                <w:kern w:val="0"/>
              </w:rPr>
              <w:t>P</w:t>
            </w:r>
            <w:r w:rsidRPr="003840F0">
              <w:rPr>
                <w:i/>
                <w:iCs/>
                <w:color w:val="000000"/>
                <w:kern w:val="0"/>
              </w:rPr>
              <w:t>lan</w:t>
            </w:r>
          </w:p>
        </w:tc>
        <w:tc>
          <w:tcPr>
            <w:tcW w:w="467" w:type="pct"/>
            <w:shd w:val="clear" w:color="auto" w:fill="auto"/>
            <w:vAlign w:val="center"/>
            <w:hideMark/>
          </w:tcPr>
          <w:p w:rsidR="005062E8" w:rsidRPr="003840F0" w:rsidP="00EA0034" w14:paraId="0337FD77"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16037DD9" w14:textId="54A0413D">
            <w:pPr>
              <w:widowControl/>
              <w:overflowPunct/>
              <w:autoSpaceDE/>
              <w:autoSpaceDN/>
              <w:adjustRightInd/>
              <w:jc w:val="center"/>
              <w:rPr>
                <w:color w:val="000000"/>
                <w:kern w:val="0"/>
              </w:rPr>
            </w:pPr>
            <w:r>
              <w:rPr>
                <w:color w:val="000000"/>
                <w:kern w:val="0"/>
              </w:rPr>
              <w:t>72,120</w:t>
            </w:r>
          </w:p>
        </w:tc>
        <w:tc>
          <w:tcPr>
            <w:tcW w:w="534" w:type="pct"/>
            <w:shd w:val="clear" w:color="auto" w:fill="auto"/>
            <w:vAlign w:val="center"/>
            <w:hideMark/>
          </w:tcPr>
          <w:p w:rsidR="005062E8" w:rsidRPr="003840F0" w:rsidP="00B63DB7" w14:paraId="1EFFA97B"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51158E47" w14:textId="22F39754">
            <w:pPr>
              <w:widowControl/>
              <w:overflowPunct/>
              <w:autoSpaceDE/>
              <w:autoSpaceDN/>
              <w:adjustRightInd/>
              <w:jc w:val="center"/>
              <w:rPr>
                <w:color w:val="000000"/>
                <w:kern w:val="0"/>
              </w:rPr>
            </w:pPr>
            <w:r>
              <w:rPr>
                <w:color w:val="000000"/>
                <w:kern w:val="0"/>
              </w:rPr>
              <w:t xml:space="preserve">72,120 </w:t>
            </w:r>
          </w:p>
        </w:tc>
        <w:tc>
          <w:tcPr>
            <w:tcW w:w="567" w:type="pct"/>
            <w:shd w:val="clear" w:color="auto" w:fill="auto"/>
            <w:vAlign w:val="center"/>
            <w:hideMark/>
          </w:tcPr>
          <w:p w:rsidR="005062E8" w:rsidRPr="003840F0" w:rsidP="00B63DB7" w14:paraId="43001548" w14:textId="77777777">
            <w:pPr>
              <w:widowControl/>
              <w:overflowPunct/>
              <w:autoSpaceDE/>
              <w:autoSpaceDN/>
              <w:adjustRightInd/>
              <w:jc w:val="center"/>
              <w:rPr>
                <w:color w:val="000000"/>
                <w:kern w:val="0"/>
              </w:rPr>
            </w:pPr>
            <w:r w:rsidRPr="003840F0">
              <w:rPr>
                <w:color w:val="000000"/>
                <w:kern w:val="0"/>
              </w:rPr>
              <w:t>1.108949</w:t>
            </w:r>
          </w:p>
        </w:tc>
        <w:tc>
          <w:tcPr>
            <w:tcW w:w="434" w:type="pct"/>
            <w:shd w:val="clear" w:color="auto" w:fill="auto"/>
            <w:vAlign w:val="center"/>
            <w:hideMark/>
          </w:tcPr>
          <w:p w:rsidR="005062E8" w:rsidRPr="003840F0" w:rsidP="00B63DB7" w14:paraId="753D3CAD" w14:textId="76014701">
            <w:pPr>
              <w:widowControl/>
              <w:overflowPunct/>
              <w:autoSpaceDE/>
              <w:autoSpaceDN/>
              <w:adjustRightInd/>
              <w:jc w:val="center"/>
              <w:rPr>
                <w:color w:val="000000"/>
                <w:kern w:val="0"/>
              </w:rPr>
            </w:pPr>
            <w:r>
              <w:rPr>
                <w:color w:val="000000"/>
                <w:kern w:val="0"/>
              </w:rPr>
              <w:t xml:space="preserve">79,977 </w:t>
            </w:r>
          </w:p>
        </w:tc>
        <w:tc>
          <w:tcPr>
            <w:tcW w:w="533" w:type="pct"/>
            <w:shd w:val="clear" w:color="auto" w:fill="auto"/>
            <w:vAlign w:val="center"/>
            <w:hideMark/>
          </w:tcPr>
          <w:p w:rsidR="005062E8" w:rsidRPr="003840F0" w:rsidP="00B63DB7" w14:paraId="494DAAAA" w14:textId="2A0DFB3C">
            <w:pPr>
              <w:widowControl/>
              <w:overflowPunct/>
              <w:autoSpaceDE/>
              <w:autoSpaceDN/>
              <w:adjustRightInd/>
              <w:jc w:val="center"/>
              <w:rPr>
                <w:color w:val="000000"/>
                <w:kern w:val="0"/>
              </w:rPr>
            </w:pPr>
            <w:r w:rsidRPr="003840F0">
              <w:rPr>
                <w:color w:val="000000"/>
                <w:kern w:val="0"/>
              </w:rPr>
              <w:t>$</w:t>
            </w:r>
            <w:r w:rsidR="00F7373E">
              <w:rPr>
                <w:color w:val="000000"/>
                <w:kern w:val="0"/>
              </w:rPr>
              <w:t xml:space="preserve">55.55 </w:t>
            </w:r>
          </w:p>
        </w:tc>
        <w:tc>
          <w:tcPr>
            <w:tcW w:w="598" w:type="pct"/>
            <w:shd w:val="clear" w:color="auto" w:fill="auto"/>
            <w:noWrap/>
            <w:vAlign w:val="center"/>
            <w:hideMark/>
          </w:tcPr>
          <w:p w:rsidR="005062E8" w:rsidRPr="003840F0" w:rsidP="00B63DB7" w14:paraId="4399124D" w14:textId="756BE8A9">
            <w:pPr>
              <w:widowControl/>
              <w:overflowPunct/>
              <w:autoSpaceDE/>
              <w:autoSpaceDN/>
              <w:adjustRightInd/>
              <w:jc w:val="center"/>
              <w:rPr>
                <w:color w:val="000000"/>
                <w:kern w:val="0"/>
              </w:rPr>
            </w:pPr>
            <w:r w:rsidRPr="003840F0">
              <w:rPr>
                <w:color w:val="000000"/>
                <w:kern w:val="0"/>
              </w:rPr>
              <w:t>$</w:t>
            </w:r>
            <w:r w:rsidR="001A5809">
              <w:rPr>
                <w:color w:val="000000"/>
                <w:kern w:val="0"/>
              </w:rPr>
              <w:t xml:space="preserve">4,442,722 </w:t>
            </w:r>
          </w:p>
        </w:tc>
      </w:tr>
      <w:tr w14:paraId="1ACC7ABF" w14:textId="77777777" w:rsidTr="00001E63">
        <w:tblPrEx>
          <w:tblW w:w="5210" w:type="pct"/>
          <w:tblLayout w:type="fixed"/>
          <w:tblLook w:val="04A0"/>
        </w:tblPrEx>
        <w:trPr>
          <w:trHeight w:val="300"/>
        </w:trPr>
        <w:tc>
          <w:tcPr>
            <w:tcW w:w="932" w:type="pct"/>
            <w:shd w:val="clear" w:color="000000" w:fill="F2F2F2"/>
            <w:vAlign w:val="center"/>
            <w:hideMark/>
          </w:tcPr>
          <w:p w:rsidR="005062E8" w:rsidRPr="003840F0" w:rsidP="00EA0034" w14:paraId="140543D1" w14:textId="77777777">
            <w:pPr>
              <w:widowControl/>
              <w:overflowPunct/>
              <w:autoSpaceDE/>
              <w:autoSpaceDN/>
              <w:adjustRightInd/>
              <w:ind w:firstLine="400" w:firstLineChars="200"/>
              <w:rPr>
                <w:color w:val="000000"/>
                <w:kern w:val="0"/>
              </w:rPr>
            </w:pPr>
            <w:r w:rsidRPr="003840F0">
              <w:rPr>
                <w:color w:val="000000"/>
                <w:kern w:val="0"/>
              </w:rPr>
              <w:t>Compliance Plan Subtotal</w:t>
            </w:r>
          </w:p>
        </w:tc>
        <w:tc>
          <w:tcPr>
            <w:tcW w:w="467" w:type="pct"/>
            <w:shd w:val="clear" w:color="000000" w:fill="F2F2F2"/>
            <w:vAlign w:val="center"/>
            <w:hideMark/>
          </w:tcPr>
          <w:p w:rsidR="005062E8" w:rsidRPr="003840F0" w:rsidP="00EA0034" w14:paraId="290766AB"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000000" w:fill="F2F2F2"/>
            <w:vAlign w:val="center"/>
            <w:hideMark/>
          </w:tcPr>
          <w:p w:rsidR="005062E8" w:rsidRPr="003840F0" w:rsidP="00B63DB7" w14:paraId="1BFA7B60" w14:textId="6A06C83E">
            <w:pPr>
              <w:widowControl/>
              <w:overflowPunct/>
              <w:autoSpaceDE/>
              <w:autoSpaceDN/>
              <w:adjustRightInd/>
              <w:jc w:val="center"/>
              <w:rPr>
                <w:color w:val="000000"/>
                <w:kern w:val="0"/>
              </w:rPr>
            </w:pPr>
          </w:p>
        </w:tc>
        <w:tc>
          <w:tcPr>
            <w:tcW w:w="534" w:type="pct"/>
            <w:shd w:val="clear" w:color="000000" w:fill="F2F2F2"/>
            <w:vAlign w:val="center"/>
            <w:hideMark/>
          </w:tcPr>
          <w:p w:rsidR="005062E8" w:rsidRPr="003840F0" w:rsidP="00B63DB7" w14:paraId="735BCFC3" w14:textId="213CD7C1">
            <w:pPr>
              <w:widowControl/>
              <w:overflowPunct/>
              <w:autoSpaceDE/>
              <w:autoSpaceDN/>
              <w:adjustRightInd/>
              <w:jc w:val="center"/>
              <w:rPr>
                <w:color w:val="000000"/>
                <w:kern w:val="0"/>
              </w:rPr>
            </w:pPr>
          </w:p>
        </w:tc>
        <w:tc>
          <w:tcPr>
            <w:tcW w:w="434" w:type="pct"/>
            <w:shd w:val="clear" w:color="000000" w:fill="F2F2F2"/>
            <w:vAlign w:val="center"/>
            <w:hideMark/>
          </w:tcPr>
          <w:p w:rsidR="005062E8" w:rsidRPr="003840F0" w:rsidP="00B63DB7" w14:paraId="243E6D65" w14:textId="47C9A09E">
            <w:pPr>
              <w:widowControl/>
              <w:overflowPunct/>
              <w:autoSpaceDE/>
              <w:autoSpaceDN/>
              <w:adjustRightInd/>
              <w:jc w:val="center"/>
              <w:rPr>
                <w:color w:val="000000"/>
                <w:kern w:val="0"/>
              </w:rPr>
            </w:pPr>
            <w:r>
              <w:rPr>
                <w:color w:val="000000"/>
                <w:kern w:val="0"/>
              </w:rPr>
              <w:t>79,</w:t>
            </w:r>
            <w:r w:rsidR="00EC702B">
              <w:rPr>
                <w:color w:val="000000"/>
                <w:kern w:val="0"/>
              </w:rPr>
              <w:t xml:space="preserve">332 </w:t>
            </w:r>
          </w:p>
        </w:tc>
        <w:tc>
          <w:tcPr>
            <w:tcW w:w="567" w:type="pct"/>
            <w:shd w:val="clear" w:color="000000" w:fill="F2F2F2"/>
            <w:vAlign w:val="center"/>
            <w:hideMark/>
          </w:tcPr>
          <w:p w:rsidR="005062E8" w:rsidRPr="003840F0" w:rsidP="00B63DB7" w14:paraId="09F7716B" w14:textId="362DC9CD">
            <w:pPr>
              <w:widowControl/>
              <w:overflowPunct/>
              <w:autoSpaceDE/>
              <w:autoSpaceDN/>
              <w:adjustRightInd/>
              <w:jc w:val="center"/>
              <w:rPr>
                <w:color w:val="000000"/>
                <w:kern w:val="0"/>
              </w:rPr>
            </w:pPr>
          </w:p>
        </w:tc>
        <w:tc>
          <w:tcPr>
            <w:tcW w:w="434" w:type="pct"/>
            <w:shd w:val="clear" w:color="000000" w:fill="F2F2F2"/>
            <w:vAlign w:val="center"/>
            <w:hideMark/>
          </w:tcPr>
          <w:p w:rsidR="005062E8" w:rsidRPr="003840F0" w:rsidP="00B63DB7" w14:paraId="74C6D269" w14:textId="1D23A5BE">
            <w:pPr>
              <w:widowControl/>
              <w:overflowPunct/>
              <w:autoSpaceDE/>
              <w:autoSpaceDN/>
              <w:adjustRightInd/>
              <w:jc w:val="center"/>
              <w:rPr>
                <w:color w:val="000000"/>
                <w:kern w:val="0"/>
              </w:rPr>
            </w:pPr>
            <w:r>
              <w:rPr>
                <w:color w:val="000000"/>
                <w:kern w:val="0"/>
              </w:rPr>
              <w:t xml:space="preserve">95,804 </w:t>
            </w:r>
          </w:p>
        </w:tc>
        <w:tc>
          <w:tcPr>
            <w:tcW w:w="533" w:type="pct"/>
            <w:shd w:val="clear" w:color="000000" w:fill="F2F2F2"/>
            <w:vAlign w:val="center"/>
            <w:hideMark/>
          </w:tcPr>
          <w:p w:rsidR="005062E8" w:rsidRPr="003840F0" w:rsidP="00B63DB7" w14:paraId="0A82FD5C" w14:textId="15A38A47">
            <w:pPr>
              <w:widowControl/>
              <w:overflowPunct/>
              <w:autoSpaceDE/>
              <w:autoSpaceDN/>
              <w:adjustRightInd/>
              <w:jc w:val="center"/>
              <w:rPr>
                <w:color w:val="000000"/>
                <w:kern w:val="0"/>
              </w:rPr>
            </w:pPr>
          </w:p>
        </w:tc>
        <w:tc>
          <w:tcPr>
            <w:tcW w:w="598" w:type="pct"/>
            <w:shd w:val="clear" w:color="000000" w:fill="F2F2F2"/>
            <w:noWrap/>
            <w:vAlign w:val="center"/>
            <w:hideMark/>
          </w:tcPr>
          <w:p w:rsidR="005062E8" w:rsidRPr="003840F0" w:rsidP="00B63DB7" w14:paraId="5E3E6599" w14:textId="7B9A236A">
            <w:pPr>
              <w:widowControl/>
              <w:overflowPunct/>
              <w:autoSpaceDE/>
              <w:autoSpaceDN/>
              <w:adjustRightInd/>
              <w:jc w:val="center"/>
              <w:rPr>
                <w:color w:val="000000"/>
                <w:kern w:val="0"/>
              </w:rPr>
            </w:pPr>
            <w:r w:rsidRPr="003840F0">
              <w:rPr>
                <w:color w:val="000000"/>
                <w:kern w:val="0"/>
              </w:rPr>
              <w:t>$</w:t>
            </w:r>
            <w:r w:rsidR="00C613B9">
              <w:rPr>
                <w:color w:val="000000"/>
                <w:kern w:val="0"/>
              </w:rPr>
              <w:t>5,321</w:t>
            </w:r>
            <w:r w:rsidR="005A21D6">
              <w:rPr>
                <w:color w:val="000000"/>
                <w:kern w:val="0"/>
              </w:rPr>
              <w:t>,912</w:t>
            </w:r>
          </w:p>
        </w:tc>
      </w:tr>
      <w:tr w14:paraId="6AC7D1B1"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318DB4E6" w14:textId="47E0C9CA">
            <w:pPr>
              <w:widowControl/>
              <w:overflowPunct/>
              <w:autoSpaceDE/>
              <w:autoSpaceDN/>
              <w:adjustRightInd/>
              <w:rPr>
                <w:b/>
                <w:bCs/>
                <w:color w:val="000000"/>
                <w:kern w:val="0"/>
              </w:rPr>
            </w:pPr>
            <w:r>
              <w:rPr>
                <w:b/>
                <w:bCs/>
                <w:color w:val="000000"/>
                <w:kern w:val="0"/>
              </w:rPr>
              <w:t xml:space="preserve">(2) </w:t>
            </w:r>
            <w:r w:rsidRPr="003840F0">
              <w:rPr>
                <w:b/>
                <w:bCs/>
                <w:color w:val="000000"/>
                <w:kern w:val="0"/>
              </w:rPr>
              <w:t>Administrative Controls</w:t>
            </w:r>
          </w:p>
        </w:tc>
        <w:tc>
          <w:tcPr>
            <w:tcW w:w="467" w:type="pct"/>
            <w:shd w:val="clear" w:color="auto" w:fill="auto"/>
            <w:vAlign w:val="center"/>
            <w:hideMark/>
          </w:tcPr>
          <w:p w:rsidR="005062E8" w:rsidRPr="003840F0" w:rsidP="00EA0034" w14:paraId="2461A849"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5181ABFF" w14:textId="634D9EF4">
            <w:pPr>
              <w:widowControl/>
              <w:overflowPunct/>
              <w:autoSpaceDE/>
              <w:autoSpaceDN/>
              <w:adjustRightInd/>
              <w:jc w:val="center"/>
              <w:rPr>
                <w:color w:val="000000"/>
                <w:kern w:val="0"/>
              </w:rPr>
            </w:pPr>
            <w:r>
              <w:rPr>
                <w:color w:val="000000"/>
                <w:kern w:val="0"/>
              </w:rPr>
              <w:t xml:space="preserve">3,806 </w:t>
            </w:r>
          </w:p>
        </w:tc>
        <w:tc>
          <w:tcPr>
            <w:tcW w:w="534" w:type="pct"/>
            <w:shd w:val="clear" w:color="auto" w:fill="auto"/>
            <w:vAlign w:val="center"/>
            <w:hideMark/>
          </w:tcPr>
          <w:p w:rsidR="005062E8" w:rsidRPr="003840F0" w:rsidP="00B63DB7" w14:paraId="76B0274E"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5EE0DB16" w14:textId="33D7E3D0">
            <w:pPr>
              <w:widowControl/>
              <w:overflowPunct/>
              <w:autoSpaceDE/>
              <w:autoSpaceDN/>
              <w:adjustRightInd/>
              <w:jc w:val="center"/>
              <w:rPr>
                <w:color w:val="000000"/>
                <w:kern w:val="0"/>
              </w:rPr>
            </w:pPr>
            <w:r>
              <w:rPr>
                <w:color w:val="000000"/>
                <w:kern w:val="0"/>
              </w:rPr>
              <w:t xml:space="preserve">3,806 </w:t>
            </w:r>
          </w:p>
        </w:tc>
        <w:tc>
          <w:tcPr>
            <w:tcW w:w="567" w:type="pct"/>
            <w:shd w:val="clear" w:color="auto" w:fill="auto"/>
            <w:vAlign w:val="center"/>
            <w:hideMark/>
          </w:tcPr>
          <w:p w:rsidR="005062E8" w:rsidRPr="003840F0" w:rsidP="00B63DB7" w14:paraId="7341CFA7"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3EC832C1" w14:textId="7C4B6EFC">
            <w:pPr>
              <w:widowControl/>
              <w:overflowPunct/>
              <w:autoSpaceDE/>
              <w:autoSpaceDN/>
              <w:adjustRightInd/>
              <w:jc w:val="center"/>
              <w:rPr>
                <w:color w:val="000000"/>
                <w:kern w:val="0"/>
              </w:rPr>
            </w:pPr>
            <w:r>
              <w:rPr>
                <w:color w:val="000000"/>
                <w:kern w:val="0"/>
              </w:rPr>
              <w:t xml:space="preserve">3,806 </w:t>
            </w:r>
          </w:p>
        </w:tc>
        <w:tc>
          <w:tcPr>
            <w:tcW w:w="533" w:type="pct"/>
            <w:shd w:val="clear" w:color="auto" w:fill="auto"/>
            <w:vAlign w:val="center"/>
            <w:hideMark/>
          </w:tcPr>
          <w:p w:rsidR="005062E8" w:rsidRPr="003840F0" w:rsidP="00B63DB7" w14:paraId="214FDDF9" w14:textId="74EDC43C">
            <w:pPr>
              <w:widowControl/>
              <w:overflowPunct/>
              <w:autoSpaceDE/>
              <w:autoSpaceDN/>
              <w:adjustRightInd/>
              <w:jc w:val="center"/>
              <w:rPr>
                <w:color w:val="000000"/>
                <w:kern w:val="0"/>
              </w:rPr>
            </w:pPr>
            <w:r w:rsidRPr="003840F0">
              <w:rPr>
                <w:color w:val="000000"/>
                <w:kern w:val="0"/>
              </w:rPr>
              <w:t>$</w:t>
            </w:r>
            <w:r w:rsidR="0040597E">
              <w:rPr>
                <w:color w:val="000000"/>
                <w:kern w:val="0"/>
              </w:rPr>
              <w:t xml:space="preserve">55.55 </w:t>
            </w:r>
          </w:p>
        </w:tc>
        <w:tc>
          <w:tcPr>
            <w:tcW w:w="598" w:type="pct"/>
            <w:shd w:val="clear" w:color="auto" w:fill="auto"/>
            <w:noWrap/>
            <w:vAlign w:val="center"/>
            <w:hideMark/>
          </w:tcPr>
          <w:p w:rsidR="005062E8" w:rsidRPr="003840F0" w:rsidP="00B63DB7" w14:paraId="1003545B" w14:textId="608E3A64">
            <w:pPr>
              <w:widowControl/>
              <w:overflowPunct/>
              <w:autoSpaceDE/>
              <w:autoSpaceDN/>
              <w:adjustRightInd/>
              <w:jc w:val="center"/>
              <w:rPr>
                <w:color w:val="000000"/>
                <w:kern w:val="0"/>
              </w:rPr>
            </w:pPr>
            <w:r w:rsidRPr="003840F0">
              <w:rPr>
                <w:color w:val="000000"/>
                <w:kern w:val="0"/>
              </w:rPr>
              <w:t>$</w:t>
            </w:r>
            <w:r w:rsidR="005A5F34">
              <w:rPr>
                <w:color w:val="000000"/>
                <w:kern w:val="0"/>
              </w:rPr>
              <w:t xml:space="preserve">211,423 </w:t>
            </w:r>
          </w:p>
        </w:tc>
      </w:tr>
      <w:tr w14:paraId="6D4BAB65"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0EC45AB5" w14:textId="5A74FAC4">
            <w:pPr>
              <w:widowControl/>
              <w:overflowPunct/>
              <w:autoSpaceDE/>
              <w:autoSpaceDN/>
              <w:adjustRightInd/>
              <w:rPr>
                <w:b/>
                <w:bCs/>
                <w:color w:val="000000"/>
                <w:kern w:val="0"/>
              </w:rPr>
            </w:pPr>
            <w:r>
              <w:rPr>
                <w:b/>
                <w:bCs/>
                <w:color w:val="000000"/>
                <w:kern w:val="0"/>
              </w:rPr>
              <w:t xml:space="preserve">(D) </w:t>
            </w:r>
            <w:r w:rsidRPr="003840F0">
              <w:rPr>
                <w:b/>
                <w:bCs/>
                <w:color w:val="000000"/>
                <w:kern w:val="0"/>
              </w:rPr>
              <w:t>Notifying the Laundry</w:t>
            </w:r>
          </w:p>
        </w:tc>
        <w:tc>
          <w:tcPr>
            <w:tcW w:w="467" w:type="pct"/>
            <w:shd w:val="clear" w:color="auto" w:fill="auto"/>
            <w:vAlign w:val="center"/>
            <w:hideMark/>
          </w:tcPr>
          <w:p w:rsidR="005062E8" w:rsidRPr="003840F0" w:rsidP="00EA0034" w14:paraId="1DD87858" w14:textId="77777777">
            <w:pPr>
              <w:widowControl/>
              <w:overflowPunct/>
              <w:autoSpaceDE/>
              <w:autoSpaceDN/>
              <w:adjustRightInd/>
              <w:jc w:val="right"/>
              <w:rPr>
                <w:color w:val="000000"/>
                <w:kern w:val="0"/>
              </w:rPr>
            </w:pPr>
            <w:r w:rsidRPr="003840F0">
              <w:rPr>
                <w:color w:val="000000"/>
                <w:kern w:val="0"/>
              </w:rPr>
              <w:t>Clerical</w:t>
            </w:r>
          </w:p>
        </w:tc>
        <w:tc>
          <w:tcPr>
            <w:tcW w:w="502" w:type="pct"/>
            <w:shd w:val="clear" w:color="auto" w:fill="auto"/>
            <w:vAlign w:val="center"/>
            <w:hideMark/>
          </w:tcPr>
          <w:p w:rsidR="005062E8" w:rsidRPr="003840F0" w:rsidP="00B63DB7" w14:paraId="148D905A" w14:textId="4B62ED43">
            <w:pPr>
              <w:widowControl/>
              <w:overflowPunct/>
              <w:autoSpaceDE/>
              <w:autoSpaceDN/>
              <w:adjustRightInd/>
              <w:jc w:val="center"/>
              <w:rPr>
                <w:color w:val="000000"/>
                <w:kern w:val="0"/>
              </w:rPr>
            </w:pPr>
            <w:r>
              <w:rPr>
                <w:color w:val="000000"/>
                <w:kern w:val="0"/>
              </w:rPr>
              <w:t>72</w:t>
            </w:r>
            <w:r w:rsidR="00CC6FFB">
              <w:rPr>
                <w:color w:val="000000"/>
                <w:kern w:val="0"/>
              </w:rPr>
              <w:t xml:space="preserve">120 </w:t>
            </w:r>
          </w:p>
        </w:tc>
        <w:tc>
          <w:tcPr>
            <w:tcW w:w="534" w:type="pct"/>
            <w:shd w:val="clear" w:color="auto" w:fill="auto"/>
            <w:vAlign w:val="center"/>
            <w:hideMark/>
          </w:tcPr>
          <w:p w:rsidR="005062E8" w:rsidRPr="003840F0" w:rsidP="00B63DB7" w14:paraId="15E79202"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6FD90AE0" w14:textId="2D350280">
            <w:pPr>
              <w:widowControl/>
              <w:overflowPunct/>
              <w:autoSpaceDE/>
              <w:autoSpaceDN/>
              <w:adjustRightInd/>
              <w:jc w:val="center"/>
              <w:rPr>
                <w:color w:val="000000"/>
                <w:kern w:val="0"/>
              </w:rPr>
            </w:pPr>
            <w:r>
              <w:rPr>
                <w:color w:val="000000"/>
                <w:kern w:val="0"/>
              </w:rPr>
              <w:t>72,120</w:t>
            </w:r>
            <w:r w:rsidR="005A5F34">
              <w:rPr>
                <w:color w:val="000000"/>
                <w:kern w:val="0"/>
              </w:rPr>
              <w:t xml:space="preserve"> </w:t>
            </w:r>
          </w:p>
        </w:tc>
        <w:tc>
          <w:tcPr>
            <w:tcW w:w="567" w:type="pct"/>
            <w:shd w:val="clear" w:color="auto" w:fill="auto"/>
            <w:vAlign w:val="center"/>
            <w:hideMark/>
          </w:tcPr>
          <w:p w:rsidR="005062E8" w:rsidRPr="003840F0" w:rsidP="00B63DB7" w14:paraId="74831D65" w14:textId="3EDF853B">
            <w:pPr>
              <w:widowControl/>
              <w:overflowPunct/>
              <w:autoSpaceDE/>
              <w:autoSpaceDN/>
              <w:adjustRightInd/>
              <w:jc w:val="center"/>
              <w:rPr>
                <w:color w:val="000000"/>
                <w:kern w:val="0"/>
              </w:rPr>
            </w:pPr>
            <w:r>
              <w:rPr>
                <w:color w:val="000000"/>
                <w:kern w:val="0"/>
              </w:rPr>
              <w:t>6/60</w:t>
            </w:r>
          </w:p>
        </w:tc>
        <w:tc>
          <w:tcPr>
            <w:tcW w:w="434" w:type="pct"/>
            <w:shd w:val="clear" w:color="auto" w:fill="auto"/>
            <w:vAlign w:val="center"/>
            <w:hideMark/>
          </w:tcPr>
          <w:p w:rsidR="005062E8" w:rsidRPr="003840F0" w:rsidP="00B63DB7" w14:paraId="650BACCA" w14:textId="65ADB633">
            <w:pPr>
              <w:widowControl/>
              <w:overflowPunct/>
              <w:autoSpaceDE/>
              <w:autoSpaceDN/>
              <w:adjustRightInd/>
              <w:jc w:val="center"/>
              <w:rPr>
                <w:color w:val="000000"/>
                <w:kern w:val="0"/>
              </w:rPr>
            </w:pPr>
            <w:r>
              <w:rPr>
                <w:color w:val="000000"/>
                <w:kern w:val="0"/>
              </w:rPr>
              <w:t>7,212</w:t>
            </w:r>
          </w:p>
        </w:tc>
        <w:tc>
          <w:tcPr>
            <w:tcW w:w="533" w:type="pct"/>
            <w:shd w:val="clear" w:color="auto" w:fill="auto"/>
            <w:vAlign w:val="center"/>
            <w:hideMark/>
          </w:tcPr>
          <w:p w:rsidR="005062E8" w:rsidRPr="003840F0" w:rsidP="00B63DB7" w14:paraId="0BF0C064" w14:textId="5433AA3A">
            <w:pPr>
              <w:widowControl/>
              <w:overflowPunct/>
              <w:autoSpaceDE/>
              <w:autoSpaceDN/>
              <w:adjustRightInd/>
              <w:jc w:val="center"/>
              <w:rPr>
                <w:color w:val="000000"/>
                <w:kern w:val="0"/>
              </w:rPr>
            </w:pPr>
            <w:r w:rsidRPr="003840F0">
              <w:rPr>
                <w:color w:val="000000"/>
                <w:kern w:val="0"/>
              </w:rPr>
              <w:t>$</w:t>
            </w:r>
            <w:r w:rsidR="00591F89">
              <w:rPr>
                <w:color w:val="000000"/>
                <w:kern w:val="0"/>
              </w:rPr>
              <w:t>32.74</w:t>
            </w:r>
          </w:p>
        </w:tc>
        <w:tc>
          <w:tcPr>
            <w:tcW w:w="598" w:type="pct"/>
            <w:shd w:val="clear" w:color="auto" w:fill="auto"/>
            <w:noWrap/>
            <w:vAlign w:val="center"/>
            <w:hideMark/>
          </w:tcPr>
          <w:p w:rsidR="005062E8" w:rsidRPr="003840F0" w:rsidP="00B63DB7" w14:paraId="2E116B3C" w14:textId="5D165BE5">
            <w:pPr>
              <w:widowControl/>
              <w:overflowPunct/>
              <w:autoSpaceDE/>
              <w:autoSpaceDN/>
              <w:adjustRightInd/>
              <w:jc w:val="center"/>
              <w:rPr>
                <w:color w:val="000000"/>
                <w:kern w:val="0"/>
              </w:rPr>
            </w:pPr>
            <w:r w:rsidRPr="003840F0">
              <w:rPr>
                <w:color w:val="000000"/>
                <w:kern w:val="0"/>
              </w:rPr>
              <w:t>$</w:t>
            </w:r>
            <w:r w:rsidR="00591F89">
              <w:rPr>
                <w:color w:val="000000"/>
                <w:kern w:val="0"/>
              </w:rPr>
              <w:t>236,121</w:t>
            </w:r>
          </w:p>
        </w:tc>
      </w:tr>
      <w:tr w14:paraId="19A163EE" w14:textId="77777777" w:rsidTr="00001E63">
        <w:tblPrEx>
          <w:tblW w:w="5210" w:type="pct"/>
          <w:tblLayout w:type="fixed"/>
          <w:tblLook w:val="04A0"/>
        </w:tblPrEx>
        <w:trPr>
          <w:trHeight w:val="300"/>
        </w:trPr>
        <w:tc>
          <w:tcPr>
            <w:tcW w:w="932" w:type="pct"/>
            <w:shd w:val="clear" w:color="auto" w:fill="F2F2F2" w:themeFill="background1" w:themeFillShade="F2"/>
            <w:vAlign w:val="center"/>
          </w:tcPr>
          <w:p w:rsidR="00F95DCC" w:rsidRPr="00B63DB7" w:rsidP="00EA0034" w14:paraId="3DF71B83" w14:textId="583A987E">
            <w:pPr>
              <w:widowControl/>
              <w:overflowPunct/>
              <w:autoSpaceDE/>
              <w:autoSpaceDN/>
              <w:adjustRightInd/>
              <w:rPr>
                <w:color w:val="000000"/>
                <w:kern w:val="0"/>
              </w:rPr>
            </w:pPr>
            <w:r w:rsidRPr="00B63DB7">
              <w:rPr>
                <w:color w:val="000000"/>
                <w:kern w:val="0"/>
              </w:rPr>
              <w:t>Subt</w:t>
            </w:r>
            <w:r w:rsidRPr="00B63DB7" w:rsidR="00151CA4">
              <w:rPr>
                <w:color w:val="000000"/>
                <w:kern w:val="0"/>
              </w:rPr>
              <w:t>otal</w:t>
            </w:r>
          </w:p>
        </w:tc>
        <w:tc>
          <w:tcPr>
            <w:tcW w:w="467" w:type="pct"/>
            <w:shd w:val="clear" w:color="auto" w:fill="F2F2F2" w:themeFill="background1" w:themeFillShade="F2"/>
            <w:vAlign w:val="center"/>
          </w:tcPr>
          <w:p w:rsidR="00F95DCC" w:rsidRPr="003840F0" w:rsidP="00EA0034" w14:paraId="4BE753F2" w14:textId="77777777">
            <w:pPr>
              <w:widowControl/>
              <w:overflowPunct/>
              <w:autoSpaceDE/>
              <w:autoSpaceDN/>
              <w:adjustRightInd/>
              <w:jc w:val="right"/>
              <w:rPr>
                <w:color w:val="000000"/>
                <w:kern w:val="0"/>
              </w:rPr>
            </w:pPr>
          </w:p>
        </w:tc>
        <w:tc>
          <w:tcPr>
            <w:tcW w:w="502" w:type="pct"/>
            <w:shd w:val="clear" w:color="auto" w:fill="F2F2F2" w:themeFill="background1" w:themeFillShade="F2"/>
            <w:vAlign w:val="center"/>
          </w:tcPr>
          <w:p w:rsidR="00F95DCC" w:rsidRPr="003840F0" w:rsidP="00B63DB7" w14:paraId="048C3F36" w14:textId="77777777">
            <w:pPr>
              <w:widowControl/>
              <w:overflowPunct/>
              <w:autoSpaceDE/>
              <w:autoSpaceDN/>
              <w:adjustRightInd/>
              <w:jc w:val="center"/>
              <w:rPr>
                <w:color w:val="000000"/>
                <w:kern w:val="0"/>
              </w:rPr>
            </w:pPr>
          </w:p>
        </w:tc>
        <w:tc>
          <w:tcPr>
            <w:tcW w:w="534" w:type="pct"/>
            <w:shd w:val="clear" w:color="auto" w:fill="F2F2F2" w:themeFill="background1" w:themeFillShade="F2"/>
            <w:vAlign w:val="center"/>
          </w:tcPr>
          <w:p w:rsidR="00F95DCC" w:rsidRPr="003840F0" w:rsidP="00B63DB7" w14:paraId="1361BB5C" w14:textId="77777777">
            <w:pPr>
              <w:widowControl/>
              <w:overflowPunct/>
              <w:autoSpaceDE/>
              <w:autoSpaceDN/>
              <w:adjustRightInd/>
              <w:jc w:val="center"/>
              <w:rPr>
                <w:color w:val="000000"/>
                <w:kern w:val="0"/>
              </w:rPr>
            </w:pPr>
          </w:p>
        </w:tc>
        <w:tc>
          <w:tcPr>
            <w:tcW w:w="434" w:type="pct"/>
            <w:shd w:val="clear" w:color="auto" w:fill="F2F2F2" w:themeFill="background1" w:themeFillShade="F2"/>
            <w:vAlign w:val="center"/>
          </w:tcPr>
          <w:p w:rsidR="00F95DCC" w:rsidRPr="003840F0" w:rsidP="00B63DB7" w14:paraId="275D6980" w14:textId="13CBD12B">
            <w:pPr>
              <w:widowControl/>
              <w:overflowPunct/>
              <w:autoSpaceDE/>
              <w:autoSpaceDN/>
              <w:adjustRightInd/>
              <w:jc w:val="center"/>
              <w:rPr>
                <w:color w:val="000000"/>
                <w:kern w:val="0"/>
              </w:rPr>
            </w:pPr>
            <w:r>
              <w:rPr>
                <w:color w:val="000000"/>
                <w:kern w:val="0"/>
              </w:rPr>
              <w:t>75,926</w:t>
            </w:r>
          </w:p>
        </w:tc>
        <w:tc>
          <w:tcPr>
            <w:tcW w:w="567" w:type="pct"/>
            <w:shd w:val="clear" w:color="auto" w:fill="F2F2F2" w:themeFill="background1" w:themeFillShade="F2"/>
            <w:vAlign w:val="center"/>
          </w:tcPr>
          <w:p w:rsidR="00F95DCC" w:rsidRPr="003840F0" w:rsidP="00B63DB7" w14:paraId="45A52C5D" w14:textId="77777777">
            <w:pPr>
              <w:widowControl/>
              <w:overflowPunct/>
              <w:autoSpaceDE/>
              <w:autoSpaceDN/>
              <w:adjustRightInd/>
              <w:jc w:val="center"/>
              <w:rPr>
                <w:color w:val="000000"/>
                <w:kern w:val="0"/>
              </w:rPr>
            </w:pPr>
          </w:p>
        </w:tc>
        <w:tc>
          <w:tcPr>
            <w:tcW w:w="434" w:type="pct"/>
            <w:shd w:val="clear" w:color="auto" w:fill="F2F2F2" w:themeFill="background1" w:themeFillShade="F2"/>
            <w:vAlign w:val="center"/>
          </w:tcPr>
          <w:p w:rsidR="00F95DCC" w:rsidRPr="003840F0" w:rsidP="00B63DB7" w14:paraId="6CA3D5F5" w14:textId="4CFDF73A">
            <w:pPr>
              <w:widowControl/>
              <w:overflowPunct/>
              <w:autoSpaceDE/>
              <w:autoSpaceDN/>
              <w:adjustRightInd/>
              <w:jc w:val="center"/>
              <w:rPr>
                <w:color w:val="000000"/>
                <w:kern w:val="0"/>
              </w:rPr>
            </w:pPr>
            <w:r>
              <w:rPr>
                <w:color w:val="000000"/>
                <w:kern w:val="0"/>
              </w:rPr>
              <w:t>11,018</w:t>
            </w:r>
          </w:p>
        </w:tc>
        <w:tc>
          <w:tcPr>
            <w:tcW w:w="533" w:type="pct"/>
            <w:shd w:val="clear" w:color="auto" w:fill="F2F2F2" w:themeFill="background1" w:themeFillShade="F2"/>
            <w:vAlign w:val="center"/>
          </w:tcPr>
          <w:p w:rsidR="00F95DCC" w:rsidRPr="003840F0" w:rsidP="00B63DB7" w14:paraId="6454009A" w14:textId="77777777">
            <w:pPr>
              <w:widowControl/>
              <w:overflowPunct/>
              <w:autoSpaceDE/>
              <w:autoSpaceDN/>
              <w:adjustRightInd/>
              <w:jc w:val="center"/>
              <w:rPr>
                <w:color w:val="000000"/>
                <w:kern w:val="0"/>
              </w:rPr>
            </w:pPr>
          </w:p>
        </w:tc>
        <w:tc>
          <w:tcPr>
            <w:tcW w:w="598" w:type="pct"/>
            <w:shd w:val="clear" w:color="auto" w:fill="F2F2F2" w:themeFill="background1" w:themeFillShade="F2"/>
            <w:noWrap/>
            <w:vAlign w:val="center"/>
          </w:tcPr>
          <w:p w:rsidR="00F95DCC" w:rsidRPr="003840F0" w:rsidP="00B63DB7" w14:paraId="05A803AB" w14:textId="6A950EC8">
            <w:pPr>
              <w:widowControl/>
              <w:overflowPunct/>
              <w:autoSpaceDE/>
              <w:autoSpaceDN/>
              <w:adjustRightInd/>
              <w:jc w:val="center"/>
              <w:rPr>
                <w:color w:val="000000"/>
                <w:kern w:val="0"/>
              </w:rPr>
            </w:pPr>
            <w:r>
              <w:rPr>
                <w:color w:val="000000"/>
                <w:kern w:val="0"/>
              </w:rPr>
              <w:t>$4</w:t>
            </w:r>
            <w:r w:rsidR="008C697A">
              <w:rPr>
                <w:color w:val="000000"/>
                <w:kern w:val="0"/>
              </w:rPr>
              <w:t>47,</w:t>
            </w:r>
            <w:r w:rsidR="00BA72DB">
              <w:rPr>
                <w:color w:val="000000"/>
                <w:kern w:val="0"/>
              </w:rPr>
              <w:t>54</w:t>
            </w:r>
            <w:r w:rsidR="008310C5">
              <w:rPr>
                <w:color w:val="000000"/>
                <w:kern w:val="0"/>
              </w:rPr>
              <w:t>4</w:t>
            </w:r>
          </w:p>
        </w:tc>
      </w:tr>
      <w:tr w14:paraId="0CBFC5C7"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0AFB304A" w14:textId="795FF65F">
            <w:pPr>
              <w:widowControl/>
              <w:overflowPunct/>
              <w:autoSpaceDE/>
              <w:autoSpaceDN/>
              <w:adjustRightInd/>
              <w:rPr>
                <w:b/>
                <w:bCs/>
                <w:color w:val="000000"/>
                <w:kern w:val="0"/>
              </w:rPr>
            </w:pPr>
            <w:r>
              <w:rPr>
                <w:b/>
                <w:bCs/>
                <w:color w:val="000000"/>
                <w:kern w:val="0"/>
              </w:rPr>
              <w:t>(</w:t>
            </w:r>
            <w:r w:rsidR="001835E8">
              <w:rPr>
                <w:b/>
                <w:bCs/>
                <w:color w:val="000000"/>
                <w:kern w:val="0"/>
              </w:rPr>
              <w:t>E</w:t>
            </w:r>
            <w:r>
              <w:rPr>
                <w:b/>
                <w:bCs/>
                <w:color w:val="000000"/>
                <w:kern w:val="0"/>
              </w:rPr>
              <w:t xml:space="preserve">) </w:t>
            </w:r>
            <w:r w:rsidRPr="003840F0">
              <w:rPr>
                <w:b/>
                <w:bCs/>
                <w:color w:val="000000"/>
                <w:kern w:val="0"/>
              </w:rPr>
              <w:t>Medical Surveillance</w:t>
            </w:r>
          </w:p>
        </w:tc>
        <w:tc>
          <w:tcPr>
            <w:tcW w:w="467" w:type="pct"/>
            <w:shd w:val="clear" w:color="auto" w:fill="auto"/>
            <w:vAlign w:val="center"/>
            <w:hideMark/>
          </w:tcPr>
          <w:p w:rsidR="005062E8" w:rsidRPr="003840F0" w:rsidP="00EA0034" w14:paraId="61783E41"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auto" w:fill="auto"/>
            <w:vAlign w:val="center"/>
            <w:hideMark/>
          </w:tcPr>
          <w:p w:rsidR="005062E8" w:rsidRPr="003840F0" w:rsidP="00EA0034" w14:paraId="5CF9265E" w14:textId="77777777">
            <w:pPr>
              <w:widowControl/>
              <w:overflowPunct/>
              <w:autoSpaceDE/>
              <w:autoSpaceDN/>
              <w:adjustRightInd/>
              <w:jc w:val="right"/>
              <w:rPr>
                <w:color w:val="000000"/>
                <w:kern w:val="0"/>
              </w:rPr>
            </w:pPr>
            <w:r w:rsidRPr="003840F0">
              <w:rPr>
                <w:color w:val="000000"/>
                <w:kern w:val="0"/>
              </w:rPr>
              <w:t> </w:t>
            </w:r>
          </w:p>
        </w:tc>
        <w:tc>
          <w:tcPr>
            <w:tcW w:w="534" w:type="pct"/>
            <w:shd w:val="clear" w:color="auto" w:fill="auto"/>
            <w:vAlign w:val="center"/>
            <w:hideMark/>
          </w:tcPr>
          <w:p w:rsidR="005062E8" w:rsidRPr="003840F0" w:rsidP="00EA0034" w14:paraId="5D41CD6C"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407289F1"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005062E8" w:rsidRPr="003840F0" w:rsidP="00EA0034" w14:paraId="0522B700"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1FD32350"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005062E8" w:rsidRPr="003840F0" w:rsidP="00EA0034" w14:paraId="01FE8344" w14:textId="77777777">
            <w:pPr>
              <w:widowControl/>
              <w:overflowPunct/>
              <w:autoSpaceDE/>
              <w:autoSpaceDN/>
              <w:adjustRightInd/>
              <w:jc w:val="right"/>
              <w:rPr>
                <w:color w:val="000000"/>
                <w:kern w:val="0"/>
              </w:rPr>
            </w:pPr>
            <w:r w:rsidRPr="003840F0">
              <w:rPr>
                <w:color w:val="000000"/>
                <w:kern w:val="0"/>
              </w:rPr>
              <w:t> </w:t>
            </w:r>
          </w:p>
        </w:tc>
        <w:tc>
          <w:tcPr>
            <w:tcW w:w="598" w:type="pct"/>
            <w:shd w:val="clear" w:color="auto" w:fill="auto"/>
            <w:noWrap/>
            <w:vAlign w:val="center"/>
            <w:hideMark/>
          </w:tcPr>
          <w:p w:rsidR="005062E8" w:rsidRPr="003840F0" w:rsidP="00EA0034" w14:paraId="1BFE7AF5" w14:textId="77777777">
            <w:pPr>
              <w:widowControl/>
              <w:overflowPunct/>
              <w:autoSpaceDE/>
              <w:autoSpaceDN/>
              <w:adjustRightInd/>
              <w:jc w:val="right"/>
              <w:rPr>
                <w:color w:val="000000"/>
                <w:kern w:val="0"/>
              </w:rPr>
            </w:pPr>
            <w:r w:rsidRPr="003840F0">
              <w:rPr>
                <w:color w:val="000000"/>
                <w:kern w:val="0"/>
              </w:rPr>
              <w:t> </w:t>
            </w:r>
          </w:p>
        </w:tc>
      </w:tr>
      <w:tr w14:paraId="6AB36CD0" w14:textId="77777777" w:rsidTr="00001E63">
        <w:tblPrEx>
          <w:tblW w:w="5210" w:type="pct"/>
          <w:tblLayout w:type="fixed"/>
          <w:tblLook w:val="04A0"/>
        </w:tblPrEx>
        <w:trPr>
          <w:trHeight w:val="300"/>
        </w:trPr>
        <w:tc>
          <w:tcPr>
            <w:tcW w:w="932" w:type="pct"/>
            <w:shd w:val="clear" w:color="auto" w:fill="auto"/>
            <w:vAlign w:val="center"/>
            <w:hideMark/>
          </w:tcPr>
          <w:p w:rsidR="005062E8" w:rsidRPr="0076787F" w:rsidP="00EA0034" w14:paraId="34131353" w14:textId="77777777">
            <w:pPr>
              <w:widowControl/>
              <w:overflowPunct/>
              <w:autoSpaceDE/>
              <w:autoSpaceDN/>
              <w:adjustRightInd/>
              <w:ind w:firstLine="200" w:firstLineChars="100"/>
              <w:rPr>
                <w:color w:val="000000"/>
                <w:kern w:val="0"/>
              </w:rPr>
            </w:pPr>
            <w:r w:rsidRPr="0076787F">
              <w:rPr>
                <w:color w:val="000000"/>
                <w:kern w:val="0"/>
              </w:rPr>
              <w:t>Initial Medical Examination</w:t>
            </w:r>
          </w:p>
        </w:tc>
        <w:tc>
          <w:tcPr>
            <w:tcW w:w="467" w:type="pct"/>
            <w:shd w:val="clear" w:color="auto" w:fill="auto"/>
            <w:vAlign w:val="center"/>
            <w:hideMark/>
          </w:tcPr>
          <w:p w:rsidR="005062E8" w:rsidRPr="0076787F" w:rsidP="00EA0034" w14:paraId="5AD91B30" w14:textId="77777777">
            <w:pPr>
              <w:widowControl/>
              <w:overflowPunct/>
              <w:autoSpaceDE/>
              <w:autoSpaceDN/>
              <w:adjustRightInd/>
              <w:jc w:val="right"/>
              <w:rPr>
                <w:color w:val="000000"/>
                <w:kern w:val="0"/>
              </w:rPr>
            </w:pPr>
            <w:r w:rsidRPr="0076787F">
              <w:rPr>
                <w:color w:val="000000"/>
                <w:kern w:val="0"/>
              </w:rPr>
              <w:t>Worker</w:t>
            </w:r>
          </w:p>
        </w:tc>
        <w:tc>
          <w:tcPr>
            <w:tcW w:w="502" w:type="pct"/>
            <w:shd w:val="clear" w:color="auto" w:fill="auto"/>
            <w:vAlign w:val="center"/>
            <w:hideMark/>
          </w:tcPr>
          <w:p w:rsidR="005062E8" w:rsidRPr="0076787F" w:rsidP="00EA0034" w14:paraId="55F4D794" w14:textId="3DD03E74">
            <w:pPr>
              <w:widowControl/>
              <w:overflowPunct/>
              <w:autoSpaceDE/>
              <w:autoSpaceDN/>
              <w:adjustRightInd/>
              <w:jc w:val="right"/>
              <w:rPr>
                <w:color w:val="000000"/>
                <w:kern w:val="0"/>
              </w:rPr>
            </w:pPr>
            <w:r>
              <w:rPr>
                <w:color w:val="000000"/>
                <w:kern w:val="0"/>
              </w:rPr>
              <w:t xml:space="preserve">61,785 </w:t>
            </w:r>
          </w:p>
        </w:tc>
        <w:tc>
          <w:tcPr>
            <w:tcW w:w="534" w:type="pct"/>
            <w:shd w:val="clear" w:color="auto" w:fill="auto"/>
            <w:vAlign w:val="center"/>
            <w:hideMark/>
          </w:tcPr>
          <w:p w:rsidR="005062E8" w:rsidRPr="0076787F" w:rsidP="00EA0034" w14:paraId="2CFF2C1F" w14:textId="77777777">
            <w:pPr>
              <w:widowControl/>
              <w:overflowPunct/>
              <w:autoSpaceDE/>
              <w:autoSpaceDN/>
              <w:adjustRightInd/>
              <w:jc w:val="right"/>
              <w:rPr>
                <w:color w:val="000000"/>
                <w:kern w:val="0"/>
              </w:rPr>
            </w:pPr>
            <w:r w:rsidRPr="0076787F">
              <w:rPr>
                <w:color w:val="000000"/>
                <w:kern w:val="0"/>
              </w:rPr>
              <w:t>1</w:t>
            </w:r>
          </w:p>
        </w:tc>
        <w:tc>
          <w:tcPr>
            <w:tcW w:w="434" w:type="pct"/>
            <w:shd w:val="clear" w:color="auto" w:fill="auto"/>
            <w:vAlign w:val="center"/>
            <w:hideMark/>
          </w:tcPr>
          <w:p w:rsidR="005062E8" w:rsidRPr="0076787F" w:rsidP="00EA0034" w14:paraId="544C758E" w14:textId="6ABE8A13">
            <w:pPr>
              <w:widowControl/>
              <w:overflowPunct/>
              <w:autoSpaceDE/>
              <w:autoSpaceDN/>
              <w:adjustRightInd/>
              <w:jc w:val="right"/>
              <w:rPr>
                <w:color w:val="000000"/>
                <w:kern w:val="0"/>
              </w:rPr>
            </w:pPr>
            <w:r>
              <w:rPr>
                <w:color w:val="000000"/>
                <w:kern w:val="0"/>
              </w:rPr>
              <w:t xml:space="preserve">61,785 </w:t>
            </w:r>
          </w:p>
        </w:tc>
        <w:tc>
          <w:tcPr>
            <w:tcW w:w="567" w:type="pct"/>
            <w:shd w:val="clear" w:color="auto" w:fill="auto"/>
            <w:vAlign w:val="center"/>
            <w:hideMark/>
          </w:tcPr>
          <w:p w:rsidR="005062E8" w:rsidRPr="0076787F" w:rsidP="00EA0034" w14:paraId="1446AFB1" w14:textId="50089D75">
            <w:pPr>
              <w:widowControl/>
              <w:overflowPunct/>
              <w:autoSpaceDE/>
              <w:autoSpaceDN/>
              <w:adjustRightInd/>
              <w:jc w:val="right"/>
              <w:rPr>
                <w:color w:val="000000"/>
                <w:kern w:val="0"/>
              </w:rPr>
            </w:pPr>
            <w:r w:rsidRPr="0076787F">
              <w:rPr>
                <w:color w:val="000000"/>
                <w:kern w:val="0"/>
              </w:rPr>
              <w:t>15/60</w:t>
            </w:r>
          </w:p>
        </w:tc>
        <w:tc>
          <w:tcPr>
            <w:tcW w:w="434" w:type="pct"/>
            <w:shd w:val="clear" w:color="auto" w:fill="auto"/>
            <w:vAlign w:val="center"/>
            <w:hideMark/>
          </w:tcPr>
          <w:p w:rsidR="005062E8" w:rsidRPr="0076787F" w:rsidP="00EA0034" w14:paraId="76CECA60" w14:textId="3685E608">
            <w:pPr>
              <w:widowControl/>
              <w:overflowPunct/>
              <w:autoSpaceDE/>
              <w:autoSpaceDN/>
              <w:adjustRightInd/>
              <w:jc w:val="right"/>
              <w:rPr>
                <w:color w:val="000000"/>
                <w:kern w:val="0"/>
              </w:rPr>
            </w:pPr>
            <w:r>
              <w:rPr>
                <w:color w:val="000000"/>
                <w:kern w:val="0"/>
              </w:rPr>
              <w:t>15,446</w:t>
            </w:r>
          </w:p>
        </w:tc>
        <w:tc>
          <w:tcPr>
            <w:tcW w:w="533" w:type="pct"/>
            <w:shd w:val="clear" w:color="auto" w:fill="auto"/>
            <w:vAlign w:val="center"/>
            <w:hideMark/>
          </w:tcPr>
          <w:p w:rsidR="005062E8" w:rsidRPr="0076787F" w:rsidP="00EA0034" w14:paraId="7636C41A" w14:textId="49D692BA">
            <w:pPr>
              <w:widowControl/>
              <w:overflowPunct/>
              <w:autoSpaceDE/>
              <w:autoSpaceDN/>
              <w:adjustRightInd/>
              <w:jc w:val="right"/>
              <w:rPr>
                <w:color w:val="000000"/>
                <w:kern w:val="0"/>
              </w:rPr>
            </w:pPr>
            <w:r w:rsidRPr="0076787F">
              <w:rPr>
                <w:color w:val="000000"/>
                <w:kern w:val="0"/>
              </w:rPr>
              <w:t>$</w:t>
            </w:r>
            <w:r w:rsidR="00B225C9">
              <w:rPr>
                <w:color w:val="000000"/>
                <w:kern w:val="0"/>
              </w:rPr>
              <w:t>42.00</w:t>
            </w:r>
            <w:r w:rsidRPr="0076787F">
              <w:rPr>
                <w:color w:val="000000"/>
                <w:kern w:val="0"/>
              </w:rPr>
              <w:t xml:space="preserve"> </w:t>
            </w:r>
          </w:p>
        </w:tc>
        <w:tc>
          <w:tcPr>
            <w:tcW w:w="598" w:type="pct"/>
            <w:shd w:val="clear" w:color="auto" w:fill="auto"/>
            <w:noWrap/>
            <w:vAlign w:val="center"/>
            <w:hideMark/>
          </w:tcPr>
          <w:p w:rsidR="005062E8" w:rsidRPr="0076787F" w:rsidP="00EA0034" w14:paraId="2E0E03C5" w14:textId="3CC184D7">
            <w:pPr>
              <w:widowControl/>
              <w:overflowPunct/>
              <w:autoSpaceDE/>
              <w:autoSpaceDN/>
              <w:adjustRightInd/>
              <w:jc w:val="right"/>
              <w:rPr>
                <w:color w:val="000000"/>
                <w:kern w:val="0"/>
              </w:rPr>
            </w:pPr>
            <w:r w:rsidRPr="0076787F">
              <w:rPr>
                <w:color w:val="000000"/>
                <w:kern w:val="0"/>
              </w:rPr>
              <w:t>$</w:t>
            </w:r>
            <w:r w:rsidR="00B225C9">
              <w:rPr>
                <w:color w:val="000000"/>
                <w:kern w:val="0"/>
              </w:rPr>
              <w:t xml:space="preserve">648,732 </w:t>
            </w:r>
            <w:r w:rsidRPr="0076787F">
              <w:rPr>
                <w:color w:val="000000"/>
                <w:kern w:val="0"/>
              </w:rPr>
              <w:t xml:space="preserve"> </w:t>
            </w:r>
          </w:p>
        </w:tc>
      </w:tr>
      <w:tr w14:paraId="0BF3DD2A"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00625603" w14:textId="77777777">
            <w:pPr>
              <w:widowControl/>
              <w:overflowPunct/>
              <w:autoSpaceDE/>
              <w:autoSpaceDN/>
              <w:adjustRightInd/>
              <w:ind w:firstLine="200" w:firstLineChars="100"/>
              <w:rPr>
                <w:color w:val="000000"/>
                <w:kern w:val="0"/>
              </w:rPr>
            </w:pPr>
            <w:r w:rsidRPr="003840F0">
              <w:rPr>
                <w:color w:val="000000"/>
                <w:kern w:val="0"/>
              </w:rPr>
              <w:t>Periodic Medical Examinations</w:t>
            </w:r>
          </w:p>
        </w:tc>
        <w:tc>
          <w:tcPr>
            <w:tcW w:w="467" w:type="pct"/>
            <w:shd w:val="clear" w:color="auto" w:fill="auto"/>
            <w:vAlign w:val="center"/>
            <w:hideMark/>
          </w:tcPr>
          <w:p w:rsidR="005062E8" w:rsidRPr="003840F0" w:rsidP="00EA0034" w14:paraId="578A5A86"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auto" w:fill="auto"/>
            <w:vAlign w:val="center"/>
            <w:hideMark/>
          </w:tcPr>
          <w:p w:rsidR="005062E8" w:rsidRPr="003840F0" w:rsidP="00EA0034" w14:paraId="71BFB1AD" w14:textId="77777777">
            <w:pPr>
              <w:widowControl/>
              <w:overflowPunct/>
              <w:autoSpaceDE/>
              <w:autoSpaceDN/>
              <w:adjustRightInd/>
              <w:jc w:val="right"/>
              <w:rPr>
                <w:color w:val="000000"/>
                <w:kern w:val="0"/>
              </w:rPr>
            </w:pPr>
            <w:r w:rsidRPr="003840F0">
              <w:rPr>
                <w:color w:val="000000"/>
                <w:kern w:val="0"/>
              </w:rPr>
              <w:t> </w:t>
            </w:r>
          </w:p>
        </w:tc>
        <w:tc>
          <w:tcPr>
            <w:tcW w:w="534" w:type="pct"/>
            <w:shd w:val="clear" w:color="auto" w:fill="auto"/>
            <w:vAlign w:val="center"/>
            <w:hideMark/>
          </w:tcPr>
          <w:p w:rsidR="005062E8" w:rsidRPr="003840F0" w:rsidP="00EA0034" w14:paraId="621030C2"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222B6682"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005062E8" w:rsidRPr="003840F0" w:rsidP="00EA0034" w14:paraId="76084F82"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37DF169A"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005062E8" w:rsidRPr="003840F0" w:rsidP="00EA0034" w14:paraId="0472ECD6" w14:textId="77777777">
            <w:pPr>
              <w:widowControl/>
              <w:overflowPunct/>
              <w:autoSpaceDE/>
              <w:autoSpaceDN/>
              <w:adjustRightInd/>
              <w:jc w:val="right"/>
              <w:rPr>
                <w:color w:val="000000"/>
                <w:kern w:val="0"/>
              </w:rPr>
            </w:pPr>
            <w:r w:rsidRPr="003840F0">
              <w:rPr>
                <w:color w:val="000000"/>
                <w:kern w:val="0"/>
              </w:rPr>
              <w:t> </w:t>
            </w:r>
          </w:p>
        </w:tc>
        <w:tc>
          <w:tcPr>
            <w:tcW w:w="598" w:type="pct"/>
            <w:shd w:val="clear" w:color="auto" w:fill="auto"/>
            <w:noWrap/>
            <w:vAlign w:val="center"/>
            <w:hideMark/>
          </w:tcPr>
          <w:p w:rsidR="005062E8" w:rsidRPr="003840F0" w:rsidP="00EA0034" w14:paraId="47F48DE1" w14:textId="77777777">
            <w:pPr>
              <w:widowControl/>
              <w:overflowPunct/>
              <w:autoSpaceDE/>
              <w:autoSpaceDN/>
              <w:adjustRightInd/>
              <w:jc w:val="right"/>
              <w:rPr>
                <w:color w:val="000000"/>
                <w:kern w:val="0"/>
              </w:rPr>
            </w:pPr>
            <w:r w:rsidRPr="003840F0">
              <w:rPr>
                <w:color w:val="000000"/>
                <w:kern w:val="0"/>
              </w:rPr>
              <w:t> </w:t>
            </w:r>
          </w:p>
        </w:tc>
      </w:tr>
      <w:tr w14:paraId="3A8A1710" w14:textId="77777777" w:rsidTr="00001E63">
        <w:tblPrEx>
          <w:tblW w:w="5210" w:type="pct"/>
          <w:tblLayout w:type="fixed"/>
          <w:tblLook w:val="04A0"/>
        </w:tblPrEx>
        <w:trPr>
          <w:trHeight w:val="732"/>
        </w:trPr>
        <w:tc>
          <w:tcPr>
            <w:tcW w:w="932" w:type="pct"/>
            <w:shd w:val="clear" w:color="auto" w:fill="auto"/>
            <w:vAlign w:val="center"/>
            <w:hideMark/>
          </w:tcPr>
          <w:p w:rsidR="005062E8" w:rsidRPr="003840F0" w:rsidP="00EA0034" w14:paraId="2578415E" w14:textId="77777777">
            <w:pPr>
              <w:widowControl/>
              <w:overflowPunct/>
              <w:autoSpaceDE/>
              <w:autoSpaceDN/>
              <w:adjustRightInd/>
              <w:ind w:firstLine="400" w:firstLineChars="200"/>
              <w:rPr>
                <w:i/>
                <w:iCs/>
                <w:color w:val="000000"/>
                <w:kern w:val="0"/>
              </w:rPr>
            </w:pPr>
            <w:r w:rsidRPr="003840F0">
              <w:rPr>
                <w:i/>
                <w:iCs/>
                <w:color w:val="000000"/>
                <w:kern w:val="0"/>
              </w:rPr>
              <w:t xml:space="preserve"> Periodic Medical Examination (New Hires) Biological monitoring</w:t>
            </w:r>
          </w:p>
        </w:tc>
        <w:tc>
          <w:tcPr>
            <w:tcW w:w="467" w:type="pct"/>
            <w:shd w:val="clear" w:color="auto" w:fill="auto"/>
            <w:vAlign w:val="center"/>
            <w:hideMark/>
          </w:tcPr>
          <w:p w:rsidR="005062E8" w:rsidRPr="003840F0" w:rsidP="00EA0034" w14:paraId="117073F7" w14:textId="77777777">
            <w:pPr>
              <w:widowControl/>
              <w:overflowPunct/>
              <w:autoSpaceDE/>
              <w:autoSpaceDN/>
              <w:adjustRightInd/>
              <w:jc w:val="right"/>
              <w:rPr>
                <w:color w:val="000000"/>
                <w:kern w:val="0"/>
              </w:rPr>
            </w:pPr>
            <w:r w:rsidRPr="003840F0">
              <w:rPr>
                <w:color w:val="000000"/>
                <w:kern w:val="0"/>
              </w:rPr>
              <w:t>Worker</w:t>
            </w:r>
          </w:p>
        </w:tc>
        <w:tc>
          <w:tcPr>
            <w:tcW w:w="502" w:type="pct"/>
            <w:shd w:val="clear" w:color="auto" w:fill="auto"/>
            <w:vAlign w:val="center"/>
            <w:hideMark/>
          </w:tcPr>
          <w:p w:rsidR="005062E8" w:rsidRPr="003840F0" w:rsidP="00EA0034" w14:paraId="221D82C7" w14:textId="6712045E">
            <w:pPr>
              <w:widowControl/>
              <w:overflowPunct/>
              <w:autoSpaceDE/>
              <w:autoSpaceDN/>
              <w:adjustRightInd/>
              <w:jc w:val="right"/>
              <w:rPr>
                <w:color w:val="000000"/>
                <w:kern w:val="0"/>
              </w:rPr>
            </w:pPr>
            <w:r>
              <w:rPr>
                <w:color w:val="000000"/>
                <w:kern w:val="0"/>
              </w:rPr>
              <w:t>16,051</w:t>
            </w:r>
          </w:p>
        </w:tc>
        <w:tc>
          <w:tcPr>
            <w:tcW w:w="534" w:type="pct"/>
            <w:shd w:val="clear" w:color="auto" w:fill="auto"/>
            <w:vAlign w:val="center"/>
            <w:hideMark/>
          </w:tcPr>
          <w:p w:rsidR="005062E8" w:rsidRPr="003840F0" w:rsidP="00EA0034" w14:paraId="612EE109" w14:textId="77777777">
            <w:pPr>
              <w:widowControl/>
              <w:overflowPunct/>
              <w:autoSpaceDE/>
              <w:autoSpaceDN/>
              <w:adjustRightInd/>
              <w:jc w:val="right"/>
              <w:rPr>
                <w:color w:val="000000"/>
                <w:kern w:val="0"/>
              </w:rPr>
            </w:pPr>
            <w:r w:rsidRPr="003840F0">
              <w:rPr>
                <w:color w:val="000000"/>
                <w:kern w:val="0"/>
              </w:rPr>
              <w:t>4</w:t>
            </w:r>
          </w:p>
        </w:tc>
        <w:tc>
          <w:tcPr>
            <w:tcW w:w="434" w:type="pct"/>
            <w:shd w:val="clear" w:color="auto" w:fill="auto"/>
            <w:vAlign w:val="center"/>
            <w:hideMark/>
          </w:tcPr>
          <w:p w:rsidR="005062E8" w:rsidRPr="003840F0" w:rsidP="00EA0034" w14:paraId="5E7C00D1" w14:textId="393E894D">
            <w:pPr>
              <w:widowControl/>
              <w:overflowPunct/>
              <w:autoSpaceDE/>
              <w:autoSpaceDN/>
              <w:adjustRightInd/>
              <w:jc w:val="right"/>
              <w:rPr>
                <w:color w:val="000000"/>
                <w:kern w:val="0"/>
              </w:rPr>
            </w:pPr>
            <w:r>
              <w:rPr>
                <w:color w:val="000000"/>
                <w:kern w:val="0"/>
              </w:rPr>
              <w:t>64,204</w:t>
            </w:r>
          </w:p>
        </w:tc>
        <w:tc>
          <w:tcPr>
            <w:tcW w:w="567" w:type="pct"/>
            <w:shd w:val="clear" w:color="auto" w:fill="auto"/>
            <w:vAlign w:val="center"/>
            <w:hideMark/>
          </w:tcPr>
          <w:p w:rsidR="005062E8" w:rsidRPr="003840F0" w:rsidP="00EA0034" w14:paraId="56383701" w14:textId="78BD3B87">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005062E8" w:rsidRPr="003840F0" w:rsidP="00EA0034" w14:paraId="45A2FC7A" w14:textId="2F26322E">
            <w:pPr>
              <w:widowControl/>
              <w:overflowPunct/>
              <w:autoSpaceDE/>
              <w:autoSpaceDN/>
              <w:adjustRightInd/>
              <w:jc w:val="right"/>
              <w:rPr>
                <w:color w:val="000000"/>
                <w:kern w:val="0"/>
              </w:rPr>
            </w:pPr>
            <w:r>
              <w:rPr>
                <w:color w:val="000000"/>
                <w:kern w:val="0"/>
              </w:rPr>
              <w:t>16,051</w:t>
            </w:r>
          </w:p>
        </w:tc>
        <w:tc>
          <w:tcPr>
            <w:tcW w:w="533" w:type="pct"/>
            <w:shd w:val="clear" w:color="auto" w:fill="auto"/>
            <w:vAlign w:val="center"/>
            <w:hideMark/>
          </w:tcPr>
          <w:p w:rsidR="005062E8" w:rsidRPr="003840F0" w:rsidP="00EA0034" w14:paraId="18BCA95E" w14:textId="675FD511">
            <w:pPr>
              <w:widowControl/>
              <w:overflowPunct/>
              <w:autoSpaceDE/>
              <w:autoSpaceDN/>
              <w:adjustRightInd/>
              <w:jc w:val="right"/>
              <w:rPr>
                <w:color w:val="000000"/>
                <w:kern w:val="0"/>
              </w:rPr>
            </w:pPr>
            <w:r w:rsidRPr="003840F0">
              <w:rPr>
                <w:color w:val="000000"/>
                <w:kern w:val="0"/>
              </w:rPr>
              <w:t>$</w:t>
            </w:r>
            <w:r w:rsidR="00BB73D9">
              <w:rPr>
                <w:color w:val="000000"/>
                <w:kern w:val="0"/>
              </w:rPr>
              <w:t>42.00</w:t>
            </w:r>
            <w:r w:rsidRPr="003840F0">
              <w:rPr>
                <w:color w:val="000000"/>
                <w:kern w:val="0"/>
              </w:rPr>
              <w:t xml:space="preserve"> </w:t>
            </w:r>
          </w:p>
        </w:tc>
        <w:tc>
          <w:tcPr>
            <w:tcW w:w="598" w:type="pct"/>
            <w:shd w:val="clear" w:color="auto" w:fill="auto"/>
            <w:noWrap/>
            <w:vAlign w:val="center"/>
            <w:hideMark/>
          </w:tcPr>
          <w:p w:rsidR="005062E8" w:rsidRPr="003840F0" w:rsidP="00EA0034" w14:paraId="18BA34D9" w14:textId="627DDC84">
            <w:pPr>
              <w:widowControl/>
              <w:overflowPunct/>
              <w:autoSpaceDE/>
              <w:autoSpaceDN/>
              <w:adjustRightInd/>
              <w:jc w:val="right"/>
              <w:rPr>
                <w:color w:val="000000"/>
                <w:kern w:val="0"/>
              </w:rPr>
            </w:pPr>
            <w:r w:rsidRPr="003840F0">
              <w:rPr>
                <w:color w:val="000000"/>
                <w:kern w:val="0"/>
              </w:rPr>
              <w:t>$</w:t>
            </w:r>
            <w:r w:rsidR="00AB50D0">
              <w:rPr>
                <w:color w:val="000000"/>
                <w:kern w:val="0"/>
              </w:rPr>
              <w:t xml:space="preserve">674,142 </w:t>
            </w:r>
          </w:p>
        </w:tc>
      </w:tr>
      <w:tr w14:paraId="01807480" w14:textId="77777777" w:rsidTr="00001E63">
        <w:tblPrEx>
          <w:tblW w:w="5210" w:type="pct"/>
          <w:tblLayout w:type="fixed"/>
          <w:tblLook w:val="04A0"/>
        </w:tblPrEx>
        <w:trPr>
          <w:trHeight w:val="492"/>
        </w:trPr>
        <w:tc>
          <w:tcPr>
            <w:tcW w:w="932" w:type="pct"/>
            <w:shd w:val="clear" w:color="auto" w:fill="auto"/>
            <w:vAlign w:val="center"/>
            <w:hideMark/>
          </w:tcPr>
          <w:p w:rsidR="005062E8" w:rsidRPr="003840F0" w:rsidP="00EA0034" w14:paraId="5EA39D6C" w14:textId="77777777">
            <w:pPr>
              <w:widowControl/>
              <w:overflowPunct/>
              <w:autoSpaceDE/>
              <w:autoSpaceDN/>
              <w:adjustRightInd/>
              <w:ind w:firstLine="400" w:firstLineChars="200"/>
              <w:rPr>
                <w:i/>
                <w:iCs/>
                <w:color w:val="000000"/>
                <w:kern w:val="0"/>
              </w:rPr>
            </w:pPr>
            <w:r w:rsidRPr="003840F0">
              <w:rPr>
                <w:i/>
                <w:iCs/>
                <w:color w:val="000000"/>
                <w:kern w:val="0"/>
              </w:rPr>
              <w:t>Periodic Medical Examination (Full year) Biological monitoring</w:t>
            </w:r>
          </w:p>
        </w:tc>
        <w:tc>
          <w:tcPr>
            <w:tcW w:w="467" w:type="pct"/>
            <w:shd w:val="clear" w:color="auto" w:fill="auto"/>
            <w:vAlign w:val="center"/>
            <w:hideMark/>
          </w:tcPr>
          <w:p w:rsidR="005062E8" w:rsidRPr="003840F0" w:rsidP="00EA0034" w14:paraId="45DB258E" w14:textId="77777777">
            <w:pPr>
              <w:widowControl/>
              <w:overflowPunct/>
              <w:autoSpaceDE/>
              <w:autoSpaceDN/>
              <w:adjustRightInd/>
              <w:jc w:val="right"/>
              <w:rPr>
                <w:color w:val="000000"/>
                <w:kern w:val="0"/>
              </w:rPr>
            </w:pPr>
            <w:r w:rsidRPr="003840F0">
              <w:rPr>
                <w:color w:val="000000"/>
                <w:kern w:val="0"/>
              </w:rPr>
              <w:t>Worker</w:t>
            </w:r>
          </w:p>
        </w:tc>
        <w:tc>
          <w:tcPr>
            <w:tcW w:w="502" w:type="pct"/>
            <w:shd w:val="clear" w:color="auto" w:fill="auto"/>
            <w:vAlign w:val="center"/>
            <w:hideMark/>
          </w:tcPr>
          <w:p w:rsidR="005062E8" w:rsidRPr="003840F0" w:rsidP="00EA0034" w14:paraId="033C92F4" w14:textId="70F728DF">
            <w:pPr>
              <w:widowControl/>
              <w:overflowPunct/>
              <w:autoSpaceDE/>
              <w:autoSpaceDN/>
              <w:adjustRightInd/>
              <w:jc w:val="right"/>
              <w:rPr>
                <w:color w:val="000000"/>
                <w:kern w:val="0"/>
              </w:rPr>
            </w:pPr>
            <w:r>
              <w:rPr>
                <w:color w:val="000000"/>
                <w:kern w:val="0"/>
              </w:rPr>
              <w:t>25,106</w:t>
            </w:r>
          </w:p>
        </w:tc>
        <w:tc>
          <w:tcPr>
            <w:tcW w:w="534" w:type="pct"/>
            <w:shd w:val="clear" w:color="auto" w:fill="auto"/>
            <w:vAlign w:val="center"/>
            <w:hideMark/>
          </w:tcPr>
          <w:p w:rsidR="005062E8" w:rsidRPr="003840F0" w:rsidP="00EA0034" w14:paraId="45DE505D" w14:textId="77777777">
            <w:pPr>
              <w:widowControl/>
              <w:overflowPunct/>
              <w:autoSpaceDE/>
              <w:autoSpaceDN/>
              <w:adjustRightInd/>
              <w:jc w:val="right"/>
              <w:rPr>
                <w:color w:val="000000"/>
                <w:kern w:val="0"/>
              </w:rPr>
            </w:pPr>
            <w:r w:rsidRPr="003840F0">
              <w:rPr>
                <w:color w:val="000000"/>
                <w:kern w:val="0"/>
              </w:rPr>
              <w:t>2</w:t>
            </w:r>
          </w:p>
        </w:tc>
        <w:tc>
          <w:tcPr>
            <w:tcW w:w="434" w:type="pct"/>
            <w:shd w:val="clear" w:color="auto" w:fill="auto"/>
            <w:vAlign w:val="center"/>
            <w:hideMark/>
          </w:tcPr>
          <w:p w:rsidR="005062E8" w:rsidRPr="003840F0" w:rsidP="00EA0034" w14:paraId="7CBDE2B1" w14:textId="5D512601">
            <w:pPr>
              <w:widowControl/>
              <w:overflowPunct/>
              <w:autoSpaceDE/>
              <w:autoSpaceDN/>
              <w:adjustRightInd/>
              <w:jc w:val="right"/>
              <w:rPr>
                <w:color w:val="000000"/>
                <w:kern w:val="0"/>
              </w:rPr>
            </w:pPr>
            <w:r>
              <w:rPr>
                <w:color w:val="000000"/>
                <w:kern w:val="0"/>
              </w:rPr>
              <w:t>50</w:t>
            </w:r>
            <w:r w:rsidR="001C55DC">
              <w:rPr>
                <w:color w:val="000000"/>
                <w:kern w:val="0"/>
              </w:rPr>
              <w:t>,212</w:t>
            </w:r>
          </w:p>
        </w:tc>
        <w:tc>
          <w:tcPr>
            <w:tcW w:w="567" w:type="pct"/>
            <w:shd w:val="clear" w:color="auto" w:fill="auto"/>
            <w:vAlign w:val="center"/>
            <w:hideMark/>
          </w:tcPr>
          <w:p w:rsidR="005062E8" w:rsidRPr="003840F0" w:rsidP="00EA0034" w14:paraId="1BAE8827" w14:textId="7BE3B7E5">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005062E8" w:rsidRPr="003840F0" w:rsidP="00EA0034" w14:paraId="11AA10B8" w14:textId="0D2BE3B6">
            <w:pPr>
              <w:widowControl/>
              <w:overflowPunct/>
              <w:autoSpaceDE/>
              <w:autoSpaceDN/>
              <w:adjustRightInd/>
              <w:jc w:val="right"/>
              <w:rPr>
                <w:color w:val="000000"/>
                <w:kern w:val="0"/>
              </w:rPr>
            </w:pPr>
            <w:r>
              <w:rPr>
                <w:color w:val="000000"/>
                <w:kern w:val="0"/>
              </w:rPr>
              <w:t>12,553</w:t>
            </w:r>
          </w:p>
        </w:tc>
        <w:tc>
          <w:tcPr>
            <w:tcW w:w="533" w:type="pct"/>
            <w:shd w:val="clear" w:color="auto" w:fill="auto"/>
            <w:vAlign w:val="center"/>
            <w:hideMark/>
          </w:tcPr>
          <w:p w:rsidR="005062E8" w:rsidRPr="003840F0" w:rsidP="00EA0034" w14:paraId="4450206F" w14:textId="67CB6D72">
            <w:pPr>
              <w:widowControl/>
              <w:overflowPunct/>
              <w:autoSpaceDE/>
              <w:autoSpaceDN/>
              <w:adjustRightInd/>
              <w:jc w:val="right"/>
              <w:rPr>
                <w:color w:val="000000"/>
                <w:kern w:val="0"/>
              </w:rPr>
            </w:pPr>
            <w:r w:rsidRPr="003840F0">
              <w:rPr>
                <w:color w:val="000000"/>
                <w:kern w:val="0"/>
              </w:rPr>
              <w:t>$</w:t>
            </w:r>
            <w:r w:rsidR="001C55DC">
              <w:rPr>
                <w:color w:val="000000"/>
                <w:kern w:val="0"/>
              </w:rPr>
              <w:t xml:space="preserve">42.00 </w:t>
            </w:r>
            <w:r w:rsidRPr="003840F0">
              <w:rPr>
                <w:color w:val="000000"/>
                <w:kern w:val="0"/>
              </w:rPr>
              <w:t xml:space="preserve"> </w:t>
            </w:r>
          </w:p>
        </w:tc>
        <w:tc>
          <w:tcPr>
            <w:tcW w:w="598" w:type="pct"/>
            <w:shd w:val="clear" w:color="auto" w:fill="auto"/>
            <w:noWrap/>
            <w:vAlign w:val="center"/>
            <w:hideMark/>
          </w:tcPr>
          <w:p w:rsidR="005062E8" w:rsidRPr="003840F0" w:rsidP="00EA0034" w14:paraId="50F92800" w14:textId="4055244C">
            <w:pPr>
              <w:widowControl/>
              <w:overflowPunct/>
              <w:autoSpaceDE/>
              <w:autoSpaceDN/>
              <w:adjustRightInd/>
              <w:jc w:val="right"/>
              <w:rPr>
                <w:color w:val="000000"/>
                <w:kern w:val="0"/>
              </w:rPr>
            </w:pPr>
            <w:r w:rsidRPr="003840F0">
              <w:rPr>
                <w:color w:val="000000"/>
                <w:kern w:val="0"/>
              </w:rPr>
              <w:t>$</w:t>
            </w:r>
            <w:r w:rsidR="006631A7">
              <w:rPr>
                <w:color w:val="000000"/>
                <w:kern w:val="0"/>
              </w:rPr>
              <w:t xml:space="preserve">527,226 </w:t>
            </w:r>
            <w:r w:rsidRPr="003840F0">
              <w:rPr>
                <w:color w:val="000000"/>
                <w:kern w:val="0"/>
              </w:rPr>
              <w:t xml:space="preserve"> </w:t>
            </w:r>
          </w:p>
        </w:tc>
      </w:tr>
      <w:tr w14:paraId="0EB526E2" w14:textId="77777777" w:rsidTr="00001E63">
        <w:tblPrEx>
          <w:tblW w:w="5210" w:type="pct"/>
          <w:tblLayout w:type="fixed"/>
          <w:tblLook w:val="04A0"/>
        </w:tblPrEx>
        <w:trPr>
          <w:trHeight w:val="492"/>
        </w:trPr>
        <w:tc>
          <w:tcPr>
            <w:tcW w:w="932" w:type="pct"/>
            <w:shd w:val="clear" w:color="auto" w:fill="auto"/>
            <w:vAlign w:val="center"/>
            <w:hideMark/>
          </w:tcPr>
          <w:p w:rsidR="005062E8" w:rsidRPr="003840F0" w:rsidP="00EA0034" w14:paraId="38020693" w14:textId="77777777">
            <w:pPr>
              <w:widowControl/>
              <w:overflowPunct/>
              <w:autoSpaceDE/>
              <w:autoSpaceDN/>
              <w:adjustRightInd/>
              <w:ind w:firstLine="400" w:firstLineChars="200"/>
              <w:rPr>
                <w:i/>
                <w:iCs/>
                <w:color w:val="000000"/>
                <w:kern w:val="0"/>
              </w:rPr>
            </w:pPr>
            <w:r w:rsidRPr="003840F0">
              <w:rPr>
                <w:i/>
                <w:iCs/>
                <w:color w:val="000000"/>
                <w:kern w:val="0"/>
              </w:rPr>
              <w:t>Periodic Medical Examination (Part year) Biological Monitoring</w:t>
            </w:r>
          </w:p>
        </w:tc>
        <w:tc>
          <w:tcPr>
            <w:tcW w:w="467" w:type="pct"/>
            <w:shd w:val="clear" w:color="auto" w:fill="auto"/>
            <w:vAlign w:val="center"/>
            <w:hideMark/>
          </w:tcPr>
          <w:p w:rsidR="005062E8" w:rsidRPr="003840F0" w:rsidP="00EA0034" w14:paraId="40C31876" w14:textId="77777777">
            <w:pPr>
              <w:widowControl/>
              <w:overflowPunct/>
              <w:autoSpaceDE/>
              <w:autoSpaceDN/>
              <w:adjustRightInd/>
              <w:jc w:val="right"/>
              <w:rPr>
                <w:color w:val="000000"/>
                <w:kern w:val="0"/>
              </w:rPr>
            </w:pPr>
            <w:r w:rsidRPr="003840F0">
              <w:rPr>
                <w:color w:val="000000"/>
                <w:kern w:val="0"/>
              </w:rPr>
              <w:t>Worker</w:t>
            </w:r>
          </w:p>
        </w:tc>
        <w:tc>
          <w:tcPr>
            <w:tcW w:w="502" w:type="pct"/>
            <w:shd w:val="clear" w:color="auto" w:fill="auto"/>
            <w:vAlign w:val="center"/>
            <w:hideMark/>
          </w:tcPr>
          <w:p w:rsidR="005062E8" w:rsidRPr="003840F0" w:rsidP="00B63DB7" w14:paraId="178E2AC1" w14:textId="1D5E4FF4">
            <w:pPr>
              <w:widowControl/>
              <w:overflowPunct/>
              <w:autoSpaceDE/>
              <w:autoSpaceDN/>
              <w:adjustRightInd/>
              <w:jc w:val="center"/>
              <w:rPr>
                <w:color w:val="000000"/>
                <w:kern w:val="0"/>
              </w:rPr>
            </w:pPr>
            <w:r>
              <w:rPr>
                <w:color w:val="000000"/>
                <w:kern w:val="0"/>
              </w:rPr>
              <w:t xml:space="preserve">8,026 </w:t>
            </w:r>
          </w:p>
        </w:tc>
        <w:tc>
          <w:tcPr>
            <w:tcW w:w="534" w:type="pct"/>
            <w:shd w:val="clear" w:color="auto" w:fill="auto"/>
            <w:vAlign w:val="center"/>
            <w:hideMark/>
          </w:tcPr>
          <w:p w:rsidR="005062E8" w:rsidRPr="003840F0" w:rsidP="00B63DB7" w14:paraId="440AF751"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73BECA05" w14:textId="462DFD09">
            <w:pPr>
              <w:widowControl/>
              <w:overflowPunct/>
              <w:autoSpaceDE/>
              <w:autoSpaceDN/>
              <w:adjustRightInd/>
              <w:jc w:val="center"/>
              <w:rPr>
                <w:color w:val="000000"/>
                <w:kern w:val="0"/>
              </w:rPr>
            </w:pPr>
            <w:r>
              <w:rPr>
                <w:color w:val="000000"/>
                <w:kern w:val="0"/>
              </w:rPr>
              <w:t>8,026</w:t>
            </w:r>
          </w:p>
        </w:tc>
        <w:tc>
          <w:tcPr>
            <w:tcW w:w="567" w:type="pct"/>
            <w:shd w:val="clear" w:color="auto" w:fill="auto"/>
            <w:vAlign w:val="center"/>
            <w:hideMark/>
          </w:tcPr>
          <w:p w:rsidR="005062E8" w:rsidRPr="003840F0" w:rsidP="00B63DB7" w14:paraId="79591BB9" w14:textId="6E597888">
            <w:pPr>
              <w:widowControl/>
              <w:overflowPunct/>
              <w:autoSpaceDE/>
              <w:autoSpaceDN/>
              <w:adjustRightInd/>
              <w:jc w:val="center"/>
              <w:rPr>
                <w:color w:val="000000"/>
                <w:kern w:val="0"/>
              </w:rPr>
            </w:pPr>
            <w:r>
              <w:rPr>
                <w:color w:val="000000"/>
                <w:kern w:val="0"/>
              </w:rPr>
              <w:t>15/60</w:t>
            </w:r>
          </w:p>
        </w:tc>
        <w:tc>
          <w:tcPr>
            <w:tcW w:w="434" w:type="pct"/>
            <w:shd w:val="clear" w:color="auto" w:fill="auto"/>
            <w:vAlign w:val="center"/>
            <w:hideMark/>
          </w:tcPr>
          <w:p w:rsidR="005062E8" w:rsidRPr="003840F0" w:rsidP="00B63DB7" w14:paraId="6A89766D" w14:textId="6D51215A">
            <w:pPr>
              <w:widowControl/>
              <w:overflowPunct/>
              <w:autoSpaceDE/>
              <w:autoSpaceDN/>
              <w:adjustRightInd/>
              <w:jc w:val="center"/>
              <w:rPr>
                <w:color w:val="000000"/>
                <w:kern w:val="0"/>
              </w:rPr>
            </w:pPr>
            <w:r>
              <w:rPr>
                <w:color w:val="000000"/>
                <w:kern w:val="0"/>
              </w:rPr>
              <w:t>2,007</w:t>
            </w:r>
          </w:p>
        </w:tc>
        <w:tc>
          <w:tcPr>
            <w:tcW w:w="533" w:type="pct"/>
            <w:shd w:val="clear" w:color="auto" w:fill="auto"/>
            <w:vAlign w:val="center"/>
            <w:hideMark/>
          </w:tcPr>
          <w:p w:rsidR="005062E8" w:rsidRPr="003840F0" w:rsidP="00B63DB7" w14:paraId="369114EE" w14:textId="5C7966CA">
            <w:pPr>
              <w:widowControl/>
              <w:overflowPunct/>
              <w:autoSpaceDE/>
              <w:autoSpaceDN/>
              <w:adjustRightInd/>
              <w:jc w:val="center"/>
              <w:rPr>
                <w:color w:val="000000"/>
                <w:kern w:val="0"/>
              </w:rPr>
            </w:pPr>
            <w:r w:rsidRPr="003840F0">
              <w:rPr>
                <w:color w:val="000000"/>
                <w:kern w:val="0"/>
              </w:rPr>
              <w:t>$</w:t>
            </w:r>
            <w:r w:rsidR="00B53E01">
              <w:rPr>
                <w:color w:val="000000"/>
                <w:kern w:val="0"/>
              </w:rPr>
              <w:t>42.00</w:t>
            </w:r>
          </w:p>
        </w:tc>
        <w:tc>
          <w:tcPr>
            <w:tcW w:w="598" w:type="pct"/>
            <w:shd w:val="clear" w:color="auto" w:fill="auto"/>
            <w:noWrap/>
            <w:vAlign w:val="center"/>
            <w:hideMark/>
          </w:tcPr>
          <w:p w:rsidR="005062E8" w:rsidRPr="003840F0" w:rsidP="00B63DB7" w14:paraId="76DCC66C" w14:textId="38AA9657">
            <w:pPr>
              <w:widowControl/>
              <w:overflowPunct/>
              <w:autoSpaceDE/>
              <w:autoSpaceDN/>
              <w:adjustRightInd/>
              <w:jc w:val="center"/>
              <w:rPr>
                <w:color w:val="000000"/>
                <w:kern w:val="0"/>
              </w:rPr>
            </w:pPr>
            <w:r>
              <w:rPr>
                <w:color w:val="000000"/>
                <w:kern w:val="0"/>
              </w:rPr>
              <w:t xml:space="preserve">$84,294 </w:t>
            </w:r>
          </w:p>
        </w:tc>
      </w:tr>
      <w:tr w14:paraId="497F4906" w14:textId="77777777" w:rsidTr="00001E63">
        <w:tblPrEx>
          <w:tblW w:w="5210" w:type="pct"/>
          <w:tblLayout w:type="fixed"/>
          <w:tblLook w:val="04A0"/>
        </w:tblPrEx>
        <w:trPr>
          <w:trHeight w:val="540"/>
        </w:trPr>
        <w:tc>
          <w:tcPr>
            <w:tcW w:w="932" w:type="pct"/>
            <w:shd w:val="clear" w:color="000000" w:fill="F2F2F2"/>
            <w:vAlign w:val="center"/>
            <w:hideMark/>
          </w:tcPr>
          <w:p w:rsidR="005062E8" w:rsidRPr="003840F0" w:rsidP="00EA0034" w14:paraId="56A15323" w14:textId="77777777">
            <w:pPr>
              <w:widowControl/>
              <w:overflowPunct/>
              <w:autoSpaceDE/>
              <w:autoSpaceDN/>
              <w:adjustRightInd/>
              <w:ind w:firstLine="400" w:firstLineChars="200"/>
              <w:rPr>
                <w:color w:val="000000"/>
                <w:kern w:val="0"/>
              </w:rPr>
            </w:pPr>
            <w:r w:rsidRPr="003840F0">
              <w:rPr>
                <w:color w:val="000000"/>
                <w:kern w:val="0"/>
              </w:rPr>
              <w:t>Periodic Medical Examinations Subtotal</w:t>
            </w:r>
          </w:p>
        </w:tc>
        <w:tc>
          <w:tcPr>
            <w:tcW w:w="467" w:type="pct"/>
            <w:shd w:val="clear" w:color="000000" w:fill="F2F2F2"/>
            <w:vAlign w:val="center"/>
            <w:hideMark/>
          </w:tcPr>
          <w:p w:rsidR="005062E8" w:rsidRPr="003840F0" w:rsidP="00EA0034" w14:paraId="05FF57E9"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000000" w:fill="F2F2F2"/>
            <w:vAlign w:val="center"/>
            <w:hideMark/>
          </w:tcPr>
          <w:p w:rsidR="005062E8" w:rsidRPr="003840F0" w:rsidP="00B63DB7" w14:paraId="2FDC323A" w14:textId="1AA0058F">
            <w:pPr>
              <w:widowControl/>
              <w:overflowPunct/>
              <w:autoSpaceDE/>
              <w:autoSpaceDN/>
              <w:adjustRightInd/>
              <w:jc w:val="center"/>
              <w:rPr>
                <w:color w:val="000000"/>
                <w:kern w:val="0"/>
              </w:rPr>
            </w:pPr>
          </w:p>
        </w:tc>
        <w:tc>
          <w:tcPr>
            <w:tcW w:w="534" w:type="pct"/>
            <w:shd w:val="clear" w:color="000000" w:fill="F2F2F2"/>
            <w:vAlign w:val="center"/>
            <w:hideMark/>
          </w:tcPr>
          <w:p w:rsidR="005062E8" w:rsidRPr="003840F0" w:rsidP="00B63DB7" w14:paraId="2D7FB7D5" w14:textId="0801F55A">
            <w:pPr>
              <w:widowControl/>
              <w:overflowPunct/>
              <w:autoSpaceDE/>
              <w:autoSpaceDN/>
              <w:adjustRightInd/>
              <w:jc w:val="center"/>
              <w:rPr>
                <w:color w:val="000000"/>
                <w:kern w:val="0"/>
              </w:rPr>
            </w:pPr>
          </w:p>
        </w:tc>
        <w:tc>
          <w:tcPr>
            <w:tcW w:w="434" w:type="pct"/>
            <w:shd w:val="clear" w:color="000000" w:fill="F2F2F2"/>
            <w:vAlign w:val="center"/>
            <w:hideMark/>
          </w:tcPr>
          <w:p w:rsidR="005062E8" w:rsidRPr="003840F0" w:rsidP="00B63DB7" w14:paraId="17BC3B47" w14:textId="70E7E7E1">
            <w:pPr>
              <w:widowControl/>
              <w:overflowPunct/>
              <w:autoSpaceDE/>
              <w:autoSpaceDN/>
              <w:adjustRightInd/>
              <w:jc w:val="center"/>
              <w:rPr>
                <w:color w:val="000000"/>
                <w:kern w:val="0"/>
              </w:rPr>
            </w:pPr>
            <w:r>
              <w:rPr>
                <w:color w:val="000000"/>
                <w:kern w:val="0"/>
              </w:rPr>
              <w:t>1</w:t>
            </w:r>
            <w:r w:rsidR="00DD5A06">
              <w:rPr>
                <w:color w:val="000000"/>
                <w:kern w:val="0"/>
              </w:rPr>
              <w:t>84,227</w:t>
            </w:r>
            <w:r>
              <w:rPr>
                <w:color w:val="000000"/>
                <w:kern w:val="0"/>
              </w:rPr>
              <w:t xml:space="preserve"> </w:t>
            </w:r>
          </w:p>
        </w:tc>
        <w:tc>
          <w:tcPr>
            <w:tcW w:w="567" w:type="pct"/>
            <w:shd w:val="clear" w:color="000000" w:fill="F2F2F2"/>
            <w:vAlign w:val="center"/>
            <w:hideMark/>
          </w:tcPr>
          <w:p w:rsidR="005062E8" w:rsidRPr="003840F0" w:rsidP="00B63DB7" w14:paraId="2B3ABE8D" w14:textId="4E2E2C3A">
            <w:pPr>
              <w:widowControl/>
              <w:overflowPunct/>
              <w:autoSpaceDE/>
              <w:autoSpaceDN/>
              <w:adjustRightInd/>
              <w:jc w:val="center"/>
              <w:rPr>
                <w:color w:val="000000"/>
                <w:kern w:val="0"/>
              </w:rPr>
            </w:pPr>
          </w:p>
        </w:tc>
        <w:tc>
          <w:tcPr>
            <w:tcW w:w="434" w:type="pct"/>
            <w:shd w:val="clear" w:color="000000" w:fill="F2F2F2"/>
            <w:vAlign w:val="center"/>
            <w:hideMark/>
          </w:tcPr>
          <w:p w:rsidR="005062E8" w:rsidRPr="003840F0" w:rsidP="00B63DB7" w14:paraId="07AD0410" w14:textId="1D40BCC1">
            <w:pPr>
              <w:widowControl/>
              <w:overflowPunct/>
              <w:autoSpaceDE/>
              <w:autoSpaceDN/>
              <w:adjustRightInd/>
              <w:jc w:val="center"/>
              <w:rPr>
                <w:color w:val="000000"/>
                <w:kern w:val="0"/>
              </w:rPr>
            </w:pPr>
            <w:r>
              <w:rPr>
                <w:color w:val="000000"/>
                <w:kern w:val="0"/>
              </w:rPr>
              <w:t>30,611</w:t>
            </w:r>
            <w:r w:rsidR="00C12DE9">
              <w:rPr>
                <w:color w:val="000000"/>
                <w:kern w:val="0"/>
              </w:rPr>
              <w:t xml:space="preserve"> </w:t>
            </w:r>
          </w:p>
        </w:tc>
        <w:tc>
          <w:tcPr>
            <w:tcW w:w="533" w:type="pct"/>
            <w:shd w:val="clear" w:color="000000" w:fill="F2F2F2"/>
            <w:vAlign w:val="center"/>
            <w:hideMark/>
          </w:tcPr>
          <w:p w:rsidR="005062E8" w:rsidRPr="003840F0" w:rsidP="00B63DB7" w14:paraId="13818F50" w14:textId="5C637F31">
            <w:pPr>
              <w:widowControl/>
              <w:overflowPunct/>
              <w:autoSpaceDE/>
              <w:autoSpaceDN/>
              <w:adjustRightInd/>
              <w:jc w:val="center"/>
              <w:rPr>
                <w:color w:val="000000"/>
                <w:kern w:val="0"/>
              </w:rPr>
            </w:pPr>
          </w:p>
        </w:tc>
        <w:tc>
          <w:tcPr>
            <w:tcW w:w="598" w:type="pct"/>
            <w:shd w:val="clear" w:color="000000" w:fill="F2F2F2"/>
            <w:noWrap/>
            <w:vAlign w:val="center"/>
            <w:hideMark/>
          </w:tcPr>
          <w:p w:rsidR="005062E8" w:rsidRPr="003840F0" w:rsidP="00B63DB7" w14:paraId="6C63BE0F" w14:textId="2EAF63B1">
            <w:pPr>
              <w:widowControl/>
              <w:overflowPunct/>
              <w:autoSpaceDE/>
              <w:autoSpaceDN/>
              <w:adjustRightInd/>
              <w:jc w:val="center"/>
              <w:rPr>
                <w:color w:val="000000"/>
                <w:kern w:val="0"/>
              </w:rPr>
            </w:pPr>
            <w:r w:rsidRPr="003840F0">
              <w:rPr>
                <w:color w:val="000000"/>
                <w:kern w:val="0"/>
              </w:rPr>
              <w:t>$</w:t>
            </w:r>
            <w:r w:rsidR="00D87F5A">
              <w:rPr>
                <w:color w:val="000000"/>
                <w:kern w:val="0"/>
              </w:rPr>
              <w:t>1</w:t>
            </w:r>
            <w:r w:rsidR="00183B92">
              <w:rPr>
                <w:color w:val="000000"/>
                <w:kern w:val="0"/>
              </w:rPr>
              <w:t>934,394</w:t>
            </w:r>
            <w:r w:rsidR="00D87F5A">
              <w:rPr>
                <w:color w:val="000000"/>
                <w:kern w:val="0"/>
              </w:rPr>
              <w:t xml:space="preserve"> </w:t>
            </w:r>
          </w:p>
        </w:tc>
      </w:tr>
      <w:tr w14:paraId="7123069B"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33214385" w14:textId="77777777">
            <w:pPr>
              <w:widowControl/>
              <w:overflowPunct/>
              <w:autoSpaceDE/>
              <w:autoSpaceDN/>
              <w:adjustRightInd/>
              <w:ind w:firstLine="200" w:firstLineChars="100"/>
              <w:rPr>
                <w:color w:val="000000"/>
                <w:kern w:val="0"/>
              </w:rPr>
            </w:pPr>
            <w:r w:rsidRPr="003840F0">
              <w:rPr>
                <w:color w:val="000000"/>
                <w:kern w:val="0"/>
              </w:rPr>
              <w:t>Worker Notification of blood-lead level</w:t>
            </w:r>
          </w:p>
        </w:tc>
        <w:tc>
          <w:tcPr>
            <w:tcW w:w="467" w:type="pct"/>
            <w:shd w:val="clear" w:color="auto" w:fill="auto"/>
            <w:vAlign w:val="center"/>
            <w:hideMark/>
          </w:tcPr>
          <w:p w:rsidR="005062E8" w:rsidRPr="003840F0" w:rsidP="00EA0034" w14:paraId="1E282514"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052328FE" w14:textId="199043BC">
            <w:pPr>
              <w:widowControl/>
              <w:overflowPunct/>
              <w:autoSpaceDE/>
              <w:autoSpaceDN/>
              <w:adjustRightInd/>
              <w:jc w:val="center"/>
              <w:rPr>
                <w:color w:val="000000"/>
                <w:kern w:val="0"/>
              </w:rPr>
            </w:pPr>
            <w:r>
              <w:rPr>
                <w:color w:val="000000"/>
                <w:kern w:val="0"/>
              </w:rPr>
              <w:t>175,399</w:t>
            </w:r>
          </w:p>
        </w:tc>
        <w:tc>
          <w:tcPr>
            <w:tcW w:w="534" w:type="pct"/>
            <w:shd w:val="clear" w:color="auto" w:fill="auto"/>
            <w:vAlign w:val="center"/>
            <w:hideMark/>
          </w:tcPr>
          <w:p w:rsidR="005062E8" w:rsidRPr="003840F0" w:rsidP="00B63DB7" w14:paraId="30E838A5" w14:textId="1734A1F3">
            <w:pPr>
              <w:widowControl/>
              <w:overflowPunct/>
              <w:autoSpaceDE/>
              <w:autoSpaceDN/>
              <w:adjustRightInd/>
              <w:jc w:val="center"/>
              <w:rPr>
                <w:color w:val="000000"/>
                <w:kern w:val="0"/>
              </w:rPr>
            </w:pPr>
            <w:r>
              <w:rPr>
                <w:color w:val="000000"/>
                <w:kern w:val="0"/>
              </w:rPr>
              <w:t>1.72111996</w:t>
            </w:r>
          </w:p>
        </w:tc>
        <w:tc>
          <w:tcPr>
            <w:tcW w:w="434" w:type="pct"/>
            <w:shd w:val="clear" w:color="auto" w:fill="auto"/>
            <w:vAlign w:val="center"/>
            <w:hideMark/>
          </w:tcPr>
          <w:p w:rsidR="005062E8" w:rsidRPr="003840F0" w:rsidP="00B63DB7" w14:paraId="57D1D766" w14:textId="1F1D6A76">
            <w:pPr>
              <w:widowControl/>
              <w:overflowPunct/>
              <w:autoSpaceDE/>
              <w:autoSpaceDN/>
              <w:adjustRightInd/>
              <w:jc w:val="center"/>
              <w:rPr>
                <w:color w:val="000000"/>
                <w:kern w:val="0"/>
              </w:rPr>
            </w:pPr>
            <w:r>
              <w:rPr>
                <w:color w:val="000000"/>
                <w:kern w:val="0"/>
              </w:rPr>
              <w:t>184,227</w:t>
            </w:r>
          </w:p>
        </w:tc>
        <w:tc>
          <w:tcPr>
            <w:tcW w:w="567" w:type="pct"/>
            <w:shd w:val="clear" w:color="auto" w:fill="auto"/>
            <w:vAlign w:val="center"/>
            <w:hideMark/>
          </w:tcPr>
          <w:p w:rsidR="005062E8" w:rsidRPr="003840F0" w:rsidP="00B63DB7" w14:paraId="28414C82" w14:textId="11EC1241">
            <w:pPr>
              <w:widowControl/>
              <w:overflowPunct/>
              <w:autoSpaceDE/>
              <w:autoSpaceDN/>
              <w:adjustRightInd/>
              <w:jc w:val="center"/>
              <w:rPr>
                <w:color w:val="000000"/>
                <w:kern w:val="0"/>
              </w:rPr>
            </w:pPr>
            <w:r>
              <w:rPr>
                <w:color w:val="000000"/>
                <w:kern w:val="0"/>
              </w:rPr>
              <w:t>6/60</w:t>
            </w:r>
          </w:p>
        </w:tc>
        <w:tc>
          <w:tcPr>
            <w:tcW w:w="434" w:type="pct"/>
            <w:shd w:val="clear" w:color="auto" w:fill="auto"/>
            <w:vAlign w:val="center"/>
            <w:hideMark/>
          </w:tcPr>
          <w:p w:rsidR="005062E8" w:rsidRPr="003840F0" w:rsidP="00B63DB7" w14:paraId="6C20D2A4" w14:textId="62CF7C46">
            <w:pPr>
              <w:widowControl/>
              <w:overflowPunct/>
              <w:autoSpaceDE/>
              <w:autoSpaceDN/>
              <w:adjustRightInd/>
              <w:jc w:val="center"/>
              <w:rPr>
                <w:color w:val="000000"/>
                <w:kern w:val="0"/>
              </w:rPr>
            </w:pPr>
            <w:r>
              <w:rPr>
                <w:color w:val="000000"/>
                <w:kern w:val="0"/>
              </w:rPr>
              <w:t>18,423</w:t>
            </w:r>
          </w:p>
        </w:tc>
        <w:tc>
          <w:tcPr>
            <w:tcW w:w="533" w:type="pct"/>
            <w:shd w:val="clear" w:color="auto" w:fill="auto"/>
            <w:vAlign w:val="center"/>
            <w:hideMark/>
          </w:tcPr>
          <w:p w:rsidR="005062E8" w:rsidRPr="003840F0" w:rsidP="00B63DB7" w14:paraId="423DDF5B" w14:textId="4CDF746D">
            <w:pPr>
              <w:widowControl/>
              <w:overflowPunct/>
              <w:autoSpaceDE/>
              <w:autoSpaceDN/>
              <w:adjustRightInd/>
              <w:jc w:val="center"/>
              <w:rPr>
                <w:color w:val="000000"/>
                <w:kern w:val="0"/>
              </w:rPr>
            </w:pPr>
            <w:r w:rsidRPr="003840F0">
              <w:rPr>
                <w:color w:val="000000"/>
                <w:kern w:val="0"/>
              </w:rPr>
              <w:t>$</w:t>
            </w:r>
            <w:r w:rsidR="007C48D1">
              <w:rPr>
                <w:color w:val="000000"/>
                <w:kern w:val="0"/>
              </w:rPr>
              <w:t>55.55</w:t>
            </w:r>
          </w:p>
        </w:tc>
        <w:tc>
          <w:tcPr>
            <w:tcW w:w="598" w:type="pct"/>
            <w:shd w:val="clear" w:color="auto" w:fill="auto"/>
            <w:noWrap/>
            <w:vAlign w:val="center"/>
            <w:hideMark/>
          </w:tcPr>
          <w:p w:rsidR="005062E8" w:rsidRPr="003840F0" w:rsidP="00B63DB7" w14:paraId="5AAE709C" w14:textId="5D3AD261">
            <w:pPr>
              <w:widowControl/>
              <w:overflowPunct/>
              <w:autoSpaceDE/>
              <w:autoSpaceDN/>
              <w:adjustRightInd/>
              <w:jc w:val="center"/>
              <w:rPr>
                <w:color w:val="000000"/>
                <w:kern w:val="0"/>
              </w:rPr>
            </w:pPr>
            <w:r w:rsidRPr="003840F0">
              <w:rPr>
                <w:color w:val="000000"/>
                <w:kern w:val="0"/>
              </w:rPr>
              <w:t>$</w:t>
            </w:r>
            <w:r w:rsidR="00352999">
              <w:rPr>
                <w:color w:val="000000"/>
                <w:kern w:val="0"/>
              </w:rPr>
              <w:t xml:space="preserve">1,023,398 </w:t>
            </w:r>
          </w:p>
        </w:tc>
      </w:tr>
      <w:tr w14:paraId="7E2FBF7E"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67C164C3" w14:textId="77777777">
            <w:pPr>
              <w:widowControl/>
              <w:overflowPunct/>
              <w:autoSpaceDE/>
              <w:autoSpaceDN/>
              <w:adjustRightInd/>
              <w:ind w:firstLine="200" w:firstLineChars="100"/>
              <w:rPr>
                <w:color w:val="000000"/>
                <w:kern w:val="0"/>
              </w:rPr>
            </w:pPr>
            <w:r w:rsidRPr="003840F0">
              <w:rPr>
                <w:color w:val="000000"/>
                <w:kern w:val="0"/>
              </w:rPr>
              <w:t>Medical Examinations and Consultation</w:t>
            </w:r>
          </w:p>
        </w:tc>
        <w:tc>
          <w:tcPr>
            <w:tcW w:w="467" w:type="pct"/>
            <w:shd w:val="clear" w:color="auto" w:fill="auto"/>
            <w:vAlign w:val="center"/>
            <w:hideMark/>
          </w:tcPr>
          <w:p w:rsidR="005062E8" w:rsidRPr="003840F0" w:rsidP="00EA0034" w14:paraId="014381CF" w14:textId="77777777">
            <w:pPr>
              <w:widowControl/>
              <w:overflowPunct/>
              <w:autoSpaceDE/>
              <w:autoSpaceDN/>
              <w:adjustRightInd/>
              <w:jc w:val="right"/>
              <w:rPr>
                <w:color w:val="000000"/>
                <w:kern w:val="0"/>
              </w:rPr>
            </w:pPr>
            <w:r w:rsidRPr="003840F0">
              <w:rPr>
                <w:color w:val="000000"/>
                <w:kern w:val="0"/>
              </w:rPr>
              <w:t>Worker</w:t>
            </w:r>
          </w:p>
        </w:tc>
        <w:tc>
          <w:tcPr>
            <w:tcW w:w="502" w:type="pct"/>
            <w:shd w:val="clear" w:color="auto" w:fill="auto"/>
            <w:vAlign w:val="center"/>
            <w:hideMark/>
          </w:tcPr>
          <w:p w:rsidR="005062E8" w:rsidRPr="003840F0" w:rsidP="00B63DB7" w14:paraId="15D78412" w14:textId="56716175">
            <w:pPr>
              <w:widowControl/>
              <w:overflowPunct/>
              <w:autoSpaceDE/>
              <w:autoSpaceDN/>
              <w:adjustRightInd/>
              <w:jc w:val="center"/>
              <w:rPr>
                <w:color w:val="000000"/>
                <w:kern w:val="0"/>
              </w:rPr>
            </w:pPr>
            <w:r>
              <w:rPr>
                <w:color w:val="000000"/>
                <w:kern w:val="0"/>
              </w:rPr>
              <w:t>7,921</w:t>
            </w:r>
          </w:p>
        </w:tc>
        <w:tc>
          <w:tcPr>
            <w:tcW w:w="534" w:type="pct"/>
            <w:shd w:val="clear" w:color="auto" w:fill="auto"/>
            <w:vAlign w:val="center"/>
            <w:hideMark/>
          </w:tcPr>
          <w:p w:rsidR="005062E8" w:rsidRPr="003840F0" w:rsidP="00B63DB7" w14:paraId="07F25DEA"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7809A1E6" w14:textId="6B60FA85">
            <w:pPr>
              <w:widowControl/>
              <w:overflowPunct/>
              <w:autoSpaceDE/>
              <w:autoSpaceDN/>
              <w:adjustRightInd/>
              <w:jc w:val="center"/>
              <w:rPr>
                <w:color w:val="000000"/>
                <w:kern w:val="0"/>
              </w:rPr>
            </w:pPr>
            <w:r>
              <w:rPr>
                <w:color w:val="000000"/>
                <w:kern w:val="0"/>
              </w:rPr>
              <w:t>7,9</w:t>
            </w:r>
            <w:r w:rsidR="00C06A20">
              <w:rPr>
                <w:color w:val="000000"/>
                <w:kern w:val="0"/>
              </w:rPr>
              <w:t xml:space="preserve">21 </w:t>
            </w:r>
          </w:p>
        </w:tc>
        <w:tc>
          <w:tcPr>
            <w:tcW w:w="567" w:type="pct"/>
            <w:shd w:val="clear" w:color="auto" w:fill="auto"/>
            <w:vAlign w:val="center"/>
            <w:hideMark/>
          </w:tcPr>
          <w:p w:rsidR="005062E8" w:rsidRPr="003840F0" w:rsidP="00B63DB7" w14:paraId="2494EC7B" w14:textId="77777777">
            <w:pPr>
              <w:widowControl/>
              <w:overflowPunct/>
              <w:autoSpaceDE/>
              <w:autoSpaceDN/>
              <w:adjustRightInd/>
              <w:jc w:val="center"/>
              <w:rPr>
                <w:color w:val="000000"/>
                <w:kern w:val="0"/>
              </w:rPr>
            </w:pPr>
            <w:r w:rsidRPr="003840F0">
              <w:rPr>
                <w:color w:val="000000"/>
                <w:kern w:val="0"/>
              </w:rPr>
              <w:t>2</w:t>
            </w:r>
          </w:p>
        </w:tc>
        <w:tc>
          <w:tcPr>
            <w:tcW w:w="434" w:type="pct"/>
            <w:shd w:val="clear" w:color="auto" w:fill="auto"/>
            <w:vAlign w:val="center"/>
            <w:hideMark/>
          </w:tcPr>
          <w:p w:rsidR="005062E8" w:rsidRPr="003840F0" w:rsidP="00B63DB7" w14:paraId="0040E68E" w14:textId="531F80BE">
            <w:pPr>
              <w:widowControl/>
              <w:overflowPunct/>
              <w:autoSpaceDE/>
              <w:autoSpaceDN/>
              <w:adjustRightInd/>
              <w:jc w:val="center"/>
              <w:rPr>
                <w:color w:val="000000"/>
                <w:kern w:val="0"/>
              </w:rPr>
            </w:pPr>
            <w:r>
              <w:rPr>
                <w:color w:val="000000"/>
                <w:kern w:val="0"/>
              </w:rPr>
              <w:t xml:space="preserve">15,842 </w:t>
            </w:r>
          </w:p>
        </w:tc>
        <w:tc>
          <w:tcPr>
            <w:tcW w:w="533" w:type="pct"/>
            <w:shd w:val="clear" w:color="auto" w:fill="auto"/>
            <w:vAlign w:val="center"/>
            <w:hideMark/>
          </w:tcPr>
          <w:p w:rsidR="005062E8" w:rsidRPr="003840F0" w:rsidP="00B63DB7" w14:paraId="54D98E15" w14:textId="7A9AEAC3">
            <w:pPr>
              <w:widowControl/>
              <w:overflowPunct/>
              <w:autoSpaceDE/>
              <w:autoSpaceDN/>
              <w:adjustRightInd/>
              <w:jc w:val="center"/>
              <w:rPr>
                <w:color w:val="000000"/>
                <w:kern w:val="0"/>
              </w:rPr>
            </w:pPr>
            <w:r w:rsidRPr="003840F0">
              <w:rPr>
                <w:color w:val="000000"/>
                <w:kern w:val="0"/>
              </w:rPr>
              <w:t>$</w:t>
            </w:r>
            <w:r w:rsidR="00C06A20">
              <w:rPr>
                <w:color w:val="000000"/>
                <w:kern w:val="0"/>
              </w:rPr>
              <w:t>42.00</w:t>
            </w:r>
          </w:p>
        </w:tc>
        <w:tc>
          <w:tcPr>
            <w:tcW w:w="598" w:type="pct"/>
            <w:shd w:val="clear" w:color="auto" w:fill="auto"/>
            <w:noWrap/>
            <w:vAlign w:val="center"/>
            <w:hideMark/>
          </w:tcPr>
          <w:p w:rsidR="005062E8" w:rsidRPr="003840F0" w:rsidP="00B63DB7" w14:paraId="392C93D2" w14:textId="3B7B2709">
            <w:pPr>
              <w:widowControl/>
              <w:overflowPunct/>
              <w:autoSpaceDE/>
              <w:autoSpaceDN/>
              <w:adjustRightInd/>
              <w:jc w:val="center"/>
              <w:rPr>
                <w:color w:val="000000"/>
                <w:kern w:val="0"/>
              </w:rPr>
            </w:pPr>
            <w:r w:rsidRPr="003840F0">
              <w:rPr>
                <w:color w:val="000000"/>
                <w:kern w:val="0"/>
              </w:rPr>
              <w:t>$</w:t>
            </w:r>
            <w:r w:rsidR="00F3052D">
              <w:rPr>
                <w:color w:val="000000"/>
                <w:kern w:val="0"/>
              </w:rPr>
              <w:t>665,364</w:t>
            </w:r>
            <w:r w:rsidR="00F75685">
              <w:rPr>
                <w:color w:val="000000"/>
                <w:kern w:val="0"/>
              </w:rPr>
              <w:t xml:space="preserve"> </w:t>
            </w:r>
          </w:p>
        </w:tc>
      </w:tr>
      <w:tr w14:paraId="0D440FB7"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08D24DAC" w14:textId="77777777">
            <w:pPr>
              <w:widowControl/>
              <w:overflowPunct/>
              <w:autoSpaceDE/>
              <w:autoSpaceDN/>
              <w:adjustRightInd/>
              <w:ind w:firstLine="200" w:firstLineChars="100"/>
              <w:rPr>
                <w:color w:val="000000"/>
                <w:kern w:val="0"/>
              </w:rPr>
            </w:pPr>
            <w:r w:rsidRPr="003840F0">
              <w:rPr>
                <w:color w:val="000000"/>
                <w:kern w:val="0"/>
              </w:rPr>
              <w:t>Notification of Multiple Physician Review Option</w:t>
            </w:r>
          </w:p>
        </w:tc>
        <w:tc>
          <w:tcPr>
            <w:tcW w:w="467" w:type="pct"/>
            <w:shd w:val="clear" w:color="auto" w:fill="auto"/>
            <w:vAlign w:val="center"/>
            <w:hideMark/>
          </w:tcPr>
          <w:p w:rsidR="005062E8" w:rsidRPr="003840F0" w:rsidP="00EA0034" w14:paraId="06FA6D92"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504A225A" w14:textId="426AD3CD">
            <w:pPr>
              <w:widowControl/>
              <w:overflowPunct/>
              <w:autoSpaceDE/>
              <w:autoSpaceDN/>
              <w:adjustRightInd/>
              <w:jc w:val="center"/>
              <w:rPr>
                <w:color w:val="000000"/>
                <w:kern w:val="0"/>
              </w:rPr>
            </w:pPr>
            <w:r>
              <w:rPr>
                <w:color w:val="000000"/>
                <w:kern w:val="0"/>
              </w:rPr>
              <w:t>7,921</w:t>
            </w:r>
          </w:p>
        </w:tc>
        <w:tc>
          <w:tcPr>
            <w:tcW w:w="534" w:type="pct"/>
            <w:shd w:val="clear" w:color="auto" w:fill="auto"/>
            <w:vAlign w:val="center"/>
            <w:hideMark/>
          </w:tcPr>
          <w:p w:rsidR="005062E8" w:rsidRPr="003840F0" w:rsidP="00B63DB7" w14:paraId="4714A5E5"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7E2D1BCD" w14:textId="72890A08">
            <w:pPr>
              <w:widowControl/>
              <w:overflowPunct/>
              <w:autoSpaceDE/>
              <w:autoSpaceDN/>
              <w:adjustRightInd/>
              <w:jc w:val="center"/>
              <w:rPr>
                <w:color w:val="000000"/>
                <w:kern w:val="0"/>
              </w:rPr>
            </w:pPr>
            <w:r>
              <w:rPr>
                <w:color w:val="000000"/>
                <w:kern w:val="0"/>
              </w:rPr>
              <w:t>7,921</w:t>
            </w:r>
          </w:p>
        </w:tc>
        <w:tc>
          <w:tcPr>
            <w:tcW w:w="567" w:type="pct"/>
            <w:shd w:val="clear" w:color="auto" w:fill="auto"/>
            <w:vAlign w:val="center"/>
            <w:hideMark/>
          </w:tcPr>
          <w:p w:rsidR="005062E8" w:rsidRPr="003840F0" w:rsidP="00B63DB7" w14:paraId="239090F8" w14:textId="442F412D">
            <w:pPr>
              <w:widowControl/>
              <w:overflowPunct/>
              <w:autoSpaceDE/>
              <w:autoSpaceDN/>
              <w:adjustRightInd/>
              <w:jc w:val="center"/>
              <w:rPr>
                <w:color w:val="000000"/>
                <w:kern w:val="0"/>
              </w:rPr>
            </w:pPr>
            <w:r w:rsidRPr="003840F0">
              <w:rPr>
                <w:color w:val="000000"/>
                <w:kern w:val="0"/>
              </w:rPr>
              <w:t>1/60</w:t>
            </w:r>
          </w:p>
        </w:tc>
        <w:tc>
          <w:tcPr>
            <w:tcW w:w="434" w:type="pct"/>
            <w:shd w:val="clear" w:color="auto" w:fill="auto"/>
            <w:vAlign w:val="center"/>
            <w:hideMark/>
          </w:tcPr>
          <w:p w:rsidR="005062E8" w:rsidRPr="003840F0" w:rsidP="00B63DB7" w14:paraId="7C16398E" w14:textId="1ACF049C">
            <w:pPr>
              <w:widowControl/>
              <w:overflowPunct/>
              <w:autoSpaceDE/>
              <w:autoSpaceDN/>
              <w:adjustRightInd/>
              <w:jc w:val="center"/>
              <w:rPr>
                <w:color w:val="000000"/>
                <w:kern w:val="0"/>
              </w:rPr>
            </w:pPr>
            <w:r>
              <w:rPr>
                <w:color w:val="000000"/>
                <w:kern w:val="0"/>
              </w:rPr>
              <w:t>132</w:t>
            </w:r>
          </w:p>
        </w:tc>
        <w:tc>
          <w:tcPr>
            <w:tcW w:w="533" w:type="pct"/>
            <w:shd w:val="clear" w:color="auto" w:fill="auto"/>
            <w:vAlign w:val="center"/>
            <w:hideMark/>
          </w:tcPr>
          <w:p w:rsidR="005062E8" w:rsidRPr="003840F0" w:rsidP="00B63DB7" w14:paraId="7BAAF704" w14:textId="12F08946">
            <w:pPr>
              <w:widowControl/>
              <w:overflowPunct/>
              <w:autoSpaceDE/>
              <w:autoSpaceDN/>
              <w:adjustRightInd/>
              <w:jc w:val="center"/>
              <w:rPr>
                <w:color w:val="000000"/>
                <w:kern w:val="0"/>
              </w:rPr>
            </w:pPr>
            <w:r w:rsidRPr="003840F0">
              <w:rPr>
                <w:color w:val="000000"/>
                <w:kern w:val="0"/>
              </w:rPr>
              <w:t>$</w:t>
            </w:r>
            <w:r w:rsidR="00F75685">
              <w:rPr>
                <w:color w:val="000000"/>
                <w:kern w:val="0"/>
              </w:rPr>
              <w:t>55.55</w:t>
            </w:r>
          </w:p>
        </w:tc>
        <w:tc>
          <w:tcPr>
            <w:tcW w:w="598" w:type="pct"/>
            <w:shd w:val="clear" w:color="auto" w:fill="auto"/>
            <w:noWrap/>
            <w:vAlign w:val="center"/>
            <w:hideMark/>
          </w:tcPr>
          <w:p w:rsidR="007C4B36" w:rsidP="00B63DB7" w14:paraId="4204FE19" w14:textId="474EC7C9">
            <w:pPr>
              <w:widowControl/>
              <w:overflowPunct/>
              <w:autoSpaceDE/>
              <w:autoSpaceDN/>
              <w:adjustRightInd/>
              <w:jc w:val="center"/>
              <w:rPr>
                <w:color w:val="000000"/>
                <w:kern w:val="0"/>
              </w:rPr>
            </w:pPr>
            <w:r w:rsidRPr="003840F0">
              <w:rPr>
                <w:color w:val="000000"/>
                <w:kern w:val="0"/>
              </w:rPr>
              <w:t>$</w:t>
            </w:r>
            <w:r>
              <w:rPr>
                <w:color w:val="000000"/>
                <w:kern w:val="0"/>
              </w:rPr>
              <w:t>7,333</w:t>
            </w:r>
          </w:p>
          <w:p w:rsidR="005062E8" w:rsidRPr="003840F0" w:rsidP="00B63DB7" w14:paraId="68D34D29" w14:textId="77D7D3C7">
            <w:pPr>
              <w:widowControl/>
              <w:overflowPunct/>
              <w:autoSpaceDE/>
              <w:autoSpaceDN/>
              <w:adjustRightInd/>
              <w:jc w:val="center"/>
              <w:rPr>
                <w:color w:val="000000"/>
                <w:kern w:val="0"/>
              </w:rPr>
            </w:pPr>
          </w:p>
        </w:tc>
      </w:tr>
      <w:tr w14:paraId="4D7A9D10"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071B8F97" w14:textId="77777777">
            <w:pPr>
              <w:widowControl/>
              <w:overflowPunct/>
              <w:autoSpaceDE/>
              <w:autoSpaceDN/>
              <w:adjustRightInd/>
              <w:ind w:firstLine="200" w:firstLineChars="100"/>
              <w:rPr>
                <w:color w:val="000000"/>
                <w:kern w:val="0"/>
              </w:rPr>
            </w:pPr>
            <w:r w:rsidRPr="003840F0">
              <w:rPr>
                <w:color w:val="000000"/>
                <w:kern w:val="0"/>
              </w:rPr>
              <w:t>Information Provided to the Physician</w:t>
            </w:r>
          </w:p>
        </w:tc>
        <w:tc>
          <w:tcPr>
            <w:tcW w:w="467" w:type="pct"/>
            <w:shd w:val="clear" w:color="auto" w:fill="auto"/>
            <w:vAlign w:val="center"/>
            <w:hideMark/>
          </w:tcPr>
          <w:p w:rsidR="005062E8" w:rsidRPr="003840F0" w:rsidP="00EA0034" w14:paraId="4760387F"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51643328" w14:textId="309A345F">
            <w:pPr>
              <w:widowControl/>
              <w:overflowPunct/>
              <w:autoSpaceDE/>
              <w:autoSpaceDN/>
              <w:adjustRightInd/>
              <w:jc w:val="center"/>
              <w:rPr>
                <w:color w:val="000000"/>
                <w:kern w:val="0"/>
              </w:rPr>
            </w:pPr>
            <w:r>
              <w:rPr>
                <w:color w:val="000000"/>
                <w:kern w:val="0"/>
              </w:rPr>
              <w:t>7,921</w:t>
            </w:r>
          </w:p>
        </w:tc>
        <w:tc>
          <w:tcPr>
            <w:tcW w:w="534" w:type="pct"/>
            <w:shd w:val="clear" w:color="auto" w:fill="auto"/>
            <w:vAlign w:val="center"/>
            <w:hideMark/>
          </w:tcPr>
          <w:p w:rsidR="005062E8" w:rsidRPr="003840F0" w:rsidP="00B63DB7" w14:paraId="0C0B6944"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2CD2001D" w14:textId="3F196B84">
            <w:pPr>
              <w:widowControl/>
              <w:overflowPunct/>
              <w:autoSpaceDE/>
              <w:autoSpaceDN/>
              <w:adjustRightInd/>
              <w:jc w:val="center"/>
              <w:rPr>
                <w:color w:val="000000"/>
                <w:kern w:val="0"/>
              </w:rPr>
            </w:pPr>
            <w:r>
              <w:rPr>
                <w:color w:val="000000"/>
                <w:kern w:val="0"/>
              </w:rPr>
              <w:t>7,921</w:t>
            </w:r>
          </w:p>
        </w:tc>
        <w:tc>
          <w:tcPr>
            <w:tcW w:w="567" w:type="pct"/>
            <w:shd w:val="clear" w:color="auto" w:fill="auto"/>
            <w:vAlign w:val="center"/>
            <w:hideMark/>
          </w:tcPr>
          <w:p w:rsidR="005062E8" w:rsidRPr="003840F0" w:rsidP="00B63DB7" w14:paraId="0F5B2B09" w14:textId="513E8549">
            <w:pPr>
              <w:widowControl/>
              <w:overflowPunct/>
              <w:autoSpaceDE/>
              <w:autoSpaceDN/>
              <w:adjustRightInd/>
              <w:jc w:val="center"/>
              <w:rPr>
                <w:color w:val="000000"/>
                <w:kern w:val="0"/>
              </w:rPr>
            </w:pPr>
            <w:r>
              <w:rPr>
                <w:color w:val="000000"/>
                <w:kern w:val="0"/>
              </w:rPr>
              <w:t>15/60</w:t>
            </w:r>
          </w:p>
        </w:tc>
        <w:tc>
          <w:tcPr>
            <w:tcW w:w="434" w:type="pct"/>
            <w:shd w:val="clear" w:color="auto" w:fill="auto"/>
            <w:vAlign w:val="center"/>
            <w:hideMark/>
          </w:tcPr>
          <w:p w:rsidR="005062E8" w:rsidRPr="003840F0" w:rsidP="00B63DB7" w14:paraId="378EAB39" w14:textId="7058CF01">
            <w:pPr>
              <w:widowControl/>
              <w:overflowPunct/>
              <w:autoSpaceDE/>
              <w:autoSpaceDN/>
              <w:adjustRightInd/>
              <w:jc w:val="center"/>
              <w:rPr>
                <w:color w:val="000000"/>
                <w:kern w:val="0"/>
              </w:rPr>
            </w:pPr>
            <w:r>
              <w:rPr>
                <w:color w:val="000000"/>
                <w:kern w:val="0"/>
              </w:rPr>
              <w:t>1,980</w:t>
            </w:r>
          </w:p>
        </w:tc>
        <w:tc>
          <w:tcPr>
            <w:tcW w:w="533" w:type="pct"/>
            <w:shd w:val="clear" w:color="auto" w:fill="auto"/>
            <w:vAlign w:val="center"/>
            <w:hideMark/>
          </w:tcPr>
          <w:p w:rsidR="005062E8" w:rsidRPr="003840F0" w:rsidP="00B63DB7" w14:paraId="774B70F6" w14:textId="1A0A4A22">
            <w:pPr>
              <w:widowControl/>
              <w:overflowPunct/>
              <w:autoSpaceDE/>
              <w:autoSpaceDN/>
              <w:adjustRightInd/>
              <w:jc w:val="center"/>
              <w:rPr>
                <w:color w:val="000000"/>
                <w:kern w:val="0"/>
              </w:rPr>
            </w:pPr>
            <w:r w:rsidRPr="003840F0">
              <w:rPr>
                <w:color w:val="000000"/>
                <w:kern w:val="0"/>
              </w:rPr>
              <w:t>$</w:t>
            </w:r>
            <w:r w:rsidR="009C32A9">
              <w:rPr>
                <w:color w:val="000000"/>
                <w:kern w:val="0"/>
              </w:rPr>
              <w:t xml:space="preserve">55.55 </w:t>
            </w:r>
          </w:p>
        </w:tc>
        <w:tc>
          <w:tcPr>
            <w:tcW w:w="598" w:type="pct"/>
            <w:shd w:val="clear" w:color="auto" w:fill="auto"/>
            <w:noWrap/>
            <w:vAlign w:val="center"/>
            <w:hideMark/>
          </w:tcPr>
          <w:p w:rsidR="005062E8" w:rsidRPr="003840F0" w:rsidP="00B63DB7" w14:paraId="2439839B" w14:textId="089C5CE4">
            <w:pPr>
              <w:widowControl/>
              <w:overflowPunct/>
              <w:autoSpaceDE/>
              <w:autoSpaceDN/>
              <w:adjustRightInd/>
              <w:jc w:val="center"/>
              <w:rPr>
                <w:color w:val="000000"/>
                <w:kern w:val="0"/>
              </w:rPr>
            </w:pPr>
            <w:r w:rsidRPr="003840F0">
              <w:rPr>
                <w:color w:val="000000"/>
                <w:kern w:val="0"/>
              </w:rPr>
              <w:t>$</w:t>
            </w:r>
            <w:r w:rsidR="009C32A9">
              <w:rPr>
                <w:color w:val="000000"/>
                <w:kern w:val="0"/>
              </w:rPr>
              <w:t xml:space="preserve">109,989 </w:t>
            </w:r>
          </w:p>
        </w:tc>
      </w:tr>
      <w:tr w14:paraId="5E52DF30"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73E83AC9" w14:textId="77777777">
            <w:pPr>
              <w:widowControl/>
              <w:overflowPunct/>
              <w:autoSpaceDE/>
              <w:autoSpaceDN/>
              <w:adjustRightInd/>
              <w:ind w:firstLine="200" w:firstLineChars="100"/>
              <w:rPr>
                <w:color w:val="000000"/>
                <w:kern w:val="0"/>
              </w:rPr>
            </w:pPr>
            <w:r w:rsidRPr="003840F0">
              <w:rPr>
                <w:color w:val="000000"/>
                <w:kern w:val="0"/>
              </w:rPr>
              <w:t>Provision of the Written Medical Opinion</w:t>
            </w:r>
          </w:p>
        </w:tc>
        <w:tc>
          <w:tcPr>
            <w:tcW w:w="467" w:type="pct"/>
            <w:shd w:val="clear" w:color="auto" w:fill="auto"/>
            <w:vAlign w:val="center"/>
            <w:hideMark/>
          </w:tcPr>
          <w:p w:rsidR="005062E8" w:rsidRPr="003840F0" w:rsidP="00EA0034" w14:paraId="2F243844"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1B8F5D4D" w14:textId="6CD73342">
            <w:pPr>
              <w:widowControl/>
              <w:overflowPunct/>
              <w:autoSpaceDE/>
              <w:autoSpaceDN/>
              <w:adjustRightInd/>
              <w:jc w:val="center"/>
              <w:rPr>
                <w:color w:val="000000"/>
                <w:kern w:val="0"/>
              </w:rPr>
            </w:pPr>
            <w:r>
              <w:rPr>
                <w:color w:val="000000"/>
                <w:kern w:val="0"/>
              </w:rPr>
              <w:t>7,921</w:t>
            </w:r>
          </w:p>
        </w:tc>
        <w:tc>
          <w:tcPr>
            <w:tcW w:w="534" w:type="pct"/>
            <w:shd w:val="clear" w:color="auto" w:fill="auto"/>
            <w:vAlign w:val="center"/>
            <w:hideMark/>
          </w:tcPr>
          <w:p w:rsidR="005062E8" w:rsidRPr="003840F0" w:rsidP="00B63DB7" w14:paraId="65FB0938"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5062E8" w:rsidRPr="003840F0" w:rsidP="00B63DB7" w14:paraId="6A9D96A9" w14:textId="5F12F1E6">
            <w:pPr>
              <w:widowControl/>
              <w:overflowPunct/>
              <w:autoSpaceDE/>
              <w:autoSpaceDN/>
              <w:adjustRightInd/>
              <w:jc w:val="center"/>
              <w:rPr>
                <w:color w:val="000000"/>
                <w:kern w:val="0"/>
              </w:rPr>
            </w:pPr>
            <w:r>
              <w:rPr>
                <w:color w:val="000000"/>
                <w:kern w:val="0"/>
              </w:rPr>
              <w:t>7,921</w:t>
            </w:r>
          </w:p>
        </w:tc>
        <w:tc>
          <w:tcPr>
            <w:tcW w:w="567" w:type="pct"/>
            <w:shd w:val="clear" w:color="auto" w:fill="auto"/>
            <w:vAlign w:val="center"/>
            <w:hideMark/>
          </w:tcPr>
          <w:p w:rsidR="005062E8" w:rsidRPr="003840F0" w:rsidP="00B63DB7" w14:paraId="3AA9D21F" w14:textId="175B0788">
            <w:pPr>
              <w:widowControl/>
              <w:overflowPunct/>
              <w:autoSpaceDE/>
              <w:autoSpaceDN/>
              <w:adjustRightInd/>
              <w:jc w:val="center"/>
              <w:rPr>
                <w:color w:val="000000"/>
                <w:kern w:val="0"/>
              </w:rPr>
            </w:pPr>
            <w:r>
              <w:rPr>
                <w:color w:val="000000"/>
                <w:kern w:val="0"/>
              </w:rPr>
              <w:t>6/60</w:t>
            </w:r>
          </w:p>
        </w:tc>
        <w:tc>
          <w:tcPr>
            <w:tcW w:w="434" w:type="pct"/>
            <w:shd w:val="clear" w:color="auto" w:fill="auto"/>
            <w:vAlign w:val="center"/>
            <w:hideMark/>
          </w:tcPr>
          <w:p w:rsidR="005062E8" w:rsidRPr="003840F0" w:rsidP="00B63DB7" w14:paraId="1FEECB5A" w14:textId="756BB457">
            <w:pPr>
              <w:widowControl/>
              <w:overflowPunct/>
              <w:autoSpaceDE/>
              <w:autoSpaceDN/>
              <w:adjustRightInd/>
              <w:jc w:val="center"/>
              <w:rPr>
                <w:color w:val="000000"/>
                <w:kern w:val="0"/>
              </w:rPr>
            </w:pPr>
            <w:r>
              <w:rPr>
                <w:color w:val="000000"/>
                <w:kern w:val="0"/>
              </w:rPr>
              <w:t>792</w:t>
            </w:r>
          </w:p>
        </w:tc>
        <w:tc>
          <w:tcPr>
            <w:tcW w:w="533" w:type="pct"/>
            <w:shd w:val="clear" w:color="auto" w:fill="auto"/>
            <w:vAlign w:val="center"/>
            <w:hideMark/>
          </w:tcPr>
          <w:p w:rsidR="005062E8" w:rsidRPr="003840F0" w:rsidP="00B63DB7" w14:paraId="26FBF83D" w14:textId="3FF25708">
            <w:pPr>
              <w:widowControl/>
              <w:overflowPunct/>
              <w:autoSpaceDE/>
              <w:autoSpaceDN/>
              <w:adjustRightInd/>
              <w:jc w:val="center"/>
              <w:rPr>
                <w:color w:val="000000"/>
                <w:kern w:val="0"/>
              </w:rPr>
            </w:pPr>
            <w:r w:rsidRPr="003840F0">
              <w:rPr>
                <w:color w:val="000000"/>
                <w:kern w:val="0"/>
              </w:rPr>
              <w:t>$</w:t>
            </w:r>
            <w:r w:rsidR="009C32A9">
              <w:rPr>
                <w:color w:val="000000"/>
                <w:kern w:val="0"/>
              </w:rPr>
              <w:t xml:space="preserve">55.55 </w:t>
            </w:r>
          </w:p>
        </w:tc>
        <w:tc>
          <w:tcPr>
            <w:tcW w:w="598" w:type="pct"/>
            <w:shd w:val="clear" w:color="auto" w:fill="auto"/>
            <w:noWrap/>
            <w:vAlign w:val="center"/>
            <w:hideMark/>
          </w:tcPr>
          <w:p w:rsidR="005062E8" w:rsidRPr="003840F0" w:rsidP="00B63DB7" w14:paraId="2B6F0D02" w14:textId="58530574">
            <w:pPr>
              <w:widowControl/>
              <w:overflowPunct/>
              <w:autoSpaceDE/>
              <w:autoSpaceDN/>
              <w:adjustRightInd/>
              <w:jc w:val="center"/>
              <w:rPr>
                <w:color w:val="000000"/>
                <w:kern w:val="0"/>
              </w:rPr>
            </w:pPr>
            <w:r w:rsidRPr="003840F0">
              <w:rPr>
                <w:color w:val="000000"/>
                <w:kern w:val="0"/>
              </w:rPr>
              <w:t>$</w:t>
            </w:r>
            <w:r w:rsidR="00233617">
              <w:rPr>
                <w:color w:val="000000"/>
                <w:kern w:val="0"/>
              </w:rPr>
              <w:t xml:space="preserve">43,996 </w:t>
            </w:r>
          </w:p>
        </w:tc>
      </w:tr>
      <w:tr w14:paraId="0604D5C3" w14:textId="77777777" w:rsidTr="00001E63">
        <w:tblPrEx>
          <w:tblW w:w="5210" w:type="pct"/>
          <w:tblLayout w:type="fixed"/>
          <w:tblLook w:val="04A0"/>
        </w:tblPrEx>
        <w:trPr>
          <w:trHeight w:val="300"/>
        </w:trPr>
        <w:tc>
          <w:tcPr>
            <w:tcW w:w="932" w:type="pct"/>
            <w:shd w:val="clear" w:color="auto" w:fill="F2F2F2" w:themeFill="background1" w:themeFillShade="F2"/>
            <w:vAlign w:val="center"/>
          </w:tcPr>
          <w:p w:rsidR="00922EEA" w:rsidRPr="003840F0" w:rsidP="00EA0034" w14:paraId="050AF286" w14:textId="77777777">
            <w:pPr>
              <w:widowControl/>
              <w:overflowPunct/>
              <w:autoSpaceDE/>
              <w:autoSpaceDN/>
              <w:adjustRightInd/>
              <w:rPr>
                <w:b/>
                <w:bCs/>
                <w:color w:val="000000"/>
                <w:kern w:val="0"/>
              </w:rPr>
            </w:pPr>
          </w:p>
        </w:tc>
        <w:tc>
          <w:tcPr>
            <w:tcW w:w="467" w:type="pct"/>
            <w:shd w:val="clear" w:color="auto" w:fill="F2F2F2" w:themeFill="background1" w:themeFillShade="F2"/>
            <w:vAlign w:val="center"/>
          </w:tcPr>
          <w:p w:rsidR="00922EEA" w:rsidRPr="003840F0" w:rsidP="00EA0034" w14:paraId="1006BC0D" w14:textId="77777777">
            <w:pPr>
              <w:widowControl/>
              <w:overflowPunct/>
              <w:autoSpaceDE/>
              <w:autoSpaceDN/>
              <w:adjustRightInd/>
              <w:jc w:val="right"/>
              <w:rPr>
                <w:color w:val="000000"/>
                <w:kern w:val="0"/>
              </w:rPr>
            </w:pPr>
          </w:p>
        </w:tc>
        <w:tc>
          <w:tcPr>
            <w:tcW w:w="502" w:type="pct"/>
            <w:shd w:val="clear" w:color="auto" w:fill="F2F2F2" w:themeFill="background1" w:themeFillShade="F2"/>
            <w:vAlign w:val="center"/>
          </w:tcPr>
          <w:p w:rsidR="00922EEA" w:rsidRPr="003840F0" w:rsidP="00EA0034" w14:paraId="6D68F4A0" w14:textId="77777777">
            <w:pPr>
              <w:widowControl/>
              <w:overflowPunct/>
              <w:autoSpaceDE/>
              <w:autoSpaceDN/>
              <w:adjustRightInd/>
              <w:jc w:val="right"/>
              <w:rPr>
                <w:color w:val="000000"/>
                <w:kern w:val="0"/>
              </w:rPr>
            </w:pPr>
          </w:p>
        </w:tc>
        <w:tc>
          <w:tcPr>
            <w:tcW w:w="534" w:type="pct"/>
            <w:shd w:val="clear" w:color="auto" w:fill="F2F2F2" w:themeFill="background1" w:themeFillShade="F2"/>
            <w:vAlign w:val="center"/>
          </w:tcPr>
          <w:p w:rsidR="00922EEA" w:rsidRPr="003840F0" w:rsidP="00EA0034" w14:paraId="6E7D9E02" w14:textId="77777777">
            <w:pPr>
              <w:widowControl/>
              <w:overflowPunct/>
              <w:autoSpaceDE/>
              <w:autoSpaceDN/>
              <w:adjustRightInd/>
              <w:jc w:val="right"/>
              <w:rPr>
                <w:color w:val="000000"/>
                <w:kern w:val="0"/>
              </w:rPr>
            </w:pPr>
          </w:p>
        </w:tc>
        <w:tc>
          <w:tcPr>
            <w:tcW w:w="434" w:type="pct"/>
            <w:shd w:val="clear" w:color="auto" w:fill="F2F2F2" w:themeFill="background1" w:themeFillShade="F2"/>
            <w:vAlign w:val="center"/>
          </w:tcPr>
          <w:p w:rsidR="00922EEA" w:rsidRPr="003840F0" w:rsidP="00EA0034" w14:paraId="642396C1" w14:textId="4F1B250F">
            <w:pPr>
              <w:widowControl/>
              <w:overflowPunct/>
              <w:autoSpaceDE/>
              <w:autoSpaceDN/>
              <w:adjustRightInd/>
              <w:jc w:val="right"/>
              <w:rPr>
                <w:color w:val="000000"/>
                <w:kern w:val="0"/>
              </w:rPr>
            </w:pPr>
            <w:r>
              <w:rPr>
                <w:color w:val="000000"/>
                <w:kern w:val="0"/>
              </w:rPr>
              <w:t>215</w:t>
            </w:r>
            <w:r w:rsidR="00C44B05">
              <w:rPr>
                <w:color w:val="000000"/>
                <w:kern w:val="0"/>
              </w:rPr>
              <w:t>,</w:t>
            </w:r>
            <w:r>
              <w:rPr>
                <w:color w:val="000000"/>
                <w:kern w:val="0"/>
              </w:rPr>
              <w:t>911</w:t>
            </w:r>
          </w:p>
        </w:tc>
        <w:tc>
          <w:tcPr>
            <w:tcW w:w="567" w:type="pct"/>
            <w:shd w:val="clear" w:color="auto" w:fill="F2F2F2" w:themeFill="background1" w:themeFillShade="F2"/>
            <w:vAlign w:val="center"/>
          </w:tcPr>
          <w:p w:rsidR="00922EEA" w:rsidRPr="003840F0" w:rsidP="00EA0034" w14:paraId="445B56D6" w14:textId="77777777">
            <w:pPr>
              <w:widowControl/>
              <w:overflowPunct/>
              <w:autoSpaceDE/>
              <w:autoSpaceDN/>
              <w:adjustRightInd/>
              <w:jc w:val="right"/>
              <w:rPr>
                <w:color w:val="000000"/>
                <w:kern w:val="0"/>
              </w:rPr>
            </w:pPr>
          </w:p>
        </w:tc>
        <w:tc>
          <w:tcPr>
            <w:tcW w:w="434" w:type="pct"/>
            <w:shd w:val="clear" w:color="auto" w:fill="F2F2F2" w:themeFill="background1" w:themeFillShade="F2"/>
            <w:vAlign w:val="center"/>
          </w:tcPr>
          <w:p w:rsidR="00922EEA" w:rsidRPr="003840F0" w:rsidP="00B63DB7" w14:paraId="7F1F18B8" w14:textId="2EFACCBC">
            <w:pPr>
              <w:widowControl/>
              <w:overflowPunct/>
              <w:autoSpaceDE/>
              <w:autoSpaceDN/>
              <w:adjustRightInd/>
              <w:jc w:val="center"/>
              <w:rPr>
                <w:color w:val="000000"/>
                <w:kern w:val="0"/>
              </w:rPr>
            </w:pPr>
            <w:r>
              <w:rPr>
                <w:color w:val="000000"/>
                <w:kern w:val="0"/>
              </w:rPr>
              <w:t>37,169</w:t>
            </w:r>
          </w:p>
        </w:tc>
        <w:tc>
          <w:tcPr>
            <w:tcW w:w="533" w:type="pct"/>
            <w:shd w:val="clear" w:color="auto" w:fill="F2F2F2" w:themeFill="background1" w:themeFillShade="F2"/>
            <w:vAlign w:val="center"/>
          </w:tcPr>
          <w:p w:rsidR="00922EEA" w:rsidRPr="003840F0" w:rsidP="00EA0034" w14:paraId="670447E6" w14:textId="77777777">
            <w:pPr>
              <w:widowControl/>
              <w:overflowPunct/>
              <w:autoSpaceDE/>
              <w:autoSpaceDN/>
              <w:adjustRightInd/>
              <w:jc w:val="right"/>
              <w:rPr>
                <w:color w:val="000000"/>
                <w:kern w:val="0"/>
              </w:rPr>
            </w:pPr>
          </w:p>
        </w:tc>
        <w:tc>
          <w:tcPr>
            <w:tcW w:w="598" w:type="pct"/>
            <w:shd w:val="clear" w:color="auto" w:fill="F2F2F2" w:themeFill="background1" w:themeFillShade="F2"/>
            <w:noWrap/>
            <w:vAlign w:val="center"/>
          </w:tcPr>
          <w:p w:rsidR="00922EEA" w:rsidRPr="003840F0" w:rsidP="00B63DB7" w14:paraId="2A47228A" w14:textId="3890D2C6">
            <w:pPr>
              <w:widowControl/>
              <w:overflowPunct/>
              <w:autoSpaceDE/>
              <w:autoSpaceDN/>
              <w:adjustRightInd/>
              <w:jc w:val="center"/>
              <w:rPr>
                <w:color w:val="000000"/>
                <w:kern w:val="0"/>
              </w:rPr>
            </w:pPr>
            <w:r>
              <w:rPr>
                <w:color w:val="000000"/>
                <w:kern w:val="0"/>
              </w:rPr>
              <w:t>$</w:t>
            </w:r>
            <w:r w:rsidR="00D35579">
              <w:rPr>
                <w:color w:val="000000"/>
                <w:kern w:val="0"/>
              </w:rPr>
              <w:t>1</w:t>
            </w:r>
            <w:r w:rsidR="00642807">
              <w:rPr>
                <w:color w:val="000000"/>
                <w:kern w:val="0"/>
              </w:rPr>
              <w:t>,850,080</w:t>
            </w:r>
          </w:p>
        </w:tc>
      </w:tr>
      <w:tr w14:paraId="6C2DE163"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2C492FFF" w14:textId="77777777">
            <w:pPr>
              <w:widowControl/>
              <w:overflowPunct/>
              <w:autoSpaceDE/>
              <w:autoSpaceDN/>
              <w:adjustRightInd/>
              <w:rPr>
                <w:b/>
                <w:bCs/>
                <w:color w:val="000000"/>
                <w:kern w:val="0"/>
              </w:rPr>
            </w:pPr>
            <w:r w:rsidRPr="003840F0">
              <w:rPr>
                <w:b/>
                <w:bCs/>
                <w:color w:val="000000"/>
                <w:kern w:val="0"/>
              </w:rPr>
              <w:t>Recordkeeping</w:t>
            </w:r>
          </w:p>
        </w:tc>
        <w:tc>
          <w:tcPr>
            <w:tcW w:w="467" w:type="pct"/>
            <w:shd w:val="clear" w:color="auto" w:fill="auto"/>
            <w:vAlign w:val="center"/>
            <w:hideMark/>
          </w:tcPr>
          <w:p w:rsidR="005062E8" w:rsidRPr="003840F0" w:rsidP="00EA0034" w14:paraId="0EC31146" w14:textId="77777777">
            <w:pPr>
              <w:widowControl/>
              <w:overflowPunct/>
              <w:autoSpaceDE/>
              <w:autoSpaceDN/>
              <w:adjustRightInd/>
              <w:jc w:val="right"/>
              <w:rPr>
                <w:color w:val="000000"/>
                <w:kern w:val="0"/>
              </w:rPr>
            </w:pPr>
            <w:r w:rsidRPr="003840F0">
              <w:rPr>
                <w:color w:val="000000"/>
                <w:kern w:val="0"/>
              </w:rPr>
              <w:t> </w:t>
            </w:r>
          </w:p>
        </w:tc>
        <w:tc>
          <w:tcPr>
            <w:tcW w:w="502" w:type="pct"/>
            <w:shd w:val="clear" w:color="auto" w:fill="auto"/>
            <w:vAlign w:val="center"/>
            <w:hideMark/>
          </w:tcPr>
          <w:p w:rsidR="005062E8" w:rsidRPr="003840F0" w:rsidP="00EA0034" w14:paraId="6C7A506A" w14:textId="77777777">
            <w:pPr>
              <w:widowControl/>
              <w:overflowPunct/>
              <w:autoSpaceDE/>
              <w:autoSpaceDN/>
              <w:adjustRightInd/>
              <w:jc w:val="right"/>
              <w:rPr>
                <w:color w:val="000000"/>
                <w:kern w:val="0"/>
              </w:rPr>
            </w:pPr>
            <w:r w:rsidRPr="003840F0">
              <w:rPr>
                <w:color w:val="000000"/>
                <w:kern w:val="0"/>
              </w:rPr>
              <w:t> </w:t>
            </w:r>
          </w:p>
        </w:tc>
        <w:tc>
          <w:tcPr>
            <w:tcW w:w="534" w:type="pct"/>
            <w:shd w:val="clear" w:color="auto" w:fill="auto"/>
            <w:vAlign w:val="center"/>
            <w:hideMark/>
          </w:tcPr>
          <w:p w:rsidR="005062E8" w:rsidRPr="003840F0" w:rsidP="00EA0034" w14:paraId="2B6BF63C"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67D21BDC"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005062E8" w:rsidRPr="003840F0" w:rsidP="00EA0034" w14:paraId="0283AC61"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005062E8" w:rsidRPr="003840F0" w:rsidP="00EA0034" w14:paraId="1078B678"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005062E8" w:rsidRPr="003840F0" w:rsidP="00EA0034" w14:paraId="01FCDA0A" w14:textId="77777777">
            <w:pPr>
              <w:widowControl/>
              <w:overflowPunct/>
              <w:autoSpaceDE/>
              <w:autoSpaceDN/>
              <w:adjustRightInd/>
              <w:jc w:val="right"/>
              <w:rPr>
                <w:color w:val="000000"/>
                <w:kern w:val="0"/>
              </w:rPr>
            </w:pPr>
            <w:r w:rsidRPr="003840F0">
              <w:rPr>
                <w:color w:val="000000"/>
                <w:kern w:val="0"/>
              </w:rPr>
              <w:t> </w:t>
            </w:r>
          </w:p>
        </w:tc>
        <w:tc>
          <w:tcPr>
            <w:tcW w:w="598" w:type="pct"/>
            <w:shd w:val="clear" w:color="auto" w:fill="auto"/>
            <w:noWrap/>
            <w:vAlign w:val="center"/>
            <w:hideMark/>
          </w:tcPr>
          <w:p w:rsidR="005062E8" w:rsidRPr="003840F0" w:rsidP="00EA0034" w14:paraId="5C455DD7" w14:textId="77777777">
            <w:pPr>
              <w:widowControl/>
              <w:overflowPunct/>
              <w:autoSpaceDE/>
              <w:autoSpaceDN/>
              <w:adjustRightInd/>
              <w:jc w:val="right"/>
              <w:rPr>
                <w:color w:val="000000"/>
                <w:kern w:val="0"/>
              </w:rPr>
            </w:pPr>
            <w:r w:rsidRPr="003840F0">
              <w:rPr>
                <w:color w:val="000000"/>
                <w:kern w:val="0"/>
              </w:rPr>
              <w:t> </w:t>
            </w:r>
          </w:p>
        </w:tc>
      </w:tr>
      <w:tr w14:paraId="4C8F1347"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372C9378" w14:textId="77777777">
            <w:pPr>
              <w:widowControl/>
              <w:overflowPunct/>
              <w:autoSpaceDE/>
              <w:autoSpaceDN/>
              <w:adjustRightInd/>
              <w:ind w:firstLine="400" w:firstLineChars="200"/>
              <w:rPr>
                <w:color w:val="000000"/>
                <w:kern w:val="0"/>
              </w:rPr>
            </w:pPr>
            <w:r w:rsidRPr="003840F0">
              <w:rPr>
                <w:color w:val="000000"/>
                <w:kern w:val="0"/>
              </w:rPr>
              <w:t>Exposure Monitoring Records</w:t>
            </w:r>
          </w:p>
        </w:tc>
        <w:tc>
          <w:tcPr>
            <w:tcW w:w="467" w:type="pct"/>
            <w:shd w:val="clear" w:color="auto" w:fill="auto"/>
            <w:vAlign w:val="center"/>
            <w:hideMark/>
          </w:tcPr>
          <w:p w:rsidR="005062E8" w:rsidRPr="003840F0" w:rsidP="00EA0034" w14:paraId="442229DA" w14:textId="77777777">
            <w:pPr>
              <w:widowControl/>
              <w:overflowPunct/>
              <w:autoSpaceDE/>
              <w:autoSpaceDN/>
              <w:adjustRightInd/>
              <w:jc w:val="right"/>
              <w:rPr>
                <w:color w:val="000000"/>
                <w:kern w:val="0"/>
              </w:rPr>
            </w:pPr>
            <w:r w:rsidRPr="003840F0">
              <w:rPr>
                <w:color w:val="000000"/>
                <w:kern w:val="0"/>
              </w:rPr>
              <w:t>Clerical</w:t>
            </w:r>
          </w:p>
        </w:tc>
        <w:tc>
          <w:tcPr>
            <w:tcW w:w="502" w:type="pct"/>
            <w:shd w:val="clear" w:color="auto" w:fill="auto"/>
            <w:vAlign w:val="center"/>
            <w:hideMark/>
          </w:tcPr>
          <w:p w:rsidR="005062E8" w:rsidRPr="003840F0" w:rsidP="00B63DB7" w14:paraId="6DAC6011" w14:textId="062FF007">
            <w:pPr>
              <w:widowControl/>
              <w:overflowPunct/>
              <w:autoSpaceDE/>
              <w:autoSpaceDN/>
              <w:adjustRightInd/>
              <w:jc w:val="center"/>
              <w:rPr>
                <w:color w:val="000000"/>
                <w:kern w:val="0"/>
              </w:rPr>
            </w:pPr>
            <w:r>
              <w:rPr>
                <w:color w:val="000000"/>
                <w:kern w:val="0"/>
              </w:rPr>
              <w:t xml:space="preserve">79,540 </w:t>
            </w:r>
          </w:p>
        </w:tc>
        <w:tc>
          <w:tcPr>
            <w:tcW w:w="534" w:type="pct"/>
            <w:shd w:val="clear" w:color="auto" w:fill="auto"/>
            <w:vAlign w:val="center"/>
            <w:hideMark/>
          </w:tcPr>
          <w:p w:rsidR="005062E8" w:rsidRPr="003840F0" w:rsidP="00B63DB7" w14:paraId="08EE5E25"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6570A0" w:rsidP="00B63DB7" w14:paraId="1EDAD388" w14:textId="77777777">
            <w:pPr>
              <w:widowControl/>
              <w:overflowPunct/>
              <w:autoSpaceDE/>
              <w:autoSpaceDN/>
              <w:adjustRightInd/>
              <w:jc w:val="center"/>
              <w:rPr>
                <w:color w:val="000000"/>
                <w:kern w:val="0"/>
              </w:rPr>
            </w:pPr>
            <w:r w:rsidRPr="003840F0">
              <w:rPr>
                <w:color w:val="000000"/>
                <w:kern w:val="0"/>
              </w:rPr>
              <w:t>7</w:t>
            </w:r>
            <w:r>
              <w:rPr>
                <w:color w:val="000000"/>
                <w:kern w:val="0"/>
              </w:rPr>
              <w:t>9,540</w:t>
            </w:r>
          </w:p>
          <w:p w:rsidR="005062E8" w:rsidRPr="003840F0" w:rsidP="00B63DB7" w14:paraId="3B9E6F8F" w14:textId="5E146D3B">
            <w:pPr>
              <w:widowControl/>
              <w:overflowPunct/>
              <w:autoSpaceDE/>
              <w:autoSpaceDN/>
              <w:adjustRightInd/>
              <w:jc w:val="center"/>
              <w:rPr>
                <w:color w:val="000000"/>
                <w:kern w:val="0"/>
              </w:rPr>
            </w:pPr>
          </w:p>
        </w:tc>
        <w:tc>
          <w:tcPr>
            <w:tcW w:w="567" w:type="pct"/>
            <w:shd w:val="clear" w:color="auto" w:fill="auto"/>
            <w:vAlign w:val="center"/>
            <w:hideMark/>
          </w:tcPr>
          <w:p w:rsidR="005062E8" w:rsidRPr="003840F0" w:rsidP="00B63DB7" w14:paraId="482A8AAE" w14:textId="34136368">
            <w:pPr>
              <w:widowControl/>
              <w:overflowPunct/>
              <w:autoSpaceDE/>
              <w:autoSpaceDN/>
              <w:adjustRightInd/>
              <w:jc w:val="center"/>
              <w:rPr>
                <w:color w:val="000000"/>
                <w:kern w:val="0"/>
              </w:rPr>
            </w:pPr>
            <w:r>
              <w:rPr>
                <w:color w:val="000000"/>
                <w:kern w:val="0"/>
              </w:rPr>
              <w:t>6/60</w:t>
            </w:r>
          </w:p>
        </w:tc>
        <w:tc>
          <w:tcPr>
            <w:tcW w:w="434" w:type="pct"/>
            <w:shd w:val="clear" w:color="auto" w:fill="auto"/>
            <w:vAlign w:val="center"/>
            <w:hideMark/>
          </w:tcPr>
          <w:p w:rsidR="005062E8" w:rsidRPr="003840F0" w:rsidP="00B63DB7" w14:paraId="231704DD" w14:textId="50AF59A2">
            <w:pPr>
              <w:widowControl/>
              <w:overflowPunct/>
              <w:autoSpaceDE/>
              <w:autoSpaceDN/>
              <w:adjustRightInd/>
              <w:jc w:val="center"/>
              <w:rPr>
                <w:color w:val="000000"/>
                <w:kern w:val="0"/>
              </w:rPr>
            </w:pPr>
            <w:r>
              <w:rPr>
                <w:color w:val="000000"/>
                <w:kern w:val="0"/>
              </w:rPr>
              <w:t>7,954</w:t>
            </w:r>
          </w:p>
        </w:tc>
        <w:tc>
          <w:tcPr>
            <w:tcW w:w="533" w:type="pct"/>
            <w:shd w:val="clear" w:color="auto" w:fill="auto"/>
            <w:vAlign w:val="center"/>
            <w:hideMark/>
          </w:tcPr>
          <w:p w:rsidR="005062E8" w:rsidRPr="003840F0" w:rsidP="00B63DB7" w14:paraId="452248FC" w14:textId="720E7696">
            <w:pPr>
              <w:widowControl/>
              <w:overflowPunct/>
              <w:autoSpaceDE/>
              <w:autoSpaceDN/>
              <w:adjustRightInd/>
              <w:jc w:val="center"/>
              <w:rPr>
                <w:color w:val="000000"/>
                <w:kern w:val="0"/>
              </w:rPr>
            </w:pPr>
            <w:r w:rsidRPr="003840F0">
              <w:rPr>
                <w:color w:val="000000"/>
                <w:kern w:val="0"/>
              </w:rPr>
              <w:t>$</w:t>
            </w:r>
            <w:r w:rsidR="006570A0">
              <w:rPr>
                <w:color w:val="000000"/>
                <w:kern w:val="0"/>
              </w:rPr>
              <w:t>32.74</w:t>
            </w:r>
          </w:p>
        </w:tc>
        <w:tc>
          <w:tcPr>
            <w:tcW w:w="598" w:type="pct"/>
            <w:shd w:val="clear" w:color="auto" w:fill="auto"/>
            <w:noWrap/>
            <w:vAlign w:val="center"/>
            <w:hideMark/>
          </w:tcPr>
          <w:p w:rsidR="00FB54A7" w:rsidP="00B63DB7" w14:paraId="0A9F025A" w14:textId="77777777">
            <w:pPr>
              <w:widowControl/>
              <w:overflowPunct/>
              <w:autoSpaceDE/>
              <w:autoSpaceDN/>
              <w:adjustRightInd/>
              <w:jc w:val="center"/>
              <w:rPr>
                <w:color w:val="000000"/>
                <w:kern w:val="0"/>
              </w:rPr>
            </w:pPr>
            <w:r w:rsidRPr="003840F0">
              <w:rPr>
                <w:color w:val="000000"/>
                <w:kern w:val="0"/>
              </w:rPr>
              <w:t>$</w:t>
            </w:r>
            <w:r>
              <w:rPr>
                <w:color w:val="000000"/>
                <w:kern w:val="0"/>
              </w:rPr>
              <w:t>260,414</w:t>
            </w:r>
          </w:p>
          <w:p w:rsidR="005062E8" w:rsidRPr="003840F0" w:rsidP="00B63DB7" w14:paraId="4F56B5F3" w14:textId="7F6E98AE">
            <w:pPr>
              <w:widowControl/>
              <w:overflowPunct/>
              <w:autoSpaceDE/>
              <w:autoSpaceDN/>
              <w:adjustRightInd/>
              <w:jc w:val="center"/>
              <w:rPr>
                <w:color w:val="000000"/>
                <w:kern w:val="0"/>
              </w:rPr>
            </w:pPr>
          </w:p>
        </w:tc>
      </w:tr>
      <w:tr w14:paraId="71E0944D"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27E36921" w14:textId="77777777">
            <w:pPr>
              <w:widowControl/>
              <w:overflowPunct/>
              <w:autoSpaceDE/>
              <w:autoSpaceDN/>
              <w:adjustRightInd/>
              <w:ind w:firstLine="400" w:firstLineChars="200"/>
              <w:rPr>
                <w:color w:val="000000"/>
                <w:kern w:val="0"/>
              </w:rPr>
            </w:pPr>
            <w:r w:rsidRPr="003840F0">
              <w:rPr>
                <w:color w:val="000000"/>
                <w:kern w:val="0"/>
              </w:rPr>
              <w:t>Medical Surveillance Records</w:t>
            </w:r>
          </w:p>
        </w:tc>
        <w:tc>
          <w:tcPr>
            <w:tcW w:w="467" w:type="pct"/>
            <w:shd w:val="clear" w:color="auto" w:fill="auto"/>
            <w:vAlign w:val="center"/>
            <w:hideMark/>
          </w:tcPr>
          <w:p w:rsidR="005062E8" w:rsidRPr="003840F0" w:rsidP="00EA0034" w14:paraId="5A44E4C3"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0A4F0F" w:rsidP="00B63DB7" w14:paraId="718F837E" w14:textId="77777777">
            <w:pPr>
              <w:widowControl/>
              <w:overflowPunct/>
              <w:autoSpaceDE/>
              <w:autoSpaceDN/>
              <w:adjustRightInd/>
              <w:jc w:val="center"/>
              <w:rPr>
                <w:color w:val="000000"/>
                <w:kern w:val="0"/>
              </w:rPr>
            </w:pPr>
            <w:r>
              <w:rPr>
                <w:color w:val="000000"/>
                <w:kern w:val="0"/>
              </w:rPr>
              <w:t>175,399</w:t>
            </w:r>
          </w:p>
          <w:p w:rsidR="005062E8" w:rsidRPr="003840F0" w:rsidP="00B63DB7" w14:paraId="2008FB83" w14:textId="50E4523B">
            <w:pPr>
              <w:widowControl/>
              <w:overflowPunct/>
              <w:autoSpaceDE/>
              <w:autoSpaceDN/>
              <w:adjustRightInd/>
              <w:jc w:val="center"/>
              <w:rPr>
                <w:color w:val="000000"/>
                <w:kern w:val="0"/>
              </w:rPr>
            </w:pPr>
          </w:p>
        </w:tc>
        <w:tc>
          <w:tcPr>
            <w:tcW w:w="534" w:type="pct"/>
            <w:shd w:val="clear" w:color="auto" w:fill="auto"/>
            <w:vAlign w:val="center"/>
            <w:hideMark/>
          </w:tcPr>
          <w:p w:rsidR="005062E8" w:rsidRPr="003840F0" w:rsidP="00B63DB7" w14:paraId="13A58EEF" w14:textId="132B6D3B">
            <w:pPr>
              <w:widowControl/>
              <w:overflowPunct/>
              <w:autoSpaceDE/>
              <w:autoSpaceDN/>
              <w:adjustRightInd/>
              <w:jc w:val="center"/>
              <w:rPr>
                <w:color w:val="000000"/>
                <w:kern w:val="0"/>
              </w:rPr>
            </w:pPr>
            <w:r w:rsidRPr="003840F0">
              <w:rPr>
                <w:color w:val="000000"/>
                <w:kern w:val="0"/>
              </w:rPr>
              <w:t>1</w:t>
            </w:r>
            <w:r w:rsidR="00105BDA">
              <w:rPr>
                <w:color w:val="000000"/>
                <w:kern w:val="0"/>
              </w:rPr>
              <w:t>.77458882</w:t>
            </w:r>
          </w:p>
        </w:tc>
        <w:tc>
          <w:tcPr>
            <w:tcW w:w="434" w:type="pct"/>
            <w:shd w:val="clear" w:color="auto" w:fill="auto"/>
            <w:vAlign w:val="center"/>
            <w:hideMark/>
          </w:tcPr>
          <w:p w:rsidR="005062E8" w:rsidRPr="003840F0" w:rsidP="00B63DB7" w14:paraId="51691F18" w14:textId="7912B54B">
            <w:pPr>
              <w:widowControl/>
              <w:overflowPunct/>
              <w:autoSpaceDE/>
              <w:autoSpaceDN/>
              <w:adjustRightInd/>
              <w:jc w:val="center"/>
              <w:rPr>
                <w:color w:val="000000"/>
                <w:kern w:val="0"/>
              </w:rPr>
            </w:pPr>
            <w:r>
              <w:rPr>
                <w:color w:val="000000"/>
                <w:kern w:val="0"/>
              </w:rPr>
              <w:t xml:space="preserve">192,148 </w:t>
            </w:r>
          </w:p>
        </w:tc>
        <w:tc>
          <w:tcPr>
            <w:tcW w:w="567" w:type="pct"/>
            <w:shd w:val="clear" w:color="auto" w:fill="auto"/>
            <w:vAlign w:val="center"/>
            <w:hideMark/>
          </w:tcPr>
          <w:p w:rsidR="005062E8" w:rsidRPr="003840F0" w:rsidP="00B63DB7" w14:paraId="48DAC55E" w14:textId="37A6E93D">
            <w:pPr>
              <w:widowControl/>
              <w:overflowPunct/>
              <w:autoSpaceDE/>
              <w:autoSpaceDN/>
              <w:adjustRightInd/>
              <w:jc w:val="center"/>
              <w:rPr>
                <w:color w:val="000000"/>
                <w:kern w:val="0"/>
              </w:rPr>
            </w:pPr>
            <w:r>
              <w:rPr>
                <w:color w:val="000000"/>
                <w:kern w:val="0"/>
              </w:rPr>
              <w:t>6/60</w:t>
            </w:r>
          </w:p>
        </w:tc>
        <w:tc>
          <w:tcPr>
            <w:tcW w:w="434" w:type="pct"/>
            <w:shd w:val="clear" w:color="auto" w:fill="auto"/>
            <w:vAlign w:val="center"/>
            <w:hideMark/>
          </w:tcPr>
          <w:p w:rsidR="005062E8" w:rsidRPr="003840F0" w:rsidP="00B63DB7" w14:paraId="0BD28556" w14:textId="74ECA34D">
            <w:pPr>
              <w:widowControl/>
              <w:overflowPunct/>
              <w:autoSpaceDE/>
              <w:autoSpaceDN/>
              <w:adjustRightInd/>
              <w:jc w:val="center"/>
              <w:rPr>
                <w:color w:val="000000"/>
                <w:kern w:val="0"/>
              </w:rPr>
            </w:pPr>
            <w:r>
              <w:rPr>
                <w:color w:val="000000"/>
                <w:kern w:val="0"/>
              </w:rPr>
              <w:t xml:space="preserve">19,215 </w:t>
            </w:r>
          </w:p>
        </w:tc>
        <w:tc>
          <w:tcPr>
            <w:tcW w:w="533" w:type="pct"/>
            <w:shd w:val="clear" w:color="auto" w:fill="auto"/>
            <w:vAlign w:val="center"/>
            <w:hideMark/>
          </w:tcPr>
          <w:p w:rsidR="005062E8" w:rsidRPr="003840F0" w:rsidP="00B63DB7" w14:paraId="2651F415" w14:textId="3541A561">
            <w:pPr>
              <w:widowControl/>
              <w:overflowPunct/>
              <w:autoSpaceDE/>
              <w:autoSpaceDN/>
              <w:adjustRightInd/>
              <w:jc w:val="center"/>
              <w:rPr>
                <w:color w:val="000000"/>
                <w:kern w:val="0"/>
              </w:rPr>
            </w:pPr>
            <w:r w:rsidRPr="003840F0">
              <w:rPr>
                <w:color w:val="000000"/>
                <w:kern w:val="0"/>
              </w:rPr>
              <w:t>$</w:t>
            </w:r>
            <w:r w:rsidR="00804C16">
              <w:rPr>
                <w:color w:val="000000"/>
                <w:kern w:val="0"/>
              </w:rPr>
              <w:t>55.55</w:t>
            </w:r>
          </w:p>
        </w:tc>
        <w:tc>
          <w:tcPr>
            <w:tcW w:w="598" w:type="pct"/>
            <w:shd w:val="clear" w:color="auto" w:fill="auto"/>
            <w:noWrap/>
            <w:vAlign w:val="center"/>
            <w:hideMark/>
          </w:tcPr>
          <w:p w:rsidR="005062E8" w:rsidRPr="003840F0" w:rsidP="00B63DB7" w14:paraId="310D9A2E" w14:textId="427BE160">
            <w:pPr>
              <w:widowControl/>
              <w:overflowPunct/>
              <w:autoSpaceDE/>
              <w:autoSpaceDN/>
              <w:adjustRightInd/>
              <w:jc w:val="center"/>
              <w:rPr>
                <w:color w:val="000000"/>
                <w:kern w:val="0"/>
              </w:rPr>
            </w:pPr>
            <w:r w:rsidRPr="003840F0">
              <w:rPr>
                <w:color w:val="000000"/>
                <w:kern w:val="0"/>
              </w:rPr>
              <w:t>$</w:t>
            </w:r>
            <w:r w:rsidR="00BE549A">
              <w:rPr>
                <w:color w:val="000000"/>
                <w:kern w:val="0"/>
              </w:rPr>
              <w:t>1,067,393</w:t>
            </w:r>
          </w:p>
        </w:tc>
      </w:tr>
      <w:tr w14:paraId="5924AE5A"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4FA633A6" w14:textId="77777777">
            <w:pPr>
              <w:widowControl/>
              <w:overflowPunct/>
              <w:autoSpaceDE/>
              <w:autoSpaceDN/>
              <w:adjustRightInd/>
              <w:ind w:firstLine="400" w:firstLineChars="200"/>
              <w:rPr>
                <w:color w:val="000000"/>
                <w:kern w:val="0"/>
              </w:rPr>
            </w:pPr>
            <w:r w:rsidRPr="003840F0">
              <w:rPr>
                <w:color w:val="000000"/>
                <w:kern w:val="0"/>
              </w:rPr>
              <w:t>Medical Removal Records</w:t>
            </w:r>
          </w:p>
        </w:tc>
        <w:tc>
          <w:tcPr>
            <w:tcW w:w="467" w:type="pct"/>
            <w:shd w:val="clear" w:color="auto" w:fill="auto"/>
            <w:vAlign w:val="center"/>
            <w:hideMark/>
          </w:tcPr>
          <w:p w:rsidR="005062E8" w:rsidRPr="003840F0" w:rsidP="00EA0034" w14:paraId="361853E0"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5E5699C8" w14:textId="2581FC57">
            <w:pPr>
              <w:widowControl/>
              <w:overflowPunct/>
              <w:autoSpaceDE/>
              <w:autoSpaceDN/>
              <w:adjustRightInd/>
              <w:jc w:val="center"/>
              <w:rPr>
                <w:color w:val="000000"/>
                <w:kern w:val="0"/>
              </w:rPr>
            </w:pPr>
            <w:r>
              <w:rPr>
                <w:color w:val="000000"/>
                <w:kern w:val="0"/>
              </w:rPr>
              <w:t>0</w:t>
            </w:r>
          </w:p>
        </w:tc>
        <w:tc>
          <w:tcPr>
            <w:tcW w:w="534" w:type="pct"/>
            <w:shd w:val="clear" w:color="auto" w:fill="auto"/>
            <w:vAlign w:val="center"/>
            <w:hideMark/>
          </w:tcPr>
          <w:p w:rsidR="005062E8" w:rsidRPr="003840F0" w:rsidP="00B63DB7" w14:paraId="3B566C97" w14:textId="06BA4EA1">
            <w:pPr>
              <w:widowControl/>
              <w:overflowPunct/>
              <w:autoSpaceDE/>
              <w:autoSpaceDN/>
              <w:adjustRightInd/>
              <w:jc w:val="center"/>
              <w:rPr>
                <w:color w:val="000000"/>
                <w:kern w:val="0"/>
              </w:rPr>
            </w:pPr>
            <w:r>
              <w:rPr>
                <w:color w:val="000000"/>
                <w:kern w:val="0"/>
              </w:rPr>
              <w:t>0</w:t>
            </w:r>
          </w:p>
        </w:tc>
        <w:tc>
          <w:tcPr>
            <w:tcW w:w="434" w:type="pct"/>
            <w:shd w:val="clear" w:color="auto" w:fill="auto"/>
            <w:vAlign w:val="center"/>
            <w:hideMark/>
          </w:tcPr>
          <w:p w:rsidR="005062E8" w:rsidRPr="003840F0" w:rsidP="00B63DB7" w14:paraId="7D90BC03" w14:textId="346732BB">
            <w:pPr>
              <w:widowControl/>
              <w:overflowPunct/>
              <w:autoSpaceDE/>
              <w:autoSpaceDN/>
              <w:adjustRightInd/>
              <w:jc w:val="center"/>
              <w:rPr>
                <w:color w:val="000000"/>
                <w:kern w:val="0"/>
              </w:rPr>
            </w:pPr>
            <w:r>
              <w:rPr>
                <w:color w:val="000000"/>
                <w:kern w:val="0"/>
              </w:rPr>
              <w:t>0</w:t>
            </w:r>
          </w:p>
        </w:tc>
        <w:tc>
          <w:tcPr>
            <w:tcW w:w="567" w:type="pct"/>
            <w:shd w:val="clear" w:color="auto" w:fill="auto"/>
            <w:vAlign w:val="center"/>
            <w:hideMark/>
          </w:tcPr>
          <w:p w:rsidR="005062E8" w:rsidRPr="003840F0" w:rsidP="00B63DB7" w14:paraId="3489B328" w14:textId="76120B45">
            <w:pPr>
              <w:widowControl/>
              <w:overflowPunct/>
              <w:autoSpaceDE/>
              <w:autoSpaceDN/>
              <w:adjustRightInd/>
              <w:jc w:val="center"/>
              <w:rPr>
                <w:color w:val="000000"/>
                <w:kern w:val="0"/>
              </w:rPr>
            </w:pPr>
            <w:r>
              <w:rPr>
                <w:color w:val="000000"/>
                <w:kern w:val="0"/>
              </w:rPr>
              <w:t>0</w:t>
            </w:r>
          </w:p>
        </w:tc>
        <w:tc>
          <w:tcPr>
            <w:tcW w:w="434" w:type="pct"/>
            <w:shd w:val="clear" w:color="auto" w:fill="auto"/>
            <w:vAlign w:val="center"/>
            <w:hideMark/>
          </w:tcPr>
          <w:p w:rsidR="005062E8" w:rsidRPr="003840F0" w:rsidP="00B63DB7" w14:paraId="21AAC6F2" w14:textId="2D474004">
            <w:pPr>
              <w:widowControl/>
              <w:overflowPunct/>
              <w:autoSpaceDE/>
              <w:autoSpaceDN/>
              <w:adjustRightInd/>
              <w:jc w:val="center"/>
              <w:rPr>
                <w:color w:val="000000"/>
                <w:kern w:val="0"/>
              </w:rPr>
            </w:pPr>
            <w:r>
              <w:rPr>
                <w:color w:val="000000"/>
                <w:kern w:val="0"/>
              </w:rPr>
              <w:t>0</w:t>
            </w:r>
          </w:p>
        </w:tc>
        <w:tc>
          <w:tcPr>
            <w:tcW w:w="533" w:type="pct"/>
            <w:shd w:val="clear" w:color="auto" w:fill="auto"/>
            <w:vAlign w:val="center"/>
            <w:hideMark/>
          </w:tcPr>
          <w:p w:rsidR="005062E8" w:rsidRPr="003840F0" w:rsidP="00B63DB7" w14:paraId="2F9EFB58" w14:textId="39137C57">
            <w:pPr>
              <w:widowControl/>
              <w:overflowPunct/>
              <w:autoSpaceDE/>
              <w:autoSpaceDN/>
              <w:adjustRightInd/>
              <w:jc w:val="center"/>
              <w:rPr>
                <w:color w:val="000000"/>
                <w:kern w:val="0"/>
              </w:rPr>
            </w:pPr>
            <w:r w:rsidRPr="003840F0">
              <w:rPr>
                <w:color w:val="000000"/>
                <w:kern w:val="0"/>
              </w:rPr>
              <w:t>$52.46</w:t>
            </w:r>
          </w:p>
        </w:tc>
        <w:tc>
          <w:tcPr>
            <w:tcW w:w="598" w:type="pct"/>
            <w:shd w:val="clear" w:color="auto" w:fill="auto"/>
            <w:noWrap/>
            <w:vAlign w:val="center"/>
            <w:hideMark/>
          </w:tcPr>
          <w:p w:rsidR="005062E8" w:rsidRPr="003840F0" w:rsidP="00B63DB7" w14:paraId="011D391D" w14:textId="21751CED">
            <w:pPr>
              <w:widowControl/>
              <w:overflowPunct/>
              <w:autoSpaceDE/>
              <w:autoSpaceDN/>
              <w:adjustRightInd/>
              <w:jc w:val="center"/>
              <w:rPr>
                <w:color w:val="000000"/>
                <w:kern w:val="0"/>
              </w:rPr>
            </w:pPr>
            <w:r w:rsidRPr="003840F0">
              <w:rPr>
                <w:color w:val="000000"/>
                <w:kern w:val="0"/>
              </w:rPr>
              <w:t>$</w:t>
            </w:r>
            <w:r w:rsidR="0066037E">
              <w:rPr>
                <w:color w:val="000000"/>
                <w:kern w:val="0"/>
              </w:rPr>
              <w:t>0</w:t>
            </w:r>
          </w:p>
        </w:tc>
      </w:tr>
      <w:tr w14:paraId="4857BF87" w14:textId="77777777" w:rsidTr="00001E63">
        <w:tblPrEx>
          <w:tblW w:w="5210" w:type="pct"/>
          <w:tblLayout w:type="fixed"/>
          <w:tblLook w:val="04A0"/>
        </w:tblPrEx>
        <w:trPr>
          <w:trHeight w:val="540"/>
        </w:trPr>
        <w:tc>
          <w:tcPr>
            <w:tcW w:w="932" w:type="pct"/>
            <w:shd w:val="clear" w:color="auto" w:fill="auto"/>
            <w:vAlign w:val="center"/>
            <w:hideMark/>
          </w:tcPr>
          <w:p w:rsidR="005062E8" w:rsidRPr="003840F0" w:rsidP="00EA0034" w14:paraId="6F41A1F6" w14:textId="77777777">
            <w:pPr>
              <w:widowControl/>
              <w:overflowPunct/>
              <w:autoSpaceDE/>
              <w:autoSpaceDN/>
              <w:adjustRightInd/>
              <w:ind w:firstLine="400" w:firstLineChars="200"/>
              <w:rPr>
                <w:color w:val="000000"/>
                <w:kern w:val="0"/>
              </w:rPr>
            </w:pPr>
            <w:r w:rsidRPr="003840F0">
              <w:rPr>
                <w:color w:val="000000"/>
                <w:kern w:val="0"/>
              </w:rPr>
              <w:t>Objective Data Records</w:t>
            </w:r>
          </w:p>
        </w:tc>
        <w:tc>
          <w:tcPr>
            <w:tcW w:w="467" w:type="pct"/>
            <w:shd w:val="clear" w:color="auto" w:fill="auto"/>
            <w:vAlign w:val="center"/>
            <w:hideMark/>
          </w:tcPr>
          <w:p w:rsidR="005062E8" w:rsidRPr="003840F0" w:rsidP="00EA0034" w14:paraId="43EF5BEB" w14:textId="77777777">
            <w:pPr>
              <w:widowControl/>
              <w:overflowPunct/>
              <w:autoSpaceDE/>
              <w:autoSpaceDN/>
              <w:adjustRightInd/>
              <w:jc w:val="right"/>
              <w:rPr>
                <w:color w:val="000000"/>
                <w:kern w:val="0"/>
              </w:rPr>
            </w:pPr>
            <w:r w:rsidRPr="003840F0">
              <w:rPr>
                <w:color w:val="000000"/>
                <w:kern w:val="0"/>
              </w:rPr>
              <w:t>Supervisor</w:t>
            </w:r>
          </w:p>
        </w:tc>
        <w:tc>
          <w:tcPr>
            <w:tcW w:w="502" w:type="pct"/>
            <w:shd w:val="clear" w:color="auto" w:fill="auto"/>
            <w:vAlign w:val="center"/>
            <w:hideMark/>
          </w:tcPr>
          <w:p w:rsidR="005062E8" w:rsidRPr="003840F0" w:rsidP="00B63DB7" w14:paraId="50A62275" w14:textId="24E36E37">
            <w:pPr>
              <w:widowControl/>
              <w:overflowPunct/>
              <w:autoSpaceDE/>
              <w:autoSpaceDN/>
              <w:adjustRightInd/>
              <w:jc w:val="center"/>
              <w:rPr>
                <w:color w:val="000000"/>
                <w:kern w:val="0"/>
              </w:rPr>
            </w:pPr>
            <w:r>
              <w:rPr>
                <w:color w:val="000000"/>
                <w:kern w:val="0"/>
              </w:rPr>
              <w:t xml:space="preserve">175,399 </w:t>
            </w:r>
          </w:p>
        </w:tc>
        <w:tc>
          <w:tcPr>
            <w:tcW w:w="534" w:type="pct"/>
            <w:shd w:val="clear" w:color="auto" w:fill="auto"/>
            <w:vAlign w:val="center"/>
            <w:hideMark/>
          </w:tcPr>
          <w:p w:rsidR="005062E8" w:rsidRPr="003840F0" w:rsidP="00B63DB7" w14:paraId="1084C56A" w14:textId="4407FDB6">
            <w:pPr>
              <w:widowControl/>
              <w:overflowPunct/>
              <w:autoSpaceDE/>
              <w:autoSpaceDN/>
              <w:adjustRightInd/>
              <w:jc w:val="center"/>
              <w:rPr>
                <w:color w:val="000000"/>
                <w:kern w:val="0"/>
              </w:rPr>
            </w:pPr>
            <w:r>
              <w:rPr>
                <w:color w:val="000000"/>
                <w:kern w:val="0"/>
              </w:rPr>
              <w:t>20</w:t>
            </w:r>
            <w:r w:rsidR="007B6FC1">
              <w:rPr>
                <w:color w:val="000000"/>
                <w:kern w:val="0"/>
              </w:rPr>
              <w:t>.9340133</w:t>
            </w:r>
          </w:p>
        </w:tc>
        <w:tc>
          <w:tcPr>
            <w:tcW w:w="434" w:type="pct"/>
            <w:shd w:val="clear" w:color="auto" w:fill="auto"/>
            <w:vAlign w:val="center"/>
            <w:hideMark/>
          </w:tcPr>
          <w:p w:rsidR="005062E8" w:rsidRPr="00AC388C" w:rsidP="00B63DB7" w14:paraId="50961DFE" w14:textId="2AA2406D">
            <w:pPr>
              <w:widowControl/>
              <w:overflowPunct/>
              <w:autoSpaceDE/>
              <w:autoSpaceDN/>
              <w:adjustRightInd/>
              <w:jc w:val="center"/>
              <w:rPr>
                <w:color w:val="000000"/>
                <w:kern w:val="0"/>
              </w:rPr>
            </w:pPr>
            <w:r w:rsidRPr="00B63DB7">
              <w:t>3,671,805</w:t>
            </w:r>
          </w:p>
        </w:tc>
        <w:tc>
          <w:tcPr>
            <w:tcW w:w="567" w:type="pct"/>
            <w:shd w:val="clear" w:color="auto" w:fill="auto"/>
            <w:vAlign w:val="center"/>
            <w:hideMark/>
          </w:tcPr>
          <w:p w:rsidR="005062E8" w:rsidRPr="003840F0" w:rsidP="00B63DB7" w14:paraId="2A0972BD" w14:textId="393F9B55">
            <w:pPr>
              <w:widowControl/>
              <w:overflowPunct/>
              <w:autoSpaceDE/>
              <w:autoSpaceDN/>
              <w:adjustRightInd/>
              <w:jc w:val="center"/>
              <w:rPr>
                <w:color w:val="000000"/>
                <w:kern w:val="0"/>
              </w:rPr>
            </w:pPr>
            <w:r>
              <w:rPr>
                <w:color w:val="000000"/>
                <w:kern w:val="0"/>
              </w:rPr>
              <w:t>6/60</w:t>
            </w:r>
          </w:p>
        </w:tc>
        <w:tc>
          <w:tcPr>
            <w:tcW w:w="434" w:type="pct"/>
            <w:shd w:val="clear" w:color="auto" w:fill="auto"/>
            <w:vAlign w:val="center"/>
            <w:hideMark/>
          </w:tcPr>
          <w:p w:rsidR="005062E8" w:rsidRPr="003840F0" w:rsidP="00B63DB7" w14:paraId="478391DA" w14:textId="4F705D5C">
            <w:pPr>
              <w:widowControl/>
              <w:overflowPunct/>
              <w:autoSpaceDE/>
              <w:autoSpaceDN/>
              <w:adjustRightInd/>
              <w:jc w:val="center"/>
              <w:rPr>
                <w:color w:val="000000"/>
                <w:kern w:val="0"/>
              </w:rPr>
            </w:pPr>
            <w:r>
              <w:rPr>
                <w:color w:val="000000"/>
                <w:kern w:val="0"/>
              </w:rPr>
              <w:t>367,181</w:t>
            </w:r>
          </w:p>
        </w:tc>
        <w:tc>
          <w:tcPr>
            <w:tcW w:w="533" w:type="pct"/>
            <w:shd w:val="clear" w:color="auto" w:fill="auto"/>
            <w:vAlign w:val="center"/>
            <w:hideMark/>
          </w:tcPr>
          <w:p w:rsidR="005062E8" w:rsidRPr="003840F0" w:rsidP="00B63DB7" w14:paraId="1D7F4631" w14:textId="24BA63DF">
            <w:pPr>
              <w:widowControl/>
              <w:overflowPunct/>
              <w:autoSpaceDE/>
              <w:autoSpaceDN/>
              <w:adjustRightInd/>
              <w:jc w:val="center"/>
              <w:rPr>
                <w:color w:val="000000"/>
                <w:kern w:val="0"/>
              </w:rPr>
            </w:pPr>
            <w:r w:rsidRPr="003840F0">
              <w:rPr>
                <w:color w:val="000000"/>
                <w:kern w:val="0"/>
              </w:rPr>
              <w:t>$</w:t>
            </w:r>
            <w:r w:rsidR="0089718E">
              <w:rPr>
                <w:color w:val="000000"/>
                <w:kern w:val="0"/>
              </w:rPr>
              <w:t>55.55</w:t>
            </w:r>
          </w:p>
        </w:tc>
        <w:tc>
          <w:tcPr>
            <w:tcW w:w="598" w:type="pct"/>
            <w:shd w:val="clear" w:color="auto" w:fill="auto"/>
            <w:noWrap/>
            <w:vAlign w:val="center"/>
            <w:hideMark/>
          </w:tcPr>
          <w:p w:rsidR="005062E8" w:rsidRPr="003840F0" w:rsidP="00B63DB7" w14:paraId="36B49227" w14:textId="6A481483">
            <w:pPr>
              <w:widowControl/>
              <w:overflowPunct/>
              <w:autoSpaceDE/>
              <w:autoSpaceDN/>
              <w:adjustRightInd/>
              <w:jc w:val="center"/>
              <w:rPr>
                <w:color w:val="000000"/>
                <w:kern w:val="0"/>
              </w:rPr>
            </w:pPr>
            <w:r w:rsidRPr="003840F0">
              <w:rPr>
                <w:color w:val="000000"/>
                <w:kern w:val="0"/>
              </w:rPr>
              <w:t>$</w:t>
            </w:r>
            <w:r w:rsidR="0089718E">
              <w:rPr>
                <w:color w:val="000000"/>
                <w:kern w:val="0"/>
              </w:rPr>
              <w:t>20,</w:t>
            </w:r>
            <w:r w:rsidR="00A7796E">
              <w:rPr>
                <w:color w:val="000000"/>
                <w:kern w:val="0"/>
              </w:rPr>
              <w:t xml:space="preserve">396,905 </w:t>
            </w:r>
          </w:p>
        </w:tc>
      </w:tr>
      <w:tr w14:paraId="552DA801"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695B8451" w14:textId="77777777">
            <w:pPr>
              <w:widowControl/>
              <w:overflowPunct/>
              <w:autoSpaceDE/>
              <w:autoSpaceDN/>
              <w:adjustRightInd/>
              <w:ind w:firstLine="400" w:firstLineChars="200"/>
              <w:rPr>
                <w:color w:val="000000"/>
                <w:kern w:val="0"/>
              </w:rPr>
            </w:pPr>
            <w:r w:rsidRPr="003840F0">
              <w:rPr>
                <w:color w:val="000000"/>
                <w:kern w:val="0"/>
              </w:rPr>
              <w:t>Employee access to Records</w:t>
            </w:r>
          </w:p>
        </w:tc>
        <w:tc>
          <w:tcPr>
            <w:tcW w:w="467" w:type="pct"/>
            <w:shd w:val="clear" w:color="auto" w:fill="auto"/>
            <w:vAlign w:val="center"/>
            <w:hideMark/>
          </w:tcPr>
          <w:p w:rsidR="005062E8" w:rsidRPr="003840F0" w:rsidP="00EA0034" w14:paraId="76F0154D" w14:textId="77777777">
            <w:pPr>
              <w:widowControl/>
              <w:overflowPunct/>
              <w:autoSpaceDE/>
              <w:autoSpaceDN/>
              <w:adjustRightInd/>
              <w:jc w:val="right"/>
              <w:rPr>
                <w:color w:val="000000"/>
                <w:kern w:val="0"/>
              </w:rPr>
            </w:pPr>
            <w:r w:rsidRPr="003840F0">
              <w:rPr>
                <w:color w:val="000000"/>
                <w:kern w:val="0"/>
              </w:rPr>
              <w:t>Clerical</w:t>
            </w:r>
          </w:p>
        </w:tc>
        <w:tc>
          <w:tcPr>
            <w:tcW w:w="502" w:type="pct"/>
            <w:shd w:val="clear" w:color="auto" w:fill="auto"/>
            <w:vAlign w:val="center"/>
            <w:hideMark/>
          </w:tcPr>
          <w:p w:rsidR="005062E8" w:rsidRPr="003840F0" w:rsidP="00B63DB7" w14:paraId="736E312B" w14:textId="682E5AA1">
            <w:pPr>
              <w:widowControl/>
              <w:overflowPunct/>
              <w:autoSpaceDE/>
              <w:autoSpaceDN/>
              <w:adjustRightInd/>
              <w:jc w:val="center"/>
              <w:rPr>
                <w:color w:val="000000"/>
                <w:kern w:val="0"/>
              </w:rPr>
            </w:pPr>
          </w:p>
        </w:tc>
        <w:tc>
          <w:tcPr>
            <w:tcW w:w="534" w:type="pct"/>
            <w:shd w:val="clear" w:color="auto" w:fill="auto"/>
            <w:vAlign w:val="center"/>
            <w:hideMark/>
          </w:tcPr>
          <w:p w:rsidR="005062E8" w:rsidRPr="003840F0" w:rsidP="00B63DB7" w14:paraId="656124BF" w14:textId="77777777">
            <w:pPr>
              <w:widowControl/>
              <w:overflowPunct/>
              <w:autoSpaceDE/>
              <w:autoSpaceDN/>
              <w:adjustRightInd/>
              <w:jc w:val="center"/>
              <w:rPr>
                <w:color w:val="000000"/>
                <w:kern w:val="0"/>
              </w:rPr>
            </w:pPr>
            <w:r w:rsidRPr="003840F0">
              <w:rPr>
                <w:color w:val="000000"/>
                <w:kern w:val="0"/>
              </w:rPr>
              <w:t>1</w:t>
            </w:r>
          </w:p>
        </w:tc>
        <w:tc>
          <w:tcPr>
            <w:tcW w:w="434" w:type="pct"/>
            <w:shd w:val="clear" w:color="auto" w:fill="auto"/>
            <w:vAlign w:val="center"/>
            <w:hideMark/>
          </w:tcPr>
          <w:p w:rsidR="00213C87" w:rsidP="00B63DB7" w14:paraId="6AC11490" w14:textId="77777777">
            <w:pPr>
              <w:widowControl/>
              <w:overflowPunct/>
              <w:autoSpaceDE/>
              <w:autoSpaceDN/>
              <w:adjustRightInd/>
              <w:jc w:val="center"/>
              <w:rPr>
                <w:color w:val="000000"/>
                <w:kern w:val="0"/>
              </w:rPr>
            </w:pPr>
            <w:r>
              <w:rPr>
                <w:color w:val="000000"/>
                <w:kern w:val="0"/>
              </w:rPr>
              <w:t>15,842</w:t>
            </w:r>
          </w:p>
          <w:p w:rsidR="005062E8" w:rsidRPr="003840F0" w:rsidP="00B63DB7" w14:paraId="5ACBA367" w14:textId="1FCE4070">
            <w:pPr>
              <w:widowControl/>
              <w:overflowPunct/>
              <w:autoSpaceDE/>
              <w:autoSpaceDN/>
              <w:adjustRightInd/>
              <w:jc w:val="center"/>
              <w:rPr>
                <w:color w:val="000000"/>
                <w:kern w:val="0"/>
              </w:rPr>
            </w:pPr>
          </w:p>
        </w:tc>
        <w:tc>
          <w:tcPr>
            <w:tcW w:w="567" w:type="pct"/>
            <w:shd w:val="clear" w:color="auto" w:fill="auto"/>
            <w:vAlign w:val="center"/>
            <w:hideMark/>
          </w:tcPr>
          <w:p w:rsidR="005062E8" w:rsidRPr="003840F0" w:rsidP="00B63DB7" w14:paraId="51489576" w14:textId="4B2274AA">
            <w:pPr>
              <w:widowControl/>
              <w:overflowPunct/>
              <w:autoSpaceDE/>
              <w:autoSpaceDN/>
              <w:adjustRightInd/>
              <w:jc w:val="center"/>
              <w:rPr>
                <w:color w:val="000000"/>
                <w:kern w:val="0"/>
              </w:rPr>
            </w:pPr>
            <w:r>
              <w:rPr>
                <w:color w:val="000000"/>
                <w:kern w:val="0"/>
              </w:rPr>
              <w:t>15/60</w:t>
            </w:r>
          </w:p>
        </w:tc>
        <w:tc>
          <w:tcPr>
            <w:tcW w:w="434" w:type="pct"/>
            <w:shd w:val="clear" w:color="auto" w:fill="auto"/>
            <w:vAlign w:val="center"/>
            <w:hideMark/>
          </w:tcPr>
          <w:p w:rsidR="005062E8" w:rsidRPr="003840F0" w:rsidP="00B63DB7" w14:paraId="689AB10C" w14:textId="58664F1F">
            <w:pPr>
              <w:widowControl/>
              <w:overflowPunct/>
              <w:autoSpaceDE/>
              <w:autoSpaceDN/>
              <w:adjustRightInd/>
              <w:jc w:val="center"/>
              <w:rPr>
                <w:color w:val="000000"/>
                <w:kern w:val="0"/>
              </w:rPr>
            </w:pPr>
            <w:r>
              <w:rPr>
                <w:color w:val="000000"/>
                <w:kern w:val="0"/>
              </w:rPr>
              <w:t>3,961</w:t>
            </w:r>
          </w:p>
        </w:tc>
        <w:tc>
          <w:tcPr>
            <w:tcW w:w="533" w:type="pct"/>
            <w:shd w:val="clear" w:color="auto" w:fill="auto"/>
            <w:vAlign w:val="center"/>
            <w:hideMark/>
          </w:tcPr>
          <w:p w:rsidR="005062E8" w:rsidRPr="003840F0" w:rsidP="00B63DB7" w14:paraId="118709C1" w14:textId="67F630FA">
            <w:pPr>
              <w:widowControl/>
              <w:overflowPunct/>
              <w:autoSpaceDE/>
              <w:autoSpaceDN/>
              <w:adjustRightInd/>
              <w:jc w:val="center"/>
              <w:rPr>
                <w:color w:val="000000"/>
                <w:kern w:val="0"/>
              </w:rPr>
            </w:pPr>
            <w:r w:rsidRPr="003840F0">
              <w:rPr>
                <w:color w:val="000000"/>
                <w:kern w:val="0"/>
              </w:rPr>
              <w:t>$</w:t>
            </w:r>
            <w:r w:rsidR="00213C87">
              <w:rPr>
                <w:color w:val="000000"/>
                <w:kern w:val="0"/>
              </w:rPr>
              <w:t>32.74</w:t>
            </w:r>
          </w:p>
        </w:tc>
        <w:tc>
          <w:tcPr>
            <w:tcW w:w="598" w:type="pct"/>
            <w:shd w:val="clear" w:color="auto" w:fill="auto"/>
            <w:noWrap/>
            <w:vAlign w:val="center"/>
            <w:hideMark/>
          </w:tcPr>
          <w:p w:rsidR="005062E8" w:rsidRPr="003840F0" w:rsidP="00B63DB7" w14:paraId="048DF647" w14:textId="52C1837A">
            <w:pPr>
              <w:widowControl/>
              <w:overflowPunct/>
              <w:autoSpaceDE/>
              <w:autoSpaceDN/>
              <w:adjustRightInd/>
              <w:jc w:val="center"/>
              <w:rPr>
                <w:color w:val="000000"/>
                <w:kern w:val="0"/>
              </w:rPr>
            </w:pPr>
            <w:r w:rsidRPr="003840F0">
              <w:rPr>
                <w:color w:val="000000"/>
                <w:kern w:val="0"/>
              </w:rPr>
              <w:t>$</w:t>
            </w:r>
            <w:r w:rsidR="0087292F">
              <w:rPr>
                <w:color w:val="000000"/>
                <w:kern w:val="0"/>
              </w:rPr>
              <w:t>129,</w:t>
            </w:r>
            <w:r w:rsidR="00E26B34">
              <w:rPr>
                <w:color w:val="000000"/>
                <w:kern w:val="0"/>
              </w:rPr>
              <w:t xml:space="preserve">683 </w:t>
            </w:r>
          </w:p>
        </w:tc>
      </w:tr>
      <w:tr w14:paraId="3ECA904A" w14:textId="77777777" w:rsidTr="00001E63">
        <w:tblPrEx>
          <w:tblW w:w="5210" w:type="pct"/>
          <w:tblLayout w:type="fixed"/>
          <w:tblLook w:val="04A0"/>
        </w:tblPrEx>
        <w:trPr>
          <w:trHeight w:val="300"/>
        </w:trPr>
        <w:tc>
          <w:tcPr>
            <w:tcW w:w="932" w:type="pct"/>
            <w:shd w:val="clear" w:color="auto" w:fill="F2F2F2" w:themeFill="background1" w:themeFillShade="F2"/>
            <w:vAlign w:val="center"/>
          </w:tcPr>
          <w:p w:rsidR="003C1FBF" w:rsidRPr="003840F0" w:rsidP="00EA0034" w14:paraId="513D653C" w14:textId="77777777">
            <w:pPr>
              <w:widowControl/>
              <w:overflowPunct/>
              <w:autoSpaceDE/>
              <w:autoSpaceDN/>
              <w:adjustRightInd/>
              <w:rPr>
                <w:color w:val="000000"/>
                <w:kern w:val="0"/>
              </w:rPr>
            </w:pPr>
          </w:p>
        </w:tc>
        <w:tc>
          <w:tcPr>
            <w:tcW w:w="467" w:type="pct"/>
            <w:shd w:val="clear" w:color="auto" w:fill="F2F2F2" w:themeFill="background1" w:themeFillShade="F2"/>
            <w:vAlign w:val="center"/>
          </w:tcPr>
          <w:p w:rsidR="003C1FBF" w:rsidRPr="003840F0" w:rsidP="00EA0034" w14:paraId="3B619AB2" w14:textId="77777777">
            <w:pPr>
              <w:widowControl/>
              <w:overflowPunct/>
              <w:autoSpaceDE/>
              <w:autoSpaceDN/>
              <w:adjustRightInd/>
              <w:jc w:val="center"/>
              <w:rPr>
                <w:color w:val="000000"/>
                <w:kern w:val="0"/>
              </w:rPr>
            </w:pPr>
          </w:p>
        </w:tc>
        <w:tc>
          <w:tcPr>
            <w:tcW w:w="502" w:type="pct"/>
            <w:shd w:val="clear" w:color="auto" w:fill="F2F2F2" w:themeFill="background1" w:themeFillShade="F2"/>
            <w:vAlign w:val="center"/>
          </w:tcPr>
          <w:p w:rsidR="003C1FBF" w:rsidP="002D604E" w14:paraId="2A7867B9" w14:textId="77777777">
            <w:pPr>
              <w:widowControl/>
              <w:overflowPunct/>
              <w:autoSpaceDE/>
              <w:autoSpaceDN/>
              <w:adjustRightInd/>
              <w:jc w:val="center"/>
              <w:rPr>
                <w:b/>
                <w:bCs/>
                <w:color w:val="000000"/>
                <w:kern w:val="0"/>
              </w:rPr>
            </w:pPr>
          </w:p>
        </w:tc>
        <w:tc>
          <w:tcPr>
            <w:tcW w:w="534" w:type="pct"/>
            <w:shd w:val="clear" w:color="auto" w:fill="F2F2F2" w:themeFill="background1" w:themeFillShade="F2"/>
            <w:vAlign w:val="center"/>
          </w:tcPr>
          <w:p w:rsidR="003C1FBF" w:rsidRPr="003840F0" w:rsidP="002D604E" w14:paraId="682FDB81" w14:textId="77777777">
            <w:pPr>
              <w:widowControl/>
              <w:overflowPunct/>
              <w:autoSpaceDE/>
              <w:autoSpaceDN/>
              <w:adjustRightInd/>
              <w:jc w:val="center"/>
              <w:rPr>
                <w:color w:val="000000"/>
                <w:kern w:val="0"/>
              </w:rPr>
            </w:pPr>
          </w:p>
        </w:tc>
        <w:tc>
          <w:tcPr>
            <w:tcW w:w="434" w:type="pct"/>
            <w:shd w:val="clear" w:color="auto" w:fill="F2F2F2" w:themeFill="background1" w:themeFillShade="F2"/>
            <w:vAlign w:val="center"/>
          </w:tcPr>
          <w:p w:rsidR="003C1FBF" w:rsidRPr="00B63DB7" w:rsidP="002D604E" w14:paraId="0F04BFA7" w14:textId="2CA37ED4">
            <w:pPr>
              <w:widowControl/>
              <w:overflowPunct/>
              <w:autoSpaceDE/>
              <w:autoSpaceDN/>
              <w:adjustRightInd/>
              <w:jc w:val="center"/>
              <w:rPr>
                <w:color w:val="000000"/>
                <w:kern w:val="0"/>
              </w:rPr>
            </w:pPr>
            <w:r w:rsidRPr="00B63DB7">
              <w:rPr>
                <w:color w:val="000000"/>
                <w:kern w:val="0"/>
              </w:rPr>
              <w:t>3,959,335</w:t>
            </w:r>
          </w:p>
        </w:tc>
        <w:tc>
          <w:tcPr>
            <w:tcW w:w="567" w:type="pct"/>
            <w:shd w:val="clear" w:color="auto" w:fill="F2F2F2" w:themeFill="background1" w:themeFillShade="F2"/>
            <w:vAlign w:val="center"/>
          </w:tcPr>
          <w:p w:rsidR="003C1FBF" w:rsidRPr="00194731" w:rsidP="002D604E" w14:paraId="443930B3" w14:textId="77777777">
            <w:pPr>
              <w:widowControl/>
              <w:overflowPunct/>
              <w:autoSpaceDE/>
              <w:autoSpaceDN/>
              <w:adjustRightInd/>
              <w:jc w:val="center"/>
              <w:rPr>
                <w:color w:val="000000"/>
                <w:kern w:val="0"/>
              </w:rPr>
            </w:pPr>
          </w:p>
        </w:tc>
        <w:tc>
          <w:tcPr>
            <w:tcW w:w="434" w:type="pct"/>
            <w:shd w:val="clear" w:color="auto" w:fill="F2F2F2" w:themeFill="background1" w:themeFillShade="F2"/>
            <w:vAlign w:val="center"/>
          </w:tcPr>
          <w:p w:rsidR="003C1FBF" w:rsidRPr="00B63DB7" w:rsidP="002D604E" w14:paraId="610E245C" w14:textId="308E05D9">
            <w:pPr>
              <w:widowControl/>
              <w:overflowPunct/>
              <w:autoSpaceDE/>
              <w:autoSpaceDN/>
              <w:adjustRightInd/>
              <w:jc w:val="center"/>
              <w:rPr>
                <w:color w:val="000000"/>
                <w:kern w:val="0"/>
              </w:rPr>
            </w:pPr>
            <w:r w:rsidRPr="00194731">
              <w:rPr>
                <w:color w:val="000000"/>
                <w:kern w:val="0"/>
              </w:rPr>
              <w:t>398,311</w:t>
            </w:r>
          </w:p>
        </w:tc>
        <w:tc>
          <w:tcPr>
            <w:tcW w:w="533" w:type="pct"/>
            <w:shd w:val="clear" w:color="auto" w:fill="F2F2F2" w:themeFill="background1" w:themeFillShade="F2"/>
            <w:vAlign w:val="center"/>
          </w:tcPr>
          <w:p w:rsidR="003C1FBF" w:rsidRPr="00194731" w:rsidP="002D604E" w14:paraId="7695B562" w14:textId="4B5263F1">
            <w:pPr>
              <w:widowControl/>
              <w:overflowPunct/>
              <w:autoSpaceDE/>
              <w:autoSpaceDN/>
              <w:adjustRightInd/>
              <w:jc w:val="center"/>
              <w:rPr>
                <w:color w:val="000000"/>
                <w:kern w:val="0"/>
              </w:rPr>
            </w:pPr>
          </w:p>
        </w:tc>
        <w:tc>
          <w:tcPr>
            <w:tcW w:w="598" w:type="pct"/>
            <w:shd w:val="clear" w:color="auto" w:fill="F2F2F2" w:themeFill="background1" w:themeFillShade="F2"/>
            <w:noWrap/>
            <w:vAlign w:val="center"/>
          </w:tcPr>
          <w:p w:rsidR="003C1FBF" w:rsidRPr="00B63DB7" w:rsidP="00B63DB7" w14:paraId="685C7A3E" w14:textId="13E5F833">
            <w:pPr>
              <w:widowControl/>
              <w:overflowPunct/>
              <w:autoSpaceDE/>
              <w:autoSpaceDN/>
              <w:adjustRightInd/>
              <w:jc w:val="center"/>
              <w:rPr>
                <w:color w:val="000000"/>
                <w:kern w:val="0"/>
              </w:rPr>
            </w:pPr>
            <w:r w:rsidRPr="00B63DB7">
              <w:rPr>
                <w:color w:val="000000"/>
                <w:kern w:val="0"/>
              </w:rPr>
              <w:t>$</w:t>
            </w:r>
            <w:r w:rsidRPr="00B63DB7" w:rsidR="00C21D99">
              <w:rPr>
                <w:color w:val="000000"/>
                <w:kern w:val="0"/>
              </w:rPr>
              <w:t>21</w:t>
            </w:r>
            <w:r w:rsidRPr="00B63DB7" w:rsidR="00194731">
              <w:rPr>
                <w:color w:val="000000"/>
                <w:kern w:val="0"/>
              </w:rPr>
              <w:t>,854,395</w:t>
            </w:r>
          </w:p>
        </w:tc>
      </w:tr>
      <w:tr w14:paraId="08EA990E" w14:textId="77777777" w:rsidTr="00001E63">
        <w:tblPrEx>
          <w:tblW w:w="5210" w:type="pct"/>
          <w:tblLayout w:type="fixed"/>
          <w:tblLook w:val="04A0"/>
        </w:tblPrEx>
        <w:trPr>
          <w:trHeight w:val="300"/>
        </w:trPr>
        <w:tc>
          <w:tcPr>
            <w:tcW w:w="932" w:type="pct"/>
            <w:shd w:val="clear" w:color="auto" w:fill="auto"/>
            <w:vAlign w:val="center"/>
            <w:hideMark/>
          </w:tcPr>
          <w:p w:rsidR="005062E8" w:rsidRPr="003840F0" w:rsidP="00EA0034" w14:paraId="539320A1" w14:textId="77777777">
            <w:pPr>
              <w:widowControl/>
              <w:overflowPunct/>
              <w:autoSpaceDE/>
              <w:autoSpaceDN/>
              <w:adjustRightInd/>
              <w:rPr>
                <w:color w:val="000000"/>
                <w:kern w:val="0"/>
              </w:rPr>
            </w:pPr>
            <w:r w:rsidRPr="003840F0">
              <w:rPr>
                <w:color w:val="000000"/>
                <w:kern w:val="0"/>
              </w:rPr>
              <w:t>TOTALS</w:t>
            </w:r>
          </w:p>
        </w:tc>
        <w:tc>
          <w:tcPr>
            <w:tcW w:w="467" w:type="pct"/>
            <w:shd w:val="clear" w:color="auto" w:fill="auto"/>
            <w:vAlign w:val="center"/>
            <w:hideMark/>
          </w:tcPr>
          <w:p w:rsidR="005062E8" w:rsidRPr="003840F0" w:rsidP="00EA0034" w14:paraId="4E579A67" w14:textId="77777777">
            <w:pPr>
              <w:widowControl/>
              <w:overflowPunct/>
              <w:autoSpaceDE/>
              <w:autoSpaceDN/>
              <w:adjustRightInd/>
              <w:jc w:val="center"/>
              <w:rPr>
                <w:color w:val="000000"/>
                <w:kern w:val="0"/>
              </w:rPr>
            </w:pPr>
            <w:r w:rsidRPr="003840F0">
              <w:rPr>
                <w:color w:val="000000"/>
                <w:kern w:val="0"/>
              </w:rPr>
              <w:t> </w:t>
            </w:r>
          </w:p>
        </w:tc>
        <w:tc>
          <w:tcPr>
            <w:tcW w:w="502" w:type="pct"/>
            <w:shd w:val="clear" w:color="auto" w:fill="auto"/>
            <w:vAlign w:val="center"/>
            <w:hideMark/>
          </w:tcPr>
          <w:p w:rsidR="005062E8" w:rsidRPr="003840F0" w:rsidP="002D604E" w14:paraId="11CB3A10" w14:textId="0D1D9072">
            <w:pPr>
              <w:widowControl/>
              <w:overflowPunct/>
              <w:autoSpaceDE/>
              <w:autoSpaceDN/>
              <w:adjustRightInd/>
              <w:jc w:val="center"/>
              <w:rPr>
                <w:b/>
                <w:bCs/>
                <w:color w:val="000000"/>
                <w:kern w:val="0"/>
              </w:rPr>
            </w:pPr>
            <w:r>
              <w:rPr>
                <w:b/>
                <w:bCs/>
                <w:color w:val="000000"/>
                <w:kern w:val="0"/>
              </w:rPr>
              <w:t>175,399</w:t>
            </w:r>
          </w:p>
        </w:tc>
        <w:tc>
          <w:tcPr>
            <w:tcW w:w="534" w:type="pct"/>
            <w:shd w:val="clear" w:color="auto" w:fill="auto"/>
            <w:vAlign w:val="center"/>
            <w:hideMark/>
          </w:tcPr>
          <w:p w:rsidR="005062E8" w:rsidRPr="003840F0" w:rsidP="002D604E" w14:paraId="3C7F26B8" w14:textId="77134ECB">
            <w:pPr>
              <w:widowControl/>
              <w:overflowPunct/>
              <w:autoSpaceDE/>
              <w:autoSpaceDN/>
              <w:adjustRightInd/>
              <w:jc w:val="center"/>
              <w:rPr>
                <w:color w:val="000000"/>
                <w:kern w:val="0"/>
              </w:rPr>
            </w:pPr>
            <w:r>
              <w:rPr>
                <w:color w:val="000000"/>
                <w:kern w:val="0"/>
              </w:rPr>
              <w:t>--</w:t>
            </w:r>
          </w:p>
        </w:tc>
        <w:tc>
          <w:tcPr>
            <w:tcW w:w="434" w:type="pct"/>
            <w:shd w:val="clear" w:color="auto" w:fill="auto"/>
            <w:vAlign w:val="center"/>
          </w:tcPr>
          <w:p w:rsidR="005062E8" w:rsidRPr="003840F0" w:rsidP="002D604E" w14:paraId="74FD2F71" w14:textId="5C2AF02D">
            <w:pPr>
              <w:widowControl/>
              <w:overflowPunct/>
              <w:autoSpaceDE/>
              <w:autoSpaceDN/>
              <w:adjustRightInd/>
              <w:jc w:val="center"/>
              <w:rPr>
                <w:b/>
                <w:bCs/>
                <w:color w:val="000000"/>
                <w:kern w:val="0"/>
              </w:rPr>
            </w:pPr>
            <w:r>
              <w:rPr>
                <w:b/>
                <w:bCs/>
                <w:color w:val="000000"/>
                <w:kern w:val="0"/>
              </w:rPr>
              <w:t>8,905</w:t>
            </w:r>
            <w:r w:rsidR="008D4869">
              <w:rPr>
                <w:b/>
                <w:bCs/>
                <w:color w:val="000000"/>
                <w:kern w:val="0"/>
              </w:rPr>
              <w:t>,576</w:t>
            </w:r>
          </w:p>
        </w:tc>
        <w:tc>
          <w:tcPr>
            <w:tcW w:w="567" w:type="pct"/>
            <w:shd w:val="clear" w:color="auto" w:fill="auto"/>
            <w:vAlign w:val="center"/>
            <w:hideMark/>
          </w:tcPr>
          <w:p w:rsidR="005062E8" w:rsidRPr="003840F0" w:rsidP="002D604E" w14:paraId="3011F0A5" w14:textId="3AC2C16D">
            <w:pPr>
              <w:widowControl/>
              <w:overflowPunct/>
              <w:autoSpaceDE/>
              <w:autoSpaceDN/>
              <w:adjustRightInd/>
              <w:jc w:val="center"/>
              <w:rPr>
                <w:color w:val="000000"/>
                <w:kern w:val="0"/>
              </w:rPr>
            </w:pPr>
            <w:r>
              <w:rPr>
                <w:color w:val="000000"/>
                <w:kern w:val="0"/>
              </w:rPr>
              <w:t>--</w:t>
            </w:r>
          </w:p>
        </w:tc>
        <w:tc>
          <w:tcPr>
            <w:tcW w:w="434" w:type="pct"/>
            <w:shd w:val="clear" w:color="auto" w:fill="auto"/>
            <w:vAlign w:val="center"/>
            <w:hideMark/>
          </w:tcPr>
          <w:p w:rsidR="005062E8" w:rsidRPr="003840F0" w:rsidP="002D604E" w14:paraId="3B49C7AD" w14:textId="0BDEB1A9">
            <w:pPr>
              <w:widowControl/>
              <w:overflowPunct/>
              <w:autoSpaceDE/>
              <w:autoSpaceDN/>
              <w:adjustRightInd/>
              <w:jc w:val="center"/>
              <w:rPr>
                <w:b/>
                <w:bCs/>
                <w:color w:val="000000"/>
                <w:kern w:val="0"/>
              </w:rPr>
            </w:pPr>
            <w:r>
              <w:rPr>
                <w:b/>
                <w:bCs/>
                <w:color w:val="000000"/>
                <w:kern w:val="0"/>
              </w:rPr>
              <w:t>1,</w:t>
            </w:r>
            <w:r w:rsidR="00C31C49">
              <w:rPr>
                <w:b/>
                <w:bCs/>
                <w:color w:val="000000"/>
                <w:kern w:val="0"/>
              </w:rPr>
              <w:t>3</w:t>
            </w:r>
            <w:r w:rsidR="00A469E8">
              <w:rPr>
                <w:b/>
                <w:bCs/>
                <w:color w:val="000000"/>
                <w:kern w:val="0"/>
              </w:rPr>
              <w:t>48,499</w:t>
            </w:r>
          </w:p>
        </w:tc>
        <w:tc>
          <w:tcPr>
            <w:tcW w:w="533" w:type="pct"/>
            <w:shd w:val="clear" w:color="auto" w:fill="auto"/>
            <w:vAlign w:val="center"/>
            <w:hideMark/>
          </w:tcPr>
          <w:p w:rsidR="005062E8" w:rsidRPr="003840F0" w:rsidP="002D604E" w14:paraId="187E1A9B" w14:textId="314F566F">
            <w:pPr>
              <w:widowControl/>
              <w:overflowPunct/>
              <w:autoSpaceDE/>
              <w:autoSpaceDN/>
              <w:adjustRightInd/>
              <w:jc w:val="center"/>
              <w:rPr>
                <w:color w:val="000000"/>
                <w:kern w:val="0"/>
              </w:rPr>
            </w:pPr>
            <w:r>
              <w:rPr>
                <w:color w:val="000000"/>
                <w:kern w:val="0"/>
              </w:rPr>
              <w:t>--</w:t>
            </w:r>
          </w:p>
        </w:tc>
        <w:tc>
          <w:tcPr>
            <w:tcW w:w="598" w:type="pct"/>
            <w:shd w:val="clear" w:color="auto" w:fill="auto"/>
            <w:noWrap/>
            <w:vAlign w:val="center"/>
            <w:hideMark/>
          </w:tcPr>
          <w:p w:rsidR="005062E8" w:rsidRPr="003840F0" w:rsidP="00B63DB7" w14:paraId="38CF6F38" w14:textId="0E0FEBDF">
            <w:pPr>
              <w:widowControl/>
              <w:overflowPunct/>
              <w:autoSpaceDE/>
              <w:autoSpaceDN/>
              <w:adjustRightInd/>
              <w:jc w:val="center"/>
              <w:rPr>
                <w:b/>
                <w:bCs/>
                <w:color w:val="000000"/>
                <w:kern w:val="0"/>
              </w:rPr>
            </w:pPr>
            <w:r w:rsidRPr="003840F0">
              <w:rPr>
                <w:b/>
                <w:bCs/>
                <w:color w:val="000000"/>
                <w:kern w:val="0"/>
              </w:rPr>
              <w:t>$</w:t>
            </w:r>
            <w:r w:rsidR="003724D6">
              <w:rPr>
                <w:b/>
                <w:bCs/>
                <w:color w:val="000000"/>
                <w:kern w:val="0"/>
              </w:rPr>
              <w:t>65,</w:t>
            </w:r>
            <w:r w:rsidR="00382533">
              <w:rPr>
                <w:b/>
                <w:bCs/>
                <w:color w:val="000000"/>
                <w:kern w:val="0"/>
              </w:rPr>
              <w:t>897,237</w:t>
            </w:r>
          </w:p>
        </w:tc>
      </w:tr>
    </w:tbl>
    <w:p w:rsidR="00EA0034" w14:paraId="78DFB035" w14:textId="13D87972">
      <w:pPr>
        <w:widowControl/>
        <w:overflowPunct/>
        <w:autoSpaceDE/>
        <w:autoSpaceDN/>
        <w:adjustRightInd/>
        <w:rPr>
          <w:sz w:val="24"/>
          <w:szCs w:val="24"/>
        </w:rPr>
        <w:sectPr w:rsidSect="005062E8">
          <w:pgSz w:w="15840" w:h="12240" w:orient="landscape"/>
          <w:pgMar w:top="1440" w:right="1440" w:bottom="1440" w:left="1440" w:header="720" w:footer="720" w:gutter="0"/>
          <w:pgNumType w:start="20"/>
          <w:cols w:space="720"/>
          <w:noEndnote/>
          <w:docGrid w:linePitch="272"/>
        </w:sectPr>
      </w:pPr>
      <w:r>
        <w:rPr>
          <w:sz w:val="24"/>
          <w:szCs w:val="24"/>
        </w:rPr>
        <w:t xml:space="preserve">*The number of respondents is </w:t>
      </w:r>
      <w:r w:rsidR="00F94798">
        <w:rPr>
          <w:sz w:val="24"/>
          <w:szCs w:val="24"/>
        </w:rPr>
        <w:t>175,399</w:t>
      </w:r>
      <w:r>
        <w:rPr>
          <w:sz w:val="24"/>
          <w:szCs w:val="24"/>
        </w:rPr>
        <w:t>. The number of respondents is unduplicated.</w:t>
      </w:r>
    </w:p>
    <w:p w:rsidR="0041263A" w:rsidP="005D6BC2" w14:paraId="15654E5B" w14:textId="77777777">
      <w:pPr>
        <w:widowControl/>
        <w:overflowPunct/>
        <w:autoSpaceDE/>
        <w:autoSpaceDN/>
        <w:adjustRightInd/>
        <w:rPr>
          <w:b/>
          <w:bCs/>
        </w:rPr>
      </w:pPr>
    </w:p>
    <w:p w:rsidR="00553E3D" w:rsidRPr="005D6BC2" w:rsidP="00553E3D" w14:paraId="46CDAB22" w14:textId="72B7BD10">
      <w:pPr>
        <w:shd w:val="solid" w:color="FFFFFF" w:fill="FFFFFF"/>
        <w:ind w:left="720" w:hanging="720"/>
        <w:rPr>
          <w:b/>
          <w:bCs/>
          <w:sz w:val="24"/>
          <w:szCs w:val="24"/>
        </w:rPr>
      </w:pPr>
      <w:r w:rsidRPr="005D6BC2">
        <w:rPr>
          <w:b/>
          <w:bCs/>
          <w:sz w:val="24"/>
          <w:szCs w:val="24"/>
        </w:rPr>
        <w:t>13.       Provide an estimate of the total annual cost burden to respondents or</w:t>
      </w:r>
      <w:r w:rsidR="001C7561">
        <w:rPr>
          <w:b/>
          <w:bCs/>
          <w:sz w:val="24"/>
          <w:szCs w:val="24"/>
        </w:rPr>
        <w:t xml:space="preserve"> </w:t>
      </w:r>
      <w:r w:rsidRPr="005D6BC2">
        <w:rPr>
          <w:b/>
          <w:bCs/>
          <w:sz w:val="24"/>
          <w:szCs w:val="24"/>
        </w:rPr>
        <w:t>recordkeepers resulting from the collection of information.  (Do not include the cost of any hour burden show in Item 12 and 14).</w:t>
      </w:r>
    </w:p>
    <w:p w:rsidR="00553E3D" w:rsidRPr="005D6BC2" w14:paraId="5B2B0D4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sz w:val="24"/>
          <w:szCs w:val="24"/>
        </w:rPr>
      </w:pPr>
      <w:r w:rsidRPr="005D6BC2">
        <w:rPr>
          <w:b/>
          <w:bCs/>
          <w:sz w:val="24"/>
          <w:szCs w:val="24"/>
        </w:rPr>
        <w:tab/>
      </w:r>
    </w:p>
    <w:p w:rsidR="00553E3D" w:rsidRPr="005D6BC2" w:rsidP="00553E3D" w14:paraId="1DA9DD33" w14:textId="2449AC19">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5D6BC2">
        <w:rPr>
          <w:b/>
          <w:bCs/>
          <w:sz w:val="24"/>
          <w:szCs w:val="24"/>
        </w:rPr>
        <w:t>The cost estimate should be split into two components: (a) a total capital and startup cost component (annualized over its expected useful li</w:t>
      </w:r>
      <w:r w:rsidR="009815AA">
        <w:rPr>
          <w:b/>
          <w:bCs/>
          <w:sz w:val="24"/>
          <w:szCs w:val="24"/>
        </w:rPr>
        <w:t>f</w:t>
      </w:r>
      <w:r w:rsidRPr="005D6BC2">
        <w:rPr>
          <w:b/>
          <w:bCs/>
          <w:sz w:val="24"/>
          <w:szCs w:val="24"/>
        </w:rPr>
        <w:t>e)</w:t>
      </w:r>
      <w:r w:rsidRPr="005D6BC2">
        <w:t>;</w:t>
      </w:r>
      <w:r w:rsidRPr="005D6BC2">
        <w:rPr>
          <w:b/>
          <w:bCs/>
          <w:sz w:val="24"/>
          <w:szCs w:val="24"/>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3E3D" w:rsidRPr="005D6BC2" w14:paraId="1897B70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rsidR="00553E3D" w:rsidRPr="005D6BC2" w:rsidP="00553E3D" w14:paraId="0F558F04" w14:textId="7E975C98">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5D6BC2">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5D6BC2" w:rsidR="00AE061E">
        <w:rPr>
          <w:b/>
          <w:bCs/>
          <w:sz w:val="24"/>
          <w:szCs w:val="24"/>
        </w:rPr>
        <w:t>respondents (</w:t>
      </w:r>
      <w:r w:rsidRPr="005D6BC2">
        <w:rPr>
          <w:b/>
          <w:bCs/>
          <w:sz w:val="24"/>
          <w:szCs w:val="24"/>
        </w:rPr>
        <w:t>fewer than 10), utilize the 60-day pre-OMB submission public comment process and use existing economic or regulatory impact analysis associated with the rule making containing the information collection, as appropriate.</w:t>
      </w:r>
    </w:p>
    <w:p w:rsidR="00553E3D" w:rsidRPr="005D6BC2" w14:paraId="605C4F8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553E3D" w:rsidP="00553E3D" w14:paraId="5063443B" w14:textId="70B8D71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5D6BC2">
        <w:rPr>
          <w:b/>
          <w:bCs/>
          <w:sz w:val="24"/>
          <w:szCs w:val="24"/>
        </w:rPr>
        <w:t>Generally, estimates should not include purchases of equipment or services</w:t>
      </w:r>
      <w:r w:rsidRPr="005D6BC2">
        <w:rPr>
          <w:b/>
          <w:bCs/>
          <w:sz w:val="24"/>
          <w:szCs w:val="24"/>
        </w:rPr>
        <w:tab/>
        <w:t>, or portions thereof, made: (1) prior to October 1, 1995, (2) to achieve regulatory compliance with requirements not associated with</w:t>
      </w:r>
      <w:r>
        <w:rPr>
          <w:b/>
          <w:bCs/>
        </w:rPr>
        <w:t xml:space="preserve"> </w:t>
      </w:r>
      <w:r w:rsidRPr="005D6BC2">
        <w:rPr>
          <w:b/>
          <w:bCs/>
          <w:sz w:val="24"/>
          <w:szCs w:val="24"/>
        </w:rPr>
        <w:t>the information collection, (3) for reasons other than to provide information or keep records for the government, or (4) as part of customary and usual business or private practices.</w:t>
      </w:r>
    </w:p>
    <w:p w:rsidR="004448AE" w:rsidRPr="005D6BC2" w:rsidP="00553E3D" w14:paraId="7E2085B0"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rsidR="00F86EE9" w:rsidRPr="005D6BC2" w:rsidP="00380D82" w14:paraId="0B3D7E01"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553E3D" w:rsidRPr="00772FE4" w14:paraId="04CD5633" w14:textId="61A110A1">
      <w:pPr>
        <w:shd w:val="solid" w:color="FFFFFF" w:fill="FFFFFF"/>
        <w:rPr>
          <w:sz w:val="24"/>
          <w:szCs w:val="24"/>
        </w:rPr>
      </w:pPr>
      <w:r w:rsidRPr="00772FE4">
        <w:rPr>
          <w:b/>
          <w:bCs/>
          <w:sz w:val="24"/>
          <w:szCs w:val="24"/>
          <w:u w:val="single"/>
        </w:rPr>
        <w:t>Explanation of Method of Estimating Costs</w:t>
      </w:r>
    </w:p>
    <w:p w:rsidR="00553E3D" w:rsidRPr="00772FE4" w14:paraId="54709567" w14:textId="77777777">
      <w:pPr>
        <w:shd w:val="solid" w:color="FFFFFF" w:fill="FFFFFF"/>
        <w:rPr>
          <w:sz w:val="24"/>
          <w:szCs w:val="24"/>
        </w:rPr>
      </w:pPr>
    </w:p>
    <w:p w:rsidR="00553E3D" w:rsidRPr="00772FE4" w14:paraId="7E207711" w14:textId="527BD273">
      <w:pPr>
        <w:shd w:val="solid" w:color="FFFFFF" w:fill="FFFFFF"/>
        <w:rPr>
          <w:sz w:val="24"/>
          <w:szCs w:val="24"/>
        </w:rPr>
      </w:pPr>
      <w:r w:rsidRPr="00772FE4">
        <w:rPr>
          <w:sz w:val="24"/>
          <w:szCs w:val="24"/>
        </w:rPr>
        <w:t xml:space="preserve">The assumptions used in calculating the cost estimates are based on information in the Regulatory Impact Analysis for the Lead in Construction Standard </w:t>
      </w:r>
      <w:r w:rsidR="00445E28">
        <w:rPr>
          <w:sz w:val="24"/>
          <w:szCs w:val="24"/>
        </w:rPr>
        <w:t xml:space="preserve">and </w:t>
      </w:r>
      <w:r w:rsidRPr="00772FE4">
        <w:rPr>
          <w:sz w:val="24"/>
          <w:szCs w:val="24"/>
        </w:rPr>
        <w:t xml:space="preserve">three supporting contractor reports. </w:t>
      </w:r>
      <w:r w:rsidR="007F3A34">
        <w:rPr>
          <w:sz w:val="24"/>
          <w:szCs w:val="24"/>
        </w:rPr>
        <w:t xml:space="preserve"> </w:t>
      </w:r>
      <w:r w:rsidRPr="00772FE4">
        <w:rPr>
          <w:sz w:val="24"/>
          <w:szCs w:val="24"/>
        </w:rPr>
        <w:t>The three supporting contractor reports are: (1) “Economic A</w:t>
      </w:r>
      <w:r w:rsidR="007F3A34">
        <w:rPr>
          <w:sz w:val="24"/>
          <w:szCs w:val="24"/>
        </w:rPr>
        <w:t>nalysis of OSHA’s Interim Final</w:t>
      </w:r>
      <w:r w:rsidRPr="00772FE4">
        <w:rPr>
          <w:sz w:val="24"/>
          <w:szCs w:val="24"/>
        </w:rPr>
        <w:t xml:space="preserve"> Standard for Lead in Construction” prepared by CONSAD Research Corporation in April 1993; (2) “Assessment of Potential Benefits As</w:t>
      </w:r>
      <w:r w:rsidR="007F3A34">
        <w:rPr>
          <w:sz w:val="24"/>
          <w:szCs w:val="24"/>
        </w:rPr>
        <w:t>sociated with the Interim Final</w:t>
      </w:r>
      <w:r w:rsidRPr="00772FE4">
        <w:rPr>
          <w:sz w:val="24"/>
          <w:szCs w:val="24"/>
        </w:rPr>
        <w:t xml:space="preserve"> Standard for Lad in Construction” (Appendix D of the CONSAD report) prepared by Meridian Research, Inc. in April 1993; and (3) “Quantitative Assessment of the Risks Associated with Exposure to Lead in the Construction Industry: Selected Toxicologic</w:t>
      </w:r>
      <w:r w:rsidR="00FA0962">
        <w:rPr>
          <w:sz w:val="24"/>
          <w:szCs w:val="24"/>
        </w:rPr>
        <w:t xml:space="preserve"> </w:t>
      </w:r>
      <w:r w:rsidRPr="00772FE4">
        <w:rPr>
          <w:sz w:val="24"/>
          <w:szCs w:val="24"/>
        </w:rPr>
        <w:t xml:space="preserve">Endpoints (Peer Review Draft Report)” prepared by Meridian Research, Inc. in August 1992. </w:t>
      </w:r>
      <w:r w:rsidR="000839E6">
        <w:rPr>
          <w:sz w:val="24"/>
          <w:szCs w:val="24"/>
        </w:rPr>
        <w:t xml:space="preserve"> </w:t>
      </w:r>
      <w:r w:rsidRPr="00772FE4">
        <w:rPr>
          <w:sz w:val="24"/>
          <w:szCs w:val="24"/>
        </w:rPr>
        <w:t xml:space="preserve">Updated costs for industrial hygienists’ services, exposure-monitoring equipment, and lead detection swabs are based on </w:t>
      </w:r>
      <w:r w:rsidR="00A41B81">
        <w:rPr>
          <w:sz w:val="24"/>
          <w:szCs w:val="24"/>
        </w:rPr>
        <w:t xml:space="preserve">recent </w:t>
      </w:r>
      <w:r w:rsidRPr="00772FE4">
        <w:rPr>
          <w:sz w:val="24"/>
          <w:szCs w:val="24"/>
        </w:rPr>
        <w:t xml:space="preserve">ERG </w:t>
      </w:r>
      <w:r w:rsidR="00A41B81">
        <w:rPr>
          <w:sz w:val="24"/>
          <w:szCs w:val="24"/>
        </w:rPr>
        <w:t>reviews of industry pricing</w:t>
      </w:r>
      <w:r w:rsidRPr="00772FE4">
        <w:rPr>
          <w:sz w:val="24"/>
          <w:szCs w:val="24"/>
        </w:rPr>
        <w:t>.</w:t>
      </w:r>
    </w:p>
    <w:p w:rsidR="00752DF0" w:rsidRPr="00772FE4" w14:paraId="50FBD293" w14:textId="77777777">
      <w:pPr>
        <w:shd w:val="solid" w:color="FFFFFF" w:fill="FFFFFF"/>
        <w:rPr>
          <w:sz w:val="24"/>
          <w:szCs w:val="24"/>
        </w:rPr>
      </w:pPr>
    </w:p>
    <w:p w:rsidR="00553E3D" w:rsidRPr="00B63DB7" w:rsidP="00B63DB7" w14:paraId="06017014" w14:textId="06CAB9E2">
      <w:pPr>
        <w:pStyle w:val="ListParagraph"/>
        <w:numPr>
          <w:ilvl w:val="0"/>
          <w:numId w:val="5"/>
        </w:numPr>
        <w:shd w:val="solid" w:color="FFFFFF" w:fill="FFFFFF"/>
        <w:rPr>
          <w:sz w:val="24"/>
          <w:szCs w:val="24"/>
        </w:rPr>
      </w:pPr>
      <w:r w:rsidRPr="00B63DB7">
        <w:rPr>
          <w:b/>
          <w:bCs/>
          <w:sz w:val="24"/>
          <w:szCs w:val="24"/>
        </w:rPr>
        <w:t>Exposure-monitoring (§ 1926.62(d))</w:t>
      </w:r>
    </w:p>
    <w:p w:rsidR="00553E3D" w:rsidRPr="00772FE4" w14:paraId="00355170" w14:textId="77777777">
      <w:pPr>
        <w:shd w:val="solid" w:color="FFFFFF" w:fill="FFFFFF"/>
        <w:rPr>
          <w:sz w:val="24"/>
          <w:szCs w:val="24"/>
        </w:rPr>
      </w:pPr>
    </w:p>
    <w:p w:rsidR="00752DF0" w14:paraId="04F9E685" w14:textId="77777777">
      <w:pPr>
        <w:shd w:val="solid" w:color="FFFFFF" w:fill="FFFFFF"/>
        <w:rPr>
          <w:b/>
          <w:bCs/>
          <w:sz w:val="24"/>
          <w:szCs w:val="24"/>
        </w:rPr>
      </w:pPr>
    </w:p>
    <w:p w:rsidR="00553E3D" w:rsidRPr="00B63DB7" w:rsidP="00B63DB7" w14:paraId="1881E293" w14:textId="5DEB6DA9">
      <w:pPr>
        <w:pStyle w:val="ListParagraph"/>
        <w:numPr>
          <w:ilvl w:val="0"/>
          <w:numId w:val="6"/>
        </w:numPr>
        <w:shd w:val="solid" w:color="FFFFFF" w:fill="FFFFFF"/>
        <w:rPr>
          <w:sz w:val="24"/>
          <w:szCs w:val="24"/>
        </w:rPr>
      </w:pPr>
      <w:r w:rsidRPr="00B63DB7">
        <w:rPr>
          <w:b/>
          <w:bCs/>
          <w:sz w:val="24"/>
          <w:szCs w:val="24"/>
        </w:rPr>
        <w:t>Initial Determination</w:t>
      </w:r>
    </w:p>
    <w:p w:rsidR="00553E3D" w:rsidRPr="00772FE4" w14:paraId="49DDCD50" w14:textId="77777777">
      <w:pPr>
        <w:shd w:val="solid" w:color="FFFFFF" w:fill="FFFFFF"/>
        <w:rPr>
          <w:sz w:val="24"/>
          <w:szCs w:val="24"/>
        </w:rPr>
      </w:pPr>
    </w:p>
    <w:p w:rsidR="00553E3D" w:rsidRPr="00772FE4" w14:paraId="5D1A48D7" w14:textId="4755435D">
      <w:pPr>
        <w:shd w:val="solid" w:color="FFFFFF" w:fill="FFFFFF"/>
        <w:rPr>
          <w:sz w:val="24"/>
          <w:szCs w:val="24"/>
        </w:rPr>
      </w:pPr>
      <w:r w:rsidRPr="00772FE4">
        <w:rPr>
          <w:sz w:val="24"/>
          <w:szCs w:val="24"/>
        </w:rPr>
        <w:t xml:space="preserve">As discussed above in the response to Items 12, OSHA assumes that employers engaged in fifteen of the twenty-five affected project types use a chemical identification test method (lead-detection swabs) to make determinations about the presence of lead on particular work sites. OSHA estimates that </w:t>
      </w:r>
      <w:r w:rsidR="00D23329">
        <w:rPr>
          <w:sz w:val="24"/>
          <w:szCs w:val="24"/>
        </w:rPr>
        <w:t xml:space="preserve">408,621 </w:t>
      </w:r>
      <w:r w:rsidRPr="00772FE4" w:rsidR="00D23329">
        <w:rPr>
          <w:sz w:val="24"/>
          <w:szCs w:val="24"/>
        </w:rPr>
        <w:t>projects</w:t>
      </w:r>
      <w:r w:rsidRPr="00772FE4">
        <w:rPr>
          <w:sz w:val="24"/>
          <w:szCs w:val="24"/>
        </w:rPr>
        <w:t xml:space="preserve"> per year are tested to determine whether lead was present. </w:t>
      </w:r>
      <w:r w:rsidR="007F3A34">
        <w:rPr>
          <w:sz w:val="24"/>
          <w:szCs w:val="24"/>
        </w:rPr>
        <w:t xml:space="preserve"> </w:t>
      </w:r>
      <w:r w:rsidRPr="00772FE4">
        <w:rPr>
          <w:sz w:val="24"/>
          <w:szCs w:val="24"/>
        </w:rPr>
        <w:t xml:space="preserve">These tests are performed by construction supervisors working for the affected firms. </w:t>
      </w:r>
      <w:r w:rsidR="007F3A34">
        <w:rPr>
          <w:sz w:val="24"/>
          <w:szCs w:val="24"/>
        </w:rPr>
        <w:t xml:space="preserve"> </w:t>
      </w:r>
      <w:r w:rsidRPr="00772FE4">
        <w:rPr>
          <w:sz w:val="24"/>
          <w:szCs w:val="24"/>
        </w:rPr>
        <w:t xml:space="preserve">Therefore, the wage cost attributable to this requirement is taken under Item 12. </w:t>
      </w:r>
      <w:r w:rsidR="007F3A34">
        <w:rPr>
          <w:sz w:val="24"/>
          <w:szCs w:val="24"/>
        </w:rPr>
        <w:t xml:space="preserve"> </w:t>
      </w:r>
      <w:r w:rsidRPr="00772FE4">
        <w:rPr>
          <w:sz w:val="24"/>
          <w:szCs w:val="24"/>
        </w:rPr>
        <w:t>The cost of purchasing the lead detection swabs i</w:t>
      </w:r>
      <w:r w:rsidR="00445E28">
        <w:rPr>
          <w:sz w:val="24"/>
          <w:szCs w:val="24"/>
        </w:rPr>
        <w:t>s</w:t>
      </w:r>
      <w:r w:rsidRPr="00772FE4">
        <w:rPr>
          <w:sz w:val="24"/>
          <w:szCs w:val="24"/>
        </w:rPr>
        <w:t xml:space="preserve"> taken in </w:t>
      </w:r>
      <w:r w:rsidR="002D1642">
        <w:rPr>
          <w:sz w:val="24"/>
          <w:szCs w:val="24"/>
        </w:rPr>
        <w:t xml:space="preserve">this section. </w:t>
      </w:r>
    </w:p>
    <w:p w:rsidR="00553E3D" w:rsidRPr="00772FE4" w14:paraId="546936CC" w14:textId="77777777">
      <w:pPr>
        <w:shd w:val="solid" w:color="FFFFFF" w:fill="FFFFFF"/>
        <w:rPr>
          <w:sz w:val="24"/>
          <w:szCs w:val="24"/>
        </w:rPr>
      </w:pPr>
    </w:p>
    <w:p w:rsidR="00553E3D" w:rsidRPr="00772FE4" w14:paraId="63681004" w14:textId="5F7A67A8">
      <w:pPr>
        <w:shd w:val="solid" w:color="FFFFFF" w:fill="FFFFFF"/>
        <w:rPr>
          <w:sz w:val="24"/>
          <w:szCs w:val="24"/>
        </w:rPr>
      </w:pPr>
      <w:r w:rsidRPr="00772FE4">
        <w:rPr>
          <w:sz w:val="24"/>
          <w:szCs w:val="24"/>
        </w:rPr>
        <w:t>Lead detection swabs range in cost from $</w:t>
      </w:r>
      <w:r w:rsidR="00A41B81">
        <w:rPr>
          <w:sz w:val="24"/>
          <w:szCs w:val="24"/>
        </w:rPr>
        <w:t>4.</w:t>
      </w:r>
      <w:r w:rsidR="00425004">
        <w:rPr>
          <w:sz w:val="24"/>
          <w:szCs w:val="24"/>
        </w:rPr>
        <w:t>26</w:t>
      </w:r>
      <w:r w:rsidRPr="00772FE4">
        <w:rPr>
          <w:sz w:val="24"/>
          <w:szCs w:val="24"/>
        </w:rPr>
        <w:t xml:space="preserve"> to $</w:t>
      </w:r>
      <w:r w:rsidR="00BB7A3D">
        <w:rPr>
          <w:sz w:val="24"/>
          <w:szCs w:val="24"/>
        </w:rPr>
        <w:t>4.26</w:t>
      </w:r>
      <w:r w:rsidRPr="00772FE4">
        <w:rPr>
          <w:sz w:val="24"/>
          <w:szCs w:val="24"/>
        </w:rPr>
        <w:t xml:space="preserve"> per swab depending upon the quantity purchased. </w:t>
      </w:r>
      <w:r w:rsidR="007F3A34">
        <w:rPr>
          <w:sz w:val="24"/>
          <w:szCs w:val="24"/>
        </w:rPr>
        <w:t xml:space="preserve"> </w:t>
      </w:r>
      <w:r w:rsidRPr="00772FE4">
        <w:rPr>
          <w:sz w:val="24"/>
          <w:szCs w:val="24"/>
        </w:rPr>
        <w:t xml:space="preserve">The lower cost assumes the purchase of </w:t>
      </w:r>
      <w:r w:rsidR="000E0955">
        <w:rPr>
          <w:sz w:val="24"/>
          <w:szCs w:val="24"/>
        </w:rPr>
        <w:t xml:space="preserve">pack containing </w:t>
      </w:r>
      <w:r w:rsidR="00D23329">
        <w:rPr>
          <w:sz w:val="24"/>
          <w:szCs w:val="24"/>
        </w:rPr>
        <w:t xml:space="preserve">eight </w:t>
      </w:r>
      <w:r w:rsidR="000E0955">
        <w:rPr>
          <w:sz w:val="24"/>
          <w:szCs w:val="24"/>
        </w:rPr>
        <w:t>swabs for $</w:t>
      </w:r>
      <w:r w:rsidR="000F6D82">
        <w:rPr>
          <w:sz w:val="24"/>
          <w:szCs w:val="24"/>
        </w:rPr>
        <w:t>34.04</w:t>
      </w:r>
      <w:r w:rsidRPr="00772FE4">
        <w:rPr>
          <w:sz w:val="24"/>
          <w:szCs w:val="24"/>
        </w:rPr>
        <w:t xml:space="preserve">, while the higher cost assumes the purchase of one pack containing </w:t>
      </w:r>
      <w:r w:rsidR="000E0955">
        <w:rPr>
          <w:sz w:val="24"/>
          <w:szCs w:val="24"/>
        </w:rPr>
        <w:t>2 swabs</w:t>
      </w:r>
      <w:r w:rsidRPr="00772FE4">
        <w:rPr>
          <w:sz w:val="24"/>
          <w:szCs w:val="24"/>
        </w:rPr>
        <w:t xml:space="preserve"> for $</w:t>
      </w:r>
      <w:r w:rsidR="00337BA9">
        <w:rPr>
          <w:sz w:val="24"/>
          <w:szCs w:val="24"/>
        </w:rPr>
        <w:t>8.51</w:t>
      </w:r>
      <w:r w:rsidRPr="00772FE4">
        <w:rPr>
          <w:sz w:val="24"/>
          <w:szCs w:val="24"/>
        </w:rPr>
        <w:t>. Assuming 4-8 swabs are used on the average project (where lead detection is deemed necessary)</w:t>
      </w:r>
      <w:r w:rsidR="000839E6">
        <w:rPr>
          <w:sz w:val="24"/>
          <w:szCs w:val="24"/>
        </w:rPr>
        <w:t>,</w:t>
      </w:r>
      <w:r w:rsidRPr="00772FE4">
        <w:rPr>
          <w:sz w:val="24"/>
          <w:szCs w:val="24"/>
        </w:rPr>
        <w:t xml:space="preserve"> test swabs are estimated to cost $</w:t>
      </w:r>
      <w:r w:rsidR="00842379">
        <w:rPr>
          <w:sz w:val="24"/>
          <w:szCs w:val="24"/>
        </w:rPr>
        <w:t>25.</w:t>
      </w:r>
      <w:r w:rsidR="003347CA">
        <w:rPr>
          <w:sz w:val="24"/>
          <w:szCs w:val="24"/>
        </w:rPr>
        <w:t>5</w:t>
      </w:r>
      <w:r w:rsidR="00B108EC">
        <w:rPr>
          <w:sz w:val="24"/>
          <w:szCs w:val="24"/>
        </w:rPr>
        <w:t>6</w:t>
      </w:r>
      <w:r w:rsidR="003158E2">
        <w:rPr>
          <w:sz w:val="24"/>
          <w:szCs w:val="24"/>
        </w:rPr>
        <w:t xml:space="preserve"> </w:t>
      </w:r>
      <w:r w:rsidRPr="00772FE4">
        <w:rPr>
          <w:sz w:val="24"/>
          <w:szCs w:val="24"/>
        </w:rPr>
        <w:t>per project</w:t>
      </w:r>
      <w:r w:rsidR="00654530">
        <w:rPr>
          <w:sz w:val="24"/>
          <w:szCs w:val="24"/>
        </w:rPr>
        <w:t xml:space="preserve"> (</w:t>
      </w:r>
      <w:r w:rsidR="002F3F9C">
        <w:rPr>
          <w:sz w:val="24"/>
          <w:szCs w:val="24"/>
        </w:rPr>
        <w:t xml:space="preserve">this number is based on </w:t>
      </w:r>
      <w:r w:rsidR="00D23329">
        <w:rPr>
          <w:sz w:val="24"/>
          <w:szCs w:val="24"/>
        </w:rPr>
        <w:t>the average of 6 packs per project,</w:t>
      </w:r>
      <w:r w:rsidR="00C920F5">
        <w:rPr>
          <w:sz w:val="24"/>
          <w:szCs w:val="24"/>
        </w:rPr>
        <w:t xml:space="preserve"> which </w:t>
      </w:r>
      <w:r w:rsidR="00A92C87">
        <w:rPr>
          <w:sz w:val="24"/>
          <w:szCs w:val="24"/>
        </w:rPr>
        <w:t>is</w:t>
      </w:r>
      <w:r w:rsidR="005F304C">
        <w:rPr>
          <w:sz w:val="24"/>
          <w:szCs w:val="24"/>
        </w:rPr>
        <w:t xml:space="preserve"> $34.04 minus 8.51</w:t>
      </w:r>
      <w:r w:rsidR="00D063A3">
        <w:rPr>
          <w:sz w:val="24"/>
          <w:szCs w:val="24"/>
        </w:rPr>
        <w:t xml:space="preserve"> equals $25.5</w:t>
      </w:r>
      <w:r w:rsidR="00B108EC">
        <w:rPr>
          <w:sz w:val="24"/>
          <w:szCs w:val="24"/>
        </w:rPr>
        <w:t>6</w:t>
      </w:r>
      <w:r w:rsidR="005F304C">
        <w:rPr>
          <w:sz w:val="24"/>
          <w:szCs w:val="24"/>
        </w:rPr>
        <w:t>)</w:t>
      </w:r>
      <w:r w:rsidRPr="00772FE4">
        <w:rPr>
          <w:sz w:val="24"/>
          <w:szCs w:val="24"/>
        </w:rPr>
        <w:t>.</w:t>
      </w:r>
      <w:r>
        <w:rPr>
          <w:sz w:val="24"/>
          <w:szCs w:val="24"/>
          <w:vertAlign w:val="superscript"/>
        </w:rPr>
        <w:footnoteReference w:id="17"/>
      </w:r>
    </w:p>
    <w:p w:rsidR="00553E3D" w14:paraId="2A3B567A" w14:textId="77777777">
      <w:pPr>
        <w:shd w:val="solid" w:color="FFFFFF" w:fill="FFFFFF"/>
        <w:rPr>
          <w:sz w:val="22"/>
          <w:szCs w:val="22"/>
        </w:rPr>
      </w:pPr>
    </w:p>
    <w:p w:rsidR="00553E3D" w:rsidRPr="00772FE4" w14:paraId="417144D0" w14:textId="58482D30">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6351C5">
        <w:rPr>
          <w:sz w:val="24"/>
          <w:szCs w:val="24"/>
        </w:rPr>
        <w:t xml:space="preserve">408,621 </w:t>
      </w:r>
      <w:r w:rsidRPr="00772FE4">
        <w:rPr>
          <w:sz w:val="24"/>
          <w:szCs w:val="24"/>
        </w:rPr>
        <w:t>× $</w:t>
      </w:r>
      <w:r w:rsidR="00C51139">
        <w:rPr>
          <w:sz w:val="24"/>
          <w:szCs w:val="24"/>
        </w:rPr>
        <w:t>25.</w:t>
      </w:r>
      <w:r w:rsidR="00B868D5">
        <w:rPr>
          <w:sz w:val="24"/>
          <w:szCs w:val="24"/>
        </w:rPr>
        <w:t>56 per</w:t>
      </w:r>
      <w:r w:rsidRPr="00772FE4">
        <w:rPr>
          <w:sz w:val="24"/>
          <w:szCs w:val="24"/>
        </w:rPr>
        <w:t xml:space="preserve"> project = $</w:t>
      </w:r>
      <w:r w:rsidR="00B108EC">
        <w:rPr>
          <w:sz w:val="24"/>
          <w:szCs w:val="24"/>
        </w:rPr>
        <w:t>10,444,353</w:t>
      </w:r>
      <w:r w:rsidR="0016315A">
        <w:rPr>
          <w:sz w:val="24"/>
          <w:szCs w:val="24"/>
        </w:rPr>
        <w:t xml:space="preserve"> </w:t>
      </w:r>
    </w:p>
    <w:p w:rsidR="00553E3D" w:rsidRPr="00772FE4" w14:paraId="3169A5C6" w14:textId="77777777">
      <w:pPr>
        <w:shd w:val="solid" w:color="FFFFFF" w:fill="FFFFFF"/>
        <w:rPr>
          <w:sz w:val="24"/>
          <w:szCs w:val="24"/>
        </w:rPr>
      </w:pPr>
    </w:p>
    <w:p w:rsidR="00553E3D" w:rsidRPr="00B63DB7" w:rsidP="00B63DB7" w14:paraId="3D0957F9" w14:textId="7F6591F4">
      <w:pPr>
        <w:pStyle w:val="ListParagraph"/>
        <w:numPr>
          <w:ilvl w:val="0"/>
          <w:numId w:val="6"/>
        </w:numPr>
        <w:shd w:val="solid" w:color="FFFFFF" w:fill="FFFFFF"/>
        <w:rPr>
          <w:sz w:val="24"/>
          <w:szCs w:val="24"/>
        </w:rPr>
      </w:pPr>
      <w:r w:rsidRPr="00B63DB7">
        <w:rPr>
          <w:b/>
          <w:bCs/>
          <w:sz w:val="24"/>
          <w:szCs w:val="24"/>
        </w:rPr>
        <w:t>Monitoring Conducted for the Initial Determination</w:t>
      </w:r>
    </w:p>
    <w:p w:rsidR="00553E3D" w:rsidRPr="00772FE4" w14:paraId="2A80CA65" w14:textId="77777777">
      <w:pPr>
        <w:shd w:val="solid" w:color="FFFFFF" w:fill="FFFFFF"/>
        <w:rPr>
          <w:sz w:val="24"/>
          <w:szCs w:val="24"/>
        </w:rPr>
      </w:pPr>
    </w:p>
    <w:p w:rsidR="00553E3D" w:rsidRPr="00772FE4" w14:paraId="29E13D7D" w14:textId="75E786FF">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7F3A34">
        <w:rPr>
          <w:sz w:val="24"/>
          <w:szCs w:val="24"/>
        </w:rPr>
        <w:t xml:space="preserve"> </w:t>
      </w:r>
      <w:r w:rsidRPr="00772FE4">
        <w:rPr>
          <w:sz w:val="24"/>
          <w:szCs w:val="24"/>
        </w:rPr>
        <w:t xml:space="preserve">This determination may be made </w:t>
      </w:r>
      <w:r w:rsidR="00D23329">
        <w:rPr>
          <w:sz w:val="24"/>
          <w:szCs w:val="24"/>
        </w:rPr>
        <w:t>based on</w:t>
      </w:r>
      <w:r w:rsidRPr="00772FE4">
        <w:rPr>
          <w:sz w:val="24"/>
          <w:szCs w:val="24"/>
        </w:rPr>
        <w:t xml:space="preserve"> (1) new exposure-monitoring, (2) relevant exposure-monitoring data collected by the employer within the previous 12 months (historical monitoring data), or (3) objective data showing the worst-case exposures will be below the action level. </w:t>
      </w:r>
      <w:r w:rsidR="007F3A34">
        <w:rPr>
          <w:sz w:val="24"/>
          <w:szCs w:val="24"/>
        </w:rPr>
        <w:t xml:space="preserve"> </w:t>
      </w:r>
      <w:r w:rsidRPr="00772FE4">
        <w:rPr>
          <w:sz w:val="24"/>
          <w:szCs w:val="24"/>
        </w:rPr>
        <w:t xml:space="preserve">As described above under the discussion associated with Item 12, due to the costs and burdens associated with repeated exposure-monitoring, all firms engaged in projects with worker exposures </w:t>
      </w:r>
      <w:r w:rsidR="00AD4840">
        <w:rPr>
          <w:sz w:val="24"/>
          <w:szCs w:val="24"/>
        </w:rPr>
        <w:t xml:space="preserve">at or </w:t>
      </w:r>
      <w:r w:rsidRPr="00772FE4">
        <w:rPr>
          <w:sz w:val="24"/>
          <w:szCs w:val="24"/>
        </w:rPr>
        <w:t>above the action level will collect representative monitoring data so the firms can make initial determinations without the need to conduct monitoring at every worksite throughout the year.</w:t>
      </w:r>
    </w:p>
    <w:p w:rsidR="00553E3D" w:rsidRPr="00772FE4" w14:paraId="4100B21C" w14:textId="77777777">
      <w:pPr>
        <w:shd w:val="solid" w:color="FFFFFF" w:fill="FFFFFF"/>
        <w:rPr>
          <w:sz w:val="24"/>
          <w:szCs w:val="24"/>
        </w:rPr>
      </w:pPr>
    </w:p>
    <w:p w:rsidR="00553E3D" w:rsidRPr="00772FE4" w14:paraId="52BDC3DF" w14:textId="65860622">
      <w:pPr>
        <w:shd w:val="solid" w:color="FFFFFF" w:fill="FFFFFF"/>
        <w:rPr>
          <w:sz w:val="24"/>
          <w:szCs w:val="24"/>
        </w:rPr>
      </w:pPr>
      <w:r w:rsidRPr="00772FE4">
        <w:rPr>
          <w:sz w:val="24"/>
          <w:szCs w:val="24"/>
        </w:rPr>
        <w:t xml:space="preserve">OSHA estimates that </w:t>
      </w:r>
      <w:r w:rsidR="00483EC9">
        <w:rPr>
          <w:sz w:val="24"/>
          <w:szCs w:val="24"/>
        </w:rPr>
        <w:t>72,120 firms</w:t>
      </w:r>
      <w:r w:rsidRPr="00772FE4">
        <w:rPr>
          <w:sz w:val="24"/>
          <w:szCs w:val="24"/>
        </w:rPr>
        <w:t xml:space="preserve"> conduct one session of representative monitoring annually </w:t>
      </w:r>
      <w:r w:rsidR="00D23329">
        <w:rPr>
          <w:sz w:val="24"/>
          <w:szCs w:val="24"/>
        </w:rPr>
        <w:t xml:space="preserve">to satisfy the initial determination requirement and that there are 72,120 representative monitoring sessions </w:t>
      </w:r>
      <w:r w:rsidRPr="00772FE4">
        <w:rPr>
          <w:sz w:val="24"/>
          <w:szCs w:val="24"/>
        </w:rPr>
        <w:t>per year.</w:t>
      </w:r>
    </w:p>
    <w:p w:rsidR="00553E3D" w:rsidRPr="00772FE4" w14:paraId="55102AD6" w14:textId="77777777">
      <w:pPr>
        <w:shd w:val="solid" w:color="FFFFFF" w:fill="FFFFFF"/>
        <w:rPr>
          <w:sz w:val="24"/>
          <w:szCs w:val="24"/>
        </w:rPr>
      </w:pPr>
    </w:p>
    <w:p w:rsidR="00553E3D" w:rsidRPr="00772FE4" w14:paraId="68483200" w14:textId="2FCE07FA">
      <w:pPr>
        <w:shd w:val="solid" w:color="FFFFFF" w:fill="FFFFFF"/>
        <w:rPr>
          <w:sz w:val="24"/>
          <w:szCs w:val="24"/>
        </w:rPr>
      </w:pPr>
      <w:r w:rsidRPr="00772FE4">
        <w:rPr>
          <w:sz w:val="24"/>
          <w:szCs w:val="24"/>
        </w:rPr>
        <w:t xml:space="preserve">As discussed in the response to Item 12, OSHA assumes that </w:t>
      </w:r>
      <w:r w:rsidR="00483EC9">
        <w:rPr>
          <w:sz w:val="24"/>
          <w:szCs w:val="24"/>
        </w:rPr>
        <w:t xml:space="preserve">14,243 </w:t>
      </w:r>
      <w:r w:rsidRPr="00772FE4" w:rsidR="00483EC9">
        <w:rPr>
          <w:sz w:val="24"/>
          <w:szCs w:val="24"/>
        </w:rPr>
        <w:t>firms</w:t>
      </w:r>
      <w:r w:rsidRPr="00772FE4">
        <w:rPr>
          <w:sz w:val="24"/>
          <w:szCs w:val="24"/>
        </w:rPr>
        <w:t xml:space="preserve"> contract with industrial hygiene consultants to collect representative exposure-monitoring data</w:t>
      </w:r>
      <w:r w:rsidR="00C53891">
        <w:rPr>
          <w:sz w:val="24"/>
          <w:szCs w:val="24"/>
        </w:rPr>
        <w:t>.  D</w:t>
      </w:r>
      <w:r w:rsidRPr="00772FE4">
        <w:rPr>
          <w:sz w:val="24"/>
          <w:szCs w:val="24"/>
        </w:rPr>
        <w:t xml:space="preserve">ifferent </w:t>
      </w:r>
      <w:r w:rsidRPr="00772FE4">
        <w:rPr>
          <w:sz w:val="24"/>
          <w:szCs w:val="24"/>
        </w:rPr>
        <w:t>assumptions were ma</w:t>
      </w:r>
      <w:r w:rsidR="005B4C1C">
        <w:rPr>
          <w:sz w:val="24"/>
          <w:szCs w:val="24"/>
        </w:rPr>
        <w:t xml:space="preserve">de concerning monitoring </w:t>
      </w:r>
      <w:r w:rsidRPr="00772FE4">
        <w:rPr>
          <w:sz w:val="24"/>
          <w:szCs w:val="24"/>
        </w:rPr>
        <w:t xml:space="preserve">for the </w:t>
      </w:r>
      <w:r w:rsidR="00483EC9">
        <w:rPr>
          <w:sz w:val="24"/>
          <w:szCs w:val="24"/>
        </w:rPr>
        <w:t>57,877 Commercial</w:t>
      </w:r>
      <w:r w:rsidRPr="00772FE4">
        <w:rPr>
          <w:sz w:val="24"/>
          <w:szCs w:val="24"/>
        </w:rPr>
        <w:t xml:space="preserve"> and Institutional Remodeling and Residential Remodeling projects</w:t>
      </w:r>
      <w:r w:rsidR="00C53891">
        <w:rPr>
          <w:sz w:val="24"/>
          <w:szCs w:val="24"/>
        </w:rPr>
        <w:t xml:space="preserve"> (“Remodeling” projects)</w:t>
      </w:r>
      <w:r w:rsidRPr="00772FE4">
        <w:rPr>
          <w:sz w:val="24"/>
          <w:szCs w:val="24"/>
        </w:rPr>
        <w:t xml:space="preserve">. </w:t>
      </w:r>
      <w:r w:rsidR="00C53891">
        <w:rPr>
          <w:sz w:val="24"/>
          <w:szCs w:val="24"/>
        </w:rPr>
        <w:t xml:space="preserve"> </w:t>
      </w:r>
      <w:r w:rsidRPr="00772FE4">
        <w:rPr>
          <w:sz w:val="24"/>
          <w:szCs w:val="24"/>
        </w:rPr>
        <w:t xml:space="preserve">For these firms, the cost of the Initial Determination requirement that are included in the response </w:t>
      </w:r>
      <w:r w:rsidR="002D1642">
        <w:rPr>
          <w:sz w:val="24"/>
          <w:szCs w:val="24"/>
        </w:rPr>
        <w:t>under this section c</w:t>
      </w:r>
      <w:r w:rsidRPr="00772FE4">
        <w:rPr>
          <w:sz w:val="24"/>
          <w:szCs w:val="24"/>
        </w:rPr>
        <w:t>onsist of the cost for contracted industrial hygienist services and the cost of laboratory analysis of the air monitoring samples collected by the industrial hygienists.</w:t>
      </w:r>
    </w:p>
    <w:p w:rsidR="00553E3D" w:rsidRPr="00772FE4" w14:paraId="34B3172C" w14:textId="77777777">
      <w:pPr>
        <w:shd w:val="solid" w:color="FFFFFF" w:fill="FFFFFF"/>
        <w:rPr>
          <w:sz w:val="24"/>
          <w:szCs w:val="24"/>
        </w:rPr>
      </w:pPr>
    </w:p>
    <w:p w:rsidR="00C53891" w14:paraId="558CBF69" w14:textId="77777777">
      <w:pPr>
        <w:shd w:val="solid" w:color="FFFFFF" w:fill="FFFFFF"/>
        <w:rPr>
          <w:sz w:val="24"/>
          <w:szCs w:val="24"/>
        </w:rPr>
      </w:pPr>
      <w:r>
        <w:rPr>
          <w:sz w:val="24"/>
          <w:szCs w:val="24"/>
        </w:rPr>
        <w:tab/>
        <w:t>All Projects Except Remodeling Projects</w:t>
      </w:r>
    </w:p>
    <w:p w:rsidR="00C53891" w14:paraId="1398037A" w14:textId="77777777">
      <w:pPr>
        <w:shd w:val="solid" w:color="FFFFFF" w:fill="FFFFFF"/>
        <w:rPr>
          <w:sz w:val="24"/>
          <w:szCs w:val="24"/>
        </w:rPr>
      </w:pPr>
    </w:p>
    <w:p w:rsidR="00553E3D" w:rsidRPr="00772FE4" w14:paraId="49CA1B1D" w14:textId="684CAC15">
      <w:pPr>
        <w:shd w:val="solid" w:color="FFFFFF" w:fill="FFFFFF"/>
        <w:rPr>
          <w:sz w:val="24"/>
          <w:szCs w:val="24"/>
        </w:rPr>
      </w:pPr>
      <w:r w:rsidRPr="00772FE4">
        <w:rPr>
          <w:sz w:val="24"/>
          <w:szCs w:val="24"/>
        </w:rPr>
        <w:t xml:space="preserve">Each of the </w:t>
      </w:r>
      <w:r w:rsidR="00FB2A9F">
        <w:rPr>
          <w:sz w:val="24"/>
          <w:szCs w:val="24"/>
        </w:rPr>
        <w:t>14,243</w:t>
      </w:r>
      <w:r w:rsidRPr="00772FE4">
        <w:rPr>
          <w:sz w:val="24"/>
          <w:szCs w:val="24"/>
        </w:rPr>
        <w:t xml:space="preserve"> firms </w:t>
      </w:r>
      <w:r w:rsidR="006E1C6E">
        <w:rPr>
          <w:sz w:val="24"/>
          <w:szCs w:val="24"/>
        </w:rPr>
        <w:t xml:space="preserve">conducts one representative monitoring per year, for an annual total of 14,243 </w:t>
      </w:r>
      <w:r w:rsidR="006E1C6E">
        <w:rPr>
          <w:sz w:val="24"/>
          <w:szCs w:val="24"/>
        </w:rPr>
        <w:t>monitorings</w:t>
      </w:r>
      <w:r w:rsidR="006E1C6E">
        <w:rPr>
          <w:sz w:val="24"/>
          <w:szCs w:val="24"/>
        </w:rPr>
        <w:t xml:space="preserve"> across the thirteen project types. OSHA assumes eight hours of an industrial hygienist contractor’s time is needed to collect representative monitoring data and four hours of an industrial hygienist contractor’s time is needed to prepare a report documenting the results of the exposure monitoring. </w:t>
      </w:r>
      <w:r w:rsidRPr="00772FE4">
        <w:rPr>
          <w:sz w:val="24"/>
          <w:szCs w:val="24"/>
        </w:rPr>
        <w:t xml:space="preserve">Therefore, OSHA assumes a total of 12 hours of labor time associated with each representative monitoring. </w:t>
      </w:r>
      <w:r w:rsidR="006E1C6E">
        <w:rPr>
          <w:sz w:val="24"/>
          <w:szCs w:val="24"/>
        </w:rPr>
        <w:t>Contracting outside industrial hygienist services costs</w:t>
      </w:r>
      <w:r w:rsidRPr="00772FE4">
        <w:rPr>
          <w:sz w:val="24"/>
          <w:szCs w:val="24"/>
        </w:rPr>
        <w:t xml:space="preserve"> approximately $</w:t>
      </w:r>
      <w:r w:rsidR="00926991">
        <w:rPr>
          <w:sz w:val="24"/>
          <w:szCs w:val="24"/>
        </w:rPr>
        <w:t>91</w:t>
      </w:r>
      <w:r w:rsidR="0009307F">
        <w:rPr>
          <w:sz w:val="24"/>
          <w:szCs w:val="24"/>
        </w:rPr>
        <w:t>.79</w:t>
      </w:r>
      <w:r w:rsidRPr="00772FE4">
        <w:rPr>
          <w:sz w:val="24"/>
          <w:szCs w:val="24"/>
        </w:rPr>
        <w:t xml:space="preserve"> per hour.</w:t>
      </w:r>
      <w:r>
        <w:rPr>
          <w:sz w:val="24"/>
          <w:szCs w:val="24"/>
          <w:vertAlign w:val="superscript"/>
        </w:rPr>
        <w:footnoteReference w:id="18"/>
      </w:r>
      <w:r w:rsidRPr="00772FE4">
        <w:rPr>
          <w:sz w:val="24"/>
          <w:szCs w:val="24"/>
        </w:rPr>
        <w:t xml:space="preserve"> </w:t>
      </w:r>
      <w:r w:rsidR="007F3A34">
        <w:rPr>
          <w:sz w:val="24"/>
          <w:szCs w:val="24"/>
        </w:rPr>
        <w:t xml:space="preserve"> </w:t>
      </w:r>
      <w:r w:rsidRPr="00772FE4">
        <w:rPr>
          <w:sz w:val="24"/>
          <w:szCs w:val="24"/>
        </w:rPr>
        <w:t>Thus, by project type, the labor cost formula is: (#</w:t>
      </w:r>
      <w:r w:rsidR="00A11017">
        <w:rPr>
          <w:sz w:val="24"/>
          <w:szCs w:val="24"/>
        </w:rPr>
        <w:t xml:space="preserve"> </w:t>
      </w:r>
      <w:r w:rsidRPr="00772FE4">
        <w:rPr>
          <w:sz w:val="24"/>
          <w:szCs w:val="24"/>
        </w:rPr>
        <w:t xml:space="preserve">of </w:t>
      </w:r>
      <w:r w:rsidRPr="00772FE4" w:rsidR="00DD7250">
        <w:rPr>
          <w:sz w:val="24"/>
          <w:szCs w:val="24"/>
        </w:rPr>
        <w:t>monitoring</w:t>
      </w:r>
      <w:r w:rsidRPr="00772FE4">
        <w:rPr>
          <w:sz w:val="24"/>
          <w:szCs w:val="24"/>
        </w:rPr>
        <w:t xml:space="preserve"> by project type) × (12 industrial hygienist labor hours/monitoring) × ($</w:t>
      </w:r>
      <w:r w:rsidR="00A41B81">
        <w:rPr>
          <w:sz w:val="24"/>
          <w:szCs w:val="24"/>
        </w:rPr>
        <w:t>95.25</w:t>
      </w:r>
      <w:r w:rsidRPr="00772FE4">
        <w:rPr>
          <w:sz w:val="24"/>
          <w:szCs w:val="24"/>
        </w:rPr>
        <w:t>/hour of industrial hygienist labor).</w:t>
      </w:r>
    </w:p>
    <w:p w:rsidR="00553E3D" w:rsidRPr="00772FE4" w14:paraId="697EFF6D" w14:textId="77777777">
      <w:pPr>
        <w:shd w:val="solid" w:color="FFFFFF" w:fill="FFFFFF"/>
        <w:rPr>
          <w:sz w:val="24"/>
          <w:szCs w:val="24"/>
        </w:rPr>
      </w:pPr>
    </w:p>
    <w:p w:rsidR="00553E3D" w:rsidRPr="00772FE4" w14:paraId="4819D4E9" w14:textId="5C6D7F93">
      <w:pPr>
        <w:shd w:val="solid" w:color="FFFFFF" w:fill="FFFFFF"/>
        <w:ind w:left="2160" w:hanging="1440"/>
        <w:rPr>
          <w:sz w:val="24"/>
          <w:szCs w:val="24"/>
        </w:rPr>
      </w:pPr>
      <w:r w:rsidRPr="00772FE4">
        <w:rPr>
          <w:b/>
          <w:bCs/>
          <w:sz w:val="24"/>
          <w:szCs w:val="24"/>
        </w:rPr>
        <w:t>Cost:</w:t>
      </w:r>
      <w:r w:rsidRPr="00772FE4">
        <w:rPr>
          <w:sz w:val="24"/>
          <w:szCs w:val="24"/>
        </w:rPr>
        <w:tab/>
      </w:r>
      <w:r w:rsidR="00FB2A9F">
        <w:rPr>
          <w:sz w:val="24"/>
          <w:szCs w:val="24"/>
        </w:rPr>
        <w:t>14,243</w:t>
      </w:r>
      <w:r w:rsidRPr="00772FE4">
        <w:rPr>
          <w:sz w:val="24"/>
          <w:szCs w:val="24"/>
        </w:rPr>
        <w:t xml:space="preserve"> </w:t>
      </w:r>
      <w:r w:rsidRPr="00772FE4">
        <w:rPr>
          <w:sz w:val="24"/>
          <w:szCs w:val="24"/>
        </w:rPr>
        <w:t>monitorings</w:t>
      </w:r>
      <w:r w:rsidRPr="00772FE4">
        <w:rPr>
          <w:sz w:val="24"/>
          <w:szCs w:val="24"/>
        </w:rPr>
        <w:t xml:space="preserve"> × 12 hours industrial hygienist labor × $</w:t>
      </w:r>
      <w:r w:rsidR="0009307F">
        <w:rPr>
          <w:sz w:val="24"/>
          <w:szCs w:val="24"/>
        </w:rPr>
        <w:t>91.79</w:t>
      </w:r>
      <w:r w:rsidR="00C77C9D">
        <w:rPr>
          <w:sz w:val="24"/>
          <w:szCs w:val="24"/>
        </w:rPr>
        <w:t xml:space="preserve"> </w:t>
      </w:r>
      <w:r w:rsidRPr="00772FE4">
        <w:rPr>
          <w:sz w:val="24"/>
          <w:szCs w:val="24"/>
        </w:rPr>
        <w:t>/hour of industrial hygienist labor) =</w:t>
      </w:r>
      <w:r w:rsidRPr="00772FE4">
        <w:rPr>
          <w:b/>
          <w:bCs/>
          <w:sz w:val="24"/>
          <w:szCs w:val="24"/>
        </w:rPr>
        <w:t xml:space="preserve"> $</w:t>
      </w:r>
      <w:r w:rsidR="007B5E52">
        <w:rPr>
          <w:b/>
          <w:bCs/>
          <w:sz w:val="24"/>
          <w:szCs w:val="24"/>
        </w:rPr>
        <w:t>15,688,380</w:t>
      </w:r>
      <w:r w:rsidR="00B40F2F">
        <w:rPr>
          <w:b/>
          <w:bCs/>
          <w:sz w:val="24"/>
          <w:szCs w:val="24"/>
        </w:rPr>
        <w:t xml:space="preserve"> </w:t>
      </w:r>
    </w:p>
    <w:p w:rsidR="00553E3D" w:rsidRPr="00772FE4" w14:paraId="2209C018" w14:textId="77777777">
      <w:pPr>
        <w:shd w:val="solid" w:color="FFFFFF" w:fill="FFFFFF"/>
        <w:rPr>
          <w:sz w:val="24"/>
          <w:szCs w:val="24"/>
        </w:rPr>
      </w:pPr>
    </w:p>
    <w:p w:rsidR="00553E3D" w14:paraId="6B1B1D33" w14:textId="24E8C5E5">
      <w:pPr>
        <w:shd w:val="solid" w:color="FFFFFF" w:fill="FFFFFF"/>
        <w:rPr>
          <w:sz w:val="24"/>
          <w:szCs w:val="24"/>
        </w:rPr>
      </w:pPr>
      <w:r w:rsidRPr="00772FE4">
        <w:rPr>
          <w:sz w:val="24"/>
          <w:szCs w:val="24"/>
        </w:rPr>
        <w:t xml:space="preserve">The cost of laboratory analysis of the samples for the </w:t>
      </w:r>
      <w:r w:rsidR="00B868D5">
        <w:rPr>
          <w:sz w:val="24"/>
          <w:szCs w:val="24"/>
        </w:rPr>
        <w:t xml:space="preserve">14,243 </w:t>
      </w:r>
      <w:r w:rsidRPr="00772FE4" w:rsidR="00B868D5">
        <w:rPr>
          <w:sz w:val="24"/>
          <w:szCs w:val="24"/>
        </w:rPr>
        <w:t>firms</w:t>
      </w:r>
      <w:r w:rsidRPr="00772FE4">
        <w:rPr>
          <w:sz w:val="24"/>
          <w:szCs w:val="24"/>
        </w:rPr>
        <w:t xml:space="preserve"> is $</w:t>
      </w:r>
      <w:r w:rsidR="00371073">
        <w:rPr>
          <w:sz w:val="24"/>
          <w:szCs w:val="24"/>
        </w:rPr>
        <w:t>30</w:t>
      </w:r>
      <w:r w:rsidRPr="00772FE4" w:rsidR="00A41B81">
        <w:rPr>
          <w:sz w:val="24"/>
          <w:szCs w:val="24"/>
        </w:rPr>
        <w:t xml:space="preserve"> </w:t>
      </w:r>
      <w:r w:rsidRPr="00772FE4">
        <w:rPr>
          <w:sz w:val="24"/>
          <w:szCs w:val="24"/>
        </w:rPr>
        <w:t>per project type sample collected.</w:t>
      </w:r>
      <w:r>
        <w:rPr>
          <w:sz w:val="24"/>
          <w:szCs w:val="24"/>
          <w:vertAlign w:val="superscript"/>
        </w:rPr>
        <w:footnoteReference w:id="19"/>
      </w:r>
      <w:r w:rsidRPr="00772FE4">
        <w:rPr>
          <w:sz w:val="24"/>
          <w:szCs w:val="24"/>
        </w:rPr>
        <w:t xml:space="preserve"> </w:t>
      </w:r>
      <w:r w:rsidR="007F3A34">
        <w:rPr>
          <w:sz w:val="24"/>
          <w:szCs w:val="24"/>
        </w:rPr>
        <w:t xml:space="preserve"> </w:t>
      </w:r>
      <w:r w:rsidRPr="00772FE4">
        <w:rPr>
          <w:sz w:val="24"/>
          <w:szCs w:val="24"/>
        </w:rPr>
        <w:t xml:space="preserve">The average number of samples collected per monitoring was assumed to vary by project type from 2 samples to 16 samples per monitoring. </w:t>
      </w:r>
      <w:r w:rsidR="007F3A34">
        <w:rPr>
          <w:sz w:val="24"/>
          <w:szCs w:val="24"/>
        </w:rPr>
        <w:t xml:space="preserve"> </w:t>
      </w:r>
      <w:r w:rsidRPr="00772FE4">
        <w:rPr>
          <w:sz w:val="24"/>
          <w:szCs w:val="24"/>
        </w:rPr>
        <w:t xml:space="preserve">Thus, the analytical cost formula is: (# of </w:t>
      </w:r>
      <w:r w:rsidRPr="00772FE4" w:rsidR="00DD7250">
        <w:rPr>
          <w:sz w:val="24"/>
          <w:szCs w:val="24"/>
        </w:rPr>
        <w:t>monitoring</w:t>
      </w:r>
      <w:r w:rsidRPr="00772FE4">
        <w:rPr>
          <w:sz w:val="24"/>
          <w:szCs w:val="24"/>
        </w:rPr>
        <w:t xml:space="preserve"> by project type) </w:t>
      </w:r>
      <w:bookmarkStart w:id="8" w:name="_Hlk99532605"/>
      <w:r w:rsidRPr="00772FE4">
        <w:rPr>
          <w:sz w:val="24"/>
          <w:szCs w:val="24"/>
        </w:rPr>
        <w:t>× (</w:t>
      </w:r>
      <w:r w:rsidR="00385E03">
        <w:rPr>
          <w:sz w:val="24"/>
          <w:szCs w:val="24"/>
        </w:rPr>
        <w:t xml:space="preserve">9 </w:t>
      </w:r>
      <w:r w:rsidRPr="00772FE4">
        <w:rPr>
          <w:sz w:val="24"/>
          <w:szCs w:val="24"/>
        </w:rPr>
        <w:t xml:space="preserve">samples/monitoring/by project type) </w:t>
      </w:r>
      <w:bookmarkEnd w:id="8"/>
      <w:r w:rsidRPr="00772FE4">
        <w:rPr>
          <w:sz w:val="24"/>
          <w:szCs w:val="24"/>
        </w:rPr>
        <w:t>× ($</w:t>
      </w:r>
      <w:r w:rsidR="00A41B81">
        <w:rPr>
          <w:sz w:val="24"/>
          <w:szCs w:val="24"/>
        </w:rPr>
        <w:t>39</w:t>
      </w:r>
      <w:r w:rsidRPr="00772FE4">
        <w:rPr>
          <w:sz w:val="24"/>
          <w:szCs w:val="24"/>
        </w:rPr>
        <w:t xml:space="preserve">/sample) = analytical cost by project type. </w:t>
      </w:r>
      <w:r w:rsidR="007F3A34">
        <w:rPr>
          <w:sz w:val="24"/>
          <w:szCs w:val="24"/>
        </w:rPr>
        <w:t xml:space="preserve"> </w:t>
      </w:r>
    </w:p>
    <w:p w:rsidR="00454BF3" w14:paraId="5E940E25" w14:textId="3C224510">
      <w:pPr>
        <w:shd w:val="solid" w:color="FFFFFF" w:fill="FFFFFF"/>
        <w:rPr>
          <w:sz w:val="24"/>
          <w:szCs w:val="24"/>
        </w:rPr>
      </w:pPr>
    </w:p>
    <w:p w:rsidR="00454BF3" w:rsidP="005D6BC2" w14:paraId="09C05C7E" w14:textId="014A9BAA">
      <w:pPr>
        <w:shd w:val="solid" w:color="FFFFFF" w:fill="FFFFFF"/>
        <w:ind w:left="2160" w:hanging="1440"/>
        <w:rPr>
          <w:sz w:val="24"/>
          <w:szCs w:val="24"/>
        </w:rPr>
      </w:pPr>
      <w:r w:rsidRPr="005D6BC2">
        <w:rPr>
          <w:b/>
          <w:bCs/>
          <w:sz w:val="24"/>
          <w:szCs w:val="24"/>
        </w:rPr>
        <w:t>Cost</w:t>
      </w:r>
      <w:r>
        <w:rPr>
          <w:sz w:val="24"/>
          <w:szCs w:val="24"/>
        </w:rPr>
        <w:t xml:space="preserve">:  </w:t>
      </w:r>
      <w:r w:rsidR="002D1642">
        <w:rPr>
          <w:sz w:val="24"/>
          <w:szCs w:val="24"/>
        </w:rPr>
        <w:tab/>
      </w:r>
      <w:r w:rsidR="00B868D5">
        <w:rPr>
          <w:sz w:val="24"/>
          <w:szCs w:val="24"/>
        </w:rPr>
        <w:t>14,243 firms</w:t>
      </w:r>
      <w:r>
        <w:rPr>
          <w:sz w:val="24"/>
          <w:szCs w:val="24"/>
        </w:rPr>
        <w:t xml:space="preserve"> x $</w:t>
      </w:r>
      <w:r w:rsidR="00A41B81">
        <w:rPr>
          <w:sz w:val="24"/>
          <w:szCs w:val="24"/>
        </w:rPr>
        <w:t>3</w:t>
      </w:r>
      <w:r w:rsidR="005D1057">
        <w:rPr>
          <w:sz w:val="24"/>
          <w:szCs w:val="24"/>
        </w:rPr>
        <w:t>0</w:t>
      </w:r>
      <w:r w:rsidR="00A41B81">
        <w:rPr>
          <w:sz w:val="24"/>
          <w:szCs w:val="24"/>
        </w:rPr>
        <w:t>.00</w:t>
      </w:r>
      <w:r>
        <w:rPr>
          <w:sz w:val="24"/>
          <w:szCs w:val="24"/>
        </w:rPr>
        <w:t xml:space="preserve"> per sample x</w:t>
      </w:r>
      <w:r w:rsidRPr="00772FE4">
        <w:rPr>
          <w:sz w:val="24"/>
          <w:szCs w:val="24"/>
        </w:rPr>
        <w:t>× (</w:t>
      </w:r>
      <w:r>
        <w:rPr>
          <w:sz w:val="24"/>
          <w:szCs w:val="24"/>
        </w:rPr>
        <w:t xml:space="preserve">9 </w:t>
      </w:r>
      <w:r w:rsidRPr="00772FE4">
        <w:rPr>
          <w:sz w:val="24"/>
          <w:szCs w:val="24"/>
        </w:rPr>
        <w:t>samples/monitoring/by project type)</w:t>
      </w:r>
      <w:r>
        <w:rPr>
          <w:sz w:val="24"/>
          <w:szCs w:val="24"/>
        </w:rPr>
        <w:t xml:space="preserve"> = </w:t>
      </w:r>
      <w:r w:rsidRPr="005D6BC2" w:rsidR="00A61824">
        <w:rPr>
          <w:b/>
          <w:bCs/>
          <w:sz w:val="24"/>
          <w:szCs w:val="24"/>
        </w:rPr>
        <w:t>$</w:t>
      </w:r>
      <w:r w:rsidR="00F31DB2">
        <w:rPr>
          <w:b/>
          <w:bCs/>
          <w:sz w:val="24"/>
          <w:szCs w:val="24"/>
        </w:rPr>
        <w:t>3,845</w:t>
      </w:r>
      <w:r w:rsidR="00DB403D">
        <w:rPr>
          <w:b/>
          <w:bCs/>
          <w:sz w:val="24"/>
          <w:szCs w:val="24"/>
        </w:rPr>
        <w:t xml:space="preserve">,610 </w:t>
      </w:r>
    </w:p>
    <w:p w:rsidR="00D92EA5" w14:paraId="3586212B" w14:textId="4B8233F0">
      <w:pPr>
        <w:shd w:val="solid" w:color="FFFFFF" w:fill="FFFFFF"/>
        <w:rPr>
          <w:sz w:val="24"/>
          <w:szCs w:val="24"/>
        </w:rPr>
      </w:pPr>
    </w:p>
    <w:p w:rsidR="00024C52" w14:paraId="611F8679" w14:textId="5FD2AE2F">
      <w:pPr>
        <w:shd w:val="solid" w:color="FFFFFF" w:fill="FFFFFF"/>
        <w:rPr>
          <w:sz w:val="24"/>
          <w:szCs w:val="24"/>
        </w:rPr>
      </w:pPr>
      <w:r>
        <w:rPr>
          <w:sz w:val="24"/>
          <w:szCs w:val="24"/>
        </w:rPr>
        <w:tab/>
      </w:r>
      <w:r>
        <w:rPr>
          <w:sz w:val="24"/>
          <w:szCs w:val="24"/>
        </w:rPr>
        <w:t>Remodeling P</w:t>
      </w:r>
      <w:r w:rsidRPr="00772FE4">
        <w:rPr>
          <w:sz w:val="24"/>
          <w:szCs w:val="24"/>
        </w:rPr>
        <w:t>rojects</w:t>
      </w:r>
    </w:p>
    <w:p w:rsidR="00024C52" w14:paraId="1176C42D" w14:textId="77777777">
      <w:pPr>
        <w:shd w:val="solid" w:color="FFFFFF" w:fill="FFFFFF"/>
        <w:rPr>
          <w:sz w:val="24"/>
          <w:szCs w:val="24"/>
        </w:rPr>
      </w:pPr>
    </w:p>
    <w:p w:rsidR="00553E3D" w:rsidRPr="00772FE4" w14:paraId="14509B43" w14:textId="098EE4B5">
      <w:pPr>
        <w:shd w:val="solid" w:color="FFFFFF" w:fill="FFFFFF"/>
        <w:rPr>
          <w:sz w:val="24"/>
          <w:szCs w:val="24"/>
        </w:rPr>
      </w:pPr>
      <w:r w:rsidRPr="00D32D88">
        <w:rPr>
          <w:sz w:val="24"/>
          <w:szCs w:val="24"/>
        </w:rPr>
        <w:t xml:space="preserve">OSHA assumes that </w:t>
      </w:r>
      <w:r w:rsidRPr="00D32D88" w:rsidR="00B868D5">
        <w:rPr>
          <w:sz w:val="24"/>
          <w:szCs w:val="24"/>
        </w:rPr>
        <w:t>57,877 firms</w:t>
      </w:r>
      <w:r w:rsidRPr="00D32D88">
        <w:rPr>
          <w:sz w:val="24"/>
          <w:szCs w:val="24"/>
        </w:rPr>
        <w:t xml:space="preserve"> engaged in Commercial and Institutional Remodeling (</w:t>
      </w:r>
      <w:r w:rsidRPr="00D32D88" w:rsidR="00A11017">
        <w:rPr>
          <w:sz w:val="24"/>
          <w:szCs w:val="24"/>
        </w:rPr>
        <w:t>20,201 firms</w:t>
      </w:r>
      <w:r w:rsidRPr="00D32D88">
        <w:rPr>
          <w:sz w:val="24"/>
          <w:szCs w:val="24"/>
        </w:rPr>
        <w:t>) and Residential Remodeling</w:t>
      </w:r>
      <w:r w:rsidRPr="00D32D88" w:rsidR="00C829C7">
        <w:rPr>
          <w:sz w:val="24"/>
          <w:szCs w:val="24"/>
        </w:rPr>
        <w:t xml:space="preserve"> </w:t>
      </w:r>
      <w:r w:rsidRPr="00D32D88">
        <w:rPr>
          <w:sz w:val="24"/>
          <w:szCs w:val="24"/>
        </w:rPr>
        <w:t>(</w:t>
      </w:r>
      <w:r w:rsidRPr="00D32D88" w:rsidR="006E1C6E">
        <w:rPr>
          <w:sz w:val="24"/>
          <w:szCs w:val="24"/>
        </w:rPr>
        <w:t>37,676 firms</w:t>
      </w:r>
      <w:r w:rsidRPr="00D32D88">
        <w:rPr>
          <w:sz w:val="24"/>
          <w:szCs w:val="24"/>
        </w:rPr>
        <w:t>) have a construction supervisor conduct representative exposure-monitoring since this is cost-effective for these firms given the small</w:t>
      </w:r>
      <w:r w:rsidRPr="00772FE4">
        <w:rPr>
          <w:sz w:val="24"/>
          <w:szCs w:val="24"/>
        </w:rPr>
        <w:t xml:space="preserve"> scale, short duration, and relative rarity of lead-exposed remodeling projects. </w:t>
      </w:r>
      <w:r w:rsidR="007F3A34">
        <w:rPr>
          <w:sz w:val="24"/>
          <w:szCs w:val="24"/>
        </w:rPr>
        <w:t xml:space="preserve"> </w:t>
      </w:r>
      <w:r w:rsidRPr="00772FE4">
        <w:rPr>
          <w:sz w:val="24"/>
          <w:szCs w:val="24"/>
        </w:rPr>
        <w:t xml:space="preserve">For firms engaged in Commercial and Institutional Remodeling and Residential Remodeling, the cost of the Initial Determination requirement attributable </w:t>
      </w:r>
      <w:r w:rsidR="00EE3FCD">
        <w:rPr>
          <w:sz w:val="24"/>
          <w:szCs w:val="24"/>
        </w:rPr>
        <w:t>under this sec</w:t>
      </w:r>
      <w:r w:rsidRPr="00772FE4">
        <w:rPr>
          <w:sz w:val="24"/>
          <w:szCs w:val="24"/>
        </w:rPr>
        <w:t>t</w:t>
      </w:r>
      <w:r w:rsidR="00EE3FCD">
        <w:rPr>
          <w:sz w:val="24"/>
          <w:szCs w:val="24"/>
        </w:rPr>
        <w:t>i</w:t>
      </w:r>
      <w:r w:rsidRPr="00772FE4">
        <w:rPr>
          <w:sz w:val="24"/>
          <w:szCs w:val="24"/>
        </w:rPr>
        <w:t>o</w:t>
      </w:r>
      <w:r w:rsidR="00EE3FCD">
        <w:rPr>
          <w:sz w:val="24"/>
          <w:szCs w:val="24"/>
        </w:rPr>
        <w:t xml:space="preserve">n </w:t>
      </w:r>
      <w:r w:rsidRPr="00772FE4">
        <w:rPr>
          <w:sz w:val="24"/>
          <w:szCs w:val="24"/>
        </w:rPr>
        <w:t xml:space="preserve">consists of purchasing exposure-monitoring equipment, and the cost of laboratory analysis of the air monitoring samples collected by construction supervisors. </w:t>
      </w:r>
    </w:p>
    <w:p w:rsidR="00024C52" w14:paraId="7361138E" w14:textId="77777777">
      <w:pPr>
        <w:shd w:val="solid" w:color="FFFFFF" w:fill="FFFFFF"/>
        <w:rPr>
          <w:sz w:val="24"/>
          <w:szCs w:val="24"/>
        </w:rPr>
      </w:pPr>
    </w:p>
    <w:p w:rsidR="00D568FC" w:rsidP="00D568FC" w14:paraId="6E3833F5" w14:textId="3450D322">
      <w:pPr>
        <w:shd w:val="solid" w:color="FFFFFF" w:fill="FFFFFF"/>
        <w:rPr>
          <w:b/>
          <w:bCs/>
          <w:sz w:val="24"/>
          <w:szCs w:val="24"/>
        </w:rPr>
      </w:pPr>
      <w:r w:rsidRPr="00772FE4">
        <w:rPr>
          <w:sz w:val="24"/>
          <w:szCs w:val="24"/>
        </w:rPr>
        <w:t>The cost of laboratory analysis of the samples for the Commercial and Institutional Remodeling and Residential Remodeling projects type was assumed to be $</w:t>
      </w:r>
      <w:r w:rsidR="00E60C5F">
        <w:rPr>
          <w:sz w:val="24"/>
          <w:szCs w:val="24"/>
        </w:rPr>
        <w:t>30</w:t>
      </w:r>
      <w:r w:rsidR="00A41B81">
        <w:rPr>
          <w:sz w:val="24"/>
          <w:szCs w:val="24"/>
        </w:rPr>
        <w:t xml:space="preserve"> </w:t>
      </w:r>
      <w:r>
        <w:rPr>
          <w:sz w:val="24"/>
          <w:szCs w:val="24"/>
        </w:rPr>
        <w:t>per</w:t>
      </w:r>
      <w:r w:rsidRPr="00772FE4">
        <w:rPr>
          <w:sz w:val="24"/>
          <w:szCs w:val="24"/>
        </w:rPr>
        <w:t xml:space="preserve"> sample collected. </w:t>
      </w:r>
      <w:r w:rsidR="007F3A34">
        <w:rPr>
          <w:sz w:val="24"/>
          <w:szCs w:val="24"/>
        </w:rPr>
        <w:t xml:space="preserve"> </w:t>
      </w:r>
      <w:r w:rsidRPr="00772FE4">
        <w:rPr>
          <w:sz w:val="24"/>
          <w:szCs w:val="24"/>
        </w:rPr>
        <w:t xml:space="preserve">The estimated average number of samples collected per representative monitoring on a Commercial and Industrial Remodeling project is 3 samples. </w:t>
      </w:r>
      <w:r w:rsidR="007F3A34">
        <w:rPr>
          <w:sz w:val="24"/>
          <w:szCs w:val="24"/>
        </w:rPr>
        <w:t xml:space="preserve"> </w:t>
      </w:r>
      <w:r w:rsidRPr="00772FE4">
        <w:rPr>
          <w:sz w:val="24"/>
          <w:szCs w:val="24"/>
        </w:rPr>
        <w:t xml:space="preserve">The estimated average number of samples collected on a Residential Remodeling job is 2 samples. </w:t>
      </w:r>
      <w:r w:rsidR="007F3A34">
        <w:rPr>
          <w:sz w:val="24"/>
          <w:szCs w:val="24"/>
        </w:rPr>
        <w:t xml:space="preserve"> </w:t>
      </w:r>
      <w:r w:rsidRPr="00772FE4">
        <w:rPr>
          <w:sz w:val="24"/>
          <w:szCs w:val="24"/>
        </w:rPr>
        <w:t xml:space="preserve">These estimates were based on the number of distinct lead-exposed activities and average crew sizes associated with these project types. </w:t>
      </w:r>
      <w:r w:rsidR="007F3A34">
        <w:rPr>
          <w:sz w:val="24"/>
          <w:szCs w:val="24"/>
        </w:rPr>
        <w:t xml:space="preserve"> </w:t>
      </w:r>
      <w:r w:rsidRPr="00772FE4">
        <w:rPr>
          <w:sz w:val="24"/>
          <w:szCs w:val="24"/>
        </w:rPr>
        <w:t xml:space="preserve">Thus, by project type, the analytical formula is: (# of </w:t>
      </w:r>
      <w:r w:rsidRPr="00772FE4" w:rsidR="004B62B4">
        <w:rPr>
          <w:sz w:val="24"/>
          <w:szCs w:val="24"/>
        </w:rPr>
        <w:t>monitoring</w:t>
      </w:r>
      <w:r w:rsidRPr="00772FE4">
        <w:rPr>
          <w:sz w:val="24"/>
          <w:szCs w:val="24"/>
        </w:rPr>
        <w:t xml:space="preserve"> by project type) × (# of samples/monitoring) × ($</w:t>
      </w:r>
      <w:r w:rsidR="00E60C5F">
        <w:rPr>
          <w:sz w:val="24"/>
          <w:szCs w:val="24"/>
        </w:rPr>
        <w:t>30</w:t>
      </w:r>
      <w:r w:rsidRPr="00772FE4">
        <w:rPr>
          <w:sz w:val="24"/>
          <w:szCs w:val="24"/>
        </w:rPr>
        <w:t xml:space="preserve">/sample) = analytical cost by project type. </w:t>
      </w:r>
      <w:r w:rsidR="007F3A34">
        <w:rPr>
          <w:sz w:val="24"/>
          <w:szCs w:val="24"/>
        </w:rPr>
        <w:t xml:space="preserve"> </w:t>
      </w:r>
      <w:r w:rsidRPr="00772FE4">
        <w:rPr>
          <w:sz w:val="24"/>
          <w:szCs w:val="24"/>
        </w:rPr>
        <w:t xml:space="preserve">The costs by project type were then totaled to derive the total costs for both project types. </w:t>
      </w:r>
      <w:r w:rsidR="007F3A34">
        <w:rPr>
          <w:sz w:val="24"/>
          <w:szCs w:val="24"/>
        </w:rPr>
        <w:t xml:space="preserve"> </w:t>
      </w:r>
      <w:r w:rsidRPr="00772FE4">
        <w:rPr>
          <w:sz w:val="24"/>
          <w:szCs w:val="24"/>
        </w:rPr>
        <w:t xml:space="preserve">The total cost of laboratory analysis for firms engaged in Commercial and Institutional Remodeling and Residential Remodeling was thus estimated to be </w:t>
      </w:r>
      <w:r w:rsidRPr="00F64894">
        <w:rPr>
          <w:b/>
          <w:sz w:val="24"/>
          <w:szCs w:val="24"/>
        </w:rPr>
        <w:t>$</w:t>
      </w:r>
      <w:r w:rsidR="00B42419">
        <w:rPr>
          <w:b/>
          <w:sz w:val="24"/>
          <w:szCs w:val="24"/>
        </w:rPr>
        <w:t>4,0</w:t>
      </w:r>
      <w:r w:rsidR="005B181A">
        <w:rPr>
          <w:b/>
          <w:sz w:val="24"/>
          <w:szCs w:val="24"/>
        </w:rPr>
        <w:t>78,650</w:t>
      </w:r>
      <w:r w:rsidRPr="00772FE4">
        <w:rPr>
          <w:b/>
          <w:bCs/>
          <w:sz w:val="24"/>
          <w:szCs w:val="24"/>
        </w:rPr>
        <w:t>.</w:t>
      </w:r>
      <w:r w:rsidR="00F80EDE">
        <w:rPr>
          <w:b/>
          <w:bCs/>
          <w:sz w:val="24"/>
          <w:szCs w:val="24"/>
        </w:rPr>
        <w:t xml:space="preserve"> </w:t>
      </w:r>
    </w:p>
    <w:p w:rsidR="003549D8" w:rsidP="00D568FC" w14:paraId="1057E96C" w14:textId="77777777">
      <w:pPr>
        <w:shd w:val="solid" w:color="FFFFFF" w:fill="FFFFFF"/>
        <w:rPr>
          <w:b/>
          <w:bCs/>
          <w:sz w:val="24"/>
          <w:szCs w:val="24"/>
        </w:rPr>
      </w:pPr>
    </w:p>
    <w:p w:rsidR="003549D8" w:rsidP="00D568FC" w14:paraId="182D44DB" w14:textId="2D9E7AB7">
      <w:pPr>
        <w:shd w:val="solid" w:color="FFFFFF" w:fill="FFFFFF"/>
        <w:rPr>
          <w:b/>
          <w:bCs/>
          <w:sz w:val="24"/>
          <w:szCs w:val="24"/>
        </w:rPr>
      </w:pPr>
      <w:r>
        <w:rPr>
          <w:b/>
          <w:bCs/>
          <w:sz w:val="24"/>
          <w:szCs w:val="24"/>
        </w:rPr>
        <w:t>Firms in Commer</w:t>
      </w:r>
      <w:r w:rsidR="0081287A">
        <w:rPr>
          <w:b/>
          <w:bCs/>
          <w:sz w:val="24"/>
          <w:szCs w:val="24"/>
        </w:rPr>
        <w:t>cial and Inst</w:t>
      </w:r>
      <w:r w:rsidR="00531805">
        <w:rPr>
          <w:b/>
          <w:bCs/>
          <w:sz w:val="24"/>
          <w:szCs w:val="24"/>
        </w:rPr>
        <w:t>i</w:t>
      </w:r>
      <w:r w:rsidR="009830C5">
        <w:rPr>
          <w:b/>
          <w:bCs/>
          <w:sz w:val="24"/>
          <w:szCs w:val="24"/>
        </w:rPr>
        <w:t>t</w:t>
      </w:r>
      <w:r w:rsidR="0081287A">
        <w:rPr>
          <w:b/>
          <w:bCs/>
          <w:sz w:val="24"/>
          <w:szCs w:val="24"/>
        </w:rPr>
        <w:t>utional Remodeling:</w:t>
      </w:r>
    </w:p>
    <w:p w:rsidR="0081287A" w:rsidP="00D568FC" w14:paraId="59AF3E0D" w14:textId="77777777">
      <w:pPr>
        <w:shd w:val="solid" w:color="FFFFFF" w:fill="FFFFFF"/>
        <w:rPr>
          <w:b/>
          <w:bCs/>
          <w:sz w:val="24"/>
          <w:szCs w:val="24"/>
        </w:rPr>
      </w:pPr>
    </w:p>
    <w:p w:rsidR="0081287A" w:rsidP="00D568FC" w14:paraId="27A36A79" w14:textId="5CD9F820">
      <w:pPr>
        <w:shd w:val="solid" w:color="FFFFFF" w:fill="FFFFFF"/>
        <w:rPr>
          <w:b/>
          <w:bCs/>
          <w:sz w:val="24"/>
          <w:szCs w:val="24"/>
        </w:rPr>
      </w:pPr>
      <w:r>
        <w:rPr>
          <w:b/>
          <w:bCs/>
          <w:sz w:val="24"/>
          <w:szCs w:val="24"/>
        </w:rPr>
        <w:tab/>
      </w:r>
      <w:r w:rsidR="00A06FE7">
        <w:rPr>
          <w:b/>
          <w:bCs/>
          <w:sz w:val="24"/>
          <w:szCs w:val="24"/>
        </w:rPr>
        <w:t>Cost</w:t>
      </w:r>
      <w:r w:rsidR="002754E3">
        <w:rPr>
          <w:b/>
          <w:bCs/>
          <w:sz w:val="24"/>
          <w:szCs w:val="24"/>
        </w:rPr>
        <w:t>:</w:t>
      </w:r>
      <w:r w:rsidR="002754E3">
        <w:rPr>
          <w:b/>
          <w:bCs/>
          <w:sz w:val="24"/>
          <w:szCs w:val="24"/>
        </w:rPr>
        <w:tab/>
      </w:r>
      <w:r w:rsidR="00A06FE7">
        <w:rPr>
          <w:b/>
          <w:bCs/>
          <w:sz w:val="24"/>
          <w:szCs w:val="24"/>
        </w:rPr>
        <w:t xml:space="preserve"> </w:t>
      </w:r>
      <w:r w:rsidRPr="00B63DB7" w:rsidR="00A06FE7">
        <w:rPr>
          <w:sz w:val="24"/>
          <w:szCs w:val="24"/>
        </w:rPr>
        <w:t>2</w:t>
      </w:r>
      <w:r w:rsidRPr="00B63DB7" w:rsidR="001453F8">
        <w:rPr>
          <w:sz w:val="24"/>
          <w:szCs w:val="24"/>
        </w:rPr>
        <w:t xml:space="preserve">0,201 </w:t>
      </w:r>
      <w:r w:rsidR="00F4591D">
        <w:rPr>
          <w:sz w:val="24"/>
          <w:szCs w:val="24"/>
        </w:rPr>
        <w:t>exposure</w:t>
      </w:r>
      <w:r w:rsidR="00943370">
        <w:rPr>
          <w:sz w:val="24"/>
          <w:szCs w:val="24"/>
        </w:rPr>
        <w:t>-</w:t>
      </w:r>
      <w:r w:rsidR="00F4591D">
        <w:rPr>
          <w:sz w:val="24"/>
          <w:szCs w:val="24"/>
        </w:rPr>
        <w:t xml:space="preserve">monitoring </w:t>
      </w:r>
      <w:r w:rsidRPr="00B63DB7" w:rsidR="001453F8">
        <w:rPr>
          <w:sz w:val="24"/>
          <w:szCs w:val="24"/>
        </w:rPr>
        <w:t xml:space="preserve">x </w:t>
      </w:r>
      <w:r w:rsidRPr="00B63DB7" w:rsidR="00067BBE">
        <w:rPr>
          <w:sz w:val="24"/>
          <w:szCs w:val="24"/>
        </w:rPr>
        <w:t>3 samples</w:t>
      </w:r>
      <w:r w:rsidRPr="00B63DB7" w:rsidR="00805D4A">
        <w:rPr>
          <w:sz w:val="24"/>
          <w:szCs w:val="24"/>
        </w:rPr>
        <w:t xml:space="preserve"> x $30 = </w:t>
      </w:r>
      <w:r w:rsidRPr="00B63DB7" w:rsidR="00AC5D67">
        <w:rPr>
          <w:sz w:val="24"/>
          <w:szCs w:val="24"/>
        </w:rPr>
        <w:t>$</w:t>
      </w:r>
      <w:r w:rsidRPr="00B63DB7" w:rsidR="00805D4A">
        <w:rPr>
          <w:sz w:val="24"/>
          <w:szCs w:val="24"/>
        </w:rPr>
        <w:t>1,818</w:t>
      </w:r>
      <w:r w:rsidRPr="00B63DB7" w:rsidR="004B7508">
        <w:rPr>
          <w:sz w:val="24"/>
          <w:szCs w:val="24"/>
        </w:rPr>
        <w:t>,</w:t>
      </w:r>
      <w:r w:rsidRPr="00B63DB7" w:rsidR="00805D4A">
        <w:rPr>
          <w:sz w:val="24"/>
          <w:szCs w:val="24"/>
        </w:rPr>
        <w:t>090</w:t>
      </w:r>
    </w:p>
    <w:p w:rsidR="004B7508" w:rsidRPr="00772FE4" w:rsidP="00D568FC" w14:paraId="63FFE83B" w14:textId="77777777">
      <w:pPr>
        <w:shd w:val="solid" w:color="FFFFFF" w:fill="FFFFFF"/>
        <w:rPr>
          <w:sz w:val="24"/>
          <w:szCs w:val="24"/>
        </w:rPr>
      </w:pPr>
    </w:p>
    <w:p w:rsidR="00D568FC" w14:paraId="7D2E2421" w14:textId="32523C53">
      <w:pPr>
        <w:shd w:val="solid" w:color="FFFFFF" w:fill="FFFFFF"/>
        <w:rPr>
          <w:b/>
          <w:bCs/>
          <w:sz w:val="24"/>
          <w:szCs w:val="24"/>
        </w:rPr>
      </w:pPr>
      <w:r>
        <w:rPr>
          <w:b/>
          <w:bCs/>
          <w:sz w:val="24"/>
          <w:szCs w:val="24"/>
        </w:rPr>
        <w:t xml:space="preserve">Firms in </w:t>
      </w:r>
      <w:r w:rsidR="00BE0CBE">
        <w:rPr>
          <w:b/>
          <w:bCs/>
          <w:sz w:val="24"/>
          <w:szCs w:val="24"/>
        </w:rPr>
        <w:t>Residential</w:t>
      </w:r>
      <w:r>
        <w:rPr>
          <w:b/>
          <w:bCs/>
          <w:sz w:val="24"/>
          <w:szCs w:val="24"/>
        </w:rPr>
        <w:t xml:space="preserve"> Remodeling:</w:t>
      </w:r>
    </w:p>
    <w:p w:rsidR="004B7508" w14:paraId="73B46809" w14:textId="77777777">
      <w:pPr>
        <w:shd w:val="solid" w:color="FFFFFF" w:fill="FFFFFF"/>
        <w:rPr>
          <w:b/>
          <w:bCs/>
          <w:sz w:val="24"/>
          <w:szCs w:val="24"/>
        </w:rPr>
      </w:pPr>
    </w:p>
    <w:p w:rsidR="00BC7208" w14:paraId="68B49EAC" w14:textId="51C9342A">
      <w:pPr>
        <w:shd w:val="solid" w:color="FFFFFF" w:fill="FFFFFF"/>
        <w:rPr>
          <w:b/>
          <w:bCs/>
          <w:sz w:val="24"/>
          <w:szCs w:val="24"/>
        </w:rPr>
      </w:pPr>
      <w:r>
        <w:rPr>
          <w:b/>
          <w:bCs/>
          <w:sz w:val="24"/>
          <w:szCs w:val="24"/>
        </w:rPr>
        <w:tab/>
        <w:t>Cost</w:t>
      </w:r>
      <w:r w:rsidR="002754E3">
        <w:rPr>
          <w:b/>
          <w:bCs/>
          <w:sz w:val="24"/>
          <w:szCs w:val="24"/>
        </w:rPr>
        <w:t>:</w:t>
      </w:r>
      <w:r w:rsidR="002754E3">
        <w:rPr>
          <w:b/>
          <w:bCs/>
          <w:sz w:val="24"/>
          <w:szCs w:val="24"/>
        </w:rPr>
        <w:tab/>
      </w:r>
      <w:r>
        <w:rPr>
          <w:b/>
          <w:bCs/>
          <w:sz w:val="24"/>
          <w:szCs w:val="24"/>
        </w:rPr>
        <w:t xml:space="preserve"> </w:t>
      </w:r>
      <w:r w:rsidRPr="00B63DB7" w:rsidR="008C00E9">
        <w:rPr>
          <w:sz w:val="24"/>
          <w:szCs w:val="24"/>
        </w:rPr>
        <w:t xml:space="preserve">37,676 </w:t>
      </w:r>
      <w:r w:rsidR="00943370">
        <w:rPr>
          <w:sz w:val="24"/>
          <w:szCs w:val="24"/>
        </w:rPr>
        <w:t xml:space="preserve">exposure-monitoring </w:t>
      </w:r>
      <w:r w:rsidRPr="00B63DB7" w:rsidR="008C00E9">
        <w:rPr>
          <w:sz w:val="24"/>
          <w:szCs w:val="24"/>
        </w:rPr>
        <w:t>x 2 samples</w:t>
      </w:r>
      <w:r w:rsidRPr="00B63DB7" w:rsidR="00BC4D15">
        <w:rPr>
          <w:sz w:val="24"/>
          <w:szCs w:val="24"/>
        </w:rPr>
        <w:t xml:space="preserve"> x </w:t>
      </w:r>
      <w:r w:rsidRPr="00B63DB7" w:rsidR="001C4AE2">
        <w:rPr>
          <w:sz w:val="24"/>
          <w:szCs w:val="24"/>
        </w:rPr>
        <w:t xml:space="preserve">$30 = </w:t>
      </w:r>
      <w:r w:rsidRPr="00B63DB7" w:rsidR="00AC5D67">
        <w:rPr>
          <w:sz w:val="24"/>
          <w:szCs w:val="24"/>
        </w:rPr>
        <w:t>$</w:t>
      </w:r>
      <w:r w:rsidRPr="00B63DB7" w:rsidR="003A4E4C">
        <w:rPr>
          <w:sz w:val="24"/>
          <w:szCs w:val="24"/>
        </w:rPr>
        <w:t>2,260,560</w:t>
      </w:r>
    </w:p>
    <w:p w:rsidR="004B7508" w14:paraId="2F8BF062" w14:textId="77777777">
      <w:pPr>
        <w:shd w:val="solid" w:color="FFFFFF" w:fill="FFFFFF"/>
        <w:rPr>
          <w:sz w:val="24"/>
          <w:szCs w:val="24"/>
        </w:rPr>
      </w:pPr>
    </w:p>
    <w:p w:rsidR="00F71EF0" w:rsidRPr="00B63DB7" w14:paraId="15DBF0A2" w14:textId="60B63C97">
      <w:pPr>
        <w:shd w:val="solid" w:color="FFFFFF" w:fill="FFFFFF"/>
        <w:rPr>
          <w:b/>
          <w:bCs/>
          <w:sz w:val="24"/>
          <w:szCs w:val="24"/>
        </w:rPr>
      </w:pPr>
      <w:r w:rsidRPr="00B63DB7">
        <w:rPr>
          <w:b/>
          <w:bCs/>
          <w:sz w:val="24"/>
          <w:szCs w:val="24"/>
        </w:rPr>
        <w:t>Total Cost for Monitoring</w:t>
      </w:r>
      <w:r w:rsidRPr="00B63DB7" w:rsidR="00FC25A3">
        <w:rPr>
          <w:b/>
          <w:bCs/>
          <w:sz w:val="24"/>
          <w:szCs w:val="24"/>
        </w:rPr>
        <w:t xml:space="preserve"> = </w:t>
      </w:r>
      <w:r w:rsidR="00204D56">
        <w:rPr>
          <w:b/>
          <w:bCs/>
          <w:sz w:val="24"/>
          <w:szCs w:val="24"/>
        </w:rPr>
        <w:t>$</w:t>
      </w:r>
      <w:r w:rsidRPr="00B63DB7" w:rsidR="00FC25A3">
        <w:rPr>
          <w:b/>
          <w:bCs/>
          <w:sz w:val="24"/>
          <w:szCs w:val="24"/>
        </w:rPr>
        <w:t>4,078,</w:t>
      </w:r>
      <w:r w:rsidRPr="00B63DB7" w:rsidR="00204D56">
        <w:rPr>
          <w:b/>
          <w:bCs/>
          <w:sz w:val="24"/>
          <w:szCs w:val="24"/>
        </w:rPr>
        <w:t>650</w:t>
      </w:r>
    </w:p>
    <w:p w:rsidR="00204D56" w:rsidRPr="00772FE4" w14:paraId="3A077B00" w14:textId="77777777">
      <w:pPr>
        <w:shd w:val="solid" w:color="FFFFFF" w:fill="FFFFFF"/>
        <w:rPr>
          <w:sz w:val="24"/>
          <w:szCs w:val="24"/>
        </w:rPr>
      </w:pPr>
    </w:p>
    <w:p w:rsidR="00553E3D" w:rsidRPr="00772FE4" w14:paraId="6E2CF601" w14:textId="49E8B158">
      <w:pPr>
        <w:shd w:val="solid" w:color="FFFFFF" w:fill="FFFFFF"/>
        <w:rPr>
          <w:sz w:val="24"/>
          <w:szCs w:val="24"/>
        </w:rPr>
      </w:pPr>
      <w:r w:rsidRPr="00772FE4">
        <w:rPr>
          <w:sz w:val="24"/>
          <w:szCs w:val="24"/>
        </w:rPr>
        <w:t xml:space="preserve">OSHA assumes that firms performing Commercial and Institutional Remodeling and Residential Remodeling projects purchase their own air monitoring equipment. </w:t>
      </w:r>
      <w:r w:rsidR="007F3A34">
        <w:rPr>
          <w:sz w:val="24"/>
          <w:szCs w:val="24"/>
        </w:rPr>
        <w:t xml:space="preserve"> </w:t>
      </w:r>
      <w:r w:rsidRPr="00772FE4">
        <w:rPr>
          <w:sz w:val="24"/>
          <w:szCs w:val="24"/>
        </w:rPr>
        <w:t xml:space="preserve">On average, each firm purchases two air monitoring pumps, a pump charger, two hose/clip assemblies, two filter holders, and one digital calibrator </w:t>
      </w:r>
      <w:r w:rsidRPr="00772FE4" w:rsidR="00017636">
        <w:rPr>
          <w:sz w:val="24"/>
          <w:szCs w:val="24"/>
        </w:rPr>
        <w:t>to</w:t>
      </w:r>
      <w:r w:rsidRPr="00772FE4">
        <w:rPr>
          <w:sz w:val="24"/>
          <w:szCs w:val="24"/>
        </w:rPr>
        <w:t xml:space="preserve"> perform representative monitoring</w:t>
      </w:r>
      <w:r w:rsidR="000959D8">
        <w:rPr>
          <w:sz w:val="24"/>
          <w:szCs w:val="24"/>
        </w:rPr>
        <w:t>,</w:t>
      </w:r>
      <w:r w:rsidRPr="00772FE4">
        <w:rPr>
          <w:sz w:val="24"/>
          <w:szCs w:val="24"/>
        </w:rPr>
        <w:t xml:space="preserve"> based on a useful life of 5 years for pumps and related accessories and a discount rate of 7 percent. </w:t>
      </w:r>
    </w:p>
    <w:p w:rsidR="00553E3D" w:rsidRPr="00772FE4" w14:paraId="4DE6737B" w14:textId="77777777">
      <w:pPr>
        <w:shd w:val="solid" w:color="FFFFFF" w:fill="FFFFFF"/>
        <w:rPr>
          <w:sz w:val="24"/>
          <w:szCs w:val="24"/>
        </w:rPr>
      </w:pPr>
    </w:p>
    <w:p w:rsidR="00553E3D" w:rsidRPr="00772FE4" w14:paraId="1CE91DE9" w14:textId="585EF9C7">
      <w:pPr>
        <w:shd w:val="solid" w:color="FFFFFF" w:fill="FFFFFF"/>
        <w:rPr>
          <w:sz w:val="24"/>
          <w:szCs w:val="24"/>
        </w:rPr>
      </w:pPr>
      <w:r w:rsidRPr="00772FE4">
        <w:rPr>
          <w:sz w:val="24"/>
          <w:szCs w:val="24"/>
        </w:rPr>
        <w:t xml:space="preserve">The formula used to calculate the total annualized cost of purchasing monitoring equipment was: (# of firms) × (Total annualized equipment cost per firm) = total annualized cost. </w:t>
      </w:r>
      <w:r w:rsidR="007F3A34">
        <w:rPr>
          <w:sz w:val="24"/>
          <w:szCs w:val="24"/>
        </w:rPr>
        <w:t xml:space="preserve"> </w:t>
      </w:r>
      <w:r w:rsidRPr="00772FE4">
        <w:rPr>
          <w:sz w:val="24"/>
          <w:szCs w:val="24"/>
        </w:rPr>
        <w:t xml:space="preserve">Thus, multiplying the total estimate of </w:t>
      </w:r>
      <w:r w:rsidR="00B868D5">
        <w:rPr>
          <w:sz w:val="24"/>
          <w:szCs w:val="24"/>
        </w:rPr>
        <w:t>57,877 firms</w:t>
      </w:r>
      <w:r w:rsidRPr="00772FE4">
        <w:rPr>
          <w:sz w:val="24"/>
          <w:szCs w:val="24"/>
        </w:rPr>
        <w:t xml:space="preserve"> engaged in Commercial and Institutional Remodeling and Residential Remodeling by the total annualized equipment cost of $</w:t>
      </w:r>
      <w:r w:rsidR="00D8561F">
        <w:rPr>
          <w:sz w:val="24"/>
          <w:szCs w:val="24"/>
        </w:rPr>
        <w:t>5</w:t>
      </w:r>
      <w:r w:rsidR="00190370">
        <w:rPr>
          <w:sz w:val="24"/>
          <w:szCs w:val="24"/>
        </w:rPr>
        <w:t xml:space="preserve">18.25 </w:t>
      </w:r>
      <w:r w:rsidRPr="00772FE4">
        <w:rPr>
          <w:sz w:val="24"/>
          <w:szCs w:val="24"/>
        </w:rPr>
        <w:t xml:space="preserve">per firm gives an annual cost of </w:t>
      </w:r>
      <w:r w:rsidRPr="00B63DB7" w:rsidR="007464D8">
        <w:rPr>
          <w:b/>
          <w:bCs/>
          <w:sz w:val="24"/>
          <w:szCs w:val="24"/>
        </w:rPr>
        <w:t>$</w:t>
      </w:r>
      <w:r w:rsidRPr="00B63DB7" w:rsidR="00F02D12">
        <w:rPr>
          <w:b/>
          <w:bCs/>
          <w:sz w:val="24"/>
          <w:szCs w:val="24"/>
        </w:rPr>
        <w:t>29,994,755</w:t>
      </w:r>
      <w:r w:rsidR="00F02D12">
        <w:rPr>
          <w:b/>
          <w:bCs/>
          <w:sz w:val="24"/>
          <w:szCs w:val="24"/>
        </w:rPr>
        <w:t xml:space="preserve"> </w:t>
      </w:r>
      <w:r w:rsidRPr="00772FE4" w:rsidR="00F02D12">
        <w:rPr>
          <w:sz w:val="24"/>
          <w:szCs w:val="24"/>
        </w:rPr>
        <w:t>associated</w:t>
      </w:r>
      <w:r w:rsidRPr="00772FE4">
        <w:rPr>
          <w:sz w:val="24"/>
          <w:szCs w:val="24"/>
        </w:rPr>
        <w:t xml:space="preserve"> with the purchase of monitoring equipment.</w:t>
      </w:r>
    </w:p>
    <w:p w:rsidR="00024C52" w14:paraId="362D4086" w14:textId="77777777">
      <w:pPr>
        <w:shd w:val="solid" w:color="FFFFFF" w:fill="FFFFFF"/>
        <w:rPr>
          <w:sz w:val="24"/>
          <w:szCs w:val="24"/>
        </w:rPr>
      </w:pPr>
    </w:p>
    <w:p w:rsidR="00190370" w14:paraId="701A8F32" w14:textId="17F97502">
      <w:pPr>
        <w:shd w:val="solid" w:color="FFFFFF" w:fill="FFFFFF"/>
        <w:rPr>
          <w:sz w:val="24"/>
          <w:szCs w:val="24"/>
        </w:rPr>
      </w:pPr>
      <w:r w:rsidRPr="00B63DB7">
        <w:rPr>
          <w:b/>
          <w:bCs/>
          <w:sz w:val="24"/>
          <w:szCs w:val="24"/>
        </w:rPr>
        <w:t>Cost</w:t>
      </w:r>
      <w:r>
        <w:rPr>
          <w:sz w:val="24"/>
          <w:szCs w:val="24"/>
        </w:rPr>
        <w:t>:</w:t>
      </w:r>
      <w:r>
        <w:rPr>
          <w:sz w:val="24"/>
          <w:szCs w:val="24"/>
        </w:rPr>
        <w:tab/>
      </w:r>
      <w:r w:rsidR="00DE6AC7">
        <w:rPr>
          <w:sz w:val="24"/>
          <w:szCs w:val="24"/>
        </w:rPr>
        <w:t xml:space="preserve">57,877 </w:t>
      </w:r>
      <w:r w:rsidRPr="00772FE4" w:rsidR="00DE6AC7">
        <w:rPr>
          <w:sz w:val="24"/>
          <w:szCs w:val="24"/>
        </w:rPr>
        <w:t>firms</w:t>
      </w:r>
      <w:r w:rsidR="00DE6AC7">
        <w:rPr>
          <w:sz w:val="24"/>
          <w:szCs w:val="24"/>
        </w:rPr>
        <w:t xml:space="preserve"> x </w:t>
      </w:r>
      <w:r w:rsidRPr="00772FE4" w:rsidR="00DE6AC7">
        <w:rPr>
          <w:sz w:val="24"/>
          <w:szCs w:val="24"/>
        </w:rPr>
        <w:t>$</w:t>
      </w:r>
      <w:r w:rsidR="00DE6AC7">
        <w:rPr>
          <w:sz w:val="24"/>
          <w:szCs w:val="24"/>
        </w:rPr>
        <w:t xml:space="preserve">518.25 </w:t>
      </w:r>
      <w:r w:rsidRPr="00772FE4" w:rsidR="00DE6AC7">
        <w:rPr>
          <w:sz w:val="24"/>
          <w:szCs w:val="24"/>
        </w:rPr>
        <w:t>per firm</w:t>
      </w:r>
      <w:r w:rsidR="00E0660B">
        <w:rPr>
          <w:sz w:val="24"/>
          <w:szCs w:val="24"/>
        </w:rPr>
        <w:t xml:space="preserve"> = $29,</w:t>
      </w:r>
      <w:r w:rsidR="007464D8">
        <w:rPr>
          <w:sz w:val="24"/>
          <w:szCs w:val="24"/>
        </w:rPr>
        <w:t>994,755</w:t>
      </w:r>
    </w:p>
    <w:p w:rsidR="00764305" w14:paraId="188B178B" w14:textId="77777777">
      <w:pPr>
        <w:shd w:val="solid" w:color="FFFFFF" w:fill="FFFFFF"/>
        <w:rPr>
          <w:sz w:val="24"/>
          <w:szCs w:val="24"/>
        </w:rPr>
      </w:pPr>
    </w:p>
    <w:p w:rsidR="00DE6AC7" w14:paraId="15B81D85" w14:textId="75D055DC">
      <w:pPr>
        <w:shd w:val="solid" w:color="FFFFFF" w:fill="FFFFFF"/>
        <w:rPr>
          <w:sz w:val="24"/>
          <w:szCs w:val="24"/>
        </w:rPr>
      </w:pPr>
      <w:r>
        <w:rPr>
          <w:sz w:val="24"/>
          <w:szCs w:val="24"/>
        </w:rPr>
        <w:t xml:space="preserve"> </w:t>
      </w:r>
    </w:p>
    <w:p w:rsidR="00C256AF" w14:paraId="6DE69795" w14:textId="23C74E51">
      <w:pPr>
        <w:shd w:val="solid" w:color="FFFFFF" w:fill="FFFFFF"/>
        <w:rPr>
          <w:sz w:val="24"/>
          <w:szCs w:val="24"/>
        </w:rPr>
      </w:pPr>
      <w:r w:rsidRPr="00B63DB7">
        <w:rPr>
          <w:b/>
          <w:bCs/>
          <w:sz w:val="24"/>
          <w:szCs w:val="24"/>
        </w:rPr>
        <w:t xml:space="preserve">Cost Summary for Monitoring </w:t>
      </w:r>
      <w:r w:rsidR="002E686C">
        <w:rPr>
          <w:b/>
          <w:bCs/>
          <w:sz w:val="24"/>
          <w:szCs w:val="24"/>
        </w:rPr>
        <w:t xml:space="preserve">Initial </w:t>
      </w:r>
      <w:r w:rsidRPr="00B63DB7">
        <w:rPr>
          <w:b/>
          <w:bCs/>
          <w:sz w:val="24"/>
          <w:szCs w:val="24"/>
        </w:rPr>
        <w:t>Determinations</w:t>
      </w:r>
      <w:r>
        <w:rPr>
          <w:sz w:val="24"/>
          <w:szCs w:val="24"/>
        </w:rPr>
        <w:t>:</w:t>
      </w:r>
    </w:p>
    <w:p w:rsidR="00764305" w14:paraId="468BAE07" w14:textId="77777777">
      <w:pPr>
        <w:shd w:val="solid" w:color="FFFFFF" w:fill="FFFFFF"/>
        <w:rPr>
          <w:sz w:val="24"/>
          <w:szCs w:val="24"/>
        </w:rPr>
      </w:pPr>
    </w:p>
    <w:tbl>
      <w:tblPr>
        <w:tblStyle w:val="TableGrid"/>
        <w:tblW w:w="0" w:type="auto"/>
        <w:tblLook w:val="04A0"/>
      </w:tblPr>
      <w:tblGrid>
        <w:gridCol w:w="3685"/>
        <w:gridCol w:w="2880"/>
        <w:gridCol w:w="2160"/>
      </w:tblGrid>
      <w:tr w14:paraId="54ABF938" w14:textId="77777777" w:rsidTr="00B63DB7">
        <w:tblPrEx>
          <w:tblW w:w="0" w:type="auto"/>
          <w:tblLook w:val="04A0"/>
        </w:tblPrEx>
        <w:trPr>
          <w:tblHeader/>
        </w:trPr>
        <w:tc>
          <w:tcPr>
            <w:tcW w:w="3685" w:type="dxa"/>
            <w:shd w:val="clear" w:color="auto" w:fill="C5E0B3" w:themeFill="accent6" w:themeFillTint="66"/>
          </w:tcPr>
          <w:p w:rsidR="00596E3B" w:rsidRPr="00B63DB7" w14:paraId="2D237E54" w14:textId="05D69E79">
            <w:pPr>
              <w:rPr>
                <w:b/>
                <w:bCs/>
                <w:sz w:val="24"/>
                <w:szCs w:val="24"/>
              </w:rPr>
            </w:pPr>
            <w:r w:rsidRPr="00B63DB7">
              <w:rPr>
                <w:b/>
                <w:bCs/>
                <w:sz w:val="24"/>
                <w:szCs w:val="24"/>
              </w:rPr>
              <w:t>Task</w:t>
            </w:r>
          </w:p>
        </w:tc>
        <w:tc>
          <w:tcPr>
            <w:tcW w:w="2880" w:type="dxa"/>
            <w:shd w:val="clear" w:color="auto" w:fill="C5E0B3" w:themeFill="accent6" w:themeFillTint="66"/>
          </w:tcPr>
          <w:p w:rsidR="00596E3B" w:rsidRPr="00B63DB7" w14:paraId="45B22CB0" w14:textId="060CCC94">
            <w:pPr>
              <w:rPr>
                <w:b/>
                <w:bCs/>
                <w:sz w:val="24"/>
                <w:szCs w:val="24"/>
              </w:rPr>
            </w:pPr>
            <w:r w:rsidRPr="00B63DB7">
              <w:rPr>
                <w:b/>
                <w:bCs/>
                <w:sz w:val="24"/>
                <w:szCs w:val="24"/>
              </w:rPr>
              <w:t>No. of Projects</w:t>
            </w:r>
          </w:p>
        </w:tc>
        <w:tc>
          <w:tcPr>
            <w:tcW w:w="2160" w:type="dxa"/>
            <w:shd w:val="clear" w:color="auto" w:fill="C5E0B3" w:themeFill="accent6" w:themeFillTint="66"/>
          </w:tcPr>
          <w:p w:rsidR="00596E3B" w:rsidRPr="00B63DB7" w14:paraId="5F694369" w14:textId="682F82BE">
            <w:pPr>
              <w:rPr>
                <w:b/>
                <w:bCs/>
                <w:sz w:val="24"/>
                <w:szCs w:val="24"/>
              </w:rPr>
            </w:pPr>
            <w:r w:rsidRPr="00B63DB7">
              <w:rPr>
                <w:b/>
                <w:bCs/>
                <w:sz w:val="24"/>
                <w:szCs w:val="24"/>
              </w:rPr>
              <w:t xml:space="preserve">Cost </w:t>
            </w:r>
          </w:p>
        </w:tc>
      </w:tr>
      <w:tr w14:paraId="44CEEFBD" w14:textId="77777777" w:rsidTr="00B63DB7">
        <w:tblPrEx>
          <w:tblW w:w="0" w:type="auto"/>
          <w:tblLook w:val="04A0"/>
        </w:tblPrEx>
        <w:tc>
          <w:tcPr>
            <w:tcW w:w="3685" w:type="dxa"/>
          </w:tcPr>
          <w:p w:rsidR="00596E3B" w14:paraId="6484C563" w14:textId="590DD8D4">
            <w:pPr>
              <w:rPr>
                <w:sz w:val="24"/>
                <w:szCs w:val="24"/>
              </w:rPr>
            </w:pPr>
            <w:r>
              <w:rPr>
                <w:sz w:val="24"/>
                <w:szCs w:val="24"/>
              </w:rPr>
              <w:t>I</w:t>
            </w:r>
            <w:r w:rsidRPr="00772FE4" w:rsidR="0092357E">
              <w:rPr>
                <w:sz w:val="24"/>
                <w:szCs w:val="24"/>
              </w:rPr>
              <w:t>ndustrial hygiene labor</w:t>
            </w:r>
          </w:p>
        </w:tc>
        <w:tc>
          <w:tcPr>
            <w:tcW w:w="2880" w:type="dxa"/>
          </w:tcPr>
          <w:p w:rsidR="00596E3B" w14:paraId="54956452" w14:textId="2C4E1A81">
            <w:pPr>
              <w:rPr>
                <w:sz w:val="24"/>
                <w:szCs w:val="24"/>
              </w:rPr>
            </w:pPr>
            <w:r>
              <w:rPr>
                <w:sz w:val="24"/>
                <w:szCs w:val="24"/>
              </w:rPr>
              <w:t>14,243 projects</w:t>
            </w:r>
          </w:p>
        </w:tc>
        <w:tc>
          <w:tcPr>
            <w:tcW w:w="2160" w:type="dxa"/>
          </w:tcPr>
          <w:p w:rsidR="00596E3B" w14:paraId="02367336" w14:textId="2F792549">
            <w:pPr>
              <w:rPr>
                <w:sz w:val="24"/>
                <w:szCs w:val="24"/>
              </w:rPr>
            </w:pPr>
            <w:r w:rsidRPr="00772FE4">
              <w:rPr>
                <w:sz w:val="24"/>
                <w:szCs w:val="24"/>
              </w:rPr>
              <w:t>$</w:t>
            </w:r>
            <w:r w:rsidRPr="003256BB">
              <w:rPr>
                <w:sz w:val="24"/>
                <w:szCs w:val="24"/>
              </w:rPr>
              <w:t>15,688,380</w:t>
            </w:r>
          </w:p>
        </w:tc>
      </w:tr>
      <w:tr w14:paraId="1DB8EFCE" w14:textId="77777777" w:rsidTr="00B63DB7">
        <w:tblPrEx>
          <w:tblW w:w="0" w:type="auto"/>
          <w:tblLook w:val="04A0"/>
        </w:tblPrEx>
        <w:tc>
          <w:tcPr>
            <w:tcW w:w="3685" w:type="dxa"/>
          </w:tcPr>
          <w:p w:rsidR="00596E3B" w14:paraId="51CFF4DC" w14:textId="68D9D0D6">
            <w:pPr>
              <w:rPr>
                <w:sz w:val="24"/>
                <w:szCs w:val="24"/>
              </w:rPr>
            </w:pPr>
            <w:r>
              <w:rPr>
                <w:sz w:val="24"/>
                <w:szCs w:val="24"/>
              </w:rPr>
              <w:t>L</w:t>
            </w:r>
            <w:r w:rsidR="00C67390">
              <w:rPr>
                <w:sz w:val="24"/>
                <w:szCs w:val="24"/>
              </w:rPr>
              <w:t>aboratory analysis</w:t>
            </w:r>
          </w:p>
        </w:tc>
        <w:tc>
          <w:tcPr>
            <w:tcW w:w="2880" w:type="dxa"/>
          </w:tcPr>
          <w:p w:rsidR="00596E3B" w14:paraId="31F1758A" w14:textId="69A2B623">
            <w:pPr>
              <w:rPr>
                <w:sz w:val="24"/>
                <w:szCs w:val="24"/>
              </w:rPr>
            </w:pPr>
            <w:r>
              <w:rPr>
                <w:sz w:val="24"/>
                <w:szCs w:val="24"/>
              </w:rPr>
              <w:t>14,243 projects</w:t>
            </w:r>
          </w:p>
        </w:tc>
        <w:tc>
          <w:tcPr>
            <w:tcW w:w="2160" w:type="dxa"/>
          </w:tcPr>
          <w:p w:rsidR="00596E3B" w14:paraId="1736EBE7" w14:textId="1EBB33F0">
            <w:pPr>
              <w:rPr>
                <w:sz w:val="24"/>
                <w:szCs w:val="24"/>
              </w:rPr>
            </w:pPr>
            <w:r w:rsidRPr="00772FE4">
              <w:rPr>
                <w:sz w:val="24"/>
                <w:szCs w:val="24"/>
              </w:rPr>
              <w:t>$</w:t>
            </w:r>
            <w:r w:rsidRPr="003256BB">
              <w:rPr>
                <w:sz w:val="24"/>
                <w:szCs w:val="24"/>
              </w:rPr>
              <w:t>3,845,610</w:t>
            </w:r>
          </w:p>
        </w:tc>
      </w:tr>
      <w:tr w14:paraId="56F6AAAB" w14:textId="77777777" w:rsidTr="00B63DB7">
        <w:tblPrEx>
          <w:tblW w:w="0" w:type="auto"/>
          <w:tblLook w:val="04A0"/>
        </w:tblPrEx>
        <w:tc>
          <w:tcPr>
            <w:tcW w:w="3685" w:type="dxa"/>
          </w:tcPr>
          <w:p w:rsidR="00596E3B" w14:paraId="5AD461CA" w14:textId="789FD825">
            <w:pPr>
              <w:rPr>
                <w:sz w:val="24"/>
                <w:szCs w:val="24"/>
              </w:rPr>
            </w:pPr>
            <w:r>
              <w:rPr>
                <w:sz w:val="24"/>
                <w:szCs w:val="24"/>
              </w:rPr>
              <w:t>L</w:t>
            </w:r>
            <w:r w:rsidR="00C67390">
              <w:rPr>
                <w:sz w:val="24"/>
                <w:szCs w:val="24"/>
              </w:rPr>
              <w:t>aboratory analysis</w:t>
            </w:r>
          </w:p>
        </w:tc>
        <w:tc>
          <w:tcPr>
            <w:tcW w:w="2880" w:type="dxa"/>
          </w:tcPr>
          <w:p w:rsidR="00596E3B" w14:paraId="20B865D1" w14:textId="37EC48AE">
            <w:pPr>
              <w:rPr>
                <w:sz w:val="24"/>
                <w:szCs w:val="24"/>
              </w:rPr>
            </w:pPr>
            <w:r>
              <w:rPr>
                <w:sz w:val="24"/>
                <w:szCs w:val="24"/>
              </w:rPr>
              <w:t>57,877 remodeling</w:t>
            </w:r>
            <w:r w:rsidR="000F0AF6">
              <w:rPr>
                <w:sz w:val="24"/>
                <w:szCs w:val="24"/>
              </w:rPr>
              <w:t xml:space="preserve"> </w:t>
            </w:r>
            <w:r w:rsidRPr="00910F26" w:rsidR="000F0AF6">
              <w:rPr>
                <w:sz w:val="24"/>
                <w:szCs w:val="24"/>
              </w:rPr>
              <w:t>projects</w:t>
            </w:r>
          </w:p>
        </w:tc>
        <w:tc>
          <w:tcPr>
            <w:tcW w:w="2160" w:type="dxa"/>
          </w:tcPr>
          <w:p w:rsidR="00596E3B" w14:paraId="5D26B7D3" w14:textId="25A688C2">
            <w:pPr>
              <w:rPr>
                <w:sz w:val="24"/>
                <w:szCs w:val="24"/>
              </w:rPr>
            </w:pPr>
            <w:r w:rsidRPr="00FF60F5">
              <w:rPr>
                <w:sz w:val="24"/>
                <w:szCs w:val="24"/>
              </w:rPr>
              <w:t>$</w:t>
            </w:r>
            <w:r w:rsidRPr="003256BB">
              <w:rPr>
                <w:sz w:val="24"/>
                <w:szCs w:val="24"/>
              </w:rPr>
              <w:t>4,078,650</w:t>
            </w:r>
          </w:p>
        </w:tc>
      </w:tr>
      <w:tr w14:paraId="3510C265" w14:textId="77777777" w:rsidTr="00B63DB7">
        <w:tblPrEx>
          <w:tblW w:w="0" w:type="auto"/>
          <w:tblLook w:val="04A0"/>
        </w:tblPrEx>
        <w:tc>
          <w:tcPr>
            <w:tcW w:w="3685" w:type="dxa"/>
          </w:tcPr>
          <w:p w:rsidR="00596E3B" w14:paraId="4FFE3777" w14:textId="0E2CA8C5">
            <w:pPr>
              <w:rPr>
                <w:sz w:val="24"/>
                <w:szCs w:val="24"/>
              </w:rPr>
            </w:pPr>
            <w:r>
              <w:rPr>
                <w:sz w:val="24"/>
                <w:szCs w:val="24"/>
              </w:rPr>
              <w:t>P</w:t>
            </w:r>
            <w:r w:rsidRPr="00AA0821" w:rsidR="00C67390">
              <w:rPr>
                <w:sz w:val="24"/>
                <w:szCs w:val="24"/>
              </w:rPr>
              <w:t>urchasing monitoring equipment</w:t>
            </w:r>
          </w:p>
        </w:tc>
        <w:tc>
          <w:tcPr>
            <w:tcW w:w="2880" w:type="dxa"/>
          </w:tcPr>
          <w:p w:rsidR="00596E3B" w14:paraId="66A2A5CC" w14:textId="45C4E08E">
            <w:pPr>
              <w:rPr>
                <w:sz w:val="24"/>
                <w:szCs w:val="24"/>
              </w:rPr>
            </w:pPr>
            <w:r>
              <w:rPr>
                <w:sz w:val="24"/>
                <w:szCs w:val="24"/>
              </w:rPr>
              <w:t>57,877 remodeling</w:t>
            </w:r>
            <w:r w:rsidRPr="00910F26" w:rsidR="000F0AF6">
              <w:rPr>
                <w:sz w:val="24"/>
                <w:szCs w:val="24"/>
              </w:rPr>
              <w:t xml:space="preserve"> projects</w:t>
            </w:r>
          </w:p>
        </w:tc>
        <w:tc>
          <w:tcPr>
            <w:tcW w:w="2160" w:type="dxa"/>
          </w:tcPr>
          <w:p w:rsidR="00596E3B" w14:paraId="08BF6D96" w14:textId="51DB1F31">
            <w:pPr>
              <w:rPr>
                <w:sz w:val="24"/>
                <w:szCs w:val="24"/>
              </w:rPr>
            </w:pPr>
            <w:r w:rsidRPr="00877D7A">
              <w:rPr>
                <w:sz w:val="24"/>
                <w:szCs w:val="24"/>
                <w:u w:val="single"/>
              </w:rPr>
              <w:t>$</w:t>
            </w:r>
            <w:r w:rsidRPr="003256BB">
              <w:rPr>
                <w:sz w:val="24"/>
                <w:szCs w:val="24"/>
                <w:u w:val="single"/>
              </w:rPr>
              <w:t>29,994,755</w:t>
            </w:r>
          </w:p>
        </w:tc>
      </w:tr>
      <w:tr w14:paraId="1B69BF45" w14:textId="77777777" w:rsidTr="00B63DB7">
        <w:tblPrEx>
          <w:tblW w:w="0" w:type="auto"/>
          <w:tblLook w:val="04A0"/>
        </w:tblPrEx>
        <w:tc>
          <w:tcPr>
            <w:tcW w:w="3685" w:type="dxa"/>
          </w:tcPr>
          <w:p w:rsidR="00596E3B" w14:paraId="5EFE715C" w14:textId="151CFBC7">
            <w:pPr>
              <w:rPr>
                <w:sz w:val="24"/>
                <w:szCs w:val="24"/>
              </w:rPr>
            </w:pPr>
            <w:r w:rsidRPr="00F86EE9">
              <w:rPr>
                <w:b/>
                <w:sz w:val="24"/>
                <w:szCs w:val="24"/>
              </w:rPr>
              <w:t>Total</w:t>
            </w:r>
          </w:p>
        </w:tc>
        <w:tc>
          <w:tcPr>
            <w:tcW w:w="2880" w:type="dxa"/>
          </w:tcPr>
          <w:p w:rsidR="00596E3B" w14:paraId="624FBA00" w14:textId="77777777">
            <w:pPr>
              <w:rPr>
                <w:sz w:val="24"/>
                <w:szCs w:val="24"/>
              </w:rPr>
            </w:pPr>
          </w:p>
        </w:tc>
        <w:tc>
          <w:tcPr>
            <w:tcW w:w="2160" w:type="dxa"/>
          </w:tcPr>
          <w:p w:rsidR="00596E3B" w14:paraId="279F7B33" w14:textId="69C01B11">
            <w:pPr>
              <w:rPr>
                <w:sz w:val="24"/>
                <w:szCs w:val="24"/>
              </w:rPr>
            </w:pPr>
            <w:r w:rsidRPr="00F86EE9">
              <w:rPr>
                <w:b/>
                <w:sz w:val="24"/>
                <w:szCs w:val="24"/>
              </w:rPr>
              <w:t>$</w:t>
            </w:r>
            <w:r>
              <w:rPr>
                <w:b/>
                <w:sz w:val="24"/>
                <w:szCs w:val="24"/>
              </w:rPr>
              <w:t>53,607,395</w:t>
            </w:r>
          </w:p>
        </w:tc>
      </w:tr>
    </w:tbl>
    <w:p w:rsidR="00606C20" w:rsidRPr="00772FE4" w14:paraId="00AE44AB" w14:textId="77777777">
      <w:pPr>
        <w:shd w:val="solid" w:color="FFFFFF" w:fill="FFFFFF"/>
        <w:rPr>
          <w:sz w:val="24"/>
          <w:szCs w:val="24"/>
        </w:rPr>
      </w:pPr>
    </w:p>
    <w:p w:rsidR="00553E3D" w:rsidRPr="00772FE4" w14:paraId="32A91C9D" w14:textId="77777777">
      <w:pPr>
        <w:shd w:val="solid" w:color="FFFFFF" w:fill="FFFFFF"/>
        <w:rPr>
          <w:b/>
          <w:bCs/>
          <w:sz w:val="24"/>
          <w:szCs w:val="24"/>
        </w:rPr>
      </w:pPr>
    </w:p>
    <w:p w:rsidR="00553E3D" w:rsidRPr="00B63DB7" w:rsidP="00B63DB7" w14:paraId="1CBB8EAD" w14:textId="52DF6756">
      <w:pPr>
        <w:pStyle w:val="ListParagraph"/>
        <w:numPr>
          <w:ilvl w:val="0"/>
          <w:numId w:val="6"/>
        </w:numPr>
        <w:shd w:val="solid" w:color="FFFFFF" w:fill="FFFFFF"/>
        <w:rPr>
          <w:sz w:val="24"/>
          <w:szCs w:val="24"/>
        </w:rPr>
      </w:pPr>
      <w:r w:rsidRPr="0080059D">
        <w:rPr>
          <w:b/>
          <w:bCs/>
          <w:sz w:val="24"/>
          <w:szCs w:val="24"/>
        </w:rPr>
        <w:t>Periodic Exposure Measurement</w:t>
      </w:r>
    </w:p>
    <w:p w:rsidR="00553E3D" w:rsidRPr="00772FE4" w14:paraId="625D3BF1" w14:textId="77777777">
      <w:pPr>
        <w:shd w:val="solid" w:color="FFFFFF" w:fill="FFFFFF"/>
        <w:rPr>
          <w:sz w:val="24"/>
          <w:szCs w:val="24"/>
        </w:rPr>
      </w:pPr>
    </w:p>
    <w:p w:rsidR="00553E3D" w:rsidRPr="00772FE4" w14:paraId="2DD17620" w14:textId="1CDBAC59">
      <w:pPr>
        <w:shd w:val="solid" w:color="FFFFFF" w:fill="FFFFFF"/>
        <w:rPr>
          <w:sz w:val="24"/>
          <w:szCs w:val="24"/>
        </w:rPr>
      </w:pPr>
      <w:r w:rsidRPr="00772FE4">
        <w:rPr>
          <w:sz w:val="24"/>
          <w:szCs w:val="24"/>
        </w:rPr>
        <w:t xml:space="preserve">Periodic exposure-monitoring is triggered by the airborne exposure levels found on a given worksite. </w:t>
      </w:r>
      <w:r w:rsidR="007F3A34">
        <w:rPr>
          <w:sz w:val="24"/>
          <w:szCs w:val="24"/>
        </w:rPr>
        <w:t xml:space="preserve"> </w:t>
      </w:r>
      <w:r w:rsidRPr="00772FE4">
        <w:rPr>
          <w:sz w:val="24"/>
          <w:szCs w:val="24"/>
        </w:rPr>
        <w:t xml:space="preserve">The frequency of periodic monitoring is determined by whether the work site exposure levels are below the action level, between the action level and PEL, or above the PEL. </w:t>
      </w:r>
      <w:r w:rsidR="007F3A34">
        <w:rPr>
          <w:sz w:val="24"/>
          <w:szCs w:val="24"/>
        </w:rPr>
        <w:t xml:space="preserve"> </w:t>
      </w:r>
      <w:r w:rsidRPr="00772FE4">
        <w:rPr>
          <w:sz w:val="24"/>
          <w:szCs w:val="24"/>
        </w:rPr>
        <w:t xml:space="preserve">In addition, since the requirement to perform periodic monitoring is based on the exposure levels associated with a specific worksite, periodic monitoring only occurs if the project is of sufficient duration. </w:t>
      </w:r>
      <w:r w:rsidR="007F3A34">
        <w:rPr>
          <w:sz w:val="24"/>
          <w:szCs w:val="24"/>
        </w:rPr>
        <w:t xml:space="preserve"> </w:t>
      </w:r>
      <w:r w:rsidRPr="00772FE4">
        <w:rPr>
          <w:sz w:val="24"/>
          <w:szCs w:val="24"/>
        </w:rPr>
        <w:t>OSHA assumes that the following project types are affected based on the expected airborne exposure levels following the implementation of engineering controls and the typical duration of such projects (average project duration is given in parentheses):</w:t>
      </w:r>
    </w:p>
    <w:p w:rsidR="00553E3D" w:rsidRPr="00772FE4" w14:paraId="57AD80D7" w14:textId="77777777">
      <w:pPr>
        <w:shd w:val="solid" w:color="FFFFFF" w:fill="FFFFFF"/>
        <w:rPr>
          <w:sz w:val="24"/>
          <w:szCs w:val="24"/>
        </w:rPr>
      </w:pPr>
    </w:p>
    <w:p w:rsidR="00553E3D" w:rsidRPr="00772FE4" w14:paraId="3634A26E" w14:textId="7D4D137A">
      <w:pPr>
        <w:shd w:val="solid" w:color="FFFFFF" w:fill="FFFFFF"/>
        <w:ind w:firstLine="720"/>
        <w:rPr>
          <w:sz w:val="24"/>
          <w:szCs w:val="24"/>
        </w:rPr>
      </w:pPr>
      <w:r w:rsidRPr="00772FE4">
        <w:rPr>
          <w:sz w:val="24"/>
          <w:szCs w:val="24"/>
        </w:rPr>
        <w:t>Highway and Railroad Bridge Repainting (</w:t>
      </w:r>
      <w:r w:rsidR="00E31B8D">
        <w:rPr>
          <w:sz w:val="24"/>
          <w:szCs w:val="24"/>
        </w:rPr>
        <w:t>505</w:t>
      </w:r>
      <w:r w:rsidRPr="00772FE4" w:rsidR="00E31B8D">
        <w:rPr>
          <w:sz w:val="24"/>
          <w:szCs w:val="24"/>
        </w:rPr>
        <w:t xml:space="preserve"> </w:t>
      </w:r>
      <w:r w:rsidRPr="00772FE4">
        <w:rPr>
          <w:sz w:val="24"/>
          <w:szCs w:val="24"/>
        </w:rPr>
        <w:t>workdays)</w:t>
      </w:r>
    </w:p>
    <w:p w:rsidR="00553E3D" w:rsidRPr="00772FE4" w14:paraId="1C482623" w14:textId="10F11C58">
      <w:pPr>
        <w:shd w:val="solid" w:color="FFFFFF" w:fill="FFFFFF"/>
        <w:ind w:firstLine="720"/>
        <w:rPr>
          <w:sz w:val="24"/>
          <w:szCs w:val="24"/>
        </w:rPr>
      </w:pPr>
      <w:r w:rsidRPr="00772FE4">
        <w:rPr>
          <w:sz w:val="24"/>
          <w:szCs w:val="24"/>
        </w:rPr>
        <w:t>Highway and Railroad Bridge Rehabilitation (</w:t>
      </w:r>
      <w:r w:rsidR="00091BF0">
        <w:rPr>
          <w:sz w:val="24"/>
          <w:szCs w:val="24"/>
        </w:rPr>
        <w:t>67</w:t>
      </w:r>
      <w:r w:rsidRPr="00772FE4" w:rsidR="00091BF0">
        <w:rPr>
          <w:sz w:val="24"/>
          <w:szCs w:val="24"/>
        </w:rPr>
        <w:t xml:space="preserve"> </w:t>
      </w:r>
      <w:r w:rsidRPr="00772FE4">
        <w:rPr>
          <w:sz w:val="24"/>
          <w:szCs w:val="24"/>
        </w:rPr>
        <w:t>workdays)</w:t>
      </w:r>
    </w:p>
    <w:p w:rsidR="00553E3D" w:rsidRPr="00772FE4" w14:paraId="16EBCDD5" w14:textId="0CD91A8A">
      <w:pPr>
        <w:shd w:val="solid" w:color="FFFFFF" w:fill="FFFFFF"/>
        <w:ind w:firstLine="720"/>
        <w:rPr>
          <w:sz w:val="24"/>
          <w:szCs w:val="24"/>
        </w:rPr>
      </w:pPr>
      <w:r w:rsidRPr="00772FE4">
        <w:rPr>
          <w:sz w:val="24"/>
          <w:szCs w:val="24"/>
        </w:rPr>
        <w:t>Housing Lead Abatement (Public) (</w:t>
      </w:r>
      <w:r w:rsidR="00816C97">
        <w:rPr>
          <w:sz w:val="24"/>
          <w:szCs w:val="24"/>
        </w:rPr>
        <w:t>438</w:t>
      </w:r>
      <w:r w:rsidRPr="00772FE4" w:rsidR="00816C97">
        <w:rPr>
          <w:sz w:val="24"/>
          <w:szCs w:val="24"/>
        </w:rPr>
        <w:t xml:space="preserve"> </w:t>
      </w:r>
      <w:r w:rsidRPr="00772FE4">
        <w:rPr>
          <w:sz w:val="24"/>
          <w:szCs w:val="24"/>
        </w:rPr>
        <w:t>workdays)</w:t>
      </w:r>
    </w:p>
    <w:p w:rsidR="00553E3D" w:rsidRPr="00772FE4" w14:paraId="6F4411EF" w14:textId="7FDBC6F1">
      <w:pPr>
        <w:shd w:val="solid" w:color="FFFFFF" w:fill="FFFFFF"/>
        <w:ind w:firstLine="720"/>
        <w:rPr>
          <w:sz w:val="24"/>
          <w:szCs w:val="24"/>
        </w:rPr>
      </w:pPr>
      <w:r w:rsidRPr="00772FE4">
        <w:rPr>
          <w:sz w:val="24"/>
          <w:szCs w:val="24"/>
        </w:rPr>
        <w:t>Commercial and Industrial Demolition (</w:t>
      </w:r>
      <w:r w:rsidR="000646B6">
        <w:rPr>
          <w:sz w:val="24"/>
          <w:szCs w:val="24"/>
        </w:rPr>
        <w:t>1,442</w:t>
      </w:r>
      <w:r w:rsidRPr="00772FE4" w:rsidR="000646B6">
        <w:rPr>
          <w:sz w:val="24"/>
          <w:szCs w:val="24"/>
        </w:rPr>
        <w:t xml:space="preserve"> </w:t>
      </w:r>
      <w:r w:rsidRPr="00772FE4">
        <w:rPr>
          <w:sz w:val="24"/>
          <w:szCs w:val="24"/>
        </w:rPr>
        <w:t>workdays)</w:t>
      </w:r>
    </w:p>
    <w:p w:rsidR="00553E3D" w:rsidRPr="00772FE4" w14:paraId="2170E873" w14:textId="2D6C0F34">
      <w:pPr>
        <w:shd w:val="solid" w:color="FFFFFF" w:fill="FFFFFF"/>
        <w:ind w:firstLine="720"/>
        <w:rPr>
          <w:sz w:val="24"/>
          <w:szCs w:val="24"/>
        </w:rPr>
      </w:pPr>
      <w:r w:rsidRPr="00772FE4">
        <w:rPr>
          <w:sz w:val="24"/>
          <w:szCs w:val="24"/>
        </w:rPr>
        <w:t>Transmission and Communication Tow Maintenance (</w:t>
      </w:r>
      <w:r w:rsidR="000646B6">
        <w:rPr>
          <w:sz w:val="24"/>
          <w:szCs w:val="24"/>
        </w:rPr>
        <w:t>0</w:t>
      </w:r>
      <w:r w:rsidRPr="00772FE4" w:rsidR="000646B6">
        <w:rPr>
          <w:sz w:val="24"/>
          <w:szCs w:val="24"/>
        </w:rPr>
        <w:t xml:space="preserve"> </w:t>
      </w:r>
      <w:r w:rsidRPr="00772FE4">
        <w:rPr>
          <w:sz w:val="24"/>
          <w:szCs w:val="24"/>
        </w:rPr>
        <w:t>workdays)</w:t>
      </w:r>
    </w:p>
    <w:p w:rsidR="00553E3D" w:rsidRPr="00772FE4" w14:paraId="0392498A" w14:textId="77777777">
      <w:pPr>
        <w:shd w:val="solid" w:color="FFFFFF" w:fill="FFFFFF"/>
        <w:rPr>
          <w:sz w:val="24"/>
          <w:szCs w:val="24"/>
        </w:rPr>
      </w:pPr>
    </w:p>
    <w:p w:rsidR="00553E3D" w:rsidRPr="00772FE4" w14:paraId="1E1BEABB" w14:textId="5208BF86">
      <w:pPr>
        <w:shd w:val="solid" w:color="FFFFFF" w:fill="FFFFFF"/>
        <w:rPr>
          <w:sz w:val="24"/>
          <w:szCs w:val="24"/>
        </w:rPr>
      </w:pPr>
      <w:r w:rsidRPr="00772FE4">
        <w:rPr>
          <w:sz w:val="24"/>
          <w:szCs w:val="24"/>
        </w:rPr>
        <w:t xml:space="preserve">The average number of periodic </w:t>
      </w:r>
      <w:r w:rsidRPr="00772FE4" w:rsidR="00393C0C">
        <w:rPr>
          <w:sz w:val="24"/>
          <w:szCs w:val="24"/>
        </w:rPr>
        <w:t>monitoring</w:t>
      </w:r>
      <w:r w:rsidRPr="00772FE4">
        <w:rPr>
          <w:sz w:val="24"/>
          <w:szCs w:val="24"/>
        </w:rPr>
        <w:t xml:space="preserve"> per firm per project, by project type, is as follows:</w:t>
      </w:r>
    </w:p>
    <w:p w:rsidR="00553E3D" w:rsidRPr="00772FE4" w14:paraId="3008D93B" w14:textId="77777777">
      <w:pPr>
        <w:shd w:val="solid" w:color="FFFFFF" w:fill="FFFFFF"/>
        <w:rPr>
          <w:sz w:val="24"/>
          <w:szCs w:val="24"/>
        </w:rPr>
      </w:pPr>
    </w:p>
    <w:p w:rsidR="00553E3D" w:rsidRPr="00772FE4" w14:paraId="5E828958" w14:textId="77777777">
      <w:pPr>
        <w:shd w:val="solid" w:color="FFFFFF" w:fill="FFFFFF"/>
        <w:ind w:firstLine="720"/>
        <w:rPr>
          <w:sz w:val="24"/>
          <w:szCs w:val="24"/>
        </w:rPr>
      </w:pPr>
      <w:r w:rsidRPr="00772FE4">
        <w:rPr>
          <w:sz w:val="24"/>
          <w:szCs w:val="24"/>
        </w:rPr>
        <w:t>Highway and Railroad Bridge Repainting – 1 monitoring</w:t>
      </w:r>
    </w:p>
    <w:p w:rsidR="00553E3D" w:rsidRPr="00772FE4" w14:paraId="50DBD7CC" w14:textId="77777777">
      <w:pPr>
        <w:shd w:val="solid" w:color="FFFFFF" w:fill="FFFFFF"/>
        <w:ind w:firstLine="720"/>
        <w:rPr>
          <w:sz w:val="24"/>
          <w:szCs w:val="24"/>
        </w:rPr>
      </w:pPr>
      <w:r w:rsidRPr="00772FE4">
        <w:rPr>
          <w:sz w:val="24"/>
          <w:szCs w:val="24"/>
        </w:rPr>
        <w:t xml:space="preserve">Highway and Railroad Bridge Rehabilitation – 3 </w:t>
      </w:r>
      <w:r w:rsidRPr="00772FE4">
        <w:rPr>
          <w:sz w:val="24"/>
          <w:szCs w:val="24"/>
        </w:rPr>
        <w:t>monitorings</w:t>
      </w:r>
    </w:p>
    <w:p w:rsidR="00553E3D" w:rsidRPr="00772FE4" w14:paraId="1CF29D5B" w14:textId="77777777">
      <w:pPr>
        <w:shd w:val="solid" w:color="FFFFFF" w:fill="FFFFFF"/>
        <w:ind w:firstLine="720"/>
        <w:rPr>
          <w:sz w:val="24"/>
          <w:szCs w:val="24"/>
        </w:rPr>
      </w:pPr>
      <w:r w:rsidRPr="00772FE4">
        <w:rPr>
          <w:sz w:val="24"/>
          <w:szCs w:val="24"/>
        </w:rPr>
        <w:t>Housing Lead Abatement (Public) – 1 monitoring</w:t>
      </w:r>
    </w:p>
    <w:p w:rsidR="00553E3D" w:rsidRPr="00772FE4" w14:paraId="228B6348" w14:textId="77777777">
      <w:pPr>
        <w:shd w:val="solid" w:color="FFFFFF" w:fill="FFFFFF"/>
        <w:ind w:firstLine="720"/>
        <w:rPr>
          <w:sz w:val="24"/>
          <w:szCs w:val="24"/>
        </w:rPr>
      </w:pPr>
      <w:r w:rsidRPr="00772FE4">
        <w:rPr>
          <w:sz w:val="24"/>
          <w:szCs w:val="24"/>
        </w:rPr>
        <w:t>Commercial and Industrial Demolition – 1 monitoring</w:t>
      </w:r>
    </w:p>
    <w:p w:rsidR="00553E3D" w:rsidRPr="00772FE4" w14:paraId="586C95F9" w14:textId="77777777">
      <w:pPr>
        <w:shd w:val="solid" w:color="FFFFFF" w:fill="FFFFFF"/>
        <w:ind w:firstLine="720"/>
        <w:rPr>
          <w:sz w:val="24"/>
          <w:szCs w:val="24"/>
        </w:rPr>
      </w:pPr>
      <w:r w:rsidRPr="00772FE4">
        <w:rPr>
          <w:sz w:val="24"/>
          <w:szCs w:val="24"/>
        </w:rPr>
        <w:t>Transmission and Communication Tower Maintenance – 1 monitoring</w:t>
      </w:r>
    </w:p>
    <w:p w:rsidR="00553E3D" w:rsidRPr="00772FE4" w14:paraId="58C262F9" w14:textId="77777777">
      <w:pPr>
        <w:shd w:val="solid" w:color="FFFFFF" w:fill="FFFFFF"/>
        <w:rPr>
          <w:sz w:val="24"/>
          <w:szCs w:val="24"/>
        </w:rPr>
      </w:pPr>
    </w:p>
    <w:p w:rsidR="00553E3D" w:rsidRPr="00772FE4" w14:paraId="345BCB6A" w14:textId="64881196">
      <w:pPr>
        <w:shd w:val="solid" w:color="FFFFFF" w:fill="FFFFFF"/>
        <w:rPr>
          <w:sz w:val="24"/>
          <w:szCs w:val="24"/>
        </w:rPr>
      </w:pPr>
      <w:r w:rsidRPr="00772FE4">
        <w:rPr>
          <w:sz w:val="24"/>
          <w:szCs w:val="24"/>
        </w:rPr>
        <w:t xml:space="preserve">OSHA estimates that a total of </w:t>
      </w:r>
      <w:r w:rsidR="0091646E">
        <w:rPr>
          <w:sz w:val="24"/>
          <w:szCs w:val="24"/>
        </w:rPr>
        <w:t>2,452</w:t>
      </w:r>
      <w:r w:rsidRPr="00772FE4">
        <w:rPr>
          <w:sz w:val="24"/>
          <w:szCs w:val="24"/>
        </w:rPr>
        <w:t xml:space="preserve"> firms engaged in the project types listed above conduct periodic monitoring over the course of a year. </w:t>
      </w:r>
      <w:r w:rsidR="007F3A34">
        <w:rPr>
          <w:sz w:val="24"/>
          <w:szCs w:val="24"/>
        </w:rPr>
        <w:t xml:space="preserve"> </w:t>
      </w:r>
      <w:r w:rsidRPr="00772FE4">
        <w:rPr>
          <w:sz w:val="24"/>
          <w:szCs w:val="24"/>
        </w:rPr>
        <w:t xml:space="preserve">OSHA further estimates that there are </w:t>
      </w:r>
      <w:r w:rsidR="00B507B2">
        <w:rPr>
          <w:sz w:val="24"/>
          <w:szCs w:val="24"/>
        </w:rPr>
        <w:t>5,239</w:t>
      </w:r>
      <w:r w:rsidRPr="00772FE4">
        <w:rPr>
          <w:sz w:val="24"/>
          <w:szCs w:val="24"/>
        </w:rPr>
        <w:t xml:space="preserve"> projects requiring periodic monitoring and </w:t>
      </w:r>
      <w:r w:rsidR="00685D91">
        <w:rPr>
          <w:sz w:val="24"/>
          <w:szCs w:val="24"/>
        </w:rPr>
        <w:t>7,420</w:t>
      </w:r>
      <w:r w:rsidRPr="00772FE4">
        <w:rPr>
          <w:sz w:val="24"/>
          <w:szCs w:val="24"/>
        </w:rPr>
        <w:t xml:space="preserve"> occurrences of periodic monitoring annually. </w:t>
      </w:r>
      <w:r w:rsidR="007F3A34">
        <w:rPr>
          <w:sz w:val="24"/>
          <w:szCs w:val="24"/>
        </w:rPr>
        <w:t xml:space="preserve"> </w:t>
      </w:r>
      <w:r w:rsidRPr="00772FE4">
        <w:rPr>
          <w:sz w:val="24"/>
          <w:szCs w:val="24"/>
        </w:rPr>
        <w:t>The costs for periodic monitoring performed by these firms are for contracted industrial hygienist services and the cost of laboratory analysis of the samples collected by the industrial hygienist.</w:t>
      </w:r>
    </w:p>
    <w:p w:rsidR="00553E3D" w:rsidRPr="00772FE4" w14:paraId="40977CFF" w14:textId="77777777">
      <w:pPr>
        <w:shd w:val="solid" w:color="FFFFFF" w:fill="FFFFFF"/>
        <w:rPr>
          <w:sz w:val="24"/>
          <w:szCs w:val="24"/>
        </w:rPr>
      </w:pPr>
    </w:p>
    <w:p w:rsidR="00553E3D" w14:paraId="0EA31429" w14:textId="1F5AA7CF">
      <w:pPr>
        <w:shd w:val="solid" w:color="FFFFFF" w:fill="FFFFFF"/>
        <w:rPr>
          <w:b/>
          <w:sz w:val="24"/>
          <w:szCs w:val="24"/>
        </w:rPr>
      </w:pPr>
      <w:r w:rsidRPr="00772FE4">
        <w:rPr>
          <w:sz w:val="24"/>
          <w:szCs w:val="24"/>
        </w:rPr>
        <w:t xml:space="preserve">Eight hours of an industrial hygienist contractor’s time is needed to collect representative monitoring data and four hours of an industrial hygienist contractor’s time is needed to prepare a report documenting the results of the exposure-monitoring, for a total of 12 hours of labor time associated with each representative monitoring. </w:t>
      </w:r>
      <w:r w:rsidR="007F3A34">
        <w:rPr>
          <w:sz w:val="24"/>
          <w:szCs w:val="24"/>
        </w:rPr>
        <w:t xml:space="preserve"> </w:t>
      </w:r>
      <w:r w:rsidRPr="00772FE4">
        <w:rPr>
          <w:sz w:val="24"/>
          <w:szCs w:val="24"/>
        </w:rPr>
        <w:t>OSHA assumes that the cost of contracting for outside industrial hygienist services is $</w:t>
      </w:r>
      <w:r w:rsidR="00B8075E">
        <w:rPr>
          <w:sz w:val="24"/>
          <w:szCs w:val="24"/>
        </w:rPr>
        <w:t>91.79</w:t>
      </w:r>
      <w:r w:rsidRPr="00772FE4">
        <w:rPr>
          <w:sz w:val="24"/>
          <w:szCs w:val="24"/>
        </w:rPr>
        <w:t xml:space="preserve"> per hour. </w:t>
      </w:r>
      <w:r w:rsidR="007F3A34">
        <w:rPr>
          <w:sz w:val="24"/>
          <w:szCs w:val="24"/>
        </w:rPr>
        <w:t xml:space="preserve"> </w:t>
      </w:r>
      <w:r w:rsidRPr="00772FE4">
        <w:rPr>
          <w:sz w:val="24"/>
          <w:szCs w:val="24"/>
        </w:rPr>
        <w:t>Thus, by project type, the labor cost formula is: (#</w:t>
      </w:r>
      <w:r w:rsidR="00835055">
        <w:rPr>
          <w:sz w:val="24"/>
          <w:szCs w:val="24"/>
        </w:rPr>
        <w:t xml:space="preserve"> </w:t>
      </w:r>
      <w:r w:rsidRPr="00772FE4">
        <w:rPr>
          <w:sz w:val="24"/>
          <w:szCs w:val="24"/>
        </w:rPr>
        <w:t xml:space="preserve">of </w:t>
      </w:r>
      <w:r w:rsidRPr="00772FE4" w:rsidR="00393C0C">
        <w:rPr>
          <w:sz w:val="24"/>
          <w:szCs w:val="24"/>
        </w:rPr>
        <w:t>monitoring</w:t>
      </w:r>
      <w:r w:rsidRPr="00772FE4">
        <w:rPr>
          <w:sz w:val="24"/>
          <w:szCs w:val="24"/>
        </w:rPr>
        <w:t xml:space="preserve"> by project type) × </w:t>
      </w:r>
      <w:r w:rsidR="008A1A83">
        <w:rPr>
          <w:sz w:val="24"/>
          <w:szCs w:val="24"/>
        </w:rPr>
        <w:t>(</w:t>
      </w:r>
      <w:r w:rsidR="00E254AE">
        <w:rPr>
          <w:sz w:val="24"/>
          <w:szCs w:val="24"/>
        </w:rPr>
        <w:t xml:space="preserve"># of </w:t>
      </w:r>
      <w:r w:rsidR="00393C0C">
        <w:rPr>
          <w:sz w:val="24"/>
          <w:szCs w:val="24"/>
        </w:rPr>
        <w:t>monitoring</w:t>
      </w:r>
      <w:r w:rsidR="009853B4">
        <w:rPr>
          <w:sz w:val="24"/>
          <w:szCs w:val="24"/>
        </w:rPr>
        <w:t xml:space="preserve"> per day)</w:t>
      </w:r>
      <w:r w:rsidR="00835055">
        <w:rPr>
          <w:sz w:val="24"/>
          <w:szCs w:val="24"/>
        </w:rPr>
        <w:t xml:space="preserve"> x </w:t>
      </w:r>
      <w:r w:rsidRPr="00772FE4">
        <w:rPr>
          <w:sz w:val="24"/>
          <w:szCs w:val="24"/>
        </w:rPr>
        <w:t>(12 industrial hygienist labor hours/monitoring) × ($</w:t>
      </w:r>
      <w:r w:rsidR="006053CA">
        <w:rPr>
          <w:sz w:val="24"/>
          <w:szCs w:val="24"/>
        </w:rPr>
        <w:t>91.79</w:t>
      </w:r>
      <w:r w:rsidRPr="00772FE4">
        <w:rPr>
          <w:sz w:val="24"/>
          <w:szCs w:val="24"/>
        </w:rPr>
        <w:t xml:space="preserve">/hour of industrial hygienist labor) = labor cost by project type. </w:t>
      </w:r>
      <w:r w:rsidR="007F3A34">
        <w:rPr>
          <w:sz w:val="24"/>
          <w:szCs w:val="24"/>
        </w:rPr>
        <w:t xml:space="preserve"> </w:t>
      </w:r>
      <w:r w:rsidRPr="00772FE4">
        <w:rPr>
          <w:sz w:val="24"/>
          <w:szCs w:val="24"/>
        </w:rPr>
        <w:t xml:space="preserve">The total cost of contracted services associated with the Periodic Monitoring requirement for the affected firms is </w:t>
      </w:r>
      <w:r w:rsidRPr="00F86EE9">
        <w:rPr>
          <w:b/>
          <w:sz w:val="24"/>
          <w:szCs w:val="24"/>
        </w:rPr>
        <w:t>$</w:t>
      </w:r>
      <w:r w:rsidR="0097197F">
        <w:rPr>
          <w:b/>
          <w:sz w:val="24"/>
          <w:szCs w:val="24"/>
        </w:rPr>
        <w:t>2,848,426</w:t>
      </w:r>
      <w:r w:rsidRPr="00F86EE9">
        <w:rPr>
          <w:b/>
          <w:sz w:val="24"/>
          <w:szCs w:val="24"/>
        </w:rPr>
        <w:t>.</w:t>
      </w:r>
    </w:p>
    <w:p w:rsidR="00327283" w14:paraId="754F3630" w14:textId="77777777">
      <w:pPr>
        <w:shd w:val="solid" w:color="FFFFFF" w:fill="FFFFFF"/>
        <w:rPr>
          <w:b/>
          <w:sz w:val="24"/>
          <w:szCs w:val="24"/>
        </w:rPr>
      </w:pPr>
    </w:p>
    <w:tbl>
      <w:tblPr>
        <w:tblStyle w:val="TableGrid"/>
        <w:tblW w:w="10075" w:type="dxa"/>
        <w:tblLook w:val="04A0"/>
      </w:tblPr>
      <w:tblGrid>
        <w:gridCol w:w="2425"/>
        <w:gridCol w:w="1800"/>
        <w:gridCol w:w="1440"/>
        <w:gridCol w:w="1350"/>
        <w:gridCol w:w="1440"/>
        <w:gridCol w:w="1620"/>
      </w:tblGrid>
      <w:tr w14:paraId="2D0ED301" w14:textId="77777777" w:rsidTr="00B63DB7">
        <w:tblPrEx>
          <w:tblW w:w="10075" w:type="dxa"/>
          <w:tblLook w:val="04A0"/>
        </w:tblPrEx>
        <w:trPr>
          <w:tblHeader/>
        </w:trPr>
        <w:tc>
          <w:tcPr>
            <w:tcW w:w="2425" w:type="dxa"/>
            <w:shd w:val="clear" w:color="auto" w:fill="C5E0B3" w:themeFill="accent6" w:themeFillTint="66"/>
          </w:tcPr>
          <w:p w:rsidR="003E567C" w14:paraId="092F27D8" w14:textId="20353053">
            <w:pPr>
              <w:rPr>
                <w:b/>
                <w:sz w:val="24"/>
                <w:szCs w:val="24"/>
              </w:rPr>
            </w:pPr>
            <w:r>
              <w:rPr>
                <w:b/>
                <w:bCs/>
                <w:sz w:val="24"/>
                <w:szCs w:val="24"/>
              </w:rPr>
              <w:t>P</w:t>
            </w:r>
            <w:r w:rsidRPr="003256BB">
              <w:rPr>
                <w:b/>
                <w:bCs/>
                <w:sz w:val="24"/>
                <w:szCs w:val="24"/>
              </w:rPr>
              <w:t>roject type</w:t>
            </w:r>
          </w:p>
        </w:tc>
        <w:tc>
          <w:tcPr>
            <w:tcW w:w="1800" w:type="dxa"/>
            <w:shd w:val="clear" w:color="auto" w:fill="C5E0B3" w:themeFill="accent6" w:themeFillTint="66"/>
          </w:tcPr>
          <w:p w:rsidR="003E567C" w:rsidRPr="00EF326C" w14:paraId="7118305B" w14:textId="22025E8E">
            <w:pPr>
              <w:rPr>
                <w:b/>
                <w:bCs/>
                <w:sz w:val="24"/>
                <w:szCs w:val="24"/>
              </w:rPr>
            </w:pPr>
            <w:r w:rsidRPr="00B63DB7">
              <w:rPr>
                <w:b/>
                <w:bCs/>
                <w:sz w:val="24"/>
                <w:szCs w:val="24"/>
              </w:rPr>
              <w:t>N</w:t>
            </w:r>
            <w:r>
              <w:rPr>
                <w:b/>
                <w:bCs/>
                <w:sz w:val="24"/>
                <w:szCs w:val="24"/>
              </w:rPr>
              <w:t>umber</w:t>
            </w:r>
            <w:r w:rsidRPr="00B63DB7">
              <w:rPr>
                <w:b/>
                <w:bCs/>
                <w:sz w:val="24"/>
                <w:szCs w:val="24"/>
              </w:rPr>
              <w:t xml:space="preserve"> of </w:t>
            </w:r>
            <w:r>
              <w:rPr>
                <w:b/>
                <w:bCs/>
                <w:sz w:val="24"/>
                <w:szCs w:val="24"/>
              </w:rPr>
              <w:t>Days M</w:t>
            </w:r>
            <w:r w:rsidRPr="00B63DB7">
              <w:rPr>
                <w:b/>
                <w:bCs/>
                <w:sz w:val="24"/>
                <w:szCs w:val="24"/>
              </w:rPr>
              <w:t>onitor</w:t>
            </w:r>
            <w:r w:rsidR="00D537C9">
              <w:rPr>
                <w:b/>
                <w:bCs/>
                <w:sz w:val="24"/>
                <w:szCs w:val="24"/>
              </w:rPr>
              <w:t>ed</w:t>
            </w:r>
            <w:r w:rsidRPr="00B63DB7">
              <w:rPr>
                <w:b/>
                <w:bCs/>
                <w:sz w:val="24"/>
                <w:szCs w:val="24"/>
              </w:rPr>
              <w:t xml:space="preserve"> </w:t>
            </w:r>
          </w:p>
        </w:tc>
        <w:tc>
          <w:tcPr>
            <w:tcW w:w="1440" w:type="dxa"/>
            <w:shd w:val="clear" w:color="auto" w:fill="C5E0B3" w:themeFill="accent6" w:themeFillTint="66"/>
          </w:tcPr>
          <w:p w:rsidR="003E567C" w:rsidRPr="003E567C" w14:paraId="665BB6A6" w14:textId="4C4D2BDD">
            <w:pPr>
              <w:rPr>
                <w:b/>
                <w:bCs/>
                <w:sz w:val="24"/>
                <w:szCs w:val="24"/>
              </w:rPr>
            </w:pPr>
            <w:r>
              <w:rPr>
                <w:b/>
                <w:bCs/>
                <w:sz w:val="24"/>
                <w:szCs w:val="24"/>
              </w:rPr>
              <w:t>Number of Monitoring per Day</w:t>
            </w:r>
          </w:p>
        </w:tc>
        <w:tc>
          <w:tcPr>
            <w:tcW w:w="1350" w:type="dxa"/>
            <w:shd w:val="clear" w:color="auto" w:fill="C5E0B3" w:themeFill="accent6" w:themeFillTint="66"/>
          </w:tcPr>
          <w:p w:rsidR="003E567C" w:rsidRPr="00EF326C" w14:paraId="4803F750" w14:textId="0BE14BBE">
            <w:pPr>
              <w:rPr>
                <w:b/>
                <w:bCs/>
                <w:sz w:val="24"/>
                <w:szCs w:val="24"/>
              </w:rPr>
            </w:pPr>
            <w:r w:rsidRPr="00B63DB7">
              <w:rPr>
                <w:b/>
                <w:bCs/>
                <w:sz w:val="24"/>
                <w:szCs w:val="24"/>
              </w:rPr>
              <w:t xml:space="preserve">Industrial hygienist </w:t>
            </w:r>
            <w:r w:rsidR="00F31DB9">
              <w:rPr>
                <w:b/>
                <w:bCs/>
                <w:sz w:val="24"/>
                <w:szCs w:val="24"/>
              </w:rPr>
              <w:t>Time</w:t>
            </w:r>
          </w:p>
        </w:tc>
        <w:tc>
          <w:tcPr>
            <w:tcW w:w="1440" w:type="dxa"/>
            <w:shd w:val="clear" w:color="auto" w:fill="C5E0B3" w:themeFill="accent6" w:themeFillTint="66"/>
          </w:tcPr>
          <w:p w:rsidR="003E567C" w:rsidRPr="00EF326C" w14:paraId="5B339366" w14:textId="7DF62C3B">
            <w:pPr>
              <w:rPr>
                <w:b/>
                <w:bCs/>
                <w:sz w:val="24"/>
                <w:szCs w:val="24"/>
              </w:rPr>
            </w:pPr>
            <w:r>
              <w:rPr>
                <w:b/>
                <w:bCs/>
                <w:sz w:val="24"/>
                <w:szCs w:val="24"/>
              </w:rPr>
              <w:t>Industrial Hygienist Labor</w:t>
            </w:r>
            <w:r w:rsidRPr="00EF326C">
              <w:rPr>
                <w:b/>
                <w:bCs/>
                <w:sz w:val="24"/>
                <w:szCs w:val="24"/>
              </w:rPr>
              <w:t xml:space="preserve"> Cost</w:t>
            </w:r>
          </w:p>
        </w:tc>
        <w:tc>
          <w:tcPr>
            <w:tcW w:w="1620" w:type="dxa"/>
            <w:shd w:val="clear" w:color="auto" w:fill="C5E0B3" w:themeFill="accent6" w:themeFillTint="66"/>
          </w:tcPr>
          <w:p w:rsidR="003E567C" w:rsidRPr="00EF326C" w14:paraId="64AA9A00" w14:textId="2B097571">
            <w:pPr>
              <w:rPr>
                <w:b/>
                <w:bCs/>
                <w:sz w:val="24"/>
                <w:szCs w:val="24"/>
              </w:rPr>
            </w:pPr>
            <w:r w:rsidRPr="00EF326C">
              <w:rPr>
                <w:b/>
                <w:bCs/>
                <w:sz w:val="24"/>
                <w:szCs w:val="24"/>
              </w:rPr>
              <w:t>Cost</w:t>
            </w:r>
          </w:p>
        </w:tc>
      </w:tr>
      <w:tr w14:paraId="128D892D" w14:textId="77777777" w:rsidTr="00C05A6B">
        <w:tblPrEx>
          <w:tblW w:w="10075" w:type="dxa"/>
          <w:tblLook w:val="04A0"/>
        </w:tblPrEx>
        <w:tc>
          <w:tcPr>
            <w:tcW w:w="2425" w:type="dxa"/>
          </w:tcPr>
          <w:p w:rsidR="003E567C" w14:paraId="3F86D12B" w14:textId="5B42A954">
            <w:pPr>
              <w:rPr>
                <w:b/>
                <w:sz w:val="24"/>
                <w:szCs w:val="24"/>
              </w:rPr>
            </w:pPr>
            <w:r w:rsidRPr="00772FE4">
              <w:rPr>
                <w:sz w:val="24"/>
                <w:szCs w:val="24"/>
              </w:rPr>
              <w:t>Highway and Railroad Bridge Repainting</w:t>
            </w:r>
          </w:p>
        </w:tc>
        <w:tc>
          <w:tcPr>
            <w:tcW w:w="1800" w:type="dxa"/>
            <w:vAlign w:val="center"/>
          </w:tcPr>
          <w:p w:rsidR="003E567C" w:rsidP="00C05A6B" w14:paraId="321330AB" w14:textId="09273C05">
            <w:pPr>
              <w:jc w:val="center"/>
              <w:rPr>
                <w:b/>
                <w:sz w:val="24"/>
                <w:szCs w:val="24"/>
              </w:rPr>
            </w:pPr>
            <w:r>
              <w:rPr>
                <w:sz w:val="24"/>
                <w:szCs w:val="24"/>
              </w:rPr>
              <w:t>505</w:t>
            </w:r>
            <w:r w:rsidRPr="00772FE4">
              <w:rPr>
                <w:sz w:val="24"/>
                <w:szCs w:val="24"/>
              </w:rPr>
              <w:t xml:space="preserve"> workdays</w:t>
            </w:r>
          </w:p>
        </w:tc>
        <w:tc>
          <w:tcPr>
            <w:tcW w:w="1440" w:type="dxa"/>
            <w:vAlign w:val="center"/>
          </w:tcPr>
          <w:p w:rsidR="003E567C" w:rsidRPr="003E567C" w:rsidP="00C05A6B" w14:paraId="0616E145" w14:textId="1A7F891C">
            <w:pPr>
              <w:jc w:val="center"/>
              <w:rPr>
                <w:bCs/>
                <w:sz w:val="24"/>
                <w:szCs w:val="24"/>
              </w:rPr>
            </w:pPr>
            <w:r>
              <w:rPr>
                <w:bCs/>
                <w:sz w:val="24"/>
                <w:szCs w:val="24"/>
              </w:rPr>
              <w:t>1</w:t>
            </w:r>
          </w:p>
        </w:tc>
        <w:tc>
          <w:tcPr>
            <w:tcW w:w="1350" w:type="dxa"/>
            <w:vAlign w:val="center"/>
          </w:tcPr>
          <w:p w:rsidR="003E567C" w:rsidRPr="00B63DB7" w:rsidP="00C05A6B" w14:paraId="253EE5FE" w14:textId="1A10804E">
            <w:pPr>
              <w:jc w:val="center"/>
              <w:rPr>
                <w:bCs/>
                <w:sz w:val="24"/>
                <w:szCs w:val="24"/>
              </w:rPr>
            </w:pPr>
            <w:r w:rsidRPr="00B63DB7">
              <w:rPr>
                <w:bCs/>
                <w:sz w:val="24"/>
                <w:szCs w:val="24"/>
              </w:rPr>
              <w:t>12</w:t>
            </w:r>
          </w:p>
        </w:tc>
        <w:tc>
          <w:tcPr>
            <w:tcW w:w="1440" w:type="dxa"/>
            <w:vAlign w:val="center"/>
          </w:tcPr>
          <w:p w:rsidR="003E567C" w:rsidP="00C05A6B" w14:paraId="7909FAE4" w14:textId="589E7DC1">
            <w:pPr>
              <w:jc w:val="center"/>
              <w:rPr>
                <w:b/>
                <w:sz w:val="24"/>
                <w:szCs w:val="24"/>
              </w:rPr>
            </w:pPr>
            <w:r w:rsidRPr="00772FE4">
              <w:rPr>
                <w:sz w:val="24"/>
                <w:szCs w:val="24"/>
              </w:rPr>
              <w:t>$</w:t>
            </w:r>
            <w:r>
              <w:rPr>
                <w:sz w:val="24"/>
                <w:szCs w:val="24"/>
              </w:rPr>
              <w:t>91.79</w:t>
            </w:r>
          </w:p>
        </w:tc>
        <w:tc>
          <w:tcPr>
            <w:tcW w:w="1620" w:type="dxa"/>
            <w:vAlign w:val="center"/>
          </w:tcPr>
          <w:p w:rsidR="003E567C" w:rsidP="00C05A6B" w14:paraId="0EEAF0D2" w14:textId="47C6FA29">
            <w:pPr>
              <w:jc w:val="center"/>
              <w:rPr>
                <w:b/>
                <w:sz w:val="24"/>
                <w:szCs w:val="24"/>
              </w:rPr>
            </w:pPr>
            <w:r>
              <w:rPr>
                <w:b/>
                <w:sz w:val="24"/>
                <w:szCs w:val="24"/>
              </w:rPr>
              <w:t>$556,247</w:t>
            </w:r>
          </w:p>
        </w:tc>
      </w:tr>
      <w:tr w14:paraId="4C648117" w14:textId="77777777" w:rsidTr="00C05A6B">
        <w:tblPrEx>
          <w:tblW w:w="10075" w:type="dxa"/>
          <w:tblLook w:val="04A0"/>
        </w:tblPrEx>
        <w:tc>
          <w:tcPr>
            <w:tcW w:w="2425" w:type="dxa"/>
          </w:tcPr>
          <w:p w:rsidR="003E567C" w14:paraId="4346B3FA" w14:textId="4E232BCF">
            <w:pPr>
              <w:rPr>
                <w:b/>
                <w:sz w:val="24"/>
                <w:szCs w:val="24"/>
              </w:rPr>
            </w:pPr>
            <w:r w:rsidRPr="00772FE4">
              <w:rPr>
                <w:sz w:val="24"/>
                <w:szCs w:val="24"/>
              </w:rPr>
              <w:t>Highway and Railroad Bridge Rehabilitation</w:t>
            </w:r>
          </w:p>
        </w:tc>
        <w:tc>
          <w:tcPr>
            <w:tcW w:w="1800" w:type="dxa"/>
            <w:vAlign w:val="center"/>
          </w:tcPr>
          <w:p w:rsidR="003E567C" w:rsidRPr="00B63DB7" w:rsidP="00C05A6B" w14:paraId="0A735BB6" w14:textId="2CC6F3F9">
            <w:pPr>
              <w:jc w:val="center"/>
              <w:rPr>
                <w:bCs/>
                <w:sz w:val="24"/>
                <w:szCs w:val="24"/>
              </w:rPr>
            </w:pPr>
            <w:r w:rsidRPr="00B63DB7">
              <w:rPr>
                <w:bCs/>
                <w:sz w:val="24"/>
                <w:szCs w:val="24"/>
              </w:rPr>
              <w:t>67 Workdays</w:t>
            </w:r>
          </w:p>
        </w:tc>
        <w:tc>
          <w:tcPr>
            <w:tcW w:w="1440" w:type="dxa"/>
            <w:vAlign w:val="center"/>
          </w:tcPr>
          <w:p w:rsidR="003E567C" w:rsidRPr="003E567C" w:rsidP="00C05A6B" w14:paraId="4F5060F7" w14:textId="0490D248">
            <w:pPr>
              <w:jc w:val="center"/>
              <w:rPr>
                <w:bCs/>
                <w:sz w:val="24"/>
                <w:szCs w:val="24"/>
              </w:rPr>
            </w:pPr>
            <w:r>
              <w:rPr>
                <w:bCs/>
                <w:sz w:val="24"/>
                <w:szCs w:val="24"/>
              </w:rPr>
              <w:t>3</w:t>
            </w:r>
          </w:p>
        </w:tc>
        <w:tc>
          <w:tcPr>
            <w:tcW w:w="1350" w:type="dxa"/>
            <w:vAlign w:val="center"/>
          </w:tcPr>
          <w:p w:rsidR="003E567C" w:rsidRPr="00B63DB7" w:rsidP="00C05A6B" w14:paraId="0691F916" w14:textId="6AE787C4">
            <w:pPr>
              <w:jc w:val="center"/>
              <w:rPr>
                <w:bCs/>
                <w:sz w:val="24"/>
                <w:szCs w:val="24"/>
              </w:rPr>
            </w:pPr>
            <w:r w:rsidRPr="00B63DB7">
              <w:rPr>
                <w:bCs/>
                <w:sz w:val="24"/>
                <w:szCs w:val="24"/>
              </w:rPr>
              <w:t>12</w:t>
            </w:r>
          </w:p>
        </w:tc>
        <w:tc>
          <w:tcPr>
            <w:tcW w:w="1440" w:type="dxa"/>
            <w:vAlign w:val="center"/>
          </w:tcPr>
          <w:p w:rsidR="003E567C" w:rsidP="00C05A6B" w14:paraId="290D7BAA" w14:textId="69445F06">
            <w:pPr>
              <w:jc w:val="center"/>
              <w:rPr>
                <w:b/>
                <w:sz w:val="24"/>
                <w:szCs w:val="24"/>
              </w:rPr>
            </w:pPr>
            <w:r w:rsidRPr="00772FE4">
              <w:rPr>
                <w:sz w:val="24"/>
                <w:szCs w:val="24"/>
              </w:rPr>
              <w:t>$</w:t>
            </w:r>
            <w:r>
              <w:rPr>
                <w:sz w:val="24"/>
                <w:szCs w:val="24"/>
              </w:rPr>
              <w:t>91.79</w:t>
            </w:r>
          </w:p>
        </w:tc>
        <w:tc>
          <w:tcPr>
            <w:tcW w:w="1620" w:type="dxa"/>
            <w:vAlign w:val="center"/>
          </w:tcPr>
          <w:p w:rsidR="003E567C" w:rsidP="00C05A6B" w14:paraId="054DE4DB" w14:textId="7300F15D">
            <w:pPr>
              <w:jc w:val="center"/>
              <w:rPr>
                <w:b/>
                <w:sz w:val="24"/>
                <w:szCs w:val="24"/>
              </w:rPr>
            </w:pPr>
            <w:r>
              <w:rPr>
                <w:b/>
                <w:sz w:val="24"/>
                <w:szCs w:val="24"/>
              </w:rPr>
              <w:t>$</w:t>
            </w:r>
            <w:r w:rsidR="00065EC3">
              <w:rPr>
                <w:b/>
                <w:sz w:val="24"/>
                <w:szCs w:val="24"/>
              </w:rPr>
              <w:t>221,397</w:t>
            </w:r>
          </w:p>
        </w:tc>
      </w:tr>
      <w:tr w14:paraId="439A1204" w14:textId="77777777" w:rsidTr="00C05A6B">
        <w:tblPrEx>
          <w:tblW w:w="10075" w:type="dxa"/>
          <w:tblLook w:val="04A0"/>
        </w:tblPrEx>
        <w:tc>
          <w:tcPr>
            <w:tcW w:w="2425" w:type="dxa"/>
          </w:tcPr>
          <w:p w:rsidR="003E567C" w14:paraId="01F4556A" w14:textId="3976FF64">
            <w:pPr>
              <w:rPr>
                <w:b/>
                <w:sz w:val="24"/>
                <w:szCs w:val="24"/>
              </w:rPr>
            </w:pPr>
            <w:r w:rsidRPr="00772FE4">
              <w:rPr>
                <w:sz w:val="24"/>
                <w:szCs w:val="24"/>
              </w:rPr>
              <w:t>Housing Lead Abatement (Public)</w:t>
            </w:r>
          </w:p>
        </w:tc>
        <w:tc>
          <w:tcPr>
            <w:tcW w:w="1800" w:type="dxa"/>
            <w:vAlign w:val="center"/>
          </w:tcPr>
          <w:p w:rsidR="003E567C" w:rsidRPr="00B63DB7" w:rsidP="00C05A6B" w14:paraId="157D7018" w14:textId="2B212514">
            <w:pPr>
              <w:jc w:val="center"/>
              <w:rPr>
                <w:bCs/>
                <w:sz w:val="24"/>
                <w:szCs w:val="24"/>
              </w:rPr>
            </w:pPr>
            <w:r w:rsidRPr="00B63DB7">
              <w:rPr>
                <w:bCs/>
                <w:sz w:val="24"/>
                <w:szCs w:val="24"/>
              </w:rPr>
              <w:t>438 Workdays</w:t>
            </w:r>
          </w:p>
        </w:tc>
        <w:tc>
          <w:tcPr>
            <w:tcW w:w="1440" w:type="dxa"/>
            <w:vAlign w:val="center"/>
          </w:tcPr>
          <w:p w:rsidR="003E567C" w:rsidRPr="003E567C" w:rsidP="00C05A6B" w14:paraId="3CED5550" w14:textId="2227B95F">
            <w:pPr>
              <w:jc w:val="center"/>
              <w:rPr>
                <w:bCs/>
                <w:sz w:val="24"/>
                <w:szCs w:val="24"/>
              </w:rPr>
            </w:pPr>
            <w:r>
              <w:rPr>
                <w:bCs/>
                <w:sz w:val="24"/>
                <w:szCs w:val="24"/>
              </w:rPr>
              <w:t>1</w:t>
            </w:r>
          </w:p>
        </w:tc>
        <w:tc>
          <w:tcPr>
            <w:tcW w:w="1350" w:type="dxa"/>
            <w:vAlign w:val="center"/>
          </w:tcPr>
          <w:p w:rsidR="003E567C" w:rsidRPr="00B63DB7" w:rsidP="00C05A6B" w14:paraId="0841FF1F" w14:textId="184F7FFA">
            <w:pPr>
              <w:jc w:val="center"/>
              <w:rPr>
                <w:bCs/>
                <w:sz w:val="24"/>
                <w:szCs w:val="24"/>
              </w:rPr>
            </w:pPr>
            <w:r w:rsidRPr="00B63DB7">
              <w:rPr>
                <w:bCs/>
                <w:sz w:val="24"/>
                <w:szCs w:val="24"/>
              </w:rPr>
              <w:t>12</w:t>
            </w:r>
          </w:p>
        </w:tc>
        <w:tc>
          <w:tcPr>
            <w:tcW w:w="1440" w:type="dxa"/>
            <w:vAlign w:val="center"/>
          </w:tcPr>
          <w:p w:rsidR="003E567C" w:rsidP="00C05A6B" w14:paraId="66E50DCB" w14:textId="6D4E161E">
            <w:pPr>
              <w:jc w:val="center"/>
              <w:rPr>
                <w:b/>
                <w:sz w:val="24"/>
                <w:szCs w:val="24"/>
              </w:rPr>
            </w:pPr>
            <w:r w:rsidRPr="00772FE4">
              <w:rPr>
                <w:sz w:val="24"/>
                <w:szCs w:val="24"/>
              </w:rPr>
              <w:t>$</w:t>
            </w:r>
            <w:r>
              <w:rPr>
                <w:sz w:val="24"/>
                <w:szCs w:val="24"/>
              </w:rPr>
              <w:t>91.79</w:t>
            </w:r>
          </w:p>
        </w:tc>
        <w:tc>
          <w:tcPr>
            <w:tcW w:w="1620" w:type="dxa"/>
            <w:vAlign w:val="center"/>
          </w:tcPr>
          <w:p w:rsidR="003E567C" w:rsidP="00C05A6B" w14:paraId="7C4F1429" w14:textId="789BD585">
            <w:pPr>
              <w:jc w:val="center"/>
              <w:rPr>
                <w:b/>
                <w:sz w:val="24"/>
                <w:szCs w:val="24"/>
              </w:rPr>
            </w:pPr>
            <w:r>
              <w:rPr>
                <w:b/>
                <w:sz w:val="24"/>
                <w:szCs w:val="24"/>
              </w:rPr>
              <w:t>$48</w:t>
            </w:r>
            <w:r w:rsidR="001C3FDB">
              <w:rPr>
                <w:b/>
                <w:sz w:val="24"/>
                <w:szCs w:val="24"/>
              </w:rPr>
              <w:t>2</w:t>
            </w:r>
            <w:r w:rsidR="00941840">
              <w:rPr>
                <w:b/>
                <w:sz w:val="24"/>
                <w:szCs w:val="24"/>
              </w:rPr>
              <w:t>,448</w:t>
            </w:r>
          </w:p>
        </w:tc>
      </w:tr>
      <w:tr w14:paraId="06B65DC4" w14:textId="77777777" w:rsidTr="00C05A6B">
        <w:tblPrEx>
          <w:tblW w:w="10075" w:type="dxa"/>
          <w:tblLook w:val="04A0"/>
        </w:tblPrEx>
        <w:tc>
          <w:tcPr>
            <w:tcW w:w="2425" w:type="dxa"/>
          </w:tcPr>
          <w:p w:rsidR="003E567C" w:rsidP="00B63DB7" w14:paraId="30F04F4F" w14:textId="5DCF7939">
            <w:pPr>
              <w:shd w:val="solid" w:color="FFFFFF" w:fill="FFFFFF"/>
              <w:rPr>
                <w:b/>
                <w:sz w:val="24"/>
                <w:szCs w:val="24"/>
              </w:rPr>
            </w:pPr>
            <w:r w:rsidRPr="00772FE4">
              <w:rPr>
                <w:sz w:val="24"/>
                <w:szCs w:val="24"/>
              </w:rPr>
              <w:t>Commercial and Industrial Demolition</w:t>
            </w:r>
          </w:p>
        </w:tc>
        <w:tc>
          <w:tcPr>
            <w:tcW w:w="1800" w:type="dxa"/>
            <w:vAlign w:val="center"/>
          </w:tcPr>
          <w:p w:rsidR="003E567C" w:rsidRPr="00B63DB7" w:rsidP="00C05A6B" w14:paraId="0E1F5EAC" w14:textId="15F17C9D">
            <w:pPr>
              <w:jc w:val="center"/>
              <w:rPr>
                <w:bCs/>
                <w:sz w:val="24"/>
                <w:szCs w:val="24"/>
              </w:rPr>
            </w:pPr>
            <w:r w:rsidRPr="006B13DE">
              <w:rPr>
                <w:bCs/>
                <w:sz w:val="24"/>
                <w:szCs w:val="24"/>
              </w:rPr>
              <w:t>1,442 workdays</w:t>
            </w:r>
          </w:p>
        </w:tc>
        <w:tc>
          <w:tcPr>
            <w:tcW w:w="1440" w:type="dxa"/>
            <w:vAlign w:val="center"/>
          </w:tcPr>
          <w:p w:rsidR="003E567C" w:rsidRPr="003E567C" w:rsidP="00C05A6B" w14:paraId="0CE4023B" w14:textId="08FCD996">
            <w:pPr>
              <w:jc w:val="center"/>
              <w:rPr>
                <w:bCs/>
                <w:sz w:val="24"/>
                <w:szCs w:val="24"/>
              </w:rPr>
            </w:pPr>
            <w:r>
              <w:rPr>
                <w:bCs/>
                <w:sz w:val="24"/>
                <w:szCs w:val="24"/>
              </w:rPr>
              <w:t>1</w:t>
            </w:r>
          </w:p>
        </w:tc>
        <w:tc>
          <w:tcPr>
            <w:tcW w:w="1350" w:type="dxa"/>
            <w:vAlign w:val="center"/>
          </w:tcPr>
          <w:p w:rsidR="003E567C" w:rsidRPr="00B63DB7" w:rsidP="00C05A6B" w14:paraId="647FAAB6" w14:textId="11BCA3C9">
            <w:pPr>
              <w:jc w:val="center"/>
              <w:rPr>
                <w:bCs/>
                <w:sz w:val="24"/>
                <w:szCs w:val="24"/>
              </w:rPr>
            </w:pPr>
            <w:r w:rsidRPr="00B63DB7">
              <w:rPr>
                <w:bCs/>
                <w:sz w:val="24"/>
                <w:szCs w:val="24"/>
              </w:rPr>
              <w:t>12</w:t>
            </w:r>
          </w:p>
        </w:tc>
        <w:tc>
          <w:tcPr>
            <w:tcW w:w="1440" w:type="dxa"/>
            <w:vAlign w:val="center"/>
          </w:tcPr>
          <w:p w:rsidR="003E567C" w:rsidP="00C05A6B" w14:paraId="10C4EF7C" w14:textId="62E96AFD">
            <w:pPr>
              <w:jc w:val="center"/>
              <w:rPr>
                <w:b/>
                <w:sz w:val="24"/>
                <w:szCs w:val="24"/>
              </w:rPr>
            </w:pPr>
            <w:r w:rsidRPr="00772FE4">
              <w:rPr>
                <w:sz w:val="24"/>
                <w:szCs w:val="24"/>
              </w:rPr>
              <w:t>$</w:t>
            </w:r>
            <w:r>
              <w:rPr>
                <w:sz w:val="24"/>
                <w:szCs w:val="24"/>
              </w:rPr>
              <w:t>91.79</w:t>
            </w:r>
          </w:p>
        </w:tc>
        <w:tc>
          <w:tcPr>
            <w:tcW w:w="1620" w:type="dxa"/>
            <w:vAlign w:val="center"/>
          </w:tcPr>
          <w:p w:rsidR="003E567C" w:rsidP="00C05A6B" w14:paraId="6E241E4B" w14:textId="3CF85892">
            <w:pPr>
              <w:jc w:val="center"/>
              <w:rPr>
                <w:b/>
                <w:sz w:val="24"/>
                <w:szCs w:val="24"/>
              </w:rPr>
            </w:pPr>
            <w:r>
              <w:rPr>
                <w:b/>
                <w:sz w:val="24"/>
                <w:szCs w:val="24"/>
              </w:rPr>
              <w:t>$1,58</w:t>
            </w:r>
            <w:r w:rsidR="00DE6AAE">
              <w:rPr>
                <w:b/>
                <w:sz w:val="24"/>
                <w:szCs w:val="24"/>
              </w:rPr>
              <w:t>8,334</w:t>
            </w:r>
          </w:p>
        </w:tc>
      </w:tr>
      <w:tr w14:paraId="59C45370" w14:textId="77777777" w:rsidTr="00C05A6B">
        <w:tblPrEx>
          <w:tblW w:w="10075" w:type="dxa"/>
          <w:tblLook w:val="04A0"/>
        </w:tblPrEx>
        <w:tc>
          <w:tcPr>
            <w:tcW w:w="2425" w:type="dxa"/>
          </w:tcPr>
          <w:p w:rsidR="003E567C" w:rsidP="00016C13" w14:paraId="0FA7651E" w14:textId="476F6E64">
            <w:pPr>
              <w:rPr>
                <w:b/>
                <w:sz w:val="24"/>
                <w:szCs w:val="24"/>
              </w:rPr>
            </w:pPr>
            <w:r w:rsidRPr="00772FE4">
              <w:rPr>
                <w:sz w:val="24"/>
                <w:szCs w:val="24"/>
              </w:rPr>
              <w:t>Transmission and Communication Tow Maintenance</w:t>
            </w:r>
          </w:p>
        </w:tc>
        <w:tc>
          <w:tcPr>
            <w:tcW w:w="1800" w:type="dxa"/>
            <w:vAlign w:val="center"/>
          </w:tcPr>
          <w:p w:rsidR="003E567C" w:rsidRPr="00B63DB7" w:rsidP="00C05A6B" w14:paraId="23DEECAB" w14:textId="22739A3B">
            <w:pPr>
              <w:jc w:val="center"/>
              <w:rPr>
                <w:bCs/>
                <w:sz w:val="24"/>
                <w:szCs w:val="24"/>
              </w:rPr>
            </w:pPr>
            <w:r w:rsidRPr="00B63DB7">
              <w:rPr>
                <w:bCs/>
                <w:sz w:val="24"/>
                <w:szCs w:val="24"/>
              </w:rPr>
              <w:t>0 workdays</w:t>
            </w:r>
          </w:p>
        </w:tc>
        <w:tc>
          <w:tcPr>
            <w:tcW w:w="1440" w:type="dxa"/>
            <w:vAlign w:val="center"/>
          </w:tcPr>
          <w:p w:rsidR="003E567C" w:rsidP="00C05A6B" w14:paraId="3AC08D97" w14:textId="4B0264DD">
            <w:pPr>
              <w:jc w:val="center"/>
              <w:rPr>
                <w:bCs/>
                <w:sz w:val="24"/>
                <w:szCs w:val="24"/>
              </w:rPr>
            </w:pPr>
            <w:r>
              <w:rPr>
                <w:bCs/>
                <w:sz w:val="24"/>
                <w:szCs w:val="24"/>
              </w:rPr>
              <w:t>1</w:t>
            </w:r>
          </w:p>
        </w:tc>
        <w:tc>
          <w:tcPr>
            <w:tcW w:w="1350" w:type="dxa"/>
            <w:vAlign w:val="center"/>
          </w:tcPr>
          <w:p w:rsidR="003E567C" w:rsidRPr="00B63DB7" w:rsidP="00C05A6B" w14:paraId="3A2A1B83" w14:textId="45CF3F6A">
            <w:pPr>
              <w:jc w:val="center"/>
              <w:rPr>
                <w:bCs/>
                <w:sz w:val="24"/>
                <w:szCs w:val="24"/>
              </w:rPr>
            </w:pPr>
            <w:r>
              <w:rPr>
                <w:bCs/>
                <w:sz w:val="24"/>
                <w:szCs w:val="24"/>
              </w:rPr>
              <w:t>12</w:t>
            </w:r>
          </w:p>
        </w:tc>
        <w:tc>
          <w:tcPr>
            <w:tcW w:w="1440" w:type="dxa"/>
            <w:vAlign w:val="center"/>
          </w:tcPr>
          <w:p w:rsidR="003E567C" w:rsidP="00C05A6B" w14:paraId="7C6E3DB0" w14:textId="2151A777">
            <w:pPr>
              <w:jc w:val="center"/>
              <w:rPr>
                <w:b/>
                <w:sz w:val="24"/>
                <w:szCs w:val="24"/>
              </w:rPr>
            </w:pPr>
            <w:r w:rsidRPr="00772FE4">
              <w:rPr>
                <w:sz w:val="24"/>
                <w:szCs w:val="24"/>
              </w:rPr>
              <w:t>$</w:t>
            </w:r>
            <w:r>
              <w:rPr>
                <w:sz w:val="24"/>
                <w:szCs w:val="24"/>
              </w:rPr>
              <w:t>91.79</w:t>
            </w:r>
          </w:p>
        </w:tc>
        <w:tc>
          <w:tcPr>
            <w:tcW w:w="1620" w:type="dxa"/>
            <w:vAlign w:val="center"/>
          </w:tcPr>
          <w:p w:rsidR="003E567C" w:rsidP="00C05A6B" w14:paraId="2C41859F" w14:textId="09AEADAB">
            <w:pPr>
              <w:jc w:val="center"/>
              <w:rPr>
                <w:b/>
                <w:sz w:val="24"/>
                <w:szCs w:val="24"/>
              </w:rPr>
            </w:pPr>
            <w:r>
              <w:rPr>
                <w:b/>
                <w:sz w:val="24"/>
                <w:szCs w:val="24"/>
              </w:rPr>
              <w:t>$0</w:t>
            </w:r>
          </w:p>
        </w:tc>
      </w:tr>
      <w:tr w14:paraId="3C4094CD" w14:textId="77777777" w:rsidTr="00C05A6B">
        <w:tblPrEx>
          <w:tblW w:w="10075" w:type="dxa"/>
          <w:tblLook w:val="04A0"/>
        </w:tblPrEx>
        <w:tc>
          <w:tcPr>
            <w:tcW w:w="2425" w:type="dxa"/>
          </w:tcPr>
          <w:p w:rsidR="003E567C" w14:paraId="3E775D47" w14:textId="649986E3">
            <w:pPr>
              <w:rPr>
                <w:b/>
                <w:sz w:val="24"/>
                <w:szCs w:val="24"/>
              </w:rPr>
            </w:pPr>
            <w:r>
              <w:rPr>
                <w:b/>
                <w:sz w:val="24"/>
                <w:szCs w:val="24"/>
              </w:rPr>
              <w:t>Total</w:t>
            </w:r>
          </w:p>
        </w:tc>
        <w:tc>
          <w:tcPr>
            <w:tcW w:w="1800" w:type="dxa"/>
            <w:vAlign w:val="center"/>
          </w:tcPr>
          <w:p w:rsidR="003E567C" w:rsidP="00C05A6B" w14:paraId="04424FC7" w14:textId="283730BC">
            <w:pPr>
              <w:jc w:val="center"/>
              <w:rPr>
                <w:b/>
                <w:sz w:val="24"/>
                <w:szCs w:val="24"/>
              </w:rPr>
            </w:pPr>
          </w:p>
        </w:tc>
        <w:tc>
          <w:tcPr>
            <w:tcW w:w="1440" w:type="dxa"/>
            <w:vAlign w:val="center"/>
          </w:tcPr>
          <w:p w:rsidR="003E567C" w:rsidP="00C05A6B" w14:paraId="646BD2E7" w14:textId="77777777">
            <w:pPr>
              <w:jc w:val="center"/>
              <w:rPr>
                <w:b/>
                <w:sz w:val="24"/>
                <w:szCs w:val="24"/>
              </w:rPr>
            </w:pPr>
          </w:p>
        </w:tc>
        <w:tc>
          <w:tcPr>
            <w:tcW w:w="1350" w:type="dxa"/>
            <w:vAlign w:val="center"/>
          </w:tcPr>
          <w:p w:rsidR="003E567C" w:rsidP="00C05A6B" w14:paraId="7EFB36BE" w14:textId="6D22A048">
            <w:pPr>
              <w:jc w:val="center"/>
              <w:rPr>
                <w:b/>
                <w:sz w:val="24"/>
                <w:szCs w:val="24"/>
              </w:rPr>
            </w:pPr>
          </w:p>
        </w:tc>
        <w:tc>
          <w:tcPr>
            <w:tcW w:w="1440" w:type="dxa"/>
            <w:vAlign w:val="center"/>
          </w:tcPr>
          <w:p w:rsidR="003E567C" w:rsidP="00C05A6B" w14:paraId="067012BC" w14:textId="77777777">
            <w:pPr>
              <w:jc w:val="center"/>
              <w:rPr>
                <w:b/>
                <w:sz w:val="24"/>
                <w:szCs w:val="24"/>
              </w:rPr>
            </w:pPr>
          </w:p>
        </w:tc>
        <w:tc>
          <w:tcPr>
            <w:tcW w:w="1620" w:type="dxa"/>
            <w:vAlign w:val="center"/>
          </w:tcPr>
          <w:p w:rsidR="003E567C" w:rsidP="00C05A6B" w14:paraId="148B6594" w14:textId="23759F2C">
            <w:pPr>
              <w:jc w:val="center"/>
              <w:rPr>
                <w:b/>
                <w:sz w:val="24"/>
                <w:szCs w:val="24"/>
              </w:rPr>
            </w:pPr>
            <w:r>
              <w:rPr>
                <w:b/>
                <w:sz w:val="24"/>
                <w:szCs w:val="24"/>
              </w:rPr>
              <w:t>$2,</w:t>
            </w:r>
            <w:r w:rsidR="006D09C2">
              <w:rPr>
                <w:b/>
                <w:sz w:val="24"/>
                <w:szCs w:val="24"/>
              </w:rPr>
              <w:t>848</w:t>
            </w:r>
            <w:r>
              <w:rPr>
                <w:b/>
                <w:sz w:val="24"/>
                <w:szCs w:val="24"/>
              </w:rPr>
              <w:t>,</w:t>
            </w:r>
            <w:r w:rsidR="001838A7">
              <w:rPr>
                <w:b/>
                <w:sz w:val="24"/>
                <w:szCs w:val="24"/>
              </w:rPr>
              <w:t>426</w:t>
            </w:r>
          </w:p>
        </w:tc>
      </w:tr>
    </w:tbl>
    <w:p w:rsidR="00327283" w:rsidRPr="00F86EE9" w14:paraId="0B7260BF" w14:textId="77777777">
      <w:pPr>
        <w:shd w:val="solid" w:color="FFFFFF" w:fill="FFFFFF"/>
        <w:rPr>
          <w:b/>
          <w:sz w:val="24"/>
          <w:szCs w:val="24"/>
        </w:rPr>
      </w:pPr>
    </w:p>
    <w:p w:rsidR="00553E3D" w:rsidRPr="00772FE4" w14:paraId="21493459" w14:textId="77777777">
      <w:pPr>
        <w:shd w:val="solid" w:color="FFFFFF" w:fill="FFFFFF"/>
        <w:rPr>
          <w:sz w:val="24"/>
          <w:szCs w:val="24"/>
        </w:rPr>
      </w:pPr>
    </w:p>
    <w:p w:rsidR="00553E3D" w:rsidRPr="00772FE4" w14:paraId="106A10CD" w14:textId="30A920B1">
      <w:pPr>
        <w:shd w:val="solid" w:color="FFFFFF" w:fill="FFFFFF"/>
        <w:rPr>
          <w:sz w:val="24"/>
          <w:szCs w:val="24"/>
        </w:rPr>
      </w:pPr>
      <w:r w:rsidRPr="00772FE4">
        <w:rPr>
          <w:sz w:val="24"/>
          <w:szCs w:val="24"/>
        </w:rPr>
        <w:t>The cost laboratory analysis of the samples for these project types is $</w:t>
      </w:r>
      <w:r w:rsidR="00E231BF">
        <w:rPr>
          <w:sz w:val="24"/>
          <w:szCs w:val="24"/>
        </w:rPr>
        <w:t>39</w:t>
      </w:r>
      <w:r w:rsidRPr="00772FE4" w:rsidR="00E231BF">
        <w:rPr>
          <w:sz w:val="24"/>
          <w:szCs w:val="24"/>
        </w:rPr>
        <w:t xml:space="preserve"> </w:t>
      </w:r>
      <w:r w:rsidRPr="00772FE4">
        <w:rPr>
          <w:sz w:val="24"/>
          <w:szCs w:val="24"/>
        </w:rPr>
        <w:t xml:space="preserve">per sample collected. </w:t>
      </w:r>
      <w:r w:rsidR="007F3A34">
        <w:rPr>
          <w:sz w:val="24"/>
          <w:szCs w:val="24"/>
        </w:rPr>
        <w:t xml:space="preserve"> </w:t>
      </w:r>
      <w:r w:rsidRPr="00772FE4">
        <w:rPr>
          <w:sz w:val="24"/>
          <w:szCs w:val="24"/>
        </w:rPr>
        <w:t>The number of samples collected per monitoring varies by project type from 1 sample to 5 samples per monitoring</w:t>
      </w:r>
      <w:r w:rsidR="00301B82">
        <w:rPr>
          <w:sz w:val="24"/>
          <w:szCs w:val="24"/>
        </w:rPr>
        <w:t>; thus, the</w:t>
      </w:r>
      <w:r w:rsidR="000C3EF7">
        <w:rPr>
          <w:sz w:val="24"/>
          <w:szCs w:val="24"/>
        </w:rPr>
        <w:t xml:space="preserve"> </w:t>
      </w:r>
      <w:r w:rsidR="00D03FF4">
        <w:rPr>
          <w:sz w:val="24"/>
          <w:szCs w:val="24"/>
        </w:rPr>
        <w:t>a</w:t>
      </w:r>
      <w:r w:rsidR="000C3EF7">
        <w:rPr>
          <w:sz w:val="24"/>
          <w:szCs w:val="24"/>
        </w:rPr>
        <w:t>gency assumes an average of 3</w:t>
      </w:r>
      <w:r w:rsidR="00301B82">
        <w:rPr>
          <w:sz w:val="24"/>
          <w:szCs w:val="24"/>
        </w:rPr>
        <w:t xml:space="preserve"> samples per monitoring</w:t>
      </w:r>
      <w:r w:rsidRPr="00772FE4">
        <w:rPr>
          <w:sz w:val="24"/>
          <w:szCs w:val="24"/>
        </w:rPr>
        <w:t>.</w:t>
      </w:r>
      <w:r w:rsidR="00301B82">
        <w:rPr>
          <w:sz w:val="22"/>
          <w:szCs w:val="22"/>
        </w:rPr>
        <w:t xml:space="preserve"> </w:t>
      </w:r>
      <w:r w:rsidRPr="00772FE4">
        <w:rPr>
          <w:sz w:val="24"/>
          <w:szCs w:val="24"/>
        </w:rPr>
        <w:t xml:space="preserve"> This variation is attributable to differences in the number of distinct lead-exposed activities and average crew sizes. </w:t>
      </w:r>
      <w:r w:rsidR="007F3A34">
        <w:rPr>
          <w:sz w:val="24"/>
          <w:szCs w:val="24"/>
        </w:rPr>
        <w:t xml:space="preserve"> </w:t>
      </w:r>
      <w:r w:rsidRPr="00772FE4">
        <w:rPr>
          <w:sz w:val="24"/>
          <w:szCs w:val="24"/>
        </w:rPr>
        <w:t xml:space="preserve">Thus, by project type, the analytical cost formula is: (#of </w:t>
      </w:r>
      <w:r w:rsidRPr="00772FE4" w:rsidR="0071064D">
        <w:rPr>
          <w:sz w:val="24"/>
          <w:szCs w:val="24"/>
        </w:rPr>
        <w:t>monitoring</w:t>
      </w:r>
      <w:r w:rsidRPr="00772FE4">
        <w:rPr>
          <w:sz w:val="24"/>
          <w:szCs w:val="24"/>
        </w:rPr>
        <w:t xml:space="preserve"> by project types) × (</w:t>
      </w:r>
      <w:r w:rsidR="000C3EF7">
        <w:rPr>
          <w:sz w:val="24"/>
          <w:szCs w:val="24"/>
        </w:rPr>
        <w:t>3</w:t>
      </w:r>
      <w:r w:rsidRPr="00772FE4">
        <w:rPr>
          <w:sz w:val="24"/>
          <w:szCs w:val="24"/>
        </w:rPr>
        <w:t xml:space="preserve"> samples/monitoring) × ($</w:t>
      </w:r>
      <w:r w:rsidR="00AC461E">
        <w:rPr>
          <w:sz w:val="24"/>
          <w:szCs w:val="24"/>
        </w:rPr>
        <w:t>30</w:t>
      </w:r>
      <w:r w:rsidRPr="00772FE4">
        <w:rPr>
          <w:sz w:val="24"/>
          <w:szCs w:val="24"/>
        </w:rPr>
        <w:t>/sample) = total analytical cost by project type.</w:t>
      </w:r>
      <w:r w:rsidRPr="00301B82">
        <w:rPr>
          <w:sz w:val="24"/>
          <w:szCs w:val="24"/>
        </w:rPr>
        <w:t xml:space="preserve"> </w:t>
      </w:r>
      <w:r w:rsidR="00301B82">
        <w:rPr>
          <w:sz w:val="24"/>
          <w:szCs w:val="24"/>
        </w:rPr>
        <w:t xml:space="preserve"> </w:t>
      </w:r>
      <w:r w:rsidRPr="00772FE4">
        <w:rPr>
          <w:sz w:val="24"/>
          <w:szCs w:val="24"/>
        </w:rPr>
        <w:t xml:space="preserve">The cost by project type is then totaled to derive the total costs across all project types. The total cost of laboratory analysis for those firms contracting out their monitoring is </w:t>
      </w:r>
      <w:r w:rsidRPr="00F86EE9">
        <w:rPr>
          <w:b/>
          <w:sz w:val="24"/>
          <w:szCs w:val="24"/>
        </w:rPr>
        <w:t>$</w:t>
      </w:r>
      <w:r w:rsidR="00233946">
        <w:rPr>
          <w:b/>
          <w:sz w:val="24"/>
          <w:szCs w:val="24"/>
        </w:rPr>
        <w:t>2</w:t>
      </w:r>
      <w:r w:rsidR="00F12639">
        <w:rPr>
          <w:b/>
          <w:sz w:val="24"/>
          <w:szCs w:val="24"/>
        </w:rPr>
        <w:t>32,740</w:t>
      </w:r>
      <w:r w:rsidRPr="00F86EE9">
        <w:rPr>
          <w:b/>
          <w:sz w:val="24"/>
          <w:szCs w:val="24"/>
        </w:rPr>
        <w:t>.</w:t>
      </w:r>
    </w:p>
    <w:p w:rsidR="00553E3D" w14:paraId="5013537A" w14:textId="77777777">
      <w:pPr>
        <w:shd w:val="solid" w:color="FFFFFF" w:fill="FFFFFF"/>
        <w:rPr>
          <w:sz w:val="24"/>
          <w:szCs w:val="24"/>
        </w:rPr>
      </w:pPr>
    </w:p>
    <w:tbl>
      <w:tblPr>
        <w:tblStyle w:val="TableGrid"/>
        <w:tblW w:w="9350" w:type="dxa"/>
        <w:tblLook w:val="04A0"/>
      </w:tblPr>
      <w:tblGrid>
        <w:gridCol w:w="2159"/>
        <w:gridCol w:w="1603"/>
        <w:gridCol w:w="1390"/>
        <w:gridCol w:w="1420"/>
        <w:gridCol w:w="1361"/>
        <w:gridCol w:w="1417"/>
      </w:tblGrid>
      <w:tr w14:paraId="3F92EA01" w14:textId="77777777" w:rsidTr="00B63DB7">
        <w:tblPrEx>
          <w:tblW w:w="9350" w:type="dxa"/>
          <w:tblLook w:val="04A0"/>
        </w:tblPrEx>
        <w:trPr>
          <w:tblHeader/>
        </w:trPr>
        <w:tc>
          <w:tcPr>
            <w:tcW w:w="2252" w:type="dxa"/>
            <w:shd w:val="clear" w:color="auto" w:fill="C5E0B3" w:themeFill="accent6" w:themeFillTint="66"/>
          </w:tcPr>
          <w:p w:rsidR="00D93F31" w:rsidP="00D93F31" w14:paraId="59CB7768" w14:textId="77777777">
            <w:pPr>
              <w:rPr>
                <w:b/>
                <w:sz w:val="24"/>
                <w:szCs w:val="24"/>
              </w:rPr>
            </w:pPr>
            <w:r>
              <w:rPr>
                <w:b/>
                <w:bCs/>
                <w:sz w:val="24"/>
                <w:szCs w:val="24"/>
              </w:rPr>
              <w:t>P</w:t>
            </w:r>
            <w:r w:rsidRPr="003256BB">
              <w:rPr>
                <w:b/>
                <w:bCs/>
                <w:sz w:val="24"/>
                <w:szCs w:val="24"/>
              </w:rPr>
              <w:t>roject type</w:t>
            </w:r>
          </w:p>
        </w:tc>
        <w:tc>
          <w:tcPr>
            <w:tcW w:w="1672" w:type="dxa"/>
            <w:shd w:val="clear" w:color="auto" w:fill="C5E0B3" w:themeFill="accent6" w:themeFillTint="66"/>
          </w:tcPr>
          <w:p w:rsidR="00D93F31" w:rsidRPr="00EF326C" w:rsidP="00D93F31" w14:paraId="6DB0ABBE" w14:textId="77777777">
            <w:pPr>
              <w:rPr>
                <w:b/>
                <w:bCs/>
                <w:sz w:val="24"/>
                <w:szCs w:val="24"/>
              </w:rPr>
            </w:pPr>
            <w:r w:rsidRPr="003256BB">
              <w:rPr>
                <w:b/>
                <w:bCs/>
                <w:sz w:val="24"/>
                <w:szCs w:val="24"/>
              </w:rPr>
              <w:t>N</w:t>
            </w:r>
            <w:r>
              <w:rPr>
                <w:b/>
                <w:bCs/>
                <w:sz w:val="24"/>
                <w:szCs w:val="24"/>
              </w:rPr>
              <w:t>umber</w:t>
            </w:r>
            <w:r w:rsidRPr="003256BB">
              <w:rPr>
                <w:b/>
                <w:bCs/>
                <w:sz w:val="24"/>
                <w:szCs w:val="24"/>
              </w:rPr>
              <w:t xml:space="preserve"> of </w:t>
            </w:r>
            <w:r>
              <w:rPr>
                <w:b/>
                <w:bCs/>
                <w:sz w:val="24"/>
                <w:szCs w:val="24"/>
              </w:rPr>
              <w:t>Days M</w:t>
            </w:r>
            <w:r w:rsidRPr="003256BB">
              <w:rPr>
                <w:b/>
                <w:bCs/>
                <w:sz w:val="24"/>
                <w:szCs w:val="24"/>
              </w:rPr>
              <w:t>onitor</w:t>
            </w:r>
            <w:r>
              <w:rPr>
                <w:b/>
                <w:bCs/>
                <w:sz w:val="24"/>
                <w:szCs w:val="24"/>
              </w:rPr>
              <w:t>ed</w:t>
            </w:r>
            <w:r w:rsidRPr="003256BB">
              <w:rPr>
                <w:b/>
                <w:bCs/>
                <w:sz w:val="24"/>
                <w:szCs w:val="24"/>
              </w:rPr>
              <w:t xml:space="preserve"> </w:t>
            </w:r>
          </w:p>
        </w:tc>
        <w:tc>
          <w:tcPr>
            <w:tcW w:w="1122" w:type="dxa"/>
            <w:shd w:val="clear" w:color="auto" w:fill="C5E0B3" w:themeFill="accent6" w:themeFillTint="66"/>
          </w:tcPr>
          <w:p w:rsidR="00D93F31" w:rsidP="00D93F31" w14:paraId="54D3C07B" w14:textId="3D759F08">
            <w:pPr>
              <w:rPr>
                <w:b/>
                <w:bCs/>
                <w:sz w:val="24"/>
                <w:szCs w:val="24"/>
              </w:rPr>
            </w:pPr>
            <w:r>
              <w:rPr>
                <w:b/>
                <w:bCs/>
                <w:sz w:val="24"/>
                <w:szCs w:val="24"/>
              </w:rPr>
              <w:t>Number of Monitoring per Day</w:t>
            </w:r>
          </w:p>
        </w:tc>
        <w:tc>
          <w:tcPr>
            <w:tcW w:w="1427" w:type="dxa"/>
            <w:shd w:val="clear" w:color="auto" w:fill="C5E0B3" w:themeFill="accent6" w:themeFillTint="66"/>
          </w:tcPr>
          <w:p w:rsidR="00D93F31" w:rsidRPr="003E567C" w:rsidP="00D93F31" w14:paraId="2DB9857F" w14:textId="1E9F001B">
            <w:pPr>
              <w:rPr>
                <w:b/>
                <w:bCs/>
                <w:sz w:val="24"/>
                <w:szCs w:val="24"/>
              </w:rPr>
            </w:pPr>
            <w:r>
              <w:rPr>
                <w:b/>
                <w:bCs/>
                <w:sz w:val="24"/>
                <w:szCs w:val="24"/>
              </w:rPr>
              <w:t xml:space="preserve">Number of Samples/ Monitoring </w:t>
            </w:r>
          </w:p>
        </w:tc>
        <w:tc>
          <w:tcPr>
            <w:tcW w:w="1389" w:type="dxa"/>
            <w:shd w:val="clear" w:color="auto" w:fill="C5E0B3" w:themeFill="accent6" w:themeFillTint="66"/>
          </w:tcPr>
          <w:p w:rsidR="00D93F31" w:rsidRPr="00EF326C" w:rsidP="00D93F31" w14:paraId="46755B9E" w14:textId="77777777">
            <w:pPr>
              <w:rPr>
                <w:b/>
                <w:bCs/>
                <w:sz w:val="24"/>
                <w:szCs w:val="24"/>
              </w:rPr>
            </w:pPr>
            <w:r>
              <w:rPr>
                <w:b/>
                <w:bCs/>
                <w:sz w:val="24"/>
                <w:szCs w:val="24"/>
              </w:rPr>
              <w:t>Industrial Hygienist Labor</w:t>
            </w:r>
            <w:r w:rsidRPr="00EF326C">
              <w:rPr>
                <w:b/>
                <w:bCs/>
                <w:sz w:val="24"/>
                <w:szCs w:val="24"/>
              </w:rPr>
              <w:t xml:space="preserve"> Cost</w:t>
            </w:r>
          </w:p>
        </w:tc>
        <w:tc>
          <w:tcPr>
            <w:tcW w:w="1488" w:type="dxa"/>
            <w:shd w:val="clear" w:color="auto" w:fill="C5E0B3" w:themeFill="accent6" w:themeFillTint="66"/>
          </w:tcPr>
          <w:p w:rsidR="00D93F31" w:rsidRPr="00EF326C" w:rsidP="00D93F31" w14:paraId="1F489BEF" w14:textId="77777777">
            <w:pPr>
              <w:rPr>
                <w:b/>
                <w:bCs/>
                <w:sz w:val="24"/>
                <w:szCs w:val="24"/>
              </w:rPr>
            </w:pPr>
            <w:r w:rsidRPr="00EF326C">
              <w:rPr>
                <w:b/>
                <w:bCs/>
                <w:sz w:val="24"/>
                <w:szCs w:val="24"/>
              </w:rPr>
              <w:t>Cost</w:t>
            </w:r>
          </w:p>
        </w:tc>
      </w:tr>
      <w:tr w14:paraId="16088991" w14:textId="77777777" w:rsidTr="00C05A6B">
        <w:tblPrEx>
          <w:tblW w:w="9350" w:type="dxa"/>
          <w:tblLook w:val="04A0"/>
        </w:tblPrEx>
        <w:tc>
          <w:tcPr>
            <w:tcW w:w="2252" w:type="dxa"/>
          </w:tcPr>
          <w:p w:rsidR="00D93F31" w:rsidP="00D93F31" w14:paraId="0227FB76" w14:textId="77777777">
            <w:pPr>
              <w:rPr>
                <w:b/>
                <w:sz w:val="24"/>
                <w:szCs w:val="24"/>
              </w:rPr>
            </w:pPr>
            <w:r w:rsidRPr="00772FE4">
              <w:rPr>
                <w:sz w:val="24"/>
                <w:szCs w:val="24"/>
              </w:rPr>
              <w:t>Highway and Railroad Bridge Repainting</w:t>
            </w:r>
          </w:p>
        </w:tc>
        <w:tc>
          <w:tcPr>
            <w:tcW w:w="1672" w:type="dxa"/>
            <w:vAlign w:val="center"/>
          </w:tcPr>
          <w:p w:rsidR="00D93F31" w:rsidP="00C05A6B" w14:paraId="52E6A233" w14:textId="77777777">
            <w:pPr>
              <w:jc w:val="center"/>
              <w:rPr>
                <w:b/>
                <w:sz w:val="24"/>
                <w:szCs w:val="24"/>
              </w:rPr>
            </w:pPr>
            <w:r>
              <w:rPr>
                <w:sz w:val="24"/>
                <w:szCs w:val="24"/>
              </w:rPr>
              <w:t>505</w:t>
            </w:r>
            <w:r w:rsidRPr="00772FE4">
              <w:rPr>
                <w:sz w:val="24"/>
                <w:szCs w:val="24"/>
              </w:rPr>
              <w:t xml:space="preserve"> workdays</w:t>
            </w:r>
          </w:p>
        </w:tc>
        <w:tc>
          <w:tcPr>
            <w:tcW w:w="1122" w:type="dxa"/>
            <w:vAlign w:val="center"/>
          </w:tcPr>
          <w:p w:rsidR="00D93F31" w:rsidP="00C05A6B" w14:paraId="62D74E33" w14:textId="6462C720">
            <w:pPr>
              <w:jc w:val="center"/>
              <w:rPr>
                <w:bCs/>
                <w:sz w:val="24"/>
                <w:szCs w:val="24"/>
              </w:rPr>
            </w:pPr>
            <w:r>
              <w:rPr>
                <w:bCs/>
                <w:sz w:val="24"/>
                <w:szCs w:val="24"/>
              </w:rPr>
              <w:t>1</w:t>
            </w:r>
          </w:p>
        </w:tc>
        <w:tc>
          <w:tcPr>
            <w:tcW w:w="1427" w:type="dxa"/>
            <w:vAlign w:val="center"/>
          </w:tcPr>
          <w:p w:rsidR="00D93F31" w:rsidRPr="003E567C" w:rsidP="00C05A6B" w14:paraId="74E9718B" w14:textId="35B10345">
            <w:pPr>
              <w:jc w:val="center"/>
              <w:rPr>
                <w:bCs/>
                <w:sz w:val="24"/>
                <w:szCs w:val="24"/>
              </w:rPr>
            </w:pPr>
            <w:r>
              <w:rPr>
                <w:bCs/>
                <w:sz w:val="24"/>
                <w:szCs w:val="24"/>
              </w:rPr>
              <w:t>3</w:t>
            </w:r>
          </w:p>
        </w:tc>
        <w:tc>
          <w:tcPr>
            <w:tcW w:w="1389" w:type="dxa"/>
            <w:vAlign w:val="center"/>
          </w:tcPr>
          <w:p w:rsidR="00D93F31" w:rsidP="00C05A6B" w14:paraId="6B47C850" w14:textId="76BD3154">
            <w:pPr>
              <w:jc w:val="center"/>
              <w:rPr>
                <w:b/>
                <w:sz w:val="24"/>
                <w:szCs w:val="24"/>
              </w:rPr>
            </w:pPr>
            <w:r w:rsidRPr="00772FE4">
              <w:rPr>
                <w:sz w:val="24"/>
                <w:szCs w:val="24"/>
              </w:rPr>
              <w:t>$</w:t>
            </w:r>
            <w:r>
              <w:rPr>
                <w:sz w:val="24"/>
                <w:szCs w:val="24"/>
              </w:rPr>
              <w:t>30</w:t>
            </w:r>
          </w:p>
        </w:tc>
        <w:tc>
          <w:tcPr>
            <w:tcW w:w="1488" w:type="dxa"/>
            <w:vAlign w:val="center"/>
          </w:tcPr>
          <w:p w:rsidR="00D93F31" w:rsidP="00C05A6B" w14:paraId="3BDC85DF" w14:textId="18439A33">
            <w:pPr>
              <w:jc w:val="center"/>
              <w:rPr>
                <w:b/>
                <w:sz w:val="24"/>
                <w:szCs w:val="24"/>
              </w:rPr>
            </w:pPr>
            <w:r>
              <w:rPr>
                <w:b/>
                <w:sz w:val="24"/>
                <w:szCs w:val="24"/>
              </w:rPr>
              <w:t>$45,450</w:t>
            </w:r>
          </w:p>
        </w:tc>
      </w:tr>
      <w:tr w14:paraId="0FDDB6A5" w14:textId="77777777" w:rsidTr="00C05A6B">
        <w:tblPrEx>
          <w:tblW w:w="9350" w:type="dxa"/>
          <w:tblLook w:val="04A0"/>
        </w:tblPrEx>
        <w:tc>
          <w:tcPr>
            <w:tcW w:w="2252" w:type="dxa"/>
          </w:tcPr>
          <w:p w:rsidR="00D93F31" w:rsidP="00D93F31" w14:paraId="60923313" w14:textId="77777777">
            <w:pPr>
              <w:rPr>
                <w:b/>
                <w:sz w:val="24"/>
                <w:szCs w:val="24"/>
              </w:rPr>
            </w:pPr>
            <w:r w:rsidRPr="00772FE4">
              <w:rPr>
                <w:sz w:val="24"/>
                <w:szCs w:val="24"/>
              </w:rPr>
              <w:t xml:space="preserve">Highway and Railroad Bridge </w:t>
            </w:r>
            <w:r w:rsidRPr="00772FE4">
              <w:rPr>
                <w:sz w:val="24"/>
                <w:szCs w:val="24"/>
              </w:rPr>
              <w:t>Rehabilitation</w:t>
            </w:r>
          </w:p>
        </w:tc>
        <w:tc>
          <w:tcPr>
            <w:tcW w:w="1672" w:type="dxa"/>
            <w:vAlign w:val="center"/>
          </w:tcPr>
          <w:p w:rsidR="00D93F31" w:rsidRPr="003256BB" w:rsidP="00C05A6B" w14:paraId="63BE50F8" w14:textId="77777777">
            <w:pPr>
              <w:jc w:val="center"/>
              <w:rPr>
                <w:bCs/>
                <w:sz w:val="24"/>
                <w:szCs w:val="24"/>
              </w:rPr>
            </w:pPr>
            <w:r w:rsidRPr="003256BB">
              <w:rPr>
                <w:bCs/>
                <w:sz w:val="24"/>
                <w:szCs w:val="24"/>
              </w:rPr>
              <w:t>67 Workdays</w:t>
            </w:r>
          </w:p>
        </w:tc>
        <w:tc>
          <w:tcPr>
            <w:tcW w:w="1122" w:type="dxa"/>
            <w:vAlign w:val="center"/>
          </w:tcPr>
          <w:p w:rsidR="00D93F31" w:rsidP="00C05A6B" w14:paraId="4DCDE5F8" w14:textId="3C7E12EE">
            <w:pPr>
              <w:jc w:val="center"/>
              <w:rPr>
                <w:bCs/>
                <w:sz w:val="24"/>
                <w:szCs w:val="24"/>
              </w:rPr>
            </w:pPr>
            <w:r>
              <w:rPr>
                <w:bCs/>
                <w:sz w:val="24"/>
                <w:szCs w:val="24"/>
              </w:rPr>
              <w:t>3</w:t>
            </w:r>
          </w:p>
        </w:tc>
        <w:tc>
          <w:tcPr>
            <w:tcW w:w="1427" w:type="dxa"/>
            <w:vAlign w:val="center"/>
          </w:tcPr>
          <w:p w:rsidR="00D93F31" w:rsidRPr="003E567C" w:rsidP="00C05A6B" w14:paraId="1735179B" w14:textId="2DD1343D">
            <w:pPr>
              <w:jc w:val="center"/>
              <w:rPr>
                <w:bCs/>
                <w:sz w:val="24"/>
                <w:szCs w:val="24"/>
              </w:rPr>
            </w:pPr>
            <w:r>
              <w:rPr>
                <w:bCs/>
                <w:sz w:val="24"/>
                <w:szCs w:val="24"/>
              </w:rPr>
              <w:t>3</w:t>
            </w:r>
          </w:p>
        </w:tc>
        <w:tc>
          <w:tcPr>
            <w:tcW w:w="1389" w:type="dxa"/>
            <w:vAlign w:val="center"/>
          </w:tcPr>
          <w:p w:rsidR="00D93F31" w:rsidP="00C05A6B" w14:paraId="6403EB2B" w14:textId="2D866550">
            <w:pPr>
              <w:jc w:val="center"/>
              <w:rPr>
                <w:b/>
                <w:sz w:val="24"/>
                <w:szCs w:val="24"/>
              </w:rPr>
            </w:pPr>
            <w:r w:rsidRPr="00772FE4">
              <w:rPr>
                <w:sz w:val="24"/>
                <w:szCs w:val="24"/>
              </w:rPr>
              <w:t>$</w:t>
            </w:r>
            <w:r>
              <w:rPr>
                <w:sz w:val="24"/>
                <w:szCs w:val="24"/>
              </w:rPr>
              <w:t>30</w:t>
            </w:r>
          </w:p>
        </w:tc>
        <w:tc>
          <w:tcPr>
            <w:tcW w:w="1488" w:type="dxa"/>
            <w:vAlign w:val="center"/>
          </w:tcPr>
          <w:p w:rsidR="00D93F31" w:rsidP="00C05A6B" w14:paraId="0561B15B" w14:textId="6EF76B8A">
            <w:pPr>
              <w:jc w:val="center"/>
              <w:rPr>
                <w:b/>
                <w:sz w:val="24"/>
                <w:szCs w:val="24"/>
              </w:rPr>
            </w:pPr>
            <w:r>
              <w:rPr>
                <w:b/>
                <w:sz w:val="24"/>
                <w:szCs w:val="24"/>
              </w:rPr>
              <w:t>$18,0</w:t>
            </w:r>
            <w:r w:rsidR="003D7DB1">
              <w:rPr>
                <w:b/>
                <w:sz w:val="24"/>
                <w:szCs w:val="24"/>
              </w:rPr>
              <w:t>9</w:t>
            </w:r>
            <w:r>
              <w:rPr>
                <w:b/>
                <w:sz w:val="24"/>
                <w:szCs w:val="24"/>
              </w:rPr>
              <w:t>0</w:t>
            </w:r>
          </w:p>
        </w:tc>
      </w:tr>
      <w:tr w14:paraId="09FF6E3E" w14:textId="77777777" w:rsidTr="00C05A6B">
        <w:tblPrEx>
          <w:tblW w:w="9350" w:type="dxa"/>
          <w:tblLook w:val="04A0"/>
        </w:tblPrEx>
        <w:tc>
          <w:tcPr>
            <w:tcW w:w="2252" w:type="dxa"/>
          </w:tcPr>
          <w:p w:rsidR="00D93F31" w:rsidP="00D93F31" w14:paraId="47B48F77" w14:textId="77777777">
            <w:pPr>
              <w:rPr>
                <w:b/>
                <w:sz w:val="24"/>
                <w:szCs w:val="24"/>
              </w:rPr>
            </w:pPr>
            <w:r w:rsidRPr="00772FE4">
              <w:rPr>
                <w:sz w:val="24"/>
                <w:szCs w:val="24"/>
              </w:rPr>
              <w:t>Housing Lead Abatement (Public)</w:t>
            </w:r>
          </w:p>
        </w:tc>
        <w:tc>
          <w:tcPr>
            <w:tcW w:w="1672" w:type="dxa"/>
            <w:vAlign w:val="center"/>
          </w:tcPr>
          <w:p w:rsidR="00D93F31" w:rsidRPr="003256BB" w:rsidP="00C05A6B" w14:paraId="74F0928E" w14:textId="77777777">
            <w:pPr>
              <w:jc w:val="center"/>
              <w:rPr>
                <w:bCs/>
                <w:sz w:val="24"/>
                <w:szCs w:val="24"/>
              </w:rPr>
            </w:pPr>
            <w:r w:rsidRPr="003256BB">
              <w:rPr>
                <w:bCs/>
                <w:sz w:val="24"/>
                <w:szCs w:val="24"/>
              </w:rPr>
              <w:t>438 Workdays</w:t>
            </w:r>
          </w:p>
        </w:tc>
        <w:tc>
          <w:tcPr>
            <w:tcW w:w="1122" w:type="dxa"/>
            <w:vAlign w:val="center"/>
          </w:tcPr>
          <w:p w:rsidR="00D93F31" w:rsidP="00C05A6B" w14:paraId="1AAA2700" w14:textId="4BA91B69">
            <w:pPr>
              <w:jc w:val="center"/>
              <w:rPr>
                <w:bCs/>
                <w:sz w:val="24"/>
                <w:szCs w:val="24"/>
              </w:rPr>
            </w:pPr>
            <w:r>
              <w:rPr>
                <w:bCs/>
                <w:sz w:val="24"/>
                <w:szCs w:val="24"/>
              </w:rPr>
              <w:t>1</w:t>
            </w:r>
          </w:p>
        </w:tc>
        <w:tc>
          <w:tcPr>
            <w:tcW w:w="1427" w:type="dxa"/>
            <w:vAlign w:val="center"/>
          </w:tcPr>
          <w:p w:rsidR="00D93F31" w:rsidRPr="003E567C" w:rsidP="00C05A6B" w14:paraId="4C3358FB" w14:textId="288F4080">
            <w:pPr>
              <w:jc w:val="center"/>
              <w:rPr>
                <w:bCs/>
                <w:sz w:val="24"/>
                <w:szCs w:val="24"/>
              </w:rPr>
            </w:pPr>
            <w:r>
              <w:rPr>
                <w:bCs/>
                <w:sz w:val="24"/>
                <w:szCs w:val="24"/>
              </w:rPr>
              <w:t>3</w:t>
            </w:r>
          </w:p>
        </w:tc>
        <w:tc>
          <w:tcPr>
            <w:tcW w:w="1389" w:type="dxa"/>
            <w:vAlign w:val="center"/>
          </w:tcPr>
          <w:p w:rsidR="00D93F31" w:rsidP="00C05A6B" w14:paraId="5FA27BD9" w14:textId="07C6AEA6">
            <w:pPr>
              <w:jc w:val="center"/>
              <w:rPr>
                <w:b/>
                <w:sz w:val="24"/>
                <w:szCs w:val="24"/>
              </w:rPr>
            </w:pPr>
            <w:r w:rsidRPr="00772FE4">
              <w:rPr>
                <w:sz w:val="24"/>
                <w:szCs w:val="24"/>
              </w:rPr>
              <w:t>$</w:t>
            </w:r>
            <w:r>
              <w:rPr>
                <w:sz w:val="24"/>
                <w:szCs w:val="24"/>
              </w:rPr>
              <w:t>30</w:t>
            </w:r>
          </w:p>
        </w:tc>
        <w:tc>
          <w:tcPr>
            <w:tcW w:w="1488" w:type="dxa"/>
            <w:vAlign w:val="center"/>
          </w:tcPr>
          <w:p w:rsidR="00D93F31" w:rsidP="00C05A6B" w14:paraId="777621E6" w14:textId="05FFA5EC">
            <w:pPr>
              <w:jc w:val="center"/>
              <w:rPr>
                <w:b/>
                <w:sz w:val="24"/>
                <w:szCs w:val="24"/>
              </w:rPr>
            </w:pPr>
            <w:r>
              <w:rPr>
                <w:b/>
                <w:sz w:val="24"/>
                <w:szCs w:val="24"/>
              </w:rPr>
              <w:t>$39,420</w:t>
            </w:r>
          </w:p>
        </w:tc>
      </w:tr>
      <w:tr w14:paraId="719BBAE1" w14:textId="77777777" w:rsidTr="00C05A6B">
        <w:tblPrEx>
          <w:tblW w:w="9350" w:type="dxa"/>
          <w:tblLook w:val="04A0"/>
        </w:tblPrEx>
        <w:tc>
          <w:tcPr>
            <w:tcW w:w="2252" w:type="dxa"/>
          </w:tcPr>
          <w:p w:rsidR="00D93F31" w:rsidP="00D93F31" w14:paraId="2734F367" w14:textId="77777777">
            <w:pPr>
              <w:shd w:val="solid" w:color="FFFFFF" w:fill="FFFFFF"/>
              <w:rPr>
                <w:b/>
                <w:sz w:val="24"/>
                <w:szCs w:val="24"/>
              </w:rPr>
            </w:pPr>
            <w:r w:rsidRPr="00772FE4">
              <w:rPr>
                <w:sz w:val="24"/>
                <w:szCs w:val="24"/>
              </w:rPr>
              <w:t>Commercial and Industrial Demolition</w:t>
            </w:r>
          </w:p>
        </w:tc>
        <w:tc>
          <w:tcPr>
            <w:tcW w:w="1672" w:type="dxa"/>
            <w:vAlign w:val="center"/>
          </w:tcPr>
          <w:p w:rsidR="00D93F31" w:rsidRPr="003256BB" w:rsidP="00C05A6B" w14:paraId="356A76B5" w14:textId="77777777">
            <w:pPr>
              <w:jc w:val="center"/>
              <w:rPr>
                <w:bCs/>
                <w:sz w:val="24"/>
                <w:szCs w:val="24"/>
              </w:rPr>
            </w:pPr>
            <w:r w:rsidRPr="006B13DE">
              <w:rPr>
                <w:bCs/>
                <w:sz w:val="24"/>
                <w:szCs w:val="24"/>
              </w:rPr>
              <w:t>1,442 workdays</w:t>
            </w:r>
          </w:p>
        </w:tc>
        <w:tc>
          <w:tcPr>
            <w:tcW w:w="1122" w:type="dxa"/>
            <w:vAlign w:val="center"/>
          </w:tcPr>
          <w:p w:rsidR="00D93F31" w:rsidP="00C05A6B" w14:paraId="413DFF99" w14:textId="318D7B04">
            <w:pPr>
              <w:jc w:val="center"/>
              <w:rPr>
                <w:bCs/>
                <w:sz w:val="24"/>
                <w:szCs w:val="24"/>
              </w:rPr>
            </w:pPr>
            <w:r>
              <w:rPr>
                <w:bCs/>
                <w:sz w:val="24"/>
                <w:szCs w:val="24"/>
              </w:rPr>
              <w:t>1</w:t>
            </w:r>
          </w:p>
        </w:tc>
        <w:tc>
          <w:tcPr>
            <w:tcW w:w="1427" w:type="dxa"/>
            <w:vAlign w:val="center"/>
          </w:tcPr>
          <w:p w:rsidR="00D93F31" w:rsidRPr="003E567C" w:rsidP="00C05A6B" w14:paraId="5058D1BF" w14:textId="5C123311">
            <w:pPr>
              <w:jc w:val="center"/>
              <w:rPr>
                <w:bCs/>
                <w:sz w:val="24"/>
                <w:szCs w:val="24"/>
              </w:rPr>
            </w:pPr>
            <w:r>
              <w:rPr>
                <w:bCs/>
                <w:sz w:val="24"/>
                <w:szCs w:val="24"/>
              </w:rPr>
              <w:t>3</w:t>
            </w:r>
          </w:p>
        </w:tc>
        <w:tc>
          <w:tcPr>
            <w:tcW w:w="1389" w:type="dxa"/>
            <w:vAlign w:val="center"/>
          </w:tcPr>
          <w:p w:rsidR="00D93F31" w:rsidP="00C05A6B" w14:paraId="3BB4C7BF" w14:textId="501D203B">
            <w:pPr>
              <w:jc w:val="center"/>
              <w:rPr>
                <w:b/>
                <w:sz w:val="24"/>
                <w:szCs w:val="24"/>
              </w:rPr>
            </w:pPr>
            <w:r w:rsidRPr="00772FE4">
              <w:rPr>
                <w:sz w:val="24"/>
                <w:szCs w:val="24"/>
              </w:rPr>
              <w:t>$</w:t>
            </w:r>
            <w:r>
              <w:rPr>
                <w:sz w:val="24"/>
                <w:szCs w:val="24"/>
              </w:rPr>
              <w:t>30</w:t>
            </w:r>
          </w:p>
        </w:tc>
        <w:tc>
          <w:tcPr>
            <w:tcW w:w="1488" w:type="dxa"/>
            <w:vAlign w:val="center"/>
          </w:tcPr>
          <w:p w:rsidR="00D93F31" w:rsidP="00C05A6B" w14:paraId="215FC1D5" w14:textId="37FDC3C2">
            <w:pPr>
              <w:jc w:val="center"/>
              <w:rPr>
                <w:b/>
                <w:sz w:val="24"/>
                <w:szCs w:val="24"/>
              </w:rPr>
            </w:pPr>
            <w:r>
              <w:rPr>
                <w:b/>
                <w:sz w:val="24"/>
                <w:szCs w:val="24"/>
              </w:rPr>
              <w:t>$129,780</w:t>
            </w:r>
          </w:p>
        </w:tc>
      </w:tr>
      <w:tr w14:paraId="3A6A7DCC" w14:textId="77777777" w:rsidTr="00B63DB7">
        <w:tblPrEx>
          <w:tblW w:w="9350" w:type="dxa"/>
          <w:tblLook w:val="04A0"/>
        </w:tblPrEx>
        <w:tc>
          <w:tcPr>
            <w:tcW w:w="2252" w:type="dxa"/>
          </w:tcPr>
          <w:p w:rsidR="00D93F31" w:rsidP="00D93F31" w14:paraId="7E5D33E8" w14:textId="77777777">
            <w:pPr>
              <w:rPr>
                <w:b/>
                <w:sz w:val="24"/>
                <w:szCs w:val="24"/>
              </w:rPr>
            </w:pPr>
            <w:r w:rsidRPr="00772FE4">
              <w:rPr>
                <w:sz w:val="24"/>
                <w:szCs w:val="24"/>
              </w:rPr>
              <w:t>Transmission and Communication Tow Maintenance</w:t>
            </w:r>
          </w:p>
        </w:tc>
        <w:tc>
          <w:tcPr>
            <w:tcW w:w="1672" w:type="dxa"/>
          </w:tcPr>
          <w:p w:rsidR="00D93F31" w:rsidRPr="003256BB" w:rsidP="00D93F31" w14:paraId="589D5A51" w14:textId="77777777">
            <w:pPr>
              <w:rPr>
                <w:bCs/>
                <w:sz w:val="24"/>
                <w:szCs w:val="24"/>
              </w:rPr>
            </w:pPr>
            <w:r w:rsidRPr="003256BB">
              <w:rPr>
                <w:bCs/>
                <w:sz w:val="24"/>
                <w:szCs w:val="24"/>
              </w:rPr>
              <w:t>0 workdays</w:t>
            </w:r>
          </w:p>
        </w:tc>
        <w:tc>
          <w:tcPr>
            <w:tcW w:w="1122" w:type="dxa"/>
          </w:tcPr>
          <w:p w:rsidR="00D93F31" w:rsidP="00716774" w14:paraId="3C902578" w14:textId="1BB50333">
            <w:pPr>
              <w:jc w:val="center"/>
              <w:rPr>
                <w:bCs/>
                <w:sz w:val="24"/>
                <w:szCs w:val="24"/>
              </w:rPr>
            </w:pPr>
            <w:r>
              <w:rPr>
                <w:bCs/>
                <w:sz w:val="24"/>
                <w:szCs w:val="24"/>
              </w:rPr>
              <w:t>1</w:t>
            </w:r>
          </w:p>
        </w:tc>
        <w:tc>
          <w:tcPr>
            <w:tcW w:w="1427" w:type="dxa"/>
          </w:tcPr>
          <w:p w:rsidR="00D93F31" w:rsidP="00716774" w14:paraId="279ECC30" w14:textId="39C7AEF8">
            <w:pPr>
              <w:jc w:val="center"/>
              <w:rPr>
                <w:bCs/>
                <w:sz w:val="24"/>
                <w:szCs w:val="24"/>
              </w:rPr>
            </w:pPr>
            <w:r>
              <w:rPr>
                <w:bCs/>
                <w:sz w:val="24"/>
                <w:szCs w:val="24"/>
              </w:rPr>
              <w:t>3</w:t>
            </w:r>
          </w:p>
        </w:tc>
        <w:tc>
          <w:tcPr>
            <w:tcW w:w="1389" w:type="dxa"/>
          </w:tcPr>
          <w:p w:rsidR="00D93F31" w:rsidP="00716774" w14:paraId="76B9070F" w14:textId="2F0E3879">
            <w:pPr>
              <w:jc w:val="center"/>
              <w:rPr>
                <w:b/>
                <w:sz w:val="24"/>
                <w:szCs w:val="24"/>
              </w:rPr>
            </w:pPr>
            <w:r w:rsidRPr="00772FE4">
              <w:rPr>
                <w:sz w:val="24"/>
                <w:szCs w:val="24"/>
              </w:rPr>
              <w:t>$</w:t>
            </w:r>
            <w:r>
              <w:rPr>
                <w:sz w:val="24"/>
                <w:szCs w:val="24"/>
              </w:rPr>
              <w:t>30</w:t>
            </w:r>
          </w:p>
        </w:tc>
        <w:tc>
          <w:tcPr>
            <w:tcW w:w="1488" w:type="dxa"/>
          </w:tcPr>
          <w:p w:rsidR="00D93F31" w:rsidP="00716774" w14:paraId="3350B632" w14:textId="77777777">
            <w:pPr>
              <w:jc w:val="center"/>
              <w:rPr>
                <w:b/>
                <w:sz w:val="24"/>
                <w:szCs w:val="24"/>
              </w:rPr>
            </w:pPr>
            <w:r>
              <w:rPr>
                <w:b/>
                <w:sz w:val="24"/>
                <w:szCs w:val="24"/>
              </w:rPr>
              <w:t>$0</w:t>
            </w:r>
          </w:p>
        </w:tc>
      </w:tr>
      <w:tr w14:paraId="26F46A91" w14:textId="77777777" w:rsidTr="00B63DB7">
        <w:tblPrEx>
          <w:tblW w:w="9350" w:type="dxa"/>
          <w:tblLook w:val="04A0"/>
        </w:tblPrEx>
        <w:tc>
          <w:tcPr>
            <w:tcW w:w="2252" w:type="dxa"/>
          </w:tcPr>
          <w:p w:rsidR="00D93F31" w:rsidP="00786B35" w14:paraId="2268C896" w14:textId="77777777">
            <w:pPr>
              <w:rPr>
                <w:b/>
                <w:sz w:val="24"/>
                <w:szCs w:val="24"/>
              </w:rPr>
            </w:pPr>
            <w:r>
              <w:rPr>
                <w:b/>
                <w:sz w:val="24"/>
                <w:szCs w:val="24"/>
              </w:rPr>
              <w:t>Total</w:t>
            </w:r>
          </w:p>
        </w:tc>
        <w:tc>
          <w:tcPr>
            <w:tcW w:w="1672" w:type="dxa"/>
          </w:tcPr>
          <w:p w:rsidR="00D93F31" w:rsidP="00786B35" w14:paraId="28E3F54A" w14:textId="77777777">
            <w:pPr>
              <w:rPr>
                <w:b/>
                <w:sz w:val="24"/>
                <w:szCs w:val="24"/>
              </w:rPr>
            </w:pPr>
          </w:p>
        </w:tc>
        <w:tc>
          <w:tcPr>
            <w:tcW w:w="1122" w:type="dxa"/>
          </w:tcPr>
          <w:p w:rsidR="00D93F31" w:rsidP="00786B35" w14:paraId="532C6A96" w14:textId="77777777">
            <w:pPr>
              <w:rPr>
                <w:b/>
                <w:sz w:val="24"/>
                <w:szCs w:val="24"/>
              </w:rPr>
            </w:pPr>
          </w:p>
        </w:tc>
        <w:tc>
          <w:tcPr>
            <w:tcW w:w="1427" w:type="dxa"/>
          </w:tcPr>
          <w:p w:rsidR="00D93F31" w:rsidP="00786B35" w14:paraId="4C45E6B5" w14:textId="28189C2E">
            <w:pPr>
              <w:rPr>
                <w:b/>
                <w:sz w:val="24"/>
                <w:szCs w:val="24"/>
              </w:rPr>
            </w:pPr>
          </w:p>
        </w:tc>
        <w:tc>
          <w:tcPr>
            <w:tcW w:w="1389" w:type="dxa"/>
          </w:tcPr>
          <w:p w:rsidR="00D93F31" w:rsidP="00786B35" w14:paraId="7FCD1E32" w14:textId="77777777">
            <w:pPr>
              <w:rPr>
                <w:b/>
                <w:sz w:val="24"/>
                <w:szCs w:val="24"/>
              </w:rPr>
            </w:pPr>
          </w:p>
        </w:tc>
        <w:tc>
          <w:tcPr>
            <w:tcW w:w="1488" w:type="dxa"/>
          </w:tcPr>
          <w:p w:rsidR="00D93F31" w:rsidP="00786B35" w14:paraId="7B0C6E67" w14:textId="157F47D7">
            <w:pPr>
              <w:rPr>
                <w:b/>
                <w:sz w:val="24"/>
                <w:szCs w:val="24"/>
              </w:rPr>
            </w:pPr>
            <w:r>
              <w:rPr>
                <w:b/>
                <w:sz w:val="24"/>
                <w:szCs w:val="24"/>
              </w:rPr>
              <w:t>$</w:t>
            </w:r>
            <w:r w:rsidR="00BA7ECB">
              <w:rPr>
                <w:b/>
                <w:sz w:val="24"/>
                <w:szCs w:val="24"/>
              </w:rPr>
              <w:t>232,740</w:t>
            </w:r>
          </w:p>
        </w:tc>
      </w:tr>
    </w:tbl>
    <w:p w:rsidR="00F70186" w14:paraId="01F32E20" w14:textId="64D7A8FA">
      <w:pPr>
        <w:shd w:val="solid" w:color="FFFFFF" w:fill="FFFFFF"/>
        <w:rPr>
          <w:sz w:val="24"/>
          <w:szCs w:val="24"/>
        </w:rPr>
      </w:pPr>
      <w:r>
        <w:rPr>
          <w:sz w:val="24"/>
          <w:szCs w:val="24"/>
        </w:rPr>
        <w:t>-</w:t>
      </w:r>
    </w:p>
    <w:p w:rsidR="00F70186" w:rsidRPr="00772FE4" w14:paraId="51FA4BC5" w14:textId="77777777">
      <w:pPr>
        <w:shd w:val="solid" w:color="FFFFFF" w:fill="FFFFFF"/>
        <w:rPr>
          <w:sz w:val="24"/>
          <w:szCs w:val="24"/>
        </w:rPr>
      </w:pPr>
    </w:p>
    <w:p w:rsidR="00553E3D" w:rsidRPr="00772FE4" w14:paraId="10764258" w14:textId="4E62AD64">
      <w:pPr>
        <w:shd w:val="solid" w:color="FFFFFF" w:fill="FFFFFF"/>
        <w:rPr>
          <w:sz w:val="24"/>
          <w:szCs w:val="24"/>
        </w:rPr>
      </w:pPr>
      <w:r w:rsidRPr="00772FE4">
        <w:rPr>
          <w:sz w:val="24"/>
          <w:szCs w:val="24"/>
        </w:rPr>
        <w:t xml:space="preserve">The total costs associated with the Periodic Monitoring requirement is the sum of the costs of contracted industrial hygiene services and the costs associated with the analytical monitoring. </w:t>
      </w:r>
      <w:r w:rsidR="007F3A34">
        <w:rPr>
          <w:sz w:val="24"/>
          <w:szCs w:val="24"/>
        </w:rPr>
        <w:t xml:space="preserve"> </w:t>
      </w:r>
      <w:r w:rsidRPr="00772FE4">
        <w:rPr>
          <w:sz w:val="24"/>
          <w:szCs w:val="24"/>
        </w:rPr>
        <w:t>The total cost for firms contracting out their monitoring is $</w:t>
      </w:r>
      <w:r w:rsidRPr="00B63DB7" w:rsidR="00F12639">
        <w:rPr>
          <w:bCs/>
          <w:sz w:val="24"/>
          <w:szCs w:val="24"/>
        </w:rPr>
        <w:t>2,848,426</w:t>
      </w:r>
      <w:r w:rsidRPr="00772FE4">
        <w:rPr>
          <w:sz w:val="24"/>
          <w:szCs w:val="24"/>
        </w:rPr>
        <w:t xml:space="preserve">. </w:t>
      </w:r>
      <w:r w:rsidR="007F3A34">
        <w:rPr>
          <w:sz w:val="24"/>
          <w:szCs w:val="24"/>
        </w:rPr>
        <w:t xml:space="preserve"> </w:t>
      </w:r>
      <w:r w:rsidRPr="00772FE4">
        <w:rPr>
          <w:sz w:val="24"/>
          <w:szCs w:val="24"/>
        </w:rPr>
        <w:t>The total cost of laboratory analysis for those firms contracting out their monitoring is $</w:t>
      </w:r>
      <w:r w:rsidRPr="00B63DB7" w:rsidR="00F12639">
        <w:rPr>
          <w:bCs/>
          <w:sz w:val="24"/>
          <w:szCs w:val="24"/>
        </w:rPr>
        <w:t>232,740</w:t>
      </w:r>
      <w:r w:rsidRPr="00772FE4">
        <w:rPr>
          <w:sz w:val="24"/>
          <w:szCs w:val="24"/>
        </w:rPr>
        <w:t xml:space="preserve">. </w:t>
      </w:r>
      <w:r w:rsidR="007F3A34">
        <w:rPr>
          <w:sz w:val="24"/>
          <w:szCs w:val="24"/>
        </w:rPr>
        <w:t xml:space="preserve"> </w:t>
      </w:r>
      <w:r w:rsidRPr="00772FE4">
        <w:rPr>
          <w:sz w:val="24"/>
          <w:szCs w:val="24"/>
        </w:rPr>
        <w:t xml:space="preserve">Therefore, the total cost of this requirement is </w:t>
      </w:r>
      <w:r w:rsidRPr="00F86EE9">
        <w:rPr>
          <w:b/>
          <w:sz w:val="24"/>
          <w:szCs w:val="24"/>
        </w:rPr>
        <w:t>$</w:t>
      </w:r>
      <w:r w:rsidR="008649D3">
        <w:rPr>
          <w:b/>
          <w:sz w:val="24"/>
          <w:szCs w:val="24"/>
        </w:rPr>
        <w:t>3</w:t>
      </w:r>
      <w:r w:rsidR="00FD3E68">
        <w:rPr>
          <w:b/>
          <w:sz w:val="24"/>
          <w:szCs w:val="24"/>
        </w:rPr>
        <w:t>,</w:t>
      </w:r>
      <w:r w:rsidR="008649D3">
        <w:rPr>
          <w:b/>
          <w:sz w:val="24"/>
          <w:szCs w:val="24"/>
        </w:rPr>
        <w:t>081,166</w:t>
      </w:r>
      <w:r w:rsidRPr="00F86EE9">
        <w:rPr>
          <w:b/>
          <w:sz w:val="24"/>
          <w:szCs w:val="24"/>
        </w:rPr>
        <w:t>.</w:t>
      </w:r>
    </w:p>
    <w:p w:rsidR="00553E3D" w:rsidRPr="00772FE4" w14:paraId="23DBE756" w14:textId="77777777">
      <w:pPr>
        <w:shd w:val="solid" w:color="FFFFFF" w:fill="FFFFFF"/>
        <w:rPr>
          <w:b/>
          <w:bCs/>
          <w:sz w:val="24"/>
          <w:szCs w:val="24"/>
        </w:rPr>
      </w:pPr>
    </w:p>
    <w:p w:rsidR="00553E3D" w:rsidRPr="00B63DB7" w:rsidP="00B63DB7" w14:paraId="46469F04" w14:textId="381F362E">
      <w:pPr>
        <w:pStyle w:val="ListParagraph"/>
        <w:numPr>
          <w:ilvl w:val="0"/>
          <w:numId w:val="5"/>
        </w:numPr>
        <w:shd w:val="solid" w:color="FFFFFF" w:fill="FFFFFF"/>
        <w:rPr>
          <w:sz w:val="24"/>
          <w:szCs w:val="24"/>
        </w:rPr>
      </w:pPr>
      <w:r w:rsidRPr="00B63DB7">
        <w:rPr>
          <w:b/>
          <w:bCs/>
          <w:sz w:val="24"/>
          <w:szCs w:val="24"/>
        </w:rPr>
        <w:t>Medical Surveillance (§ 1926.62 (j))</w:t>
      </w:r>
    </w:p>
    <w:p w:rsidR="00553E3D" w:rsidRPr="00772FE4" w14:paraId="1E4F2EF4" w14:textId="77777777">
      <w:pPr>
        <w:shd w:val="solid" w:color="FFFFFF" w:fill="FFFFFF"/>
        <w:rPr>
          <w:sz w:val="24"/>
          <w:szCs w:val="24"/>
        </w:rPr>
      </w:pPr>
    </w:p>
    <w:p w:rsidR="00E2577C" w14:paraId="329FACF6" w14:textId="62D149FE">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7F3A34">
        <w:rPr>
          <w:sz w:val="24"/>
          <w:szCs w:val="24"/>
        </w:rPr>
        <w:t xml:space="preserve"> </w:t>
      </w:r>
      <w:r w:rsidRPr="00772FE4">
        <w:rPr>
          <w:sz w:val="24"/>
          <w:szCs w:val="24"/>
        </w:rPr>
        <w:t xml:space="preserve">The Standard further </w:t>
      </w:r>
    </w:p>
    <w:p w:rsidR="00553E3D" w:rsidRPr="00772FE4" w14:paraId="5EC8F997" w14:textId="6B7996EB">
      <w:pPr>
        <w:shd w:val="solid" w:color="FFFFFF" w:fill="FFFFFF"/>
        <w:rPr>
          <w:sz w:val="24"/>
          <w:szCs w:val="24"/>
        </w:rPr>
      </w:pPr>
      <w:r w:rsidRPr="00772FE4">
        <w:rPr>
          <w:sz w:val="24"/>
          <w:szCs w:val="24"/>
        </w:rPr>
        <w:t xml:space="preserve">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7F3A34">
        <w:rPr>
          <w:sz w:val="24"/>
          <w:szCs w:val="24"/>
        </w:rPr>
        <w:t xml:space="preserve"> </w:t>
      </w:r>
      <w:r w:rsidRPr="00772FE4">
        <w:rPr>
          <w:sz w:val="24"/>
          <w:szCs w:val="24"/>
        </w:rPr>
        <w:t xml:space="preserve">The medical surveillance program includes a more regular schedule of biological monitoring which continues as long as the </w:t>
      </w:r>
      <w:r w:rsidR="00FA259D">
        <w:rPr>
          <w:sz w:val="24"/>
          <w:szCs w:val="24"/>
        </w:rPr>
        <w:t>worker</w:t>
      </w:r>
      <w:r w:rsidRPr="00772FE4">
        <w:rPr>
          <w:sz w:val="24"/>
          <w:szCs w:val="24"/>
        </w:rPr>
        <w:t xml:space="preserve"> meets the airborne exposure criteria and continues to work for the employer. </w:t>
      </w:r>
      <w:r w:rsidR="007F3A34">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notifications.</w:t>
      </w:r>
    </w:p>
    <w:p w:rsidR="00553E3D" w:rsidRPr="00772FE4" w14:paraId="5F1C0379" w14:textId="77777777">
      <w:pPr>
        <w:shd w:val="solid" w:color="FFFFFF" w:fill="FFFFFF"/>
        <w:rPr>
          <w:sz w:val="24"/>
          <w:szCs w:val="24"/>
        </w:rPr>
      </w:pPr>
    </w:p>
    <w:p w:rsidR="00553E3D" w:rsidRPr="00B63DB7" w:rsidP="00B63DB7" w14:paraId="50BE2F31" w14:textId="6A17F5B0">
      <w:pPr>
        <w:pStyle w:val="ListParagraph"/>
        <w:shd w:val="solid" w:color="FFFFFF" w:fill="FFFFFF"/>
        <w:rPr>
          <w:sz w:val="24"/>
          <w:szCs w:val="24"/>
        </w:rPr>
      </w:pPr>
      <w:r w:rsidRPr="00B63DB7">
        <w:rPr>
          <w:b/>
          <w:bCs/>
          <w:sz w:val="24"/>
          <w:szCs w:val="24"/>
        </w:rPr>
        <w:t>Biological Monitoring</w:t>
      </w:r>
    </w:p>
    <w:p w:rsidR="00553E3D" w:rsidRPr="00772FE4" w14:paraId="2B255CC5" w14:textId="77777777">
      <w:pPr>
        <w:shd w:val="solid" w:color="FFFFFF" w:fill="FFFFFF"/>
        <w:rPr>
          <w:sz w:val="24"/>
          <w:szCs w:val="24"/>
        </w:rPr>
      </w:pPr>
    </w:p>
    <w:p w:rsidR="00553E3D" w:rsidRPr="00B63DB7" w:rsidP="00B63DB7" w14:paraId="5364AF9B" w14:textId="22ED7258">
      <w:pPr>
        <w:pStyle w:val="ListParagraph"/>
        <w:numPr>
          <w:ilvl w:val="0"/>
          <w:numId w:val="7"/>
        </w:numPr>
        <w:shd w:val="solid" w:color="FFFFFF" w:fill="FFFFFF"/>
        <w:rPr>
          <w:b/>
          <w:bCs/>
          <w:sz w:val="24"/>
          <w:szCs w:val="24"/>
        </w:rPr>
      </w:pPr>
      <w:r w:rsidRPr="00B63DB7">
        <w:rPr>
          <w:b/>
          <w:bCs/>
          <w:sz w:val="24"/>
          <w:szCs w:val="24"/>
        </w:rPr>
        <w:t>Initial Medical Surveillance</w:t>
      </w:r>
    </w:p>
    <w:p w:rsidR="001519C1" w:rsidRPr="00772FE4" w14:paraId="7EBE5684" w14:textId="77777777">
      <w:pPr>
        <w:shd w:val="solid" w:color="FFFFFF" w:fill="FFFFFF"/>
        <w:rPr>
          <w:sz w:val="24"/>
          <w:szCs w:val="24"/>
        </w:rPr>
      </w:pPr>
    </w:p>
    <w:p w:rsidR="00553E3D" w14:paraId="34B09418" w14:textId="22C402A3">
      <w:pPr>
        <w:shd w:val="solid" w:color="FFFFFF" w:fill="FFFFFF"/>
        <w:rPr>
          <w:sz w:val="24"/>
          <w:szCs w:val="24"/>
        </w:rPr>
      </w:pPr>
      <w:r w:rsidRPr="00772FE4">
        <w:rPr>
          <w:sz w:val="24"/>
          <w:szCs w:val="24"/>
        </w:rPr>
        <w:t xml:space="preserve">The Standard requires that employers offer, on a one-time basis, all </w:t>
      </w:r>
      <w:r w:rsidR="00FA259D">
        <w:rPr>
          <w:sz w:val="24"/>
          <w:szCs w:val="24"/>
        </w:rPr>
        <w:t>worker</w:t>
      </w:r>
      <w:r w:rsidRPr="00772FE4">
        <w:rPr>
          <w:sz w:val="24"/>
          <w:szCs w:val="24"/>
        </w:rPr>
        <w:t xml:space="preserve">s exposed </w:t>
      </w:r>
      <w:r w:rsidR="00397FA1">
        <w:rPr>
          <w:sz w:val="24"/>
          <w:szCs w:val="24"/>
        </w:rPr>
        <w:t xml:space="preserve">at or above </w:t>
      </w:r>
      <w:r w:rsidRPr="00772FE4">
        <w:rPr>
          <w:sz w:val="24"/>
          <w:szCs w:val="24"/>
        </w:rPr>
        <w:t xml:space="preserve">the action level initial medical surveillance consisting of a single blood test (analyzed for blood-lead and zinc protoporphyrin levels). </w:t>
      </w:r>
      <w:r w:rsidR="007F3A34">
        <w:rPr>
          <w:sz w:val="24"/>
          <w:szCs w:val="24"/>
        </w:rPr>
        <w:t xml:space="preserve"> </w:t>
      </w:r>
      <w:r w:rsidRPr="00772FE4">
        <w:rPr>
          <w:sz w:val="24"/>
          <w:szCs w:val="24"/>
        </w:rPr>
        <w:t xml:space="preserve">As described above in Item 12, OSHA estimates there are </w:t>
      </w:r>
      <w:r w:rsidR="00A06B3E">
        <w:rPr>
          <w:sz w:val="24"/>
          <w:szCs w:val="24"/>
        </w:rPr>
        <w:t>61,</w:t>
      </w:r>
      <w:r w:rsidR="00C126B6">
        <w:rPr>
          <w:sz w:val="24"/>
          <w:szCs w:val="24"/>
        </w:rPr>
        <w:t>785</w:t>
      </w:r>
      <w:r w:rsidR="000C3EF7">
        <w:rPr>
          <w:sz w:val="24"/>
          <w:szCs w:val="24"/>
        </w:rPr>
        <w:t xml:space="preserve"> </w:t>
      </w:r>
      <w:r w:rsidRPr="00772FE4">
        <w:rPr>
          <w:sz w:val="24"/>
          <w:szCs w:val="24"/>
        </w:rPr>
        <w:t xml:space="preserve">new hires each year that are exposed </w:t>
      </w:r>
      <w:r w:rsidR="00397FA1">
        <w:rPr>
          <w:sz w:val="24"/>
          <w:szCs w:val="24"/>
        </w:rPr>
        <w:t xml:space="preserve">at or </w:t>
      </w:r>
      <w:r w:rsidRPr="00772FE4">
        <w:rPr>
          <w:sz w:val="24"/>
          <w:szCs w:val="24"/>
        </w:rPr>
        <w:t xml:space="preserve">above the action level and will need initial medical surveillance consisting of a blood test for blood-lead and zinc protoporphyrin levels. </w:t>
      </w:r>
      <w:r w:rsidR="007F3A34">
        <w:rPr>
          <w:sz w:val="24"/>
          <w:szCs w:val="24"/>
        </w:rPr>
        <w:t xml:space="preserve"> </w:t>
      </w:r>
      <w:r w:rsidRPr="00772FE4">
        <w:rPr>
          <w:sz w:val="24"/>
          <w:szCs w:val="24"/>
        </w:rPr>
        <w:t xml:space="preserve">OSHA therefore estimates </w:t>
      </w:r>
      <w:r w:rsidR="005A062E">
        <w:rPr>
          <w:sz w:val="24"/>
          <w:szCs w:val="24"/>
        </w:rPr>
        <w:t xml:space="preserve">61,785 </w:t>
      </w:r>
      <w:r w:rsidRPr="00772FE4" w:rsidR="005A062E">
        <w:rPr>
          <w:sz w:val="24"/>
          <w:szCs w:val="24"/>
        </w:rPr>
        <w:t>tests</w:t>
      </w:r>
      <w:r w:rsidRPr="00772FE4">
        <w:rPr>
          <w:sz w:val="24"/>
          <w:szCs w:val="24"/>
        </w:rPr>
        <w:t xml:space="preserve"> are administered each year. </w:t>
      </w:r>
      <w:r w:rsidR="007F3A34">
        <w:rPr>
          <w:sz w:val="24"/>
          <w:szCs w:val="24"/>
        </w:rPr>
        <w:t xml:space="preserve"> </w:t>
      </w:r>
      <w:r w:rsidRPr="00772FE4">
        <w:rPr>
          <w:sz w:val="24"/>
          <w:szCs w:val="24"/>
        </w:rPr>
        <w:t>The cost associated with one session of biological monitoring for blood-lead and zinc protoporphyrin levels is currently $</w:t>
      </w:r>
      <w:r w:rsidR="00B04606">
        <w:rPr>
          <w:sz w:val="24"/>
          <w:szCs w:val="24"/>
        </w:rPr>
        <w:t>84.50</w:t>
      </w:r>
      <w:r w:rsidRPr="00772FE4">
        <w:rPr>
          <w:sz w:val="24"/>
          <w:szCs w:val="24"/>
        </w:rPr>
        <w:t>.</w:t>
      </w:r>
      <w:r>
        <w:rPr>
          <w:sz w:val="24"/>
          <w:szCs w:val="24"/>
          <w:vertAlign w:val="superscript"/>
        </w:rPr>
        <w:footnoteReference w:id="20"/>
      </w:r>
      <w:r w:rsidRPr="00772FE4">
        <w:rPr>
          <w:sz w:val="24"/>
          <w:szCs w:val="24"/>
        </w:rPr>
        <w:t xml:space="preserve"> </w:t>
      </w:r>
    </w:p>
    <w:p w:rsidR="00272E66" w:rsidRPr="00772FE4" w14:paraId="2889C2D6" w14:textId="77777777">
      <w:pPr>
        <w:shd w:val="solid" w:color="FFFFFF" w:fill="FFFFFF"/>
        <w:rPr>
          <w:sz w:val="24"/>
          <w:szCs w:val="24"/>
        </w:rPr>
      </w:pPr>
    </w:p>
    <w:p w:rsidR="00553E3D" w:rsidRPr="00772FE4" w14:paraId="095D18B6" w14:textId="1ABAA1AF">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5A062E">
        <w:rPr>
          <w:sz w:val="24"/>
          <w:szCs w:val="24"/>
        </w:rPr>
        <w:t xml:space="preserve">61,785 </w:t>
      </w:r>
      <w:r w:rsidRPr="00772FE4" w:rsidR="005A062E">
        <w:rPr>
          <w:sz w:val="24"/>
          <w:szCs w:val="24"/>
        </w:rPr>
        <w:t>tests</w:t>
      </w:r>
      <w:r w:rsidRPr="00772FE4">
        <w:rPr>
          <w:sz w:val="24"/>
          <w:szCs w:val="24"/>
        </w:rPr>
        <w:t xml:space="preserve"> × $</w:t>
      </w:r>
      <w:r w:rsidR="001B2265">
        <w:rPr>
          <w:sz w:val="24"/>
          <w:szCs w:val="24"/>
        </w:rPr>
        <w:t>84.50</w:t>
      </w:r>
      <w:r w:rsidRPr="00772FE4">
        <w:rPr>
          <w:sz w:val="24"/>
          <w:szCs w:val="24"/>
        </w:rPr>
        <w:t xml:space="preserve"> per test = $</w:t>
      </w:r>
      <w:r w:rsidR="00E32FFA">
        <w:rPr>
          <w:sz w:val="24"/>
          <w:szCs w:val="24"/>
        </w:rPr>
        <w:t>5,220,833</w:t>
      </w:r>
    </w:p>
    <w:p w:rsidR="00553E3D" w:rsidRPr="00772FE4" w14:paraId="5389ADFF" w14:textId="77777777">
      <w:pPr>
        <w:shd w:val="solid" w:color="FFFFFF" w:fill="FFFFFF"/>
        <w:rPr>
          <w:sz w:val="24"/>
          <w:szCs w:val="24"/>
        </w:rPr>
      </w:pPr>
    </w:p>
    <w:p w:rsidR="00553E3D" w:rsidRPr="00B63DB7" w:rsidP="00B63DB7" w14:paraId="63E4EC19" w14:textId="2FFB4FB9">
      <w:pPr>
        <w:pStyle w:val="ListParagraph"/>
        <w:numPr>
          <w:ilvl w:val="0"/>
          <w:numId w:val="7"/>
        </w:numPr>
        <w:shd w:val="solid" w:color="FFFFFF" w:fill="FFFFFF"/>
        <w:rPr>
          <w:b/>
          <w:bCs/>
          <w:sz w:val="24"/>
          <w:szCs w:val="24"/>
        </w:rPr>
      </w:pPr>
      <w:r w:rsidRPr="00B63DB7">
        <w:rPr>
          <w:b/>
          <w:bCs/>
          <w:sz w:val="24"/>
          <w:szCs w:val="24"/>
        </w:rPr>
        <w:t>Periodic Medical Surveillance</w:t>
      </w:r>
    </w:p>
    <w:p w:rsidR="00553E3D" w:rsidRPr="00772FE4" w14:paraId="60425A77" w14:textId="77777777">
      <w:pPr>
        <w:shd w:val="solid" w:color="FFFFFF" w:fill="FFFFFF"/>
        <w:rPr>
          <w:sz w:val="24"/>
          <w:szCs w:val="24"/>
        </w:rPr>
      </w:pPr>
    </w:p>
    <w:p w:rsidR="00553E3D" w:rsidRPr="00772FE4" w14:paraId="6C9569D5" w14:textId="0C507ABB">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397FA1">
        <w:rPr>
          <w:sz w:val="24"/>
          <w:szCs w:val="24"/>
        </w:rPr>
        <w:t xml:space="preserve">at or </w:t>
      </w:r>
      <w:r w:rsidRPr="00772FE4">
        <w:rPr>
          <w:sz w:val="24"/>
          <w:szCs w:val="24"/>
        </w:rPr>
        <w:t xml:space="preserve">above the action level on 30 or more days per year. </w:t>
      </w:r>
      <w:r w:rsidR="007F3A34">
        <w:rPr>
          <w:sz w:val="24"/>
          <w:szCs w:val="24"/>
        </w:rPr>
        <w:t xml:space="preserve"> </w:t>
      </w:r>
      <w:r w:rsidRPr="00772FE4">
        <w:rPr>
          <w:sz w:val="24"/>
          <w:szCs w:val="24"/>
        </w:rPr>
        <w:t xml:space="preserve">As described above, OSHA estimates that </w:t>
      </w:r>
      <w:r w:rsidR="00E231BF">
        <w:rPr>
          <w:sz w:val="24"/>
          <w:szCs w:val="24"/>
        </w:rPr>
        <w:t>39,850</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 xml:space="preserve">s). </w:t>
      </w:r>
      <w:r w:rsidR="007F3A34">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397FA1">
        <w:rPr>
          <w:sz w:val="24"/>
          <w:szCs w:val="24"/>
        </w:rPr>
        <w:t xml:space="preserve">at or </w:t>
      </w:r>
      <w:r w:rsidRPr="00772FE4">
        <w:rPr>
          <w:sz w:val="24"/>
          <w:szCs w:val="24"/>
        </w:rPr>
        <w:t xml:space="preserve">above the action level for 30 or more days per year and remains employed by the employer. Thus, in the first year of employment, </w:t>
      </w:r>
      <w:r w:rsidR="00FA259D">
        <w:rPr>
          <w:sz w:val="24"/>
          <w:szCs w:val="24"/>
        </w:rPr>
        <w:t>worker</w:t>
      </w:r>
      <w:r w:rsidRPr="00772FE4">
        <w:rPr>
          <w:sz w:val="24"/>
          <w:szCs w:val="24"/>
        </w:rPr>
        <w:t xml:space="preserve">s receive four sessions of biological monitoring (at months 2, 4, 6, and 12). </w:t>
      </w:r>
      <w:r w:rsidR="007F3A34">
        <w:rPr>
          <w:sz w:val="24"/>
          <w:szCs w:val="24"/>
        </w:rPr>
        <w:t xml:space="preserve"> </w:t>
      </w:r>
      <w:r w:rsidRPr="00772FE4">
        <w:rPr>
          <w:sz w:val="24"/>
          <w:szCs w:val="24"/>
        </w:rPr>
        <w:t xml:space="preserve">After the first year of employment, </w:t>
      </w:r>
      <w:r w:rsidR="00FA259D">
        <w:rPr>
          <w:sz w:val="24"/>
          <w:szCs w:val="24"/>
        </w:rPr>
        <w:t>worker</w:t>
      </w:r>
      <w:r w:rsidRPr="00772FE4">
        <w:rPr>
          <w:sz w:val="24"/>
          <w:szCs w:val="24"/>
        </w:rPr>
        <w:t xml:space="preserve">s are monitored semi-annually (at months 6 and 12). </w:t>
      </w:r>
      <w:r w:rsidR="007F3A34">
        <w:rPr>
          <w:sz w:val="24"/>
          <w:szCs w:val="24"/>
        </w:rPr>
        <w:t xml:space="preserve"> </w:t>
      </w:r>
      <w:r w:rsidRPr="00772FE4">
        <w:rPr>
          <w:sz w:val="24"/>
          <w:szCs w:val="24"/>
        </w:rPr>
        <w:t xml:space="preserve">Because new </w:t>
      </w:r>
      <w:r w:rsidR="00FA259D">
        <w:rPr>
          <w:sz w:val="24"/>
          <w:szCs w:val="24"/>
        </w:rPr>
        <w:t>worker</w:t>
      </w:r>
      <w:r w:rsidRPr="00772FE4">
        <w:rPr>
          <w:sz w:val="24"/>
          <w:szCs w:val="24"/>
        </w:rPr>
        <w:t xml:space="preserve">s receive four biological monitoring per year, OSHA calculated the annual costs associated with this requirement separately for new and existing </w:t>
      </w:r>
      <w:r w:rsidR="00FA259D">
        <w:rPr>
          <w:sz w:val="24"/>
          <w:szCs w:val="24"/>
        </w:rPr>
        <w:t>worker</w:t>
      </w:r>
      <w:r w:rsidRPr="00772FE4">
        <w:rPr>
          <w:sz w:val="24"/>
          <w:szCs w:val="24"/>
        </w:rPr>
        <w:t>s.</w:t>
      </w:r>
    </w:p>
    <w:p w:rsidR="00553E3D" w:rsidRPr="00772FE4" w14:paraId="3B0A1215" w14:textId="77777777">
      <w:pPr>
        <w:shd w:val="solid" w:color="FFFFFF" w:fill="FFFFFF"/>
        <w:rPr>
          <w:sz w:val="24"/>
          <w:szCs w:val="24"/>
        </w:rPr>
      </w:pPr>
    </w:p>
    <w:p w:rsidR="00553E3D" w:rsidRPr="00772FE4" w14:paraId="0C64734B" w14:textId="70C4556F">
      <w:pPr>
        <w:shd w:val="solid" w:color="FFFFFF" w:fill="FFFFFF"/>
        <w:rPr>
          <w:sz w:val="24"/>
          <w:szCs w:val="24"/>
        </w:rPr>
      </w:pPr>
      <w:r w:rsidRPr="00772FE4">
        <w:rPr>
          <w:sz w:val="24"/>
          <w:szCs w:val="24"/>
        </w:rPr>
        <w:t xml:space="preserve">An estimated </w:t>
      </w:r>
      <w:r w:rsidR="00FF0F29">
        <w:rPr>
          <w:sz w:val="24"/>
          <w:szCs w:val="24"/>
        </w:rPr>
        <w:t>16</w:t>
      </w:r>
      <w:r w:rsidR="00B16733">
        <w:rPr>
          <w:sz w:val="24"/>
          <w:szCs w:val="24"/>
        </w:rPr>
        <w:t>,051</w:t>
      </w:r>
      <w:r w:rsidRPr="00772FE4">
        <w:rPr>
          <w:sz w:val="24"/>
          <w:szCs w:val="24"/>
        </w:rPr>
        <w:t xml:space="preserve"> new hires (</w:t>
      </w:r>
      <w:r w:rsidR="00541EC4">
        <w:rPr>
          <w:sz w:val="24"/>
          <w:szCs w:val="24"/>
        </w:rPr>
        <w:t>39.0</w:t>
      </w:r>
      <w:r w:rsidRPr="00772FE4">
        <w:rPr>
          <w:sz w:val="24"/>
          <w:szCs w:val="24"/>
        </w:rPr>
        <w:t xml:space="preserve"> percent of </w:t>
      </w:r>
      <w:r w:rsidR="008C2311">
        <w:rPr>
          <w:sz w:val="24"/>
          <w:szCs w:val="24"/>
        </w:rPr>
        <w:t xml:space="preserve">41,157 </w:t>
      </w:r>
      <w:r w:rsidRPr="00772FE4" w:rsidR="008C2311">
        <w:rPr>
          <w:sz w:val="24"/>
          <w:szCs w:val="24"/>
        </w:rPr>
        <w:t>workers</w:t>
      </w:r>
      <w:r w:rsidRPr="00772FE4">
        <w:rPr>
          <w:sz w:val="24"/>
          <w:szCs w:val="24"/>
        </w:rPr>
        <w:t xml:space="preserve">) receive </w:t>
      </w:r>
      <w:r w:rsidR="005B6E57">
        <w:rPr>
          <w:sz w:val="24"/>
          <w:szCs w:val="24"/>
        </w:rPr>
        <w:t>five</w:t>
      </w:r>
      <w:r w:rsidRPr="00772FE4" w:rsidR="00A16941">
        <w:rPr>
          <w:sz w:val="24"/>
          <w:szCs w:val="24"/>
        </w:rPr>
        <w:t xml:space="preserve"> </w:t>
      </w:r>
      <w:r w:rsidRPr="00772FE4">
        <w:rPr>
          <w:sz w:val="24"/>
          <w:szCs w:val="24"/>
        </w:rPr>
        <w:t xml:space="preserve">biological monitoring tests per year (for a total of </w:t>
      </w:r>
      <w:r w:rsidR="005B6E57">
        <w:rPr>
          <w:sz w:val="24"/>
          <w:szCs w:val="24"/>
        </w:rPr>
        <w:t>80,255</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 least one day per year. </w:t>
      </w:r>
      <w:r w:rsidR="007F3A34">
        <w:rPr>
          <w:sz w:val="24"/>
          <w:szCs w:val="24"/>
        </w:rPr>
        <w:t xml:space="preserve"> </w:t>
      </w:r>
      <w:r w:rsidRPr="00772FE4">
        <w:rPr>
          <w:sz w:val="24"/>
          <w:szCs w:val="24"/>
        </w:rPr>
        <w:t>One session of biological monitoring for blood-lead and zinc protoporphyrin levels costs $</w:t>
      </w:r>
      <w:r w:rsidR="007576B9">
        <w:rPr>
          <w:sz w:val="24"/>
          <w:szCs w:val="24"/>
        </w:rPr>
        <w:t>84.50</w:t>
      </w:r>
      <w:r w:rsidRPr="00772FE4">
        <w:rPr>
          <w:sz w:val="24"/>
          <w:szCs w:val="24"/>
        </w:rPr>
        <w:t xml:space="preserve">. </w:t>
      </w:r>
      <w:r w:rsidR="007F3A34">
        <w:rPr>
          <w:sz w:val="24"/>
          <w:szCs w:val="24"/>
        </w:rPr>
        <w:t xml:space="preserve"> </w:t>
      </w:r>
      <w:r w:rsidRPr="00772FE4">
        <w:rPr>
          <w:sz w:val="24"/>
          <w:szCs w:val="24"/>
        </w:rPr>
        <w:t>The following formula calculates the annual cost of this requirement:</w:t>
      </w:r>
    </w:p>
    <w:p w:rsidR="00553E3D" w:rsidRPr="00772FE4" w14:paraId="04A7B88D" w14:textId="77777777">
      <w:pPr>
        <w:shd w:val="solid" w:color="FFFFFF" w:fill="FFFFFF"/>
        <w:rPr>
          <w:sz w:val="24"/>
          <w:szCs w:val="24"/>
        </w:rPr>
      </w:pPr>
    </w:p>
    <w:p w:rsidR="00553E3D" w:rsidRPr="00772FE4" w14:paraId="315FA475" w14:textId="40D5180B">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8C2311">
        <w:rPr>
          <w:sz w:val="24"/>
          <w:szCs w:val="24"/>
        </w:rPr>
        <w:t>80,255</w:t>
      </w:r>
      <w:r w:rsidRPr="00772FE4" w:rsidR="008C2311">
        <w:rPr>
          <w:sz w:val="24"/>
          <w:szCs w:val="24"/>
        </w:rPr>
        <w:t xml:space="preserve"> tests</w:t>
      </w:r>
      <w:r w:rsidRPr="00772FE4">
        <w:rPr>
          <w:sz w:val="24"/>
          <w:szCs w:val="24"/>
        </w:rPr>
        <w:t xml:space="preserve"> × $</w:t>
      </w:r>
      <w:r w:rsidR="007576B9">
        <w:rPr>
          <w:sz w:val="24"/>
          <w:szCs w:val="24"/>
        </w:rPr>
        <w:t>84.50</w:t>
      </w:r>
      <w:r w:rsidRPr="00772FE4">
        <w:rPr>
          <w:sz w:val="24"/>
          <w:szCs w:val="24"/>
        </w:rPr>
        <w:t xml:space="preserve"> per test = $</w:t>
      </w:r>
      <w:r w:rsidR="00573F68">
        <w:rPr>
          <w:sz w:val="24"/>
          <w:szCs w:val="24"/>
        </w:rPr>
        <w:t>6,</w:t>
      </w:r>
      <w:r w:rsidR="007C0472">
        <w:rPr>
          <w:sz w:val="24"/>
          <w:szCs w:val="24"/>
        </w:rPr>
        <w:t>781,548</w:t>
      </w:r>
    </w:p>
    <w:p w:rsidR="00553E3D" w14:paraId="3D34EEED" w14:textId="77777777">
      <w:pPr>
        <w:shd w:val="solid" w:color="FFFFFF" w:fill="FFFFFF"/>
        <w:rPr>
          <w:sz w:val="22"/>
          <w:szCs w:val="22"/>
        </w:rPr>
      </w:pPr>
    </w:p>
    <w:p w:rsidR="00553E3D" w:rsidRPr="00772FE4" w14:paraId="32BECC72" w14:textId="7EB32044">
      <w:pPr>
        <w:shd w:val="solid" w:color="FFFFFF" w:fill="FFFFFF"/>
        <w:rPr>
          <w:sz w:val="24"/>
          <w:szCs w:val="24"/>
        </w:rPr>
      </w:pPr>
      <w:r w:rsidRPr="00772FE4">
        <w:rPr>
          <w:sz w:val="24"/>
          <w:szCs w:val="24"/>
        </w:rPr>
        <w:t xml:space="preserve">OSHA assumes that </w:t>
      </w:r>
      <w:r w:rsidR="000F08A4">
        <w:rPr>
          <w:sz w:val="24"/>
          <w:szCs w:val="24"/>
        </w:rPr>
        <w:t>25</w:t>
      </w:r>
      <w:r w:rsidR="004B515A">
        <w:rPr>
          <w:sz w:val="24"/>
          <w:szCs w:val="24"/>
        </w:rPr>
        <w:t>,106</w:t>
      </w:r>
      <w:r w:rsidRPr="00772FE4">
        <w:rPr>
          <w:sz w:val="24"/>
          <w:szCs w:val="24"/>
        </w:rPr>
        <w:t xml:space="preserve"> </w:t>
      </w:r>
      <w:r w:rsidR="00FA259D">
        <w:rPr>
          <w:sz w:val="24"/>
          <w:szCs w:val="24"/>
        </w:rPr>
        <w:t>worker</w:t>
      </w:r>
      <w:r w:rsidRPr="00772FE4">
        <w:rPr>
          <w:sz w:val="24"/>
          <w:szCs w:val="24"/>
        </w:rPr>
        <w:t xml:space="preserve">s, or </w:t>
      </w:r>
      <w:r w:rsidR="009E3F8D">
        <w:rPr>
          <w:sz w:val="24"/>
          <w:szCs w:val="24"/>
        </w:rPr>
        <w:t>61.</w:t>
      </w:r>
      <w:r w:rsidR="000F08A4">
        <w:rPr>
          <w:sz w:val="24"/>
          <w:szCs w:val="24"/>
        </w:rPr>
        <w:t>0</w:t>
      </w:r>
      <w:r w:rsidRPr="00772FE4">
        <w:rPr>
          <w:sz w:val="24"/>
          <w:szCs w:val="24"/>
        </w:rPr>
        <w:t xml:space="preserve"> percent of the </w:t>
      </w:r>
      <w:r w:rsidR="00A779AF">
        <w:rPr>
          <w:sz w:val="24"/>
          <w:szCs w:val="24"/>
        </w:rPr>
        <w:t>41,157</w:t>
      </w:r>
      <w:r w:rsidRPr="00772FE4">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4B515A">
        <w:rPr>
          <w:sz w:val="24"/>
          <w:szCs w:val="24"/>
        </w:rPr>
        <w:t>39.0</w:t>
      </w:r>
      <w:r w:rsidR="00E231BF">
        <w:rPr>
          <w:sz w:val="24"/>
          <w:szCs w:val="24"/>
        </w:rPr>
        <w:t xml:space="preserve"> </w:t>
      </w:r>
      <w:r w:rsidRPr="00772FE4">
        <w:rPr>
          <w:sz w:val="24"/>
          <w:szCs w:val="24"/>
        </w:rPr>
        <w:t xml:space="preserve">percent. </w:t>
      </w:r>
      <w:r w:rsidR="007F3A34">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2C762F">
        <w:rPr>
          <w:sz w:val="24"/>
          <w:szCs w:val="24"/>
        </w:rPr>
        <w:t>50</w:t>
      </w:r>
      <w:r w:rsidR="000011AF">
        <w:rPr>
          <w:sz w:val="24"/>
          <w:szCs w:val="24"/>
        </w:rPr>
        <w:t>,212</w:t>
      </w:r>
      <w:r w:rsidRPr="00772FE4">
        <w:rPr>
          <w:sz w:val="24"/>
          <w:szCs w:val="24"/>
        </w:rPr>
        <w:t xml:space="preserve"> tests per year. </w:t>
      </w:r>
      <w:r w:rsidR="007F3A34">
        <w:rPr>
          <w:sz w:val="24"/>
          <w:szCs w:val="24"/>
        </w:rPr>
        <w:t xml:space="preserve"> </w:t>
      </w:r>
      <w:r w:rsidRPr="00772FE4">
        <w:rPr>
          <w:sz w:val="24"/>
          <w:szCs w:val="24"/>
        </w:rPr>
        <w:t xml:space="preserve">An additional </w:t>
      </w:r>
      <w:r w:rsidR="008E1047">
        <w:rPr>
          <w:sz w:val="24"/>
          <w:szCs w:val="24"/>
        </w:rPr>
        <w:t>8,026</w:t>
      </w:r>
      <w:r w:rsidRPr="00772FE4">
        <w:rPr>
          <w:sz w:val="24"/>
          <w:szCs w:val="24"/>
        </w:rPr>
        <w:t xml:space="preserve"> part-year </w:t>
      </w:r>
      <w:r w:rsidR="00FA259D">
        <w:rPr>
          <w:sz w:val="24"/>
          <w:szCs w:val="24"/>
        </w:rPr>
        <w:t>worker</w:t>
      </w:r>
      <w:r w:rsidRPr="00772FE4">
        <w:rPr>
          <w:sz w:val="24"/>
          <w:szCs w:val="24"/>
        </w:rPr>
        <w:t>s (</w:t>
      </w:r>
      <w:r w:rsidR="0071679D">
        <w:rPr>
          <w:sz w:val="24"/>
          <w:szCs w:val="24"/>
        </w:rPr>
        <w:t>19.5</w:t>
      </w:r>
      <w:r w:rsidRPr="00772FE4">
        <w:rPr>
          <w:sz w:val="24"/>
          <w:szCs w:val="24"/>
        </w:rPr>
        <w:t xml:space="preserve"> percent or ½ of the </w:t>
      </w:r>
      <w:r w:rsidR="000011AF">
        <w:rPr>
          <w:sz w:val="24"/>
          <w:szCs w:val="24"/>
        </w:rPr>
        <w:t>39.0</w:t>
      </w:r>
      <w:r w:rsidRPr="00772FE4">
        <w:rPr>
          <w:sz w:val="24"/>
          <w:szCs w:val="24"/>
        </w:rPr>
        <w:t xml:space="preserve"> percent annual turnover rate) receive at least one of the two biological monitoring tests, since departing </w:t>
      </w:r>
      <w:r w:rsidR="00FA259D">
        <w:rPr>
          <w:sz w:val="24"/>
          <w:szCs w:val="24"/>
        </w:rPr>
        <w:t>worker</w:t>
      </w:r>
      <w:r w:rsidRPr="00772FE4">
        <w:rPr>
          <w:sz w:val="24"/>
          <w:szCs w:val="24"/>
        </w:rPr>
        <w:t xml:space="preserve">s leave at an even rate throughout the year. </w:t>
      </w:r>
      <w:r w:rsidR="007F3A34">
        <w:rPr>
          <w:sz w:val="24"/>
          <w:szCs w:val="24"/>
        </w:rPr>
        <w:t xml:space="preserve"> </w:t>
      </w:r>
      <w:r w:rsidRPr="00772FE4">
        <w:rPr>
          <w:sz w:val="24"/>
          <w:szCs w:val="24"/>
        </w:rPr>
        <w:t xml:space="preserve">Thus, </w:t>
      </w:r>
      <w:r w:rsidR="00E14A7F">
        <w:rPr>
          <w:sz w:val="24"/>
          <w:szCs w:val="24"/>
        </w:rPr>
        <w:t>8,026</w:t>
      </w:r>
      <w:r w:rsidRPr="00772FE4">
        <w:rPr>
          <w:sz w:val="24"/>
          <w:szCs w:val="24"/>
        </w:rPr>
        <w:t xml:space="preserve"> tests are given to part year </w:t>
      </w:r>
      <w:r w:rsidR="00FA259D">
        <w:rPr>
          <w:sz w:val="24"/>
          <w:szCs w:val="24"/>
        </w:rPr>
        <w:t>worker</w:t>
      </w:r>
      <w:r w:rsidRPr="00772FE4">
        <w:rPr>
          <w:sz w:val="24"/>
          <w:szCs w:val="24"/>
        </w:rPr>
        <w:t xml:space="preserve">s. </w:t>
      </w:r>
    </w:p>
    <w:p w:rsidR="00553E3D" w:rsidRPr="00772FE4" w14:paraId="5CB5FCCA" w14:textId="77777777">
      <w:pPr>
        <w:shd w:val="solid" w:color="FFFFFF" w:fill="FFFFFF"/>
        <w:rPr>
          <w:sz w:val="24"/>
          <w:szCs w:val="24"/>
        </w:rPr>
      </w:pPr>
    </w:p>
    <w:p w:rsidR="00553E3D" w:rsidRPr="00772FE4" w14:paraId="4CAFC73F" w14:textId="6E485620">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t>(</w:t>
      </w:r>
      <w:r w:rsidR="00C110E0">
        <w:rPr>
          <w:sz w:val="24"/>
          <w:szCs w:val="24"/>
        </w:rPr>
        <w:t>50,212</w:t>
      </w:r>
      <w:r w:rsidRPr="00772FE4">
        <w:rPr>
          <w:sz w:val="24"/>
          <w:szCs w:val="24"/>
        </w:rPr>
        <w:t xml:space="preserve"> tests) × ($</w:t>
      </w:r>
      <w:r w:rsidR="00C110E0">
        <w:rPr>
          <w:sz w:val="24"/>
          <w:szCs w:val="24"/>
        </w:rPr>
        <w:t>84.50</w:t>
      </w:r>
      <w:r w:rsidRPr="00772FE4">
        <w:rPr>
          <w:sz w:val="24"/>
          <w:szCs w:val="24"/>
        </w:rPr>
        <w:t xml:space="preserve"> per test) = $</w:t>
      </w:r>
      <w:r w:rsidR="008A3037">
        <w:rPr>
          <w:sz w:val="24"/>
          <w:szCs w:val="24"/>
        </w:rPr>
        <w:t>4,242</w:t>
      </w:r>
      <w:r w:rsidR="0084035D">
        <w:rPr>
          <w:sz w:val="24"/>
          <w:szCs w:val="24"/>
        </w:rPr>
        <w:t>,</w:t>
      </w:r>
      <w:r w:rsidR="008A3037">
        <w:rPr>
          <w:sz w:val="24"/>
          <w:szCs w:val="24"/>
        </w:rPr>
        <w:t>914</w:t>
      </w:r>
    </w:p>
    <w:p w:rsidR="00553E3D" w:rsidRPr="00772FE4" w14:paraId="0E7B8B04" w14:textId="372B4FC3">
      <w:pPr>
        <w:shd w:val="solid" w:color="FFFFFF" w:fill="FFFFFF"/>
        <w:ind w:left="1440" w:firstLine="720"/>
        <w:rPr>
          <w:sz w:val="24"/>
          <w:szCs w:val="24"/>
        </w:rPr>
      </w:pPr>
      <w:r w:rsidRPr="00772FE4">
        <w:rPr>
          <w:sz w:val="24"/>
          <w:szCs w:val="24"/>
        </w:rPr>
        <w:t>(</w:t>
      </w:r>
      <w:r w:rsidR="00C110E0">
        <w:rPr>
          <w:sz w:val="24"/>
          <w:szCs w:val="24"/>
        </w:rPr>
        <w:t>8,026</w:t>
      </w:r>
      <w:r w:rsidRPr="00772FE4">
        <w:rPr>
          <w:sz w:val="24"/>
          <w:szCs w:val="24"/>
        </w:rPr>
        <w:t xml:space="preserve"> tests) × ($</w:t>
      </w:r>
      <w:r w:rsidR="00C110E0">
        <w:rPr>
          <w:sz w:val="24"/>
          <w:szCs w:val="24"/>
        </w:rPr>
        <w:t>84.50</w:t>
      </w:r>
      <w:r w:rsidRPr="00772FE4">
        <w:rPr>
          <w:sz w:val="24"/>
          <w:szCs w:val="24"/>
        </w:rPr>
        <w:t xml:space="preserve"> per test) = $</w:t>
      </w:r>
      <w:r w:rsidR="0084035D">
        <w:rPr>
          <w:sz w:val="24"/>
          <w:szCs w:val="24"/>
        </w:rPr>
        <w:t>678,197</w:t>
      </w:r>
    </w:p>
    <w:p w:rsidR="0084035D" w14:paraId="4E4386A3" w14:textId="77777777">
      <w:pPr>
        <w:shd w:val="solid" w:color="FFFFFF" w:fill="FFFFFF"/>
        <w:ind w:left="1440" w:firstLine="720"/>
        <w:rPr>
          <w:sz w:val="24"/>
          <w:szCs w:val="24"/>
        </w:rPr>
      </w:pPr>
    </w:p>
    <w:p w:rsidR="00553E3D" w:rsidRPr="00106167" w:rsidP="00B63DB7" w14:paraId="3490C4BD" w14:textId="2E82818D">
      <w:pPr>
        <w:shd w:val="solid" w:color="FFFFFF" w:fill="FFFFFF"/>
        <w:ind w:firstLine="720"/>
        <w:rPr>
          <w:b/>
          <w:bCs/>
          <w:sz w:val="24"/>
          <w:szCs w:val="24"/>
        </w:rPr>
      </w:pPr>
      <w:r w:rsidRPr="00B63DB7">
        <w:rPr>
          <w:b/>
          <w:bCs/>
          <w:sz w:val="24"/>
          <w:szCs w:val="24"/>
        </w:rPr>
        <w:t>Total Cost</w:t>
      </w:r>
      <w:r>
        <w:rPr>
          <w:sz w:val="24"/>
          <w:szCs w:val="24"/>
        </w:rPr>
        <w:t xml:space="preserve">: </w:t>
      </w:r>
      <w:r w:rsidR="0017687E">
        <w:rPr>
          <w:sz w:val="24"/>
          <w:szCs w:val="24"/>
        </w:rPr>
        <w:tab/>
      </w:r>
      <w:r w:rsidRPr="00772FE4">
        <w:rPr>
          <w:sz w:val="24"/>
          <w:szCs w:val="24"/>
        </w:rPr>
        <w:t>$</w:t>
      </w:r>
      <w:r w:rsidR="0084035D">
        <w:rPr>
          <w:sz w:val="24"/>
          <w:szCs w:val="24"/>
        </w:rPr>
        <w:t>4,242,914</w:t>
      </w:r>
      <w:r>
        <w:rPr>
          <w:sz w:val="24"/>
          <w:szCs w:val="24"/>
        </w:rPr>
        <w:t xml:space="preserve"> </w:t>
      </w:r>
      <w:r w:rsidRPr="00772FE4">
        <w:rPr>
          <w:sz w:val="24"/>
          <w:szCs w:val="24"/>
        </w:rPr>
        <w:t>+ $</w:t>
      </w:r>
      <w:r>
        <w:rPr>
          <w:sz w:val="24"/>
          <w:szCs w:val="24"/>
        </w:rPr>
        <w:t>678,197</w:t>
      </w:r>
      <w:r w:rsidRPr="00772FE4">
        <w:rPr>
          <w:sz w:val="24"/>
          <w:szCs w:val="24"/>
        </w:rPr>
        <w:t xml:space="preserve"> = </w:t>
      </w:r>
      <w:r w:rsidRPr="00106167">
        <w:rPr>
          <w:b/>
          <w:bCs/>
          <w:sz w:val="24"/>
          <w:szCs w:val="24"/>
        </w:rPr>
        <w:t>$</w:t>
      </w:r>
      <w:r w:rsidR="0017687E">
        <w:rPr>
          <w:b/>
          <w:bCs/>
          <w:sz w:val="24"/>
          <w:szCs w:val="24"/>
        </w:rPr>
        <w:t>4</w:t>
      </w:r>
      <w:r w:rsidR="005C351D">
        <w:rPr>
          <w:b/>
          <w:bCs/>
          <w:sz w:val="24"/>
          <w:szCs w:val="24"/>
        </w:rPr>
        <w:t>,921,111</w:t>
      </w:r>
    </w:p>
    <w:p w:rsidR="00553E3D" w:rsidRPr="00772FE4" w14:paraId="30D8478D" w14:textId="77777777">
      <w:pPr>
        <w:shd w:val="solid" w:color="FFFFFF" w:fill="FFFFFF"/>
        <w:rPr>
          <w:sz w:val="24"/>
          <w:szCs w:val="24"/>
        </w:rPr>
      </w:pPr>
    </w:p>
    <w:p w:rsidR="00553E3D" w:rsidRPr="00772FE4" w14:paraId="743DAB3C" w14:textId="4A0A96A9">
      <w:pPr>
        <w:shd w:val="solid" w:color="FFFFFF" w:fill="FFFFFF"/>
        <w:rPr>
          <w:sz w:val="24"/>
          <w:szCs w:val="24"/>
        </w:rPr>
      </w:pPr>
      <w:r w:rsidRPr="00772FE4">
        <w:rPr>
          <w:sz w:val="24"/>
          <w:szCs w:val="24"/>
        </w:rPr>
        <w:t xml:space="preserve">Thus, the total annual cost of providing periodic medical surveillance to full-year and part-year </w:t>
      </w:r>
      <w:r w:rsidR="00FA259D">
        <w:rPr>
          <w:sz w:val="24"/>
          <w:szCs w:val="24"/>
        </w:rPr>
        <w:t>worker</w:t>
      </w:r>
      <w:r w:rsidRPr="00772FE4">
        <w:rPr>
          <w:sz w:val="24"/>
          <w:szCs w:val="24"/>
        </w:rPr>
        <w:t xml:space="preserve">s is </w:t>
      </w:r>
      <w:r w:rsidRPr="00772FE4">
        <w:rPr>
          <w:b/>
          <w:bCs/>
          <w:sz w:val="24"/>
          <w:szCs w:val="24"/>
        </w:rPr>
        <w:t>$</w:t>
      </w:r>
      <w:r w:rsidR="00742BF9">
        <w:rPr>
          <w:b/>
          <w:bCs/>
          <w:sz w:val="24"/>
          <w:szCs w:val="24"/>
        </w:rPr>
        <w:t>11,702,659</w:t>
      </w:r>
      <w:r w:rsidRPr="00772FE4">
        <w:rPr>
          <w:sz w:val="24"/>
          <w:szCs w:val="24"/>
        </w:rPr>
        <w:t xml:space="preserve"> ($</w:t>
      </w:r>
      <w:r w:rsidR="00BC23EE">
        <w:rPr>
          <w:sz w:val="24"/>
          <w:szCs w:val="24"/>
        </w:rPr>
        <w:t>6,781,548</w:t>
      </w:r>
      <w:r w:rsidR="00336174">
        <w:rPr>
          <w:sz w:val="24"/>
          <w:szCs w:val="24"/>
        </w:rPr>
        <w:t xml:space="preserve"> </w:t>
      </w:r>
      <w:r w:rsidRPr="00772FE4">
        <w:rPr>
          <w:sz w:val="24"/>
          <w:szCs w:val="24"/>
        </w:rPr>
        <w:t>+ $</w:t>
      </w:r>
      <w:r w:rsidRPr="00B63DB7" w:rsidR="00570583">
        <w:rPr>
          <w:sz w:val="24"/>
          <w:szCs w:val="24"/>
        </w:rPr>
        <w:t>4,921,111</w:t>
      </w:r>
      <w:r w:rsidRPr="00772FE4">
        <w:rPr>
          <w:sz w:val="24"/>
          <w:szCs w:val="24"/>
        </w:rPr>
        <w:t>).</w:t>
      </w:r>
    </w:p>
    <w:p w:rsidR="00553E3D" w:rsidRPr="00772FE4" w14:paraId="7CDF13C8" w14:textId="77777777">
      <w:pPr>
        <w:shd w:val="solid" w:color="FFFFFF" w:fill="FFFFFF"/>
        <w:rPr>
          <w:sz w:val="24"/>
          <w:szCs w:val="24"/>
        </w:rPr>
      </w:pPr>
    </w:p>
    <w:p w:rsidR="00553E3D" w:rsidRPr="00B63DB7" w:rsidP="00B63DB7" w14:paraId="1506CA95" w14:textId="06099A79">
      <w:pPr>
        <w:pStyle w:val="ListParagraph"/>
        <w:numPr>
          <w:ilvl w:val="0"/>
          <w:numId w:val="7"/>
        </w:numPr>
        <w:shd w:val="solid" w:color="FFFFFF" w:fill="FFFFFF"/>
        <w:rPr>
          <w:sz w:val="24"/>
          <w:szCs w:val="24"/>
        </w:rPr>
      </w:pPr>
      <w:r w:rsidRPr="00B63DB7">
        <w:rPr>
          <w:b/>
          <w:bCs/>
          <w:sz w:val="24"/>
          <w:szCs w:val="24"/>
        </w:rPr>
        <w:t>Additional Medical Surveillance Based on Blood-Lead Levels</w:t>
      </w:r>
    </w:p>
    <w:p w:rsidR="00553E3D" w:rsidRPr="00772FE4" w14:paraId="40967166" w14:textId="77777777">
      <w:pPr>
        <w:shd w:val="solid" w:color="FFFFFF" w:fill="FFFFFF"/>
        <w:rPr>
          <w:sz w:val="24"/>
          <w:szCs w:val="24"/>
        </w:rPr>
      </w:pPr>
    </w:p>
    <w:p w:rsidR="00553E3D" w:rsidRPr="00772FE4" w14:paraId="66892387" w14:textId="7EE862A5">
      <w:pPr>
        <w:shd w:val="solid" w:color="FFFFFF" w:fill="FFFFFF"/>
        <w:rPr>
          <w:sz w:val="24"/>
          <w:szCs w:val="24"/>
        </w:rPr>
      </w:pPr>
      <w:r w:rsidRPr="00772FE4">
        <w:rPr>
          <w:sz w:val="24"/>
          <w:szCs w:val="24"/>
        </w:rPr>
        <w:t xml:space="preserve">As described above, OSHA concludes that if employers fully comply with the Standard, construction workers will not have blood-lead levels greater than 25µg/dl. </w:t>
      </w:r>
      <w:r w:rsidR="007F3A34">
        <w:rPr>
          <w:sz w:val="24"/>
          <w:szCs w:val="24"/>
        </w:rPr>
        <w:t xml:space="preserve"> </w:t>
      </w:r>
      <w:r w:rsidRPr="00772FE4">
        <w:rPr>
          <w:sz w:val="24"/>
          <w:szCs w:val="24"/>
        </w:rPr>
        <w:t xml:space="preserve">Therefore, OSHA assumes that there are: no incidences of biological monitoring triggered by worker blood-lead levels </w:t>
      </w:r>
      <w:r w:rsidRPr="00772FE4" w:rsidR="008464F3">
        <w:rPr>
          <w:sz w:val="24"/>
          <w:szCs w:val="24"/>
        </w:rPr>
        <w:t>more than</w:t>
      </w:r>
      <w:r w:rsidRPr="00772FE4">
        <w:rPr>
          <w:sz w:val="24"/>
          <w:szCs w:val="24"/>
        </w:rPr>
        <w:t xml:space="preserve"> 40µg/dl; no follow-up tests on workers triggered by a single blood-lead tests result in excess of 50µg/dl; and no additional testing for persons on medical removal due to a blood-lead level in excess of 50µg/dl. </w:t>
      </w:r>
      <w:r w:rsidR="007F3A34">
        <w:rPr>
          <w:sz w:val="24"/>
          <w:szCs w:val="24"/>
        </w:rPr>
        <w:t xml:space="preserve"> </w:t>
      </w:r>
      <w:r w:rsidRPr="00772FE4">
        <w:rPr>
          <w:sz w:val="24"/>
          <w:szCs w:val="24"/>
        </w:rPr>
        <w:t>Therefore, there are no costs for testing associated with this requirement.</w:t>
      </w:r>
    </w:p>
    <w:p w:rsidR="00553E3D" w:rsidRPr="00772FE4" w14:paraId="3624EB34" w14:textId="77777777">
      <w:pPr>
        <w:shd w:val="solid" w:color="FFFFFF" w:fill="FFFFFF"/>
        <w:rPr>
          <w:sz w:val="24"/>
          <w:szCs w:val="24"/>
        </w:rPr>
      </w:pPr>
    </w:p>
    <w:p w:rsidR="00553E3D" w:rsidRPr="00B63DB7" w:rsidP="00B63DB7" w14:paraId="415FF8B7" w14:textId="1F740295">
      <w:pPr>
        <w:pStyle w:val="ListParagraph"/>
        <w:numPr>
          <w:ilvl w:val="0"/>
          <w:numId w:val="7"/>
        </w:numPr>
        <w:shd w:val="solid" w:color="FFFFFF" w:fill="FFFFFF"/>
        <w:rPr>
          <w:sz w:val="24"/>
          <w:szCs w:val="24"/>
        </w:rPr>
      </w:pPr>
      <w:r w:rsidRPr="00B63DB7">
        <w:rPr>
          <w:b/>
          <w:bCs/>
          <w:sz w:val="24"/>
          <w:szCs w:val="24"/>
        </w:rPr>
        <w:t>Medical Examinations and Consultations</w:t>
      </w:r>
    </w:p>
    <w:p w:rsidR="00553E3D" w:rsidRPr="00772FE4" w14:paraId="19D5619E" w14:textId="77777777">
      <w:pPr>
        <w:shd w:val="solid" w:color="FFFFFF" w:fill="FFFFFF"/>
        <w:rPr>
          <w:sz w:val="24"/>
          <w:szCs w:val="24"/>
        </w:rPr>
      </w:pPr>
    </w:p>
    <w:p w:rsidR="00553E3D" w:rsidRPr="00772FE4" w14:paraId="2A0EBBC6" w14:textId="745990D9">
      <w:pPr>
        <w:shd w:val="solid" w:color="FFFFFF" w:fill="FFFFFF"/>
        <w:rPr>
          <w:sz w:val="24"/>
          <w:szCs w:val="24"/>
        </w:rPr>
      </w:pPr>
      <w:r w:rsidRPr="00772FE4">
        <w:rPr>
          <w:sz w:val="24"/>
          <w:szCs w:val="24"/>
        </w:rPr>
        <w:t xml:space="preserve">As discussed under the response to Item 12, OSHA assumes that no more than five percent, or </w:t>
      </w:r>
      <w:r w:rsidR="00161AE9">
        <w:rPr>
          <w:sz w:val="24"/>
          <w:szCs w:val="24"/>
        </w:rPr>
        <w:t>7,921</w:t>
      </w:r>
      <w:r w:rsidRPr="00772FE4">
        <w:rPr>
          <w:sz w:val="24"/>
          <w:szCs w:val="24"/>
        </w:rPr>
        <w:t xml:space="preserve"> of the </w:t>
      </w:r>
      <w:r w:rsidR="003A1AC2">
        <w:rPr>
          <w:sz w:val="24"/>
          <w:szCs w:val="24"/>
        </w:rPr>
        <w:t>158,422</w:t>
      </w:r>
      <w:r w:rsidRPr="00772FE4">
        <w:rPr>
          <w:sz w:val="24"/>
          <w:szCs w:val="24"/>
        </w:rPr>
        <w:t xml:space="preserve">,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any one day (and thus eligible for biological monitoring due to significant airborne lead exposure) are given a medical examination or consultation. </w:t>
      </w:r>
      <w:r w:rsidR="007F3A34">
        <w:rPr>
          <w:sz w:val="24"/>
          <w:szCs w:val="24"/>
        </w:rPr>
        <w:t xml:space="preserve"> </w:t>
      </w:r>
      <w:r w:rsidRPr="00772FE4">
        <w:rPr>
          <w:sz w:val="24"/>
          <w:szCs w:val="24"/>
        </w:rPr>
        <w:t>Medi</w:t>
      </w:r>
      <w:r w:rsidR="00E01EBA">
        <w:rPr>
          <w:sz w:val="24"/>
          <w:szCs w:val="24"/>
        </w:rPr>
        <w:t>c</w:t>
      </w:r>
      <w:r w:rsidRPr="00772FE4">
        <w:rPr>
          <w:sz w:val="24"/>
          <w:szCs w:val="24"/>
        </w:rPr>
        <w:t>al examinations are estimated to cost $</w:t>
      </w:r>
      <w:r w:rsidR="00FB6555">
        <w:rPr>
          <w:sz w:val="24"/>
          <w:szCs w:val="24"/>
        </w:rPr>
        <w:t xml:space="preserve">308 </w:t>
      </w:r>
      <w:r w:rsidRPr="00772FE4">
        <w:rPr>
          <w:sz w:val="24"/>
          <w:szCs w:val="24"/>
        </w:rPr>
        <w:t xml:space="preserve">per examination. </w:t>
      </w:r>
      <w:r w:rsidR="007F3A34">
        <w:rPr>
          <w:sz w:val="24"/>
          <w:szCs w:val="24"/>
        </w:rPr>
        <w:t xml:space="preserve"> </w:t>
      </w:r>
      <w:r w:rsidRPr="00772FE4">
        <w:rPr>
          <w:sz w:val="24"/>
          <w:szCs w:val="24"/>
        </w:rPr>
        <w:t xml:space="preserve">This estimate covers all of the specialized testing needed including additional blood testing. </w:t>
      </w:r>
      <w:r w:rsidR="007F3A34">
        <w:rPr>
          <w:sz w:val="24"/>
          <w:szCs w:val="24"/>
        </w:rPr>
        <w:t xml:space="preserve"> </w:t>
      </w:r>
      <w:r w:rsidRPr="00772FE4">
        <w:rPr>
          <w:sz w:val="24"/>
          <w:szCs w:val="24"/>
        </w:rPr>
        <w:t>The following formula calculates the cost of this requirement:</w:t>
      </w:r>
    </w:p>
    <w:p w:rsidR="00553E3D" w:rsidRPr="00772FE4" w14:paraId="12465873" w14:textId="77777777">
      <w:pPr>
        <w:shd w:val="solid" w:color="FFFFFF" w:fill="FFFFFF"/>
        <w:rPr>
          <w:sz w:val="24"/>
          <w:szCs w:val="24"/>
        </w:rPr>
      </w:pPr>
    </w:p>
    <w:p w:rsidR="007C7138" w14:paraId="38C62AEE" w14:textId="4F91C3CE">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b/>
          <w:bCs/>
          <w:sz w:val="24"/>
          <w:szCs w:val="24"/>
        </w:rPr>
        <w:t>Cost:</w:t>
      </w:r>
      <w:r w:rsidRPr="00772FE4">
        <w:rPr>
          <w:sz w:val="24"/>
          <w:szCs w:val="24"/>
        </w:rPr>
        <w:tab/>
      </w:r>
      <w:r w:rsidRPr="00772FE4">
        <w:rPr>
          <w:sz w:val="24"/>
          <w:szCs w:val="24"/>
        </w:rPr>
        <w:tab/>
      </w:r>
      <w:r w:rsidR="00161AE9">
        <w:rPr>
          <w:sz w:val="24"/>
          <w:szCs w:val="24"/>
        </w:rPr>
        <w:t>7,921</w:t>
      </w:r>
      <w:r w:rsidRPr="00772FE4">
        <w:rPr>
          <w:sz w:val="24"/>
          <w:szCs w:val="24"/>
        </w:rPr>
        <w:t xml:space="preserve"> examinations × $</w:t>
      </w:r>
      <w:r w:rsidR="00D44B96">
        <w:rPr>
          <w:sz w:val="24"/>
          <w:szCs w:val="24"/>
        </w:rPr>
        <w:t xml:space="preserve">308 </w:t>
      </w:r>
      <w:r w:rsidRPr="00772FE4" w:rsidR="00D44B96">
        <w:rPr>
          <w:sz w:val="24"/>
          <w:szCs w:val="24"/>
        </w:rPr>
        <w:t>per</w:t>
      </w:r>
      <w:r w:rsidRPr="00772FE4">
        <w:rPr>
          <w:sz w:val="24"/>
          <w:szCs w:val="24"/>
        </w:rPr>
        <w:t xml:space="preserve"> examination = $</w:t>
      </w:r>
      <w:r w:rsidR="00320F92">
        <w:rPr>
          <w:sz w:val="24"/>
          <w:szCs w:val="24"/>
        </w:rPr>
        <w:t>2,</w:t>
      </w:r>
      <w:r w:rsidR="00B31518">
        <w:rPr>
          <w:sz w:val="24"/>
          <w:szCs w:val="24"/>
        </w:rPr>
        <w:t>439,668</w:t>
      </w:r>
    </w:p>
    <w:p w:rsidR="002E6FE2" w14:paraId="63C6A2E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1DB9" w14:paraId="39042A1E" w14:textId="6FD0812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10567" w:type="dxa"/>
        <w:tblInd w:w="-18" w:type="dxa"/>
        <w:tblLook w:val="04A0"/>
      </w:tblPr>
      <w:tblGrid>
        <w:gridCol w:w="4435"/>
        <w:gridCol w:w="2400"/>
        <w:gridCol w:w="2416"/>
        <w:gridCol w:w="1316"/>
      </w:tblGrid>
      <w:tr w14:paraId="71221D7D" w14:textId="77777777" w:rsidTr="00817FB9">
        <w:tblPrEx>
          <w:tblW w:w="10567" w:type="dxa"/>
          <w:tblInd w:w="-18" w:type="dxa"/>
          <w:tblLook w:val="04A0"/>
        </w:tblPrEx>
        <w:trPr>
          <w:trHeight w:val="540"/>
        </w:trPr>
        <w:tc>
          <w:tcPr>
            <w:tcW w:w="10567" w:type="dxa"/>
            <w:gridSpan w:val="4"/>
            <w:tcBorders>
              <w:top w:val="single" w:sz="4" w:space="0" w:color="auto"/>
              <w:left w:val="single" w:sz="4" w:space="0" w:color="auto"/>
              <w:bottom w:val="single" w:sz="4" w:space="0" w:color="auto"/>
              <w:right w:val="double" w:sz="6" w:space="0" w:color="auto"/>
            </w:tcBorders>
            <w:shd w:val="clear" w:color="auto" w:fill="9CC2E5" w:themeFill="accent1" w:themeFillTint="99"/>
            <w:noWrap/>
            <w:vAlign w:val="bottom"/>
          </w:tcPr>
          <w:p w:rsidR="00F81DB9" w:rsidRPr="00CF4AA7" w:rsidP="00786B35" w14:paraId="02A78EE8" w14:textId="77777777">
            <w:pPr>
              <w:widowControl/>
              <w:overflowPunct/>
              <w:autoSpaceDE/>
              <w:autoSpaceDN/>
              <w:adjustRightInd/>
              <w:jc w:val="center"/>
              <w:rPr>
                <w:b/>
                <w:bCs/>
                <w:color w:val="000000"/>
                <w:kern w:val="0"/>
                <w:sz w:val="22"/>
                <w:szCs w:val="22"/>
              </w:rPr>
            </w:pPr>
            <w:bookmarkStart w:id="9" w:name="_Hlk109000141"/>
            <w:r>
              <w:rPr>
                <w:b/>
                <w:bCs/>
                <w:color w:val="000000"/>
                <w:kern w:val="0"/>
                <w:sz w:val="22"/>
                <w:szCs w:val="22"/>
              </w:rPr>
              <w:t>Table 3 - Cost Summary Table (Item 13)</w:t>
            </w:r>
          </w:p>
        </w:tc>
      </w:tr>
      <w:tr w14:paraId="138C8A6A" w14:textId="77777777" w:rsidTr="00691EC5">
        <w:tblPrEx>
          <w:tblW w:w="10567" w:type="dxa"/>
          <w:tblInd w:w="-18" w:type="dxa"/>
          <w:tblLook w:val="04A0"/>
        </w:tblPrEx>
        <w:trPr>
          <w:trHeight w:val="540"/>
        </w:trPr>
        <w:tc>
          <w:tcPr>
            <w:tcW w:w="443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F81DB9" w:rsidRPr="00CF4AA7" w:rsidP="00691EC5" w14:paraId="44D241FE"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Cost</w:t>
            </w:r>
          </w:p>
        </w:tc>
        <w:tc>
          <w:tcPr>
            <w:tcW w:w="24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81DB9" w:rsidRPr="00CF4AA7" w:rsidP="00691EC5" w14:paraId="513A8850" w14:textId="480E4499">
            <w:pPr>
              <w:widowControl/>
              <w:overflowPunct/>
              <w:autoSpaceDE/>
              <w:autoSpaceDN/>
              <w:adjustRightInd/>
              <w:jc w:val="center"/>
              <w:rPr>
                <w:b/>
                <w:bCs/>
                <w:color w:val="000000"/>
                <w:kern w:val="0"/>
                <w:sz w:val="22"/>
                <w:szCs w:val="22"/>
              </w:rPr>
            </w:pPr>
            <w:r w:rsidRPr="00CF4AA7">
              <w:rPr>
                <w:b/>
                <w:bCs/>
                <w:color w:val="000000"/>
                <w:kern w:val="0"/>
                <w:sz w:val="22"/>
                <w:szCs w:val="22"/>
              </w:rPr>
              <w:t>Current</w:t>
            </w:r>
          </w:p>
        </w:tc>
        <w:tc>
          <w:tcPr>
            <w:tcW w:w="241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F81DB9" w:rsidRPr="00CF4AA7" w:rsidP="00691EC5" w14:paraId="4D8C3323"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Requested</w:t>
            </w:r>
          </w:p>
        </w:tc>
        <w:tc>
          <w:tcPr>
            <w:tcW w:w="1316" w:type="dxa"/>
            <w:tcBorders>
              <w:top w:val="single" w:sz="4" w:space="0" w:color="auto"/>
              <w:left w:val="nil"/>
              <w:bottom w:val="single" w:sz="4" w:space="0" w:color="auto"/>
              <w:right w:val="double" w:sz="6" w:space="0" w:color="auto"/>
            </w:tcBorders>
            <w:shd w:val="clear" w:color="auto" w:fill="BDD6EE" w:themeFill="accent1" w:themeFillTint="66"/>
            <w:noWrap/>
            <w:vAlign w:val="center"/>
            <w:hideMark/>
          </w:tcPr>
          <w:p w:rsidR="00F81DB9" w:rsidRPr="00CF4AA7" w:rsidP="00691EC5" w14:paraId="1692A9E6"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Difference</w:t>
            </w:r>
          </w:p>
        </w:tc>
      </w:tr>
      <w:tr w14:paraId="67BD926D" w14:textId="77777777" w:rsidTr="00BA06D2">
        <w:tblPrEx>
          <w:tblW w:w="10567" w:type="dxa"/>
          <w:tblInd w:w="-18" w:type="dxa"/>
          <w:tblLook w:val="04A0"/>
        </w:tblPrEx>
        <w:trPr>
          <w:trHeight w:val="288"/>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11A6BE48" w14:textId="77777777">
            <w:pPr>
              <w:widowControl/>
              <w:overflowPunct/>
              <w:autoSpaceDE/>
              <w:autoSpaceDN/>
              <w:adjustRightInd/>
              <w:rPr>
                <w:b/>
                <w:bCs/>
                <w:color w:val="000000"/>
                <w:kern w:val="0"/>
                <w:sz w:val="22"/>
                <w:szCs w:val="22"/>
              </w:rPr>
            </w:pPr>
            <w:r w:rsidRPr="00CF4AA7">
              <w:rPr>
                <w:b/>
                <w:bCs/>
                <w:color w:val="000000"/>
                <w:kern w:val="0"/>
                <w:sz w:val="22"/>
                <w:szCs w:val="22"/>
              </w:rPr>
              <w:t>Initial Determination for Lead</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44DE855B" w14:textId="4E52EEB4">
            <w:pPr>
              <w:widowControl/>
              <w:overflowPunct/>
              <w:autoSpaceDE/>
              <w:autoSpaceDN/>
              <w:adjustRightInd/>
              <w:jc w:val="center"/>
              <w:rPr>
                <w:color w:val="000000"/>
                <w:kern w:val="0"/>
                <w:sz w:val="22"/>
                <w:szCs w:val="22"/>
              </w:rPr>
            </w:pPr>
            <w:r w:rsidRPr="00CF4AA7">
              <w:rPr>
                <w:color w:val="000000"/>
                <w:kern w:val="0"/>
                <w:sz w:val="22"/>
                <w:szCs w:val="22"/>
              </w:rPr>
              <w:t>$11,604,650</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22FFC" w:rsidP="00BA06D2" w14:paraId="27AECC8D" w14:textId="20EDCC48">
            <w:pPr>
              <w:widowControl/>
              <w:overflowPunct/>
              <w:autoSpaceDE/>
              <w:autoSpaceDN/>
              <w:adjustRightInd/>
              <w:jc w:val="center"/>
              <w:rPr>
                <w:color w:val="000000"/>
                <w:kern w:val="0"/>
                <w:sz w:val="22"/>
                <w:szCs w:val="22"/>
              </w:rPr>
            </w:pPr>
            <w:r w:rsidRPr="00B63DB7">
              <w:rPr>
                <w:sz w:val="22"/>
                <w:szCs w:val="22"/>
              </w:rPr>
              <w:t>$10,444,353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8C2311" w:rsidP="00BA06D2" w14:paraId="77EA048D" w14:textId="050F7F26">
            <w:pPr>
              <w:widowControl/>
              <w:overflowPunct/>
              <w:autoSpaceDE/>
              <w:autoSpaceDN/>
              <w:adjustRightInd/>
              <w:jc w:val="center"/>
              <w:rPr>
                <w:kern w:val="0"/>
                <w:sz w:val="22"/>
                <w:szCs w:val="22"/>
              </w:rPr>
            </w:pPr>
            <w:r w:rsidRPr="008C2311">
              <w:t>-</w:t>
            </w:r>
            <w:r w:rsidRPr="008C2311">
              <w:t>$1,160,297</w:t>
            </w:r>
          </w:p>
        </w:tc>
      </w:tr>
      <w:tr w14:paraId="71E48DCE" w14:textId="77777777" w:rsidTr="00BA06D2">
        <w:tblPrEx>
          <w:tblW w:w="10567" w:type="dxa"/>
          <w:tblInd w:w="-18" w:type="dxa"/>
          <w:tblLook w:val="04A0"/>
        </w:tblPrEx>
        <w:trPr>
          <w:trHeight w:val="288"/>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6EA74D84" w14:textId="77777777">
            <w:pPr>
              <w:widowControl/>
              <w:overflowPunct/>
              <w:autoSpaceDE/>
              <w:autoSpaceDN/>
              <w:adjustRightInd/>
              <w:rPr>
                <w:b/>
                <w:bCs/>
                <w:color w:val="000000"/>
                <w:kern w:val="0"/>
                <w:sz w:val="22"/>
                <w:szCs w:val="22"/>
              </w:rPr>
            </w:pPr>
            <w:r w:rsidRPr="00CF4AA7">
              <w:rPr>
                <w:b/>
                <w:bCs/>
                <w:color w:val="000000"/>
                <w:kern w:val="0"/>
                <w:sz w:val="22"/>
                <w:szCs w:val="22"/>
              </w:rPr>
              <w:t>Monitoring for Initial Determination</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2355ACB4" w14:textId="5E9C4568">
            <w:pPr>
              <w:widowControl/>
              <w:overflowPunct/>
              <w:autoSpaceDE/>
              <w:autoSpaceDN/>
              <w:adjustRightInd/>
              <w:jc w:val="center"/>
              <w:rPr>
                <w:color w:val="000000"/>
                <w:kern w:val="0"/>
                <w:sz w:val="22"/>
                <w:szCs w:val="22"/>
              </w:rPr>
            </w:pPr>
            <w:r w:rsidRPr="00CF4AA7">
              <w:rPr>
                <w:color w:val="000000"/>
                <w:kern w:val="0"/>
                <w:sz w:val="22"/>
                <w:szCs w:val="22"/>
              </w:rPr>
              <w:t>$48,752,802</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22FFC" w:rsidP="00BA06D2" w14:paraId="28CF30A9" w14:textId="5E2A524A">
            <w:pPr>
              <w:widowControl/>
              <w:overflowPunct/>
              <w:autoSpaceDE/>
              <w:autoSpaceDN/>
              <w:adjustRightInd/>
              <w:jc w:val="center"/>
              <w:rPr>
                <w:color w:val="000000"/>
                <w:kern w:val="0"/>
                <w:sz w:val="22"/>
                <w:szCs w:val="22"/>
              </w:rPr>
            </w:pPr>
            <w:r w:rsidRPr="00C22FFC">
              <w:rPr>
                <w:color w:val="000000"/>
                <w:kern w:val="0"/>
                <w:sz w:val="22"/>
                <w:szCs w:val="22"/>
              </w:rPr>
              <w:t>$53,607,395</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8C2311" w:rsidP="00BA06D2" w14:paraId="2F8A90DF" w14:textId="2C1F94B4">
            <w:pPr>
              <w:widowControl/>
              <w:overflowPunct/>
              <w:autoSpaceDE/>
              <w:autoSpaceDN/>
              <w:adjustRightInd/>
              <w:jc w:val="center"/>
              <w:rPr>
                <w:kern w:val="0"/>
                <w:sz w:val="22"/>
                <w:szCs w:val="22"/>
              </w:rPr>
            </w:pPr>
            <w:r w:rsidRPr="008C2311">
              <w:t>$4,854,593</w:t>
            </w:r>
          </w:p>
        </w:tc>
      </w:tr>
      <w:tr w14:paraId="1BE9499F" w14:textId="77777777" w:rsidTr="00BA06D2">
        <w:tblPrEx>
          <w:tblW w:w="10567" w:type="dxa"/>
          <w:tblInd w:w="-18" w:type="dxa"/>
          <w:tblLook w:val="04A0"/>
        </w:tblPrEx>
        <w:trPr>
          <w:trHeight w:val="288"/>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68210D06" w14:textId="77777777">
            <w:pPr>
              <w:widowControl/>
              <w:overflowPunct/>
              <w:autoSpaceDE/>
              <w:autoSpaceDN/>
              <w:adjustRightInd/>
              <w:rPr>
                <w:b/>
                <w:bCs/>
                <w:color w:val="000000"/>
                <w:kern w:val="0"/>
                <w:sz w:val="22"/>
                <w:szCs w:val="22"/>
              </w:rPr>
            </w:pPr>
            <w:r w:rsidRPr="00CF4AA7">
              <w:rPr>
                <w:b/>
                <w:bCs/>
                <w:color w:val="000000"/>
                <w:kern w:val="0"/>
                <w:sz w:val="22"/>
                <w:szCs w:val="22"/>
              </w:rPr>
              <w:t>Periodic Exposure Measurement</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56FD7C51" w14:textId="529882C6">
            <w:pPr>
              <w:widowControl/>
              <w:overflowPunct/>
              <w:autoSpaceDE/>
              <w:autoSpaceDN/>
              <w:adjustRightInd/>
              <w:jc w:val="center"/>
              <w:rPr>
                <w:color w:val="000000"/>
                <w:kern w:val="0"/>
                <w:sz w:val="22"/>
                <w:szCs w:val="22"/>
              </w:rPr>
            </w:pPr>
            <w:r w:rsidRPr="00CF4AA7">
              <w:rPr>
                <w:color w:val="000000"/>
                <w:kern w:val="0"/>
                <w:sz w:val="22"/>
                <w:szCs w:val="22"/>
              </w:rPr>
              <w:t>$3,887,100</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22FFC" w:rsidP="00BA06D2" w14:paraId="559700CC" w14:textId="3352A0E5">
            <w:pPr>
              <w:widowControl/>
              <w:overflowPunct/>
              <w:autoSpaceDE/>
              <w:autoSpaceDN/>
              <w:adjustRightInd/>
              <w:jc w:val="center"/>
              <w:rPr>
                <w:color w:val="000000"/>
                <w:kern w:val="0"/>
                <w:sz w:val="22"/>
                <w:szCs w:val="22"/>
              </w:rPr>
            </w:pPr>
            <w:r w:rsidRPr="00B63DB7">
              <w:rPr>
                <w:sz w:val="22"/>
                <w:szCs w:val="22"/>
              </w:rPr>
              <w:t>$3,081,166</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8C2311" w:rsidP="00BA06D2" w14:paraId="1D0675FE" w14:textId="3FDFD165">
            <w:pPr>
              <w:widowControl/>
              <w:overflowPunct/>
              <w:autoSpaceDE/>
              <w:autoSpaceDN/>
              <w:adjustRightInd/>
              <w:jc w:val="center"/>
              <w:rPr>
                <w:kern w:val="0"/>
                <w:sz w:val="22"/>
                <w:szCs w:val="22"/>
              </w:rPr>
            </w:pPr>
            <w:r w:rsidRPr="008C2311">
              <w:t>-</w:t>
            </w:r>
            <w:r w:rsidRPr="008C2311">
              <w:t>$805,934</w:t>
            </w:r>
          </w:p>
        </w:tc>
      </w:tr>
      <w:tr w14:paraId="5F44AEAD" w14:textId="77777777" w:rsidTr="00BA06D2">
        <w:tblPrEx>
          <w:tblW w:w="10567" w:type="dxa"/>
          <w:tblInd w:w="-18" w:type="dxa"/>
          <w:tblLook w:val="04A0"/>
        </w:tblPrEx>
        <w:trPr>
          <w:trHeight w:val="288"/>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5FBA2304" w14:textId="77777777">
            <w:pPr>
              <w:widowControl/>
              <w:overflowPunct/>
              <w:autoSpaceDE/>
              <w:autoSpaceDN/>
              <w:adjustRightInd/>
              <w:rPr>
                <w:b/>
                <w:bCs/>
                <w:color w:val="000000"/>
                <w:kern w:val="0"/>
                <w:sz w:val="22"/>
                <w:szCs w:val="22"/>
              </w:rPr>
            </w:pPr>
            <w:r w:rsidRPr="00CF4AA7">
              <w:rPr>
                <w:b/>
                <w:bCs/>
                <w:color w:val="000000"/>
                <w:kern w:val="0"/>
                <w:sz w:val="22"/>
                <w:szCs w:val="22"/>
              </w:rPr>
              <w:t>Initial Medical Surveillance</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02DE2A85" w14:textId="3FDDC769">
            <w:pPr>
              <w:widowControl/>
              <w:overflowPunct/>
              <w:autoSpaceDE/>
              <w:autoSpaceDN/>
              <w:adjustRightInd/>
              <w:jc w:val="center"/>
              <w:rPr>
                <w:color w:val="000000"/>
                <w:kern w:val="0"/>
                <w:sz w:val="22"/>
                <w:szCs w:val="22"/>
              </w:rPr>
            </w:pPr>
            <w:r w:rsidRPr="00CF4AA7">
              <w:rPr>
                <w:color w:val="000000"/>
                <w:kern w:val="0"/>
                <w:sz w:val="22"/>
                <w:szCs w:val="22"/>
              </w:rPr>
              <w:t>$5,</w:t>
            </w:r>
            <w:r>
              <w:rPr>
                <w:color w:val="000000"/>
                <w:kern w:val="0"/>
                <w:sz w:val="22"/>
                <w:szCs w:val="22"/>
              </w:rPr>
              <w:t>742</w:t>
            </w:r>
            <w:r w:rsidRPr="00CF4AA7">
              <w:rPr>
                <w:color w:val="000000"/>
                <w:kern w:val="0"/>
                <w:sz w:val="22"/>
                <w:szCs w:val="22"/>
              </w:rPr>
              <w:t>,</w:t>
            </w:r>
            <w:r>
              <w:rPr>
                <w:color w:val="000000"/>
                <w:kern w:val="0"/>
                <w:sz w:val="22"/>
                <w:szCs w:val="22"/>
              </w:rPr>
              <w:t>737</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22FFC" w:rsidP="00BA06D2" w14:paraId="2011F088" w14:textId="581C79FC">
            <w:pPr>
              <w:widowControl/>
              <w:overflowPunct/>
              <w:autoSpaceDE/>
              <w:autoSpaceDN/>
              <w:adjustRightInd/>
              <w:jc w:val="center"/>
              <w:rPr>
                <w:color w:val="000000"/>
                <w:kern w:val="0"/>
                <w:sz w:val="22"/>
                <w:szCs w:val="22"/>
              </w:rPr>
            </w:pPr>
            <w:r w:rsidRPr="00B63DB7">
              <w:rPr>
                <w:sz w:val="22"/>
                <w:szCs w:val="22"/>
              </w:rPr>
              <w:t>$5,220,833</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8C2311" w:rsidP="00BA06D2" w14:paraId="6B455E6F" w14:textId="3925179D">
            <w:pPr>
              <w:widowControl/>
              <w:overflowPunct/>
              <w:autoSpaceDE/>
              <w:autoSpaceDN/>
              <w:adjustRightInd/>
              <w:jc w:val="center"/>
              <w:rPr>
                <w:kern w:val="0"/>
                <w:sz w:val="22"/>
                <w:szCs w:val="22"/>
              </w:rPr>
            </w:pPr>
            <w:r w:rsidRPr="008C2311">
              <w:t>-</w:t>
            </w:r>
            <w:r w:rsidRPr="008C2311">
              <w:t>$521,904</w:t>
            </w:r>
          </w:p>
        </w:tc>
      </w:tr>
      <w:tr w14:paraId="21804201" w14:textId="77777777" w:rsidTr="00BA06D2">
        <w:tblPrEx>
          <w:tblW w:w="10567" w:type="dxa"/>
          <w:tblInd w:w="-18" w:type="dxa"/>
          <w:tblLook w:val="04A0"/>
        </w:tblPrEx>
        <w:trPr>
          <w:trHeight w:val="288"/>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68EE017B" w14:textId="77777777">
            <w:pPr>
              <w:widowControl/>
              <w:overflowPunct/>
              <w:autoSpaceDE/>
              <w:autoSpaceDN/>
              <w:adjustRightInd/>
              <w:rPr>
                <w:b/>
                <w:bCs/>
                <w:color w:val="000000"/>
                <w:kern w:val="0"/>
                <w:sz w:val="22"/>
                <w:szCs w:val="22"/>
              </w:rPr>
            </w:pPr>
            <w:r w:rsidRPr="00CF4AA7">
              <w:rPr>
                <w:b/>
                <w:bCs/>
                <w:color w:val="000000"/>
                <w:kern w:val="0"/>
                <w:sz w:val="22"/>
                <w:szCs w:val="22"/>
              </w:rPr>
              <w:t>Periodic Medical Surveillance</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0DBBB556" w14:textId="3A37ED0C">
            <w:pPr>
              <w:widowControl/>
              <w:overflowPunct/>
              <w:autoSpaceDE/>
              <w:autoSpaceDN/>
              <w:adjustRightInd/>
              <w:jc w:val="center"/>
              <w:rPr>
                <w:color w:val="000000"/>
                <w:kern w:val="0"/>
                <w:sz w:val="22"/>
                <w:szCs w:val="22"/>
              </w:rPr>
            </w:pPr>
            <w:r w:rsidRPr="00CF4AA7">
              <w:rPr>
                <w:color w:val="000000"/>
                <w:kern w:val="0"/>
                <w:sz w:val="22"/>
                <w:szCs w:val="22"/>
              </w:rPr>
              <w:t>$10,501,799</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22FFC" w:rsidP="00BA06D2" w14:paraId="75285C10" w14:textId="27123715">
            <w:pPr>
              <w:widowControl/>
              <w:overflowPunct/>
              <w:autoSpaceDE/>
              <w:autoSpaceDN/>
              <w:adjustRightInd/>
              <w:jc w:val="center"/>
              <w:rPr>
                <w:color w:val="000000"/>
                <w:kern w:val="0"/>
                <w:sz w:val="22"/>
                <w:szCs w:val="22"/>
              </w:rPr>
            </w:pPr>
            <w:r w:rsidRPr="00B63DB7">
              <w:rPr>
                <w:sz w:val="22"/>
                <w:szCs w:val="22"/>
              </w:rPr>
              <w:t>$11,702,659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CF4AA7" w:rsidP="00BA06D2" w14:paraId="2860B804" w14:textId="0E8DC067">
            <w:pPr>
              <w:widowControl/>
              <w:overflowPunct/>
              <w:autoSpaceDE/>
              <w:autoSpaceDN/>
              <w:adjustRightInd/>
              <w:jc w:val="center"/>
              <w:rPr>
                <w:color w:val="000000"/>
                <w:kern w:val="0"/>
                <w:sz w:val="22"/>
                <w:szCs w:val="22"/>
              </w:rPr>
            </w:pPr>
            <w:r>
              <w:rPr>
                <w:color w:val="000000"/>
              </w:rPr>
              <w:t>$1,200,860</w:t>
            </w:r>
          </w:p>
        </w:tc>
      </w:tr>
      <w:tr w14:paraId="3EDE550A" w14:textId="77777777" w:rsidTr="00BA06D2">
        <w:tblPrEx>
          <w:tblW w:w="10567" w:type="dxa"/>
          <w:tblInd w:w="-18" w:type="dxa"/>
          <w:tblLook w:val="04A0"/>
        </w:tblPrEx>
        <w:trPr>
          <w:trHeight w:val="288"/>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5070DDF4" w14:textId="77777777">
            <w:pPr>
              <w:widowControl/>
              <w:overflowPunct/>
              <w:autoSpaceDE/>
              <w:autoSpaceDN/>
              <w:adjustRightInd/>
              <w:rPr>
                <w:b/>
                <w:bCs/>
                <w:color w:val="000000"/>
                <w:kern w:val="0"/>
                <w:sz w:val="22"/>
                <w:szCs w:val="22"/>
              </w:rPr>
            </w:pPr>
            <w:r w:rsidRPr="00CF4AA7">
              <w:rPr>
                <w:b/>
                <w:bCs/>
                <w:color w:val="000000"/>
                <w:kern w:val="0"/>
                <w:sz w:val="22"/>
                <w:szCs w:val="22"/>
              </w:rPr>
              <w:t>Medical Examination and Consultation</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14FFBF52" w14:textId="6F1AD721">
            <w:pPr>
              <w:widowControl/>
              <w:overflowPunct/>
              <w:autoSpaceDE/>
              <w:autoSpaceDN/>
              <w:adjustRightInd/>
              <w:jc w:val="center"/>
              <w:rPr>
                <w:color w:val="000000"/>
                <w:kern w:val="0"/>
                <w:sz w:val="22"/>
                <w:szCs w:val="22"/>
              </w:rPr>
            </w:pPr>
            <w:r w:rsidRPr="00CF4AA7">
              <w:rPr>
                <w:color w:val="000000"/>
                <w:kern w:val="0"/>
                <w:sz w:val="22"/>
                <w:szCs w:val="22"/>
              </w:rPr>
              <w:t>$1,85</w:t>
            </w:r>
            <w:r>
              <w:rPr>
                <w:color w:val="000000"/>
                <w:kern w:val="0"/>
                <w:sz w:val="22"/>
                <w:szCs w:val="22"/>
              </w:rPr>
              <w:t>4</w:t>
            </w:r>
            <w:r w:rsidRPr="00CF4AA7">
              <w:rPr>
                <w:color w:val="000000"/>
                <w:kern w:val="0"/>
                <w:sz w:val="22"/>
                <w:szCs w:val="22"/>
              </w:rPr>
              <w:t>,</w:t>
            </w:r>
            <w:r>
              <w:rPr>
                <w:color w:val="000000"/>
                <w:kern w:val="0"/>
                <w:sz w:val="22"/>
                <w:szCs w:val="22"/>
              </w:rPr>
              <w:t>10</w:t>
            </w:r>
            <w:r w:rsidRPr="00CF4AA7">
              <w:rPr>
                <w:color w:val="000000"/>
                <w:kern w:val="0"/>
                <w:sz w:val="22"/>
                <w:szCs w:val="22"/>
              </w:rPr>
              <w:t>6</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22FFC" w:rsidP="00BA06D2" w14:paraId="325B72EC" w14:textId="3A8DAD96">
            <w:pPr>
              <w:widowControl/>
              <w:overflowPunct/>
              <w:autoSpaceDE/>
              <w:autoSpaceDN/>
              <w:adjustRightInd/>
              <w:jc w:val="center"/>
              <w:rPr>
                <w:color w:val="000000"/>
                <w:kern w:val="0"/>
                <w:sz w:val="22"/>
                <w:szCs w:val="22"/>
              </w:rPr>
            </w:pPr>
            <w:r w:rsidRPr="00B63DB7">
              <w:rPr>
                <w:sz w:val="22"/>
                <w:szCs w:val="22"/>
              </w:rPr>
              <w:t>$2,439,668</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CF4AA7" w:rsidP="00BA06D2" w14:paraId="7954A22B" w14:textId="73BBF12A">
            <w:pPr>
              <w:widowControl/>
              <w:overflowPunct/>
              <w:autoSpaceDE/>
              <w:autoSpaceDN/>
              <w:adjustRightInd/>
              <w:jc w:val="center"/>
              <w:rPr>
                <w:color w:val="000000"/>
                <w:kern w:val="0"/>
                <w:sz w:val="22"/>
                <w:szCs w:val="22"/>
              </w:rPr>
            </w:pPr>
            <w:r>
              <w:rPr>
                <w:color w:val="000000"/>
              </w:rPr>
              <w:t>$585,562</w:t>
            </w:r>
          </w:p>
        </w:tc>
      </w:tr>
      <w:tr w14:paraId="30A92416" w14:textId="77777777" w:rsidTr="00BA06D2">
        <w:tblPrEx>
          <w:tblW w:w="10567" w:type="dxa"/>
          <w:tblInd w:w="-18" w:type="dxa"/>
          <w:tblLook w:val="04A0"/>
        </w:tblPrEx>
        <w:trPr>
          <w:trHeight w:val="300"/>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FB9" w:rsidRPr="00CF4AA7" w:rsidP="00817FB9" w14:paraId="1E66C2F6" w14:textId="77777777">
            <w:pPr>
              <w:widowControl/>
              <w:overflowPunct/>
              <w:autoSpaceDE/>
              <w:autoSpaceDN/>
              <w:adjustRightInd/>
              <w:rPr>
                <w:b/>
                <w:bCs/>
                <w:color w:val="000000"/>
                <w:kern w:val="0"/>
                <w:sz w:val="22"/>
                <w:szCs w:val="22"/>
              </w:rPr>
            </w:pPr>
            <w:r w:rsidRPr="00CF4AA7">
              <w:rPr>
                <w:b/>
                <w:bCs/>
                <w:color w:val="000000"/>
                <w:kern w:val="0"/>
                <w:sz w:val="22"/>
                <w:szCs w:val="22"/>
              </w:rPr>
              <w:t>Totals</w:t>
            </w:r>
          </w:p>
        </w:tc>
        <w:tc>
          <w:tcPr>
            <w:tcW w:w="2400" w:type="dxa"/>
            <w:tcBorders>
              <w:top w:val="nil"/>
              <w:left w:val="nil"/>
              <w:bottom w:val="single" w:sz="4" w:space="0" w:color="auto"/>
              <w:right w:val="single" w:sz="4" w:space="0" w:color="auto"/>
            </w:tcBorders>
            <w:shd w:val="clear" w:color="auto" w:fill="auto"/>
            <w:noWrap/>
            <w:vAlign w:val="center"/>
            <w:hideMark/>
          </w:tcPr>
          <w:p w:rsidR="00817FB9" w:rsidRPr="00CF4AA7" w:rsidP="00BA06D2" w14:paraId="67521781" w14:textId="0C1FD2EB">
            <w:pPr>
              <w:widowControl/>
              <w:overflowPunct/>
              <w:autoSpaceDE/>
              <w:autoSpaceDN/>
              <w:adjustRightInd/>
              <w:jc w:val="center"/>
              <w:rPr>
                <w:color w:val="000000"/>
                <w:kern w:val="0"/>
                <w:sz w:val="22"/>
                <w:szCs w:val="22"/>
              </w:rPr>
            </w:pPr>
            <w:r w:rsidRPr="00CF4AA7">
              <w:rPr>
                <w:color w:val="000000"/>
                <w:kern w:val="0"/>
                <w:sz w:val="22"/>
                <w:szCs w:val="22"/>
              </w:rPr>
              <w:t>$</w:t>
            </w:r>
            <w:r>
              <w:rPr>
                <w:color w:val="000000"/>
                <w:kern w:val="0"/>
                <w:sz w:val="22"/>
                <w:szCs w:val="22"/>
              </w:rPr>
              <w:t>82,343,194</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FB9" w:rsidRPr="00CF4AA7" w:rsidP="00BA06D2" w14:paraId="535C9C49" w14:textId="76CD0DF0">
            <w:pPr>
              <w:widowControl/>
              <w:overflowPunct/>
              <w:autoSpaceDE/>
              <w:autoSpaceDN/>
              <w:adjustRightInd/>
              <w:jc w:val="center"/>
              <w:rPr>
                <w:color w:val="000000"/>
                <w:kern w:val="0"/>
                <w:sz w:val="22"/>
                <w:szCs w:val="22"/>
              </w:rPr>
            </w:pPr>
            <w:r>
              <w:rPr>
                <w:color w:val="000000"/>
                <w:kern w:val="0"/>
                <w:sz w:val="22"/>
                <w:szCs w:val="22"/>
              </w:rPr>
              <w:t>$86,496,074</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7FB9" w:rsidRPr="00CF4AA7" w:rsidP="00BA06D2" w14:paraId="22E46FFE" w14:textId="3BEB422F">
            <w:pPr>
              <w:widowControl/>
              <w:overflowPunct/>
              <w:autoSpaceDE/>
              <w:autoSpaceDN/>
              <w:adjustRightInd/>
              <w:jc w:val="center"/>
              <w:rPr>
                <w:color w:val="000000"/>
                <w:kern w:val="0"/>
                <w:sz w:val="22"/>
                <w:szCs w:val="22"/>
              </w:rPr>
            </w:pPr>
            <w:r>
              <w:rPr>
                <w:color w:val="000000"/>
              </w:rPr>
              <w:t>$4,152,880</w:t>
            </w:r>
          </w:p>
        </w:tc>
      </w:tr>
      <w:bookmarkEnd w:id="9"/>
    </w:tbl>
    <w:p w:rsidR="0089766F" w:rsidP="0089766F" w14:paraId="31B8673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7138" w:rsidP="007C7138" w14:paraId="46E88707"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C7138" w:rsidP="007C7138" w14:paraId="10834E89"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5335F5" w:rsidP="007C7138" w14:paraId="74D041C7" w14:textId="3071E36E">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 xml:space="preserve">14.  </w:t>
      </w:r>
      <w:r>
        <w:rPr>
          <w:b/>
          <w:bCs/>
          <w:sz w:val="24"/>
          <w:szCs w:val="24"/>
        </w:rPr>
        <w:tab/>
      </w:r>
      <w:r w:rsidRPr="005D6BC2" w:rsidR="00553E3D">
        <w:rPr>
          <w:b/>
          <w:bCs/>
          <w:sz w:val="24"/>
          <w:szCs w:val="24"/>
        </w:rPr>
        <w:t xml:space="preserve">Provide estimates of annualized cost to the Federal government.  Also, provide a description of the method used to estimate cost, which should include quantification of </w:t>
      </w:r>
    </w:p>
    <w:p w:rsidR="00553E3D" w:rsidRPr="005D6BC2" w:rsidP="005D6BC2" w14:paraId="321B37A3" w14:textId="74993223">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D6BC2">
        <w:rPr>
          <w:b/>
          <w:bCs/>
          <w:sz w:val="24"/>
          <w:szCs w:val="24"/>
        </w:rPr>
        <w:t xml:space="preserve">hours, operational expenses </w:t>
      </w:r>
      <w:r w:rsidRPr="005D6BC2" w:rsidR="00E01EBA">
        <w:rPr>
          <w:b/>
          <w:bCs/>
          <w:sz w:val="24"/>
          <w:szCs w:val="24"/>
        </w:rPr>
        <w:t xml:space="preserve">(such as equipment, overhead, printing, and support staff), and any other expense that would not </w:t>
      </w:r>
      <w:r w:rsidR="00896849">
        <w:rPr>
          <w:b/>
          <w:bCs/>
          <w:sz w:val="24"/>
          <w:szCs w:val="24"/>
        </w:rPr>
        <w:t xml:space="preserve">     </w:t>
      </w:r>
    </w:p>
    <w:p w:rsidR="00553E3D" w:rsidRPr="00BB55EA" w14:paraId="593233B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Pr="00772FE4" w14:paraId="75F7DD75" w14:textId="342564B9">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772FE4">
        <w:rPr>
          <w:b/>
          <w:bCs/>
          <w:sz w:val="24"/>
          <w:szCs w:val="24"/>
        </w:rPr>
        <w:t>Cost to the Federal Government</w:t>
      </w:r>
    </w:p>
    <w:p w:rsidR="00553E3D" w:rsidRPr="00772FE4" w14:paraId="40F7BEC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94686" w:rsidRPr="00D94686" w:rsidP="00D94686" w14:paraId="546885C1" w14:textId="1668E9E0">
      <w:pPr>
        <w:widowControl/>
        <w:autoSpaceDE/>
        <w:autoSpaceDN/>
        <w:adjustRightInd/>
        <w:rPr>
          <w:color w:val="000000"/>
          <w:sz w:val="24"/>
          <w:szCs w:val="24"/>
        </w:rPr>
      </w:pPr>
      <w:r w:rsidRPr="00D94686">
        <w:rPr>
          <w:sz w:val="24"/>
          <w:szCs w:val="24"/>
        </w:rPr>
        <w:t xml:space="preserve">Usually, OSHA requests access to records during an inspection.  Information collected by the </w:t>
      </w:r>
      <w:r w:rsidR="00DA13AA">
        <w:rPr>
          <w:sz w:val="24"/>
          <w:szCs w:val="24"/>
        </w:rPr>
        <w:t>a</w:t>
      </w:r>
      <w:r w:rsidR="00D03FF4">
        <w:rPr>
          <w:sz w:val="24"/>
          <w:szCs w:val="24"/>
        </w:rPr>
        <w:t>genc</w:t>
      </w:r>
      <w:r w:rsidR="00DA13AA">
        <w:rPr>
          <w:sz w:val="24"/>
          <w:szCs w:val="24"/>
        </w:rPr>
        <w:t>y</w:t>
      </w:r>
      <w:r w:rsidRPr="00D94686">
        <w:rPr>
          <w:sz w:val="24"/>
          <w:szCs w:val="24"/>
        </w:rPr>
        <w:t xml:space="preserve"> during the investigation is not subject to the PRA under 5 CFR 1320.4(a)(2)</w:t>
      </w:r>
      <w:r w:rsidR="007F3A34">
        <w:rPr>
          <w:sz w:val="24"/>
          <w:szCs w:val="24"/>
        </w:rPr>
        <w:t xml:space="preserve">.  </w:t>
      </w:r>
      <w:r w:rsidRPr="00D94686">
        <w:rPr>
          <w:sz w:val="24"/>
          <w:szCs w:val="24"/>
        </w:rPr>
        <w:t xml:space="preserve">Therefore, </w:t>
      </w:r>
      <w:r w:rsidR="0089766F">
        <w:rPr>
          <w:sz w:val="24"/>
          <w:szCs w:val="24"/>
        </w:rPr>
        <w:t>there is no cost to OSHA for this reques</w:t>
      </w:r>
      <w:r w:rsidRPr="00D94686">
        <w:rPr>
          <w:sz w:val="24"/>
          <w:szCs w:val="24"/>
        </w:rPr>
        <w:t>t</w:t>
      </w:r>
      <w:r w:rsidR="0015148A">
        <w:rPr>
          <w:sz w:val="24"/>
          <w:szCs w:val="24"/>
        </w:rPr>
        <w:t>.</w:t>
      </w:r>
    </w:p>
    <w:p w:rsidR="00D94686" w:rsidRPr="005D6BC2" w:rsidP="00491DDC" w14:paraId="48E02411" w14:textId="12FC73A6">
      <w:pPr>
        <w:rPr>
          <w:b/>
          <w:bCs/>
          <w:sz w:val="24"/>
          <w:szCs w:val="24"/>
        </w:rPr>
      </w:pPr>
    </w:p>
    <w:p w:rsidR="00553E3D" w:rsidRPr="005D6BC2" w:rsidP="00491DDC" w14:paraId="59D47525" w14:textId="77777777">
      <w:pPr>
        <w:rPr>
          <w:b/>
          <w:bCs/>
          <w:sz w:val="24"/>
          <w:szCs w:val="24"/>
          <w:lang w:val="en-JM"/>
        </w:rPr>
      </w:pPr>
      <w:r w:rsidRPr="005D6BC2">
        <w:rPr>
          <w:b/>
          <w:bCs/>
          <w:sz w:val="24"/>
          <w:szCs w:val="24"/>
        </w:rPr>
        <w:t xml:space="preserve">15.  </w:t>
      </w:r>
      <w:r w:rsidRPr="005D6BC2">
        <w:rPr>
          <w:b/>
          <w:bCs/>
          <w:sz w:val="24"/>
          <w:szCs w:val="24"/>
        </w:rPr>
        <w:tab/>
      </w:r>
      <w:r w:rsidRPr="005D6BC2">
        <w:rPr>
          <w:b/>
          <w:bCs/>
          <w:sz w:val="24"/>
          <w:szCs w:val="24"/>
          <w:lang w:val="en-JM"/>
        </w:rPr>
        <w:t>Explain the reasons for any program changes or adjustments.</w:t>
      </w:r>
    </w:p>
    <w:p w:rsidR="00553E3D" w14:paraId="469EE588" w14:textId="4CF17D91">
      <w:pPr>
        <w:ind w:left="720" w:hanging="720"/>
        <w:rPr>
          <w:sz w:val="24"/>
          <w:szCs w:val="24"/>
        </w:rPr>
      </w:pPr>
    </w:p>
    <w:p w:rsidR="00791769" w14:paraId="12D80785" w14:textId="0C552404">
      <w:pPr>
        <w:rPr>
          <w:kern w:val="0"/>
          <w:sz w:val="24"/>
          <w:szCs w:val="24"/>
        </w:rPr>
      </w:pPr>
      <w:r w:rsidRPr="00FC4BFB">
        <w:rPr>
          <w:sz w:val="24"/>
          <w:szCs w:val="24"/>
        </w:rPr>
        <w:t>The agency is requesting</w:t>
      </w:r>
      <w:r w:rsidRPr="00FC4BFB" w:rsidR="00E22E24">
        <w:rPr>
          <w:sz w:val="24"/>
          <w:szCs w:val="24"/>
        </w:rPr>
        <w:t xml:space="preserve"> an adjustment </w:t>
      </w:r>
      <w:r w:rsidR="009B1B5F">
        <w:rPr>
          <w:sz w:val="24"/>
          <w:szCs w:val="24"/>
        </w:rPr>
        <w:t>increase</w:t>
      </w:r>
      <w:r w:rsidRPr="00FC4BFB" w:rsidR="00E22E24">
        <w:rPr>
          <w:sz w:val="24"/>
          <w:szCs w:val="24"/>
        </w:rPr>
        <w:t xml:space="preserve"> in the </w:t>
      </w:r>
      <w:r w:rsidRPr="00FC4BFB" w:rsidR="003C52F1">
        <w:rPr>
          <w:sz w:val="24"/>
          <w:szCs w:val="24"/>
        </w:rPr>
        <w:t xml:space="preserve">burden hours from </w:t>
      </w:r>
      <w:r w:rsidRPr="00FC4BFB" w:rsidR="001D1FC0">
        <w:rPr>
          <w:sz w:val="24"/>
          <w:szCs w:val="24"/>
        </w:rPr>
        <w:t>1</w:t>
      </w:r>
      <w:r w:rsidRPr="00FC4BFB" w:rsidR="008C0210">
        <w:rPr>
          <w:sz w:val="24"/>
          <w:szCs w:val="24"/>
        </w:rPr>
        <w:t>,</w:t>
      </w:r>
      <w:r w:rsidRPr="00FC4BFB" w:rsidR="007C0AE2">
        <w:rPr>
          <w:sz w:val="24"/>
          <w:szCs w:val="24"/>
        </w:rPr>
        <w:t>226,717</w:t>
      </w:r>
      <w:r w:rsidRPr="00FC4BFB" w:rsidR="001D1FC0">
        <w:rPr>
          <w:sz w:val="24"/>
          <w:szCs w:val="24"/>
        </w:rPr>
        <w:t xml:space="preserve"> hours</w:t>
      </w:r>
      <w:r w:rsidR="007E16EB">
        <w:rPr>
          <w:sz w:val="24"/>
          <w:szCs w:val="24"/>
        </w:rPr>
        <w:t xml:space="preserve"> to </w:t>
      </w:r>
      <w:r w:rsidRPr="00B63DB7" w:rsidR="007E16EB">
        <w:rPr>
          <w:color w:val="000000"/>
          <w:kern w:val="0"/>
          <w:sz w:val="24"/>
          <w:szCs w:val="24"/>
        </w:rPr>
        <w:t>1,348,499</w:t>
      </w:r>
      <w:r w:rsidRPr="00B63DB7" w:rsidR="005013B7">
        <w:rPr>
          <w:color w:val="000000"/>
          <w:kern w:val="0"/>
          <w:sz w:val="24"/>
          <w:szCs w:val="24"/>
        </w:rPr>
        <w:t xml:space="preserve"> hours</w:t>
      </w:r>
      <w:r w:rsidRPr="00FC4BFB" w:rsidR="00425CE1">
        <w:rPr>
          <w:sz w:val="24"/>
          <w:szCs w:val="24"/>
        </w:rPr>
        <w:t xml:space="preserve">, a difference of </w:t>
      </w:r>
      <w:r w:rsidR="00796517">
        <w:rPr>
          <w:sz w:val="24"/>
          <w:szCs w:val="24"/>
        </w:rPr>
        <w:t>121,782</w:t>
      </w:r>
      <w:r w:rsidRPr="00FC4BFB" w:rsidR="00A87346">
        <w:rPr>
          <w:sz w:val="24"/>
          <w:szCs w:val="24"/>
        </w:rPr>
        <w:t xml:space="preserve"> hours. </w:t>
      </w:r>
      <w:r w:rsidRPr="00FC4BFB" w:rsidR="008C34D4">
        <w:rPr>
          <w:sz w:val="24"/>
          <w:szCs w:val="24"/>
        </w:rPr>
        <w:t xml:space="preserve"> The</w:t>
      </w:r>
      <w:r w:rsidR="00777232">
        <w:rPr>
          <w:sz w:val="24"/>
          <w:szCs w:val="24"/>
        </w:rPr>
        <w:t xml:space="preserve"> adjustment increase</w:t>
      </w:r>
      <w:r w:rsidRPr="00FC4BFB" w:rsidR="008C34D4">
        <w:rPr>
          <w:sz w:val="24"/>
          <w:szCs w:val="24"/>
        </w:rPr>
        <w:t xml:space="preserve"> is due to a</w:t>
      </w:r>
      <w:r w:rsidR="00C9131E">
        <w:rPr>
          <w:sz w:val="24"/>
          <w:szCs w:val="24"/>
        </w:rPr>
        <w:t>n increase</w:t>
      </w:r>
      <w:r w:rsidRPr="00FC4BFB" w:rsidR="008C34D4">
        <w:rPr>
          <w:sz w:val="24"/>
          <w:szCs w:val="24"/>
        </w:rPr>
        <w:t xml:space="preserve"> in the </w:t>
      </w:r>
      <w:r w:rsidRPr="00FC4BFB" w:rsidR="00B11D2D">
        <w:rPr>
          <w:kern w:val="0"/>
          <w:sz w:val="24"/>
          <w:szCs w:val="24"/>
        </w:rPr>
        <w:t xml:space="preserve">total number of highway and railroad bridge repainting lead-exposed projects </w:t>
      </w:r>
      <w:r w:rsidRPr="00FC4BFB" w:rsidR="001E76F0">
        <w:rPr>
          <w:kern w:val="0"/>
          <w:sz w:val="24"/>
          <w:szCs w:val="24"/>
        </w:rPr>
        <w:t xml:space="preserve">which </w:t>
      </w:r>
      <w:r w:rsidR="00087155">
        <w:rPr>
          <w:kern w:val="0"/>
          <w:sz w:val="24"/>
          <w:szCs w:val="24"/>
        </w:rPr>
        <w:t>increase</w:t>
      </w:r>
      <w:r w:rsidR="004A1B38">
        <w:rPr>
          <w:kern w:val="0"/>
          <w:sz w:val="24"/>
          <w:szCs w:val="24"/>
        </w:rPr>
        <w:t>d</w:t>
      </w:r>
      <w:r w:rsidRPr="00FC4BFB" w:rsidR="001E76F0">
        <w:rPr>
          <w:kern w:val="0"/>
          <w:sz w:val="24"/>
          <w:szCs w:val="24"/>
        </w:rPr>
        <w:t xml:space="preserve"> the </w:t>
      </w:r>
      <w:r w:rsidRPr="00FC4BFB" w:rsidR="0016232F">
        <w:rPr>
          <w:kern w:val="0"/>
          <w:sz w:val="24"/>
          <w:szCs w:val="24"/>
        </w:rPr>
        <w:t>number of projects needing lead testing</w:t>
      </w:r>
      <w:r w:rsidRPr="00FC4BFB" w:rsidR="00FC4BFB">
        <w:rPr>
          <w:kern w:val="0"/>
          <w:sz w:val="24"/>
          <w:szCs w:val="24"/>
        </w:rPr>
        <w:t>.</w:t>
      </w:r>
    </w:p>
    <w:p w:rsidR="00DA1274" w14:paraId="4B2CC9A5" w14:textId="104095C9">
      <w:pPr>
        <w:rPr>
          <w:kern w:val="0"/>
          <w:sz w:val="24"/>
          <w:szCs w:val="24"/>
        </w:rPr>
      </w:pPr>
    </w:p>
    <w:p w:rsidR="007416C8" w:rsidRPr="00087155" w14:paraId="39179656" w14:textId="471E388C">
      <w:pPr>
        <w:rPr>
          <w:kern w:val="0"/>
          <w:sz w:val="24"/>
          <w:szCs w:val="24"/>
        </w:rPr>
      </w:pPr>
      <w:r w:rsidRPr="00087155">
        <w:rPr>
          <w:kern w:val="0"/>
          <w:sz w:val="24"/>
          <w:szCs w:val="24"/>
        </w:rPr>
        <w:t xml:space="preserve">Also, there was </w:t>
      </w:r>
      <w:r w:rsidRPr="00087155" w:rsidR="00D600CD">
        <w:rPr>
          <w:kern w:val="0"/>
          <w:sz w:val="24"/>
          <w:szCs w:val="24"/>
        </w:rPr>
        <w:t>an</w:t>
      </w:r>
      <w:r w:rsidRPr="00087155">
        <w:rPr>
          <w:kern w:val="0"/>
          <w:sz w:val="24"/>
          <w:szCs w:val="24"/>
        </w:rPr>
        <w:t xml:space="preserve"> increase in </w:t>
      </w:r>
      <w:r w:rsidRPr="00087155" w:rsidR="00743ADA">
        <w:rPr>
          <w:kern w:val="0"/>
          <w:sz w:val="24"/>
          <w:szCs w:val="24"/>
        </w:rPr>
        <w:t>cost for</w:t>
      </w:r>
      <w:r w:rsidRPr="00087155" w:rsidR="00B2073D">
        <w:rPr>
          <w:kern w:val="0"/>
          <w:sz w:val="24"/>
          <w:szCs w:val="24"/>
        </w:rPr>
        <w:t xml:space="preserve"> exposure</w:t>
      </w:r>
      <w:r w:rsidRPr="00087155" w:rsidR="00743ADA">
        <w:rPr>
          <w:kern w:val="0"/>
          <w:sz w:val="24"/>
          <w:szCs w:val="24"/>
        </w:rPr>
        <w:t xml:space="preserve"> </w:t>
      </w:r>
      <w:r w:rsidRPr="00087155" w:rsidR="00B2073D">
        <w:rPr>
          <w:kern w:val="0"/>
          <w:sz w:val="24"/>
          <w:szCs w:val="24"/>
        </w:rPr>
        <w:t xml:space="preserve">monitoring and medical exams from </w:t>
      </w:r>
      <w:r w:rsidRPr="00B63DB7">
        <w:rPr>
          <w:color w:val="000000"/>
          <w:kern w:val="0"/>
          <w:sz w:val="24"/>
          <w:szCs w:val="24"/>
        </w:rPr>
        <w:t>$82,343,194</w:t>
      </w:r>
      <w:r w:rsidRPr="00B63DB7" w:rsidR="000474A5">
        <w:rPr>
          <w:color w:val="000000"/>
          <w:kern w:val="0"/>
          <w:sz w:val="24"/>
          <w:szCs w:val="24"/>
        </w:rPr>
        <w:t xml:space="preserve"> to </w:t>
      </w:r>
      <w:r w:rsidRPr="00B63DB7" w:rsidR="00D5678D">
        <w:rPr>
          <w:color w:val="000000"/>
          <w:kern w:val="0"/>
          <w:sz w:val="24"/>
          <w:szCs w:val="24"/>
        </w:rPr>
        <w:t>$86,496,074</w:t>
      </w:r>
      <w:r w:rsidRPr="00B63DB7" w:rsidR="00E82671">
        <w:rPr>
          <w:color w:val="000000"/>
          <w:kern w:val="0"/>
          <w:sz w:val="24"/>
          <w:szCs w:val="24"/>
        </w:rPr>
        <w:t>, a difference of $</w:t>
      </w:r>
      <w:r w:rsidRPr="00B63DB7" w:rsidR="00F16A69">
        <w:rPr>
          <w:color w:val="000000"/>
          <w:kern w:val="0"/>
          <w:sz w:val="24"/>
          <w:szCs w:val="24"/>
        </w:rPr>
        <w:t>4,152,880</w:t>
      </w:r>
      <w:r w:rsidRPr="00B63DB7" w:rsidR="00E82671">
        <w:rPr>
          <w:color w:val="000000"/>
          <w:kern w:val="0"/>
          <w:sz w:val="24"/>
          <w:szCs w:val="24"/>
        </w:rPr>
        <w:t>.</w:t>
      </w:r>
    </w:p>
    <w:p w:rsidR="00DA1274" w14:paraId="18BF0781" w14:textId="5C5B63FC">
      <w:pPr>
        <w:rPr>
          <w:kern w:val="0"/>
          <w:sz w:val="24"/>
          <w:szCs w:val="24"/>
        </w:rPr>
      </w:pPr>
    </w:p>
    <w:p w:rsidR="00FC4BFB" w:rsidRPr="00FC4BFB" w14:paraId="5558676A" w14:textId="77777777">
      <w:pPr>
        <w:rPr>
          <w:sz w:val="24"/>
          <w:szCs w:val="24"/>
        </w:rPr>
      </w:pPr>
    </w:p>
    <w:tbl>
      <w:tblPr>
        <w:tblW w:w="8490" w:type="dxa"/>
        <w:tblLook w:val="04A0"/>
      </w:tblPr>
      <w:tblGrid>
        <w:gridCol w:w="3577"/>
        <w:gridCol w:w="1816"/>
        <w:gridCol w:w="1816"/>
        <w:gridCol w:w="1281"/>
      </w:tblGrid>
      <w:tr w14:paraId="7F544B79" w14:textId="77777777" w:rsidTr="00194172">
        <w:tblPrEx>
          <w:tblW w:w="8490" w:type="dxa"/>
          <w:tblLook w:val="04A0"/>
        </w:tblPrEx>
        <w:trPr>
          <w:trHeight w:val="620"/>
          <w:tblHeader/>
        </w:trPr>
        <w:tc>
          <w:tcPr>
            <w:tcW w:w="8490" w:type="dxa"/>
            <w:gridSpan w:val="4"/>
            <w:tcBorders>
              <w:top w:val="single" w:sz="4" w:space="0" w:color="auto"/>
              <w:left w:val="single" w:sz="4" w:space="0" w:color="auto"/>
              <w:bottom w:val="single" w:sz="8" w:space="0" w:color="000000"/>
              <w:right w:val="single" w:sz="8" w:space="0" w:color="000000"/>
            </w:tcBorders>
            <w:shd w:val="clear" w:color="auto" w:fill="DEEBF6" w:themeFill="accent1" w:themeFillTint="33"/>
            <w:vAlign w:val="bottom"/>
          </w:tcPr>
          <w:p w:rsidR="00CA62C2" w:rsidRPr="00AF3ADC" w:rsidP="00786B35" w14:paraId="5D32C249" w14:textId="77777777">
            <w:pPr>
              <w:widowControl/>
              <w:overflowPunct/>
              <w:autoSpaceDE/>
              <w:autoSpaceDN/>
              <w:adjustRightInd/>
              <w:jc w:val="center"/>
              <w:rPr>
                <w:b/>
                <w:bCs/>
                <w:color w:val="000000"/>
                <w:kern w:val="0"/>
              </w:rPr>
            </w:pPr>
            <w:r>
              <w:rPr>
                <w:b/>
                <w:bCs/>
                <w:color w:val="000000"/>
                <w:kern w:val="0"/>
              </w:rPr>
              <w:t xml:space="preserve">Table 4 – Estimated Burden Hours Changes to the Information Collections Contained in the Lead in Construction Standard </w:t>
            </w:r>
          </w:p>
        </w:tc>
      </w:tr>
      <w:tr w14:paraId="5459F27D" w14:textId="77777777" w:rsidTr="00194172">
        <w:tblPrEx>
          <w:tblW w:w="8490" w:type="dxa"/>
          <w:tblLook w:val="04A0"/>
        </w:tblPrEx>
        <w:trPr>
          <w:trHeight w:val="1092"/>
          <w:tblHeader/>
        </w:trPr>
        <w:tc>
          <w:tcPr>
            <w:tcW w:w="3577" w:type="dxa"/>
            <w:tcBorders>
              <w:top w:val="single" w:sz="4" w:space="0" w:color="auto"/>
              <w:left w:val="single" w:sz="4" w:space="0" w:color="auto"/>
              <w:bottom w:val="single" w:sz="8" w:space="0" w:color="000000"/>
              <w:right w:val="single" w:sz="8" w:space="0" w:color="000000"/>
            </w:tcBorders>
            <w:shd w:val="clear" w:color="auto" w:fill="DEEBF6" w:themeFill="accent1" w:themeFillTint="33"/>
            <w:vAlign w:val="bottom"/>
            <w:hideMark/>
          </w:tcPr>
          <w:p w:rsidR="00CA62C2" w:rsidRPr="00AF3ADC" w:rsidP="00786B35" w14:paraId="5FE062CE" w14:textId="77777777">
            <w:pPr>
              <w:widowControl/>
              <w:overflowPunct/>
              <w:autoSpaceDE/>
              <w:autoSpaceDN/>
              <w:adjustRightInd/>
              <w:jc w:val="center"/>
              <w:rPr>
                <w:b/>
                <w:bCs/>
                <w:color w:val="000000"/>
                <w:kern w:val="0"/>
              </w:rPr>
            </w:pPr>
            <w:r w:rsidRPr="00AF3ADC">
              <w:rPr>
                <w:b/>
                <w:bCs/>
                <w:color w:val="000000"/>
                <w:kern w:val="0"/>
              </w:rPr>
              <w:t>Information Collection Requirement</w:t>
            </w:r>
          </w:p>
        </w:tc>
        <w:tc>
          <w:tcPr>
            <w:tcW w:w="1816" w:type="dxa"/>
            <w:tcBorders>
              <w:top w:val="single" w:sz="4" w:space="0" w:color="auto"/>
              <w:left w:val="nil"/>
              <w:bottom w:val="single" w:sz="8" w:space="0" w:color="000000"/>
              <w:right w:val="single" w:sz="8" w:space="0" w:color="000000"/>
            </w:tcBorders>
            <w:shd w:val="clear" w:color="auto" w:fill="DEEBF6" w:themeFill="accent1" w:themeFillTint="33"/>
            <w:vAlign w:val="bottom"/>
            <w:hideMark/>
          </w:tcPr>
          <w:p w:rsidR="00CA62C2" w:rsidRPr="00AF3ADC" w:rsidP="00786B35" w14:paraId="3E3B70CC" w14:textId="77777777">
            <w:pPr>
              <w:widowControl/>
              <w:overflowPunct/>
              <w:autoSpaceDE/>
              <w:autoSpaceDN/>
              <w:adjustRightInd/>
              <w:jc w:val="center"/>
              <w:rPr>
                <w:b/>
                <w:bCs/>
                <w:color w:val="000000"/>
                <w:kern w:val="0"/>
              </w:rPr>
            </w:pPr>
            <w:r w:rsidRPr="00AF3ADC">
              <w:rPr>
                <w:b/>
                <w:bCs/>
                <w:color w:val="000000"/>
                <w:kern w:val="0"/>
              </w:rPr>
              <w:t>Existing Burden Hours</w:t>
            </w:r>
          </w:p>
        </w:tc>
        <w:tc>
          <w:tcPr>
            <w:tcW w:w="1816" w:type="dxa"/>
            <w:tcBorders>
              <w:top w:val="single" w:sz="4" w:space="0" w:color="auto"/>
              <w:left w:val="nil"/>
              <w:bottom w:val="single" w:sz="8" w:space="0" w:color="000000"/>
              <w:right w:val="single" w:sz="8" w:space="0" w:color="000000"/>
            </w:tcBorders>
            <w:shd w:val="clear" w:color="auto" w:fill="DEEBF6" w:themeFill="accent1" w:themeFillTint="33"/>
            <w:vAlign w:val="bottom"/>
            <w:hideMark/>
          </w:tcPr>
          <w:p w:rsidR="00CA62C2" w:rsidRPr="00AF3ADC" w:rsidP="00786B35" w14:paraId="09631489" w14:textId="77777777">
            <w:pPr>
              <w:widowControl/>
              <w:overflowPunct/>
              <w:autoSpaceDE/>
              <w:autoSpaceDN/>
              <w:adjustRightInd/>
              <w:jc w:val="center"/>
              <w:rPr>
                <w:b/>
                <w:bCs/>
                <w:color w:val="000000"/>
                <w:kern w:val="0"/>
              </w:rPr>
            </w:pPr>
            <w:r w:rsidRPr="00AF3ADC">
              <w:rPr>
                <w:b/>
                <w:bCs/>
                <w:color w:val="000000"/>
                <w:kern w:val="0"/>
              </w:rPr>
              <w:t>Requested Burden Hours</w:t>
            </w:r>
          </w:p>
        </w:tc>
        <w:tc>
          <w:tcPr>
            <w:tcW w:w="1281" w:type="dxa"/>
            <w:tcBorders>
              <w:top w:val="single" w:sz="4" w:space="0" w:color="auto"/>
              <w:left w:val="nil"/>
              <w:bottom w:val="single" w:sz="8" w:space="0" w:color="000000"/>
              <w:right w:val="single" w:sz="8" w:space="0" w:color="000000"/>
            </w:tcBorders>
            <w:shd w:val="clear" w:color="auto" w:fill="DEEBF6" w:themeFill="accent1" w:themeFillTint="33"/>
            <w:vAlign w:val="bottom"/>
            <w:hideMark/>
          </w:tcPr>
          <w:p w:rsidR="00CA62C2" w:rsidRPr="00AF3ADC" w:rsidP="00786B35" w14:paraId="391777C1" w14:textId="77777777">
            <w:pPr>
              <w:widowControl/>
              <w:overflowPunct/>
              <w:autoSpaceDE/>
              <w:autoSpaceDN/>
              <w:adjustRightInd/>
              <w:jc w:val="center"/>
              <w:rPr>
                <w:b/>
                <w:bCs/>
                <w:color w:val="000000"/>
                <w:kern w:val="0"/>
              </w:rPr>
            </w:pPr>
            <w:r w:rsidRPr="00AF3ADC">
              <w:rPr>
                <w:b/>
                <w:bCs/>
                <w:color w:val="000000"/>
                <w:kern w:val="0"/>
              </w:rPr>
              <w:t>Burden Hour Change</w:t>
            </w:r>
          </w:p>
        </w:tc>
      </w:tr>
      <w:tr w14:paraId="122195F5" w14:textId="77777777" w:rsidTr="00194172">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CA62C2" w:rsidRPr="00AF3ADC" w:rsidP="00786B35" w14:paraId="19B89B46" w14:textId="77777777">
            <w:pPr>
              <w:widowControl/>
              <w:overflowPunct/>
              <w:autoSpaceDE/>
              <w:autoSpaceDN/>
              <w:adjustRightInd/>
              <w:rPr>
                <w:color w:val="000000"/>
                <w:kern w:val="0"/>
              </w:rPr>
            </w:pPr>
            <w:r w:rsidRPr="00AF3ADC">
              <w:rPr>
                <w:color w:val="000000"/>
                <w:kern w:val="0"/>
              </w:rPr>
              <w:t>EXPOSURE MONITORING</w:t>
            </w:r>
          </w:p>
        </w:tc>
        <w:tc>
          <w:tcPr>
            <w:tcW w:w="1816" w:type="dxa"/>
            <w:tcBorders>
              <w:top w:val="single" w:sz="8" w:space="0" w:color="000000"/>
              <w:left w:val="nil"/>
              <w:bottom w:val="single" w:sz="8" w:space="0" w:color="000000"/>
              <w:right w:val="single" w:sz="8" w:space="0" w:color="000000"/>
            </w:tcBorders>
            <w:shd w:val="clear" w:color="auto" w:fill="auto"/>
            <w:noWrap/>
            <w:vAlign w:val="center"/>
            <w:hideMark/>
          </w:tcPr>
          <w:p w:rsidR="00CA62C2" w:rsidRPr="00AF3ADC" w:rsidP="00786B35" w14:paraId="5A299B8D" w14:textId="77777777">
            <w:pPr>
              <w:widowControl/>
              <w:overflowPunct/>
              <w:autoSpaceDE/>
              <w:autoSpaceDN/>
              <w:adjustRightInd/>
              <w:rPr>
                <w:color w:val="000000"/>
                <w:kern w:val="0"/>
              </w:rPr>
            </w:pPr>
            <w:r w:rsidRPr="00AF3ADC">
              <w:rPr>
                <w:color w:val="000000"/>
                <w:kern w:val="0"/>
              </w:rPr>
              <w:t> </w:t>
            </w:r>
          </w:p>
        </w:tc>
        <w:tc>
          <w:tcPr>
            <w:tcW w:w="1816" w:type="dxa"/>
            <w:tcBorders>
              <w:top w:val="single" w:sz="8" w:space="0" w:color="000000"/>
              <w:left w:val="nil"/>
              <w:bottom w:val="single" w:sz="8" w:space="0" w:color="000000"/>
              <w:right w:val="single" w:sz="8" w:space="0" w:color="000000"/>
            </w:tcBorders>
            <w:shd w:val="clear" w:color="auto" w:fill="auto"/>
            <w:noWrap/>
            <w:vAlign w:val="center"/>
            <w:hideMark/>
          </w:tcPr>
          <w:p w:rsidR="00CA62C2" w:rsidRPr="00AF3ADC" w:rsidP="00786B35" w14:paraId="0941693C" w14:textId="77777777">
            <w:pPr>
              <w:widowControl/>
              <w:overflowPunct/>
              <w:autoSpaceDE/>
              <w:autoSpaceDN/>
              <w:adjustRightInd/>
              <w:rPr>
                <w:color w:val="000000"/>
                <w:kern w:val="0"/>
              </w:rPr>
            </w:pPr>
            <w:r w:rsidRPr="00AF3ADC">
              <w:rPr>
                <w:color w:val="000000"/>
                <w:kern w:val="0"/>
              </w:rPr>
              <w:t> </w:t>
            </w:r>
          </w:p>
        </w:tc>
        <w:tc>
          <w:tcPr>
            <w:tcW w:w="1281" w:type="dxa"/>
            <w:tcBorders>
              <w:top w:val="single" w:sz="8" w:space="0" w:color="000000"/>
              <w:left w:val="nil"/>
              <w:bottom w:val="single" w:sz="8" w:space="0" w:color="000000"/>
              <w:right w:val="single" w:sz="8" w:space="0" w:color="000000"/>
            </w:tcBorders>
            <w:shd w:val="clear" w:color="auto" w:fill="auto"/>
            <w:noWrap/>
            <w:vAlign w:val="center"/>
            <w:hideMark/>
          </w:tcPr>
          <w:p w:rsidR="00CA62C2" w:rsidRPr="00AF3ADC" w:rsidP="00786B35" w14:paraId="2D6EE3B0" w14:textId="77777777">
            <w:pPr>
              <w:widowControl/>
              <w:overflowPunct/>
              <w:autoSpaceDE/>
              <w:autoSpaceDN/>
              <w:adjustRightInd/>
              <w:rPr>
                <w:color w:val="000000"/>
                <w:kern w:val="0"/>
              </w:rPr>
            </w:pPr>
            <w:r w:rsidRPr="00AF3ADC">
              <w:rPr>
                <w:color w:val="000000"/>
                <w:kern w:val="0"/>
              </w:rPr>
              <w:t> </w:t>
            </w:r>
          </w:p>
        </w:tc>
      </w:tr>
      <w:tr w14:paraId="539F47BB" w14:textId="77777777" w:rsidTr="00194172">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CA62C2" w:rsidRPr="00AF3ADC" w:rsidP="00786B35" w14:paraId="2D828244" w14:textId="77777777">
            <w:pPr>
              <w:widowControl/>
              <w:overflowPunct/>
              <w:autoSpaceDE/>
              <w:autoSpaceDN/>
              <w:adjustRightInd/>
              <w:ind w:firstLine="200" w:firstLineChars="100"/>
              <w:rPr>
                <w:color w:val="000000"/>
                <w:kern w:val="0"/>
              </w:rPr>
            </w:pPr>
            <w:r w:rsidRPr="00AF3ADC">
              <w:rPr>
                <w:color w:val="000000"/>
                <w:kern w:val="0"/>
              </w:rPr>
              <w:t>Initial Determination</w:t>
            </w:r>
          </w:p>
        </w:tc>
        <w:tc>
          <w:tcPr>
            <w:tcW w:w="1816" w:type="dxa"/>
            <w:tcBorders>
              <w:top w:val="nil"/>
              <w:left w:val="nil"/>
              <w:bottom w:val="single" w:sz="8" w:space="0" w:color="000000"/>
              <w:right w:val="single" w:sz="8" w:space="0" w:color="000000"/>
            </w:tcBorders>
            <w:shd w:val="clear" w:color="auto" w:fill="auto"/>
            <w:noWrap/>
            <w:vAlign w:val="center"/>
            <w:hideMark/>
          </w:tcPr>
          <w:p w:rsidR="00CA62C2" w:rsidRPr="00AF3ADC" w:rsidP="00786B35" w14:paraId="02CC2F44" w14:textId="77777777">
            <w:pPr>
              <w:widowControl/>
              <w:overflowPunct/>
              <w:autoSpaceDE/>
              <w:autoSpaceDN/>
              <w:adjustRightInd/>
              <w:rPr>
                <w:color w:val="000000"/>
                <w:kern w:val="0"/>
              </w:rPr>
            </w:pPr>
            <w:r w:rsidRPr="00AF3ADC">
              <w:rPr>
                <w:color w:val="000000"/>
                <w:kern w:val="0"/>
              </w:rPr>
              <w:t> </w:t>
            </w:r>
          </w:p>
        </w:tc>
        <w:tc>
          <w:tcPr>
            <w:tcW w:w="1816" w:type="dxa"/>
            <w:tcBorders>
              <w:top w:val="nil"/>
              <w:left w:val="nil"/>
              <w:bottom w:val="single" w:sz="8" w:space="0" w:color="000000"/>
              <w:right w:val="single" w:sz="8" w:space="0" w:color="000000"/>
            </w:tcBorders>
            <w:shd w:val="clear" w:color="auto" w:fill="auto"/>
            <w:noWrap/>
            <w:vAlign w:val="center"/>
            <w:hideMark/>
          </w:tcPr>
          <w:p w:rsidR="00CA62C2" w:rsidRPr="00AF3ADC" w:rsidP="00786B35" w14:paraId="6E3DFEE5" w14:textId="77777777">
            <w:pPr>
              <w:widowControl/>
              <w:overflowPunct/>
              <w:autoSpaceDE/>
              <w:autoSpaceDN/>
              <w:adjustRightInd/>
              <w:rPr>
                <w:color w:val="000000"/>
                <w:kern w:val="0"/>
              </w:rPr>
            </w:pPr>
            <w:r w:rsidRPr="00AF3ADC">
              <w:rPr>
                <w:color w:val="000000"/>
                <w:kern w:val="0"/>
              </w:rPr>
              <w:t> </w:t>
            </w:r>
          </w:p>
        </w:tc>
        <w:tc>
          <w:tcPr>
            <w:tcW w:w="1281" w:type="dxa"/>
            <w:tcBorders>
              <w:top w:val="nil"/>
              <w:left w:val="nil"/>
              <w:bottom w:val="single" w:sz="8" w:space="0" w:color="000000"/>
              <w:right w:val="single" w:sz="8" w:space="0" w:color="000000"/>
            </w:tcBorders>
            <w:shd w:val="clear" w:color="auto" w:fill="auto"/>
            <w:noWrap/>
            <w:vAlign w:val="center"/>
            <w:hideMark/>
          </w:tcPr>
          <w:p w:rsidR="00CA62C2" w:rsidRPr="00BD3B6D" w:rsidP="00786B35" w14:paraId="5B688410" w14:textId="77777777">
            <w:pPr>
              <w:widowControl/>
              <w:overflowPunct/>
              <w:autoSpaceDE/>
              <w:autoSpaceDN/>
              <w:adjustRightInd/>
              <w:rPr>
                <w:color w:val="000000"/>
                <w:kern w:val="0"/>
              </w:rPr>
            </w:pPr>
            <w:r w:rsidRPr="00BD3B6D">
              <w:rPr>
                <w:color w:val="000000"/>
                <w:kern w:val="0"/>
              </w:rPr>
              <w:t> </w:t>
            </w:r>
          </w:p>
        </w:tc>
      </w:tr>
      <w:tr w14:paraId="7F3D7588"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350B9" w:rsidRPr="009E5BF9" w:rsidP="000350B9" w14:paraId="208FBCAF" w14:textId="77777777">
            <w:pPr>
              <w:widowControl/>
              <w:overflowPunct/>
              <w:autoSpaceDE/>
              <w:autoSpaceDN/>
              <w:adjustRightInd/>
              <w:ind w:firstLine="800" w:firstLineChars="400"/>
              <w:rPr>
                <w:i/>
                <w:iCs/>
                <w:color w:val="000000"/>
                <w:kern w:val="0"/>
              </w:rPr>
            </w:pPr>
            <w:r w:rsidRPr="009E5BF9">
              <w:rPr>
                <w:i/>
                <w:iCs/>
                <w:color w:val="000000"/>
                <w:kern w:val="0"/>
              </w:rPr>
              <w:t>Determination of the Presence of Lead</w:t>
            </w:r>
          </w:p>
        </w:tc>
        <w:tc>
          <w:tcPr>
            <w:tcW w:w="1816" w:type="dxa"/>
            <w:tcBorders>
              <w:top w:val="nil"/>
              <w:left w:val="nil"/>
              <w:bottom w:val="single" w:sz="8" w:space="0" w:color="000000"/>
              <w:right w:val="single" w:sz="8" w:space="0" w:color="000000"/>
            </w:tcBorders>
            <w:shd w:val="clear" w:color="auto" w:fill="auto"/>
            <w:noWrap/>
            <w:vAlign w:val="center"/>
            <w:hideMark/>
          </w:tcPr>
          <w:p w:rsidR="000350B9" w:rsidRPr="009E5BF9" w:rsidP="000350B9" w14:paraId="454640B1" w14:textId="6D6C2D5F">
            <w:pPr>
              <w:widowControl/>
              <w:overflowPunct/>
              <w:autoSpaceDE/>
              <w:autoSpaceDN/>
              <w:adjustRightInd/>
              <w:jc w:val="right"/>
              <w:rPr>
                <w:color w:val="000000"/>
                <w:kern w:val="0"/>
              </w:rPr>
            </w:pPr>
            <w:r w:rsidRPr="009E5BF9">
              <w:rPr>
                <w:color w:val="000000"/>
                <w:kern w:val="0"/>
              </w:rPr>
              <w:t>217,441</w:t>
            </w:r>
          </w:p>
        </w:tc>
        <w:tc>
          <w:tcPr>
            <w:tcW w:w="1816" w:type="dxa"/>
            <w:tcBorders>
              <w:top w:val="nil"/>
              <w:left w:val="nil"/>
              <w:bottom w:val="single" w:sz="8" w:space="0" w:color="000000"/>
              <w:right w:val="single" w:sz="8" w:space="0" w:color="000000"/>
            </w:tcBorders>
            <w:shd w:val="clear" w:color="auto" w:fill="auto"/>
            <w:noWrap/>
            <w:vAlign w:val="center"/>
          </w:tcPr>
          <w:p w:rsidR="000350B9" w:rsidRPr="009E5BF9" w:rsidP="000350B9" w14:paraId="332CAC34" w14:textId="6A157F88">
            <w:pPr>
              <w:widowControl/>
              <w:overflowPunct/>
              <w:autoSpaceDE/>
              <w:autoSpaceDN/>
              <w:adjustRightInd/>
              <w:jc w:val="right"/>
              <w:rPr>
                <w:color w:val="000000"/>
                <w:kern w:val="0"/>
              </w:rPr>
            </w:pPr>
            <w:r>
              <w:rPr>
                <w:color w:val="000000"/>
                <w:kern w:val="0"/>
              </w:rPr>
              <w:t>238,110</w:t>
            </w:r>
          </w:p>
        </w:tc>
        <w:tc>
          <w:tcPr>
            <w:tcW w:w="1281" w:type="dxa"/>
            <w:tcBorders>
              <w:top w:val="nil"/>
              <w:left w:val="nil"/>
              <w:bottom w:val="single" w:sz="8" w:space="0" w:color="000000"/>
              <w:right w:val="single" w:sz="8" w:space="0" w:color="000000"/>
            </w:tcBorders>
            <w:shd w:val="clear" w:color="auto" w:fill="auto"/>
            <w:noWrap/>
            <w:vAlign w:val="bottom"/>
          </w:tcPr>
          <w:p w:rsidR="000350B9" w:rsidRPr="00BD3B6D" w:rsidP="000350B9" w14:paraId="53D721ED" w14:textId="55CA8582">
            <w:pPr>
              <w:widowControl/>
              <w:overflowPunct/>
              <w:autoSpaceDE/>
              <w:autoSpaceDN/>
              <w:adjustRightInd/>
              <w:jc w:val="right"/>
              <w:rPr>
                <w:color w:val="000000"/>
                <w:kern w:val="0"/>
              </w:rPr>
            </w:pPr>
            <w:r w:rsidRPr="00B63DB7">
              <w:rPr>
                <w:color w:val="000000"/>
                <w:sz w:val="22"/>
                <w:szCs w:val="22"/>
              </w:rPr>
              <w:t>20,669</w:t>
            </w:r>
          </w:p>
        </w:tc>
      </w:tr>
      <w:tr w14:paraId="4E75C6F1"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350B9" w:rsidRPr="009E5BF9" w:rsidP="000350B9" w14:paraId="73D2ECF2" w14:textId="77777777">
            <w:pPr>
              <w:widowControl/>
              <w:overflowPunct/>
              <w:autoSpaceDE/>
              <w:autoSpaceDN/>
              <w:adjustRightInd/>
              <w:ind w:firstLine="200" w:firstLineChars="100"/>
              <w:rPr>
                <w:color w:val="000000"/>
                <w:kern w:val="0"/>
              </w:rPr>
            </w:pPr>
            <w:r w:rsidRPr="009E5BF9">
              <w:rPr>
                <w:color w:val="000000"/>
                <w:kern w:val="0"/>
              </w:rPr>
              <w:t xml:space="preserve">  Objective Data</w:t>
            </w:r>
          </w:p>
        </w:tc>
        <w:tc>
          <w:tcPr>
            <w:tcW w:w="1816" w:type="dxa"/>
            <w:tcBorders>
              <w:top w:val="nil"/>
              <w:left w:val="nil"/>
              <w:bottom w:val="single" w:sz="8" w:space="0" w:color="000000"/>
              <w:right w:val="single" w:sz="8" w:space="0" w:color="000000"/>
            </w:tcBorders>
            <w:shd w:val="clear" w:color="auto" w:fill="auto"/>
            <w:noWrap/>
            <w:vAlign w:val="center"/>
            <w:hideMark/>
          </w:tcPr>
          <w:p w:rsidR="000350B9" w:rsidRPr="009E5BF9" w:rsidP="000350B9" w14:paraId="7DD8FA91" w14:textId="5570A4CA">
            <w:pPr>
              <w:widowControl/>
              <w:overflowPunct/>
              <w:autoSpaceDE/>
              <w:autoSpaceDN/>
              <w:adjustRightInd/>
              <w:jc w:val="right"/>
              <w:rPr>
                <w:color w:val="000000"/>
                <w:kern w:val="0"/>
              </w:rPr>
            </w:pPr>
            <w:r w:rsidRPr="009E5BF9">
              <w:rPr>
                <w:color w:val="000000"/>
                <w:kern w:val="0"/>
              </w:rPr>
              <w:t>109,431</w:t>
            </w:r>
          </w:p>
        </w:tc>
        <w:tc>
          <w:tcPr>
            <w:tcW w:w="1816" w:type="dxa"/>
            <w:tcBorders>
              <w:top w:val="nil"/>
              <w:left w:val="nil"/>
              <w:bottom w:val="single" w:sz="8" w:space="0" w:color="000000"/>
              <w:right w:val="single" w:sz="8" w:space="0" w:color="000000"/>
            </w:tcBorders>
            <w:shd w:val="clear" w:color="auto" w:fill="auto"/>
            <w:noWrap/>
            <w:vAlign w:val="center"/>
          </w:tcPr>
          <w:p w:rsidR="000350B9" w:rsidRPr="009E5BF9" w:rsidP="000350B9" w14:paraId="08119A38" w14:textId="5D6ECE0B">
            <w:pPr>
              <w:widowControl/>
              <w:overflowPunct/>
              <w:autoSpaceDE/>
              <w:autoSpaceDN/>
              <w:adjustRightInd/>
              <w:jc w:val="right"/>
              <w:rPr>
                <w:color w:val="000000"/>
                <w:kern w:val="0"/>
              </w:rPr>
            </w:pPr>
            <w:r>
              <w:rPr>
                <w:color w:val="000000"/>
                <w:kern w:val="0"/>
              </w:rPr>
              <w:t>161,156</w:t>
            </w:r>
          </w:p>
        </w:tc>
        <w:tc>
          <w:tcPr>
            <w:tcW w:w="1281" w:type="dxa"/>
            <w:tcBorders>
              <w:top w:val="nil"/>
              <w:left w:val="nil"/>
              <w:bottom w:val="single" w:sz="8" w:space="0" w:color="000000"/>
              <w:right w:val="single" w:sz="8" w:space="0" w:color="000000"/>
            </w:tcBorders>
            <w:shd w:val="clear" w:color="auto" w:fill="auto"/>
            <w:noWrap/>
            <w:vAlign w:val="bottom"/>
          </w:tcPr>
          <w:p w:rsidR="000350B9" w:rsidRPr="00BD3B6D" w:rsidP="000350B9" w14:paraId="26560E78" w14:textId="7EE37514">
            <w:pPr>
              <w:widowControl/>
              <w:overflowPunct/>
              <w:autoSpaceDE/>
              <w:autoSpaceDN/>
              <w:adjustRightInd/>
              <w:jc w:val="right"/>
              <w:rPr>
                <w:color w:val="000000"/>
                <w:kern w:val="0"/>
              </w:rPr>
            </w:pPr>
            <w:r w:rsidRPr="00B63DB7">
              <w:rPr>
                <w:color w:val="000000"/>
                <w:sz w:val="22"/>
                <w:szCs w:val="22"/>
              </w:rPr>
              <w:t>51,725</w:t>
            </w:r>
          </w:p>
        </w:tc>
      </w:tr>
      <w:tr w14:paraId="13552755"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350B9" w:rsidRPr="009E5BF9" w:rsidP="000350B9" w14:paraId="175DF1FB" w14:textId="77777777">
            <w:pPr>
              <w:widowControl/>
              <w:overflowPunct/>
              <w:autoSpaceDE/>
              <w:autoSpaceDN/>
              <w:adjustRightInd/>
              <w:ind w:firstLine="200" w:firstLineChars="100"/>
              <w:rPr>
                <w:color w:val="000000"/>
                <w:kern w:val="0"/>
              </w:rPr>
            </w:pPr>
            <w:r w:rsidRPr="009E5BF9">
              <w:rPr>
                <w:color w:val="000000"/>
                <w:kern w:val="0"/>
              </w:rPr>
              <w:t>Negative Initial Determination</w:t>
            </w:r>
          </w:p>
        </w:tc>
        <w:tc>
          <w:tcPr>
            <w:tcW w:w="1816" w:type="dxa"/>
            <w:tcBorders>
              <w:top w:val="nil"/>
              <w:left w:val="nil"/>
              <w:bottom w:val="single" w:sz="8" w:space="0" w:color="000000"/>
              <w:right w:val="single" w:sz="8" w:space="0" w:color="000000"/>
            </w:tcBorders>
            <w:shd w:val="clear" w:color="auto" w:fill="auto"/>
            <w:noWrap/>
            <w:vAlign w:val="center"/>
            <w:hideMark/>
          </w:tcPr>
          <w:p w:rsidR="000350B9" w:rsidRPr="009E5BF9" w:rsidP="000350B9" w14:paraId="0A18E947" w14:textId="770F6E7B">
            <w:pPr>
              <w:widowControl/>
              <w:overflowPunct/>
              <w:autoSpaceDE/>
              <w:autoSpaceDN/>
              <w:adjustRightInd/>
              <w:jc w:val="right"/>
              <w:rPr>
                <w:color w:val="000000"/>
                <w:kern w:val="0"/>
              </w:rPr>
            </w:pPr>
            <w:r w:rsidRPr="009E5BF9">
              <w:rPr>
                <w:color w:val="000000"/>
                <w:kern w:val="0"/>
              </w:rPr>
              <w:t>335,753</w:t>
            </w:r>
          </w:p>
        </w:tc>
        <w:tc>
          <w:tcPr>
            <w:tcW w:w="1816" w:type="dxa"/>
            <w:tcBorders>
              <w:top w:val="nil"/>
              <w:left w:val="nil"/>
              <w:bottom w:val="single" w:sz="8" w:space="0" w:color="000000"/>
              <w:right w:val="single" w:sz="8" w:space="0" w:color="000000"/>
            </w:tcBorders>
            <w:shd w:val="clear" w:color="auto" w:fill="auto"/>
            <w:noWrap/>
            <w:vAlign w:val="center"/>
          </w:tcPr>
          <w:p w:rsidR="000350B9" w:rsidRPr="009E5BF9" w:rsidP="000350B9" w14:paraId="78B9FA05" w14:textId="260E6C61">
            <w:pPr>
              <w:widowControl/>
              <w:overflowPunct/>
              <w:autoSpaceDE/>
              <w:autoSpaceDN/>
              <w:adjustRightInd/>
              <w:jc w:val="right"/>
              <w:rPr>
                <w:color w:val="000000"/>
                <w:kern w:val="0"/>
              </w:rPr>
            </w:pPr>
            <w:r>
              <w:rPr>
                <w:color w:val="000000"/>
                <w:kern w:val="0"/>
              </w:rPr>
              <w:t>367,181</w:t>
            </w:r>
          </w:p>
        </w:tc>
        <w:tc>
          <w:tcPr>
            <w:tcW w:w="1281" w:type="dxa"/>
            <w:tcBorders>
              <w:top w:val="nil"/>
              <w:left w:val="nil"/>
              <w:bottom w:val="single" w:sz="8" w:space="0" w:color="000000"/>
              <w:right w:val="single" w:sz="8" w:space="0" w:color="000000"/>
            </w:tcBorders>
            <w:shd w:val="clear" w:color="auto" w:fill="auto"/>
            <w:noWrap/>
            <w:vAlign w:val="bottom"/>
          </w:tcPr>
          <w:p w:rsidR="000350B9" w:rsidRPr="00BD3B6D" w:rsidP="000350B9" w14:paraId="11B9789F" w14:textId="12609D48">
            <w:pPr>
              <w:widowControl/>
              <w:overflowPunct/>
              <w:autoSpaceDE/>
              <w:autoSpaceDN/>
              <w:adjustRightInd/>
              <w:jc w:val="right"/>
              <w:rPr>
                <w:color w:val="000000"/>
                <w:kern w:val="0"/>
              </w:rPr>
            </w:pPr>
            <w:r w:rsidRPr="00B63DB7">
              <w:rPr>
                <w:color w:val="000000"/>
                <w:sz w:val="22"/>
                <w:szCs w:val="22"/>
              </w:rPr>
              <w:t>31,428</w:t>
            </w:r>
          </w:p>
        </w:tc>
      </w:tr>
      <w:tr w14:paraId="09B4E660"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2676BB" w:rsidRPr="009E5BF9" w:rsidP="002676BB" w14:paraId="44D2AADD" w14:textId="77777777">
            <w:pPr>
              <w:widowControl/>
              <w:overflowPunct/>
              <w:autoSpaceDE/>
              <w:autoSpaceDN/>
              <w:adjustRightInd/>
              <w:ind w:firstLine="200" w:firstLineChars="100"/>
              <w:rPr>
                <w:color w:val="000000"/>
                <w:kern w:val="0"/>
              </w:rPr>
            </w:pPr>
            <w:r w:rsidRPr="009E5BF9">
              <w:rPr>
                <w:color w:val="000000"/>
                <w:kern w:val="0"/>
              </w:rPr>
              <w:t>Periodic Exposure Measurement</w:t>
            </w:r>
          </w:p>
        </w:tc>
        <w:tc>
          <w:tcPr>
            <w:tcW w:w="1816" w:type="dxa"/>
            <w:tcBorders>
              <w:top w:val="nil"/>
              <w:left w:val="nil"/>
              <w:bottom w:val="single" w:sz="8" w:space="0" w:color="000000"/>
              <w:right w:val="single" w:sz="8" w:space="0" w:color="000000"/>
            </w:tcBorders>
            <w:shd w:val="clear" w:color="auto" w:fill="auto"/>
            <w:noWrap/>
            <w:vAlign w:val="center"/>
            <w:hideMark/>
          </w:tcPr>
          <w:p w:rsidR="002676BB" w:rsidRPr="009E5BF9" w:rsidP="002676BB" w14:paraId="60F1C8F5" w14:textId="1F7E970B">
            <w:pPr>
              <w:widowControl/>
              <w:overflowPunct/>
              <w:autoSpaceDE/>
              <w:autoSpaceDN/>
              <w:adjustRightInd/>
              <w:jc w:val="right"/>
              <w:rPr>
                <w:color w:val="000000"/>
                <w:kern w:val="0"/>
              </w:rPr>
            </w:pPr>
            <w:r w:rsidRPr="009E5BF9">
              <w:rPr>
                <w:color w:val="000000"/>
                <w:kern w:val="0"/>
              </w:rPr>
              <w:t>0</w:t>
            </w:r>
          </w:p>
        </w:tc>
        <w:tc>
          <w:tcPr>
            <w:tcW w:w="1816" w:type="dxa"/>
            <w:tcBorders>
              <w:top w:val="nil"/>
              <w:left w:val="nil"/>
              <w:bottom w:val="single" w:sz="8" w:space="0" w:color="000000"/>
              <w:right w:val="single" w:sz="8" w:space="0" w:color="000000"/>
            </w:tcBorders>
            <w:shd w:val="clear" w:color="auto" w:fill="auto"/>
            <w:noWrap/>
            <w:vAlign w:val="center"/>
          </w:tcPr>
          <w:p w:rsidR="002676BB" w:rsidRPr="009E5BF9" w:rsidP="002676BB" w14:paraId="36B755B1" w14:textId="56754A33">
            <w:pPr>
              <w:widowControl/>
              <w:overflowPunct/>
              <w:autoSpaceDE/>
              <w:autoSpaceDN/>
              <w:adjustRightInd/>
              <w:jc w:val="right"/>
              <w:rPr>
                <w:color w:val="000000"/>
                <w:kern w:val="0"/>
              </w:rPr>
            </w:pPr>
            <w:r>
              <w:rPr>
                <w:color w:val="000000"/>
                <w:kern w:val="0"/>
              </w:rPr>
              <w:t>0</w:t>
            </w:r>
          </w:p>
        </w:tc>
        <w:tc>
          <w:tcPr>
            <w:tcW w:w="1281" w:type="dxa"/>
            <w:tcBorders>
              <w:top w:val="nil"/>
              <w:left w:val="nil"/>
              <w:bottom w:val="single" w:sz="8" w:space="0" w:color="000000"/>
              <w:right w:val="single" w:sz="8" w:space="0" w:color="000000"/>
            </w:tcBorders>
            <w:shd w:val="clear" w:color="auto" w:fill="auto"/>
            <w:noWrap/>
            <w:vAlign w:val="center"/>
          </w:tcPr>
          <w:p w:rsidR="002676BB" w:rsidRPr="00BD3B6D" w:rsidP="002676BB" w14:paraId="325F365A" w14:textId="6CAC721F">
            <w:pPr>
              <w:widowControl/>
              <w:overflowPunct/>
              <w:autoSpaceDE/>
              <w:autoSpaceDN/>
              <w:adjustRightInd/>
              <w:jc w:val="right"/>
              <w:rPr>
                <w:color w:val="000000"/>
                <w:kern w:val="0"/>
              </w:rPr>
            </w:pPr>
            <w:r w:rsidRPr="00BD3B6D">
              <w:rPr>
                <w:color w:val="000000"/>
                <w:kern w:val="0"/>
              </w:rPr>
              <w:t>0</w:t>
            </w:r>
          </w:p>
        </w:tc>
      </w:tr>
      <w:tr w14:paraId="48158EAB"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2676BB" w:rsidRPr="009E5BF9" w:rsidP="002676BB" w14:paraId="7BF6B5E1" w14:textId="77777777">
            <w:pPr>
              <w:widowControl/>
              <w:overflowPunct/>
              <w:autoSpaceDE/>
              <w:autoSpaceDN/>
              <w:adjustRightInd/>
              <w:ind w:firstLine="200" w:firstLineChars="100"/>
              <w:rPr>
                <w:color w:val="000000"/>
                <w:kern w:val="0"/>
              </w:rPr>
            </w:pPr>
            <w:r w:rsidRPr="009E5BF9">
              <w:rPr>
                <w:color w:val="000000"/>
                <w:kern w:val="0"/>
              </w:rPr>
              <w:t>Employee Notification of Monitoring Results</w:t>
            </w:r>
          </w:p>
        </w:tc>
        <w:tc>
          <w:tcPr>
            <w:tcW w:w="1816" w:type="dxa"/>
            <w:tcBorders>
              <w:top w:val="nil"/>
              <w:left w:val="nil"/>
              <w:bottom w:val="single" w:sz="8" w:space="0" w:color="000000"/>
              <w:right w:val="single" w:sz="8" w:space="0" w:color="000000"/>
            </w:tcBorders>
            <w:shd w:val="clear" w:color="auto" w:fill="auto"/>
            <w:noWrap/>
            <w:vAlign w:val="center"/>
            <w:hideMark/>
          </w:tcPr>
          <w:p w:rsidR="002676BB" w:rsidRPr="009E5BF9" w:rsidP="002676BB" w14:paraId="42AC841B" w14:textId="2EA3092C">
            <w:pPr>
              <w:widowControl/>
              <w:overflowPunct/>
              <w:autoSpaceDE/>
              <w:autoSpaceDN/>
              <w:adjustRightInd/>
              <w:jc w:val="right"/>
              <w:rPr>
                <w:color w:val="000000"/>
                <w:kern w:val="0"/>
              </w:rPr>
            </w:pPr>
            <w:r w:rsidRPr="009E5BF9">
              <w:rPr>
                <w:color w:val="000000"/>
                <w:kern w:val="0"/>
              </w:rPr>
              <w:t>8,499</w:t>
            </w:r>
          </w:p>
        </w:tc>
        <w:tc>
          <w:tcPr>
            <w:tcW w:w="1816" w:type="dxa"/>
            <w:tcBorders>
              <w:top w:val="nil"/>
              <w:left w:val="nil"/>
              <w:bottom w:val="single" w:sz="8" w:space="0" w:color="000000"/>
              <w:right w:val="single" w:sz="8" w:space="0" w:color="000000"/>
            </w:tcBorders>
            <w:shd w:val="clear" w:color="auto" w:fill="auto"/>
            <w:noWrap/>
            <w:vAlign w:val="center"/>
          </w:tcPr>
          <w:p w:rsidR="002676BB" w:rsidRPr="009E5BF9" w:rsidP="002676BB" w14:paraId="6F54D3F3" w14:textId="3FA3A4D7">
            <w:pPr>
              <w:widowControl/>
              <w:overflowPunct/>
              <w:autoSpaceDE/>
              <w:autoSpaceDN/>
              <w:adjustRightInd/>
              <w:jc w:val="right"/>
              <w:rPr>
                <w:color w:val="000000"/>
                <w:kern w:val="0"/>
              </w:rPr>
            </w:pPr>
            <w:r>
              <w:rPr>
                <w:color w:val="000000"/>
                <w:kern w:val="0"/>
              </w:rPr>
              <w:t>9,139</w:t>
            </w:r>
          </w:p>
        </w:tc>
        <w:tc>
          <w:tcPr>
            <w:tcW w:w="1281" w:type="dxa"/>
            <w:tcBorders>
              <w:top w:val="nil"/>
              <w:left w:val="nil"/>
              <w:bottom w:val="single" w:sz="8" w:space="0" w:color="000000"/>
              <w:right w:val="single" w:sz="8" w:space="0" w:color="000000"/>
            </w:tcBorders>
            <w:shd w:val="clear" w:color="auto" w:fill="auto"/>
            <w:noWrap/>
            <w:vAlign w:val="center"/>
          </w:tcPr>
          <w:p w:rsidR="002676BB" w:rsidRPr="00BD3B6D" w:rsidP="002676BB" w14:paraId="245410CF" w14:textId="03F7AD5E">
            <w:pPr>
              <w:widowControl/>
              <w:overflowPunct/>
              <w:autoSpaceDE/>
              <w:autoSpaceDN/>
              <w:adjustRightInd/>
              <w:jc w:val="right"/>
              <w:rPr>
                <w:color w:val="000000"/>
                <w:kern w:val="0"/>
              </w:rPr>
            </w:pPr>
            <w:r w:rsidRPr="00BD3B6D">
              <w:rPr>
                <w:color w:val="000000"/>
                <w:kern w:val="0"/>
              </w:rPr>
              <w:t>640</w:t>
            </w:r>
          </w:p>
        </w:tc>
      </w:tr>
      <w:tr w14:paraId="4A7BDB92"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2676BB" w:rsidRPr="009E5BF9" w:rsidP="002676BB" w14:paraId="7E0F1C2C" w14:textId="77777777">
            <w:pPr>
              <w:widowControl/>
              <w:overflowPunct/>
              <w:autoSpaceDE/>
              <w:autoSpaceDN/>
              <w:adjustRightInd/>
              <w:rPr>
                <w:color w:val="000000"/>
                <w:kern w:val="0"/>
              </w:rPr>
            </w:pPr>
            <w:r w:rsidRPr="009E5BF9">
              <w:rPr>
                <w:color w:val="000000"/>
                <w:kern w:val="0"/>
              </w:rPr>
              <w:t>COMPLIANCE PROGRAM</w:t>
            </w:r>
          </w:p>
        </w:tc>
        <w:tc>
          <w:tcPr>
            <w:tcW w:w="1816" w:type="dxa"/>
            <w:tcBorders>
              <w:top w:val="nil"/>
              <w:left w:val="nil"/>
              <w:bottom w:val="single" w:sz="8" w:space="0" w:color="000000"/>
              <w:right w:val="single" w:sz="8" w:space="0" w:color="000000"/>
            </w:tcBorders>
            <w:shd w:val="clear" w:color="auto" w:fill="auto"/>
            <w:noWrap/>
            <w:vAlign w:val="center"/>
            <w:hideMark/>
          </w:tcPr>
          <w:p w:rsidR="002676BB" w:rsidRPr="009E5BF9" w:rsidP="002676BB" w14:paraId="24B8ACF6" w14:textId="4FC299C8">
            <w:pPr>
              <w:widowControl/>
              <w:overflowPunct/>
              <w:autoSpaceDE/>
              <w:autoSpaceDN/>
              <w:adjustRightInd/>
              <w:rPr>
                <w:color w:val="000000"/>
                <w:kern w:val="0"/>
              </w:rPr>
            </w:pPr>
            <w:r w:rsidRPr="009E5BF9">
              <w:rPr>
                <w:color w:val="000000"/>
                <w:kern w:val="0"/>
              </w:rPr>
              <w:t> </w:t>
            </w:r>
          </w:p>
        </w:tc>
        <w:tc>
          <w:tcPr>
            <w:tcW w:w="1816" w:type="dxa"/>
            <w:tcBorders>
              <w:top w:val="nil"/>
              <w:left w:val="nil"/>
              <w:bottom w:val="single" w:sz="8" w:space="0" w:color="000000"/>
              <w:right w:val="single" w:sz="8" w:space="0" w:color="000000"/>
            </w:tcBorders>
            <w:shd w:val="clear" w:color="auto" w:fill="auto"/>
            <w:noWrap/>
            <w:vAlign w:val="center"/>
          </w:tcPr>
          <w:p w:rsidR="002676BB" w:rsidRPr="009E5BF9" w:rsidP="002676BB" w14:paraId="5BD01F46" w14:textId="7792750E">
            <w:pPr>
              <w:widowControl/>
              <w:overflowPunct/>
              <w:autoSpaceDE/>
              <w:autoSpaceDN/>
              <w:adjustRightInd/>
              <w:rPr>
                <w:color w:val="000000"/>
                <w:kern w:val="0"/>
              </w:rPr>
            </w:pPr>
          </w:p>
        </w:tc>
        <w:tc>
          <w:tcPr>
            <w:tcW w:w="1281" w:type="dxa"/>
            <w:tcBorders>
              <w:top w:val="nil"/>
              <w:left w:val="nil"/>
              <w:bottom w:val="single" w:sz="8" w:space="0" w:color="000000"/>
              <w:right w:val="single" w:sz="8" w:space="0" w:color="000000"/>
            </w:tcBorders>
            <w:shd w:val="clear" w:color="auto" w:fill="auto"/>
            <w:noWrap/>
            <w:vAlign w:val="center"/>
          </w:tcPr>
          <w:p w:rsidR="002676BB" w:rsidRPr="00BD3B6D" w:rsidP="002676BB" w14:paraId="5A4CAC53" w14:textId="77777777">
            <w:pPr>
              <w:widowControl/>
              <w:overflowPunct/>
              <w:autoSpaceDE/>
              <w:autoSpaceDN/>
              <w:adjustRightInd/>
              <w:jc w:val="right"/>
              <w:rPr>
                <w:color w:val="000000"/>
                <w:kern w:val="0"/>
              </w:rPr>
            </w:pPr>
          </w:p>
        </w:tc>
      </w:tr>
      <w:tr w14:paraId="3B080E35"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2676BB" w:rsidRPr="009E5BF9" w:rsidP="002676BB" w14:paraId="0CA34DB4" w14:textId="77777777">
            <w:pPr>
              <w:widowControl/>
              <w:overflowPunct/>
              <w:autoSpaceDE/>
              <w:autoSpaceDN/>
              <w:adjustRightInd/>
              <w:ind w:firstLine="200" w:firstLineChars="100"/>
              <w:rPr>
                <w:color w:val="000000"/>
                <w:kern w:val="0"/>
              </w:rPr>
            </w:pPr>
            <w:r w:rsidRPr="009E5BF9">
              <w:rPr>
                <w:color w:val="000000"/>
                <w:kern w:val="0"/>
              </w:rPr>
              <w:t>Written Compliance Program</w:t>
            </w:r>
          </w:p>
        </w:tc>
        <w:tc>
          <w:tcPr>
            <w:tcW w:w="1816" w:type="dxa"/>
            <w:tcBorders>
              <w:top w:val="nil"/>
              <w:left w:val="nil"/>
              <w:bottom w:val="single" w:sz="8" w:space="0" w:color="000000"/>
              <w:right w:val="single" w:sz="8" w:space="0" w:color="000000"/>
            </w:tcBorders>
            <w:shd w:val="clear" w:color="auto" w:fill="auto"/>
            <w:noWrap/>
            <w:vAlign w:val="center"/>
            <w:hideMark/>
          </w:tcPr>
          <w:p w:rsidR="002676BB" w:rsidRPr="009E5BF9" w:rsidP="002676BB" w14:paraId="6FE8A7D0" w14:textId="0B89CD70">
            <w:pPr>
              <w:widowControl/>
              <w:overflowPunct/>
              <w:autoSpaceDE/>
              <w:autoSpaceDN/>
              <w:adjustRightInd/>
              <w:jc w:val="right"/>
              <w:rPr>
                <w:color w:val="A6A6A6"/>
                <w:kern w:val="0"/>
              </w:rPr>
            </w:pPr>
            <w:r w:rsidRPr="009E5BF9">
              <w:rPr>
                <w:color w:val="A6A6A6"/>
                <w:kern w:val="0"/>
              </w:rPr>
              <w:t> </w:t>
            </w:r>
          </w:p>
        </w:tc>
        <w:tc>
          <w:tcPr>
            <w:tcW w:w="1816" w:type="dxa"/>
            <w:tcBorders>
              <w:top w:val="nil"/>
              <w:left w:val="nil"/>
              <w:bottom w:val="single" w:sz="8" w:space="0" w:color="000000"/>
              <w:right w:val="single" w:sz="8" w:space="0" w:color="000000"/>
            </w:tcBorders>
            <w:shd w:val="clear" w:color="auto" w:fill="auto"/>
            <w:noWrap/>
            <w:vAlign w:val="center"/>
          </w:tcPr>
          <w:p w:rsidR="002676BB" w:rsidRPr="009E5BF9" w:rsidP="002676BB" w14:paraId="4B7AC3F5" w14:textId="48A18D66">
            <w:pPr>
              <w:widowControl/>
              <w:overflowPunct/>
              <w:autoSpaceDE/>
              <w:autoSpaceDN/>
              <w:adjustRightInd/>
              <w:rPr>
                <w:color w:val="A6A6A6"/>
                <w:kern w:val="0"/>
              </w:rPr>
            </w:pPr>
          </w:p>
        </w:tc>
        <w:tc>
          <w:tcPr>
            <w:tcW w:w="1281" w:type="dxa"/>
            <w:tcBorders>
              <w:top w:val="nil"/>
              <w:left w:val="nil"/>
              <w:bottom w:val="single" w:sz="8" w:space="0" w:color="000000"/>
              <w:right w:val="single" w:sz="8" w:space="0" w:color="000000"/>
            </w:tcBorders>
            <w:shd w:val="clear" w:color="auto" w:fill="auto"/>
            <w:noWrap/>
            <w:vAlign w:val="center"/>
          </w:tcPr>
          <w:p w:rsidR="002676BB" w:rsidRPr="00BD3B6D" w:rsidP="002676BB" w14:paraId="3FBC6F56" w14:textId="77777777">
            <w:pPr>
              <w:widowControl/>
              <w:overflowPunct/>
              <w:autoSpaceDE/>
              <w:autoSpaceDN/>
              <w:adjustRightInd/>
              <w:jc w:val="right"/>
              <w:rPr>
                <w:color w:val="000000"/>
                <w:kern w:val="0"/>
              </w:rPr>
            </w:pPr>
          </w:p>
        </w:tc>
      </w:tr>
      <w:tr w14:paraId="20EBBBCA"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94172" w:rsidRPr="009E5BF9" w:rsidP="00194172" w14:paraId="3F15EA89" w14:textId="77777777">
            <w:pPr>
              <w:widowControl/>
              <w:overflowPunct/>
              <w:autoSpaceDE/>
              <w:autoSpaceDN/>
              <w:adjustRightInd/>
              <w:ind w:firstLine="800" w:firstLineChars="400"/>
              <w:rPr>
                <w:i/>
                <w:iCs/>
                <w:color w:val="000000"/>
                <w:kern w:val="0"/>
              </w:rPr>
            </w:pPr>
            <w:r w:rsidRPr="009E5BF9">
              <w:rPr>
                <w:i/>
                <w:iCs/>
                <w:color w:val="000000"/>
                <w:kern w:val="0"/>
              </w:rPr>
              <w:t>Development of Written Compliance Program</w:t>
            </w:r>
          </w:p>
        </w:tc>
        <w:tc>
          <w:tcPr>
            <w:tcW w:w="1816" w:type="dxa"/>
            <w:tcBorders>
              <w:top w:val="nil"/>
              <w:left w:val="nil"/>
              <w:bottom w:val="single" w:sz="8" w:space="0" w:color="000000"/>
              <w:right w:val="single" w:sz="8" w:space="0" w:color="000000"/>
            </w:tcBorders>
            <w:shd w:val="clear" w:color="auto" w:fill="auto"/>
            <w:noWrap/>
            <w:vAlign w:val="center"/>
            <w:hideMark/>
          </w:tcPr>
          <w:p w:rsidR="00194172" w:rsidRPr="009E5BF9" w:rsidP="00194172" w14:paraId="46D35718" w14:textId="78BA70DF">
            <w:pPr>
              <w:widowControl/>
              <w:overflowPunct/>
              <w:autoSpaceDE/>
              <w:autoSpaceDN/>
              <w:adjustRightInd/>
              <w:jc w:val="right"/>
              <w:rPr>
                <w:color w:val="000000"/>
                <w:kern w:val="0"/>
              </w:rPr>
            </w:pPr>
            <w:r w:rsidRPr="009E5BF9">
              <w:rPr>
                <w:color w:val="000000"/>
                <w:kern w:val="0"/>
              </w:rPr>
              <w:t>14,719</w:t>
            </w:r>
          </w:p>
        </w:tc>
        <w:tc>
          <w:tcPr>
            <w:tcW w:w="1816" w:type="dxa"/>
            <w:tcBorders>
              <w:top w:val="nil"/>
              <w:left w:val="nil"/>
              <w:bottom w:val="single" w:sz="8" w:space="0" w:color="000000"/>
              <w:right w:val="single" w:sz="8" w:space="0" w:color="000000"/>
            </w:tcBorders>
            <w:shd w:val="clear" w:color="auto" w:fill="auto"/>
            <w:noWrap/>
            <w:vAlign w:val="center"/>
          </w:tcPr>
          <w:p w:rsidR="00194172" w:rsidRPr="009E5BF9" w:rsidP="00194172" w14:paraId="34C11EF1" w14:textId="23890DA7">
            <w:pPr>
              <w:widowControl/>
              <w:overflowPunct/>
              <w:autoSpaceDE/>
              <w:autoSpaceDN/>
              <w:adjustRightInd/>
              <w:jc w:val="right"/>
              <w:rPr>
                <w:color w:val="000000"/>
                <w:kern w:val="0"/>
              </w:rPr>
            </w:pPr>
            <w:r>
              <w:rPr>
                <w:color w:val="000000"/>
                <w:kern w:val="0"/>
              </w:rPr>
              <w:t>15,827</w:t>
            </w:r>
          </w:p>
        </w:tc>
        <w:tc>
          <w:tcPr>
            <w:tcW w:w="1281" w:type="dxa"/>
            <w:tcBorders>
              <w:top w:val="nil"/>
              <w:left w:val="nil"/>
              <w:bottom w:val="single" w:sz="8" w:space="0" w:color="000000"/>
              <w:right w:val="single" w:sz="8" w:space="0" w:color="000000"/>
            </w:tcBorders>
            <w:shd w:val="clear" w:color="auto" w:fill="auto"/>
            <w:noWrap/>
            <w:vAlign w:val="bottom"/>
          </w:tcPr>
          <w:p w:rsidR="00194172" w:rsidRPr="00BD3B6D" w:rsidP="00194172" w14:paraId="6FCCDA9D" w14:textId="5BDD9635">
            <w:pPr>
              <w:widowControl/>
              <w:overflowPunct/>
              <w:autoSpaceDE/>
              <w:autoSpaceDN/>
              <w:adjustRightInd/>
              <w:jc w:val="right"/>
              <w:rPr>
                <w:color w:val="000000"/>
                <w:kern w:val="0"/>
              </w:rPr>
            </w:pPr>
            <w:r w:rsidRPr="00B63DB7">
              <w:rPr>
                <w:color w:val="000000"/>
                <w:sz w:val="22"/>
                <w:szCs w:val="22"/>
              </w:rPr>
              <w:t>1,108</w:t>
            </w:r>
          </w:p>
        </w:tc>
      </w:tr>
      <w:tr w14:paraId="7C4AF8A9"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94172" w:rsidRPr="009E5BF9" w:rsidP="00194172" w14:paraId="0E8FE683" w14:textId="77777777">
            <w:pPr>
              <w:widowControl/>
              <w:overflowPunct/>
              <w:autoSpaceDE/>
              <w:autoSpaceDN/>
              <w:adjustRightInd/>
              <w:ind w:firstLine="800" w:firstLineChars="400"/>
              <w:rPr>
                <w:i/>
                <w:iCs/>
                <w:color w:val="000000"/>
                <w:kern w:val="0"/>
              </w:rPr>
            </w:pPr>
            <w:r w:rsidRPr="009E5BF9">
              <w:rPr>
                <w:i/>
                <w:iCs/>
                <w:color w:val="000000"/>
                <w:kern w:val="0"/>
              </w:rPr>
              <w:t>Annual Review of the Written Compliance Program Review</w:t>
            </w:r>
          </w:p>
        </w:tc>
        <w:tc>
          <w:tcPr>
            <w:tcW w:w="1816" w:type="dxa"/>
            <w:tcBorders>
              <w:top w:val="nil"/>
              <w:left w:val="nil"/>
              <w:bottom w:val="single" w:sz="8" w:space="0" w:color="000000"/>
              <w:right w:val="single" w:sz="8" w:space="0" w:color="000000"/>
            </w:tcBorders>
            <w:shd w:val="clear" w:color="auto" w:fill="auto"/>
            <w:noWrap/>
            <w:vAlign w:val="center"/>
            <w:hideMark/>
          </w:tcPr>
          <w:p w:rsidR="00194172" w:rsidRPr="009E5BF9" w:rsidP="00194172" w14:paraId="418AF6EC" w14:textId="5ED86796">
            <w:pPr>
              <w:widowControl/>
              <w:overflowPunct/>
              <w:autoSpaceDE/>
              <w:autoSpaceDN/>
              <w:adjustRightInd/>
              <w:jc w:val="right"/>
              <w:rPr>
                <w:color w:val="000000"/>
                <w:kern w:val="0"/>
              </w:rPr>
            </w:pPr>
            <w:r w:rsidRPr="009E5BF9">
              <w:rPr>
                <w:color w:val="000000"/>
                <w:kern w:val="0"/>
              </w:rPr>
              <w:t>74,376</w:t>
            </w:r>
          </w:p>
        </w:tc>
        <w:tc>
          <w:tcPr>
            <w:tcW w:w="1816" w:type="dxa"/>
            <w:tcBorders>
              <w:top w:val="nil"/>
              <w:left w:val="nil"/>
              <w:bottom w:val="single" w:sz="8" w:space="0" w:color="000000"/>
              <w:right w:val="single" w:sz="8" w:space="0" w:color="000000"/>
            </w:tcBorders>
            <w:shd w:val="clear" w:color="auto" w:fill="auto"/>
            <w:noWrap/>
            <w:vAlign w:val="center"/>
          </w:tcPr>
          <w:p w:rsidR="00194172" w:rsidRPr="009E5BF9" w:rsidP="00194172" w14:paraId="0B2F9294" w14:textId="2F0ADAC2">
            <w:pPr>
              <w:widowControl/>
              <w:overflowPunct/>
              <w:autoSpaceDE/>
              <w:autoSpaceDN/>
              <w:adjustRightInd/>
              <w:jc w:val="right"/>
              <w:rPr>
                <w:color w:val="000000"/>
                <w:kern w:val="0"/>
              </w:rPr>
            </w:pPr>
            <w:r>
              <w:rPr>
                <w:color w:val="000000"/>
                <w:kern w:val="0"/>
              </w:rPr>
              <w:t xml:space="preserve">79,977 </w:t>
            </w:r>
          </w:p>
        </w:tc>
        <w:tc>
          <w:tcPr>
            <w:tcW w:w="1281" w:type="dxa"/>
            <w:tcBorders>
              <w:top w:val="nil"/>
              <w:left w:val="nil"/>
              <w:bottom w:val="single" w:sz="8" w:space="0" w:color="000000"/>
              <w:right w:val="single" w:sz="8" w:space="0" w:color="000000"/>
            </w:tcBorders>
            <w:shd w:val="clear" w:color="auto" w:fill="auto"/>
            <w:noWrap/>
            <w:vAlign w:val="bottom"/>
          </w:tcPr>
          <w:p w:rsidR="00194172" w:rsidRPr="00BD3B6D" w:rsidP="00194172" w14:paraId="3B16FF3F" w14:textId="4E770238">
            <w:pPr>
              <w:widowControl/>
              <w:overflowPunct/>
              <w:autoSpaceDE/>
              <w:autoSpaceDN/>
              <w:adjustRightInd/>
              <w:jc w:val="right"/>
              <w:rPr>
                <w:color w:val="000000"/>
                <w:kern w:val="0"/>
              </w:rPr>
            </w:pPr>
            <w:r w:rsidRPr="00B63DB7">
              <w:rPr>
                <w:color w:val="000000"/>
                <w:sz w:val="22"/>
                <w:szCs w:val="22"/>
              </w:rPr>
              <w:t>5,601</w:t>
            </w:r>
          </w:p>
        </w:tc>
      </w:tr>
      <w:tr w14:paraId="0E0CCA8B"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94172" w:rsidRPr="009E5BF9" w:rsidP="00194172" w14:paraId="6332775C" w14:textId="77777777">
            <w:pPr>
              <w:widowControl/>
              <w:overflowPunct/>
              <w:autoSpaceDE/>
              <w:autoSpaceDN/>
              <w:adjustRightInd/>
              <w:ind w:firstLine="200" w:firstLineChars="100"/>
              <w:rPr>
                <w:color w:val="000000"/>
                <w:kern w:val="0"/>
              </w:rPr>
            </w:pPr>
            <w:r w:rsidRPr="009E5BF9">
              <w:rPr>
                <w:color w:val="000000"/>
                <w:kern w:val="0"/>
              </w:rPr>
              <w:t>Administrative Controls</w:t>
            </w:r>
          </w:p>
        </w:tc>
        <w:tc>
          <w:tcPr>
            <w:tcW w:w="1816" w:type="dxa"/>
            <w:tcBorders>
              <w:top w:val="nil"/>
              <w:left w:val="nil"/>
              <w:bottom w:val="single" w:sz="8" w:space="0" w:color="000000"/>
              <w:right w:val="single" w:sz="8" w:space="0" w:color="000000"/>
            </w:tcBorders>
            <w:shd w:val="clear" w:color="auto" w:fill="auto"/>
            <w:noWrap/>
            <w:vAlign w:val="center"/>
            <w:hideMark/>
          </w:tcPr>
          <w:p w:rsidR="00194172" w:rsidRPr="009E5BF9" w:rsidP="00194172" w14:paraId="2219E9F4" w14:textId="469CEB98">
            <w:pPr>
              <w:widowControl/>
              <w:overflowPunct/>
              <w:autoSpaceDE/>
              <w:autoSpaceDN/>
              <w:adjustRightInd/>
              <w:jc w:val="right"/>
              <w:rPr>
                <w:color w:val="000000"/>
                <w:kern w:val="0"/>
              </w:rPr>
            </w:pPr>
            <w:r w:rsidRPr="009E5BF9">
              <w:rPr>
                <w:color w:val="000000"/>
                <w:kern w:val="0"/>
              </w:rPr>
              <w:t>2,037</w:t>
            </w:r>
          </w:p>
        </w:tc>
        <w:tc>
          <w:tcPr>
            <w:tcW w:w="1816" w:type="dxa"/>
            <w:tcBorders>
              <w:top w:val="nil"/>
              <w:left w:val="nil"/>
              <w:bottom w:val="single" w:sz="8" w:space="0" w:color="000000"/>
              <w:right w:val="single" w:sz="8" w:space="0" w:color="000000"/>
            </w:tcBorders>
            <w:shd w:val="clear" w:color="auto" w:fill="auto"/>
            <w:noWrap/>
            <w:vAlign w:val="center"/>
          </w:tcPr>
          <w:p w:rsidR="00194172" w:rsidRPr="009E5BF9" w:rsidP="00194172" w14:paraId="5730EDD6" w14:textId="0D070A7A">
            <w:pPr>
              <w:widowControl/>
              <w:overflowPunct/>
              <w:autoSpaceDE/>
              <w:autoSpaceDN/>
              <w:adjustRightInd/>
              <w:jc w:val="right"/>
              <w:rPr>
                <w:color w:val="000000"/>
                <w:kern w:val="0"/>
              </w:rPr>
            </w:pPr>
            <w:r>
              <w:rPr>
                <w:color w:val="000000"/>
                <w:kern w:val="0"/>
              </w:rPr>
              <w:t xml:space="preserve">3,806 </w:t>
            </w:r>
          </w:p>
        </w:tc>
        <w:tc>
          <w:tcPr>
            <w:tcW w:w="1281" w:type="dxa"/>
            <w:tcBorders>
              <w:top w:val="nil"/>
              <w:left w:val="nil"/>
              <w:bottom w:val="single" w:sz="8" w:space="0" w:color="000000"/>
              <w:right w:val="single" w:sz="8" w:space="0" w:color="000000"/>
            </w:tcBorders>
            <w:shd w:val="clear" w:color="auto" w:fill="auto"/>
            <w:noWrap/>
            <w:vAlign w:val="bottom"/>
          </w:tcPr>
          <w:p w:rsidR="00194172" w:rsidRPr="00BD3B6D" w:rsidP="00194172" w14:paraId="0B210D6D" w14:textId="62299F25">
            <w:pPr>
              <w:widowControl/>
              <w:overflowPunct/>
              <w:autoSpaceDE/>
              <w:autoSpaceDN/>
              <w:adjustRightInd/>
              <w:jc w:val="right"/>
              <w:rPr>
                <w:color w:val="000000"/>
                <w:kern w:val="0"/>
              </w:rPr>
            </w:pPr>
            <w:r w:rsidRPr="00B63DB7">
              <w:rPr>
                <w:color w:val="000000"/>
                <w:sz w:val="22"/>
                <w:szCs w:val="22"/>
              </w:rPr>
              <w:t>1,769</w:t>
            </w:r>
          </w:p>
        </w:tc>
      </w:tr>
      <w:tr w14:paraId="6EBF1D05"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94172" w:rsidRPr="009E5BF9" w:rsidP="00194172" w14:paraId="1BC2F5F7" w14:textId="77777777">
            <w:pPr>
              <w:widowControl/>
              <w:overflowPunct/>
              <w:autoSpaceDE/>
              <w:autoSpaceDN/>
              <w:adjustRightInd/>
              <w:rPr>
                <w:color w:val="000000"/>
                <w:kern w:val="0"/>
              </w:rPr>
            </w:pPr>
            <w:r w:rsidRPr="009E5BF9">
              <w:rPr>
                <w:color w:val="000000"/>
                <w:kern w:val="0"/>
              </w:rPr>
              <w:t>NOTIFYING THE LAUNDRY</w:t>
            </w:r>
          </w:p>
        </w:tc>
        <w:tc>
          <w:tcPr>
            <w:tcW w:w="1816" w:type="dxa"/>
            <w:tcBorders>
              <w:top w:val="nil"/>
              <w:left w:val="nil"/>
              <w:bottom w:val="single" w:sz="8" w:space="0" w:color="000000"/>
              <w:right w:val="single" w:sz="8" w:space="0" w:color="000000"/>
            </w:tcBorders>
            <w:shd w:val="clear" w:color="auto" w:fill="auto"/>
            <w:noWrap/>
            <w:vAlign w:val="center"/>
            <w:hideMark/>
          </w:tcPr>
          <w:p w:rsidR="00194172" w:rsidRPr="009E5BF9" w:rsidP="00194172" w14:paraId="2162B270" w14:textId="71CB2A73">
            <w:pPr>
              <w:widowControl/>
              <w:overflowPunct/>
              <w:autoSpaceDE/>
              <w:autoSpaceDN/>
              <w:adjustRightInd/>
              <w:jc w:val="right"/>
              <w:rPr>
                <w:color w:val="000000"/>
                <w:kern w:val="0"/>
              </w:rPr>
            </w:pPr>
            <w:r w:rsidRPr="009E5BF9">
              <w:rPr>
                <w:color w:val="000000"/>
                <w:kern w:val="0"/>
              </w:rPr>
              <w:t>6,707</w:t>
            </w:r>
          </w:p>
        </w:tc>
        <w:tc>
          <w:tcPr>
            <w:tcW w:w="1816" w:type="dxa"/>
            <w:tcBorders>
              <w:top w:val="nil"/>
              <w:left w:val="nil"/>
              <w:bottom w:val="single" w:sz="8" w:space="0" w:color="000000"/>
              <w:right w:val="single" w:sz="8" w:space="0" w:color="000000"/>
            </w:tcBorders>
            <w:shd w:val="clear" w:color="auto" w:fill="auto"/>
            <w:noWrap/>
            <w:vAlign w:val="center"/>
          </w:tcPr>
          <w:p w:rsidR="00194172" w:rsidRPr="009E5BF9" w:rsidP="00194172" w14:paraId="626444E2" w14:textId="1A288015">
            <w:pPr>
              <w:widowControl/>
              <w:overflowPunct/>
              <w:autoSpaceDE/>
              <w:autoSpaceDN/>
              <w:adjustRightInd/>
              <w:jc w:val="right"/>
              <w:rPr>
                <w:color w:val="000000"/>
                <w:kern w:val="0"/>
              </w:rPr>
            </w:pPr>
            <w:r>
              <w:rPr>
                <w:color w:val="000000"/>
                <w:kern w:val="0"/>
              </w:rPr>
              <w:t>7,212</w:t>
            </w:r>
          </w:p>
        </w:tc>
        <w:tc>
          <w:tcPr>
            <w:tcW w:w="1281" w:type="dxa"/>
            <w:tcBorders>
              <w:top w:val="nil"/>
              <w:left w:val="nil"/>
              <w:bottom w:val="single" w:sz="8" w:space="0" w:color="000000"/>
              <w:right w:val="single" w:sz="8" w:space="0" w:color="000000"/>
            </w:tcBorders>
            <w:shd w:val="clear" w:color="auto" w:fill="auto"/>
            <w:noWrap/>
            <w:vAlign w:val="bottom"/>
          </w:tcPr>
          <w:p w:rsidR="00194172" w:rsidRPr="00BD3B6D" w:rsidP="00194172" w14:paraId="3BB375E8" w14:textId="1EC65450">
            <w:pPr>
              <w:widowControl/>
              <w:overflowPunct/>
              <w:autoSpaceDE/>
              <w:autoSpaceDN/>
              <w:adjustRightInd/>
              <w:jc w:val="right"/>
              <w:rPr>
                <w:color w:val="000000"/>
                <w:kern w:val="0"/>
              </w:rPr>
            </w:pPr>
            <w:r w:rsidRPr="00B63DB7">
              <w:rPr>
                <w:color w:val="000000"/>
                <w:sz w:val="22"/>
                <w:szCs w:val="22"/>
              </w:rPr>
              <w:t>505</w:t>
            </w:r>
          </w:p>
        </w:tc>
      </w:tr>
      <w:tr w14:paraId="60A1D7BA"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2676BB" w:rsidRPr="009E5BF9" w:rsidP="002676BB" w14:paraId="34C93D8E" w14:textId="77777777">
            <w:pPr>
              <w:widowControl/>
              <w:overflowPunct/>
              <w:autoSpaceDE/>
              <w:autoSpaceDN/>
              <w:adjustRightInd/>
              <w:rPr>
                <w:color w:val="000000"/>
                <w:kern w:val="0"/>
              </w:rPr>
            </w:pPr>
            <w:r w:rsidRPr="009E5BF9">
              <w:rPr>
                <w:color w:val="000000"/>
                <w:kern w:val="0"/>
              </w:rPr>
              <w:t>MEDICAL SURVEILLANCE</w:t>
            </w:r>
          </w:p>
        </w:tc>
        <w:tc>
          <w:tcPr>
            <w:tcW w:w="1816" w:type="dxa"/>
            <w:tcBorders>
              <w:top w:val="nil"/>
              <w:left w:val="nil"/>
              <w:bottom w:val="single" w:sz="8" w:space="0" w:color="000000"/>
              <w:right w:val="single" w:sz="8" w:space="0" w:color="000000"/>
            </w:tcBorders>
            <w:shd w:val="clear" w:color="auto" w:fill="auto"/>
            <w:noWrap/>
            <w:vAlign w:val="center"/>
            <w:hideMark/>
          </w:tcPr>
          <w:p w:rsidR="002676BB" w:rsidRPr="009E5BF9" w:rsidP="002676BB" w14:paraId="274B4A6D" w14:textId="399D3AC2">
            <w:pPr>
              <w:widowControl/>
              <w:overflowPunct/>
              <w:autoSpaceDE/>
              <w:autoSpaceDN/>
              <w:adjustRightInd/>
              <w:rPr>
                <w:color w:val="000000"/>
                <w:kern w:val="0"/>
              </w:rPr>
            </w:pPr>
            <w:r w:rsidRPr="009E5BF9">
              <w:rPr>
                <w:color w:val="000000"/>
                <w:kern w:val="0"/>
              </w:rPr>
              <w:t> </w:t>
            </w:r>
          </w:p>
        </w:tc>
        <w:tc>
          <w:tcPr>
            <w:tcW w:w="1816" w:type="dxa"/>
            <w:tcBorders>
              <w:top w:val="nil"/>
              <w:left w:val="nil"/>
              <w:bottom w:val="single" w:sz="8" w:space="0" w:color="000000"/>
              <w:right w:val="single" w:sz="8" w:space="0" w:color="000000"/>
            </w:tcBorders>
            <w:shd w:val="clear" w:color="auto" w:fill="auto"/>
            <w:noWrap/>
            <w:vAlign w:val="center"/>
          </w:tcPr>
          <w:p w:rsidR="002676BB" w:rsidRPr="009E5BF9" w:rsidP="002676BB" w14:paraId="0E730946" w14:textId="5FE3F912">
            <w:pPr>
              <w:widowControl/>
              <w:overflowPunct/>
              <w:autoSpaceDE/>
              <w:autoSpaceDN/>
              <w:adjustRightInd/>
              <w:rPr>
                <w:color w:val="000000"/>
                <w:kern w:val="0"/>
              </w:rPr>
            </w:pPr>
          </w:p>
        </w:tc>
        <w:tc>
          <w:tcPr>
            <w:tcW w:w="1281" w:type="dxa"/>
            <w:tcBorders>
              <w:top w:val="nil"/>
              <w:left w:val="nil"/>
              <w:bottom w:val="single" w:sz="8" w:space="0" w:color="000000"/>
              <w:right w:val="single" w:sz="8" w:space="0" w:color="000000"/>
            </w:tcBorders>
            <w:shd w:val="clear" w:color="auto" w:fill="auto"/>
            <w:noWrap/>
            <w:vAlign w:val="center"/>
          </w:tcPr>
          <w:p w:rsidR="002676BB" w:rsidRPr="00BD3B6D" w:rsidP="002676BB" w14:paraId="6E377574" w14:textId="77777777">
            <w:pPr>
              <w:widowControl/>
              <w:overflowPunct/>
              <w:autoSpaceDE/>
              <w:autoSpaceDN/>
              <w:adjustRightInd/>
              <w:jc w:val="right"/>
              <w:rPr>
                <w:color w:val="000000"/>
                <w:kern w:val="0"/>
              </w:rPr>
            </w:pPr>
          </w:p>
        </w:tc>
      </w:tr>
      <w:tr w14:paraId="3E158AFA"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2676BB" w:rsidRPr="009E5BF9" w:rsidP="002676BB" w14:paraId="3BDDECB0" w14:textId="77777777">
            <w:pPr>
              <w:widowControl/>
              <w:overflowPunct/>
              <w:autoSpaceDE/>
              <w:autoSpaceDN/>
              <w:adjustRightInd/>
              <w:ind w:firstLine="200" w:firstLineChars="100"/>
              <w:rPr>
                <w:color w:val="000000"/>
                <w:kern w:val="0"/>
              </w:rPr>
            </w:pPr>
            <w:r w:rsidRPr="009E5BF9">
              <w:rPr>
                <w:color w:val="000000"/>
                <w:kern w:val="0"/>
              </w:rPr>
              <w:t>Biological Monitoring</w:t>
            </w:r>
          </w:p>
        </w:tc>
        <w:tc>
          <w:tcPr>
            <w:tcW w:w="1816" w:type="dxa"/>
            <w:tcBorders>
              <w:top w:val="nil"/>
              <w:left w:val="nil"/>
              <w:bottom w:val="single" w:sz="4" w:space="0" w:color="auto"/>
              <w:right w:val="single" w:sz="8" w:space="0" w:color="000000"/>
            </w:tcBorders>
            <w:shd w:val="clear" w:color="auto" w:fill="auto"/>
            <w:noWrap/>
            <w:vAlign w:val="center"/>
            <w:hideMark/>
          </w:tcPr>
          <w:p w:rsidR="002676BB" w:rsidRPr="009E5BF9" w:rsidP="002676BB" w14:paraId="4BCDE7EA" w14:textId="47D70426">
            <w:pPr>
              <w:widowControl/>
              <w:overflowPunct/>
              <w:autoSpaceDE/>
              <w:autoSpaceDN/>
              <w:adjustRightInd/>
              <w:rPr>
                <w:color w:val="000000"/>
                <w:kern w:val="0"/>
              </w:rPr>
            </w:pPr>
            <w:r w:rsidRPr="009E5BF9">
              <w:rPr>
                <w:color w:val="000000"/>
                <w:kern w:val="0"/>
              </w:rPr>
              <w:t> </w:t>
            </w:r>
          </w:p>
        </w:tc>
        <w:tc>
          <w:tcPr>
            <w:tcW w:w="1816" w:type="dxa"/>
            <w:tcBorders>
              <w:top w:val="nil"/>
              <w:left w:val="nil"/>
              <w:bottom w:val="single" w:sz="4" w:space="0" w:color="auto"/>
              <w:right w:val="single" w:sz="8" w:space="0" w:color="000000"/>
            </w:tcBorders>
            <w:shd w:val="clear" w:color="auto" w:fill="auto"/>
            <w:noWrap/>
            <w:vAlign w:val="center"/>
          </w:tcPr>
          <w:p w:rsidR="002676BB" w:rsidRPr="009E5BF9" w:rsidP="002676BB" w14:paraId="3546DCE4" w14:textId="1EC71321">
            <w:pPr>
              <w:widowControl/>
              <w:overflowPunct/>
              <w:autoSpaceDE/>
              <w:autoSpaceDN/>
              <w:adjustRightInd/>
              <w:rPr>
                <w:color w:val="000000"/>
                <w:kern w:val="0"/>
              </w:rPr>
            </w:pPr>
          </w:p>
        </w:tc>
        <w:tc>
          <w:tcPr>
            <w:tcW w:w="1281" w:type="dxa"/>
            <w:tcBorders>
              <w:top w:val="nil"/>
              <w:left w:val="nil"/>
              <w:bottom w:val="single" w:sz="4" w:space="0" w:color="auto"/>
              <w:right w:val="single" w:sz="8" w:space="0" w:color="000000"/>
            </w:tcBorders>
            <w:shd w:val="clear" w:color="auto" w:fill="auto"/>
            <w:noWrap/>
            <w:vAlign w:val="center"/>
          </w:tcPr>
          <w:p w:rsidR="002676BB" w:rsidRPr="00BD3B6D" w:rsidP="002676BB" w14:paraId="7A94EB58" w14:textId="77777777">
            <w:pPr>
              <w:widowControl/>
              <w:overflowPunct/>
              <w:autoSpaceDE/>
              <w:autoSpaceDN/>
              <w:adjustRightInd/>
              <w:jc w:val="right"/>
              <w:rPr>
                <w:color w:val="000000"/>
                <w:kern w:val="0"/>
              </w:rPr>
            </w:pPr>
          </w:p>
        </w:tc>
      </w:tr>
      <w:tr w14:paraId="58A00559"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000A6" w:rsidRPr="009E5BF9" w:rsidP="00F000A6" w14:paraId="5B8163F9" w14:textId="77777777">
            <w:pPr>
              <w:widowControl/>
              <w:overflowPunct/>
              <w:autoSpaceDE/>
              <w:autoSpaceDN/>
              <w:adjustRightInd/>
              <w:ind w:firstLine="800" w:firstLineChars="400"/>
              <w:rPr>
                <w:i/>
                <w:iCs/>
                <w:color w:val="000000"/>
                <w:kern w:val="0"/>
              </w:rPr>
            </w:pPr>
            <w:r w:rsidRPr="009E5BF9">
              <w:rPr>
                <w:i/>
                <w:iCs/>
                <w:color w:val="000000"/>
                <w:kern w:val="0"/>
              </w:rPr>
              <w:t>Initial Medical Surveillance</w:t>
            </w:r>
          </w:p>
        </w:tc>
        <w:tc>
          <w:tcPr>
            <w:tcW w:w="1816" w:type="dxa"/>
            <w:tcBorders>
              <w:top w:val="single" w:sz="4" w:space="0" w:color="auto"/>
              <w:left w:val="nil"/>
              <w:bottom w:val="single" w:sz="8" w:space="0" w:color="000000"/>
              <w:right w:val="single" w:sz="8" w:space="0" w:color="000000"/>
            </w:tcBorders>
            <w:shd w:val="clear" w:color="auto" w:fill="auto"/>
            <w:noWrap/>
            <w:vAlign w:val="center"/>
            <w:hideMark/>
          </w:tcPr>
          <w:p w:rsidR="00F000A6" w:rsidRPr="009E5BF9" w:rsidP="00F000A6" w14:paraId="0DE5286B" w14:textId="56358CFD">
            <w:pPr>
              <w:widowControl/>
              <w:overflowPunct/>
              <w:autoSpaceDE/>
              <w:autoSpaceDN/>
              <w:adjustRightInd/>
              <w:jc w:val="right"/>
              <w:rPr>
                <w:color w:val="000000"/>
                <w:kern w:val="0"/>
              </w:rPr>
            </w:pPr>
            <w:r w:rsidRPr="009E5BF9">
              <w:rPr>
                <w:color w:val="000000"/>
                <w:kern w:val="0"/>
              </w:rPr>
              <w:t>18,645</w:t>
            </w:r>
          </w:p>
        </w:tc>
        <w:tc>
          <w:tcPr>
            <w:tcW w:w="1816" w:type="dxa"/>
            <w:tcBorders>
              <w:top w:val="single" w:sz="4" w:space="0" w:color="auto"/>
              <w:left w:val="nil"/>
              <w:bottom w:val="single" w:sz="8" w:space="0" w:color="000000"/>
              <w:right w:val="single" w:sz="8" w:space="0" w:color="000000"/>
            </w:tcBorders>
            <w:shd w:val="clear" w:color="auto" w:fill="auto"/>
            <w:noWrap/>
            <w:vAlign w:val="center"/>
          </w:tcPr>
          <w:p w:rsidR="00F000A6" w:rsidRPr="009E5BF9" w:rsidP="00F000A6" w14:paraId="2B4C45FF" w14:textId="5F6EA1FF">
            <w:pPr>
              <w:widowControl/>
              <w:overflowPunct/>
              <w:autoSpaceDE/>
              <w:autoSpaceDN/>
              <w:adjustRightInd/>
              <w:jc w:val="right"/>
              <w:rPr>
                <w:color w:val="000000"/>
                <w:kern w:val="0"/>
              </w:rPr>
            </w:pPr>
            <w:r>
              <w:rPr>
                <w:color w:val="000000"/>
                <w:kern w:val="0"/>
              </w:rPr>
              <w:t>16,051</w:t>
            </w:r>
          </w:p>
        </w:tc>
        <w:tc>
          <w:tcPr>
            <w:tcW w:w="1281" w:type="dxa"/>
            <w:tcBorders>
              <w:top w:val="single" w:sz="4" w:space="0" w:color="auto"/>
              <w:left w:val="nil"/>
              <w:bottom w:val="single" w:sz="8" w:space="0" w:color="000000"/>
              <w:right w:val="single" w:sz="8" w:space="0" w:color="000000"/>
            </w:tcBorders>
            <w:shd w:val="clear" w:color="auto" w:fill="auto"/>
            <w:noWrap/>
            <w:vAlign w:val="bottom"/>
          </w:tcPr>
          <w:p w:rsidR="00F000A6" w:rsidRPr="00BD3B6D" w:rsidP="00F000A6" w14:paraId="28261929" w14:textId="4C212358">
            <w:pPr>
              <w:widowControl/>
              <w:overflowPunct/>
              <w:autoSpaceDE/>
              <w:autoSpaceDN/>
              <w:adjustRightInd/>
              <w:jc w:val="right"/>
              <w:rPr>
                <w:color w:val="000000"/>
                <w:kern w:val="0"/>
              </w:rPr>
            </w:pPr>
            <w:r w:rsidRPr="00B63DB7">
              <w:rPr>
                <w:color w:val="000000"/>
                <w:sz w:val="22"/>
                <w:szCs w:val="22"/>
              </w:rPr>
              <w:t>-2,594</w:t>
            </w:r>
          </w:p>
        </w:tc>
      </w:tr>
      <w:tr w14:paraId="51221C04"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000A6" w:rsidRPr="009E5BF9" w:rsidP="00F000A6" w14:paraId="0DF9FDCD" w14:textId="77777777">
            <w:pPr>
              <w:widowControl/>
              <w:overflowPunct/>
              <w:autoSpaceDE/>
              <w:autoSpaceDN/>
              <w:adjustRightInd/>
              <w:ind w:firstLine="800" w:firstLineChars="400"/>
              <w:rPr>
                <w:i/>
                <w:iCs/>
                <w:color w:val="000000"/>
                <w:kern w:val="0"/>
              </w:rPr>
            </w:pPr>
            <w:r w:rsidRPr="009E5BF9">
              <w:rPr>
                <w:i/>
                <w:iCs/>
                <w:color w:val="000000"/>
                <w:kern w:val="0"/>
              </w:rPr>
              <w:t>Periodic Medical Surveillance</w:t>
            </w:r>
          </w:p>
        </w:tc>
        <w:tc>
          <w:tcPr>
            <w:tcW w:w="1816" w:type="dxa"/>
            <w:tcBorders>
              <w:top w:val="nil"/>
              <w:left w:val="nil"/>
              <w:bottom w:val="single" w:sz="8" w:space="0" w:color="000000"/>
              <w:right w:val="single" w:sz="8" w:space="0" w:color="000000"/>
            </w:tcBorders>
            <w:shd w:val="clear" w:color="auto" w:fill="auto"/>
            <w:noWrap/>
            <w:vAlign w:val="center"/>
            <w:hideMark/>
          </w:tcPr>
          <w:p w:rsidR="00F000A6" w:rsidRPr="009E5BF9" w:rsidP="00F000A6" w14:paraId="4A8A6C7A" w14:textId="2E55C06F">
            <w:pPr>
              <w:widowControl/>
              <w:overflowPunct/>
              <w:autoSpaceDE/>
              <w:autoSpaceDN/>
              <w:adjustRightInd/>
              <w:jc w:val="right"/>
              <w:rPr>
                <w:color w:val="000000"/>
                <w:kern w:val="0"/>
              </w:rPr>
            </w:pPr>
            <w:r w:rsidRPr="009E5BF9">
              <w:rPr>
                <w:color w:val="000000"/>
                <w:kern w:val="0"/>
              </w:rPr>
              <w:t>34,097</w:t>
            </w:r>
          </w:p>
        </w:tc>
        <w:tc>
          <w:tcPr>
            <w:tcW w:w="1816" w:type="dxa"/>
            <w:tcBorders>
              <w:top w:val="nil"/>
              <w:left w:val="nil"/>
              <w:bottom w:val="single" w:sz="8" w:space="0" w:color="000000"/>
              <w:right w:val="single" w:sz="8" w:space="0" w:color="000000"/>
            </w:tcBorders>
            <w:shd w:val="clear" w:color="auto" w:fill="auto"/>
            <w:noWrap/>
            <w:vAlign w:val="center"/>
          </w:tcPr>
          <w:p w:rsidR="00F000A6" w:rsidRPr="009E5BF9" w:rsidP="00F000A6" w14:paraId="3B705757" w14:textId="2AC43785">
            <w:pPr>
              <w:widowControl/>
              <w:overflowPunct/>
              <w:autoSpaceDE/>
              <w:autoSpaceDN/>
              <w:adjustRightInd/>
              <w:jc w:val="right"/>
              <w:rPr>
                <w:color w:val="000000"/>
                <w:kern w:val="0"/>
              </w:rPr>
            </w:pPr>
            <w:r>
              <w:rPr>
                <w:color w:val="000000"/>
                <w:kern w:val="0"/>
              </w:rPr>
              <w:t>14,560</w:t>
            </w:r>
          </w:p>
        </w:tc>
        <w:tc>
          <w:tcPr>
            <w:tcW w:w="1281" w:type="dxa"/>
            <w:tcBorders>
              <w:top w:val="nil"/>
              <w:left w:val="nil"/>
              <w:bottom w:val="single" w:sz="8" w:space="0" w:color="000000"/>
              <w:right w:val="single" w:sz="8" w:space="0" w:color="000000"/>
            </w:tcBorders>
            <w:shd w:val="clear" w:color="auto" w:fill="auto"/>
            <w:noWrap/>
            <w:vAlign w:val="bottom"/>
          </w:tcPr>
          <w:p w:rsidR="00F000A6" w:rsidRPr="00BD3B6D" w:rsidP="00F000A6" w14:paraId="5FD38855" w14:textId="4492B0F3">
            <w:pPr>
              <w:widowControl/>
              <w:overflowPunct/>
              <w:autoSpaceDE/>
              <w:autoSpaceDN/>
              <w:adjustRightInd/>
              <w:jc w:val="right"/>
              <w:rPr>
                <w:color w:val="000000"/>
                <w:kern w:val="0"/>
              </w:rPr>
            </w:pPr>
            <w:r w:rsidRPr="00B63DB7">
              <w:rPr>
                <w:color w:val="000000"/>
                <w:sz w:val="22"/>
                <w:szCs w:val="22"/>
              </w:rPr>
              <w:t>-19,537</w:t>
            </w:r>
          </w:p>
        </w:tc>
      </w:tr>
      <w:tr w14:paraId="5E2415C4"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000A6" w:rsidRPr="009E5BF9" w:rsidP="00F000A6" w14:paraId="249997F4" w14:textId="77777777">
            <w:pPr>
              <w:widowControl/>
              <w:overflowPunct/>
              <w:autoSpaceDE/>
              <w:autoSpaceDN/>
              <w:adjustRightInd/>
              <w:ind w:firstLine="200" w:firstLineChars="100"/>
              <w:rPr>
                <w:color w:val="000000"/>
                <w:kern w:val="0"/>
              </w:rPr>
            </w:pPr>
            <w:r w:rsidRPr="009E5BF9">
              <w:rPr>
                <w:color w:val="000000"/>
                <w:kern w:val="0"/>
              </w:rPr>
              <w:t>Employee Notification of Results</w:t>
            </w:r>
          </w:p>
        </w:tc>
        <w:tc>
          <w:tcPr>
            <w:tcW w:w="1816" w:type="dxa"/>
            <w:tcBorders>
              <w:top w:val="nil"/>
              <w:left w:val="nil"/>
              <w:bottom w:val="single" w:sz="8" w:space="0" w:color="000000"/>
              <w:right w:val="single" w:sz="8" w:space="0" w:color="000000"/>
            </w:tcBorders>
            <w:shd w:val="clear" w:color="auto" w:fill="auto"/>
            <w:noWrap/>
            <w:vAlign w:val="center"/>
            <w:hideMark/>
          </w:tcPr>
          <w:p w:rsidR="00F000A6" w:rsidRPr="009E5BF9" w:rsidP="00F000A6" w14:paraId="33671E98" w14:textId="4A9B26A1">
            <w:pPr>
              <w:widowControl/>
              <w:overflowPunct/>
              <w:autoSpaceDE/>
              <w:autoSpaceDN/>
              <w:adjustRightInd/>
              <w:jc w:val="right"/>
              <w:rPr>
                <w:color w:val="000000"/>
                <w:kern w:val="0"/>
              </w:rPr>
            </w:pPr>
            <w:r w:rsidRPr="009E5BF9">
              <w:rPr>
                <w:color w:val="000000"/>
                <w:kern w:val="0"/>
              </w:rPr>
              <w:t>21,097</w:t>
            </w:r>
          </w:p>
        </w:tc>
        <w:tc>
          <w:tcPr>
            <w:tcW w:w="1816" w:type="dxa"/>
            <w:tcBorders>
              <w:top w:val="nil"/>
              <w:left w:val="nil"/>
              <w:bottom w:val="single" w:sz="8" w:space="0" w:color="000000"/>
              <w:right w:val="single" w:sz="8" w:space="0" w:color="000000"/>
            </w:tcBorders>
            <w:shd w:val="clear" w:color="auto" w:fill="auto"/>
            <w:noWrap/>
            <w:vAlign w:val="center"/>
          </w:tcPr>
          <w:p w:rsidR="00F000A6" w:rsidRPr="009E5BF9" w:rsidP="00F000A6" w14:paraId="160D747A" w14:textId="3D25CBD9">
            <w:pPr>
              <w:widowControl/>
              <w:overflowPunct/>
              <w:autoSpaceDE/>
              <w:autoSpaceDN/>
              <w:adjustRightInd/>
              <w:jc w:val="right"/>
              <w:rPr>
                <w:color w:val="000000"/>
                <w:kern w:val="0"/>
              </w:rPr>
            </w:pPr>
            <w:r>
              <w:rPr>
                <w:color w:val="000000"/>
                <w:kern w:val="0"/>
              </w:rPr>
              <w:t>18,423</w:t>
            </w:r>
          </w:p>
        </w:tc>
        <w:tc>
          <w:tcPr>
            <w:tcW w:w="1281" w:type="dxa"/>
            <w:tcBorders>
              <w:top w:val="nil"/>
              <w:left w:val="nil"/>
              <w:bottom w:val="single" w:sz="8" w:space="0" w:color="000000"/>
              <w:right w:val="single" w:sz="8" w:space="0" w:color="000000"/>
            </w:tcBorders>
            <w:shd w:val="clear" w:color="auto" w:fill="auto"/>
            <w:noWrap/>
            <w:vAlign w:val="bottom"/>
          </w:tcPr>
          <w:p w:rsidR="00F000A6" w:rsidRPr="00BD3B6D" w:rsidP="00F000A6" w14:paraId="1D3A3C32" w14:textId="16FE4BB1">
            <w:pPr>
              <w:widowControl/>
              <w:overflowPunct/>
              <w:autoSpaceDE/>
              <w:autoSpaceDN/>
              <w:adjustRightInd/>
              <w:jc w:val="right"/>
              <w:rPr>
                <w:color w:val="000000"/>
                <w:kern w:val="0"/>
              </w:rPr>
            </w:pPr>
            <w:r w:rsidRPr="00B63DB7">
              <w:rPr>
                <w:color w:val="000000"/>
                <w:sz w:val="22"/>
                <w:szCs w:val="22"/>
              </w:rPr>
              <w:t>-2,674</w:t>
            </w:r>
          </w:p>
        </w:tc>
      </w:tr>
      <w:tr w14:paraId="0D101D74"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000A6" w:rsidRPr="009E5BF9" w:rsidP="00F000A6" w14:paraId="2963E49C" w14:textId="77777777">
            <w:pPr>
              <w:widowControl/>
              <w:overflowPunct/>
              <w:autoSpaceDE/>
              <w:autoSpaceDN/>
              <w:adjustRightInd/>
              <w:ind w:firstLine="200" w:firstLineChars="100"/>
              <w:rPr>
                <w:color w:val="000000"/>
                <w:kern w:val="0"/>
              </w:rPr>
            </w:pPr>
            <w:r w:rsidRPr="009E5BF9">
              <w:rPr>
                <w:color w:val="000000"/>
                <w:kern w:val="0"/>
              </w:rPr>
              <w:t>Medical Examinations and Consultations</w:t>
            </w:r>
          </w:p>
        </w:tc>
        <w:tc>
          <w:tcPr>
            <w:tcW w:w="1816" w:type="dxa"/>
            <w:tcBorders>
              <w:top w:val="nil"/>
              <w:left w:val="nil"/>
              <w:bottom w:val="single" w:sz="8" w:space="0" w:color="000000"/>
              <w:right w:val="single" w:sz="8" w:space="0" w:color="000000"/>
            </w:tcBorders>
            <w:shd w:val="clear" w:color="auto" w:fill="auto"/>
            <w:noWrap/>
            <w:vAlign w:val="center"/>
            <w:hideMark/>
          </w:tcPr>
          <w:p w:rsidR="00F000A6" w:rsidRPr="009E5BF9" w:rsidP="00F000A6" w14:paraId="7845F76E" w14:textId="34AA7EC6">
            <w:pPr>
              <w:widowControl/>
              <w:overflowPunct/>
              <w:autoSpaceDE/>
              <w:autoSpaceDN/>
              <w:adjustRightInd/>
              <w:jc w:val="right"/>
              <w:rPr>
                <w:color w:val="000000"/>
                <w:kern w:val="0"/>
              </w:rPr>
            </w:pPr>
            <w:r w:rsidRPr="009E5BF9">
              <w:rPr>
                <w:color w:val="000000"/>
                <w:kern w:val="0"/>
              </w:rPr>
              <w:t>13,108</w:t>
            </w:r>
          </w:p>
        </w:tc>
        <w:tc>
          <w:tcPr>
            <w:tcW w:w="1816" w:type="dxa"/>
            <w:tcBorders>
              <w:top w:val="nil"/>
              <w:left w:val="nil"/>
              <w:bottom w:val="single" w:sz="8" w:space="0" w:color="000000"/>
              <w:right w:val="single" w:sz="8" w:space="0" w:color="000000"/>
            </w:tcBorders>
            <w:shd w:val="clear" w:color="auto" w:fill="auto"/>
            <w:noWrap/>
            <w:vAlign w:val="center"/>
          </w:tcPr>
          <w:p w:rsidR="00F000A6" w:rsidRPr="009E5BF9" w:rsidP="00F000A6" w14:paraId="2F323118" w14:textId="0BCE319F">
            <w:pPr>
              <w:widowControl/>
              <w:overflowPunct/>
              <w:autoSpaceDE/>
              <w:autoSpaceDN/>
              <w:adjustRightInd/>
              <w:jc w:val="right"/>
              <w:rPr>
                <w:color w:val="000000"/>
                <w:kern w:val="0"/>
              </w:rPr>
            </w:pPr>
            <w:r>
              <w:rPr>
                <w:color w:val="000000"/>
                <w:kern w:val="0"/>
              </w:rPr>
              <w:t xml:space="preserve">15,842 </w:t>
            </w:r>
          </w:p>
        </w:tc>
        <w:tc>
          <w:tcPr>
            <w:tcW w:w="1281" w:type="dxa"/>
            <w:tcBorders>
              <w:top w:val="nil"/>
              <w:left w:val="nil"/>
              <w:bottom w:val="single" w:sz="8" w:space="0" w:color="000000"/>
              <w:right w:val="single" w:sz="8" w:space="0" w:color="000000"/>
            </w:tcBorders>
            <w:shd w:val="clear" w:color="auto" w:fill="auto"/>
            <w:noWrap/>
            <w:vAlign w:val="bottom"/>
          </w:tcPr>
          <w:p w:rsidR="00F000A6" w:rsidRPr="00BD3B6D" w:rsidP="00F000A6" w14:paraId="3392428E" w14:textId="6CBC47AE">
            <w:pPr>
              <w:widowControl/>
              <w:overflowPunct/>
              <w:autoSpaceDE/>
              <w:autoSpaceDN/>
              <w:adjustRightInd/>
              <w:jc w:val="right"/>
              <w:rPr>
                <w:color w:val="000000"/>
                <w:kern w:val="0"/>
              </w:rPr>
            </w:pPr>
            <w:r w:rsidRPr="00B63DB7">
              <w:rPr>
                <w:color w:val="000000"/>
                <w:sz w:val="22"/>
                <w:szCs w:val="22"/>
              </w:rPr>
              <w:t>2,734</w:t>
            </w:r>
          </w:p>
        </w:tc>
      </w:tr>
      <w:tr w14:paraId="3D487364"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000A6" w:rsidRPr="009E5BF9" w:rsidP="00F000A6" w14:paraId="3E4692C7" w14:textId="77777777">
            <w:pPr>
              <w:widowControl/>
              <w:overflowPunct/>
              <w:autoSpaceDE/>
              <w:autoSpaceDN/>
              <w:adjustRightInd/>
              <w:ind w:firstLine="200" w:firstLineChars="100"/>
              <w:rPr>
                <w:color w:val="000000"/>
                <w:kern w:val="0"/>
              </w:rPr>
            </w:pPr>
            <w:r w:rsidRPr="009E5BF9">
              <w:rPr>
                <w:color w:val="000000"/>
                <w:kern w:val="0"/>
              </w:rPr>
              <w:t>Notification of Multiple Physician Review Option</w:t>
            </w:r>
          </w:p>
        </w:tc>
        <w:tc>
          <w:tcPr>
            <w:tcW w:w="1816" w:type="dxa"/>
            <w:tcBorders>
              <w:top w:val="nil"/>
              <w:left w:val="nil"/>
              <w:bottom w:val="single" w:sz="8" w:space="0" w:color="000000"/>
              <w:right w:val="single" w:sz="8" w:space="0" w:color="000000"/>
            </w:tcBorders>
            <w:shd w:val="clear" w:color="auto" w:fill="auto"/>
            <w:noWrap/>
            <w:vAlign w:val="center"/>
            <w:hideMark/>
          </w:tcPr>
          <w:p w:rsidR="00F000A6" w:rsidRPr="009E5BF9" w:rsidP="00F000A6" w14:paraId="3479B981" w14:textId="0E16E037">
            <w:pPr>
              <w:widowControl/>
              <w:overflowPunct/>
              <w:autoSpaceDE/>
              <w:autoSpaceDN/>
              <w:adjustRightInd/>
              <w:jc w:val="right"/>
              <w:rPr>
                <w:color w:val="000000"/>
                <w:kern w:val="0"/>
              </w:rPr>
            </w:pPr>
            <w:r w:rsidRPr="009E5BF9">
              <w:rPr>
                <w:color w:val="000000"/>
                <w:kern w:val="0"/>
              </w:rPr>
              <w:t>109</w:t>
            </w:r>
          </w:p>
        </w:tc>
        <w:tc>
          <w:tcPr>
            <w:tcW w:w="1816" w:type="dxa"/>
            <w:tcBorders>
              <w:top w:val="nil"/>
              <w:left w:val="nil"/>
              <w:bottom w:val="single" w:sz="8" w:space="0" w:color="000000"/>
              <w:right w:val="single" w:sz="8" w:space="0" w:color="000000"/>
            </w:tcBorders>
            <w:shd w:val="clear" w:color="auto" w:fill="auto"/>
            <w:noWrap/>
            <w:vAlign w:val="center"/>
          </w:tcPr>
          <w:p w:rsidR="00F000A6" w:rsidRPr="009E5BF9" w:rsidP="00F000A6" w14:paraId="3CCE6234" w14:textId="1EA45727">
            <w:pPr>
              <w:widowControl/>
              <w:overflowPunct/>
              <w:autoSpaceDE/>
              <w:autoSpaceDN/>
              <w:adjustRightInd/>
              <w:jc w:val="right"/>
              <w:rPr>
                <w:color w:val="000000"/>
                <w:kern w:val="0"/>
              </w:rPr>
            </w:pPr>
            <w:r>
              <w:rPr>
                <w:color w:val="000000"/>
                <w:kern w:val="0"/>
              </w:rPr>
              <w:t>132</w:t>
            </w:r>
          </w:p>
        </w:tc>
        <w:tc>
          <w:tcPr>
            <w:tcW w:w="1281" w:type="dxa"/>
            <w:tcBorders>
              <w:top w:val="nil"/>
              <w:left w:val="nil"/>
              <w:bottom w:val="single" w:sz="8" w:space="0" w:color="000000"/>
              <w:right w:val="single" w:sz="8" w:space="0" w:color="000000"/>
            </w:tcBorders>
            <w:shd w:val="clear" w:color="auto" w:fill="auto"/>
            <w:noWrap/>
            <w:vAlign w:val="bottom"/>
          </w:tcPr>
          <w:p w:rsidR="00F000A6" w:rsidRPr="00BD3B6D" w:rsidP="00F000A6" w14:paraId="549A44A6" w14:textId="012E526F">
            <w:pPr>
              <w:widowControl/>
              <w:overflowPunct/>
              <w:autoSpaceDE/>
              <w:autoSpaceDN/>
              <w:adjustRightInd/>
              <w:jc w:val="right"/>
              <w:rPr>
                <w:color w:val="000000"/>
                <w:kern w:val="0"/>
              </w:rPr>
            </w:pPr>
            <w:r w:rsidRPr="00B63DB7">
              <w:rPr>
                <w:color w:val="000000"/>
                <w:sz w:val="22"/>
                <w:szCs w:val="22"/>
              </w:rPr>
              <w:t>23</w:t>
            </w:r>
          </w:p>
        </w:tc>
      </w:tr>
      <w:tr w14:paraId="586F2473"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000A6" w:rsidRPr="009E5BF9" w:rsidP="00F000A6" w14:paraId="1F7F8A10" w14:textId="77777777">
            <w:pPr>
              <w:widowControl/>
              <w:overflowPunct/>
              <w:autoSpaceDE/>
              <w:autoSpaceDN/>
              <w:adjustRightInd/>
              <w:ind w:firstLine="200" w:firstLineChars="100"/>
              <w:rPr>
                <w:color w:val="000000"/>
                <w:kern w:val="0"/>
              </w:rPr>
            </w:pPr>
            <w:r w:rsidRPr="009E5BF9">
              <w:rPr>
                <w:color w:val="000000"/>
                <w:kern w:val="0"/>
              </w:rPr>
              <w:t>Information Provided to Examining/Consulting Physicians</w:t>
            </w:r>
          </w:p>
        </w:tc>
        <w:tc>
          <w:tcPr>
            <w:tcW w:w="1816" w:type="dxa"/>
            <w:tcBorders>
              <w:top w:val="nil"/>
              <w:left w:val="nil"/>
              <w:bottom w:val="single" w:sz="4" w:space="0" w:color="auto"/>
              <w:right w:val="single" w:sz="8" w:space="0" w:color="000000"/>
            </w:tcBorders>
            <w:shd w:val="clear" w:color="auto" w:fill="auto"/>
            <w:noWrap/>
            <w:vAlign w:val="center"/>
            <w:hideMark/>
          </w:tcPr>
          <w:p w:rsidR="00F000A6" w:rsidRPr="009E5BF9" w:rsidP="00F000A6" w14:paraId="7AE04D45" w14:textId="691D0A4B">
            <w:pPr>
              <w:widowControl/>
              <w:overflowPunct/>
              <w:autoSpaceDE/>
              <w:autoSpaceDN/>
              <w:adjustRightInd/>
              <w:jc w:val="right"/>
              <w:rPr>
                <w:color w:val="000000"/>
                <w:kern w:val="0"/>
              </w:rPr>
            </w:pPr>
            <w:r w:rsidRPr="009E5BF9">
              <w:rPr>
                <w:color w:val="000000"/>
                <w:kern w:val="0"/>
              </w:rPr>
              <w:t>1,639</w:t>
            </w:r>
          </w:p>
        </w:tc>
        <w:tc>
          <w:tcPr>
            <w:tcW w:w="1816" w:type="dxa"/>
            <w:tcBorders>
              <w:top w:val="nil"/>
              <w:left w:val="nil"/>
              <w:bottom w:val="single" w:sz="4" w:space="0" w:color="auto"/>
              <w:right w:val="single" w:sz="8" w:space="0" w:color="000000"/>
            </w:tcBorders>
            <w:shd w:val="clear" w:color="auto" w:fill="auto"/>
            <w:noWrap/>
            <w:vAlign w:val="center"/>
          </w:tcPr>
          <w:p w:rsidR="00F000A6" w:rsidRPr="009E5BF9" w:rsidP="00F000A6" w14:paraId="0A013885" w14:textId="1A20D244">
            <w:pPr>
              <w:widowControl/>
              <w:overflowPunct/>
              <w:autoSpaceDE/>
              <w:autoSpaceDN/>
              <w:adjustRightInd/>
              <w:jc w:val="right"/>
              <w:rPr>
                <w:color w:val="000000"/>
                <w:kern w:val="0"/>
              </w:rPr>
            </w:pPr>
            <w:r>
              <w:rPr>
                <w:color w:val="000000"/>
                <w:kern w:val="0"/>
              </w:rPr>
              <w:t>1,980</w:t>
            </w:r>
          </w:p>
        </w:tc>
        <w:tc>
          <w:tcPr>
            <w:tcW w:w="1281" w:type="dxa"/>
            <w:tcBorders>
              <w:top w:val="nil"/>
              <w:left w:val="nil"/>
              <w:bottom w:val="single" w:sz="4" w:space="0" w:color="auto"/>
              <w:right w:val="single" w:sz="8" w:space="0" w:color="000000"/>
            </w:tcBorders>
            <w:shd w:val="clear" w:color="auto" w:fill="auto"/>
            <w:noWrap/>
            <w:vAlign w:val="bottom"/>
          </w:tcPr>
          <w:p w:rsidR="00F000A6" w:rsidRPr="00BD3B6D" w:rsidP="00F000A6" w14:paraId="6BE201E2" w14:textId="3ACA9695">
            <w:pPr>
              <w:widowControl/>
              <w:overflowPunct/>
              <w:autoSpaceDE/>
              <w:autoSpaceDN/>
              <w:adjustRightInd/>
              <w:jc w:val="right"/>
              <w:rPr>
                <w:color w:val="000000"/>
                <w:kern w:val="0"/>
              </w:rPr>
            </w:pPr>
            <w:r w:rsidRPr="00B63DB7">
              <w:rPr>
                <w:color w:val="000000"/>
                <w:sz w:val="22"/>
                <w:szCs w:val="22"/>
              </w:rPr>
              <w:t>341</w:t>
            </w:r>
          </w:p>
        </w:tc>
      </w:tr>
      <w:tr w14:paraId="54531C7D"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4" w:space="0" w:color="auto"/>
            </w:tcBorders>
            <w:shd w:val="clear" w:color="auto" w:fill="auto"/>
            <w:noWrap/>
            <w:vAlign w:val="center"/>
            <w:hideMark/>
          </w:tcPr>
          <w:p w:rsidR="00071257" w:rsidRPr="009E5BF9" w:rsidP="00071257" w14:paraId="3AD6389A" w14:textId="77777777">
            <w:pPr>
              <w:widowControl/>
              <w:overflowPunct/>
              <w:autoSpaceDE/>
              <w:autoSpaceDN/>
              <w:adjustRightInd/>
              <w:ind w:firstLine="200" w:firstLineChars="100"/>
              <w:rPr>
                <w:color w:val="000000"/>
                <w:kern w:val="0"/>
              </w:rPr>
            </w:pPr>
            <w:r w:rsidRPr="009E5BF9">
              <w:rPr>
                <w:color w:val="000000"/>
                <w:kern w:val="0"/>
              </w:rPr>
              <w:t>Physician's Written Medical Opinion</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257" w:rsidRPr="009E5BF9" w:rsidP="00071257" w14:paraId="47464A34" w14:textId="08FF9E69">
            <w:pPr>
              <w:widowControl/>
              <w:overflowPunct/>
              <w:autoSpaceDE/>
              <w:autoSpaceDN/>
              <w:adjustRightInd/>
              <w:rPr>
                <w:color w:val="000000"/>
                <w:kern w:val="0"/>
              </w:rPr>
            </w:pPr>
            <w:r w:rsidRPr="009E5BF9">
              <w:rPr>
                <w:color w:val="000000"/>
                <w:kern w:val="0"/>
              </w:rPr>
              <w:t> </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257" w:rsidRPr="009E5BF9" w:rsidP="00071257" w14:paraId="6E999A0F" w14:textId="516CD22C">
            <w:pPr>
              <w:widowControl/>
              <w:overflowPunct/>
              <w:autoSpaceDE/>
              <w:autoSpaceDN/>
              <w:adjustRightInd/>
              <w:rPr>
                <w:color w:val="000000"/>
                <w:kern w:val="0"/>
              </w:rPr>
            </w:pP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1257" w:rsidRPr="00BD3B6D" w:rsidP="00071257" w14:paraId="15B8243E" w14:textId="77777777">
            <w:pPr>
              <w:widowControl/>
              <w:overflowPunct/>
              <w:autoSpaceDE/>
              <w:autoSpaceDN/>
              <w:adjustRightInd/>
              <w:jc w:val="right"/>
              <w:rPr>
                <w:color w:val="000000"/>
                <w:kern w:val="0"/>
              </w:rPr>
            </w:pPr>
          </w:p>
        </w:tc>
      </w:tr>
      <w:tr w14:paraId="436835E8"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71257" w:rsidRPr="009E5BF9" w:rsidP="00071257" w14:paraId="1378C992" w14:textId="77777777">
            <w:pPr>
              <w:widowControl/>
              <w:overflowPunct/>
              <w:autoSpaceDE/>
              <w:autoSpaceDN/>
              <w:adjustRightInd/>
              <w:ind w:firstLine="800" w:firstLineChars="400"/>
              <w:rPr>
                <w:i/>
                <w:iCs/>
                <w:color w:val="000000"/>
                <w:kern w:val="0"/>
              </w:rPr>
            </w:pPr>
            <w:r w:rsidRPr="009E5BF9">
              <w:rPr>
                <w:i/>
                <w:iCs/>
                <w:color w:val="000000"/>
                <w:kern w:val="0"/>
              </w:rPr>
              <w:t>Preparation of the Written Medical Opinion</w:t>
            </w:r>
          </w:p>
        </w:tc>
        <w:tc>
          <w:tcPr>
            <w:tcW w:w="1816" w:type="dxa"/>
            <w:tcBorders>
              <w:top w:val="single" w:sz="4" w:space="0" w:color="auto"/>
              <w:left w:val="nil"/>
              <w:bottom w:val="single" w:sz="8" w:space="0" w:color="000000"/>
              <w:right w:val="single" w:sz="8" w:space="0" w:color="000000"/>
            </w:tcBorders>
            <w:shd w:val="clear" w:color="auto" w:fill="auto"/>
            <w:noWrap/>
            <w:vAlign w:val="center"/>
            <w:hideMark/>
          </w:tcPr>
          <w:p w:rsidR="00071257" w:rsidRPr="009E5BF9" w:rsidP="00071257" w14:paraId="1BD99792" w14:textId="56C7CC62">
            <w:pPr>
              <w:widowControl/>
              <w:overflowPunct/>
              <w:autoSpaceDE/>
              <w:autoSpaceDN/>
              <w:adjustRightInd/>
              <w:jc w:val="right"/>
              <w:rPr>
                <w:color w:val="000000"/>
                <w:kern w:val="0"/>
              </w:rPr>
            </w:pPr>
            <w:r w:rsidRPr="009E5BF9">
              <w:rPr>
                <w:color w:val="000000"/>
                <w:kern w:val="0"/>
              </w:rPr>
              <w:t>0</w:t>
            </w:r>
          </w:p>
        </w:tc>
        <w:tc>
          <w:tcPr>
            <w:tcW w:w="1816" w:type="dxa"/>
            <w:tcBorders>
              <w:top w:val="single" w:sz="4" w:space="0" w:color="auto"/>
              <w:left w:val="nil"/>
              <w:bottom w:val="single" w:sz="8" w:space="0" w:color="000000"/>
              <w:right w:val="single" w:sz="8" w:space="0" w:color="000000"/>
            </w:tcBorders>
            <w:shd w:val="clear" w:color="auto" w:fill="auto"/>
            <w:noWrap/>
            <w:vAlign w:val="center"/>
          </w:tcPr>
          <w:p w:rsidR="00071257" w:rsidRPr="009E5BF9" w:rsidP="00071257" w14:paraId="059871FE" w14:textId="49F8A2BE">
            <w:pPr>
              <w:widowControl/>
              <w:overflowPunct/>
              <w:autoSpaceDE/>
              <w:autoSpaceDN/>
              <w:adjustRightInd/>
              <w:jc w:val="right"/>
              <w:rPr>
                <w:color w:val="000000"/>
                <w:kern w:val="0"/>
              </w:rPr>
            </w:pPr>
            <w:r>
              <w:rPr>
                <w:color w:val="000000"/>
                <w:kern w:val="0"/>
              </w:rPr>
              <w:t>0</w:t>
            </w:r>
          </w:p>
        </w:tc>
        <w:tc>
          <w:tcPr>
            <w:tcW w:w="1281" w:type="dxa"/>
            <w:tcBorders>
              <w:top w:val="single" w:sz="4" w:space="0" w:color="auto"/>
              <w:left w:val="nil"/>
              <w:bottom w:val="single" w:sz="8" w:space="0" w:color="000000"/>
              <w:right w:val="single" w:sz="8" w:space="0" w:color="000000"/>
            </w:tcBorders>
            <w:shd w:val="clear" w:color="auto" w:fill="auto"/>
            <w:noWrap/>
            <w:vAlign w:val="center"/>
          </w:tcPr>
          <w:p w:rsidR="00071257" w:rsidRPr="00BD3B6D" w:rsidP="00071257" w14:paraId="4459C85B" w14:textId="62883660">
            <w:pPr>
              <w:widowControl/>
              <w:overflowPunct/>
              <w:autoSpaceDE/>
              <w:autoSpaceDN/>
              <w:adjustRightInd/>
              <w:jc w:val="right"/>
              <w:rPr>
                <w:color w:val="000000"/>
                <w:kern w:val="0"/>
              </w:rPr>
            </w:pPr>
            <w:r w:rsidRPr="00BD3B6D">
              <w:rPr>
                <w:color w:val="000000"/>
                <w:kern w:val="0"/>
              </w:rPr>
              <w:t>0</w:t>
            </w:r>
          </w:p>
        </w:tc>
      </w:tr>
      <w:tr w14:paraId="6CE33991"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71257" w:rsidRPr="009E5BF9" w:rsidP="00071257" w14:paraId="0FE8DFDF" w14:textId="77777777">
            <w:pPr>
              <w:widowControl/>
              <w:overflowPunct/>
              <w:autoSpaceDE/>
              <w:autoSpaceDN/>
              <w:adjustRightInd/>
              <w:ind w:firstLine="200" w:firstLineChars="100"/>
              <w:rPr>
                <w:i/>
                <w:iCs/>
                <w:color w:val="000000"/>
                <w:kern w:val="0"/>
              </w:rPr>
            </w:pPr>
            <w:r w:rsidRPr="009E5BF9">
              <w:rPr>
                <w:i/>
                <w:iCs/>
                <w:color w:val="000000"/>
                <w:kern w:val="0"/>
              </w:rPr>
              <w:t>Provision of the Written Medical Opinion</w:t>
            </w:r>
          </w:p>
        </w:tc>
        <w:tc>
          <w:tcPr>
            <w:tcW w:w="1816" w:type="dxa"/>
            <w:tcBorders>
              <w:top w:val="nil"/>
              <w:left w:val="nil"/>
              <w:bottom w:val="single" w:sz="8" w:space="0" w:color="000000"/>
              <w:right w:val="single" w:sz="8" w:space="0" w:color="000000"/>
            </w:tcBorders>
            <w:shd w:val="clear" w:color="auto" w:fill="auto"/>
            <w:noWrap/>
            <w:vAlign w:val="center"/>
            <w:hideMark/>
          </w:tcPr>
          <w:p w:rsidR="00071257" w:rsidRPr="009E5BF9" w:rsidP="00071257" w14:paraId="73E138A3" w14:textId="1E9AFB89">
            <w:pPr>
              <w:widowControl/>
              <w:overflowPunct/>
              <w:autoSpaceDE/>
              <w:autoSpaceDN/>
              <w:adjustRightInd/>
              <w:jc w:val="right"/>
              <w:rPr>
                <w:color w:val="000000"/>
                <w:kern w:val="0"/>
              </w:rPr>
            </w:pPr>
            <w:r w:rsidRPr="009E5BF9">
              <w:rPr>
                <w:color w:val="000000"/>
                <w:kern w:val="0"/>
              </w:rPr>
              <w:t>655</w:t>
            </w:r>
          </w:p>
        </w:tc>
        <w:tc>
          <w:tcPr>
            <w:tcW w:w="1816" w:type="dxa"/>
            <w:tcBorders>
              <w:top w:val="nil"/>
              <w:left w:val="nil"/>
              <w:bottom w:val="single" w:sz="8" w:space="0" w:color="000000"/>
              <w:right w:val="single" w:sz="8" w:space="0" w:color="000000"/>
            </w:tcBorders>
            <w:shd w:val="clear" w:color="auto" w:fill="auto"/>
            <w:noWrap/>
            <w:vAlign w:val="center"/>
          </w:tcPr>
          <w:p w:rsidR="00071257" w:rsidRPr="009E5BF9" w:rsidP="00071257" w14:paraId="2246C21F" w14:textId="3AB07782">
            <w:pPr>
              <w:widowControl/>
              <w:overflowPunct/>
              <w:autoSpaceDE/>
              <w:autoSpaceDN/>
              <w:adjustRightInd/>
              <w:jc w:val="right"/>
              <w:rPr>
                <w:color w:val="000000"/>
                <w:kern w:val="0"/>
              </w:rPr>
            </w:pPr>
            <w:r>
              <w:rPr>
                <w:color w:val="000000"/>
                <w:kern w:val="0"/>
              </w:rPr>
              <w:t>792</w:t>
            </w:r>
          </w:p>
        </w:tc>
        <w:tc>
          <w:tcPr>
            <w:tcW w:w="1281" w:type="dxa"/>
            <w:tcBorders>
              <w:top w:val="nil"/>
              <w:left w:val="nil"/>
              <w:bottom w:val="single" w:sz="8" w:space="0" w:color="000000"/>
              <w:right w:val="single" w:sz="8" w:space="0" w:color="000000"/>
            </w:tcBorders>
            <w:shd w:val="clear" w:color="auto" w:fill="auto"/>
            <w:noWrap/>
            <w:vAlign w:val="center"/>
          </w:tcPr>
          <w:p w:rsidR="00071257" w:rsidRPr="00BD3B6D" w:rsidP="00071257" w14:paraId="0F91F150" w14:textId="6778B1FC">
            <w:pPr>
              <w:widowControl/>
              <w:overflowPunct/>
              <w:autoSpaceDE/>
              <w:autoSpaceDN/>
              <w:adjustRightInd/>
              <w:jc w:val="right"/>
              <w:rPr>
                <w:color w:val="000000"/>
                <w:kern w:val="0"/>
              </w:rPr>
            </w:pPr>
            <w:r w:rsidRPr="00BD3B6D">
              <w:rPr>
                <w:color w:val="000000"/>
                <w:kern w:val="0"/>
              </w:rPr>
              <w:t>137</w:t>
            </w:r>
          </w:p>
        </w:tc>
      </w:tr>
      <w:tr w14:paraId="70D9BBEC"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71257" w:rsidRPr="009E5BF9" w:rsidP="00071257" w14:paraId="64244FA8" w14:textId="77777777">
            <w:pPr>
              <w:widowControl/>
              <w:overflowPunct/>
              <w:autoSpaceDE/>
              <w:autoSpaceDN/>
              <w:adjustRightInd/>
              <w:rPr>
                <w:color w:val="000000"/>
                <w:kern w:val="0"/>
              </w:rPr>
            </w:pPr>
            <w:r w:rsidRPr="009E5BF9">
              <w:rPr>
                <w:color w:val="000000"/>
                <w:kern w:val="0"/>
              </w:rPr>
              <w:t>RECORDKEEPING</w:t>
            </w:r>
          </w:p>
        </w:tc>
        <w:tc>
          <w:tcPr>
            <w:tcW w:w="1816" w:type="dxa"/>
            <w:tcBorders>
              <w:top w:val="nil"/>
              <w:left w:val="nil"/>
              <w:bottom w:val="single" w:sz="8" w:space="0" w:color="000000"/>
              <w:right w:val="single" w:sz="8" w:space="0" w:color="000000"/>
            </w:tcBorders>
            <w:shd w:val="clear" w:color="auto" w:fill="auto"/>
            <w:noWrap/>
            <w:vAlign w:val="center"/>
            <w:hideMark/>
          </w:tcPr>
          <w:p w:rsidR="00071257" w:rsidRPr="009E5BF9" w:rsidP="00071257" w14:paraId="6010D418" w14:textId="1C50FAB9">
            <w:pPr>
              <w:widowControl/>
              <w:overflowPunct/>
              <w:autoSpaceDE/>
              <w:autoSpaceDN/>
              <w:adjustRightInd/>
              <w:rPr>
                <w:color w:val="000000"/>
                <w:kern w:val="0"/>
              </w:rPr>
            </w:pPr>
            <w:r w:rsidRPr="009E5BF9">
              <w:rPr>
                <w:color w:val="000000"/>
                <w:kern w:val="0"/>
              </w:rPr>
              <w:t> </w:t>
            </w:r>
          </w:p>
        </w:tc>
        <w:tc>
          <w:tcPr>
            <w:tcW w:w="1816" w:type="dxa"/>
            <w:tcBorders>
              <w:top w:val="nil"/>
              <w:left w:val="nil"/>
              <w:bottom w:val="single" w:sz="8" w:space="0" w:color="000000"/>
              <w:right w:val="single" w:sz="8" w:space="0" w:color="000000"/>
            </w:tcBorders>
            <w:shd w:val="clear" w:color="auto" w:fill="auto"/>
            <w:noWrap/>
            <w:vAlign w:val="center"/>
          </w:tcPr>
          <w:p w:rsidR="00071257" w:rsidRPr="009E5BF9" w:rsidP="00071257" w14:paraId="00A5846C" w14:textId="69AF4D71">
            <w:pPr>
              <w:widowControl/>
              <w:overflowPunct/>
              <w:autoSpaceDE/>
              <w:autoSpaceDN/>
              <w:adjustRightInd/>
              <w:rPr>
                <w:color w:val="000000"/>
                <w:kern w:val="0"/>
              </w:rPr>
            </w:pPr>
          </w:p>
        </w:tc>
        <w:tc>
          <w:tcPr>
            <w:tcW w:w="1281" w:type="dxa"/>
            <w:tcBorders>
              <w:top w:val="nil"/>
              <w:left w:val="nil"/>
              <w:bottom w:val="single" w:sz="8" w:space="0" w:color="000000"/>
              <w:right w:val="single" w:sz="8" w:space="0" w:color="000000"/>
            </w:tcBorders>
            <w:shd w:val="clear" w:color="auto" w:fill="auto"/>
            <w:noWrap/>
            <w:vAlign w:val="center"/>
          </w:tcPr>
          <w:p w:rsidR="00071257" w:rsidRPr="00BD3B6D" w:rsidP="00071257" w14:paraId="68D5E5B2" w14:textId="77777777">
            <w:pPr>
              <w:widowControl/>
              <w:overflowPunct/>
              <w:autoSpaceDE/>
              <w:autoSpaceDN/>
              <w:adjustRightInd/>
              <w:jc w:val="right"/>
              <w:rPr>
                <w:color w:val="000000"/>
                <w:kern w:val="0"/>
              </w:rPr>
            </w:pPr>
          </w:p>
        </w:tc>
      </w:tr>
      <w:tr w14:paraId="4EECC0AA"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75DAF" w:rsidRPr="009E5BF9" w:rsidP="00175DAF" w14:paraId="6C0B455E" w14:textId="77777777">
            <w:pPr>
              <w:widowControl/>
              <w:overflowPunct/>
              <w:autoSpaceDE/>
              <w:autoSpaceDN/>
              <w:adjustRightInd/>
              <w:ind w:firstLine="200" w:firstLineChars="100"/>
              <w:rPr>
                <w:color w:val="000000"/>
                <w:kern w:val="0"/>
              </w:rPr>
            </w:pPr>
            <w:r w:rsidRPr="009E5BF9">
              <w:rPr>
                <w:color w:val="000000"/>
                <w:kern w:val="0"/>
              </w:rPr>
              <w:t>Exposure Monitoring Records</w:t>
            </w:r>
          </w:p>
        </w:tc>
        <w:tc>
          <w:tcPr>
            <w:tcW w:w="1816" w:type="dxa"/>
            <w:tcBorders>
              <w:top w:val="nil"/>
              <w:left w:val="nil"/>
              <w:bottom w:val="single" w:sz="8" w:space="0" w:color="000000"/>
              <w:right w:val="single" w:sz="8" w:space="0" w:color="000000"/>
            </w:tcBorders>
            <w:shd w:val="clear" w:color="auto" w:fill="auto"/>
            <w:noWrap/>
            <w:vAlign w:val="center"/>
            <w:hideMark/>
          </w:tcPr>
          <w:p w:rsidR="00175DAF" w:rsidRPr="009E5BF9" w:rsidP="00175DAF" w14:paraId="07711213" w14:textId="053AD7C6">
            <w:pPr>
              <w:widowControl/>
              <w:overflowPunct/>
              <w:autoSpaceDE/>
              <w:autoSpaceDN/>
              <w:adjustRightInd/>
              <w:jc w:val="right"/>
              <w:rPr>
                <w:color w:val="000000"/>
                <w:kern w:val="0"/>
              </w:rPr>
            </w:pPr>
            <w:r w:rsidRPr="009E5BF9">
              <w:rPr>
                <w:color w:val="000000"/>
                <w:kern w:val="0"/>
              </w:rPr>
              <w:t>7,621</w:t>
            </w:r>
          </w:p>
        </w:tc>
        <w:tc>
          <w:tcPr>
            <w:tcW w:w="1816" w:type="dxa"/>
            <w:tcBorders>
              <w:top w:val="nil"/>
              <w:left w:val="nil"/>
              <w:bottom w:val="single" w:sz="8" w:space="0" w:color="000000"/>
              <w:right w:val="single" w:sz="8" w:space="0" w:color="000000"/>
            </w:tcBorders>
            <w:shd w:val="clear" w:color="auto" w:fill="auto"/>
            <w:noWrap/>
            <w:vAlign w:val="center"/>
          </w:tcPr>
          <w:p w:rsidR="00175DAF" w:rsidRPr="009E5BF9" w:rsidP="00175DAF" w14:paraId="17CF1E2C" w14:textId="3D7473BD">
            <w:pPr>
              <w:widowControl/>
              <w:overflowPunct/>
              <w:autoSpaceDE/>
              <w:autoSpaceDN/>
              <w:adjustRightInd/>
              <w:jc w:val="right"/>
              <w:rPr>
                <w:color w:val="000000"/>
                <w:kern w:val="0"/>
              </w:rPr>
            </w:pPr>
            <w:r>
              <w:rPr>
                <w:color w:val="000000"/>
                <w:kern w:val="0"/>
              </w:rPr>
              <w:t>7,954</w:t>
            </w:r>
          </w:p>
        </w:tc>
        <w:tc>
          <w:tcPr>
            <w:tcW w:w="1281" w:type="dxa"/>
            <w:tcBorders>
              <w:top w:val="nil"/>
              <w:left w:val="nil"/>
              <w:bottom w:val="single" w:sz="8" w:space="0" w:color="000000"/>
              <w:right w:val="single" w:sz="8" w:space="0" w:color="000000"/>
            </w:tcBorders>
            <w:shd w:val="clear" w:color="auto" w:fill="auto"/>
            <w:noWrap/>
            <w:vAlign w:val="bottom"/>
          </w:tcPr>
          <w:p w:rsidR="00175DAF" w:rsidRPr="00BD3B6D" w:rsidP="00175DAF" w14:paraId="7FC54B75" w14:textId="3788E4F7">
            <w:pPr>
              <w:widowControl/>
              <w:overflowPunct/>
              <w:autoSpaceDE/>
              <w:autoSpaceDN/>
              <w:adjustRightInd/>
              <w:jc w:val="right"/>
              <w:rPr>
                <w:color w:val="000000"/>
                <w:kern w:val="0"/>
              </w:rPr>
            </w:pPr>
            <w:r w:rsidRPr="00B63DB7">
              <w:rPr>
                <w:color w:val="000000"/>
                <w:sz w:val="22"/>
                <w:szCs w:val="22"/>
              </w:rPr>
              <w:t>333</w:t>
            </w:r>
          </w:p>
        </w:tc>
      </w:tr>
      <w:tr w14:paraId="745409BB"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75DAF" w:rsidRPr="009E5BF9" w:rsidP="00175DAF" w14:paraId="6BA808A8" w14:textId="77777777">
            <w:pPr>
              <w:widowControl/>
              <w:overflowPunct/>
              <w:autoSpaceDE/>
              <w:autoSpaceDN/>
              <w:adjustRightInd/>
              <w:ind w:firstLine="200" w:firstLineChars="100"/>
              <w:rPr>
                <w:color w:val="000000"/>
                <w:kern w:val="0"/>
              </w:rPr>
            </w:pPr>
            <w:r w:rsidRPr="009E5BF9">
              <w:rPr>
                <w:color w:val="000000"/>
                <w:kern w:val="0"/>
              </w:rPr>
              <w:t>Medical Surveillance Records</w:t>
            </w:r>
          </w:p>
        </w:tc>
        <w:tc>
          <w:tcPr>
            <w:tcW w:w="1816" w:type="dxa"/>
            <w:tcBorders>
              <w:top w:val="nil"/>
              <w:left w:val="nil"/>
              <w:bottom w:val="single" w:sz="8" w:space="0" w:color="000000"/>
              <w:right w:val="single" w:sz="8" w:space="0" w:color="000000"/>
            </w:tcBorders>
            <w:shd w:val="clear" w:color="auto" w:fill="auto"/>
            <w:noWrap/>
            <w:vAlign w:val="center"/>
            <w:hideMark/>
          </w:tcPr>
          <w:p w:rsidR="00175DAF" w:rsidRPr="009E5BF9" w:rsidP="00175DAF" w14:paraId="2860F923" w14:textId="19C4A044">
            <w:pPr>
              <w:widowControl/>
              <w:overflowPunct/>
              <w:autoSpaceDE/>
              <w:autoSpaceDN/>
              <w:adjustRightInd/>
              <w:jc w:val="right"/>
              <w:rPr>
                <w:color w:val="000000"/>
                <w:kern w:val="0"/>
              </w:rPr>
            </w:pPr>
            <w:r w:rsidRPr="009E5BF9">
              <w:rPr>
                <w:color w:val="000000"/>
                <w:kern w:val="0"/>
              </w:rPr>
              <w:t>21,621</w:t>
            </w:r>
          </w:p>
        </w:tc>
        <w:tc>
          <w:tcPr>
            <w:tcW w:w="1816" w:type="dxa"/>
            <w:tcBorders>
              <w:top w:val="nil"/>
              <w:left w:val="nil"/>
              <w:bottom w:val="single" w:sz="8" w:space="0" w:color="000000"/>
              <w:right w:val="single" w:sz="8" w:space="0" w:color="000000"/>
            </w:tcBorders>
            <w:shd w:val="clear" w:color="auto" w:fill="auto"/>
            <w:noWrap/>
            <w:vAlign w:val="center"/>
          </w:tcPr>
          <w:p w:rsidR="00175DAF" w:rsidRPr="009E5BF9" w:rsidP="00175DAF" w14:paraId="2B4280F8" w14:textId="2744FD96">
            <w:pPr>
              <w:widowControl/>
              <w:overflowPunct/>
              <w:autoSpaceDE/>
              <w:autoSpaceDN/>
              <w:adjustRightInd/>
              <w:jc w:val="right"/>
              <w:rPr>
                <w:color w:val="000000"/>
                <w:kern w:val="0"/>
              </w:rPr>
            </w:pPr>
            <w:r>
              <w:rPr>
                <w:color w:val="000000"/>
                <w:kern w:val="0"/>
              </w:rPr>
              <w:t>19,215</w:t>
            </w:r>
          </w:p>
        </w:tc>
        <w:tc>
          <w:tcPr>
            <w:tcW w:w="1281" w:type="dxa"/>
            <w:tcBorders>
              <w:top w:val="nil"/>
              <w:left w:val="nil"/>
              <w:bottom w:val="single" w:sz="8" w:space="0" w:color="000000"/>
              <w:right w:val="single" w:sz="8" w:space="0" w:color="000000"/>
            </w:tcBorders>
            <w:shd w:val="clear" w:color="auto" w:fill="auto"/>
            <w:noWrap/>
            <w:vAlign w:val="bottom"/>
          </w:tcPr>
          <w:p w:rsidR="00175DAF" w:rsidRPr="00BD3B6D" w:rsidP="00175DAF" w14:paraId="315A67FC" w14:textId="3B38649D">
            <w:pPr>
              <w:widowControl/>
              <w:overflowPunct/>
              <w:autoSpaceDE/>
              <w:autoSpaceDN/>
              <w:adjustRightInd/>
              <w:jc w:val="right"/>
              <w:rPr>
                <w:color w:val="000000"/>
                <w:kern w:val="0"/>
              </w:rPr>
            </w:pPr>
            <w:r w:rsidRPr="00B63DB7">
              <w:rPr>
                <w:color w:val="000000"/>
                <w:sz w:val="22"/>
                <w:szCs w:val="22"/>
              </w:rPr>
              <w:t>-2,406</w:t>
            </w:r>
          </w:p>
        </w:tc>
      </w:tr>
      <w:tr w14:paraId="32CB20F9"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75DAF" w:rsidRPr="009E5BF9" w:rsidP="00175DAF" w14:paraId="57064D4F" w14:textId="77777777">
            <w:pPr>
              <w:widowControl/>
              <w:overflowPunct/>
              <w:autoSpaceDE/>
              <w:autoSpaceDN/>
              <w:adjustRightInd/>
              <w:ind w:firstLine="200" w:firstLineChars="100"/>
              <w:rPr>
                <w:color w:val="000000"/>
                <w:kern w:val="0"/>
              </w:rPr>
            </w:pPr>
            <w:r w:rsidRPr="009E5BF9">
              <w:rPr>
                <w:color w:val="000000"/>
                <w:kern w:val="0"/>
              </w:rPr>
              <w:t>Medical Removal Records</w:t>
            </w:r>
          </w:p>
        </w:tc>
        <w:tc>
          <w:tcPr>
            <w:tcW w:w="1816" w:type="dxa"/>
            <w:tcBorders>
              <w:top w:val="nil"/>
              <w:left w:val="nil"/>
              <w:bottom w:val="single" w:sz="8" w:space="0" w:color="000000"/>
              <w:right w:val="single" w:sz="8" w:space="0" w:color="000000"/>
            </w:tcBorders>
            <w:shd w:val="clear" w:color="auto" w:fill="auto"/>
            <w:noWrap/>
            <w:vAlign w:val="center"/>
            <w:hideMark/>
          </w:tcPr>
          <w:p w:rsidR="00175DAF" w:rsidRPr="009E5BF9" w:rsidP="00175DAF" w14:paraId="27D0ABA3" w14:textId="7D78AEA7">
            <w:pPr>
              <w:widowControl/>
              <w:overflowPunct/>
              <w:autoSpaceDE/>
              <w:autoSpaceDN/>
              <w:adjustRightInd/>
              <w:jc w:val="right"/>
              <w:rPr>
                <w:color w:val="000000"/>
                <w:kern w:val="0"/>
              </w:rPr>
            </w:pPr>
            <w:r>
              <w:rPr>
                <w:color w:val="000000"/>
                <w:kern w:val="0"/>
              </w:rPr>
              <w:t>0</w:t>
            </w:r>
          </w:p>
        </w:tc>
        <w:tc>
          <w:tcPr>
            <w:tcW w:w="1816" w:type="dxa"/>
            <w:tcBorders>
              <w:top w:val="nil"/>
              <w:left w:val="nil"/>
              <w:bottom w:val="single" w:sz="8" w:space="0" w:color="000000"/>
              <w:right w:val="single" w:sz="8" w:space="0" w:color="000000"/>
            </w:tcBorders>
            <w:shd w:val="clear" w:color="auto" w:fill="auto"/>
            <w:noWrap/>
            <w:vAlign w:val="center"/>
          </w:tcPr>
          <w:p w:rsidR="00175DAF" w:rsidRPr="009E5BF9" w:rsidP="00175DAF" w14:paraId="0B556130" w14:textId="19D131C9">
            <w:pPr>
              <w:widowControl/>
              <w:overflowPunct/>
              <w:autoSpaceDE/>
              <w:autoSpaceDN/>
              <w:adjustRightInd/>
              <w:jc w:val="right"/>
              <w:rPr>
                <w:color w:val="000000"/>
                <w:kern w:val="0"/>
              </w:rPr>
            </w:pPr>
            <w:r>
              <w:rPr>
                <w:color w:val="000000"/>
                <w:kern w:val="0"/>
              </w:rPr>
              <w:t>0</w:t>
            </w:r>
          </w:p>
        </w:tc>
        <w:tc>
          <w:tcPr>
            <w:tcW w:w="1281" w:type="dxa"/>
            <w:tcBorders>
              <w:top w:val="nil"/>
              <w:left w:val="nil"/>
              <w:bottom w:val="single" w:sz="8" w:space="0" w:color="000000"/>
              <w:right w:val="single" w:sz="8" w:space="0" w:color="000000"/>
            </w:tcBorders>
            <w:shd w:val="clear" w:color="auto" w:fill="auto"/>
            <w:noWrap/>
            <w:vAlign w:val="bottom"/>
          </w:tcPr>
          <w:p w:rsidR="00175DAF" w:rsidRPr="00BD3B6D" w:rsidP="00175DAF" w14:paraId="657E2129" w14:textId="096F9BE7">
            <w:pPr>
              <w:widowControl/>
              <w:overflowPunct/>
              <w:autoSpaceDE/>
              <w:autoSpaceDN/>
              <w:adjustRightInd/>
              <w:jc w:val="right"/>
              <w:rPr>
                <w:color w:val="000000"/>
                <w:kern w:val="0"/>
              </w:rPr>
            </w:pPr>
            <w:r w:rsidRPr="00B63DB7">
              <w:rPr>
                <w:color w:val="000000"/>
                <w:sz w:val="22"/>
                <w:szCs w:val="22"/>
              </w:rPr>
              <w:t>0</w:t>
            </w:r>
          </w:p>
        </w:tc>
      </w:tr>
      <w:tr w14:paraId="5874F68D"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75DAF" w:rsidRPr="009E5BF9" w:rsidP="00175DAF" w14:paraId="35BCCCB2" w14:textId="77777777">
            <w:pPr>
              <w:widowControl/>
              <w:overflowPunct/>
              <w:autoSpaceDE/>
              <w:autoSpaceDN/>
              <w:adjustRightInd/>
              <w:ind w:firstLine="200" w:firstLineChars="100"/>
              <w:rPr>
                <w:color w:val="000000"/>
                <w:kern w:val="0"/>
              </w:rPr>
            </w:pPr>
            <w:r w:rsidRPr="009E5BF9">
              <w:rPr>
                <w:color w:val="000000"/>
                <w:kern w:val="0"/>
              </w:rPr>
              <w:t>Objective Data Records</w:t>
            </w:r>
          </w:p>
        </w:tc>
        <w:tc>
          <w:tcPr>
            <w:tcW w:w="1816" w:type="dxa"/>
            <w:tcBorders>
              <w:top w:val="nil"/>
              <w:left w:val="nil"/>
              <w:bottom w:val="single" w:sz="8" w:space="0" w:color="000000"/>
              <w:right w:val="single" w:sz="8" w:space="0" w:color="000000"/>
            </w:tcBorders>
            <w:shd w:val="clear" w:color="auto" w:fill="auto"/>
            <w:noWrap/>
            <w:vAlign w:val="center"/>
            <w:hideMark/>
          </w:tcPr>
          <w:p w:rsidR="00175DAF" w:rsidRPr="009E5BF9" w:rsidP="00175DAF" w14:paraId="27059325" w14:textId="19BCA305">
            <w:pPr>
              <w:widowControl/>
              <w:overflowPunct/>
              <w:autoSpaceDE/>
              <w:autoSpaceDN/>
              <w:adjustRightInd/>
              <w:jc w:val="right"/>
              <w:rPr>
                <w:color w:val="000000"/>
                <w:kern w:val="0"/>
              </w:rPr>
            </w:pPr>
            <w:r w:rsidRPr="009E5BF9">
              <w:rPr>
                <w:color w:val="000000"/>
                <w:kern w:val="0"/>
              </w:rPr>
              <w:t>335,753</w:t>
            </w:r>
          </w:p>
        </w:tc>
        <w:tc>
          <w:tcPr>
            <w:tcW w:w="1816" w:type="dxa"/>
            <w:tcBorders>
              <w:top w:val="nil"/>
              <w:left w:val="nil"/>
              <w:bottom w:val="single" w:sz="8" w:space="0" w:color="000000"/>
              <w:right w:val="single" w:sz="8" w:space="0" w:color="000000"/>
            </w:tcBorders>
            <w:shd w:val="clear" w:color="auto" w:fill="auto"/>
            <w:noWrap/>
            <w:vAlign w:val="center"/>
          </w:tcPr>
          <w:p w:rsidR="00175DAF" w:rsidRPr="009E5BF9" w:rsidP="00175DAF" w14:paraId="1BEABB0D" w14:textId="74C6AFD5">
            <w:pPr>
              <w:widowControl/>
              <w:overflowPunct/>
              <w:autoSpaceDE/>
              <w:autoSpaceDN/>
              <w:adjustRightInd/>
              <w:jc w:val="right"/>
              <w:rPr>
                <w:color w:val="000000"/>
                <w:kern w:val="0"/>
              </w:rPr>
            </w:pPr>
            <w:r>
              <w:rPr>
                <w:color w:val="000000"/>
                <w:kern w:val="0"/>
              </w:rPr>
              <w:t>367,181</w:t>
            </w:r>
          </w:p>
        </w:tc>
        <w:tc>
          <w:tcPr>
            <w:tcW w:w="1281" w:type="dxa"/>
            <w:tcBorders>
              <w:top w:val="nil"/>
              <w:left w:val="nil"/>
              <w:bottom w:val="single" w:sz="8" w:space="0" w:color="000000"/>
              <w:right w:val="single" w:sz="8" w:space="0" w:color="000000"/>
            </w:tcBorders>
            <w:shd w:val="clear" w:color="auto" w:fill="auto"/>
            <w:noWrap/>
            <w:vAlign w:val="bottom"/>
          </w:tcPr>
          <w:p w:rsidR="00175DAF" w:rsidRPr="00BD3B6D" w:rsidP="00175DAF" w14:paraId="17169593" w14:textId="0554875A">
            <w:pPr>
              <w:widowControl/>
              <w:overflowPunct/>
              <w:autoSpaceDE/>
              <w:autoSpaceDN/>
              <w:adjustRightInd/>
              <w:jc w:val="right"/>
              <w:rPr>
                <w:color w:val="000000"/>
                <w:kern w:val="0"/>
              </w:rPr>
            </w:pPr>
            <w:r w:rsidRPr="00B63DB7">
              <w:rPr>
                <w:color w:val="000000"/>
                <w:sz w:val="22"/>
                <w:szCs w:val="22"/>
              </w:rPr>
              <w:t>31,428</w:t>
            </w:r>
          </w:p>
        </w:tc>
      </w:tr>
      <w:tr w14:paraId="5527CAFF"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175DAF" w:rsidRPr="009E5BF9" w:rsidP="00175DAF" w14:paraId="1A236A5F" w14:textId="77777777">
            <w:pPr>
              <w:widowControl/>
              <w:overflowPunct/>
              <w:autoSpaceDE/>
              <w:autoSpaceDN/>
              <w:adjustRightInd/>
              <w:ind w:firstLine="200" w:firstLineChars="100"/>
              <w:rPr>
                <w:color w:val="000000"/>
                <w:kern w:val="0"/>
              </w:rPr>
            </w:pPr>
            <w:r w:rsidRPr="009E5BF9">
              <w:rPr>
                <w:color w:val="000000"/>
                <w:kern w:val="0"/>
              </w:rPr>
              <w:t>Employee Access to Records</w:t>
            </w:r>
          </w:p>
        </w:tc>
        <w:tc>
          <w:tcPr>
            <w:tcW w:w="1816" w:type="dxa"/>
            <w:tcBorders>
              <w:top w:val="nil"/>
              <w:left w:val="nil"/>
              <w:bottom w:val="single" w:sz="8" w:space="0" w:color="000000"/>
              <w:right w:val="single" w:sz="8" w:space="0" w:color="000000"/>
            </w:tcBorders>
            <w:shd w:val="clear" w:color="auto" w:fill="auto"/>
            <w:noWrap/>
            <w:vAlign w:val="center"/>
            <w:hideMark/>
          </w:tcPr>
          <w:p w:rsidR="00175DAF" w:rsidRPr="009E5BF9" w:rsidP="00175DAF" w14:paraId="5BB48E9C" w14:textId="16D93CAC">
            <w:pPr>
              <w:widowControl/>
              <w:overflowPunct/>
              <w:autoSpaceDE/>
              <w:autoSpaceDN/>
              <w:adjustRightInd/>
              <w:jc w:val="right"/>
              <w:rPr>
                <w:color w:val="000000"/>
                <w:kern w:val="0"/>
              </w:rPr>
            </w:pPr>
            <w:r w:rsidRPr="009E5BF9">
              <w:rPr>
                <w:color w:val="000000"/>
                <w:kern w:val="0"/>
              </w:rPr>
              <w:t>3,277</w:t>
            </w:r>
          </w:p>
        </w:tc>
        <w:tc>
          <w:tcPr>
            <w:tcW w:w="1816" w:type="dxa"/>
            <w:tcBorders>
              <w:top w:val="nil"/>
              <w:left w:val="nil"/>
              <w:bottom w:val="single" w:sz="8" w:space="0" w:color="000000"/>
              <w:right w:val="single" w:sz="8" w:space="0" w:color="000000"/>
            </w:tcBorders>
            <w:shd w:val="clear" w:color="auto" w:fill="auto"/>
            <w:noWrap/>
            <w:vAlign w:val="center"/>
          </w:tcPr>
          <w:p w:rsidR="00175DAF" w:rsidRPr="009E5BF9" w:rsidP="00175DAF" w14:paraId="38CFD72E" w14:textId="26F95612">
            <w:pPr>
              <w:widowControl/>
              <w:overflowPunct/>
              <w:autoSpaceDE/>
              <w:autoSpaceDN/>
              <w:adjustRightInd/>
              <w:jc w:val="right"/>
              <w:rPr>
                <w:color w:val="000000"/>
                <w:kern w:val="0"/>
              </w:rPr>
            </w:pPr>
            <w:r>
              <w:rPr>
                <w:color w:val="000000"/>
                <w:kern w:val="0"/>
              </w:rPr>
              <w:t>3,961</w:t>
            </w:r>
          </w:p>
        </w:tc>
        <w:tc>
          <w:tcPr>
            <w:tcW w:w="1281" w:type="dxa"/>
            <w:tcBorders>
              <w:top w:val="nil"/>
              <w:left w:val="nil"/>
              <w:bottom w:val="single" w:sz="8" w:space="0" w:color="000000"/>
              <w:right w:val="single" w:sz="8" w:space="0" w:color="000000"/>
            </w:tcBorders>
            <w:shd w:val="clear" w:color="auto" w:fill="auto"/>
            <w:noWrap/>
            <w:vAlign w:val="bottom"/>
          </w:tcPr>
          <w:p w:rsidR="00175DAF" w:rsidRPr="00BD3B6D" w:rsidP="00175DAF" w14:paraId="187ED7C1" w14:textId="4E8D2500">
            <w:pPr>
              <w:widowControl/>
              <w:overflowPunct/>
              <w:autoSpaceDE/>
              <w:autoSpaceDN/>
              <w:adjustRightInd/>
              <w:jc w:val="right"/>
              <w:rPr>
                <w:color w:val="000000"/>
                <w:kern w:val="0"/>
              </w:rPr>
            </w:pPr>
            <w:r w:rsidRPr="00B63DB7">
              <w:rPr>
                <w:color w:val="000000"/>
                <w:sz w:val="22"/>
                <w:szCs w:val="22"/>
              </w:rPr>
              <w:t>684</w:t>
            </w:r>
          </w:p>
        </w:tc>
      </w:tr>
      <w:tr w14:paraId="7947D34E" w14:textId="77777777" w:rsidTr="00B63DB7">
        <w:tblPrEx>
          <w:tblW w:w="8490" w:type="dxa"/>
          <w:tblLook w:val="04A0"/>
        </w:tblPrEx>
        <w:trPr>
          <w:trHeight w:val="300"/>
        </w:trPr>
        <w:tc>
          <w:tcPr>
            <w:tcW w:w="3577"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071257" w:rsidRPr="009E5BF9" w:rsidP="00071257" w14:paraId="72A38834" w14:textId="77777777">
            <w:pPr>
              <w:widowControl/>
              <w:overflowPunct/>
              <w:autoSpaceDE/>
              <w:autoSpaceDN/>
              <w:adjustRightInd/>
              <w:ind w:firstLine="200" w:firstLineChars="100"/>
              <w:rPr>
                <w:color w:val="000000"/>
                <w:kern w:val="0"/>
              </w:rPr>
            </w:pPr>
            <w:r w:rsidRPr="009E5BF9">
              <w:rPr>
                <w:color w:val="000000"/>
                <w:kern w:val="0"/>
              </w:rPr>
              <w:t>Federal Access to Records</w:t>
            </w:r>
          </w:p>
        </w:tc>
        <w:tc>
          <w:tcPr>
            <w:tcW w:w="1816" w:type="dxa"/>
            <w:tcBorders>
              <w:top w:val="nil"/>
              <w:left w:val="nil"/>
              <w:bottom w:val="single" w:sz="8" w:space="0" w:color="000000"/>
              <w:right w:val="single" w:sz="8" w:space="0" w:color="000000"/>
            </w:tcBorders>
            <w:shd w:val="clear" w:color="auto" w:fill="auto"/>
            <w:noWrap/>
            <w:vAlign w:val="center"/>
            <w:hideMark/>
          </w:tcPr>
          <w:p w:rsidR="00071257" w:rsidRPr="009E5BF9" w:rsidP="00071257" w14:paraId="06AD1E7E" w14:textId="17D146DF">
            <w:pPr>
              <w:widowControl/>
              <w:overflowPunct/>
              <w:autoSpaceDE/>
              <w:autoSpaceDN/>
              <w:adjustRightInd/>
              <w:jc w:val="right"/>
              <w:rPr>
                <w:color w:val="000000"/>
                <w:kern w:val="0"/>
              </w:rPr>
            </w:pPr>
            <w:r w:rsidRPr="009E5BF9">
              <w:rPr>
                <w:color w:val="000000"/>
                <w:kern w:val="0"/>
              </w:rPr>
              <w:t>0</w:t>
            </w:r>
          </w:p>
        </w:tc>
        <w:tc>
          <w:tcPr>
            <w:tcW w:w="1816" w:type="dxa"/>
            <w:tcBorders>
              <w:top w:val="nil"/>
              <w:left w:val="nil"/>
              <w:bottom w:val="single" w:sz="8" w:space="0" w:color="000000"/>
              <w:right w:val="single" w:sz="8" w:space="0" w:color="000000"/>
            </w:tcBorders>
            <w:shd w:val="clear" w:color="auto" w:fill="auto"/>
            <w:noWrap/>
            <w:vAlign w:val="center"/>
          </w:tcPr>
          <w:p w:rsidR="00071257" w:rsidRPr="009E5BF9" w:rsidP="00071257" w14:paraId="3A7774F5" w14:textId="529892A1">
            <w:pPr>
              <w:widowControl/>
              <w:overflowPunct/>
              <w:autoSpaceDE/>
              <w:autoSpaceDN/>
              <w:adjustRightInd/>
              <w:jc w:val="right"/>
              <w:rPr>
                <w:color w:val="000000"/>
                <w:kern w:val="0"/>
              </w:rPr>
            </w:pPr>
            <w:r>
              <w:rPr>
                <w:color w:val="000000"/>
                <w:kern w:val="0"/>
              </w:rPr>
              <w:t>0</w:t>
            </w:r>
          </w:p>
        </w:tc>
        <w:tc>
          <w:tcPr>
            <w:tcW w:w="1281" w:type="dxa"/>
            <w:tcBorders>
              <w:top w:val="nil"/>
              <w:left w:val="nil"/>
              <w:bottom w:val="single" w:sz="8" w:space="0" w:color="000000"/>
              <w:right w:val="single" w:sz="8" w:space="0" w:color="000000"/>
            </w:tcBorders>
            <w:shd w:val="clear" w:color="auto" w:fill="auto"/>
            <w:noWrap/>
            <w:vAlign w:val="center"/>
          </w:tcPr>
          <w:p w:rsidR="00071257" w:rsidRPr="00BD3B6D" w:rsidP="00071257" w14:paraId="13CEA2CA" w14:textId="423E1E7A">
            <w:pPr>
              <w:widowControl/>
              <w:overflowPunct/>
              <w:autoSpaceDE/>
              <w:autoSpaceDN/>
              <w:adjustRightInd/>
              <w:jc w:val="right"/>
              <w:rPr>
                <w:color w:val="000000"/>
                <w:kern w:val="0"/>
              </w:rPr>
            </w:pPr>
            <w:r w:rsidRPr="00BD3B6D">
              <w:rPr>
                <w:color w:val="000000"/>
                <w:kern w:val="0"/>
              </w:rPr>
              <w:t>0</w:t>
            </w:r>
          </w:p>
        </w:tc>
      </w:tr>
      <w:tr w14:paraId="43A14C1E" w14:textId="77777777" w:rsidTr="00B63DB7">
        <w:tblPrEx>
          <w:tblW w:w="8490" w:type="dxa"/>
          <w:tblLook w:val="04A0"/>
        </w:tblPrEx>
        <w:trPr>
          <w:trHeight w:val="300"/>
        </w:trPr>
        <w:tc>
          <w:tcPr>
            <w:tcW w:w="3577" w:type="dxa"/>
            <w:tcBorders>
              <w:top w:val="single" w:sz="8" w:space="0" w:color="000000"/>
              <w:left w:val="single" w:sz="4" w:space="0" w:color="auto"/>
              <w:bottom w:val="single" w:sz="4" w:space="0" w:color="auto"/>
              <w:right w:val="single" w:sz="8" w:space="0" w:color="000000"/>
            </w:tcBorders>
            <w:shd w:val="clear" w:color="auto" w:fill="auto"/>
            <w:noWrap/>
            <w:vAlign w:val="center"/>
            <w:hideMark/>
          </w:tcPr>
          <w:p w:rsidR="00071257" w:rsidRPr="009E5BF9" w:rsidP="00071257" w14:paraId="538252D1" w14:textId="77777777">
            <w:pPr>
              <w:widowControl/>
              <w:overflowPunct/>
              <w:autoSpaceDE/>
              <w:autoSpaceDN/>
              <w:adjustRightInd/>
              <w:rPr>
                <w:b/>
                <w:bCs/>
                <w:color w:val="000000"/>
                <w:kern w:val="0"/>
              </w:rPr>
            </w:pPr>
            <w:r w:rsidRPr="009E5BF9">
              <w:rPr>
                <w:b/>
                <w:bCs/>
                <w:color w:val="000000"/>
                <w:kern w:val="0"/>
              </w:rPr>
              <w:t>TOTAL</w:t>
            </w:r>
          </w:p>
        </w:tc>
        <w:tc>
          <w:tcPr>
            <w:tcW w:w="1816" w:type="dxa"/>
            <w:tcBorders>
              <w:top w:val="single" w:sz="8" w:space="0" w:color="000000"/>
              <w:left w:val="nil"/>
              <w:bottom w:val="single" w:sz="4" w:space="0" w:color="auto"/>
              <w:right w:val="single" w:sz="8" w:space="0" w:color="000000"/>
            </w:tcBorders>
            <w:shd w:val="clear" w:color="auto" w:fill="auto"/>
            <w:noWrap/>
            <w:vAlign w:val="center"/>
            <w:hideMark/>
          </w:tcPr>
          <w:p w:rsidR="00071257" w:rsidRPr="009E5BF9" w:rsidP="00071257" w14:paraId="49B002F4" w14:textId="64240F0D">
            <w:pPr>
              <w:widowControl/>
              <w:overflowPunct/>
              <w:autoSpaceDE/>
              <w:autoSpaceDN/>
              <w:adjustRightInd/>
              <w:jc w:val="right"/>
              <w:rPr>
                <w:b/>
                <w:bCs/>
                <w:color w:val="000000"/>
                <w:kern w:val="0"/>
              </w:rPr>
            </w:pPr>
            <w:r w:rsidRPr="009E5BF9">
              <w:rPr>
                <w:b/>
                <w:bCs/>
                <w:color w:val="000000"/>
                <w:kern w:val="0"/>
              </w:rPr>
              <w:t>1,226,717</w:t>
            </w:r>
          </w:p>
        </w:tc>
        <w:tc>
          <w:tcPr>
            <w:tcW w:w="1816" w:type="dxa"/>
            <w:tcBorders>
              <w:top w:val="single" w:sz="8" w:space="0" w:color="000000"/>
              <w:left w:val="nil"/>
              <w:bottom w:val="single" w:sz="4" w:space="0" w:color="auto"/>
              <w:right w:val="single" w:sz="8" w:space="0" w:color="000000"/>
            </w:tcBorders>
            <w:shd w:val="clear" w:color="auto" w:fill="auto"/>
            <w:noWrap/>
            <w:vAlign w:val="center"/>
          </w:tcPr>
          <w:p w:rsidR="00071257" w:rsidRPr="009E5BF9" w:rsidP="00071257" w14:paraId="006E1B1E" w14:textId="566252AB">
            <w:pPr>
              <w:widowControl/>
              <w:overflowPunct/>
              <w:autoSpaceDE/>
              <w:autoSpaceDN/>
              <w:adjustRightInd/>
              <w:jc w:val="right"/>
              <w:rPr>
                <w:b/>
                <w:bCs/>
                <w:color w:val="000000"/>
                <w:kern w:val="0"/>
              </w:rPr>
            </w:pPr>
            <w:r>
              <w:rPr>
                <w:b/>
                <w:bCs/>
                <w:color w:val="000000"/>
                <w:kern w:val="0"/>
              </w:rPr>
              <w:t>1,362,145</w:t>
            </w:r>
          </w:p>
        </w:tc>
        <w:tc>
          <w:tcPr>
            <w:tcW w:w="1281" w:type="dxa"/>
            <w:tcBorders>
              <w:top w:val="single" w:sz="8" w:space="0" w:color="000000"/>
              <w:left w:val="nil"/>
              <w:bottom w:val="single" w:sz="4" w:space="0" w:color="auto"/>
              <w:right w:val="single" w:sz="8" w:space="0" w:color="000000"/>
            </w:tcBorders>
            <w:shd w:val="clear" w:color="auto" w:fill="auto"/>
            <w:noWrap/>
            <w:vAlign w:val="center"/>
          </w:tcPr>
          <w:p w:rsidR="00071257" w:rsidRPr="00BD3B6D" w:rsidP="00071257" w14:paraId="1B130486" w14:textId="150A4802">
            <w:pPr>
              <w:widowControl/>
              <w:overflowPunct/>
              <w:autoSpaceDE/>
              <w:autoSpaceDN/>
              <w:adjustRightInd/>
              <w:jc w:val="right"/>
              <w:rPr>
                <w:b/>
                <w:bCs/>
                <w:color w:val="000000"/>
                <w:kern w:val="0"/>
              </w:rPr>
            </w:pPr>
            <w:r w:rsidRPr="00BD3B6D">
              <w:rPr>
                <w:b/>
                <w:bCs/>
                <w:color w:val="000000"/>
                <w:kern w:val="0"/>
              </w:rPr>
              <w:t>121,</w:t>
            </w:r>
            <w:r w:rsidR="00425BEA">
              <w:rPr>
                <w:b/>
                <w:bCs/>
                <w:color w:val="000000"/>
                <w:kern w:val="0"/>
              </w:rPr>
              <w:t>782</w:t>
            </w:r>
          </w:p>
        </w:tc>
      </w:tr>
    </w:tbl>
    <w:p w:rsidR="00CA62C2" w:rsidP="00CA62C2" w14:paraId="1DF1EC29" w14:textId="77777777"/>
    <w:p w:rsidR="00C27E4E" w:rsidRPr="005D6BC2" w14:paraId="676AFDF6" w14:textId="548C1A03">
      <w:pPr>
        <w:ind w:left="720" w:hanging="720"/>
        <w:rPr>
          <w:sz w:val="24"/>
          <w:szCs w:val="24"/>
        </w:rPr>
      </w:pPr>
    </w:p>
    <w:p w:rsidR="00553E3D" w:rsidRPr="005D6BC2" w:rsidP="00553E3D" w14:paraId="5381D15A" w14:textId="77777777">
      <w:pPr>
        <w:shd w:val="solid" w:color="FFFFFF" w:fill="FFFFFF"/>
        <w:ind w:left="720" w:hanging="720"/>
        <w:rPr>
          <w:sz w:val="24"/>
          <w:szCs w:val="24"/>
        </w:rPr>
      </w:pPr>
      <w:r w:rsidRPr="005D6BC2">
        <w:rPr>
          <w:b/>
          <w:bCs/>
          <w:sz w:val="24"/>
          <w:szCs w:val="24"/>
        </w:rPr>
        <w:t xml:space="preserve">16.   </w:t>
      </w:r>
      <w:r w:rsidRPr="005D6BC2">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E3D" w:rsidRPr="00BB55EA" w14:paraId="36494CC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14:paraId="35124089" w14:textId="46793F0E">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information required to be collected by the Lead in Construction Standard will not be published</w:t>
      </w:r>
      <w:r w:rsidR="00EE1C4B">
        <w:rPr>
          <w:sz w:val="24"/>
          <w:szCs w:val="24"/>
        </w:rPr>
        <w:t>.</w:t>
      </w:r>
    </w:p>
    <w:p w:rsidR="00553E3D" w14:paraId="184298F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Pr="005D6BC2" w14:paraId="4DF41E37" w14:textId="77777777">
      <w:pPr>
        <w:tabs>
          <w:tab w:val="left" w:pos="720"/>
        </w:tabs>
        <w:ind w:left="720" w:hanging="720"/>
        <w:rPr>
          <w:b/>
          <w:bCs/>
          <w:sz w:val="24"/>
          <w:szCs w:val="24"/>
        </w:rPr>
      </w:pPr>
      <w:r w:rsidRPr="005D6BC2">
        <w:rPr>
          <w:b/>
          <w:bCs/>
          <w:sz w:val="24"/>
          <w:szCs w:val="24"/>
        </w:rPr>
        <w:t>17.</w:t>
      </w:r>
      <w:r w:rsidRPr="005D6BC2">
        <w:rPr>
          <w:b/>
          <w:bCs/>
          <w:sz w:val="24"/>
          <w:szCs w:val="24"/>
        </w:rPr>
        <w:tab/>
        <w:t>If seeking approval to not display the expiration date for OMB approval of the information collection, explain the reasons that display would be inappropriate.</w:t>
      </w:r>
    </w:p>
    <w:p w:rsidR="00553E3D" w:rsidRPr="00BB55EA" w14:paraId="29380AE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473DC" w:rsidRPr="007E1A2B" w:rsidP="00E473DC" w14:paraId="448A690B" w14:textId="16B6A8A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E1A2B">
        <w:rPr>
          <w:sz w:val="24"/>
          <w:szCs w:val="24"/>
        </w:rPr>
        <w:t xml:space="preserve">OSHA lists current valid control numbers in §§1910.8, 1915.8, 1917.4, 1918.4, and 1926.5 and publishes the expiration date in the Federal Register notice announcing OMB approval of the information-collection requirement. </w:t>
      </w:r>
      <w:r w:rsidR="007F3A34">
        <w:rPr>
          <w:sz w:val="24"/>
          <w:szCs w:val="24"/>
        </w:rPr>
        <w:t xml:space="preserve"> </w:t>
      </w:r>
      <w:r w:rsidRPr="007E1A2B">
        <w:rPr>
          <w:sz w:val="24"/>
          <w:szCs w:val="24"/>
        </w:rPr>
        <w:t>(See 5 CFR 1320.3(f)(3).)</w:t>
      </w:r>
      <w:r w:rsidR="007F3A34">
        <w:rPr>
          <w:sz w:val="24"/>
          <w:szCs w:val="24"/>
        </w:rPr>
        <w:t xml:space="preserve"> </w:t>
      </w:r>
      <w:r w:rsidRPr="007E1A2B">
        <w:rPr>
          <w:sz w:val="24"/>
          <w:szCs w:val="24"/>
        </w:rPr>
        <w:t xml:space="preserve"> OSHA believes that this is the most appropriate and accurate mechanism to inform interested parties of these expiration dates.</w:t>
      </w:r>
    </w:p>
    <w:p w:rsidR="00553E3D" w14:paraId="64FF439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Pr="005D6BC2" w14:paraId="2FD21430"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5D6BC2">
        <w:rPr>
          <w:b/>
          <w:bCs/>
          <w:sz w:val="24"/>
          <w:szCs w:val="24"/>
        </w:rPr>
        <w:t>18.         Explain each exception to the certification statement.</w:t>
      </w:r>
      <w:r w:rsidRPr="005D6BC2">
        <w:rPr>
          <w:b/>
          <w:bCs/>
          <w:sz w:val="24"/>
          <w:szCs w:val="24"/>
          <w:lang w:val="en-JM"/>
        </w:rPr>
        <w:t> </w:t>
      </w:r>
    </w:p>
    <w:p w:rsidR="00553E3D" w:rsidRPr="00BB55EA" w14:paraId="295D3EB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14:paraId="793BE50B" w14:textId="31054850">
      <w:pPr>
        <w:rPr>
          <w:sz w:val="24"/>
          <w:szCs w:val="24"/>
          <w:lang w:val="en-JM"/>
        </w:rPr>
      </w:pPr>
      <w:r>
        <w:rPr>
          <w:sz w:val="24"/>
          <w:szCs w:val="24"/>
          <w:lang w:val="en-JM"/>
        </w:rPr>
        <w:t>OSHA is not requesting an exception to the certification statement.</w:t>
      </w:r>
    </w:p>
    <w:p w:rsidR="00553E3D" w:rsidP="00553E3D" w14:paraId="09CECCC9" w14:textId="77777777">
      <w:pPr>
        <w:jc w:val="right"/>
        <w:rPr>
          <w:sz w:val="24"/>
          <w:szCs w:val="24"/>
          <w:lang w:val="en-JM"/>
        </w:rPr>
      </w:pPr>
    </w:p>
    <w:p w:rsidR="00553E3D" w:rsidRPr="00772FE4" w:rsidP="00553E3D" w14:paraId="5D93032D" w14:textId="77777777">
      <w:pPr>
        <w:outlineLvl w:val="0"/>
        <w:rPr>
          <w:b/>
          <w:sz w:val="24"/>
          <w:szCs w:val="24"/>
        </w:rPr>
      </w:pPr>
      <w:r w:rsidRPr="00772FE4">
        <w:rPr>
          <w:b/>
          <w:sz w:val="24"/>
          <w:szCs w:val="24"/>
        </w:rPr>
        <w:t>B. COLLECTION OF INFORMATION EMPLOYING STATISTICAL METHODS</w:t>
      </w:r>
    </w:p>
    <w:p w:rsidR="00553E3D" w:rsidRPr="00772FE4" w:rsidP="00553E3D" w14:paraId="6BEDAC1D" w14:textId="77777777">
      <w:pPr>
        <w:rPr>
          <w:b/>
          <w:sz w:val="24"/>
          <w:szCs w:val="24"/>
        </w:rPr>
      </w:pPr>
    </w:p>
    <w:p w:rsidR="00553E3D" w:rsidP="00553E3D" w14:paraId="17F0BB6A" w14:textId="08305DBD">
      <w:pPr>
        <w:rPr>
          <w:sz w:val="24"/>
          <w:szCs w:val="24"/>
        </w:rPr>
      </w:pPr>
      <w:r w:rsidRPr="00772FE4">
        <w:rPr>
          <w:sz w:val="24"/>
          <w:szCs w:val="24"/>
        </w:rPr>
        <w:t>The supporting statement does not contain any collection of information requirements that employ statistical methods.</w:t>
      </w:r>
    </w:p>
    <w:p w:rsidR="001C0294" w:rsidRPr="00772FE4" w:rsidP="00553E3D" w14:paraId="4C7FD264" w14:textId="0D28BBF0">
      <w:pPr>
        <w:rPr>
          <w:sz w:val="24"/>
          <w:szCs w:val="24"/>
        </w:rPr>
      </w:pPr>
    </w:p>
    <w:p w:rsidR="00553E3D" w:rsidRPr="00772FE4" w14:paraId="0952941F" w14:textId="77777777">
      <w:pPr>
        <w:rPr>
          <w:sz w:val="24"/>
          <w:szCs w:val="24"/>
        </w:rPr>
      </w:pPr>
    </w:p>
    <w:p w:rsidR="00553E3D" w14:paraId="43545099" w14:textId="77777777"/>
    <w:sectPr w:rsidSect="006214C0">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BE9" w14:paraId="1B6FB3CE" w14:textId="2DE939B4">
    <w:pPr>
      <w:pStyle w:val="Footer"/>
      <w:jc w:val="center"/>
    </w:pPr>
    <w:r>
      <w:fldChar w:fldCharType="begin"/>
    </w:r>
    <w:r>
      <w:instrText xml:space="preserve"> PAGE   \* MERGEFORMAT </w:instrText>
    </w:r>
    <w:r>
      <w:fldChar w:fldCharType="separate"/>
    </w:r>
    <w:r w:rsidR="005104F5">
      <w:rPr>
        <w:noProof/>
      </w:rPr>
      <w:t>1</w:t>
    </w:r>
    <w:r>
      <w:rPr>
        <w:noProof/>
      </w:rPr>
      <w:fldChar w:fldCharType="end"/>
    </w:r>
  </w:p>
  <w:p w:rsidR="006F1BE9" w14:paraId="2751B689" w14:textId="77777777">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746E" w:rsidP="00553E3D" w14:paraId="6E9A3B2F" w14:textId="77777777">
      <w:r>
        <w:separator/>
      </w:r>
    </w:p>
  </w:footnote>
  <w:footnote w:type="continuationSeparator" w:id="1">
    <w:p w:rsidR="00EA746E" w:rsidP="00553E3D" w14:paraId="2549C04D" w14:textId="77777777">
      <w:r>
        <w:continuationSeparator/>
      </w:r>
    </w:p>
  </w:footnote>
  <w:footnote w:type="continuationNotice" w:id="2">
    <w:p w:rsidR="00EA746E" w14:paraId="06850C3C" w14:textId="77777777"/>
  </w:footnote>
  <w:footnote w:id="3">
    <w:p w:rsidR="006F1BE9" w:rsidRPr="00280D69" w:rsidP="00A910CC" w14:paraId="7DBDE93D" w14:textId="77777777">
      <w:pPr>
        <w:ind w:firstLine="720"/>
        <w:rPr>
          <w:kern w:val="0"/>
        </w:rPr>
      </w:pPr>
      <w:r w:rsidRPr="00280D69">
        <w:rPr>
          <w:kern w:val="0"/>
          <w:vertAlign w:val="superscript"/>
        </w:rPr>
        <w:footnoteRef/>
      </w:r>
      <w:r w:rsidRPr="00280D69">
        <w:rPr>
          <w:kern w:val="0"/>
        </w:rPr>
        <w:t xml:space="preserve"> 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footnote>
  <w:footnote w:id="4">
    <w:p w:rsidR="006F1BE9" w:rsidRPr="00280D69" w:rsidP="00856664" w14:paraId="79A9C2EA" w14:textId="7886B8B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0"/>
        </w:rPr>
      </w:pPr>
      <w:r>
        <w:rPr>
          <w:kern w:val="0"/>
        </w:rPr>
        <w:tab/>
      </w:r>
      <w:r w:rsidRPr="00FD0645">
        <w:rPr>
          <w:rStyle w:val="FootnoteReference"/>
          <w:sz w:val="22"/>
          <w:szCs w:val="22"/>
        </w:rPr>
        <w:footnoteRef/>
      </w:r>
      <w:r w:rsidRPr="00280D69">
        <w:rPr>
          <w:kern w:val="0"/>
        </w:rPr>
        <w:t xml:space="preserve">Objective data </w:t>
      </w:r>
      <w:r w:rsidR="00787DDE">
        <w:rPr>
          <w:kern w:val="0"/>
        </w:rPr>
        <w:t>are</w:t>
      </w:r>
      <w:r w:rsidRPr="00280D69">
        <w:rPr>
          <w:kern w:val="0"/>
        </w:rPr>
        <w:t xml:space="preserve"> data demonstrating that a particular product or material containing lead or a specific process, operation, or activity involving lead cannot result in </w:t>
      </w:r>
      <w:r>
        <w:rPr>
          <w:kern w:val="0"/>
        </w:rPr>
        <w:t>worker</w:t>
      </w:r>
      <w:r w:rsidRPr="00280D69">
        <w:rPr>
          <w:kern w:val="0"/>
        </w:rPr>
        <w:t xml:space="preserve"> exposure to lead at or above the action level during processing, use or handling. </w:t>
      </w:r>
    </w:p>
  </w:footnote>
  <w:footnote w:id="5">
    <w:p w:rsidR="006F1BE9" w:rsidRPr="007F11EC" w:rsidP="007F11EC" w14:paraId="53D8917E" w14:textId="3EABE4AC">
      <w:pPr>
        <w:pStyle w:val="FootnoteText"/>
        <w:ind w:firstLine="720"/>
        <w:rPr>
          <w:rFonts w:ascii="Times New Roman" w:hAnsi="Times New Roman"/>
        </w:rPr>
      </w:pPr>
      <w:r w:rsidRPr="007F11EC">
        <w:rPr>
          <w:rStyle w:val="FootnoteReference"/>
          <w:rFonts w:ascii="Times New Roman" w:hAnsi="Times New Roman"/>
        </w:rPr>
        <w:footnoteRef/>
      </w:r>
      <w:r w:rsidRPr="007F11EC">
        <w:rPr>
          <w:rFonts w:ascii="Times New Roman" w:hAnsi="Times New Roman"/>
        </w:rPr>
        <w:t xml:space="preserve"> 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t>
      </w:r>
      <w:r>
        <w:rPr>
          <w:rFonts w:ascii="Times New Roman" w:hAnsi="Times New Roman"/>
        </w:rPr>
        <w:t xml:space="preserve"> </w:t>
      </w:r>
      <w:r w:rsidRPr="007F11EC">
        <w:rPr>
          <w:rFonts w:ascii="Times New Roman" w:hAnsi="Times New Roman"/>
        </w:rPr>
        <w:t xml:space="preserve">While NIOSH may use records collected from employers for research purposes, the </w:t>
      </w:r>
      <w:r w:rsidR="00656B4E">
        <w:rPr>
          <w:rFonts w:ascii="Times New Roman" w:hAnsi="Times New Roman"/>
        </w:rPr>
        <w:t>a</w:t>
      </w:r>
      <w:r w:rsidRPr="007F11EC">
        <w:rPr>
          <w:rFonts w:ascii="Times New Roman" w:hAnsi="Times New Roman"/>
        </w:rPr>
        <w:t>gency does not anticipate</w:t>
      </w:r>
      <w:r w:rsidR="00B91393">
        <w:rPr>
          <w:rFonts w:ascii="Times New Roman" w:hAnsi="Times New Roman"/>
        </w:rPr>
        <w:t xml:space="preserve"> that</w:t>
      </w:r>
      <w:r w:rsidRPr="007F11EC">
        <w:rPr>
          <w:rFonts w:ascii="Times New Roman" w:hAnsi="Times New Roman"/>
        </w:rPr>
        <w:t xml:space="preserve"> NIOSH </w:t>
      </w:r>
      <w:r w:rsidR="00B91393">
        <w:rPr>
          <w:rFonts w:ascii="Times New Roman" w:hAnsi="Times New Roman"/>
        </w:rPr>
        <w:t>will ask</w:t>
      </w:r>
      <w:r w:rsidRPr="007F11EC">
        <w:rPr>
          <w:rFonts w:ascii="Times New Roman" w:hAnsi="Times New Roman"/>
        </w:rPr>
        <w:t xml:space="preserve"> employers to make records</w:t>
      </w:r>
      <w:r w:rsidR="00B91393">
        <w:rPr>
          <w:rFonts w:ascii="Times New Roman" w:hAnsi="Times New Roman"/>
        </w:rPr>
        <w:t xml:space="preserve"> available</w:t>
      </w:r>
      <w:r w:rsidRPr="007F11EC">
        <w:rPr>
          <w:rFonts w:ascii="Times New Roman" w:hAnsi="Times New Roman"/>
        </w:rPr>
        <w:t xml:space="preserve"> during the approval period.  Therefore, the burden for the employer to make this information available to NIOSH is zero.</w:t>
      </w:r>
    </w:p>
    <w:p w:rsidR="006F1BE9" w14:paraId="313D003F" w14:textId="72425D54">
      <w:pPr>
        <w:pStyle w:val="FootnoteText"/>
      </w:pPr>
    </w:p>
  </w:footnote>
  <w:footnote w:id="6">
    <w:p w:rsidR="006F1BE9" w:rsidP="00A910CC" w14:paraId="00A791A8" w14:textId="3837B751">
      <w:pPr>
        <w:pStyle w:val="NormalWeb"/>
        <w:ind w:firstLine="720"/>
        <w:rPr>
          <w:rFonts w:ascii="Arial" w:hAnsi="Arial" w:cs="Arial"/>
          <w:sz w:val="20"/>
          <w:szCs w:val="20"/>
        </w:rPr>
      </w:pPr>
      <w:r w:rsidRPr="00FD0645">
        <w:rPr>
          <w:rStyle w:val="FootnoteReference"/>
          <w:sz w:val="22"/>
          <w:szCs w:val="22"/>
        </w:rPr>
        <w:footnoteRef/>
      </w:r>
      <w:r w:rsidRPr="00FD0645">
        <w:rPr>
          <w:sz w:val="20"/>
          <w:szCs w:val="20"/>
        </w:rPr>
        <w:t xml:space="preserve">Prior to June 1, 2015, employers </w:t>
      </w:r>
      <w:r>
        <w:rPr>
          <w:sz w:val="20"/>
          <w:szCs w:val="20"/>
        </w:rPr>
        <w:t>were permitted to</w:t>
      </w:r>
      <w:r w:rsidRPr="00FD0645">
        <w:rPr>
          <w:sz w:val="20"/>
          <w:szCs w:val="20"/>
        </w:rPr>
        <w:t xml:space="preserve"> include the following information on bags or containers of contaminated protective clothing and equipment required by paragraph (g)(2)(v) in lieu of the labeling requirements in paragraph (g)(2)(vii)(A) of this section:  Caution: Clothing contaminated with lead. </w:t>
      </w:r>
      <w:r>
        <w:rPr>
          <w:sz w:val="20"/>
          <w:szCs w:val="20"/>
        </w:rPr>
        <w:t xml:space="preserve"> </w:t>
      </w:r>
      <w:r w:rsidRPr="00FD0645">
        <w:rPr>
          <w:sz w:val="20"/>
          <w:szCs w:val="20"/>
        </w:rPr>
        <w:t xml:space="preserve">Do not remove dust by blowing or shaking. </w:t>
      </w:r>
      <w:r>
        <w:rPr>
          <w:sz w:val="20"/>
          <w:szCs w:val="20"/>
        </w:rPr>
        <w:t xml:space="preserve"> </w:t>
      </w:r>
      <w:r w:rsidRPr="00FD0645">
        <w:rPr>
          <w:sz w:val="20"/>
          <w:szCs w:val="20"/>
        </w:rPr>
        <w:t>Dispose of lead contaminated wash water in accordance with applicable local, state, or federal regulations.</w:t>
      </w:r>
    </w:p>
    <w:p w:rsidR="006F1BE9" w:rsidP="00856664" w14:paraId="378B9D3E" w14:textId="77777777">
      <w:pPr>
        <w:pStyle w:val="FootnoteText"/>
      </w:pPr>
    </w:p>
  </w:footnote>
  <w:footnote w:id="7">
    <w:p w:rsidR="006F1BE9" w:rsidRPr="00EF52A9" w:rsidP="00EF52A9" w14:paraId="6323B045" w14:textId="63706077">
      <w:pPr>
        <w:pStyle w:val="FootnoteText"/>
        <w:ind w:firstLine="720"/>
        <w:rPr>
          <w:rFonts w:ascii="Times New Roman" w:hAnsi="Times New Roman"/>
        </w:rPr>
      </w:pPr>
      <w:r w:rsidRPr="00E47ED0">
        <w:rPr>
          <w:rStyle w:val="FootnoteReference"/>
        </w:rPr>
        <w:footnoteRef/>
      </w:r>
      <w:r w:rsidRPr="00E47ED0">
        <w:rPr>
          <w:vertAlign w:val="superscript"/>
        </w:rPr>
        <w:t xml:space="preserve"> </w:t>
      </w:r>
      <w:r w:rsidRPr="00EF52A9">
        <w:rPr>
          <w:rFonts w:ascii="Times New Roman" w:hAnsi="Times New Roman"/>
        </w:rPr>
        <w:t xml:space="preserve">The </w:t>
      </w:r>
      <w:r w:rsidR="005A66DC">
        <w:rPr>
          <w:rFonts w:ascii="Times New Roman" w:hAnsi="Times New Roman"/>
        </w:rPr>
        <w:t>a</w:t>
      </w:r>
      <w:r w:rsidRPr="00EF52A9">
        <w:rPr>
          <w:rFonts w:ascii="Times New Roman" w:hAnsi="Times New Roman"/>
        </w:rPr>
        <w:t>gency accounts for the burden hours and costs associated with compliance with the HCS, such as the development of a hazard communication program, under the Information Collection Request (ICR) for the HCS.  OMB Control No. 1218-0072.</w:t>
      </w:r>
    </w:p>
    <w:p w:rsidR="006F1BE9" w:rsidP="00EF52A9" w14:paraId="6B2E3176" w14:textId="502F55B7">
      <w:pPr>
        <w:pStyle w:val="FootnoteText"/>
        <w:ind w:firstLine="720"/>
      </w:pPr>
      <w:r>
        <w:t xml:space="preserve"> </w:t>
      </w:r>
    </w:p>
  </w:footnote>
  <w:footnote w:id="8">
    <w:p w:rsidR="006F1BE9" w:rsidRPr="002167AB" w:rsidP="003A41FF" w14:paraId="021C2ABF" w14:textId="24587E1B">
      <w:pPr>
        <w:pStyle w:val="NormalWeb"/>
        <w:ind w:firstLine="720"/>
        <w:rPr>
          <w:kern w:val="28"/>
          <w:sz w:val="20"/>
          <w:szCs w:val="20"/>
        </w:rPr>
      </w:pPr>
      <w:r>
        <w:rPr>
          <w:rStyle w:val="FootnoteReference"/>
        </w:rPr>
        <w:footnoteRef/>
      </w:r>
      <w:r w:rsidRPr="002167AB">
        <w:rPr>
          <w:kern w:val="28"/>
          <w:sz w:val="20"/>
          <w:szCs w:val="20"/>
        </w:rPr>
        <w:t xml:space="preserve">Prior to June 1, 2016, employers </w:t>
      </w:r>
      <w:r>
        <w:rPr>
          <w:kern w:val="28"/>
          <w:sz w:val="20"/>
          <w:szCs w:val="20"/>
        </w:rPr>
        <w:t>were permitted to</w:t>
      </w:r>
      <w:r w:rsidRPr="002167AB">
        <w:rPr>
          <w:kern w:val="28"/>
          <w:sz w:val="20"/>
          <w:szCs w:val="20"/>
        </w:rPr>
        <w:t xml:space="preserve"> use the following legend in lieu of that specified in paragraph (m</w:t>
      </w:r>
      <w:r>
        <w:rPr>
          <w:kern w:val="28"/>
          <w:sz w:val="20"/>
          <w:szCs w:val="20"/>
        </w:rPr>
        <w:t>)</w:t>
      </w:r>
      <w:r w:rsidRPr="002167AB">
        <w:rPr>
          <w:kern w:val="28"/>
          <w:sz w:val="20"/>
          <w:szCs w:val="20"/>
        </w:rPr>
        <w:t>:</w:t>
      </w:r>
      <w:r>
        <w:rPr>
          <w:kern w:val="28"/>
          <w:sz w:val="20"/>
          <w:szCs w:val="20"/>
        </w:rPr>
        <w:t xml:space="preserve">  </w:t>
      </w:r>
      <w:r w:rsidRPr="002167AB">
        <w:rPr>
          <w:kern w:val="28"/>
          <w:sz w:val="20"/>
          <w:szCs w:val="20"/>
        </w:rPr>
        <w:t>WARNING</w:t>
      </w:r>
      <w:r>
        <w:rPr>
          <w:kern w:val="28"/>
          <w:sz w:val="20"/>
          <w:szCs w:val="20"/>
        </w:rPr>
        <w:t xml:space="preserve">: </w:t>
      </w:r>
      <w:r w:rsidRPr="002167AB">
        <w:rPr>
          <w:kern w:val="28"/>
          <w:sz w:val="20"/>
          <w:szCs w:val="20"/>
        </w:rPr>
        <w:t>LEAD WORK AREA</w:t>
      </w:r>
      <w:r>
        <w:rPr>
          <w:kern w:val="28"/>
          <w:sz w:val="20"/>
          <w:szCs w:val="20"/>
        </w:rPr>
        <w:t xml:space="preserve">; </w:t>
      </w:r>
      <w:r w:rsidRPr="002167AB">
        <w:rPr>
          <w:kern w:val="28"/>
          <w:sz w:val="20"/>
          <w:szCs w:val="20"/>
        </w:rPr>
        <w:t>POISON</w:t>
      </w:r>
      <w:r>
        <w:rPr>
          <w:kern w:val="28"/>
          <w:sz w:val="20"/>
          <w:szCs w:val="20"/>
        </w:rPr>
        <w:t xml:space="preserve">; </w:t>
      </w:r>
      <w:r w:rsidRPr="002167AB">
        <w:rPr>
          <w:kern w:val="28"/>
          <w:sz w:val="20"/>
          <w:szCs w:val="20"/>
        </w:rPr>
        <w:t>NO SMOKING OR EATING</w:t>
      </w:r>
      <w:r>
        <w:rPr>
          <w:kern w:val="28"/>
          <w:sz w:val="20"/>
          <w:szCs w:val="20"/>
        </w:rPr>
        <w:t>.</w:t>
      </w:r>
    </w:p>
    <w:p w:rsidR="006F1BE9" w:rsidRPr="00772FE4" w:rsidP="00856664" w14:paraId="0DA08A7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6F1BE9" w:rsidP="00856664" w14:paraId="62EC25EF" w14:textId="77777777">
      <w:pPr>
        <w:pStyle w:val="FootnoteText"/>
      </w:pPr>
    </w:p>
  </w:footnote>
  <w:footnote w:id="9">
    <w:p w:rsidR="006F1BE9" w:rsidP="00A910CC" w14:paraId="55C6B807" w14:textId="2A53DAA7">
      <w:pPr>
        <w:shd w:val="solid" w:color="FFFFFF" w:fill="FFFFFF"/>
        <w:ind w:firstLine="720"/>
        <w:rPr>
          <w:kern w:val="0"/>
        </w:rPr>
      </w:pPr>
      <w:r>
        <w:rPr>
          <w:kern w:val="0"/>
          <w:sz w:val="24"/>
          <w:szCs w:val="24"/>
          <w:vertAlign w:val="superscript"/>
        </w:rPr>
        <w:footnoteRef/>
      </w:r>
      <w:r w:rsidRPr="00280D69">
        <w:rPr>
          <w:kern w:val="0"/>
        </w:rPr>
        <w:t xml:space="preserve">The basic assumptions used in calculating the burden hour and cost estimates are derived from or based on information in the Regulatory Impact Analysis for the Lead in Construction Standard, and three supporting contractor reports. </w:t>
      </w:r>
      <w:r>
        <w:rPr>
          <w:kern w:val="0"/>
        </w:rPr>
        <w:t xml:space="preserve"> </w:t>
      </w:r>
      <w:r w:rsidRPr="00280D69">
        <w:rPr>
          <w:kern w:val="0"/>
        </w:rPr>
        <w:t xml:space="preserve">The three supporting contractor reports are: (1) “Economic Analysis of OSHA Interim Final Standard for Lead in Construction” prepared by CONSAD Research Corporation in April 1993; (2) “Assessment of Potential Benefits Associated with the Interim Final Standard for Lead in Construction” (Appendix D of the CONSAD report) prepared by Meridian Research, Inc. in April 1993; and (3) “Quantitative Assessment of the Risks Associated with Exposure to Lead in the Construction Industry: Selected Toxicologic Endpoints (Peer Review Draft Report)” prepared by Meridian Research, Inc. in August 1992. </w:t>
      </w:r>
    </w:p>
    <w:p w:rsidR="006F1BE9" w:rsidRPr="00280D69" w:rsidP="00A910CC" w14:paraId="438ECE44" w14:textId="77777777">
      <w:pPr>
        <w:shd w:val="solid" w:color="FFFFFF" w:fill="FFFFFF"/>
        <w:ind w:firstLine="720"/>
        <w:rPr>
          <w:kern w:val="0"/>
        </w:rPr>
      </w:pPr>
    </w:p>
  </w:footnote>
  <w:footnote w:id="10">
    <w:p w:rsidR="006F1BE9" w:rsidP="00A910CC" w14:paraId="588BEBDB" w14:textId="4206B90D">
      <w:pPr>
        <w:shd w:val="solid" w:color="FFFFFF" w:fill="FFFFFF"/>
        <w:ind w:firstLine="720"/>
        <w:rPr>
          <w:kern w:val="0"/>
        </w:rPr>
      </w:pPr>
      <w:r w:rsidRPr="00280D69">
        <w:rPr>
          <w:kern w:val="0"/>
          <w:vertAlign w:val="superscript"/>
        </w:rPr>
        <w:footnoteRef/>
      </w:r>
      <w:r w:rsidRPr="00280D69">
        <w:rPr>
          <w:kern w:val="0"/>
        </w:rPr>
        <w:t>See Attachment A for explanation of analysis, data sources, and a complete list of projects on a per project-type basis.</w:t>
      </w:r>
    </w:p>
    <w:p w:rsidR="006F1BE9" w:rsidRPr="00280D69" w:rsidP="00A910CC" w14:paraId="0AE412A5" w14:textId="77777777">
      <w:pPr>
        <w:shd w:val="solid" w:color="FFFFFF" w:fill="FFFFFF"/>
        <w:ind w:firstLine="720"/>
        <w:rPr>
          <w:kern w:val="0"/>
        </w:rPr>
      </w:pPr>
    </w:p>
  </w:footnote>
  <w:footnote w:id="11">
    <w:p w:rsidR="00572C07" w:rsidP="00572C07" w14:paraId="09C0AA1E" w14:textId="21C5EC3D">
      <w:pPr>
        <w:shd w:val="solid" w:color="FFFFFF" w:fill="FFFFFF"/>
        <w:ind w:firstLine="720"/>
        <w:rPr>
          <w:kern w:val="0"/>
        </w:rPr>
      </w:pPr>
      <w:r w:rsidRPr="00280D69">
        <w:rPr>
          <w:kern w:val="0"/>
          <w:vertAlign w:val="superscript"/>
        </w:rPr>
        <w:footnoteRef/>
      </w:r>
      <w:r w:rsidRPr="00280D69">
        <w:rPr>
          <w:kern w:val="0"/>
        </w:rPr>
        <w:t xml:space="preserve">The Final Economic Analysis assumed that 25 project types would be affected by the Standard. </w:t>
      </w:r>
      <w:r>
        <w:rPr>
          <w:kern w:val="0"/>
        </w:rPr>
        <w:t xml:space="preserve"> </w:t>
      </w:r>
      <w:r w:rsidRPr="00280D69">
        <w:rPr>
          <w:kern w:val="0"/>
        </w:rPr>
        <w:t xml:space="preserve">As explained in Attachment A, the Agency determined that there are no longer any water tank </w:t>
      </w:r>
      <w:r>
        <w:rPr>
          <w:kern w:val="0"/>
        </w:rPr>
        <w:t xml:space="preserve">or petroleum or liquid natural gas tank </w:t>
      </w:r>
      <w:r w:rsidRPr="00280D69">
        <w:rPr>
          <w:kern w:val="0"/>
        </w:rPr>
        <w:t xml:space="preserve">repainting, underground storage tank, elevator cable babbitting, transmission and communication tower maintenance, or installation of terne roofing projects in which workers are exposed to lead. </w:t>
      </w:r>
      <w:r>
        <w:rPr>
          <w:kern w:val="0"/>
        </w:rPr>
        <w:t xml:space="preserve"> </w:t>
      </w:r>
      <w:r w:rsidRPr="00280D69">
        <w:rPr>
          <w:kern w:val="0"/>
        </w:rPr>
        <w:t xml:space="preserve">References to these project types have been retained here and elsewhere in the </w:t>
      </w:r>
      <w:r w:rsidRPr="00280D69" w:rsidR="008333A1">
        <w:rPr>
          <w:kern w:val="0"/>
        </w:rPr>
        <w:t>document but</w:t>
      </w:r>
      <w:r w:rsidRPr="00280D69">
        <w:rPr>
          <w:kern w:val="0"/>
        </w:rPr>
        <w:t xml:space="preserve"> are assumed to comprise zero lead-exposed projects. </w:t>
      </w:r>
      <w:r>
        <w:rPr>
          <w:kern w:val="0"/>
        </w:rPr>
        <w:t xml:space="preserve"> </w:t>
      </w:r>
      <w:r w:rsidRPr="00280D69">
        <w:rPr>
          <w:kern w:val="0"/>
        </w:rPr>
        <w:t xml:space="preserve">See Attachment A for more information. </w:t>
      </w:r>
    </w:p>
    <w:p w:rsidR="00572C07" w:rsidRPr="00280D69" w:rsidP="00572C07" w14:paraId="3F4AFDD1" w14:textId="77777777">
      <w:pPr>
        <w:shd w:val="solid" w:color="FFFFFF" w:fill="FFFFFF"/>
        <w:ind w:firstLine="720"/>
        <w:rPr>
          <w:kern w:val="0"/>
        </w:rPr>
      </w:pPr>
    </w:p>
  </w:footnote>
  <w:footnote w:id="12">
    <w:p w:rsidR="006F1BE9" w:rsidP="00A910CC" w14:paraId="16765D12" w14:textId="597709C2">
      <w:pPr>
        <w:shd w:val="solid" w:color="FFFFFF" w:fill="FFFFFF"/>
        <w:ind w:firstLine="720"/>
        <w:rPr>
          <w:kern w:val="0"/>
          <w:sz w:val="24"/>
          <w:szCs w:val="24"/>
        </w:rPr>
      </w:pPr>
      <w:r>
        <w:rPr>
          <w:kern w:val="0"/>
          <w:sz w:val="24"/>
          <w:szCs w:val="24"/>
          <w:vertAlign w:val="superscript"/>
        </w:rPr>
        <w:footnoteRef/>
      </w:r>
      <w:r w:rsidRPr="00280D69">
        <w:rPr>
          <w:kern w:val="0"/>
        </w:rPr>
        <w:t xml:space="preserve">To determine the number of projects tested, the Agency applied the percentage change in the number of lead-exposed projects in each project type to the number of projects needing lead testing </w:t>
      </w:r>
      <w:r>
        <w:rPr>
          <w:kern w:val="0"/>
        </w:rPr>
        <w:t xml:space="preserve">in each project type </w:t>
      </w:r>
      <w:r w:rsidRPr="00280D69">
        <w:rPr>
          <w:kern w:val="0"/>
        </w:rPr>
        <w:t xml:space="preserve">as determined in the previous ICR update (e.g., the </w:t>
      </w:r>
      <w:r w:rsidR="00517E2C">
        <w:rPr>
          <w:kern w:val="0"/>
        </w:rPr>
        <w:t>a</w:t>
      </w:r>
      <w:r w:rsidRPr="00280D69">
        <w:rPr>
          <w:kern w:val="0"/>
        </w:rPr>
        <w:t xml:space="preserve">gency calculated a </w:t>
      </w:r>
      <w:r w:rsidR="009B536E">
        <w:rPr>
          <w:kern w:val="0"/>
        </w:rPr>
        <w:t>11.</w:t>
      </w:r>
      <w:r w:rsidR="00EB5EC5">
        <w:rPr>
          <w:kern w:val="0"/>
        </w:rPr>
        <w:t xml:space="preserve">3 </w:t>
      </w:r>
      <w:r w:rsidR="009C2440">
        <w:rPr>
          <w:kern w:val="0"/>
        </w:rPr>
        <w:t>%</w:t>
      </w:r>
      <w:r w:rsidRPr="00280D69">
        <w:rPr>
          <w:kern w:val="0"/>
        </w:rPr>
        <w:t xml:space="preserve"> </w:t>
      </w:r>
      <w:r>
        <w:rPr>
          <w:kern w:val="0"/>
        </w:rPr>
        <w:t>de</w:t>
      </w:r>
      <w:r w:rsidRPr="00280D69">
        <w:rPr>
          <w:kern w:val="0"/>
        </w:rPr>
        <w:t>crease in the total number of highway and railroad bridge repainting lead-exposed projects</w:t>
      </w:r>
      <w:r w:rsidR="009C2440">
        <w:rPr>
          <w:kern w:val="0"/>
        </w:rPr>
        <w:t xml:space="preserve"> between 20</w:t>
      </w:r>
      <w:r w:rsidR="003D284F">
        <w:rPr>
          <w:kern w:val="0"/>
        </w:rPr>
        <w:t>2</w:t>
      </w:r>
      <w:r w:rsidR="009C2440">
        <w:rPr>
          <w:kern w:val="0"/>
        </w:rPr>
        <w:t>2 and 202</w:t>
      </w:r>
      <w:r w:rsidR="006C48EB">
        <w:rPr>
          <w:kern w:val="0"/>
        </w:rPr>
        <w:t>4</w:t>
      </w:r>
      <w:r w:rsidRPr="00280D69">
        <w:rPr>
          <w:kern w:val="0"/>
        </w:rPr>
        <w:t xml:space="preserve">; this </w:t>
      </w:r>
      <w:r w:rsidR="00EB5EC5">
        <w:rPr>
          <w:kern w:val="0"/>
        </w:rPr>
        <w:t>11.3</w:t>
      </w:r>
      <w:r w:rsidRPr="00280D69">
        <w:rPr>
          <w:kern w:val="0"/>
        </w:rPr>
        <w:t xml:space="preserve">% </w:t>
      </w:r>
      <w:r>
        <w:rPr>
          <w:kern w:val="0"/>
        </w:rPr>
        <w:t>de</w:t>
      </w:r>
      <w:r w:rsidRPr="00280D69">
        <w:rPr>
          <w:kern w:val="0"/>
        </w:rPr>
        <w:t xml:space="preserve">crease was then applied to the total number of projects needing lead testing </w:t>
      </w:r>
      <w:r>
        <w:rPr>
          <w:kern w:val="0"/>
        </w:rPr>
        <w:t>for the project category)</w:t>
      </w:r>
      <w:r w:rsidRPr="00280D69">
        <w:rPr>
          <w:kern w:val="0"/>
        </w:rPr>
        <w:t xml:space="preserve">. </w:t>
      </w:r>
      <w:r>
        <w:rPr>
          <w:kern w:val="0"/>
        </w:rPr>
        <w:t xml:space="preserve"> </w:t>
      </w:r>
      <w:r w:rsidRPr="00280D69">
        <w:rPr>
          <w:kern w:val="0"/>
        </w:rPr>
        <w:t>This process was applied throughout this ICR.</w:t>
      </w:r>
    </w:p>
  </w:footnote>
  <w:footnote w:id="13">
    <w:p w:rsidR="006F1BE9" w:rsidP="003B0C01" w14:paraId="55DD3934" w14:textId="341D4070">
      <w:pPr>
        <w:shd w:val="solid" w:color="FFFFFF" w:fill="FFFFFF"/>
        <w:ind w:firstLine="720"/>
        <w:rPr>
          <w:kern w:val="0"/>
          <w:sz w:val="24"/>
          <w:szCs w:val="24"/>
        </w:rPr>
      </w:pPr>
      <w:r>
        <w:rPr>
          <w:kern w:val="0"/>
          <w:sz w:val="24"/>
          <w:szCs w:val="24"/>
          <w:vertAlign w:val="superscript"/>
        </w:rPr>
        <w:footnoteRef/>
      </w:r>
      <w:r w:rsidRPr="009759D8" w:rsidR="0067695A">
        <w:rPr>
          <w:kern w:val="0"/>
        </w:rPr>
        <w:t>To</w:t>
      </w:r>
      <w:r w:rsidRPr="009759D8">
        <w:rPr>
          <w:kern w:val="0"/>
        </w:rPr>
        <w:t xml:space="preserve"> estimate the benefits associated</w:t>
      </w:r>
      <w:r>
        <w:rPr>
          <w:kern w:val="0"/>
        </w:rPr>
        <w:t xml:space="preserve"> with the Lead in Construction </w:t>
      </w:r>
      <w:r w:rsidRPr="009759D8">
        <w:rPr>
          <w:kern w:val="0"/>
        </w:rPr>
        <w:t>Standard, OSHA relied on two contractor reports prepared by Meridian Research, Inc.: “Assessment of Potential Benefits Associated with t</w:t>
      </w:r>
      <w:r>
        <w:rPr>
          <w:kern w:val="0"/>
        </w:rPr>
        <w:t xml:space="preserve">he Interim Final </w:t>
      </w:r>
      <w:r w:rsidRPr="009759D8">
        <w:rPr>
          <w:kern w:val="0"/>
        </w:rPr>
        <w:t>Standard for Lead in Construction” and “Quantitative Assessment of the Risk Associated with Exposure to Lead in Construction Industry: Selected Toxicologic Endpoints (Peer Review Draft Report).”</w:t>
      </w:r>
    </w:p>
  </w:footnote>
  <w:footnote w:id="14">
    <w:p w:rsidR="006F1BE9" w:rsidP="00AA0821" w14:paraId="7EBABB1A" w14:textId="2C202F94">
      <w:pPr>
        <w:shd w:val="solid" w:color="FFFFFF" w:fill="FFFFFF"/>
        <w:ind w:firstLine="720"/>
        <w:rPr>
          <w:kern w:val="0"/>
        </w:rPr>
      </w:pPr>
      <w:r w:rsidRPr="00117446">
        <w:rPr>
          <w:kern w:val="0"/>
          <w:sz w:val="24"/>
          <w:szCs w:val="24"/>
          <w:vertAlign w:val="superscript"/>
        </w:rPr>
        <w:footnoteRef/>
      </w:r>
      <w:r w:rsidRPr="00117446">
        <w:rPr>
          <w:kern w:val="0"/>
        </w:rPr>
        <w:t>The 2006 ICR estimated that 21.5% of all workers employed in these project types were exposed above the action level on at least one day per year (</w:t>
      </w:r>
      <w:r w:rsidRPr="00B63DB7" w:rsidR="00DF1E7D">
        <w:rPr>
          <w:kern w:val="0"/>
        </w:rPr>
        <w:t>158,442</w:t>
      </w:r>
      <w:r w:rsidRPr="00117446">
        <w:rPr>
          <w:kern w:val="0"/>
        </w:rPr>
        <w:t xml:space="preserve"> of a total </w:t>
      </w:r>
      <w:r w:rsidRPr="00B63DB7" w:rsidR="00404287">
        <w:rPr>
          <w:kern w:val="0"/>
        </w:rPr>
        <w:t>736</w:t>
      </w:r>
      <w:r w:rsidRPr="00B63DB7" w:rsidR="00DF1E7D">
        <w:rPr>
          <w:kern w:val="0"/>
        </w:rPr>
        <w:t>,845</w:t>
      </w:r>
      <w:r w:rsidRPr="00117446">
        <w:rPr>
          <w:kern w:val="0"/>
        </w:rPr>
        <w:t>).  The Agency applied this ratio to the updated total employment in these project types</w:t>
      </w:r>
      <w:r w:rsidRPr="00193B86">
        <w:rPr>
          <w:kern w:val="0"/>
        </w:rPr>
        <w:t xml:space="preserve"> </w:t>
      </w:r>
      <w:r w:rsidRPr="000A5F71">
        <w:rPr>
          <w:kern w:val="0"/>
        </w:rPr>
        <w:t>(</w:t>
      </w:r>
      <w:r w:rsidRPr="000A5F71" w:rsidR="00193B86">
        <w:rPr>
          <w:kern w:val="0"/>
        </w:rPr>
        <w:t>736,845</w:t>
      </w:r>
      <w:r w:rsidRPr="00193B86">
        <w:rPr>
          <w:kern w:val="0"/>
        </w:rPr>
        <w:t>) to determine the current number of workers exposed at or above the action level.</w:t>
      </w:r>
    </w:p>
    <w:p w:rsidR="006F1BE9" w:rsidP="00AA0821" w14:paraId="4998AC25" w14:textId="5CA8D2A0">
      <w:pPr>
        <w:shd w:val="solid" w:color="FFFFFF" w:fill="FFFFFF"/>
        <w:ind w:firstLine="720"/>
        <w:rPr>
          <w:kern w:val="0"/>
          <w:sz w:val="24"/>
          <w:szCs w:val="24"/>
        </w:rPr>
      </w:pPr>
      <w:r w:rsidRPr="009759D8">
        <w:rPr>
          <w:kern w:val="0"/>
        </w:rPr>
        <w:t xml:space="preserve"> </w:t>
      </w:r>
    </w:p>
  </w:footnote>
  <w:footnote w:id="15">
    <w:p w:rsidR="008771CC" w:rsidP="00E16D72" w14:paraId="4813F1E6" w14:textId="14D2E96B">
      <w:pPr>
        <w:widowControl/>
        <w:overflowPunct/>
        <w:autoSpaceDE/>
        <w:autoSpaceDN/>
        <w:adjustRightInd/>
        <w:rPr>
          <w:kern w:val="0"/>
        </w:rPr>
      </w:pPr>
      <w:r w:rsidRPr="000B472F">
        <w:rPr>
          <w:rStyle w:val="FootnoteReference"/>
        </w:rPr>
        <w:footnoteRef/>
      </w:r>
      <w:r w:rsidRPr="000B472F">
        <w:t xml:space="preserve"> </w:t>
      </w:r>
      <w:r w:rsidRPr="00E16D72" w:rsidR="00E16D72">
        <w:t xml:space="preserve"> </w:t>
      </w:r>
      <w:r w:rsidRPr="005D6BC2" w:rsidR="00E16D72">
        <w:rPr>
          <w:kern w:val="0"/>
        </w:rPr>
        <w:t>Bureau of Labor Statistics (BLS), 202</w:t>
      </w:r>
      <w:r w:rsidR="0026547F">
        <w:rPr>
          <w:kern w:val="0"/>
        </w:rPr>
        <w:t>4</w:t>
      </w:r>
      <w:r w:rsidRPr="005D6BC2" w:rsidR="00E16D72">
        <w:rPr>
          <w:kern w:val="0"/>
        </w:rPr>
        <w:t>. Job Openings and Labor Turnover Survey</w:t>
      </w:r>
      <w:r>
        <w:rPr>
          <w:kern w:val="0"/>
        </w:rPr>
        <w:t xml:space="preserve"> (JOLTS)</w:t>
      </w:r>
      <w:r w:rsidRPr="005D6BC2" w:rsidR="00E16D72">
        <w:rPr>
          <w:kern w:val="0"/>
        </w:rPr>
        <w:t xml:space="preserve">, Total Separations Rate for the Construction Industry. Available at </w:t>
      </w:r>
      <w:hyperlink r:id="rId1" w:history="1">
        <w:r w:rsidRPr="00332149">
          <w:rPr>
            <w:rStyle w:val="Hyperlink"/>
            <w:kern w:val="0"/>
          </w:rPr>
          <w:t>http://www.bls.gov/jlt/data.htm</w:t>
        </w:r>
      </w:hyperlink>
      <w:r>
        <w:rPr>
          <w:kern w:val="0"/>
        </w:rPr>
        <w:t>.</w:t>
      </w:r>
    </w:p>
    <w:p w:rsidR="00E16D72" w:rsidRPr="005D6BC2" w:rsidP="00E16D72" w14:paraId="7AF0F674" w14:textId="5E2B8ED9">
      <w:pPr>
        <w:widowControl/>
        <w:overflowPunct/>
        <w:autoSpaceDE/>
        <w:autoSpaceDN/>
        <w:adjustRightInd/>
        <w:rPr>
          <w:kern w:val="0"/>
        </w:rPr>
      </w:pPr>
      <w:r w:rsidRPr="005D6BC2">
        <w:rPr>
          <w:kern w:val="0"/>
        </w:rPr>
        <w:t xml:space="preserve"> (Accessed </w:t>
      </w:r>
      <w:r w:rsidR="005B577E">
        <w:rPr>
          <w:kern w:val="0"/>
        </w:rPr>
        <w:t>November</w:t>
      </w:r>
      <w:r w:rsidRPr="005D6BC2">
        <w:rPr>
          <w:kern w:val="0"/>
        </w:rPr>
        <w:t xml:space="preserve"> 202</w:t>
      </w:r>
      <w:r w:rsidR="00A60487">
        <w:rPr>
          <w:kern w:val="0"/>
        </w:rPr>
        <w:t>4</w:t>
      </w:r>
      <w:r w:rsidRPr="005D6BC2">
        <w:rPr>
          <w:kern w:val="0"/>
        </w:rPr>
        <w:t>).</w:t>
      </w:r>
    </w:p>
    <w:p w:rsidR="006F1BE9" w:rsidRPr="000B472F" w:rsidP="000B472F" w14:paraId="1FAE784B" w14:textId="56617F2F">
      <w:pPr>
        <w:pStyle w:val="FootnoteText"/>
        <w:ind w:firstLine="720"/>
        <w:rPr>
          <w:rFonts w:ascii="Times New Roman" w:hAnsi="Times New Roman"/>
        </w:rPr>
      </w:pPr>
    </w:p>
  </w:footnote>
  <w:footnote w:id="16">
    <w:p w:rsidR="006F1BE9" w:rsidP="00AA0821" w14:paraId="0110E242" w14:textId="6B47500C">
      <w:pPr>
        <w:shd w:val="solid" w:color="FFFFFF" w:fill="FFFFFF"/>
        <w:ind w:firstLine="720"/>
        <w:rPr>
          <w:kern w:val="0"/>
          <w:sz w:val="24"/>
          <w:szCs w:val="24"/>
        </w:rPr>
      </w:pPr>
      <w:r>
        <w:rPr>
          <w:kern w:val="0"/>
          <w:sz w:val="24"/>
          <w:szCs w:val="24"/>
          <w:vertAlign w:val="superscript"/>
        </w:rPr>
        <w:footnoteRef/>
      </w:r>
      <w:r>
        <w:rPr>
          <w:kern w:val="0"/>
        </w:rPr>
        <w:t xml:space="preserve">The 2006 </w:t>
      </w:r>
      <w:r w:rsidRPr="009759D8">
        <w:rPr>
          <w:kern w:val="0"/>
        </w:rPr>
        <w:t>ICR estimated that 87.2% of all workers employed in these project types were eligible</w:t>
      </w:r>
      <w:r>
        <w:rPr>
          <w:kern w:val="0"/>
        </w:rPr>
        <w:t xml:space="preserve"> </w:t>
      </w:r>
      <w:r w:rsidRPr="009759D8">
        <w:rPr>
          <w:kern w:val="0"/>
        </w:rPr>
        <w:t>for periodic medical surveillance on an annual basis (70,805 of a total 81,231).  The Agency applied this ratio to the updated total employment in these project types</w:t>
      </w:r>
      <w:r>
        <w:rPr>
          <w:kern w:val="0"/>
        </w:rPr>
        <w:t xml:space="preserve"> (</w:t>
      </w:r>
      <w:r w:rsidR="00A77FF6">
        <w:rPr>
          <w:kern w:val="0"/>
        </w:rPr>
        <w:t xml:space="preserve">47,198 </w:t>
      </w:r>
      <w:r w:rsidR="00C325D2">
        <w:rPr>
          <w:kern w:val="0"/>
        </w:rPr>
        <w:t>??</w:t>
      </w:r>
      <w:r>
        <w:rPr>
          <w:kern w:val="0"/>
        </w:rPr>
        <w:t>)</w:t>
      </w:r>
      <w:r w:rsidRPr="009759D8">
        <w:rPr>
          <w:kern w:val="0"/>
        </w:rPr>
        <w:t xml:space="preserve"> to determine the current number of workers eligible</w:t>
      </w:r>
      <w:r>
        <w:rPr>
          <w:kern w:val="0"/>
        </w:rPr>
        <w:t xml:space="preserve"> </w:t>
      </w:r>
      <w:r w:rsidRPr="009759D8">
        <w:rPr>
          <w:kern w:val="0"/>
        </w:rPr>
        <w:t>for periodic medical surveillance.</w:t>
      </w:r>
    </w:p>
  </w:footnote>
  <w:footnote w:id="17">
    <w:p w:rsidR="006F1BE9" w:rsidRPr="00F47FFD" w:rsidP="00AA0821" w14:paraId="2EA5CE5C" w14:textId="4CBA8A7D">
      <w:pPr>
        <w:pStyle w:val="FootnoteText"/>
        <w:ind w:firstLine="720"/>
        <w:rPr>
          <w:rFonts w:ascii="Times New Roman" w:hAnsi="Times New Roman"/>
          <w:kern w:val="0"/>
        </w:rPr>
      </w:pPr>
      <w:r w:rsidRPr="005D6BC2">
        <w:rPr>
          <w:rFonts w:ascii="Times New Roman" w:hAnsi="Times New Roman"/>
          <w:kern w:val="0"/>
          <w:vertAlign w:val="superscript"/>
        </w:rPr>
        <w:footnoteRef/>
      </w:r>
      <w:r w:rsidRPr="00F47FFD">
        <w:rPr>
          <w:rFonts w:ascii="Times New Roman" w:hAnsi="Times New Roman"/>
          <w:kern w:val="0"/>
        </w:rPr>
        <w:t>According to Home Depot, the price for a packet containing 2 lead detection swabs was $</w:t>
      </w:r>
      <w:r w:rsidRPr="00F47FFD" w:rsidR="00A41B81">
        <w:rPr>
          <w:rFonts w:ascii="Times New Roman" w:hAnsi="Times New Roman"/>
          <w:kern w:val="0"/>
        </w:rPr>
        <w:t>11.47</w:t>
      </w:r>
      <w:r w:rsidRPr="00F47FFD">
        <w:rPr>
          <w:rFonts w:ascii="Times New Roman" w:hAnsi="Times New Roman"/>
          <w:kern w:val="0"/>
        </w:rPr>
        <w:t xml:space="preserve"> (</w:t>
      </w:r>
      <w:r w:rsidRPr="00F47FFD" w:rsidR="00A41B81">
        <w:rPr>
          <w:rFonts w:ascii="Times New Roman" w:hAnsi="Times New Roman"/>
        </w:rPr>
        <w:t>http://www.homedepot.com/p/3M-LeadCheck-Instant-Lead-Test-Swabs-2-Pack-LC-2SDC6/203313743)</w:t>
      </w:r>
      <w:hyperlink w:history="1">
        <w:r w:rsidR="00F47FFD">
          <w:rPr>
            <w:rFonts w:ascii="Times New Roman" w:hAnsi="Times New Roman"/>
            <w:b/>
            <w:bCs/>
            <w:kern w:val="0"/>
          </w:rPr>
          <w:t>,</w:t>
        </w:r>
      </w:hyperlink>
      <w:r w:rsidR="00F47FFD">
        <w:rPr>
          <w:rFonts w:ascii="Times New Roman" w:hAnsi="Times New Roman"/>
          <w:kern w:val="0"/>
        </w:rPr>
        <w:t xml:space="preserve"> </w:t>
      </w:r>
      <w:r w:rsidRPr="00F47FFD">
        <w:rPr>
          <w:rFonts w:ascii="Times New Roman" w:hAnsi="Times New Roman"/>
          <w:kern w:val="0"/>
        </w:rPr>
        <w:t>while according to Ace Hardware, the price for a packet containing 8 lead detection swabs was $</w:t>
      </w:r>
      <w:r w:rsidRPr="00F47FFD" w:rsidR="00A41B81">
        <w:rPr>
          <w:rFonts w:ascii="Times New Roman" w:hAnsi="Times New Roman"/>
          <w:kern w:val="0"/>
        </w:rPr>
        <w:t>36.99</w:t>
      </w:r>
      <w:r w:rsidRPr="00F47FFD">
        <w:rPr>
          <w:rFonts w:ascii="Times New Roman" w:hAnsi="Times New Roman"/>
          <w:kern w:val="0"/>
        </w:rPr>
        <w:t xml:space="preserve"> (</w:t>
      </w:r>
      <w:r w:rsidRPr="005D6BC2" w:rsidR="00A41B81">
        <w:rPr>
          <w:rFonts w:ascii="Times New Roman" w:hAnsi="Times New Roman"/>
        </w:rPr>
        <w:t>https://www.acehardware.com/departments/lighting-and-electrical/electrical-tools/meters-and-testers/5492251</w:t>
      </w:r>
      <w:r w:rsidRPr="00F47FFD">
        <w:rPr>
          <w:rFonts w:ascii="Times New Roman" w:hAnsi="Times New Roman"/>
          <w:kern w:val="0"/>
        </w:rPr>
        <w:t>).</w:t>
      </w:r>
    </w:p>
    <w:p w:rsidR="006F1BE9" w:rsidRPr="009759D8" w14:paraId="29EA7D9C" w14:textId="77777777">
      <w:pPr>
        <w:shd w:val="solid" w:color="FFFFFF" w:fill="FFFFFF"/>
        <w:rPr>
          <w:kern w:val="0"/>
        </w:rPr>
      </w:pPr>
    </w:p>
  </w:footnote>
  <w:footnote w:id="18">
    <w:p w:rsidR="006F1BE9" w:rsidP="00AA0821" w14:paraId="23E18983" w14:textId="7E81D762">
      <w:pPr>
        <w:shd w:val="solid" w:color="FFFFFF" w:fill="FFFFFF"/>
        <w:ind w:firstLine="720"/>
        <w:rPr>
          <w:kern w:val="0"/>
          <w:sz w:val="24"/>
          <w:szCs w:val="24"/>
        </w:rPr>
      </w:pPr>
      <w:r w:rsidRPr="009759D8">
        <w:rPr>
          <w:kern w:val="0"/>
          <w:vertAlign w:val="superscript"/>
        </w:rPr>
        <w:footnoteRef/>
      </w:r>
      <w:r>
        <w:rPr>
          <w:kern w:val="0"/>
        </w:rPr>
        <w:t xml:space="preserve">According to Bureau of Labor Statistics, Occupational Employment </w:t>
      </w:r>
      <w:r w:rsidR="00A41B81">
        <w:rPr>
          <w:kern w:val="0"/>
        </w:rPr>
        <w:t xml:space="preserve">and Wage </w:t>
      </w:r>
      <w:r>
        <w:rPr>
          <w:kern w:val="0"/>
        </w:rPr>
        <w:t xml:space="preserve">Statistics, May </w:t>
      </w:r>
      <w:r w:rsidR="00A41B81">
        <w:rPr>
          <w:kern w:val="0"/>
        </w:rPr>
        <w:t>2021</w:t>
      </w:r>
      <w:r>
        <w:rPr>
          <w:kern w:val="0"/>
        </w:rPr>
        <w:t xml:space="preserve">, the hourly wage for </w:t>
      </w:r>
      <w:r w:rsidR="00A41B81">
        <w:rPr>
          <w:kern w:val="0"/>
        </w:rPr>
        <w:t>19-5011</w:t>
      </w:r>
      <w:r>
        <w:rPr>
          <w:kern w:val="0"/>
        </w:rPr>
        <w:t xml:space="preserve"> Occupational Health and Safety Specialists and </w:t>
      </w:r>
      <w:r w:rsidR="00A41B81">
        <w:rPr>
          <w:kern w:val="0"/>
        </w:rPr>
        <w:t>19-5012</w:t>
      </w:r>
      <w:r>
        <w:rPr>
          <w:kern w:val="0"/>
        </w:rPr>
        <w:t xml:space="preserve"> Occupational Health and Safety Technicians were $</w:t>
      </w:r>
      <w:r w:rsidR="00A20464">
        <w:rPr>
          <w:kern w:val="0"/>
        </w:rPr>
        <w:t>41.14</w:t>
      </w:r>
      <w:r w:rsidR="004D32E2">
        <w:rPr>
          <w:kern w:val="0"/>
        </w:rPr>
        <w:t xml:space="preserve"> </w:t>
      </w:r>
      <w:r>
        <w:rPr>
          <w:kern w:val="0"/>
        </w:rPr>
        <w:t xml:space="preserve"> and $</w:t>
      </w:r>
      <w:r w:rsidR="00A20464">
        <w:rPr>
          <w:kern w:val="0"/>
        </w:rPr>
        <w:t>30.89</w:t>
      </w:r>
      <w:r w:rsidR="004D32E2">
        <w:rPr>
          <w:kern w:val="0"/>
        </w:rPr>
        <w:t xml:space="preserve"> </w:t>
      </w:r>
      <w:r>
        <w:rPr>
          <w:kern w:val="0"/>
        </w:rPr>
        <w:t xml:space="preserve"> respectively (</w:t>
      </w:r>
      <w:hyperlink r:id="rId2" w:history="1">
        <w:r w:rsidRPr="007F44BC">
          <w:rPr>
            <w:rStyle w:val="Hyperlink"/>
            <w:kern w:val="0"/>
          </w:rPr>
          <w:t>http://www.bls.gov/oes/tables.htm</w:t>
        </w:r>
      </w:hyperlink>
      <w:r>
        <w:rPr>
          <w:kern w:val="0"/>
        </w:rPr>
        <w:t xml:space="preserve">).  The sum of these hourly wages was inflated by </w:t>
      </w:r>
      <w:r w:rsidR="00A41B81">
        <w:rPr>
          <w:kern w:val="0"/>
        </w:rPr>
        <w:t>31.</w:t>
      </w:r>
      <w:r w:rsidR="00CA4A58">
        <w:rPr>
          <w:kern w:val="0"/>
        </w:rPr>
        <w:t>1</w:t>
      </w:r>
      <w:r>
        <w:rPr>
          <w:kern w:val="0"/>
        </w:rPr>
        <w:t xml:space="preserve">% which is the benefit as a percentage of employee compensation for civilian workers.  This is based on Bureau of Labor and Statistics, Employer Costs for Employee Compensation – </w:t>
      </w:r>
      <w:r w:rsidR="00E933A5">
        <w:rPr>
          <w:kern w:val="0"/>
        </w:rPr>
        <w:t>December</w:t>
      </w:r>
      <w:r w:rsidR="00A41B81">
        <w:rPr>
          <w:kern w:val="0"/>
        </w:rPr>
        <w:t xml:space="preserve"> 202</w:t>
      </w:r>
      <w:r w:rsidR="005733A3">
        <w:rPr>
          <w:kern w:val="0"/>
        </w:rPr>
        <w:t>4</w:t>
      </w:r>
      <w:r>
        <w:rPr>
          <w:kern w:val="0"/>
        </w:rPr>
        <w:t xml:space="preserve"> </w:t>
      </w:r>
      <w:hyperlink r:id="rId3" w:history="1">
        <w:r w:rsidRPr="00023B85" w:rsidR="00023B85">
          <w:rPr>
            <w:color w:val="0000FF"/>
            <w:u w:val="single"/>
          </w:rPr>
          <w:t>Employer Costs for Employee Compensation - September 2024</w:t>
        </w:r>
      </w:hyperlink>
      <w:r w:rsidR="00023B85">
        <w:rPr>
          <w:kern w:val="0"/>
        </w:rPr>
        <w:t xml:space="preserve"> </w:t>
      </w:r>
    </w:p>
    <w:p w:rsidR="006F1BE9" w14:paraId="1E653724" w14:textId="77777777">
      <w:pPr>
        <w:shd w:val="solid" w:color="FFFFFF" w:fill="FFFFFF"/>
        <w:rPr>
          <w:kern w:val="0"/>
          <w:sz w:val="24"/>
          <w:szCs w:val="24"/>
        </w:rPr>
      </w:pPr>
    </w:p>
  </w:footnote>
  <w:footnote w:id="19">
    <w:p w:rsidR="006F1BE9" w:rsidRPr="00F4257C" w:rsidP="0074387C" w14:paraId="5554DAE9" w14:textId="668A2636">
      <w:pPr>
        <w:pStyle w:val="FootnoteText"/>
        <w:ind w:left="90" w:firstLine="630"/>
        <w:rPr>
          <w:rFonts w:ascii="Times New Roman" w:hAnsi="Times New Roman"/>
        </w:rPr>
      </w:pPr>
      <w:r w:rsidRPr="00910F26">
        <w:rPr>
          <w:kern w:val="0"/>
          <w:vertAlign w:val="superscript"/>
        </w:rPr>
        <w:footnoteRef/>
      </w:r>
      <w:r w:rsidRPr="00910F26">
        <w:rPr>
          <w:kern w:val="0"/>
        </w:rPr>
        <w:t xml:space="preserve">  </w:t>
      </w:r>
      <w:r w:rsidRPr="00F4257C">
        <w:rPr>
          <w:rFonts w:ascii="Times New Roman" w:hAnsi="Times New Roman"/>
        </w:rPr>
        <w:t xml:space="preserve">Galson Laboratories, </w:t>
      </w:r>
      <w:r w:rsidR="00A41B81">
        <w:rPr>
          <w:rFonts w:ascii="Times New Roman" w:hAnsi="Times New Roman"/>
        </w:rPr>
        <w:t>2022</w:t>
      </w:r>
      <w:r w:rsidRPr="00F4257C">
        <w:rPr>
          <w:rFonts w:ascii="Times New Roman" w:hAnsi="Times New Roman"/>
        </w:rPr>
        <w:t xml:space="preserve">. Sampling &amp; Analysis Guide. Available at </w:t>
      </w:r>
      <w:hyperlink r:id="rId4" w:history="1">
        <w:r w:rsidRPr="00F4257C">
          <w:rPr>
            <w:rStyle w:val="Hyperlink"/>
            <w:rFonts w:ascii="Times New Roman" w:hAnsi="Times New Roman"/>
          </w:rPr>
          <w:t>http://www.galsonlabs.com/samplinganalysis/sampling-analysis-guide/</w:t>
        </w:r>
      </w:hyperlink>
      <w:r w:rsidRPr="00F4257C">
        <w:rPr>
          <w:rFonts w:ascii="Times New Roman" w:hAnsi="Times New Roman"/>
        </w:rPr>
        <w:t xml:space="preserve"> (Accessed June </w:t>
      </w:r>
      <w:r w:rsidR="00A41B81">
        <w:rPr>
          <w:rFonts w:ascii="Times New Roman" w:hAnsi="Times New Roman"/>
        </w:rPr>
        <w:t>21</w:t>
      </w:r>
      <w:r w:rsidRPr="00F4257C">
        <w:rPr>
          <w:rFonts w:ascii="Times New Roman" w:hAnsi="Times New Roman"/>
        </w:rPr>
        <w:t xml:space="preserve">, </w:t>
      </w:r>
      <w:r w:rsidR="00A41B81">
        <w:rPr>
          <w:rFonts w:ascii="Times New Roman" w:hAnsi="Times New Roman"/>
        </w:rPr>
        <w:t>2022</w:t>
      </w:r>
      <w:r w:rsidRPr="00F4257C">
        <w:rPr>
          <w:rFonts w:ascii="Times New Roman" w:hAnsi="Times New Roman"/>
        </w:rPr>
        <w:t>).</w:t>
      </w:r>
    </w:p>
    <w:p w:rsidR="00BB38B6" w:rsidP="00BB38B6" w14:paraId="18FB49C1" w14:textId="5630B4C6">
      <w:pPr>
        <w:pStyle w:val="FootnoteText"/>
        <w:ind w:firstLine="720"/>
        <w:rPr>
          <w:bCs/>
          <w:sz w:val="18"/>
          <w:szCs w:val="18"/>
        </w:rPr>
      </w:pPr>
      <w:r w:rsidRPr="0074387C">
        <w:t>Used the average cost ($</w:t>
      </w:r>
      <w:r w:rsidR="00A41B81">
        <w:t>39</w:t>
      </w:r>
      <w:r w:rsidRPr="003E7A38">
        <w:t>) of Analytical Technique – ICP/AES (</w:t>
      </w:r>
      <w:r w:rsidR="00A41B81">
        <w:t>Collection Medium: 37MCE 0.8 or 25MCE 0.8 ($37), Collection Medium: Lead Wipe ($37), Collection Medium: Paint ($37), Collection Medium: Gauze Wipe ($37), Collection Medium: 8X10 GFF ($37))</w:t>
      </w:r>
      <w:r w:rsidRPr="003E7A38">
        <w:t xml:space="preserve">, </w:t>
      </w:r>
      <w:r w:rsidR="00A41B81">
        <w:t xml:space="preserve">and </w:t>
      </w:r>
      <w:r w:rsidRPr="003E7A38">
        <w:t xml:space="preserve">Analytical Technique – ICP/MS </w:t>
      </w:r>
      <w:r w:rsidR="00A41B81">
        <w:t>(Collection Medium: 37MCE 0.8 or 25MCE 0.8 ($43).</w:t>
      </w:r>
    </w:p>
    <w:p w:rsidR="006F1BE9" w:rsidP="00F4257C" w14:paraId="2C011DAC" w14:textId="7B491DC4">
      <w:pPr>
        <w:shd w:val="solid" w:color="FFFFFF" w:fill="FFFFFF"/>
        <w:rPr>
          <w:kern w:val="0"/>
          <w:sz w:val="24"/>
          <w:szCs w:val="24"/>
        </w:rPr>
      </w:pPr>
    </w:p>
    <w:p w:rsidR="006F1BE9" w:rsidRPr="00F86EE9" w:rsidP="00F86EE9" w14:paraId="41DC0ECD" w14:textId="77777777">
      <w:pPr>
        <w:pStyle w:val="FootnoteText"/>
        <w:rPr>
          <w:rFonts w:ascii="Times New Roman" w:hAnsi="Times New Roman"/>
          <w:kern w:val="0"/>
        </w:rPr>
      </w:pPr>
      <w:r w:rsidRPr="00F86EE9">
        <w:rPr>
          <w:rFonts w:ascii="Times New Roman" w:hAnsi="Times New Roman"/>
          <w:kern w:val="0"/>
        </w:rPr>
        <w:t xml:space="preserve"> </w:t>
      </w:r>
    </w:p>
    <w:p w:rsidR="006F1BE9" w:rsidRPr="009759D8" w14:paraId="3230949B" w14:textId="77777777">
      <w:pPr>
        <w:shd w:val="solid" w:color="FFFFFF" w:fill="FFFFFF"/>
        <w:rPr>
          <w:kern w:val="0"/>
        </w:rPr>
      </w:pPr>
    </w:p>
  </w:footnote>
  <w:footnote w:id="20">
    <w:p w:rsidR="006F1BE9" w:rsidRPr="00DB3F09" w:rsidP="00DB3F09" w14:paraId="03A4FA72" w14:textId="3A6FCEB7">
      <w:pPr>
        <w:pStyle w:val="FootnoteText"/>
        <w:spacing w:after="40"/>
        <w:ind w:left="90" w:firstLine="630"/>
        <w:rPr>
          <w:rFonts w:ascii="Times New Roman" w:hAnsi="Times New Roman"/>
          <w:kern w:val="0"/>
        </w:rPr>
      </w:pPr>
      <w:r w:rsidRPr="00DB3F09">
        <w:rPr>
          <w:rFonts w:ascii="Times New Roman" w:hAnsi="Times New Roman"/>
          <w:kern w:val="0"/>
          <w:vertAlign w:val="superscript"/>
        </w:rPr>
        <w:footnoteRef/>
      </w:r>
      <w:r w:rsidRPr="00DB3F09">
        <w:rPr>
          <w:rFonts w:ascii="Times New Roman" w:hAnsi="Times New Roman"/>
          <w:kern w:val="0"/>
        </w:rPr>
        <w:t xml:space="preserve">  </w:t>
      </w:r>
      <w:r w:rsidRPr="00DB3F09">
        <w:rPr>
          <w:rFonts w:ascii="Times New Roman" w:hAnsi="Times New Roman"/>
        </w:rPr>
        <w:t xml:space="preserve">FAIR Health, </w:t>
      </w:r>
      <w:r w:rsidRPr="00DB3F09" w:rsidR="00B04606">
        <w:rPr>
          <w:rFonts w:ascii="Times New Roman" w:hAnsi="Times New Roman"/>
        </w:rPr>
        <w:t>202</w:t>
      </w:r>
      <w:r w:rsidR="00B04606">
        <w:rPr>
          <w:rFonts w:ascii="Times New Roman" w:hAnsi="Times New Roman"/>
        </w:rPr>
        <w:t>4</w:t>
      </w:r>
      <w:r w:rsidRPr="00DB3F09">
        <w:rPr>
          <w:rFonts w:ascii="Times New Roman" w:hAnsi="Times New Roman"/>
        </w:rPr>
        <w:t xml:space="preserve">. Consumer Cost Lookup. Available at </w:t>
      </w:r>
      <w:hyperlink r:id="rId5" w:history="1">
        <w:r w:rsidRPr="00DB3F09">
          <w:rPr>
            <w:rStyle w:val="Hyperlink"/>
            <w:rFonts w:ascii="Times New Roman" w:hAnsi="Times New Roman"/>
          </w:rPr>
          <w:t>http://fairhealthconsumer.org/medical_cost.php</w:t>
        </w:r>
      </w:hyperlink>
      <w:r w:rsidRPr="00DB3F09">
        <w:rPr>
          <w:rFonts w:ascii="Times New Roman" w:hAnsi="Times New Roman"/>
        </w:rPr>
        <w:t xml:space="preserve"> (</w:t>
      </w:r>
      <w:r w:rsidRPr="008C2311">
        <w:rPr>
          <w:rFonts w:ascii="Times New Roman" w:hAnsi="Times New Roman"/>
        </w:rPr>
        <w:t xml:space="preserve">Accessed </w:t>
      </w:r>
      <w:r w:rsidRPr="008C2311" w:rsidR="00E231BF">
        <w:rPr>
          <w:rFonts w:ascii="Times New Roman" w:hAnsi="Times New Roman"/>
        </w:rPr>
        <w:t>June 22, 2022</w:t>
      </w:r>
      <w:r w:rsidRPr="008C2311">
        <w:rPr>
          <w:rFonts w:ascii="Times New Roman" w:hAnsi="Times New Roman"/>
        </w:rPr>
        <w:t>).</w:t>
      </w:r>
      <w:r w:rsidRPr="008C2311" w:rsidR="00DB3F09">
        <w:rPr>
          <w:rFonts w:ascii="Times New Roman" w:hAnsi="Times New Roman"/>
        </w:rPr>
        <w:t xml:space="preserve"> </w:t>
      </w:r>
      <w:r w:rsidRPr="008C2311">
        <w:rPr>
          <w:rFonts w:ascii="Times New Roman" w:hAnsi="Times New Roman"/>
        </w:rPr>
        <w:t xml:space="preserve">Out-of-pocket costs by CPT Code were obtained from FAIR Health webpage for zip code </w:t>
      </w:r>
      <w:r w:rsidRPr="008C2311" w:rsidR="00E231BF">
        <w:rPr>
          <w:rFonts w:ascii="Times New Roman" w:hAnsi="Times New Roman"/>
        </w:rPr>
        <w:t>05701</w:t>
      </w:r>
      <w:r w:rsidRPr="008C2311">
        <w:rPr>
          <w:rFonts w:ascii="Times New Roman" w:hAnsi="Times New Roman"/>
        </w:rPr>
        <w:t>. The cost used is the average ($</w:t>
      </w:r>
      <w:r w:rsidRPr="008C2311" w:rsidR="00E14A7F">
        <w:rPr>
          <w:rFonts w:ascii="Times New Roman" w:hAnsi="Times New Roman"/>
        </w:rPr>
        <w:t>84.50</w:t>
      </w:r>
      <w:r w:rsidRPr="008C2311">
        <w:rPr>
          <w:rFonts w:ascii="Times New Roman" w:hAnsi="Times New Roman"/>
        </w:rPr>
        <w:t>) of $</w:t>
      </w:r>
      <w:r w:rsidRPr="008C2311" w:rsidR="00E231BF">
        <w:rPr>
          <w:rFonts w:ascii="Times New Roman" w:hAnsi="Times New Roman"/>
        </w:rPr>
        <w:t>81</w:t>
      </w:r>
      <w:r w:rsidRPr="008C2311">
        <w:rPr>
          <w:rFonts w:ascii="Times New Roman" w:hAnsi="Times New Roman"/>
        </w:rPr>
        <w:t xml:space="preserve"> for CPT Code 84202 Protoporphyrin (metabolism substance level) and $</w:t>
      </w:r>
      <w:r w:rsidRPr="008C2311" w:rsidR="00E231BF">
        <w:rPr>
          <w:rFonts w:ascii="Times New Roman" w:hAnsi="Times New Roman"/>
        </w:rPr>
        <w:t>73</w:t>
      </w:r>
      <w:r w:rsidRPr="008C2311">
        <w:rPr>
          <w:rFonts w:ascii="Times New Roman" w:hAnsi="Times New Roman"/>
        </w:rPr>
        <w:t xml:space="preserve"> for CPT Code 83655 Lead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229" w:rsidP="00D403ED" w14:paraId="6ABC3747" w14:textId="77777777">
    <w:pPr>
      <w:tabs>
        <w:tab w:val="center" w:pos="4680"/>
        <w:tab w:val="right" w:pos="9360"/>
      </w:tabs>
      <w:rPr>
        <w:b/>
        <w:bCs/>
        <w:sz w:val="24"/>
        <w:szCs w:val="24"/>
      </w:rPr>
    </w:pPr>
    <w:r>
      <w:rPr>
        <w:b/>
        <w:bCs/>
        <w:sz w:val="24"/>
        <w:szCs w:val="24"/>
      </w:rPr>
      <w:t>LEAD IN CONSTRUCTION STANDARD (29 CFR 1926.62)</w:t>
    </w:r>
  </w:p>
  <w:p w:rsidR="00D403ED" w:rsidP="00D403ED" w14:paraId="6F53322B" w14:textId="5E1D909C">
    <w:pPr>
      <w:tabs>
        <w:tab w:val="center" w:pos="4680"/>
        <w:tab w:val="right" w:pos="9360"/>
      </w:tabs>
      <w:rPr>
        <w:b/>
        <w:bCs/>
        <w:sz w:val="24"/>
        <w:szCs w:val="24"/>
      </w:rPr>
    </w:pPr>
    <w:r>
      <w:rPr>
        <w:b/>
        <w:bCs/>
        <w:sz w:val="24"/>
        <w:szCs w:val="24"/>
      </w:rPr>
      <w:t xml:space="preserve">OMB Control </w:t>
    </w:r>
    <w:r w:rsidRPr="00AC641B">
      <w:rPr>
        <w:b/>
        <w:bCs/>
        <w:sz w:val="24"/>
        <w:szCs w:val="24"/>
      </w:rPr>
      <w:t>Number</w:t>
    </w:r>
    <w:r w:rsidRPr="00AC641B">
      <w:rPr>
        <w:b/>
        <w:bCs/>
        <w:sz w:val="24"/>
        <w:szCs w:val="24"/>
      </w:rPr>
      <w:t xml:space="preserve"> </w:t>
    </w:r>
    <w:r w:rsidRPr="00AC641B" w:rsidR="00207148">
      <w:rPr>
        <w:b/>
        <w:bCs/>
        <w:sz w:val="24"/>
        <w:szCs w:val="24"/>
      </w:rPr>
      <w:t xml:space="preserve">– </w:t>
    </w:r>
    <w:r w:rsidRPr="00AC641B">
      <w:rPr>
        <w:b/>
        <w:bCs/>
        <w:sz w:val="24"/>
        <w:szCs w:val="24"/>
      </w:rPr>
      <w:t>1218-</w:t>
    </w:r>
    <w:r w:rsidRPr="00AC641B" w:rsidR="00CB705D">
      <w:rPr>
        <w:b/>
        <w:bCs/>
        <w:sz w:val="24"/>
        <w:szCs w:val="24"/>
      </w:rPr>
      <w:t>0189</w:t>
    </w:r>
  </w:p>
  <w:p w:rsidR="00AC641B" w:rsidRPr="00AC641B" w:rsidP="00D403ED" w14:paraId="365DA244" w14:textId="5B9269D9">
    <w:pPr>
      <w:tabs>
        <w:tab w:val="center" w:pos="4680"/>
        <w:tab w:val="right" w:pos="9360"/>
      </w:tabs>
      <w:rPr>
        <w:b/>
        <w:bCs/>
        <w:sz w:val="24"/>
        <w:szCs w:val="24"/>
      </w:rPr>
    </w:pPr>
    <w:r>
      <w:rPr>
        <w:b/>
        <w:bCs/>
        <w:sz w:val="24"/>
        <w:szCs w:val="24"/>
      </w:rPr>
      <w:t xml:space="preserve">Expiration Date: </w:t>
    </w:r>
    <w:r w:rsidR="00C823C8">
      <w:rPr>
        <w:b/>
        <w:bCs/>
        <w:sz w:val="24"/>
        <w:szCs w:val="24"/>
      </w:rPr>
      <w:t xml:space="preserve">September </w:t>
    </w:r>
    <w:r w:rsidR="00F94842">
      <w:rPr>
        <w:b/>
        <w:bCs/>
        <w:sz w:val="24"/>
        <w:szCs w:val="24"/>
      </w:rPr>
      <w:t>30, 2025</w:t>
    </w:r>
  </w:p>
  <w:p w:rsidR="00DE0363" w:rsidRPr="00AC641B" w:rsidP="003A41FF" w14:paraId="5ED068FD" w14:textId="77777777">
    <w:pPr>
      <w:pStyle w:val="Header"/>
      <w:rPr>
        <w:b/>
        <w:bCs/>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BE9" w:rsidP="00EC5F45" w14:paraId="2F904FB6" w14:textId="7E6CBEFE">
    <w:pPr>
      <w:rPr>
        <w:b/>
        <w:bCs/>
        <w:color w:val="000000"/>
      </w:rPr>
    </w:pPr>
    <w:r>
      <w:rPr>
        <w:b/>
        <w:bCs/>
        <w:color w:val="000000"/>
      </w:rPr>
      <w:t>LEAD IN CONSTRUCTION (29 CFR 1926.62)</w:t>
    </w:r>
  </w:p>
  <w:p w:rsidR="006F1BE9" w:rsidP="00EC5F45" w14:paraId="5CC064F3" w14:textId="05B96824">
    <w:pPr>
      <w:rPr>
        <w:b/>
        <w:bCs/>
        <w:color w:val="000000"/>
      </w:rPr>
    </w:pPr>
    <w:r>
      <w:rPr>
        <w:b/>
        <w:bCs/>
        <w:color w:val="000000"/>
      </w:rPr>
      <w:t>1218-0189</w:t>
    </w:r>
  </w:p>
  <w:p w:rsidR="006F1BE9" w:rsidP="00EC5F45" w14:paraId="5BEDB6C3" w14:textId="27A2B069">
    <w:pPr>
      <w:rPr>
        <w:b/>
        <w:bCs/>
        <w:color w:val="000000"/>
      </w:rPr>
    </w:pPr>
    <w:r>
      <w:rPr>
        <w:b/>
        <w:bCs/>
        <w:color w:val="000000"/>
      </w:rPr>
      <w:t>February 2016</w:t>
    </w:r>
  </w:p>
  <w:p w:rsidR="006F1BE9" w14:paraId="3A9C8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1DCD6C37"/>
    <w:multiLevelType w:val="hybridMultilevel"/>
    <w:tmpl w:val="3112F96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A973B9"/>
    <w:multiLevelType w:val="hybridMultilevel"/>
    <w:tmpl w:val="E3945786"/>
    <w:lvl w:ilvl="0">
      <w:start w:val="3"/>
      <w:numFmt w:val="decimal"/>
      <w:lvlText w:val="%1."/>
      <w:lvlJc w:val="left"/>
      <w:pPr>
        <w:tabs>
          <w:tab w:val="num" w:pos="900"/>
        </w:tabs>
        <w:ind w:left="900" w:hanging="72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
    <w:nsid w:val="26CB7A05"/>
    <w:multiLevelType w:val="hybridMultilevel"/>
    <w:tmpl w:val="07AEDF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4511C9"/>
    <w:multiLevelType w:val="hybridMultilevel"/>
    <w:tmpl w:val="B3EA8CF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3C11F1"/>
    <w:multiLevelType w:val="hybridMultilevel"/>
    <w:tmpl w:val="4AF86236"/>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F85ADE"/>
    <w:multiLevelType w:val="hybridMultilevel"/>
    <w:tmpl w:val="150CB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F93E5E"/>
    <w:multiLevelType w:val="hybridMultilevel"/>
    <w:tmpl w:val="94D07D04"/>
    <w:lvl w:ilvl="0">
      <w:start w:val="8"/>
      <w:numFmt w:val="decimal"/>
      <w:lvlText w:val="%1."/>
      <w:lvlJc w:val="left"/>
      <w:pPr>
        <w:tabs>
          <w:tab w:val="num" w:pos="1080"/>
        </w:tabs>
        <w:ind w:left="1080" w:hanging="72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8622806">
    <w:abstractNumId w:val="7"/>
  </w:num>
  <w:num w:numId="2" w16cid:durableId="1047144699">
    <w:abstractNumId w:val="5"/>
  </w:num>
  <w:num w:numId="3" w16cid:durableId="1270815664">
    <w:abstractNumId w:val="2"/>
  </w:num>
  <w:num w:numId="4" w16cid:durableId="657803166">
    <w:abstractNumId w:val="0"/>
  </w:num>
  <w:num w:numId="5" w16cid:durableId="1122311341">
    <w:abstractNumId w:val="4"/>
  </w:num>
  <w:num w:numId="6" w16cid:durableId="255208843">
    <w:abstractNumId w:val="1"/>
  </w:num>
  <w:num w:numId="7" w16cid:durableId="1387530740">
    <w:abstractNumId w:val="3"/>
  </w:num>
  <w:num w:numId="8" w16cid:durableId="422190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D3"/>
    <w:rsid w:val="000009A6"/>
    <w:rsid w:val="00000EF2"/>
    <w:rsid w:val="000011AF"/>
    <w:rsid w:val="00001337"/>
    <w:rsid w:val="000018BE"/>
    <w:rsid w:val="00001BAB"/>
    <w:rsid w:val="00001DD5"/>
    <w:rsid w:val="00001E63"/>
    <w:rsid w:val="0000521C"/>
    <w:rsid w:val="00005595"/>
    <w:rsid w:val="00005700"/>
    <w:rsid w:val="00007093"/>
    <w:rsid w:val="000107C9"/>
    <w:rsid w:val="00010F65"/>
    <w:rsid w:val="00013365"/>
    <w:rsid w:val="00013394"/>
    <w:rsid w:val="0001381B"/>
    <w:rsid w:val="000149ED"/>
    <w:rsid w:val="000164D8"/>
    <w:rsid w:val="00016C13"/>
    <w:rsid w:val="00017636"/>
    <w:rsid w:val="00017949"/>
    <w:rsid w:val="00017D80"/>
    <w:rsid w:val="000224F6"/>
    <w:rsid w:val="00022FF0"/>
    <w:rsid w:val="00023B85"/>
    <w:rsid w:val="00023C7B"/>
    <w:rsid w:val="00024C52"/>
    <w:rsid w:val="000252DF"/>
    <w:rsid w:val="0002554B"/>
    <w:rsid w:val="000262D9"/>
    <w:rsid w:val="00026627"/>
    <w:rsid w:val="000266A6"/>
    <w:rsid w:val="00026F5B"/>
    <w:rsid w:val="00027F69"/>
    <w:rsid w:val="00030AE4"/>
    <w:rsid w:val="000324FF"/>
    <w:rsid w:val="00034DC5"/>
    <w:rsid w:val="000350B9"/>
    <w:rsid w:val="000352CD"/>
    <w:rsid w:val="000366E1"/>
    <w:rsid w:val="00036D15"/>
    <w:rsid w:val="0004118A"/>
    <w:rsid w:val="0004175D"/>
    <w:rsid w:val="00042153"/>
    <w:rsid w:val="00043206"/>
    <w:rsid w:val="00044279"/>
    <w:rsid w:val="00045B02"/>
    <w:rsid w:val="00045D28"/>
    <w:rsid w:val="0004722D"/>
    <w:rsid w:val="000474A5"/>
    <w:rsid w:val="000479D7"/>
    <w:rsid w:val="00051D8A"/>
    <w:rsid w:val="00053198"/>
    <w:rsid w:val="000544A3"/>
    <w:rsid w:val="00055B34"/>
    <w:rsid w:val="00055F61"/>
    <w:rsid w:val="00057ABD"/>
    <w:rsid w:val="00060279"/>
    <w:rsid w:val="000607E5"/>
    <w:rsid w:val="000608F8"/>
    <w:rsid w:val="0006136D"/>
    <w:rsid w:val="0006225F"/>
    <w:rsid w:val="00064371"/>
    <w:rsid w:val="000646B6"/>
    <w:rsid w:val="00064D7A"/>
    <w:rsid w:val="0006591D"/>
    <w:rsid w:val="00065D22"/>
    <w:rsid w:val="00065EC3"/>
    <w:rsid w:val="00066037"/>
    <w:rsid w:val="000662D2"/>
    <w:rsid w:val="00066BC5"/>
    <w:rsid w:val="00067BBE"/>
    <w:rsid w:val="0007077C"/>
    <w:rsid w:val="00070A35"/>
    <w:rsid w:val="00071257"/>
    <w:rsid w:val="00071840"/>
    <w:rsid w:val="000749C2"/>
    <w:rsid w:val="00075E00"/>
    <w:rsid w:val="000763DD"/>
    <w:rsid w:val="000771ED"/>
    <w:rsid w:val="00077269"/>
    <w:rsid w:val="00081F33"/>
    <w:rsid w:val="00081F69"/>
    <w:rsid w:val="000839D3"/>
    <w:rsid w:val="000839E6"/>
    <w:rsid w:val="00084045"/>
    <w:rsid w:val="00085BF7"/>
    <w:rsid w:val="0008605B"/>
    <w:rsid w:val="000867E8"/>
    <w:rsid w:val="00087155"/>
    <w:rsid w:val="00087EFD"/>
    <w:rsid w:val="000901B3"/>
    <w:rsid w:val="000915B3"/>
    <w:rsid w:val="00091B9E"/>
    <w:rsid w:val="00091BF0"/>
    <w:rsid w:val="00091D13"/>
    <w:rsid w:val="00092E07"/>
    <w:rsid w:val="0009307F"/>
    <w:rsid w:val="00093E4A"/>
    <w:rsid w:val="0009460D"/>
    <w:rsid w:val="00094C5F"/>
    <w:rsid w:val="000959D8"/>
    <w:rsid w:val="00096379"/>
    <w:rsid w:val="00096BB5"/>
    <w:rsid w:val="000A02B4"/>
    <w:rsid w:val="000A0DFC"/>
    <w:rsid w:val="000A0FB9"/>
    <w:rsid w:val="000A1051"/>
    <w:rsid w:val="000A1BB2"/>
    <w:rsid w:val="000A2151"/>
    <w:rsid w:val="000A2C62"/>
    <w:rsid w:val="000A3BEE"/>
    <w:rsid w:val="000A4470"/>
    <w:rsid w:val="000A4C7C"/>
    <w:rsid w:val="000A4F0F"/>
    <w:rsid w:val="000A5F71"/>
    <w:rsid w:val="000A6345"/>
    <w:rsid w:val="000A78F7"/>
    <w:rsid w:val="000B1FDB"/>
    <w:rsid w:val="000B3393"/>
    <w:rsid w:val="000B3BB3"/>
    <w:rsid w:val="000B472F"/>
    <w:rsid w:val="000B5929"/>
    <w:rsid w:val="000B634E"/>
    <w:rsid w:val="000B66F2"/>
    <w:rsid w:val="000B6F6F"/>
    <w:rsid w:val="000B7459"/>
    <w:rsid w:val="000C3EF7"/>
    <w:rsid w:val="000C4783"/>
    <w:rsid w:val="000C5344"/>
    <w:rsid w:val="000C6B4A"/>
    <w:rsid w:val="000C6B6B"/>
    <w:rsid w:val="000C791D"/>
    <w:rsid w:val="000D393C"/>
    <w:rsid w:val="000D4FA5"/>
    <w:rsid w:val="000D51EB"/>
    <w:rsid w:val="000D638C"/>
    <w:rsid w:val="000D75D9"/>
    <w:rsid w:val="000E0955"/>
    <w:rsid w:val="000E0BA9"/>
    <w:rsid w:val="000E1088"/>
    <w:rsid w:val="000E1B39"/>
    <w:rsid w:val="000E2A83"/>
    <w:rsid w:val="000E3168"/>
    <w:rsid w:val="000E4BCD"/>
    <w:rsid w:val="000E5548"/>
    <w:rsid w:val="000E7017"/>
    <w:rsid w:val="000F08A4"/>
    <w:rsid w:val="000F0AF6"/>
    <w:rsid w:val="000F0B15"/>
    <w:rsid w:val="000F1C3D"/>
    <w:rsid w:val="000F2FC0"/>
    <w:rsid w:val="000F3C12"/>
    <w:rsid w:val="000F4022"/>
    <w:rsid w:val="000F505D"/>
    <w:rsid w:val="000F521B"/>
    <w:rsid w:val="000F5EBB"/>
    <w:rsid w:val="000F6D82"/>
    <w:rsid w:val="000F7CFE"/>
    <w:rsid w:val="000F7D6F"/>
    <w:rsid w:val="00100416"/>
    <w:rsid w:val="00102C10"/>
    <w:rsid w:val="0010363A"/>
    <w:rsid w:val="00105BDA"/>
    <w:rsid w:val="00105EC9"/>
    <w:rsid w:val="00106167"/>
    <w:rsid w:val="00106B03"/>
    <w:rsid w:val="00110BCB"/>
    <w:rsid w:val="001116DB"/>
    <w:rsid w:val="00114562"/>
    <w:rsid w:val="00114AA3"/>
    <w:rsid w:val="00117446"/>
    <w:rsid w:val="0012237A"/>
    <w:rsid w:val="00122C48"/>
    <w:rsid w:val="00122CFC"/>
    <w:rsid w:val="00123C6E"/>
    <w:rsid w:val="001249F6"/>
    <w:rsid w:val="001259D9"/>
    <w:rsid w:val="00127FEF"/>
    <w:rsid w:val="0013357C"/>
    <w:rsid w:val="00133D70"/>
    <w:rsid w:val="001340B2"/>
    <w:rsid w:val="00134164"/>
    <w:rsid w:val="00136D14"/>
    <w:rsid w:val="00140772"/>
    <w:rsid w:val="00140988"/>
    <w:rsid w:val="00141241"/>
    <w:rsid w:val="00141796"/>
    <w:rsid w:val="00142F5A"/>
    <w:rsid w:val="001430D1"/>
    <w:rsid w:val="001438C2"/>
    <w:rsid w:val="00143919"/>
    <w:rsid w:val="00144D3B"/>
    <w:rsid w:val="00144F38"/>
    <w:rsid w:val="001453F8"/>
    <w:rsid w:val="001454C5"/>
    <w:rsid w:val="00146BE8"/>
    <w:rsid w:val="00147A05"/>
    <w:rsid w:val="00147A7B"/>
    <w:rsid w:val="00151194"/>
    <w:rsid w:val="0015148A"/>
    <w:rsid w:val="00151503"/>
    <w:rsid w:val="0015167C"/>
    <w:rsid w:val="001519C1"/>
    <w:rsid w:val="00151CA4"/>
    <w:rsid w:val="00153972"/>
    <w:rsid w:val="00153BFC"/>
    <w:rsid w:val="00153C86"/>
    <w:rsid w:val="00154D21"/>
    <w:rsid w:val="0015534D"/>
    <w:rsid w:val="00155E3B"/>
    <w:rsid w:val="00156030"/>
    <w:rsid w:val="00156873"/>
    <w:rsid w:val="00157184"/>
    <w:rsid w:val="00157436"/>
    <w:rsid w:val="0015778B"/>
    <w:rsid w:val="00161A80"/>
    <w:rsid w:val="00161AE9"/>
    <w:rsid w:val="00161DA0"/>
    <w:rsid w:val="00161E0F"/>
    <w:rsid w:val="0016232F"/>
    <w:rsid w:val="0016315A"/>
    <w:rsid w:val="00163DE5"/>
    <w:rsid w:val="001643B3"/>
    <w:rsid w:val="00164EBE"/>
    <w:rsid w:val="00166D70"/>
    <w:rsid w:val="00171BB7"/>
    <w:rsid w:val="00173090"/>
    <w:rsid w:val="00175360"/>
    <w:rsid w:val="00175DAF"/>
    <w:rsid w:val="0017687E"/>
    <w:rsid w:val="00176A16"/>
    <w:rsid w:val="0017757A"/>
    <w:rsid w:val="001806A8"/>
    <w:rsid w:val="0018099C"/>
    <w:rsid w:val="00180E26"/>
    <w:rsid w:val="001820EA"/>
    <w:rsid w:val="001835E8"/>
    <w:rsid w:val="00183735"/>
    <w:rsid w:val="001838A7"/>
    <w:rsid w:val="00183B92"/>
    <w:rsid w:val="001842BB"/>
    <w:rsid w:val="001851B8"/>
    <w:rsid w:val="001861CA"/>
    <w:rsid w:val="00186FC3"/>
    <w:rsid w:val="00187851"/>
    <w:rsid w:val="00190370"/>
    <w:rsid w:val="001906F0"/>
    <w:rsid w:val="00190D7F"/>
    <w:rsid w:val="00191B1F"/>
    <w:rsid w:val="00191E06"/>
    <w:rsid w:val="001920E1"/>
    <w:rsid w:val="00193B3D"/>
    <w:rsid w:val="00193B86"/>
    <w:rsid w:val="00194172"/>
    <w:rsid w:val="00194731"/>
    <w:rsid w:val="00195A4C"/>
    <w:rsid w:val="00196ED6"/>
    <w:rsid w:val="001A03A1"/>
    <w:rsid w:val="001A35CA"/>
    <w:rsid w:val="001A3D90"/>
    <w:rsid w:val="001A3DE6"/>
    <w:rsid w:val="001A5809"/>
    <w:rsid w:val="001A5A6D"/>
    <w:rsid w:val="001B0140"/>
    <w:rsid w:val="001B2265"/>
    <w:rsid w:val="001B2412"/>
    <w:rsid w:val="001B2E34"/>
    <w:rsid w:val="001B3365"/>
    <w:rsid w:val="001B406D"/>
    <w:rsid w:val="001B45F2"/>
    <w:rsid w:val="001B4C15"/>
    <w:rsid w:val="001B4D98"/>
    <w:rsid w:val="001B5F44"/>
    <w:rsid w:val="001B6CFF"/>
    <w:rsid w:val="001B7A11"/>
    <w:rsid w:val="001B7A9C"/>
    <w:rsid w:val="001C0294"/>
    <w:rsid w:val="001C0B10"/>
    <w:rsid w:val="001C3FDB"/>
    <w:rsid w:val="001C46DA"/>
    <w:rsid w:val="001C4AE2"/>
    <w:rsid w:val="001C55DC"/>
    <w:rsid w:val="001C6573"/>
    <w:rsid w:val="001C7513"/>
    <w:rsid w:val="001C7561"/>
    <w:rsid w:val="001D1FC0"/>
    <w:rsid w:val="001D2BED"/>
    <w:rsid w:val="001D319E"/>
    <w:rsid w:val="001D56B0"/>
    <w:rsid w:val="001D5A01"/>
    <w:rsid w:val="001D7D1B"/>
    <w:rsid w:val="001E18AB"/>
    <w:rsid w:val="001E2499"/>
    <w:rsid w:val="001E6913"/>
    <w:rsid w:val="001E6D2A"/>
    <w:rsid w:val="001E734B"/>
    <w:rsid w:val="001E76F0"/>
    <w:rsid w:val="001E79D1"/>
    <w:rsid w:val="001F0DC3"/>
    <w:rsid w:val="001F1258"/>
    <w:rsid w:val="001F43C7"/>
    <w:rsid w:val="001F559E"/>
    <w:rsid w:val="001F61F4"/>
    <w:rsid w:val="001F7426"/>
    <w:rsid w:val="00201F22"/>
    <w:rsid w:val="00202327"/>
    <w:rsid w:val="002026F1"/>
    <w:rsid w:val="00202AF0"/>
    <w:rsid w:val="0020328B"/>
    <w:rsid w:val="0020454E"/>
    <w:rsid w:val="00204B52"/>
    <w:rsid w:val="00204D56"/>
    <w:rsid w:val="00204DD5"/>
    <w:rsid w:val="00205042"/>
    <w:rsid w:val="00205DA6"/>
    <w:rsid w:val="00207148"/>
    <w:rsid w:val="0020735B"/>
    <w:rsid w:val="0020767B"/>
    <w:rsid w:val="00207E5D"/>
    <w:rsid w:val="00210A38"/>
    <w:rsid w:val="00210AC6"/>
    <w:rsid w:val="00211810"/>
    <w:rsid w:val="00211926"/>
    <w:rsid w:val="0021248C"/>
    <w:rsid w:val="002136A0"/>
    <w:rsid w:val="002138E0"/>
    <w:rsid w:val="00213C87"/>
    <w:rsid w:val="0021471D"/>
    <w:rsid w:val="002160AB"/>
    <w:rsid w:val="00216769"/>
    <w:rsid w:val="002167AB"/>
    <w:rsid w:val="00220501"/>
    <w:rsid w:val="00220F32"/>
    <w:rsid w:val="00220FF9"/>
    <w:rsid w:val="00221DF9"/>
    <w:rsid w:val="00222CB1"/>
    <w:rsid w:val="00223690"/>
    <w:rsid w:val="00224B5D"/>
    <w:rsid w:val="00225626"/>
    <w:rsid w:val="002259EF"/>
    <w:rsid w:val="002278A3"/>
    <w:rsid w:val="00227D57"/>
    <w:rsid w:val="00230A54"/>
    <w:rsid w:val="002317BD"/>
    <w:rsid w:val="00233617"/>
    <w:rsid w:val="00233946"/>
    <w:rsid w:val="00234353"/>
    <w:rsid w:val="0023450D"/>
    <w:rsid w:val="00236A37"/>
    <w:rsid w:val="00236E2B"/>
    <w:rsid w:val="0023709B"/>
    <w:rsid w:val="00237AC0"/>
    <w:rsid w:val="0024331C"/>
    <w:rsid w:val="00245423"/>
    <w:rsid w:val="002457F6"/>
    <w:rsid w:val="00245ED0"/>
    <w:rsid w:val="0024656E"/>
    <w:rsid w:val="00246856"/>
    <w:rsid w:val="00246DD4"/>
    <w:rsid w:val="00247A4B"/>
    <w:rsid w:val="0025077F"/>
    <w:rsid w:val="002539CE"/>
    <w:rsid w:val="00253E27"/>
    <w:rsid w:val="00254F70"/>
    <w:rsid w:val="002559C0"/>
    <w:rsid w:val="0025710B"/>
    <w:rsid w:val="002619D1"/>
    <w:rsid w:val="00262DD0"/>
    <w:rsid w:val="00263CAB"/>
    <w:rsid w:val="00265247"/>
    <w:rsid w:val="0026547F"/>
    <w:rsid w:val="002676BB"/>
    <w:rsid w:val="002677D3"/>
    <w:rsid w:val="002704A3"/>
    <w:rsid w:val="0027057B"/>
    <w:rsid w:val="002722BD"/>
    <w:rsid w:val="0027263B"/>
    <w:rsid w:val="002726CA"/>
    <w:rsid w:val="00272E66"/>
    <w:rsid w:val="00273531"/>
    <w:rsid w:val="002748D0"/>
    <w:rsid w:val="002754E3"/>
    <w:rsid w:val="00275E6C"/>
    <w:rsid w:val="00275EEA"/>
    <w:rsid w:val="00277AAC"/>
    <w:rsid w:val="00280CC2"/>
    <w:rsid w:val="00280D69"/>
    <w:rsid w:val="00283214"/>
    <w:rsid w:val="00283C41"/>
    <w:rsid w:val="002845CB"/>
    <w:rsid w:val="00284783"/>
    <w:rsid w:val="0028484F"/>
    <w:rsid w:val="0028730A"/>
    <w:rsid w:val="002874A4"/>
    <w:rsid w:val="00291575"/>
    <w:rsid w:val="00293D0F"/>
    <w:rsid w:val="002940BE"/>
    <w:rsid w:val="00294549"/>
    <w:rsid w:val="00295478"/>
    <w:rsid w:val="00296532"/>
    <w:rsid w:val="002A112A"/>
    <w:rsid w:val="002A1B2A"/>
    <w:rsid w:val="002A1C68"/>
    <w:rsid w:val="002A207D"/>
    <w:rsid w:val="002A28C8"/>
    <w:rsid w:val="002A2DFD"/>
    <w:rsid w:val="002A3257"/>
    <w:rsid w:val="002A4495"/>
    <w:rsid w:val="002A582F"/>
    <w:rsid w:val="002A6151"/>
    <w:rsid w:val="002A6758"/>
    <w:rsid w:val="002A6AAA"/>
    <w:rsid w:val="002B0B41"/>
    <w:rsid w:val="002B3EC1"/>
    <w:rsid w:val="002B3F3A"/>
    <w:rsid w:val="002B532F"/>
    <w:rsid w:val="002B59FB"/>
    <w:rsid w:val="002B7DF1"/>
    <w:rsid w:val="002B7E3D"/>
    <w:rsid w:val="002C209A"/>
    <w:rsid w:val="002C383A"/>
    <w:rsid w:val="002C42F6"/>
    <w:rsid w:val="002C4478"/>
    <w:rsid w:val="002C762F"/>
    <w:rsid w:val="002C7E2B"/>
    <w:rsid w:val="002C7E31"/>
    <w:rsid w:val="002D0D6D"/>
    <w:rsid w:val="002D128B"/>
    <w:rsid w:val="002D12B0"/>
    <w:rsid w:val="002D1642"/>
    <w:rsid w:val="002D194D"/>
    <w:rsid w:val="002D3B5A"/>
    <w:rsid w:val="002D5829"/>
    <w:rsid w:val="002D5984"/>
    <w:rsid w:val="002D5A8B"/>
    <w:rsid w:val="002D604E"/>
    <w:rsid w:val="002E1E79"/>
    <w:rsid w:val="002E686C"/>
    <w:rsid w:val="002E6FE2"/>
    <w:rsid w:val="002E76C4"/>
    <w:rsid w:val="002F0CE7"/>
    <w:rsid w:val="002F10BB"/>
    <w:rsid w:val="002F24C4"/>
    <w:rsid w:val="002F2E6F"/>
    <w:rsid w:val="002F3F9C"/>
    <w:rsid w:val="002F5575"/>
    <w:rsid w:val="002F6245"/>
    <w:rsid w:val="00300E4C"/>
    <w:rsid w:val="00301B82"/>
    <w:rsid w:val="003022AB"/>
    <w:rsid w:val="00303019"/>
    <w:rsid w:val="00303FC8"/>
    <w:rsid w:val="0030491B"/>
    <w:rsid w:val="00305440"/>
    <w:rsid w:val="00305CB6"/>
    <w:rsid w:val="0030644D"/>
    <w:rsid w:val="0030749A"/>
    <w:rsid w:val="00307B57"/>
    <w:rsid w:val="00310730"/>
    <w:rsid w:val="003117AB"/>
    <w:rsid w:val="003117C8"/>
    <w:rsid w:val="00311D79"/>
    <w:rsid w:val="00314E20"/>
    <w:rsid w:val="003155F4"/>
    <w:rsid w:val="003158E2"/>
    <w:rsid w:val="003160B5"/>
    <w:rsid w:val="0031636F"/>
    <w:rsid w:val="00320F92"/>
    <w:rsid w:val="00321A44"/>
    <w:rsid w:val="00322C71"/>
    <w:rsid w:val="0032441E"/>
    <w:rsid w:val="00325179"/>
    <w:rsid w:val="003256BB"/>
    <w:rsid w:val="00326985"/>
    <w:rsid w:val="00327283"/>
    <w:rsid w:val="0033008F"/>
    <w:rsid w:val="003307CD"/>
    <w:rsid w:val="00331E56"/>
    <w:rsid w:val="00332149"/>
    <w:rsid w:val="00332EC3"/>
    <w:rsid w:val="0033450C"/>
    <w:rsid w:val="003347CA"/>
    <w:rsid w:val="00336166"/>
    <w:rsid w:val="00336174"/>
    <w:rsid w:val="00336DAD"/>
    <w:rsid w:val="003371D6"/>
    <w:rsid w:val="00337BA9"/>
    <w:rsid w:val="003403DB"/>
    <w:rsid w:val="00340F70"/>
    <w:rsid w:val="00346AF3"/>
    <w:rsid w:val="00347727"/>
    <w:rsid w:val="00347809"/>
    <w:rsid w:val="0035049B"/>
    <w:rsid w:val="00352999"/>
    <w:rsid w:val="00353278"/>
    <w:rsid w:val="0035450A"/>
    <w:rsid w:val="003548B7"/>
    <w:rsid w:val="003549D8"/>
    <w:rsid w:val="00360BA9"/>
    <w:rsid w:val="0036203E"/>
    <w:rsid w:val="00371059"/>
    <w:rsid w:val="00371073"/>
    <w:rsid w:val="003724D6"/>
    <w:rsid w:val="00372EF8"/>
    <w:rsid w:val="00373330"/>
    <w:rsid w:val="00373ADD"/>
    <w:rsid w:val="00373F29"/>
    <w:rsid w:val="00374104"/>
    <w:rsid w:val="00375C16"/>
    <w:rsid w:val="00376692"/>
    <w:rsid w:val="00377AB2"/>
    <w:rsid w:val="00377C6F"/>
    <w:rsid w:val="00380D82"/>
    <w:rsid w:val="003816D6"/>
    <w:rsid w:val="00382533"/>
    <w:rsid w:val="0038258E"/>
    <w:rsid w:val="00382B65"/>
    <w:rsid w:val="00383547"/>
    <w:rsid w:val="003840F0"/>
    <w:rsid w:val="003841EF"/>
    <w:rsid w:val="003844E4"/>
    <w:rsid w:val="00385E03"/>
    <w:rsid w:val="00386999"/>
    <w:rsid w:val="00386D7A"/>
    <w:rsid w:val="00393A13"/>
    <w:rsid w:val="00393C0C"/>
    <w:rsid w:val="003965BA"/>
    <w:rsid w:val="0039679D"/>
    <w:rsid w:val="00396F4D"/>
    <w:rsid w:val="0039711F"/>
    <w:rsid w:val="00397401"/>
    <w:rsid w:val="003976D3"/>
    <w:rsid w:val="00397FA1"/>
    <w:rsid w:val="003A0653"/>
    <w:rsid w:val="003A069A"/>
    <w:rsid w:val="003A1934"/>
    <w:rsid w:val="003A1AC2"/>
    <w:rsid w:val="003A1C85"/>
    <w:rsid w:val="003A2BB5"/>
    <w:rsid w:val="003A2D52"/>
    <w:rsid w:val="003A3E5B"/>
    <w:rsid w:val="003A41FF"/>
    <w:rsid w:val="003A48A8"/>
    <w:rsid w:val="003A4E4C"/>
    <w:rsid w:val="003A62B7"/>
    <w:rsid w:val="003A62D0"/>
    <w:rsid w:val="003B0C01"/>
    <w:rsid w:val="003B1785"/>
    <w:rsid w:val="003B22A9"/>
    <w:rsid w:val="003B2EA3"/>
    <w:rsid w:val="003B2F9C"/>
    <w:rsid w:val="003B39A5"/>
    <w:rsid w:val="003B44E7"/>
    <w:rsid w:val="003B5418"/>
    <w:rsid w:val="003B6991"/>
    <w:rsid w:val="003B7370"/>
    <w:rsid w:val="003B7DC2"/>
    <w:rsid w:val="003C01A5"/>
    <w:rsid w:val="003C029D"/>
    <w:rsid w:val="003C191C"/>
    <w:rsid w:val="003C1FBF"/>
    <w:rsid w:val="003C285B"/>
    <w:rsid w:val="003C351A"/>
    <w:rsid w:val="003C353F"/>
    <w:rsid w:val="003C3882"/>
    <w:rsid w:val="003C481E"/>
    <w:rsid w:val="003C4909"/>
    <w:rsid w:val="003C5174"/>
    <w:rsid w:val="003C52F1"/>
    <w:rsid w:val="003C5B81"/>
    <w:rsid w:val="003C5BC9"/>
    <w:rsid w:val="003C5EB9"/>
    <w:rsid w:val="003C738F"/>
    <w:rsid w:val="003D284F"/>
    <w:rsid w:val="003D33E5"/>
    <w:rsid w:val="003D399E"/>
    <w:rsid w:val="003D4529"/>
    <w:rsid w:val="003D5A04"/>
    <w:rsid w:val="003D73AD"/>
    <w:rsid w:val="003D7DB1"/>
    <w:rsid w:val="003E017D"/>
    <w:rsid w:val="003E06A4"/>
    <w:rsid w:val="003E0C82"/>
    <w:rsid w:val="003E3AE8"/>
    <w:rsid w:val="003E44C2"/>
    <w:rsid w:val="003E4A27"/>
    <w:rsid w:val="003E567C"/>
    <w:rsid w:val="003E6F97"/>
    <w:rsid w:val="003E7795"/>
    <w:rsid w:val="003E7A38"/>
    <w:rsid w:val="003F0816"/>
    <w:rsid w:val="003F3665"/>
    <w:rsid w:val="003F3B1A"/>
    <w:rsid w:val="003F4261"/>
    <w:rsid w:val="003F452F"/>
    <w:rsid w:val="003F602F"/>
    <w:rsid w:val="003F6F5E"/>
    <w:rsid w:val="003F723A"/>
    <w:rsid w:val="00400333"/>
    <w:rsid w:val="00400560"/>
    <w:rsid w:val="00401099"/>
    <w:rsid w:val="004019E6"/>
    <w:rsid w:val="00403496"/>
    <w:rsid w:val="00404287"/>
    <w:rsid w:val="00405514"/>
    <w:rsid w:val="0040597E"/>
    <w:rsid w:val="00405C3D"/>
    <w:rsid w:val="00405E4C"/>
    <w:rsid w:val="00407D3B"/>
    <w:rsid w:val="00410325"/>
    <w:rsid w:val="0041074C"/>
    <w:rsid w:val="004121BE"/>
    <w:rsid w:val="004122BB"/>
    <w:rsid w:val="0041263A"/>
    <w:rsid w:val="00412C70"/>
    <w:rsid w:val="00415C7B"/>
    <w:rsid w:val="0041615D"/>
    <w:rsid w:val="00416251"/>
    <w:rsid w:val="0041647E"/>
    <w:rsid w:val="00417B9C"/>
    <w:rsid w:val="00417DA4"/>
    <w:rsid w:val="004215C5"/>
    <w:rsid w:val="0042168A"/>
    <w:rsid w:val="00425004"/>
    <w:rsid w:val="00425411"/>
    <w:rsid w:val="00425970"/>
    <w:rsid w:val="00425BEA"/>
    <w:rsid w:val="00425CE1"/>
    <w:rsid w:val="00425F9F"/>
    <w:rsid w:val="0042666F"/>
    <w:rsid w:val="004301C8"/>
    <w:rsid w:val="00431430"/>
    <w:rsid w:val="0043143F"/>
    <w:rsid w:val="00432115"/>
    <w:rsid w:val="00432C83"/>
    <w:rsid w:val="00432D8A"/>
    <w:rsid w:val="00434145"/>
    <w:rsid w:val="0043485B"/>
    <w:rsid w:val="00436536"/>
    <w:rsid w:val="0043723B"/>
    <w:rsid w:val="00437880"/>
    <w:rsid w:val="00441983"/>
    <w:rsid w:val="00441FBE"/>
    <w:rsid w:val="00442ED2"/>
    <w:rsid w:val="004430D6"/>
    <w:rsid w:val="004448AE"/>
    <w:rsid w:val="00445E28"/>
    <w:rsid w:val="00445E9F"/>
    <w:rsid w:val="0044631F"/>
    <w:rsid w:val="00450CB2"/>
    <w:rsid w:val="00451BDF"/>
    <w:rsid w:val="00453AB3"/>
    <w:rsid w:val="00454BF3"/>
    <w:rsid w:val="00456325"/>
    <w:rsid w:val="00460E44"/>
    <w:rsid w:val="0046197C"/>
    <w:rsid w:val="00462111"/>
    <w:rsid w:val="00462670"/>
    <w:rsid w:val="00464B20"/>
    <w:rsid w:val="00464BF6"/>
    <w:rsid w:val="004655C3"/>
    <w:rsid w:val="00467CEC"/>
    <w:rsid w:val="0047003F"/>
    <w:rsid w:val="00473039"/>
    <w:rsid w:val="00473371"/>
    <w:rsid w:val="004753F2"/>
    <w:rsid w:val="00475CD4"/>
    <w:rsid w:val="00477381"/>
    <w:rsid w:val="00477E55"/>
    <w:rsid w:val="004806F4"/>
    <w:rsid w:val="00483E75"/>
    <w:rsid w:val="00483EC9"/>
    <w:rsid w:val="0048431E"/>
    <w:rsid w:val="0048471B"/>
    <w:rsid w:val="00485BE1"/>
    <w:rsid w:val="004904BB"/>
    <w:rsid w:val="00491091"/>
    <w:rsid w:val="00491DDC"/>
    <w:rsid w:val="00492EB7"/>
    <w:rsid w:val="00492F00"/>
    <w:rsid w:val="00493900"/>
    <w:rsid w:val="00493CF5"/>
    <w:rsid w:val="004945CD"/>
    <w:rsid w:val="0049583A"/>
    <w:rsid w:val="00495AC2"/>
    <w:rsid w:val="00495FDF"/>
    <w:rsid w:val="00497077"/>
    <w:rsid w:val="004A1B38"/>
    <w:rsid w:val="004A2AF2"/>
    <w:rsid w:val="004A2C24"/>
    <w:rsid w:val="004A354A"/>
    <w:rsid w:val="004A418F"/>
    <w:rsid w:val="004A4499"/>
    <w:rsid w:val="004A532D"/>
    <w:rsid w:val="004A5538"/>
    <w:rsid w:val="004A6DFF"/>
    <w:rsid w:val="004A709A"/>
    <w:rsid w:val="004A7E8C"/>
    <w:rsid w:val="004B2389"/>
    <w:rsid w:val="004B25A4"/>
    <w:rsid w:val="004B3936"/>
    <w:rsid w:val="004B4FC7"/>
    <w:rsid w:val="004B515A"/>
    <w:rsid w:val="004B6154"/>
    <w:rsid w:val="004B62B4"/>
    <w:rsid w:val="004B633E"/>
    <w:rsid w:val="004B64D9"/>
    <w:rsid w:val="004B73B0"/>
    <w:rsid w:val="004B7508"/>
    <w:rsid w:val="004C0716"/>
    <w:rsid w:val="004C0880"/>
    <w:rsid w:val="004C350A"/>
    <w:rsid w:val="004C4FF4"/>
    <w:rsid w:val="004C53A1"/>
    <w:rsid w:val="004C5EDA"/>
    <w:rsid w:val="004C60E6"/>
    <w:rsid w:val="004C77BC"/>
    <w:rsid w:val="004C7D83"/>
    <w:rsid w:val="004D16E4"/>
    <w:rsid w:val="004D1D53"/>
    <w:rsid w:val="004D32E2"/>
    <w:rsid w:val="004D36F8"/>
    <w:rsid w:val="004D38E8"/>
    <w:rsid w:val="004D3E6B"/>
    <w:rsid w:val="004D5B44"/>
    <w:rsid w:val="004D5F13"/>
    <w:rsid w:val="004D62CB"/>
    <w:rsid w:val="004D68E4"/>
    <w:rsid w:val="004E0BBE"/>
    <w:rsid w:val="004E3851"/>
    <w:rsid w:val="004E3CD7"/>
    <w:rsid w:val="004E40C9"/>
    <w:rsid w:val="004E466B"/>
    <w:rsid w:val="004E5560"/>
    <w:rsid w:val="004E7EB6"/>
    <w:rsid w:val="004F0291"/>
    <w:rsid w:val="004F1108"/>
    <w:rsid w:val="004F2005"/>
    <w:rsid w:val="004F21F3"/>
    <w:rsid w:val="004F2437"/>
    <w:rsid w:val="004F276E"/>
    <w:rsid w:val="004F2CBD"/>
    <w:rsid w:val="004F56CA"/>
    <w:rsid w:val="004F5728"/>
    <w:rsid w:val="004F6F9D"/>
    <w:rsid w:val="004F714A"/>
    <w:rsid w:val="004F77C2"/>
    <w:rsid w:val="0050030F"/>
    <w:rsid w:val="005013B7"/>
    <w:rsid w:val="00504DC8"/>
    <w:rsid w:val="005061CE"/>
    <w:rsid w:val="005062E8"/>
    <w:rsid w:val="0050799B"/>
    <w:rsid w:val="005104F5"/>
    <w:rsid w:val="00511CA2"/>
    <w:rsid w:val="0051202F"/>
    <w:rsid w:val="00512D1E"/>
    <w:rsid w:val="00513DB3"/>
    <w:rsid w:val="00514A29"/>
    <w:rsid w:val="005150A9"/>
    <w:rsid w:val="00515B2B"/>
    <w:rsid w:val="00515BA2"/>
    <w:rsid w:val="005176ED"/>
    <w:rsid w:val="00517DF7"/>
    <w:rsid w:val="00517E2C"/>
    <w:rsid w:val="00525FA6"/>
    <w:rsid w:val="0052653F"/>
    <w:rsid w:val="00526BAA"/>
    <w:rsid w:val="00527409"/>
    <w:rsid w:val="00531016"/>
    <w:rsid w:val="00531805"/>
    <w:rsid w:val="0053239C"/>
    <w:rsid w:val="00532F5C"/>
    <w:rsid w:val="0053307C"/>
    <w:rsid w:val="00533288"/>
    <w:rsid w:val="005335F5"/>
    <w:rsid w:val="00533EAC"/>
    <w:rsid w:val="00534037"/>
    <w:rsid w:val="00534B69"/>
    <w:rsid w:val="00536FF4"/>
    <w:rsid w:val="005411AD"/>
    <w:rsid w:val="0054156B"/>
    <w:rsid w:val="005415CA"/>
    <w:rsid w:val="00541CE5"/>
    <w:rsid w:val="00541EC4"/>
    <w:rsid w:val="00542A3B"/>
    <w:rsid w:val="005434C6"/>
    <w:rsid w:val="00546255"/>
    <w:rsid w:val="0054649B"/>
    <w:rsid w:val="00546917"/>
    <w:rsid w:val="00551BC2"/>
    <w:rsid w:val="005528F1"/>
    <w:rsid w:val="00553E3D"/>
    <w:rsid w:val="00555A5B"/>
    <w:rsid w:val="00555BD9"/>
    <w:rsid w:val="00557A29"/>
    <w:rsid w:val="00561456"/>
    <w:rsid w:val="00561E9A"/>
    <w:rsid w:val="005623F3"/>
    <w:rsid w:val="005626D8"/>
    <w:rsid w:val="005635E9"/>
    <w:rsid w:val="00563710"/>
    <w:rsid w:val="00563CB7"/>
    <w:rsid w:val="0056434F"/>
    <w:rsid w:val="005657D2"/>
    <w:rsid w:val="005665B8"/>
    <w:rsid w:val="00570583"/>
    <w:rsid w:val="00570865"/>
    <w:rsid w:val="00571088"/>
    <w:rsid w:val="005715A5"/>
    <w:rsid w:val="00572C07"/>
    <w:rsid w:val="00572D96"/>
    <w:rsid w:val="00573163"/>
    <w:rsid w:val="005733A3"/>
    <w:rsid w:val="00573F68"/>
    <w:rsid w:val="005758B2"/>
    <w:rsid w:val="00580D3C"/>
    <w:rsid w:val="00584CCE"/>
    <w:rsid w:val="0058542D"/>
    <w:rsid w:val="005865A4"/>
    <w:rsid w:val="00586D15"/>
    <w:rsid w:val="00586FB9"/>
    <w:rsid w:val="00587A83"/>
    <w:rsid w:val="00590653"/>
    <w:rsid w:val="00591F89"/>
    <w:rsid w:val="005944A3"/>
    <w:rsid w:val="00594F6C"/>
    <w:rsid w:val="00595CC7"/>
    <w:rsid w:val="00596E3B"/>
    <w:rsid w:val="005975D7"/>
    <w:rsid w:val="005A062E"/>
    <w:rsid w:val="005A0AEB"/>
    <w:rsid w:val="005A0EFE"/>
    <w:rsid w:val="005A1AFF"/>
    <w:rsid w:val="005A21D6"/>
    <w:rsid w:val="005A2235"/>
    <w:rsid w:val="005A279B"/>
    <w:rsid w:val="005A2852"/>
    <w:rsid w:val="005A2B25"/>
    <w:rsid w:val="005A2FB7"/>
    <w:rsid w:val="005A3366"/>
    <w:rsid w:val="005A4AF6"/>
    <w:rsid w:val="005A5F34"/>
    <w:rsid w:val="005A66DC"/>
    <w:rsid w:val="005A66F0"/>
    <w:rsid w:val="005B0500"/>
    <w:rsid w:val="005B143B"/>
    <w:rsid w:val="005B1629"/>
    <w:rsid w:val="005B181A"/>
    <w:rsid w:val="005B4C1C"/>
    <w:rsid w:val="005B50CD"/>
    <w:rsid w:val="005B577E"/>
    <w:rsid w:val="005B6C9A"/>
    <w:rsid w:val="005B6E57"/>
    <w:rsid w:val="005C0745"/>
    <w:rsid w:val="005C1011"/>
    <w:rsid w:val="005C1214"/>
    <w:rsid w:val="005C1377"/>
    <w:rsid w:val="005C1E17"/>
    <w:rsid w:val="005C2968"/>
    <w:rsid w:val="005C351D"/>
    <w:rsid w:val="005C389C"/>
    <w:rsid w:val="005C3959"/>
    <w:rsid w:val="005C3CDF"/>
    <w:rsid w:val="005C3E2C"/>
    <w:rsid w:val="005C585A"/>
    <w:rsid w:val="005C5B53"/>
    <w:rsid w:val="005C5D00"/>
    <w:rsid w:val="005C65C2"/>
    <w:rsid w:val="005C6CD5"/>
    <w:rsid w:val="005C70F7"/>
    <w:rsid w:val="005C7EF2"/>
    <w:rsid w:val="005C7EF6"/>
    <w:rsid w:val="005D1057"/>
    <w:rsid w:val="005D1ECE"/>
    <w:rsid w:val="005D2112"/>
    <w:rsid w:val="005D2D9B"/>
    <w:rsid w:val="005D6BC2"/>
    <w:rsid w:val="005D7084"/>
    <w:rsid w:val="005E1A90"/>
    <w:rsid w:val="005E3BE8"/>
    <w:rsid w:val="005E5C8A"/>
    <w:rsid w:val="005E7548"/>
    <w:rsid w:val="005F10D2"/>
    <w:rsid w:val="005F1E1A"/>
    <w:rsid w:val="005F304C"/>
    <w:rsid w:val="005F4175"/>
    <w:rsid w:val="005F5AA9"/>
    <w:rsid w:val="005F6366"/>
    <w:rsid w:val="005F6495"/>
    <w:rsid w:val="005F69C4"/>
    <w:rsid w:val="00600A57"/>
    <w:rsid w:val="00602794"/>
    <w:rsid w:val="00603264"/>
    <w:rsid w:val="00603B64"/>
    <w:rsid w:val="0060505C"/>
    <w:rsid w:val="006053CA"/>
    <w:rsid w:val="0060557C"/>
    <w:rsid w:val="00605E24"/>
    <w:rsid w:val="00606977"/>
    <w:rsid w:val="00606C20"/>
    <w:rsid w:val="0061017C"/>
    <w:rsid w:val="00610C1A"/>
    <w:rsid w:val="00611B7B"/>
    <w:rsid w:val="00612CD6"/>
    <w:rsid w:val="00612F7A"/>
    <w:rsid w:val="00614150"/>
    <w:rsid w:val="006143AB"/>
    <w:rsid w:val="00615115"/>
    <w:rsid w:val="006154DA"/>
    <w:rsid w:val="00617250"/>
    <w:rsid w:val="00621470"/>
    <w:rsid w:val="006214C0"/>
    <w:rsid w:val="006216E0"/>
    <w:rsid w:val="00621750"/>
    <w:rsid w:val="00621FCC"/>
    <w:rsid w:val="006225B4"/>
    <w:rsid w:val="00622CB5"/>
    <w:rsid w:val="00623142"/>
    <w:rsid w:val="00625048"/>
    <w:rsid w:val="0062590C"/>
    <w:rsid w:val="00625D17"/>
    <w:rsid w:val="006267E1"/>
    <w:rsid w:val="00630308"/>
    <w:rsid w:val="0063042D"/>
    <w:rsid w:val="00631759"/>
    <w:rsid w:val="00631D52"/>
    <w:rsid w:val="00634226"/>
    <w:rsid w:val="006351C5"/>
    <w:rsid w:val="00635D15"/>
    <w:rsid w:val="006365E2"/>
    <w:rsid w:val="00636A2A"/>
    <w:rsid w:val="006405CC"/>
    <w:rsid w:val="00641477"/>
    <w:rsid w:val="00642807"/>
    <w:rsid w:val="006435DD"/>
    <w:rsid w:val="00644515"/>
    <w:rsid w:val="00645C7D"/>
    <w:rsid w:val="006468A3"/>
    <w:rsid w:val="00646AD3"/>
    <w:rsid w:val="00646E5E"/>
    <w:rsid w:val="006470BA"/>
    <w:rsid w:val="0064771C"/>
    <w:rsid w:val="00650320"/>
    <w:rsid w:val="00651991"/>
    <w:rsid w:val="00651BA9"/>
    <w:rsid w:val="00651C66"/>
    <w:rsid w:val="00653C01"/>
    <w:rsid w:val="00653FB0"/>
    <w:rsid w:val="00654530"/>
    <w:rsid w:val="006552AA"/>
    <w:rsid w:val="00655DC5"/>
    <w:rsid w:val="00656550"/>
    <w:rsid w:val="00656B4E"/>
    <w:rsid w:val="006570A0"/>
    <w:rsid w:val="00657452"/>
    <w:rsid w:val="00657B2B"/>
    <w:rsid w:val="00657F9F"/>
    <w:rsid w:val="0066037E"/>
    <w:rsid w:val="00660BB7"/>
    <w:rsid w:val="00661956"/>
    <w:rsid w:val="00662D1E"/>
    <w:rsid w:val="006631A7"/>
    <w:rsid w:val="00664AD8"/>
    <w:rsid w:val="0066517B"/>
    <w:rsid w:val="00665553"/>
    <w:rsid w:val="00665DFD"/>
    <w:rsid w:val="006669CE"/>
    <w:rsid w:val="00667C61"/>
    <w:rsid w:val="0067062F"/>
    <w:rsid w:val="00671794"/>
    <w:rsid w:val="00672A4F"/>
    <w:rsid w:val="00672BAA"/>
    <w:rsid w:val="00673C03"/>
    <w:rsid w:val="00673D97"/>
    <w:rsid w:val="00673EAE"/>
    <w:rsid w:val="0067596B"/>
    <w:rsid w:val="00675BD1"/>
    <w:rsid w:val="00675C33"/>
    <w:rsid w:val="0067695A"/>
    <w:rsid w:val="00677580"/>
    <w:rsid w:val="00680D2D"/>
    <w:rsid w:val="00681DF5"/>
    <w:rsid w:val="0068226B"/>
    <w:rsid w:val="006830C5"/>
    <w:rsid w:val="006835D2"/>
    <w:rsid w:val="00685D91"/>
    <w:rsid w:val="006868AC"/>
    <w:rsid w:val="006869D3"/>
    <w:rsid w:val="00691EC5"/>
    <w:rsid w:val="0069428A"/>
    <w:rsid w:val="00694957"/>
    <w:rsid w:val="00694A06"/>
    <w:rsid w:val="00695A39"/>
    <w:rsid w:val="006964DF"/>
    <w:rsid w:val="00696735"/>
    <w:rsid w:val="006969B8"/>
    <w:rsid w:val="00697913"/>
    <w:rsid w:val="006A0415"/>
    <w:rsid w:val="006A1D08"/>
    <w:rsid w:val="006A2402"/>
    <w:rsid w:val="006A4693"/>
    <w:rsid w:val="006A6C51"/>
    <w:rsid w:val="006B0AB9"/>
    <w:rsid w:val="006B13DE"/>
    <w:rsid w:val="006B17A3"/>
    <w:rsid w:val="006B4D28"/>
    <w:rsid w:val="006B4DF4"/>
    <w:rsid w:val="006B7B12"/>
    <w:rsid w:val="006C0C7E"/>
    <w:rsid w:val="006C2126"/>
    <w:rsid w:val="006C22D0"/>
    <w:rsid w:val="006C3DBB"/>
    <w:rsid w:val="006C48EB"/>
    <w:rsid w:val="006C53C2"/>
    <w:rsid w:val="006D09C2"/>
    <w:rsid w:val="006D1288"/>
    <w:rsid w:val="006D238B"/>
    <w:rsid w:val="006D271F"/>
    <w:rsid w:val="006D3048"/>
    <w:rsid w:val="006D43C7"/>
    <w:rsid w:val="006D5FE5"/>
    <w:rsid w:val="006D7104"/>
    <w:rsid w:val="006D77ED"/>
    <w:rsid w:val="006E02FE"/>
    <w:rsid w:val="006E06C3"/>
    <w:rsid w:val="006E1C6E"/>
    <w:rsid w:val="006E2D58"/>
    <w:rsid w:val="006E44DF"/>
    <w:rsid w:val="006E69B6"/>
    <w:rsid w:val="006E787B"/>
    <w:rsid w:val="006F1A62"/>
    <w:rsid w:val="006F1BE9"/>
    <w:rsid w:val="006F297E"/>
    <w:rsid w:val="006F4472"/>
    <w:rsid w:val="006F4FD0"/>
    <w:rsid w:val="006F68B4"/>
    <w:rsid w:val="006F68E0"/>
    <w:rsid w:val="006F6BF8"/>
    <w:rsid w:val="006F736D"/>
    <w:rsid w:val="006F7565"/>
    <w:rsid w:val="0070101A"/>
    <w:rsid w:val="00701035"/>
    <w:rsid w:val="00702607"/>
    <w:rsid w:val="007062A8"/>
    <w:rsid w:val="0070716E"/>
    <w:rsid w:val="0071064D"/>
    <w:rsid w:val="00710783"/>
    <w:rsid w:val="00710B91"/>
    <w:rsid w:val="00711DDD"/>
    <w:rsid w:val="0071211F"/>
    <w:rsid w:val="007124CA"/>
    <w:rsid w:val="00713529"/>
    <w:rsid w:val="00714741"/>
    <w:rsid w:val="00715EA6"/>
    <w:rsid w:val="00716774"/>
    <w:rsid w:val="0071679D"/>
    <w:rsid w:val="00717298"/>
    <w:rsid w:val="00717ED5"/>
    <w:rsid w:val="00724275"/>
    <w:rsid w:val="007251CC"/>
    <w:rsid w:val="007253F8"/>
    <w:rsid w:val="00726A10"/>
    <w:rsid w:val="00726B58"/>
    <w:rsid w:val="00732376"/>
    <w:rsid w:val="00733F6E"/>
    <w:rsid w:val="00734AEE"/>
    <w:rsid w:val="00734DD8"/>
    <w:rsid w:val="00735270"/>
    <w:rsid w:val="00735933"/>
    <w:rsid w:val="00736DD6"/>
    <w:rsid w:val="007416C8"/>
    <w:rsid w:val="00741A3B"/>
    <w:rsid w:val="00741E69"/>
    <w:rsid w:val="00742438"/>
    <w:rsid w:val="00742BF9"/>
    <w:rsid w:val="00742FF2"/>
    <w:rsid w:val="00743779"/>
    <w:rsid w:val="0074387C"/>
    <w:rsid w:val="00743ADA"/>
    <w:rsid w:val="007441B7"/>
    <w:rsid w:val="00744C1E"/>
    <w:rsid w:val="00745EBC"/>
    <w:rsid w:val="00746112"/>
    <w:rsid w:val="007464D8"/>
    <w:rsid w:val="007476CD"/>
    <w:rsid w:val="00750B1D"/>
    <w:rsid w:val="0075175A"/>
    <w:rsid w:val="0075223C"/>
    <w:rsid w:val="007525F3"/>
    <w:rsid w:val="00752DF0"/>
    <w:rsid w:val="007576B9"/>
    <w:rsid w:val="00757CCB"/>
    <w:rsid w:val="00764305"/>
    <w:rsid w:val="0076488C"/>
    <w:rsid w:val="007648BB"/>
    <w:rsid w:val="00764CD7"/>
    <w:rsid w:val="007673B2"/>
    <w:rsid w:val="00767663"/>
    <w:rsid w:val="0076787F"/>
    <w:rsid w:val="00767CF1"/>
    <w:rsid w:val="00770526"/>
    <w:rsid w:val="00772E05"/>
    <w:rsid w:val="00772FE4"/>
    <w:rsid w:val="00773169"/>
    <w:rsid w:val="0077406F"/>
    <w:rsid w:val="0077517A"/>
    <w:rsid w:val="007762FC"/>
    <w:rsid w:val="00777232"/>
    <w:rsid w:val="0077735F"/>
    <w:rsid w:val="007776DE"/>
    <w:rsid w:val="00777B62"/>
    <w:rsid w:val="00780686"/>
    <w:rsid w:val="0078158F"/>
    <w:rsid w:val="0078189E"/>
    <w:rsid w:val="00785CD3"/>
    <w:rsid w:val="00786B35"/>
    <w:rsid w:val="00787B58"/>
    <w:rsid w:val="00787DDE"/>
    <w:rsid w:val="00791769"/>
    <w:rsid w:val="0079236F"/>
    <w:rsid w:val="00793708"/>
    <w:rsid w:val="00793953"/>
    <w:rsid w:val="0079419D"/>
    <w:rsid w:val="0079436D"/>
    <w:rsid w:val="00794455"/>
    <w:rsid w:val="007959B4"/>
    <w:rsid w:val="00796517"/>
    <w:rsid w:val="00796FE8"/>
    <w:rsid w:val="00797FC9"/>
    <w:rsid w:val="007A025B"/>
    <w:rsid w:val="007A0FCA"/>
    <w:rsid w:val="007A18BC"/>
    <w:rsid w:val="007A1BF0"/>
    <w:rsid w:val="007A2386"/>
    <w:rsid w:val="007A524C"/>
    <w:rsid w:val="007A5995"/>
    <w:rsid w:val="007A5FDD"/>
    <w:rsid w:val="007A7BD4"/>
    <w:rsid w:val="007B0F13"/>
    <w:rsid w:val="007B2BAB"/>
    <w:rsid w:val="007B47A6"/>
    <w:rsid w:val="007B5C9C"/>
    <w:rsid w:val="007B5E52"/>
    <w:rsid w:val="007B6EE6"/>
    <w:rsid w:val="007B6FC1"/>
    <w:rsid w:val="007B78C3"/>
    <w:rsid w:val="007C0472"/>
    <w:rsid w:val="007C0AE2"/>
    <w:rsid w:val="007C1377"/>
    <w:rsid w:val="007C25D6"/>
    <w:rsid w:val="007C3651"/>
    <w:rsid w:val="007C3DEC"/>
    <w:rsid w:val="007C48D1"/>
    <w:rsid w:val="007C4A8E"/>
    <w:rsid w:val="007C4B36"/>
    <w:rsid w:val="007C6550"/>
    <w:rsid w:val="007C6A35"/>
    <w:rsid w:val="007C7138"/>
    <w:rsid w:val="007C7366"/>
    <w:rsid w:val="007D1053"/>
    <w:rsid w:val="007D24C1"/>
    <w:rsid w:val="007D54A8"/>
    <w:rsid w:val="007D680A"/>
    <w:rsid w:val="007D6A95"/>
    <w:rsid w:val="007E02B2"/>
    <w:rsid w:val="007E098B"/>
    <w:rsid w:val="007E16EB"/>
    <w:rsid w:val="007E1A2B"/>
    <w:rsid w:val="007E1C10"/>
    <w:rsid w:val="007E21A9"/>
    <w:rsid w:val="007E4073"/>
    <w:rsid w:val="007E4B68"/>
    <w:rsid w:val="007E5D7D"/>
    <w:rsid w:val="007F07C4"/>
    <w:rsid w:val="007F11EC"/>
    <w:rsid w:val="007F2775"/>
    <w:rsid w:val="007F3A34"/>
    <w:rsid w:val="007F44BC"/>
    <w:rsid w:val="007F57C3"/>
    <w:rsid w:val="007F6838"/>
    <w:rsid w:val="007F6CF6"/>
    <w:rsid w:val="007F7CF5"/>
    <w:rsid w:val="0080059D"/>
    <w:rsid w:val="008010FD"/>
    <w:rsid w:val="00801B6D"/>
    <w:rsid w:val="00804214"/>
    <w:rsid w:val="008046DD"/>
    <w:rsid w:val="00804AE8"/>
    <w:rsid w:val="00804C16"/>
    <w:rsid w:val="00804E53"/>
    <w:rsid w:val="00805289"/>
    <w:rsid w:val="00805931"/>
    <w:rsid w:val="00805D4A"/>
    <w:rsid w:val="00810282"/>
    <w:rsid w:val="00811075"/>
    <w:rsid w:val="00811617"/>
    <w:rsid w:val="00811FA2"/>
    <w:rsid w:val="0081287A"/>
    <w:rsid w:val="00813187"/>
    <w:rsid w:val="008132CD"/>
    <w:rsid w:val="00816C97"/>
    <w:rsid w:val="00817CFD"/>
    <w:rsid w:val="00817FB9"/>
    <w:rsid w:val="00821138"/>
    <w:rsid w:val="00822B98"/>
    <w:rsid w:val="00822CB9"/>
    <w:rsid w:val="00823156"/>
    <w:rsid w:val="00823246"/>
    <w:rsid w:val="00824132"/>
    <w:rsid w:val="00826EBD"/>
    <w:rsid w:val="008274C5"/>
    <w:rsid w:val="00827B08"/>
    <w:rsid w:val="00827EBA"/>
    <w:rsid w:val="0083086D"/>
    <w:rsid w:val="008310C5"/>
    <w:rsid w:val="008312C6"/>
    <w:rsid w:val="00831C57"/>
    <w:rsid w:val="008333A1"/>
    <w:rsid w:val="008346AE"/>
    <w:rsid w:val="00834878"/>
    <w:rsid w:val="00835055"/>
    <w:rsid w:val="008361AB"/>
    <w:rsid w:val="008367AC"/>
    <w:rsid w:val="008373F8"/>
    <w:rsid w:val="0084035D"/>
    <w:rsid w:val="00840969"/>
    <w:rsid w:val="00842379"/>
    <w:rsid w:val="00844439"/>
    <w:rsid w:val="008448D5"/>
    <w:rsid w:val="008453C1"/>
    <w:rsid w:val="00846028"/>
    <w:rsid w:val="008464F3"/>
    <w:rsid w:val="00846936"/>
    <w:rsid w:val="00847695"/>
    <w:rsid w:val="00847BF6"/>
    <w:rsid w:val="00847E80"/>
    <w:rsid w:val="00852216"/>
    <w:rsid w:val="008543CC"/>
    <w:rsid w:val="00856664"/>
    <w:rsid w:val="008610C1"/>
    <w:rsid w:val="00861B90"/>
    <w:rsid w:val="008630A6"/>
    <w:rsid w:val="008649D3"/>
    <w:rsid w:val="00865C3E"/>
    <w:rsid w:val="0086749D"/>
    <w:rsid w:val="00870229"/>
    <w:rsid w:val="00871521"/>
    <w:rsid w:val="0087292F"/>
    <w:rsid w:val="00872A59"/>
    <w:rsid w:val="00873B5C"/>
    <w:rsid w:val="00873BBF"/>
    <w:rsid w:val="008753FE"/>
    <w:rsid w:val="00875CC2"/>
    <w:rsid w:val="00876E2F"/>
    <w:rsid w:val="008771CC"/>
    <w:rsid w:val="00877574"/>
    <w:rsid w:val="00877D7A"/>
    <w:rsid w:val="00880289"/>
    <w:rsid w:val="00880929"/>
    <w:rsid w:val="00881F26"/>
    <w:rsid w:val="00883F62"/>
    <w:rsid w:val="00883FD6"/>
    <w:rsid w:val="00884926"/>
    <w:rsid w:val="00885B97"/>
    <w:rsid w:val="00890771"/>
    <w:rsid w:val="00890889"/>
    <w:rsid w:val="008911CD"/>
    <w:rsid w:val="00891BB8"/>
    <w:rsid w:val="00891CB1"/>
    <w:rsid w:val="00891D5B"/>
    <w:rsid w:val="0089557A"/>
    <w:rsid w:val="008958A6"/>
    <w:rsid w:val="00896849"/>
    <w:rsid w:val="0089718E"/>
    <w:rsid w:val="0089766F"/>
    <w:rsid w:val="008A0204"/>
    <w:rsid w:val="008A0A82"/>
    <w:rsid w:val="008A1A83"/>
    <w:rsid w:val="008A1B18"/>
    <w:rsid w:val="008A274B"/>
    <w:rsid w:val="008A3037"/>
    <w:rsid w:val="008A6C8C"/>
    <w:rsid w:val="008B00C1"/>
    <w:rsid w:val="008B02E2"/>
    <w:rsid w:val="008B0885"/>
    <w:rsid w:val="008B11B4"/>
    <w:rsid w:val="008B11C1"/>
    <w:rsid w:val="008B12F5"/>
    <w:rsid w:val="008B3267"/>
    <w:rsid w:val="008B3A5D"/>
    <w:rsid w:val="008B4837"/>
    <w:rsid w:val="008B7529"/>
    <w:rsid w:val="008C00E9"/>
    <w:rsid w:val="008C0210"/>
    <w:rsid w:val="008C0C2E"/>
    <w:rsid w:val="008C126A"/>
    <w:rsid w:val="008C2311"/>
    <w:rsid w:val="008C2406"/>
    <w:rsid w:val="008C3233"/>
    <w:rsid w:val="008C34D4"/>
    <w:rsid w:val="008C3B7B"/>
    <w:rsid w:val="008C3C8B"/>
    <w:rsid w:val="008C5559"/>
    <w:rsid w:val="008C697A"/>
    <w:rsid w:val="008C6C9D"/>
    <w:rsid w:val="008C7C20"/>
    <w:rsid w:val="008D03F6"/>
    <w:rsid w:val="008D04EF"/>
    <w:rsid w:val="008D1CCE"/>
    <w:rsid w:val="008D34D3"/>
    <w:rsid w:val="008D4869"/>
    <w:rsid w:val="008D5D4F"/>
    <w:rsid w:val="008D64F3"/>
    <w:rsid w:val="008E1047"/>
    <w:rsid w:val="008E283D"/>
    <w:rsid w:val="008E4EFF"/>
    <w:rsid w:val="008E7666"/>
    <w:rsid w:val="008F4524"/>
    <w:rsid w:val="008F50DE"/>
    <w:rsid w:val="008F5A1B"/>
    <w:rsid w:val="008F5FDA"/>
    <w:rsid w:val="008F72E7"/>
    <w:rsid w:val="008F783A"/>
    <w:rsid w:val="009004F8"/>
    <w:rsid w:val="009009A3"/>
    <w:rsid w:val="00900D46"/>
    <w:rsid w:val="00902EA5"/>
    <w:rsid w:val="00903624"/>
    <w:rsid w:val="009053D2"/>
    <w:rsid w:val="00906B66"/>
    <w:rsid w:val="00910445"/>
    <w:rsid w:val="0091046B"/>
    <w:rsid w:val="00910F26"/>
    <w:rsid w:val="0091100B"/>
    <w:rsid w:val="0091115E"/>
    <w:rsid w:val="00913172"/>
    <w:rsid w:val="00914AC5"/>
    <w:rsid w:val="0091616D"/>
    <w:rsid w:val="0091646E"/>
    <w:rsid w:val="0091776C"/>
    <w:rsid w:val="00920BD2"/>
    <w:rsid w:val="009228A6"/>
    <w:rsid w:val="00922EEA"/>
    <w:rsid w:val="0092357E"/>
    <w:rsid w:val="009248D8"/>
    <w:rsid w:val="00924CA4"/>
    <w:rsid w:val="00924D39"/>
    <w:rsid w:val="0092545A"/>
    <w:rsid w:val="00925A1E"/>
    <w:rsid w:val="00926991"/>
    <w:rsid w:val="009301D0"/>
    <w:rsid w:val="00930313"/>
    <w:rsid w:val="00930D36"/>
    <w:rsid w:val="009316BD"/>
    <w:rsid w:val="00932768"/>
    <w:rsid w:val="00933A82"/>
    <w:rsid w:val="00934B3E"/>
    <w:rsid w:val="00935B8F"/>
    <w:rsid w:val="00935EE1"/>
    <w:rsid w:val="0093659C"/>
    <w:rsid w:val="00936E12"/>
    <w:rsid w:val="00937250"/>
    <w:rsid w:val="00937B1B"/>
    <w:rsid w:val="00937F3D"/>
    <w:rsid w:val="0094048B"/>
    <w:rsid w:val="009409DA"/>
    <w:rsid w:val="00941840"/>
    <w:rsid w:val="00943370"/>
    <w:rsid w:val="009437CA"/>
    <w:rsid w:val="00944C58"/>
    <w:rsid w:val="0094583C"/>
    <w:rsid w:val="0094688D"/>
    <w:rsid w:val="00950584"/>
    <w:rsid w:val="009505ED"/>
    <w:rsid w:val="00952106"/>
    <w:rsid w:val="00953870"/>
    <w:rsid w:val="00954ED6"/>
    <w:rsid w:val="00957296"/>
    <w:rsid w:val="00957A66"/>
    <w:rsid w:val="00963D34"/>
    <w:rsid w:val="009658A1"/>
    <w:rsid w:val="00967645"/>
    <w:rsid w:val="00967AE0"/>
    <w:rsid w:val="00970EB8"/>
    <w:rsid w:val="0097115C"/>
    <w:rsid w:val="009713DB"/>
    <w:rsid w:val="0097197F"/>
    <w:rsid w:val="00972E3D"/>
    <w:rsid w:val="009759D8"/>
    <w:rsid w:val="009772FA"/>
    <w:rsid w:val="009800AA"/>
    <w:rsid w:val="0098046F"/>
    <w:rsid w:val="00980694"/>
    <w:rsid w:val="00981272"/>
    <w:rsid w:val="009815AA"/>
    <w:rsid w:val="009823F4"/>
    <w:rsid w:val="009826F6"/>
    <w:rsid w:val="009830C5"/>
    <w:rsid w:val="00983E1B"/>
    <w:rsid w:val="00984B36"/>
    <w:rsid w:val="009853B4"/>
    <w:rsid w:val="0098633B"/>
    <w:rsid w:val="00987984"/>
    <w:rsid w:val="009906F2"/>
    <w:rsid w:val="009943D4"/>
    <w:rsid w:val="0099531A"/>
    <w:rsid w:val="009953FA"/>
    <w:rsid w:val="00996802"/>
    <w:rsid w:val="00997ED6"/>
    <w:rsid w:val="009A2793"/>
    <w:rsid w:val="009A2BBA"/>
    <w:rsid w:val="009A3AB0"/>
    <w:rsid w:val="009A4860"/>
    <w:rsid w:val="009A6997"/>
    <w:rsid w:val="009A7085"/>
    <w:rsid w:val="009A74D8"/>
    <w:rsid w:val="009B1315"/>
    <w:rsid w:val="009B1B5F"/>
    <w:rsid w:val="009B3636"/>
    <w:rsid w:val="009B447C"/>
    <w:rsid w:val="009B4C1A"/>
    <w:rsid w:val="009B536E"/>
    <w:rsid w:val="009B54D8"/>
    <w:rsid w:val="009B6CA8"/>
    <w:rsid w:val="009C009C"/>
    <w:rsid w:val="009C00A5"/>
    <w:rsid w:val="009C11B9"/>
    <w:rsid w:val="009C2440"/>
    <w:rsid w:val="009C2C55"/>
    <w:rsid w:val="009C307B"/>
    <w:rsid w:val="009C32A9"/>
    <w:rsid w:val="009C5E6F"/>
    <w:rsid w:val="009C63CE"/>
    <w:rsid w:val="009D13D3"/>
    <w:rsid w:val="009D1B42"/>
    <w:rsid w:val="009D2157"/>
    <w:rsid w:val="009D23A3"/>
    <w:rsid w:val="009D391A"/>
    <w:rsid w:val="009D5014"/>
    <w:rsid w:val="009D5E27"/>
    <w:rsid w:val="009D7E1A"/>
    <w:rsid w:val="009E1727"/>
    <w:rsid w:val="009E29F1"/>
    <w:rsid w:val="009E3F8D"/>
    <w:rsid w:val="009E5A81"/>
    <w:rsid w:val="009E5BF9"/>
    <w:rsid w:val="009E79FA"/>
    <w:rsid w:val="009F0AF0"/>
    <w:rsid w:val="009F2F93"/>
    <w:rsid w:val="009F42EB"/>
    <w:rsid w:val="009F5A8D"/>
    <w:rsid w:val="009F5B3D"/>
    <w:rsid w:val="009F664C"/>
    <w:rsid w:val="00A014CF"/>
    <w:rsid w:val="00A0273B"/>
    <w:rsid w:val="00A06B3E"/>
    <w:rsid w:val="00A06FE7"/>
    <w:rsid w:val="00A07340"/>
    <w:rsid w:val="00A07A5F"/>
    <w:rsid w:val="00A1067C"/>
    <w:rsid w:val="00A11017"/>
    <w:rsid w:val="00A115AF"/>
    <w:rsid w:val="00A1196A"/>
    <w:rsid w:val="00A13165"/>
    <w:rsid w:val="00A14D1C"/>
    <w:rsid w:val="00A1568D"/>
    <w:rsid w:val="00A16941"/>
    <w:rsid w:val="00A17BF8"/>
    <w:rsid w:val="00A20464"/>
    <w:rsid w:val="00A267A2"/>
    <w:rsid w:val="00A26C9A"/>
    <w:rsid w:val="00A27706"/>
    <w:rsid w:val="00A27C19"/>
    <w:rsid w:val="00A30D2C"/>
    <w:rsid w:val="00A31629"/>
    <w:rsid w:val="00A31E0E"/>
    <w:rsid w:val="00A329A8"/>
    <w:rsid w:val="00A34FF6"/>
    <w:rsid w:val="00A35106"/>
    <w:rsid w:val="00A365BE"/>
    <w:rsid w:val="00A378A7"/>
    <w:rsid w:val="00A41A8F"/>
    <w:rsid w:val="00A41B81"/>
    <w:rsid w:val="00A41BCC"/>
    <w:rsid w:val="00A469C3"/>
    <w:rsid w:val="00A469E8"/>
    <w:rsid w:val="00A47AC3"/>
    <w:rsid w:val="00A51CAF"/>
    <w:rsid w:val="00A56DA6"/>
    <w:rsid w:val="00A57090"/>
    <w:rsid w:val="00A60319"/>
    <w:rsid w:val="00A60487"/>
    <w:rsid w:val="00A61824"/>
    <w:rsid w:val="00A61976"/>
    <w:rsid w:val="00A626FA"/>
    <w:rsid w:val="00A66E7E"/>
    <w:rsid w:val="00A67711"/>
    <w:rsid w:val="00A7052D"/>
    <w:rsid w:val="00A72007"/>
    <w:rsid w:val="00A7233A"/>
    <w:rsid w:val="00A72CC2"/>
    <w:rsid w:val="00A73F24"/>
    <w:rsid w:val="00A74B10"/>
    <w:rsid w:val="00A75D3A"/>
    <w:rsid w:val="00A76A16"/>
    <w:rsid w:val="00A76F9C"/>
    <w:rsid w:val="00A770F3"/>
    <w:rsid w:val="00A776C6"/>
    <w:rsid w:val="00A7796E"/>
    <w:rsid w:val="00A779AF"/>
    <w:rsid w:val="00A77FF6"/>
    <w:rsid w:val="00A8061E"/>
    <w:rsid w:val="00A81E88"/>
    <w:rsid w:val="00A82019"/>
    <w:rsid w:val="00A85CC7"/>
    <w:rsid w:val="00A87346"/>
    <w:rsid w:val="00A910CC"/>
    <w:rsid w:val="00A914DD"/>
    <w:rsid w:val="00A92580"/>
    <w:rsid w:val="00A92C87"/>
    <w:rsid w:val="00A95B18"/>
    <w:rsid w:val="00A971EC"/>
    <w:rsid w:val="00AA0821"/>
    <w:rsid w:val="00AA16F8"/>
    <w:rsid w:val="00AA325F"/>
    <w:rsid w:val="00AA437D"/>
    <w:rsid w:val="00AA67F4"/>
    <w:rsid w:val="00AB077F"/>
    <w:rsid w:val="00AB0A2E"/>
    <w:rsid w:val="00AB0DC3"/>
    <w:rsid w:val="00AB1673"/>
    <w:rsid w:val="00AB2E2E"/>
    <w:rsid w:val="00AB3CD2"/>
    <w:rsid w:val="00AB4CDD"/>
    <w:rsid w:val="00AB50D0"/>
    <w:rsid w:val="00AB510C"/>
    <w:rsid w:val="00AB5A0F"/>
    <w:rsid w:val="00AB5A6F"/>
    <w:rsid w:val="00AB611A"/>
    <w:rsid w:val="00AC015A"/>
    <w:rsid w:val="00AC0322"/>
    <w:rsid w:val="00AC2718"/>
    <w:rsid w:val="00AC325E"/>
    <w:rsid w:val="00AC388C"/>
    <w:rsid w:val="00AC429E"/>
    <w:rsid w:val="00AC461E"/>
    <w:rsid w:val="00AC46C0"/>
    <w:rsid w:val="00AC4CB6"/>
    <w:rsid w:val="00AC51EB"/>
    <w:rsid w:val="00AC5988"/>
    <w:rsid w:val="00AC5A5B"/>
    <w:rsid w:val="00AC5D67"/>
    <w:rsid w:val="00AC61DD"/>
    <w:rsid w:val="00AC641B"/>
    <w:rsid w:val="00AC653E"/>
    <w:rsid w:val="00AD0B30"/>
    <w:rsid w:val="00AD4840"/>
    <w:rsid w:val="00AD497A"/>
    <w:rsid w:val="00AD4B9E"/>
    <w:rsid w:val="00AD609A"/>
    <w:rsid w:val="00AD6A17"/>
    <w:rsid w:val="00AE061E"/>
    <w:rsid w:val="00AE0897"/>
    <w:rsid w:val="00AE2406"/>
    <w:rsid w:val="00AE5027"/>
    <w:rsid w:val="00AE51C9"/>
    <w:rsid w:val="00AE5E59"/>
    <w:rsid w:val="00AF04FF"/>
    <w:rsid w:val="00AF067C"/>
    <w:rsid w:val="00AF2D0D"/>
    <w:rsid w:val="00AF35C2"/>
    <w:rsid w:val="00AF37D5"/>
    <w:rsid w:val="00AF3ADC"/>
    <w:rsid w:val="00AF3B62"/>
    <w:rsid w:val="00AF710B"/>
    <w:rsid w:val="00AF7A7D"/>
    <w:rsid w:val="00B0128C"/>
    <w:rsid w:val="00B04606"/>
    <w:rsid w:val="00B046C5"/>
    <w:rsid w:val="00B06002"/>
    <w:rsid w:val="00B06143"/>
    <w:rsid w:val="00B0669E"/>
    <w:rsid w:val="00B07504"/>
    <w:rsid w:val="00B0761C"/>
    <w:rsid w:val="00B07673"/>
    <w:rsid w:val="00B07853"/>
    <w:rsid w:val="00B108EC"/>
    <w:rsid w:val="00B11878"/>
    <w:rsid w:val="00B11D12"/>
    <w:rsid w:val="00B11D2D"/>
    <w:rsid w:val="00B11F08"/>
    <w:rsid w:val="00B12140"/>
    <w:rsid w:val="00B13973"/>
    <w:rsid w:val="00B14B5C"/>
    <w:rsid w:val="00B15141"/>
    <w:rsid w:val="00B1546A"/>
    <w:rsid w:val="00B1667B"/>
    <w:rsid w:val="00B16733"/>
    <w:rsid w:val="00B2073D"/>
    <w:rsid w:val="00B20814"/>
    <w:rsid w:val="00B208CC"/>
    <w:rsid w:val="00B21FA5"/>
    <w:rsid w:val="00B225C9"/>
    <w:rsid w:val="00B24AA5"/>
    <w:rsid w:val="00B24B21"/>
    <w:rsid w:val="00B26E33"/>
    <w:rsid w:val="00B276C4"/>
    <w:rsid w:val="00B27792"/>
    <w:rsid w:val="00B27FEF"/>
    <w:rsid w:val="00B30A29"/>
    <w:rsid w:val="00B31518"/>
    <w:rsid w:val="00B34AD5"/>
    <w:rsid w:val="00B36BFD"/>
    <w:rsid w:val="00B4038F"/>
    <w:rsid w:val="00B409A4"/>
    <w:rsid w:val="00B40F2F"/>
    <w:rsid w:val="00B42419"/>
    <w:rsid w:val="00B4244F"/>
    <w:rsid w:val="00B43FF6"/>
    <w:rsid w:val="00B450FF"/>
    <w:rsid w:val="00B45C31"/>
    <w:rsid w:val="00B461B1"/>
    <w:rsid w:val="00B472A8"/>
    <w:rsid w:val="00B507B2"/>
    <w:rsid w:val="00B51F32"/>
    <w:rsid w:val="00B520D0"/>
    <w:rsid w:val="00B5319B"/>
    <w:rsid w:val="00B53D56"/>
    <w:rsid w:val="00B53E01"/>
    <w:rsid w:val="00B53E16"/>
    <w:rsid w:val="00B54338"/>
    <w:rsid w:val="00B546B2"/>
    <w:rsid w:val="00B54B0B"/>
    <w:rsid w:val="00B55C19"/>
    <w:rsid w:val="00B57B33"/>
    <w:rsid w:val="00B607BA"/>
    <w:rsid w:val="00B60FF0"/>
    <w:rsid w:val="00B610C4"/>
    <w:rsid w:val="00B62055"/>
    <w:rsid w:val="00B6220F"/>
    <w:rsid w:val="00B62B4B"/>
    <w:rsid w:val="00B62D39"/>
    <w:rsid w:val="00B635AD"/>
    <w:rsid w:val="00B63B96"/>
    <w:rsid w:val="00B63DB7"/>
    <w:rsid w:val="00B66282"/>
    <w:rsid w:val="00B665B7"/>
    <w:rsid w:val="00B66AFA"/>
    <w:rsid w:val="00B67198"/>
    <w:rsid w:val="00B67495"/>
    <w:rsid w:val="00B7009F"/>
    <w:rsid w:val="00B702E5"/>
    <w:rsid w:val="00B72600"/>
    <w:rsid w:val="00B73CA4"/>
    <w:rsid w:val="00B743AA"/>
    <w:rsid w:val="00B745DE"/>
    <w:rsid w:val="00B74B84"/>
    <w:rsid w:val="00B74C30"/>
    <w:rsid w:val="00B76043"/>
    <w:rsid w:val="00B80103"/>
    <w:rsid w:val="00B8052A"/>
    <w:rsid w:val="00B8075E"/>
    <w:rsid w:val="00B81435"/>
    <w:rsid w:val="00B81618"/>
    <w:rsid w:val="00B81967"/>
    <w:rsid w:val="00B82E15"/>
    <w:rsid w:val="00B840F5"/>
    <w:rsid w:val="00B85481"/>
    <w:rsid w:val="00B85CD3"/>
    <w:rsid w:val="00B85E85"/>
    <w:rsid w:val="00B868D5"/>
    <w:rsid w:val="00B86D6E"/>
    <w:rsid w:val="00B90CEB"/>
    <w:rsid w:val="00B91393"/>
    <w:rsid w:val="00B91FDB"/>
    <w:rsid w:val="00B9260B"/>
    <w:rsid w:val="00B92B25"/>
    <w:rsid w:val="00B934FE"/>
    <w:rsid w:val="00B93E5A"/>
    <w:rsid w:val="00B93F79"/>
    <w:rsid w:val="00B9609F"/>
    <w:rsid w:val="00B9622A"/>
    <w:rsid w:val="00B9719C"/>
    <w:rsid w:val="00BA06D2"/>
    <w:rsid w:val="00BA12D8"/>
    <w:rsid w:val="00BA25DB"/>
    <w:rsid w:val="00BA3767"/>
    <w:rsid w:val="00BA4D6E"/>
    <w:rsid w:val="00BA6D63"/>
    <w:rsid w:val="00BA72DB"/>
    <w:rsid w:val="00BA7ECB"/>
    <w:rsid w:val="00BB06AB"/>
    <w:rsid w:val="00BB08C9"/>
    <w:rsid w:val="00BB0D62"/>
    <w:rsid w:val="00BB299B"/>
    <w:rsid w:val="00BB38B6"/>
    <w:rsid w:val="00BB3BF7"/>
    <w:rsid w:val="00BB4860"/>
    <w:rsid w:val="00BB55EA"/>
    <w:rsid w:val="00BB64DB"/>
    <w:rsid w:val="00BB73D9"/>
    <w:rsid w:val="00BB7A3D"/>
    <w:rsid w:val="00BC2184"/>
    <w:rsid w:val="00BC23EE"/>
    <w:rsid w:val="00BC367F"/>
    <w:rsid w:val="00BC4D15"/>
    <w:rsid w:val="00BC6D82"/>
    <w:rsid w:val="00BC7208"/>
    <w:rsid w:val="00BC7BFA"/>
    <w:rsid w:val="00BD18B2"/>
    <w:rsid w:val="00BD20AC"/>
    <w:rsid w:val="00BD2243"/>
    <w:rsid w:val="00BD2CEC"/>
    <w:rsid w:val="00BD3B6D"/>
    <w:rsid w:val="00BD5903"/>
    <w:rsid w:val="00BD70A3"/>
    <w:rsid w:val="00BD7736"/>
    <w:rsid w:val="00BE0CBE"/>
    <w:rsid w:val="00BE0CE9"/>
    <w:rsid w:val="00BE1215"/>
    <w:rsid w:val="00BE48B9"/>
    <w:rsid w:val="00BE549A"/>
    <w:rsid w:val="00BE56CC"/>
    <w:rsid w:val="00BE5F86"/>
    <w:rsid w:val="00BE61E7"/>
    <w:rsid w:val="00BE65B3"/>
    <w:rsid w:val="00BE7269"/>
    <w:rsid w:val="00BE74E2"/>
    <w:rsid w:val="00BE7741"/>
    <w:rsid w:val="00BE7760"/>
    <w:rsid w:val="00BE7ABC"/>
    <w:rsid w:val="00BE7ADE"/>
    <w:rsid w:val="00BE7B75"/>
    <w:rsid w:val="00BE7CE0"/>
    <w:rsid w:val="00BF1B4D"/>
    <w:rsid w:val="00BF5139"/>
    <w:rsid w:val="00C00107"/>
    <w:rsid w:val="00C0022B"/>
    <w:rsid w:val="00C0202D"/>
    <w:rsid w:val="00C03CD6"/>
    <w:rsid w:val="00C04171"/>
    <w:rsid w:val="00C05A6B"/>
    <w:rsid w:val="00C06A20"/>
    <w:rsid w:val="00C07C01"/>
    <w:rsid w:val="00C10CD0"/>
    <w:rsid w:val="00C110E0"/>
    <w:rsid w:val="00C11564"/>
    <w:rsid w:val="00C11D3B"/>
    <w:rsid w:val="00C126B6"/>
    <w:rsid w:val="00C12DE9"/>
    <w:rsid w:val="00C13B52"/>
    <w:rsid w:val="00C149F7"/>
    <w:rsid w:val="00C15257"/>
    <w:rsid w:val="00C15437"/>
    <w:rsid w:val="00C15648"/>
    <w:rsid w:val="00C16F54"/>
    <w:rsid w:val="00C1710E"/>
    <w:rsid w:val="00C17D21"/>
    <w:rsid w:val="00C21B66"/>
    <w:rsid w:val="00C21D00"/>
    <w:rsid w:val="00C21D99"/>
    <w:rsid w:val="00C2248B"/>
    <w:rsid w:val="00C22FFC"/>
    <w:rsid w:val="00C2338D"/>
    <w:rsid w:val="00C256AF"/>
    <w:rsid w:val="00C27E4E"/>
    <w:rsid w:val="00C31589"/>
    <w:rsid w:val="00C31C49"/>
    <w:rsid w:val="00C325D2"/>
    <w:rsid w:val="00C32FE9"/>
    <w:rsid w:val="00C33503"/>
    <w:rsid w:val="00C3409A"/>
    <w:rsid w:val="00C35ACD"/>
    <w:rsid w:val="00C4004A"/>
    <w:rsid w:val="00C4202C"/>
    <w:rsid w:val="00C42B4E"/>
    <w:rsid w:val="00C42E32"/>
    <w:rsid w:val="00C44B05"/>
    <w:rsid w:val="00C4698B"/>
    <w:rsid w:val="00C5001F"/>
    <w:rsid w:val="00C50D57"/>
    <w:rsid w:val="00C50F93"/>
    <w:rsid w:val="00C5112E"/>
    <w:rsid w:val="00C51139"/>
    <w:rsid w:val="00C53891"/>
    <w:rsid w:val="00C5647F"/>
    <w:rsid w:val="00C57E0F"/>
    <w:rsid w:val="00C613B9"/>
    <w:rsid w:val="00C61819"/>
    <w:rsid w:val="00C62C57"/>
    <w:rsid w:val="00C6381C"/>
    <w:rsid w:val="00C64E01"/>
    <w:rsid w:val="00C64F8E"/>
    <w:rsid w:val="00C651F7"/>
    <w:rsid w:val="00C65AA1"/>
    <w:rsid w:val="00C65B3B"/>
    <w:rsid w:val="00C67390"/>
    <w:rsid w:val="00C7070B"/>
    <w:rsid w:val="00C7263A"/>
    <w:rsid w:val="00C7314C"/>
    <w:rsid w:val="00C73152"/>
    <w:rsid w:val="00C73244"/>
    <w:rsid w:val="00C747B1"/>
    <w:rsid w:val="00C75319"/>
    <w:rsid w:val="00C75586"/>
    <w:rsid w:val="00C76FFE"/>
    <w:rsid w:val="00C7718B"/>
    <w:rsid w:val="00C77C9D"/>
    <w:rsid w:val="00C80B33"/>
    <w:rsid w:val="00C81613"/>
    <w:rsid w:val="00C823C8"/>
    <w:rsid w:val="00C829C7"/>
    <w:rsid w:val="00C82FF4"/>
    <w:rsid w:val="00C83E31"/>
    <w:rsid w:val="00C8640A"/>
    <w:rsid w:val="00C875CB"/>
    <w:rsid w:val="00C90770"/>
    <w:rsid w:val="00C9078D"/>
    <w:rsid w:val="00C9131E"/>
    <w:rsid w:val="00C9187B"/>
    <w:rsid w:val="00C920F5"/>
    <w:rsid w:val="00C92153"/>
    <w:rsid w:val="00C926FB"/>
    <w:rsid w:val="00C94298"/>
    <w:rsid w:val="00C97607"/>
    <w:rsid w:val="00C97CE4"/>
    <w:rsid w:val="00CA0E42"/>
    <w:rsid w:val="00CA1A5A"/>
    <w:rsid w:val="00CA2F9E"/>
    <w:rsid w:val="00CA3CAA"/>
    <w:rsid w:val="00CA432F"/>
    <w:rsid w:val="00CA4A58"/>
    <w:rsid w:val="00CA549A"/>
    <w:rsid w:val="00CA62C2"/>
    <w:rsid w:val="00CA6FCD"/>
    <w:rsid w:val="00CA6FD2"/>
    <w:rsid w:val="00CB1193"/>
    <w:rsid w:val="00CB1A29"/>
    <w:rsid w:val="00CB3B53"/>
    <w:rsid w:val="00CB4810"/>
    <w:rsid w:val="00CB48F7"/>
    <w:rsid w:val="00CB605A"/>
    <w:rsid w:val="00CB6B27"/>
    <w:rsid w:val="00CB705D"/>
    <w:rsid w:val="00CC097F"/>
    <w:rsid w:val="00CC0B07"/>
    <w:rsid w:val="00CC189B"/>
    <w:rsid w:val="00CC2005"/>
    <w:rsid w:val="00CC2F81"/>
    <w:rsid w:val="00CC3E1A"/>
    <w:rsid w:val="00CC482E"/>
    <w:rsid w:val="00CC4DA5"/>
    <w:rsid w:val="00CC5A53"/>
    <w:rsid w:val="00CC5ED4"/>
    <w:rsid w:val="00CC6FFB"/>
    <w:rsid w:val="00CD0E32"/>
    <w:rsid w:val="00CD1FF6"/>
    <w:rsid w:val="00CD36A2"/>
    <w:rsid w:val="00CD3AF8"/>
    <w:rsid w:val="00CD3D66"/>
    <w:rsid w:val="00CD4A3B"/>
    <w:rsid w:val="00CD6727"/>
    <w:rsid w:val="00CD7CA3"/>
    <w:rsid w:val="00CE02D6"/>
    <w:rsid w:val="00CE308F"/>
    <w:rsid w:val="00CE3137"/>
    <w:rsid w:val="00CE3819"/>
    <w:rsid w:val="00CE4182"/>
    <w:rsid w:val="00CE4DD5"/>
    <w:rsid w:val="00CE5322"/>
    <w:rsid w:val="00CE6053"/>
    <w:rsid w:val="00CE69A7"/>
    <w:rsid w:val="00CF2601"/>
    <w:rsid w:val="00CF2D7A"/>
    <w:rsid w:val="00CF3316"/>
    <w:rsid w:val="00CF4053"/>
    <w:rsid w:val="00CF4AA7"/>
    <w:rsid w:val="00CF6D88"/>
    <w:rsid w:val="00CF6F20"/>
    <w:rsid w:val="00D01D0E"/>
    <w:rsid w:val="00D039F0"/>
    <w:rsid w:val="00D03FF4"/>
    <w:rsid w:val="00D061F7"/>
    <w:rsid w:val="00D063A3"/>
    <w:rsid w:val="00D105D2"/>
    <w:rsid w:val="00D11D7C"/>
    <w:rsid w:val="00D12FC5"/>
    <w:rsid w:val="00D14B14"/>
    <w:rsid w:val="00D151CF"/>
    <w:rsid w:val="00D15806"/>
    <w:rsid w:val="00D1652E"/>
    <w:rsid w:val="00D16E38"/>
    <w:rsid w:val="00D17CA1"/>
    <w:rsid w:val="00D202FD"/>
    <w:rsid w:val="00D22C6F"/>
    <w:rsid w:val="00D23329"/>
    <w:rsid w:val="00D245A0"/>
    <w:rsid w:val="00D24B58"/>
    <w:rsid w:val="00D2512C"/>
    <w:rsid w:val="00D25F67"/>
    <w:rsid w:val="00D263D5"/>
    <w:rsid w:val="00D26836"/>
    <w:rsid w:val="00D26A22"/>
    <w:rsid w:val="00D26C04"/>
    <w:rsid w:val="00D27610"/>
    <w:rsid w:val="00D32D88"/>
    <w:rsid w:val="00D35579"/>
    <w:rsid w:val="00D36B74"/>
    <w:rsid w:val="00D37A5F"/>
    <w:rsid w:val="00D400E5"/>
    <w:rsid w:val="00D403ED"/>
    <w:rsid w:val="00D4205D"/>
    <w:rsid w:val="00D42874"/>
    <w:rsid w:val="00D428EB"/>
    <w:rsid w:val="00D42CBF"/>
    <w:rsid w:val="00D437D8"/>
    <w:rsid w:val="00D43F1E"/>
    <w:rsid w:val="00D44B96"/>
    <w:rsid w:val="00D44C45"/>
    <w:rsid w:val="00D44FF5"/>
    <w:rsid w:val="00D45D93"/>
    <w:rsid w:val="00D4616A"/>
    <w:rsid w:val="00D461B5"/>
    <w:rsid w:val="00D5103F"/>
    <w:rsid w:val="00D51E3B"/>
    <w:rsid w:val="00D525A3"/>
    <w:rsid w:val="00D52C47"/>
    <w:rsid w:val="00D537C9"/>
    <w:rsid w:val="00D53C07"/>
    <w:rsid w:val="00D55190"/>
    <w:rsid w:val="00D5678D"/>
    <w:rsid w:val="00D568FC"/>
    <w:rsid w:val="00D600CD"/>
    <w:rsid w:val="00D601F0"/>
    <w:rsid w:val="00D6026C"/>
    <w:rsid w:val="00D62288"/>
    <w:rsid w:val="00D65083"/>
    <w:rsid w:val="00D654E7"/>
    <w:rsid w:val="00D66871"/>
    <w:rsid w:val="00D711EA"/>
    <w:rsid w:val="00D71C37"/>
    <w:rsid w:val="00D81115"/>
    <w:rsid w:val="00D82377"/>
    <w:rsid w:val="00D846EF"/>
    <w:rsid w:val="00D84DE3"/>
    <w:rsid w:val="00D8561F"/>
    <w:rsid w:val="00D856FA"/>
    <w:rsid w:val="00D87F5A"/>
    <w:rsid w:val="00D90761"/>
    <w:rsid w:val="00D91AB8"/>
    <w:rsid w:val="00D92EA5"/>
    <w:rsid w:val="00D93F31"/>
    <w:rsid w:val="00D94686"/>
    <w:rsid w:val="00D96197"/>
    <w:rsid w:val="00D969EE"/>
    <w:rsid w:val="00DA02B8"/>
    <w:rsid w:val="00DA1274"/>
    <w:rsid w:val="00DA13AA"/>
    <w:rsid w:val="00DA15B1"/>
    <w:rsid w:val="00DA18A4"/>
    <w:rsid w:val="00DA26AB"/>
    <w:rsid w:val="00DA2925"/>
    <w:rsid w:val="00DA5B32"/>
    <w:rsid w:val="00DB0E04"/>
    <w:rsid w:val="00DB3A45"/>
    <w:rsid w:val="00DB3F09"/>
    <w:rsid w:val="00DB403D"/>
    <w:rsid w:val="00DB5467"/>
    <w:rsid w:val="00DB57BC"/>
    <w:rsid w:val="00DB6560"/>
    <w:rsid w:val="00DB7153"/>
    <w:rsid w:val="00DC0249"/>
    <w:rsid w:val="00DC0F8E"/>
    <w:rsid w:val="00DC1F36"/>
    <w:rsid w:val="00DC4739"/>
    <w:rsid w:val="00DC5689"/>
    <w:rsid w:val="00DD1D1C"/>
    <w:rsid w:val="00DD1E5C"/>
    <w:rsid w:val="00DD211D"/>
    <w:rsid w:val="00DD2D63"/>
    <w:rsid w:val="00DD39BE"/>
    <w:rsid w:val="00DD5A06"/>
    <w:rsid w:val="00DD7250"/>
    <w:rsid w:val="00DE0363"/>
    <w:rsid w:val="00DE10DE"/>
    <w:rsid w:val="00DE2CEC"/>
    <w:rsid w:val="00DE314E"/>
    <w:rsid w:val="00DE346A"/>
    <w:rsid w:val="00DE4C55"/>
    <w:rsid w:val="00DE526A"/>
    <w:rsid w:val="00DE5C20"/>
    <w:rsid w:val="00DE687A"/>
    <w:rsid w:val="00DE6AAE"/>
    <w:rsid w:val="00DE6AC7"/>
    <w:rsid w:val="00DF1768"/>
    <w:rsid w:val="00DF186B"/>
    <w:rsid w:val="00DF1E7D"/>
    <w:rsid w:val="00DF3282"/>
    <w:rsid w:val="00DF3A17"/>
    <w:rsid w:val="00DF5612"/>
    <w:rsid w:val="00E005B9"/>
    <w:rsid w:val="00E00658"/>
    <w:rsid w:val="00E00B1A"/>
    <w:rsid w:val="00E01558"/>
    <w:rsid w:val="00E0181D"/>
    <w:rsid w:val="00E01EBA"/>
    <w:rsid w:val="00E02388"/>
    <w:rsid w:val="00E02AD1"/>
    <w:rsid w:val="00E02CAA"/>
    <w:rsid w:val="00E03D9D"/>
    <w:rsid w:val="00E04C22"/>
    <w:rsid w:val="00E052BC"/>
    <w:rsid w:val="00E0660B"/>
    <w:rsid w:val="00E06A9E"/>
    <w:rsid w:val="00E13073"/>
    <w:rsid w:val="00E14A7F"/>
    <w:rsid w:val="00E16C99"/>
    <w:rsid w:val="00E16D72"/>
    <w:rsid w:val="00E17CFB"/>
    <w:rsid w:val="00E17EB4"/>
    <w:rsid w:val="00E21228"/>
    <w:rsid w:val="00E223E2"/>
    <w:rsid w:val="00E22E24"/>
    <w:rsid w:val="00E231BF"/>
    <w:rsid w:val="00E23A6F"/>
    <w:rsid w:val="00E254AE"/>
    <w:rsid w:val="00E2577C"/>
    <w:rsid w:val="00E25860"/>
    <w:rsid w:val="00E25B09"/>
    <w:rsid w:val="00E26B34"/>
    <w:rsid w:val="00E305BC"/>
    <w:rsid w:val="00E310F8"/>
    <w:rsid w:val="00E31238"/>
    <w:rsid w:val="00E312BE"/>
    <w:rsid w:val="00E31B8D"/>
    <w:rsid w:val="00E32FFA"/>
    <w:rsid w:val="00E33918"/>
    <w:rsid w:val="00E33C86"/>
    <w:rsid w:val="00E34A10"/>
    <w:rsid w:val="00E34AB6"/>
    <w:rsid w:val="00E34C7E"/>
    <w:rsid w:val="00E35045"/>
    <w:rsid w:val="00E3564E"/>
    <w:rsid w:val="00E35798"/>
    <w:rsid w:val="00E36660"/>
    <w:rsid w:val="00E37AA7"/>
    <w:rsid w:val="00E416A7"/>
    <w:rsid w:val="00E42739"/>
    <w:rsid w:val="00E434C1"/>
    <w:rsid w:val="00E43DF7"/>
    <w:rsid w:val="00E440E3"/>
    <w:rsid w:val="00E473DC"/>
    <w:rsid w:val="00E47ED0"/>
    <w:rsid w:val="00E52DFB"/>
    <w:rsid w:val="00E54404"/>
    <w:rsid w:val="00E54F21"/>
    <w:rsid w:val="00E5736C"/>
    <w:rsid w:val="00E60C5F"/>
    <w:rsid w:val="00E61D54"/>
    <w:rsid w:val="00E62DEC"/>
    <w:rsid w:val="00E6327A"/>
    <w:rsid w:val="00E63C1A"/>
    <w:rsid w:val="00E64430"/>
    <w:rsid w:val="00E671CF"/>
    <w:rsid w:val="00E704B7"/>
    <w:rsid w:val="00E70F72"/>
    <w:rsid w:val="00E718B7"/>
    <w:rsid w:val="00E71EF8"/>
    <w:rsid w:val="00E72F04"/>
    <w:rsid w:val="00E73375"/>
    <w:rsid w:val="00E7362A"/>
    <w:rsid w:val="00E7459B"/>
    <w:rsid w:val="00E7473D"/>
    <w:rsid w:val="00E752ED"/>
    <w:rsid w:val="00E80F59"/>
    <w:rsid w:val="00E82671"/>
    <w:rsid w:val="00E827C3"/>
    <w:rsid w:val="00E82F7A"/>
    <w:rsid w:val="00E830DF"/>
    <w:rsid w:val="00E847BA"/>
    <w:rsid w:val="00E85FF1"/>
    <w:rsid w:val="00E86D66"/>
    <w:rsid w:val="00E90B22"/>
    <w:rsid w:val="00E9143F"/>
    <w:rsid w:val="00E924C0"/>
    <w:rsid w:val="00E929CC"/>
    <w:rsid w:val="00E9310B"/>
    <w:rsid w:val="00E933A5"/>
    <w:rsid w:val="00E947DE"/>
    <w:rsid w:val="00E950C0"/>
    <w:rsid w:val="00E97855"/>
    <w:rsid w:val="00EA0034"/>
    <w:rsid w:val="00EA05AF"/>
    <w:rsid w:val="00EA14C0"/>
    <w:rsid w:val="00EA1BC7"/>
    <w:rsid w:val="00EA1C2C"/>
    <w:rsid w:val="00EA3192"/>
    <w:rsid w:val="00EA31EB"/>
    <w:rsid w:val="00EA31F2"/>
    <w:rsid w:val="00EA4183"/>
    <w:rsid w:val="00EA736B"/>
    <w:rsid w:val="00EA746E"/>
    <w:rsid w:val="00EB0FCB"/>
    <w:rsid w:val="00EB1DF2"/>
    <w:rsid w:val="00EB21E8"/>
    <w:rsid w:val="00EB3D6B"/>
    <w:rsid w:val="00EB5087"/>
    <w:rsid w:val="00EB5C59"/>
    <w:rsid w:val="00EB5EC5"/>
    <w:rsid w:val="00EB6B5A"/>
    <w:rsid w:val="00EC10DA"/>
    <w:rsid w:val="00EC16BC"/>
    <w:rsid w:val="00EC34AC"/>
    <w:rsid w:val="00EC422C"/>
    <w:rsid w:val="00EC4C28"/>
    <w:rsid w:val="00EC5F45"/>
    <w:rsid w:val="00EC6F50"/>
    <w:rsid w:val="00EC702B"/>
    <w:rsid w:val="00EC7ED0"/>
    <w:rsid w:val="00ED083F"/>
    <w:rsid w:val="00ED2CEF"/>
    <w:rsid w:val="00ED37BB"/>
    <w:rsid w:val="00ED3B46"/>
    <w:rsid w:val="00ED436B"/>
    <w:rsid w:val="00ED4B6E"/>
    <w:rsid w:val="00ED5C1B"/>
    <w:rsid w:val="00EE0741"/>
    <w:rsid w:val="00EE1C4B"/>
    <w:rsid w:val="00EE22B5"/>
    <w:rsid w:val="00EE283A"/>
    <w:rsid w:val="00EE3178"/>
    <w:rsid w:val="00EE337B"/>
    <w:rsid w:val="00EE3FAE"/>
    <w:rsid w:val="00EE3FCD"/>
    <w:rsid w:val="00EE3FF6"/>
    <w:rsid w:val="00EE4111"/>
    <w:rsid w:val="00EE43E7"/>
    <w:rsid w:val="00EE57E5"/>
    <w:rsid w:val="00EF17DF"/>
    <w:rsid w:val="00EF1B19"/>
    <w:rsid w:val="00EF2077"/>
    <w:rsid w:val="00EF235B"/>
    <w:rsid w:val="00EF326C"/>
    <w:rsid w:val="00EF33D2"/>
    <w:rsid w:val="00EF4680"/>
    <w:rsid w:val="00EF52A9"/>
    <w:rsid w:val="00EF5407"/>
    <w:rsid w:val="00EF5BB3"/>
    <w:rsid w:val="00EF6E2B"/>
    <w:rsid w:val="00F000A6"/>
    <w:rsid w:val="00F00659"/>
    <w:rsid w:val="00F013BB"/>
    <w:rsid w:val="00F02288"/>
    <w:rsid w:val="00F02436"/>
    <w:rsid w:val="00F02D12"/>
    <w:rsid w:val="00F0332F"/>
    <w:rsid w:val="00F0567D"/>
    <w:rsid w:val="00F1046C"/>
    <w:rsid w:val="00F12639"/>
    <w:rsid w:val="00F13FEF"/>
    <w:rsid w:val="00F15071"/>
    <w:rsid w:val="00F1511F"/>
    <w:rsid w:val="00F16559"/>
    <w:rsid w:val="00F16970"/>
    <w:rsid w:val="00F16A69"/>
    <w:rsid w:val="00F175D6"/>
    <w:rsid w:val="00F17BC4"/>
    <w:rsid w:val="00F20EEC"/>
    <w:rsid w:val="00F21D9A"/>
    <w:rsid w:val="00F23A5A"/>
    <w:rsid w:val="00F2417C"/>
    <w:rsid w:val="00F24C41"/>
    <w:rsid w:val="00F26C6B"/>
    <w:rsid w:val="00F271D9"/>
    <w:rsid w:val="00F27334"/>
    <w:rsid w:val="00F3052D"/>
    <w:rsid w:val="00F31DB2"/>
    <w:rsid w:val="00F31DB9"/>
    <w:rsid w:val="00F3386D"/>
    <w:rsid w:val="00F33BFC"/>
    <w:rsid w:val="00F34200"/>
    <w:rsid w:val="00F34B19"/>
    <w:rsid w:val="00F363C0"/>
    <w:rsid w:val="00F3741A"/>
    <w:rsid w:val="00F37980"/>
    <w:rsid w:val="00F404FB"/>
    <w:rsid w:val="00F41669"/>
    <w:rsid w:val="00F4253A"/>
    <w:rsid w:val="00F4257C"/>
    <w:rsid w:val="00F42DB1"/>
    <w:rsid w:val="00F4310B"/>
    <w:rsid w:val="00F43C1F"/>
    <w:rsid w:val="00F43EE7"/>
    <w:rsid w:val="00F4591D"/>
    <w:rsid w:val="00F45FAE"/>
    <w:rsid w:val="00F46AC4"/>
    <w:rsid w:val="00F47FFD"/>
    <w:rsid w:val="00F5051C"/>
    <w:rsid w:val="00F50B7A"/>
    <w:rsid w:val="00F51660"/>
    <w:rsid w:val="00F5238E"/>
    <w:rsid w:val="00F52EB4"/>
    <w:rsid w:val="00F535C1"/>
    <w:rsid w:val="00F5427E"/>
    <w:rsid w:val="00F54435"/>
    <w:rsid w:val="00F564A3"/>
    <w:rsid w:val="00F565CB"/>
    <w:rsid w:val="00F56D0D"/>
    <w:rsid w:val="00F56E79"/>
    <w:rsid w:val="00F606D5"/>
    <w:rsid w:val="00F63028"/>
    <w:rsid w:val="00F64894"/>
    <w:rsid w:val="00F64EDF"/>
    <w:rsid w:val="00F65254"/>
    <w:rsid w:val="00F65606"/>
    <w:rsid w:val="00F70186"/>
    <w:rsid w:val="00F70F8C"/>
    <w:rsid w:val="00F717C9"/>
    <w:rsid w:val="00F71814"/>
    <w:rsid w:val="00F71BEE"/>
    <w:rsid w:val="00F71EF0"/>
    <w:rsid w:val="00F71FB6"/>
    <w:rsid w:val="00F72C3B"/>
    <w:rsid w:val="00F7373E"/>
    <w:rsid w:val="00F73CEC"/>
    <w:rsid w:val="00F74216"/>
    <w:rsid w:val="00F74272"/>
    <w:rsid w:val="00F75685"/>
    <w:rsid w:val="00F765D2"/>
    <w:rsid w:val="00F76631"/>
    <w:rsid w:val="00F775A8"/>
    <w:rsid w:val="00F77EB9"/>
    <w:rsid w:val="00F80EDE"/>
    <w:rsid w:val="00F81AFD"/>
    <w:rsid w:val="00F81DB9"/>
    <w:rsid w:val="00F828EA"/>
    <w:rsid w:val="00F84450"/>
    <w:rsid w:val="00F84D9C"/>
    <w:rsid w:val="00F85527"/>
    <w:rsid w:val="00F8562F"/>
    <w:rsid w:val="00F86EE9"/>
    <w:rsid w:val="00F9178C"/>
    <w:rsid w:val="00F927D4"/>
    <w:rsid w:val="00F94650"/>
    <w:rsid w:val="00F94665"/>
    <w:rsid w:val="00F94798"/>
    <w:rsid w:val="00F94842"/>
    <w:rsid w:val="00F94DDB"/>
    <w:rsid w:val="00F94F35"/>
    <w:rsid w:val="00F95DCC"/>
    <w:rsid w:val="00F968F7"/>
    <w:rsid w:val="00F97A9D"/>
    <w:rsid w:val="00FA0421"/>
    <w:rsid w:val="00FA0962"/>
    <w:rsid w:val="00FA259D"/>
    <w:rsid w:val="00FA29B7"/>
    <w:rsid w:val="00FA3919"/>
    <w:rsid w:val="00FA43AE"/>
    <w:rsid w:val="00FA65A5"/>
    <w:rsid w:val="00FB058F"/>
    <w:rsid w:val="00FB05CA"/>
    <w:rsid w:val="00FB0A90"/>
    <w:rsid w:val="00FB1604"/>
    <w:rsid w:val="00FB1998"/>
    <w:rsid w:val="00FB1FAC"/>
    <w:rsid w:val="00FB25F4"/>
    <w:rsid w:val="00FB2664"/>
    <w:rsid w:val="00FB2A9F"/>
    <w:rsid w:val="00FB31A0"/>
    <w:rsid w:val="00FB44C9"/>
    <w:rsid w:val="00FB54A7"/>
    <w:rsid w:val="00FB59CB"/>
    <w:rsid w:val="00FB638E"/>
    <w:rsid w:val="00FB644A"/>
    <w:rsid w:val="00FB6555"/>
    <w:rsid w:val="00FB68AC"/>
    <w:rsid w:val="00FB7EB6"/>
    <w:rsid w:val="00FC1F37"/>
    <w:rsid w:val="00FC25A3"/>
    <w:rsid w:val="00FC2CCF"/>
    <w:rsid w:val="00FC4BFB"/>
    <w:rsid w:val="00FC5129"/>
    <w:rsid w:val="00FC5205"/>
    <w:rsid w:val="00FC6CD4"/>
    <w:rsid w:val="00FC6F93"/>
    <w:rsid w:val="00FC76BE"/>
    <w:rsid w:val="00FC7BC2"/>
    <w:rsid w:val="00FD00B4"/>
    <w:rsid w:val="00FD0645"/>
    <w:rsid w:val="00FD0765"/>
    <w:rsid w:val="00FD1BDB"/>
    <w:rsid w:val="00FD3842"/>
    <w:rsid w:val="00FD3E68"/>
    <w:rsid w:val="00FD6331"/>
    <w:rsid w:val="00FE0CC2"/>
    <w:rsid w:val="00FE0DCF"/>
    <w:rsid w:val="00FE244C"/>
    <w:rsid w:val="00FE2C90"/>
    <w:rsid w:val="00FE462A"/>
    <w:rsid w:val="00FE562A"/>
    <w:rsid w:val="00FE6B3A"/>
    <w:rsid w:val="00FF0D24"/>
    <w:rsid w:val="00FF0F29"/>
    <w:rsid w:val="00FF37D1"/>
    <w:rsid w:val="00FF4710"/>
    <w:rsid w:val="00FF4C7A"/>
    <w:rsid w:val="00FF60F5"/>
    <w:rsid w:val="00FF6B80"/>
    <w:rsid w:val="14D1F2E3"/>
    <w:rsid w:val="26F0B9F1"/>
  </w:rsids>
  <w:docVars>
    <w:docVar w:name="ColorPos" w:val="-1"/>
    <w:docVar w:name="ColorSet" w:val="-1"/>
    <w:docVar w:name="StylePos" w:val="-1"/>
    <w:docVar w:name="StyleSet"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5AD971"/>
  <w15:docId w15:val="{118434D5-5D71-4101-9C31-EDDEC226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DB9"/>
    <w:pPr>
      <w:widowControl w:val="0"/>
      <w:overflowPunct w:val="0"/>
      <w:autoSpaceDE w:val="0"/>
      <w:autoSpaceDN w:val="0"/>
      <w:adjustRightInd w:val="0"/>
    </w:pPr>
    <w:rPr>
      <w:rFonts w:ascii="Times New Roman" w:hAnsi="Times New Roman"/>
      <w:kern w:val="28"/>
    </w:rPr>
  </w:style>
  <w:style w:type="paragraph" w:styleId="Heading2">
    <w:name w:val="heading 2"/>
    <w:basedOn w:val="Normal"/>
    <w:link w:val="Heading2Char"/>
    <w:uiPriority w:val="1"/>
    <w:qFormat/>
    <w:rsid w:val="00E25860"/>
    <w:pPr>
      <w:overflowPunct/>
      <w:autoSpaceDE/>
      <w:autoSpaceDN/>
      <w:adjustRightInd/>
      <w:ind w:left="100"/>
      <w:outlineLvl w:val="1"/>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rsid w:val="0021554A"/>
    <w:rPr>
      <w:sz w:val="16"/>
      <w:szCs w:val="16"/>
    </w:rPr>
  </w:style>
  <w:style w:type="paragraph" w:styleId="CommentText">
    <w:name w:val="annotation text"/>
    <w:basedOn w:val="Normal"/>
    <w:link w:val="CommentTextChar"/>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uiPriority w:val="99"/>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B7A"/>
    <w:pPr>
      <w:ind w:left="720"/>
      <w:contextualSpacing/>
    </w:pPr>
  </w:style>
  <w:style w:type="character" w:customStyle="1" w:styleId="CommentTextChar">
    <w:name w:val="Comment Text Char"/>
    <w:basedOn w:val="DefaultParagraphFont"/>
    <w:link w:val="CommentText"/>
    <w:rsid w:val="007E1C10"/>
    <w:rPr>
      <w:rFonts w:ascii="Times New Roman" w:hAnsi="Times New Roman"/>
      <w:kern w:val="28"/>
    </w:rPr>
  </w:style>
  <w:style w:type="character" w:customStyle="1" w:styleId="Heading2Char">
    <w:name w:val="Heading 2 Char"/>
    <w:basedOn w:val="DefaultParagraphFont"/>
    <w:link w:val="Heading2"/>
    <w:uiPriority w:val="1"/>
    <w:rsid w:val="00E25860"/>
    <w:rPr>
      <w:rFonts w:ascii="Times New Roman" w:hAnsi="Times New Roman"/>
      <w:sz w:val="24"/>
      <w:szCs w:val="24"/>
    </w:rPr>
  </w:style>
  <w:style w:type="character" w:styleId="UnresolvedMention">
    <w:name w:val="Unresolved Mention"/>
    <w:basedOn w:val="DefaultParagraphFont"/>
    <w:uiPriority w:val="99"/>
    <w:semiHidden/>
    <w:unhideWhenUsed/>
    <w:rsid w:val="00D45D93"/>
    <w:rPr>
      <w:color w:val="605E5C"/>
      <w:shd w:val="clear" w:color="auto" w:fill="E1DFDD"/>
    </w:rPr>
  </w:style>
  <w:style w:type="character" w:customStyle="1" w:styleId="normaltextrun">
    <w:name w:val="normaltextrun"/>
    <w:basedOn w:val="DefaultParagraphFont"/>
    <w:rsid w:val="0004175D"/>
  </w:style>
  <w:style w:type="character" w:customStyle="1" w:styleId="eop">
    <w:name w:val="eop"/>
    <w:basedOn w:val="DefaultParagraphFont"/>
    <w:rsid w:val="0004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jlt/data.htm" TargetMode="External" /><Relationship Id="rId2" Type="http://schemas.openxmlformats.org/officeDocument/2006/relationships/hyperlink" Target="http://www.bls.gov/oes/tables.htm" TargetMode="External" /><Relationship Id="rId3" Type="http://schemas.openxmlformats.org/officeDocument/2006/relationships/hyperlink" Target="https://www.bls.gov/news.release/pdf/ecec.pdf" TargetMode="External" /><Relationship Id="rId4" Type="http://schemas.openxmlformats.org/officeDocument/2006/relationships/hyperlink" Target="http://www.galsonlabs.com/samplinganalysis/sampling-analysis-guide/" TargetMode="External" /><Relationship Id="rId5" Type="http://schemas.openxmlformats.org/officeDocument/2006/relationships/hyperlink" Target="http://fairhealthconsumer.org/medical_cost.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54BF-D535-4985-9734-E1029BBE38F0}">
  <ds:schemaRefs>
    <ds:schemaRef ds:uri="http://schemas.microsoft.com/sharepoint/v3/contenttype/forms"/>
  </ds:schemaRefs>
</ds:datastoreItem>
</file>

<file path=customXml/itemProps2.xml><?xml version="1.0" encoding="utf-8"?>
<ds:datastoreItem xmlns:ds="http://schemas.openxmlformats.org/officeDocument/2006/customXml" ds:itemID="{B1CC6AF6-C7E1-4CA1-AFB3-DBBBB4F701E3}">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B26D1584-A804-4D1E-AB6F-BDB6EDDA4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C185A-3E58-4CF4-B0D4-C70994B8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18350</Words>
  <Characters>104595</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122700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dc:creator>
  <cp:lastModifiedBy>Cannon, Belinda - OSHA</cp:lastModifiedBy>
  <cp:revision>3</cp:revision>
  <cp:lastPrinted>2025-01-31T05:14:00Z</cp:lastPrinted>
  <dcterms:created xsi:type="dcterms:W3CDTF">2025-05-06T16:15:00Z</dcterms:created>
  <dcterms:modified xsi:type="dcterms:W3CDTF">2025-05-06T16:15:00Z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