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95EC6" w:rsidRPr="00582286" w:rsidP="00582286" w14:paraId="7C7FB67C" w14:textId="5BABC149">
      <w:pPr>
        <w:pStyle w:val="PlainText"/>
        <w:spacing w:after="240"/>
        <w:jc w:val="center"/>
        <w:rPr>
          <w:rFonts w:ascii="Times New Roman" w:eastAsia="MS Mincho" w:hAnsi="Times New Roman" w:cs="Times New Roman"/>
          <w:sz w:val="24"/>
          <w:u w:val="single"/>
        </w:rPr>
      </w:pPr>
      <w:r w:rsidRPr="00095EC6">
        <w:rPr>
          <w:rFonts w:ascii="Times New Roman" w:eastAsia="MS Mincho" w:hAnsi="Times New Roman" w:cs="Times New Roman"/>
          <w:sz w:val="24"/>
          <w:u w:val="single"/>
        </w:rPr>
        <w:t>Supporting Statement</w:t>
      </w:r>
      <w:r w:rsidR="00582286">
        <w:rPr>
          <w:rFonts w:ascii="Times New Roman" w:eastAsia="MS Mincho" w:hAnsi="Times New Roman" w:cs="Times New Roman"/>
          <w:sz w:val="24"/>
          <w:u w:val="single"/>
        </w:rPr>
        <w:br/>
      </w:r>
      <w:r w:rsidRPr="00095EC6">
        <w:rPr>
          <w:rFonts w:ascii="Times New Roman" w:eastAsia="MS Mincho" w:hAnsi="Times New Roman" w:cs="Times New Roman"/>
          <w:sz w:val="24"/>
          <w:u w:val="single"/>
        </w:rPr>
        <w:t>OMB Control Number 1506-</w:t>
      </w:r>
      <w:r w:rsidR="00B23B45">
        <w:rPr>
          <w:rFonts w:ascii="Times New Roman" w:eastAsia="MS Mincho" w:hAnsi="Times New Roman" w:cs="Times New Roman"/>
          <w:sz w:val="24"/>
          <w:u w:val="single"/>
        </w:rPr>
        <w:t>0076</w:t>
      </w:r>
    </w:p>
    <w:p w:rsidR="00600940" w:rsidRPr="00582286" w:rsidP="00582286" w14:paraId="7B42B98C" w14:textId="2473C82B">
      <w:pPr>
        <w:autoSpaceDE w:val="0"/>
        <w:autoSpaceDN w:val="0"/>
        <w:adjustRightInd w:val="0"/>
        <w:spacing w:after="240"/>
        <w:jc w:val="center"/>
        <w:rPr>
          <w:color w:val="000000"/>
          <w:u w:val="single"/>
        </w:rPr>
      </w:pPr>
      <w:r w:rsidRPr="00095EC6">
        <w:rPr>
          <w:color w:val="000000"/>
          <w:u w:val="single"/>
        </w:rPr>
        <w:t xml:space="preserve">Beneficial Ownership </w:t>
      </w:r>
      <w:r w:rsidR="00AC76BF">
        <w:rPr>
          <w:color w:val="000000"/>
          <w:u w:val="single"/>
        </w:rPr>
        <w:t xml:space="preserve">Information Reporting Requirements </w:t>
      </w:r>
    </w:p>
    <w:p w:rsidR="00480167" w:rsidP="00582286" w14:paraId="16B7CD7C" w14:textId="498F7C79">
      <w:pPr>
        <w:pStyle w:val="PlainText"/>
        <w:spacing w:after="240"/>
      </w:pPr>
      <w:r>
        <w:rPr>
          <w:rFonts w:ascii="Times New Roman" w:eastAsia="MS Mincho" w:hAnsi="Times New Roman" w:cs="Times New Roman"/>
          <w:sz w:val="24"/>
        </w:rPr>
        <w:t xml:space="preserve">1. </w:t>
      </w:r>
      <w:r>
        <w:rPr>
          <w:rFonts w:ascii="Times New Roman" w:hAnsi="Times New Roman" w:cs="Times New Roman"/>
          <w:sz w:val="24"/>
          <w:szCs w:val="22"/>
          <w:u w:val="single"/>
        </w:rPr>
        <w:t>Circumstanc</w:t>
      </w:r>
      <w:r w:rsidR="007E495B">
        <w:rPr>
          <w:rFonts w:ascii="Times New Roman" w:hAnsi="Times New Roman" w:cs="Times New Roman"/>
          <w:sz w:val="24"/>
          <w:szCs w:val="22"/>
          <w:u w:val="single"/>
        </w:rPr>
        <w:t>es necessitating collection of i</w:t>
      </w:r>
      <w:r>
        <w:rPr>
          <w:rFonts w:ascii="Times New Roman" w:hAnsi="Times New Roman" w:cs="Times New Roman"/>
          <w:sz w:val="24"/>
          <w:szCs w:val="22"/>
          <w:u w:val="single"/>
        </w:rPr>
        <w:t>nformation.</w:t>
      </w:r>
    </w:p>
    <w:p w:rsidR="008B3CEC" w:rsidP="00582286" w14:paraId="5D7EB0BE" w14:textId="3ABAED78">
      <w:pPr>
        <w:spacing w:after="240"/>
        <w:ind w:firstLine="720"/>
      </w:pPr>
      <w:r w:rsidRPr="003264BB">
        <w:t>The Financial Crimes Enforcement Netwo</w:t>
      </w:r>
      <w:r w:rsidRPr="00BD14B4">
        <w:t>rk (FinCEN) exercises regulatory functions primarily under the Currency and F</w:t>
      </w:r>
      <w:r>
        <w:t>oreign</w:t>
      </w:r>
      <w:r w:rsidRPr="00BD14B4">
        <w:t xml:space="preserve"> Transactions Reporting Act of 1970, as amended</w:t>
      </w:r>
      <w:r w:rsidRPr="00C455D9">
        <w:t xml:space="preserve"> </w:t>
      </w:r>
      <w:r w:rsidRPr="000C0227">
        <w:t>by the Uniting and Strengthening America by Providing Appropriate Tools Required to Intercept and Obstruct Terrorism Act of 2001 (USA PATRIOT Act), Public Law 107–56 (October 26, 2001), and other legislation</w:t>
      </w:r>
      <w:r w:rsidRPr="00BD14B4">
        <w:t>, including the Corporate Transparency Act (CTA).</w:t>
      </w:r>
      <w:r>
        <w:rPr>
          <w:vertAlign w:val="superscript"/>
        </w:rPr>
        <w:footnoteReference w:id="3"/>
      </w:r>
      <w:r w:rsidRPr="00BD14B4">
        <w:t>  Th</w:t>
      </w:r>
      <w:r>
        <w:t xml:space="preserve">e overall </w:t>
      </w:r>
      <w:r w:rsidRPr="00BD14B4">
        <w:t xml:space="preserve">legislative framework is commonly referred to as the Bank Secrecy Act (BSA).  The CTA added a new </w:t>
      </w:r>
      <w:r>
        <w:t>s</w:t>
      </w:r>
      <w:r w:rsidRPr="00BD14B4">
        <w:t xml:space="preserve">ection </w:t>
      </w:r>
      <w:r>
        <w:t xml:space="preserve">to the BSA, </w:t>
      </w:r>
      <w:r w:rsidRPr="00BD14B4">
        <w:t>31 U.S.C. 5336</w:t>
      </w:r>
      <w:r>
        <w:t>,</w:t>
      </w:r>
      <w:r w:rsidRPr="00BD14B4">
        <w:t xml:space="preserve"> to </w:t>
      </w:r>
      <w:r w:rsidRPr="00C8322F">
        <w:t xml:space="preserve">provide for </w:t>
      </w:r>
      <w:r w:rsidR="00237F39">
        <w:t xml:space="preserve">the </w:t>
      </w:r>
      <w:r w:rsidRPr="00C8322F">
        <w:t xml:space="preserve">collection of </w:t>
      </w:r>
      <w:r w:rsidRPr="0002275A">
        <w:t>information about certain legal entities’ beneficial ownership</w:t>
      </w:r>
      <w:r w:rsidR="00144137">
        <w:t>, which FinCEN implement</w:t>
      </w:r>
      <w:r w:rsidR="00561AF9">
        <w:t>s</w:t>
      </w:r>
      <w:r w:rsidR="00144137">
        <w:t xml:space="preserve"> through </w:t>
      </w:r>
      <w:r w:rsidR="004D6F5E">
        <w:t>regulations at 31 CFR 1010.380</w:t>
      </w:r>
      <w:r w:rsidRPr="0002275A">
        <w:t>.</w:t>
      </w:r>
      <w:r w:rsidR="009E7DAA">
        <w:t xml:space="preserve">  </w:t>
      </w:r>
      <w:r w:rsidRPr="0002275A">
        <w:t xml:space="preserve"> </w:t>
      </w:r>
    </w:p>
    <w:p w:rsidR="00347101" w:rsidP="00582286" w14:paraId="144E2F32" w14:textId="3C9AD8CF">
      <w:pPr>
        <w:spacing w:after="240"/>
        <w:ind w:firstLine="720"/>
      </w:pPr>
      <w:r>
        <w:t xml:space="preserve">On March </w:t>
      </w:r>
      <w:r w:rsidR="24FD287B">
        <w:t xml:space="preserve">26, </w:t>
      </w:r>
      <w:r>
        <w:t>20</w:t>
      </w:r>
      <w:r w:rsidR="77D562F6">
        <w:t xml:space="preserve">25, FinCEN issued an interim final rule entitled </w:t>
      </w:r>
      <w:r w:rsidR="2C2CF675">
        <w:t xml:space="preserve">“Beneficial Ownership </w:t>
      </w:r>
      <w:r w:rsidR="00C802B8">
        <w:t>I</w:t>
      </w:r>
      <w:r w:rsidR="2C2CF675">
        <w:t>nformation Reporting Requirement Revision and Deadline Extension</w:t>
      </w:r>
      <w:r w:rsidR="3DA9B78B">
        <w:t>”</w:t>
      </w:r>
      <w:r w:rsidR="794CFBE9">
        <w:t xml:space="preserve"> (IFR).</w:t>
      </w:r>
      <w:r>
        <w:rPr>
          <w:rStyle w:val="FootnoteReference"/>
        </w:rPr>
        <w:footnoteReference w:id="4"/>
      </w:r>
      <w:r w:rsidR="2C2CF675">
        <w:t xml:space="preserve">  </w:t>
      </w:r>
      <w:r w:rsidR="007C753E">
        <w:t>T</w:t>
      </w:r>
      <w:r w:rsidR="003A3E53">
        <w:t>he IFR revises</w:t>
      </w:r>
      <w:r w:rsidR="003A3E53">
        <w:t xml:space="preserve"> </w:t>
      </w:r>
      <w:r w:rsidR="003A3E53">
        <w:t>the information collection requirements in 31 CFR 1010.380</w:t>
      </w:r>
      <w:r w:rsidR="00DB3116">
        <w:t xml:space="preserve">, </w:t>
      </w:r>
      <w:r w:rsidR="00E46D6C">
        <w:t>and</w:t>
      </w:r>
      <w:r w:rsidR="2C2CF675">
        <w:t xml:space="preserve"> </w:t>
      </w:r>
      <w:r w:rsidR="7EA7134D">
        <w:t xml:space="preserve">FinCEN is issuing this statement to support </w:t>
      </w:r>
      <w:r w:rsidR="006B3C90">
        <w:t xml:space="preserve">revisions to </w:t>
      </w:r>
      <w:r w:rsidR="001107F0">
        <w:t>this</w:t>
      </w:r>
      <w:r w:rsidR="004F6A7F">
        <w:t xml:space="preserve"> </w:t>
      </w:r>
      <w:r w:rsidR="001107F0">
        <w:t>information collection</w:t>
      </w:r>
      <w:r w:rsidR="456CDEC5">
        <w:t>.</w:t>
      </w:r>
      <w:r w:rsidR="7EA7134D">
        <w:t xml:space="preserve"> </w:t>
      </w:r>
      <w:r w:rsidR="681614F1">
        <w:t xml:space="preserve"> </w:t>
      </w:r>
      <w:r w:rsidR="7EA7134D">
        <w:t xml:space="preserve">This statement </w:t>
      </w:r>
      <w:r w:rsidR="25D72F52">
        <w:t xml:space="preserve">identifies </w:t>
      </w:r>
      <w:r w:rsidR="7EA7134D">
        <w:t>the estimated burden hours for th</w:t>
      </w:r>
      <w:r w:rsidR="25D72F52">
        <w:t>e</w:t>
      </w:r>
      <w:r w:rsidR="7EA7134D">
        <w:t xml:space="preserve"> OMB control number</w:t>
      </w:r>
      <w:r w:rsidR="25D72F52">
        <w:t xml:space="preserve"> associated with th</w:t>
      </w:r>
      <w:r w:rsidR="4C395ABA">
        <w:t>e</w:t>
      </w:r>
      <w:r w:rsidR="25D72F52">
        <w:t xml:space="preserve">se </w:t>
      </w:r>
      <w:r w:rsidR="4C395ABA">
        <w:t xml:space="preserve">revised </w:t>
      </w:r>
      <w:r w:rsidR="25D72F52">
        <w:t>requirements</w:t>
      </w:r>
      <w:r w:rsidR="7EA7134D">
        <w:t>.</w:t>
      </w:r>
    </w:p>
    <w:p w:rsidR="00C9379B" w:rsidP="00582286" w14:paraId="4BD858ED" w14:textId="5ED1900D">
      <w:pPr>
        <w:spacing w:after="240"/>
        <w:ind w:firstLine="720"/>
      </w:pPr>
      <w:r>
        <w:t>For background</w:t>
      </w:r>
      <w:r w:rsidR="007D557A">
        <w:t>,</w:t>
      </w:r>
      <w:r w:rsidRPr="00C43B4E" w:rsidR="3FCE68FD">
        <w:t xml:space="preserve"> </w:t>
      </w:r>
      <w:r w:rsidR="007D557A">
        <w:t>o</w:t>
      </w:r>
      <w:r w:rsidRPr="00C43B4E" w:rsidR="007D557A">
        <w:t>n</w:t>
      </w:r>
      <w:r w:rsidRPr="00C43B4E" w:rsidR="3FCE68FD">
        <w:t xml:space="preserve"> September 30, 2022, </w:t>
      </w:r>
      <w:r w:rsidRPr="001C3914" w:rsidR="3FCE68FD">
        <w:t xml:space="preserve">FinCEN published </w:t>
      </w:r>
      <w:r w:rsidR="3FCE68FD">
        <w:t xml:space="preserve">the </w:t>
      </w:r>
      <w:r w:rsidRPr="009D2D15" w:rsidR="3FCE68FD">
        <w:t>Beneficial Ownership Information Reporting Requirements</w:t>
      </w:r>
      <w:r w:rsidRPr="001C3914" w:rsidR="3FCE68FD">
        <w:t xml:space="preserve"> final rule</w:t>
      </w:r>
      <w:r w:rsidR="3FCE68FD">
        <w:t xml:space="preserve"> (Reporting Rule),</w:t>
      </w:r>
      <w:r w:rsidRPr="001C3914" w:rsidR="3FCE68FD">
        <w:t xml:space="preserve"> implementing the CTA’s reporting requirements (31 U.S.C. 5336(b))</w:t>
      </w:r>
      <w:r w:rsidR="3FCE68FD">
        <w:t>.  The Reporting Rule</w:t>
      </w:r>
      <w:r w:rsidRPr="001C3914" w:rsidR="3FCE68FD">
        <w:t xml:space="preserve"> became effective</w:t>
      </w:r>
      <w:r w:rsidR="3FCE68FD">
        <w:t xml:space="preserve"> on</w:t>
      </w:r>
      <w:r w:rsidRPr="001C3914" w:rsidR="3FCE68FD">
        <w:t xml:space="preserve"> January 1, 2024</w:t>
      </w:r>
      <w:r w:rsidR="3FCE68FD">
        <w:t xml:space="preserve">, and </w:t>
      </w:r>
      <w:r w:rsidR="00097770">
        <w:t xml:space="preserve">was </w:t>
      </w:r>
      <w:r w:rsidR="3FCE68FD">
        <w:t>codified in FinCEN’s regulations at 31 CFR 1010.380</w:t>
      </w:r>
      <w:r w:rsidRPr="001C3914" w:rsidR="3FCE68FD">
        <w:t>.</w:t>
      </w:r>
      <w:r>
        <w:rPr>
          <w:vertAlign w:val="superscript"/>
        </w:rPr>
        <w:footnoteReference w:id="5"/>
      </w:r>
      <w:r w:rsidRPr="001C3914" w:rsidR="3FCE68FD">
        <w:t xml:space="preserve">  </w:t>
      </w:r>
      <w:r w:rsidRPr="00C8322F" w:rsidR="006E6FD7">
        <w:t xml:space="preserve">The </w:t>
      </w:r>
      <w:r w:rsidR="00E45BB8">
        <w:t xml:space="preserve">Reporting Rule </w:t>
      </w:r>
      <w:r w:rsidRPr="00C8322F" w:rsidR="006E6FD7">
        <w:t>applie</w:t>
      </w:r>
      <w:r w:rsidR="00B15DAD">
        <w:t>s</w:t>
      </w:r>
      <w:r w:rsidRPr="00C8322F" w:rsidR="006E6FD7">
        <w:t xml:space="preserve"> to certain</w:t>
      </w:r>
      <w:r w:rsidRPr="00A33053" w:rsidR="006E6FD7">
        <w:t xml:space="preserve"> </w:t>
      </w:r>
      <w:r w:rsidRPr="00F967C8" w:rsidR="006E6FD7">
        <w:t xml:space="preserve">entities that the </w:t>
      </w:r>
      <w:r w:rsidR="006E6FD7">
        <w:t>final rule</w:t>
      </w:r>
      <w:r w:rsidRPr="00F967C8" w:rsidR="006E6FD7">
        <w:t>, like the CTA, calls “reporting companies.”</w:t>
      </w:r>
      <w:r>
        <w:rPr>
          <w:vertAlign w:val="superscript"/>
        </w:rPr>
        <w:footnoteReference w:id="6"/>
      </w:r>
      <w:r w:rsidRPr="00F967C8" w:rsidR="006E6FD7">
        <w:t xml:space="preserve">  </w:t>
      </w:r>
      <w:r w:rsidR="00261104">
        <w:t>As set forth in the Reporting Rule</w:t>
      </w:r>
      <w:r w:rsidR="001F2C12">
        <w:t>,</w:t>
      </w:r>
      <w:r w:rsidRPr="00085C7B" w:rsidR="3FCE68FD">
        <w:t xml:space="preserve"> </w:t>
      </w:r>
      <w:r w:rsidR="000A2823">
        <w:t>31 CFR</w:t>
      </w:r>
      <w:r w:rsidR="00344F66">
        <w:t xml:space="preserve"> </w:t>
      </w:r>
      <w:r w:rsidRPr="00085C7B" w:rsidR="3FCE68FD">
        <w:t>1010.380</w:t>
      </w:r>
      <w:r w:rsidRPr="00C43B4E" w:rsidR="3FCE68FD">
        <w:t xml:space="preserve"> require</w:t>
      </w:r>
      <w:r w:rsidR="00832E92">
        <w:t>s</w:t>
      </w:r>
      <w:r w:rsidRPr="00C43B4E" w:rsidR="3FCE68FD">
        <w:t xml:space="preserve"> reporting companies to report certain identifying information about the </w:t>
      </w:r>
      <w:r w:rsidR="3FCE68FD">
        <w:t xml:space="preserve">reporting companies themselves, </w:t>
      </w:r>
      <w:r w:rsidRPr="00C43B4E" w:rsidR="3FCE68FD">
        <w:t xml:space="preserve">the beneficial owners who own or control </w:t>
      </w:r>
      <w:r w:rsidR="3FCE68FD">
        <w:t xml:space="preserve">them, </w:t>
      </w:r>
      <w:r w:rsidRPr="00C43B4E" w:rsidR="3FCE68FD">
        <w:t>and</w:t>
      </w:r>
      <w:r w:rsidR="0CEEE464">
        <w:t xml:space="preserve">, </w:t>
      </w:r>
      <w:r w:rsidR="3FCE68FD">
        <w:t>for companies created on or after January 1, 2024</w:t>
      </w:r>
      <w:r w:rsidR="710D85E0">
        <w:t>,</w:t>
      </w:r>
      <w:r w:rsidR="3FCE68FD">
        <w:t xml:space="preserve"> </w:t>
      </w:r>
      <w:r w:rsidRPr="00C43B4E" w:rsidR="3FCE68FD">
        <w:t>the company applicants who form or register them.</w:t>
      </w:r>
      <w:r>
        <w:rPr>
          <w:vertAlign w:val="superscript"/>
        </w:rPr>
        <w:footnoteReference w:id="7"/>
      </w:r>
      <w:r w:rsidRPr="00C43B4E" w:rsidR="3FCE68FD">
        <w:t xml:space="preserve">  </w:t>
      </w:r>
    </w:p>
    <w:p w:rsidR="00113EA4" w:rsidP="00582286" w14:paraId="61E479CE" w14:textId="4DF6E395">
      <w:pPr>
        <w:spacing w:after="240"/>
        <w:ind w:firstLine="720"/>
      </w:pPr>
      <w:r>
        <w:t xml:space="preserve">Prior to the IFR, </w:t>
      </w:r>
      <w:r w:rsidR="00840D3E">
        <w:t>s</w:t>
      </w:r>
      <w:r w:rsidR="009C7DB4">
        <w:t>ection 1010.380</w:t>
      </w:r>
      <w:r w:rsidRPr="00C43B4E" w:rsidR="009C7DB4">
        <w:t xml:space="preserve"> require</w:t>
      </w:r>
      <w:r w:rsidR="009C7DB4">
        <w:t>d</w:t>
      </w:r>
      <w:r w:rsidRPr="00C43B4E" w:rsidR="009C7DB4">
        <w:t xml:space="preserve"> domestic </w:t>
      </w:r>
      <w:r w:rsidR="009C7DB4">
        <w:t>reporting companies and</w:t>
      </w:r>
      <w:r w:rsidRPr="00C43B4E" w:rsidR="009C7DB4">
        <w:t xml:space="preserve"> foreign reporting companies</w:t>
      </w:r>
      <w:r>
        <w:rPr>
          <w:rStyle w:val="FootnoteReference"/>
        </w:rPr>
        <w:footnoteReference w:id="8"/>
      </w:r>
      <w:r w:rsidRPr="00C43B4E" w:rsidR="009C7DB4">
        <w:t xml:space="preserve"> created or registered to do business in the United States before the rule’s effective date of January 1, 2024, </w:t>
      </w:r>
      <w:r w:rsidR="009C7DB4">
        <w:t>to</w:t>
      </w:r>
      <w:r w:rsidRPr="00C43B4E" w:rsidR="009C7DB4">
        <w:t xml:space="preserve"> file initial </w:t>
      </w:r>
      <w:r>
        <w:t>beneficial ownership information (</w:t>
      </w:r>
      <w:r w:rsidRPr="00C43B4E" w:rsidR="009C7DB4">
        <w:t>BOI</w:t>
      </w:r>
      <w:r>
        <w:t>)</w:t>
      </w:r>
      <w:r w:rsidRPr="00C43B4E" w:rsidR="009C7DB4">
        <w:t xml:space="preserve"> reports with FinCEN by January 1, 2025</w:t>
      </w:r>
      <w:r w:rsidR="009C7DB4">
        <w:t>, one year after the effective date of the regulations</w:t>
      </w:r>
      <w:r w:rsidRPr="00C43B4E" w:rsidR="009C7DB4">
        <w:t>.</w:t>
      </w:r>
      <w:r>
        <w:rPr>
          <w:vertAlign w:val="superscript"/>
        </w:rPr>
        <w:footnoteReference w:id="9"/>
      </w:r>
      <w:r w:rsidRPr="00C43B4E" w:rsidR="009C7DB4">
        <w:t xml:space="preserve">  </w:t>
      </w:r>
      <w:r w:rsidR="009C7DB4">
        <w:t xml:space="preserve">Domestic reporting companies created </w:t>
      </w:r>
      <w:r w:rsidR="00275A4F">
        <w:t xml:space="preserve">on or </w:t>
      </w:r>
      <w:r w:rsidR="0021200B">
        <w:t xml:space="preserve">after January 1, </w:t>
      </w:r>
      <w:r w:rsidR="009C7DB4">
        <w:t>2024</w:t>
      </w:r>
      <w:r w:rsidR="004B4646">
        <w:t>,</w:t>
      </w:r>
      <w:r w:rsidR="009C7DB4">
        <w:t xml:space="preserve"> and those foreign reporting companies registered to do business in the United States </w:t>
      </w:r>
      <w:r w:rsidR="00BB1CAB">
        <w:t>in</w:t>
      </w:r>
      <w:r w:rsidR="00A67CEC">
        <w:t xml:space="preserve"> </w:t>
      </w:r>
      <w:r w:rsidR="009C7DB4">
        <w:t>2024</w:t>
      </w:r>
      <w:r w:rsidR="00413CFA">
        <w:t xml:space="preserve"> and before January </w:t>
      </w:r>
      <w:r w:rsidR="00F425BF">
        <w:t>1, 2025,</w:t>
      </w:r>
      <w:r w:rsidR="009C7DB4">
        <w:t xml:space="preserve"> had 90 days to file their initial BOI reports with FinCEN.</w:t>
      </w:r>
      <w:r>
        <w:rPr>
          <w:rStyle w:val="FootnoteReference"/>
        </w:rPr>
        <w:footnoteReference w:id="10"/>
      </w:r>
      <w:r w:rsidR="009C7DB4">
        <w:t xml:space="preserve">  </w:t>
      </w:r>
      <w:r w:rsidR="00687606">
        <w:t xml:space="preserve">Domestic and foreign reporting companies created </w:t>
      </w:r>
      <w:r w:rsidR="000D763A">
        <w:t xml:space="preserve">on or </w:t>
      </w:r>
      <w:r w:rsidR="00687606">
        <w:t>after January 1, 2025</w:t>
      </w:r>
      <w:r w:rsidR="00C5055A">
        <w:t>, had 30 days to file their initial BOI reports with FinCEN.</w:t>
      </w:r>
      <w:r>
        <w:rPr>
          <w:rStyle w:val="FootnoteReference"/>
        </w:rPr>
        <w:footnoteReference w:id="11"/>
      </w:r>
    </w:p>
    <w:p w:rsidR="002701D1" w:rsidP="00582286" w14:paraId="4ED134E6" w14:textId="1E433F14">
      <w:pPr>
        <w:spacing w:after="240"/>
        <w:ind w:firstLine="720"/>
      </w:pPr>
      <w:r>
        <w:t>The IFR</w:t>
      </w:r>
      <w:r w:rsidRPr="008D07E6">
        <w:t xml:space="preserve"> narrow</w:t>
      </w:r>
      <w:r>
        <w:t>ed</w:t>
      </w:r>
      <w:r w:rsidRPr="008D07E6">
        <w:t xml:space="preserve"> the </w:t>
      </w:r>
      <w:r>
        <w:t>Reporting Rule</w:t>
      </w:r>
      <w:r w:rsidR="00CA054A">
        <w:t>’</w:t>
      </w:r>
      <w:r>
        <w:t>s BOI</w:t>
      </w:r>
      <w:r w:rsidRPr="008D07E6">
        <w:t xml:space="preserve"> reporting requirements</w:t>
      </w:r>
      <w:r w:rsidR="00CA054A">
        <w:t>.</w:t>
      </w:r>
      <w:r w:rsidRPr="008D07E6">
        <w:t xml:space="preserve"> </w:t>
      </w:r>
      <w:r w:rsidR="0086092B">
        <w:t xml:space="preserve"> </w:t>
      </w:r>
      <w:r w:rsidR="00D06128">
        <w:t>First</w:t>
      </w:r>
      <w:r w:rsidR="00055200">
        <w:t>,</w:t>
      </w:r>
      <w:r w:rsidR="00D06128">
        <w:t xml:space="preserve"> FinCEN </w:t>
      </w:r>
      <w:r w:rsidR="1BCE3092">
        <w:t>exercis</w:t>
      </w:r>
      <w:r w:rsidR="03B4577C">
        <w:t>ed</w:t>
      </w:r>
      <w:r w:rsidR="1BCE3092">
        <w:t xml:space="preserve"> </w:t>
      </w:r>
      <w:r w:rsidR="003367D6">
        <w:t>its</w:t>
      </w:r>
      <w:r w:rsidR="1BCE3092">
        <w:t xml:space="preserve"> </w:t>
      </w:r>
      <w:r w:rsidR="1BCE3092">
        <w:t xml:space="preserve">authority under </w:t>
      </w:r>
      <w:r w:rsidR="00D06128">
        <w:t xml:space="preserve">the CTA, specifically </w:t>
      </w:r>
      <w:r w:rsidR="1BCE3092">
        <w:t>31 U.S.C. 5336(a)(11)(B)(xxiv)</w:t>
      </w:r>
      <w:r w:rsidR="00D06128">
        <w:t>,</w:t>
      </w:r>
      <w:r w:rsidR="1BCE3092">
        <w:t xml:space="preserve"> to exempt domestic </w:t>
      </w:r>
      <w:r w:rsidR="00D06128">
        <w:t xml:space="preserve">entities from the </w:t>
      </w:r>
      <w:r w:rsidR="00765722">
        <w:t>Reporting Rule</w:t>
      </w:r>
      <w:r w:rsidR="00D06128">
        <w:t xml:space="preserve">.  </w:t>
      </w:r>
      <w:r w:rsidR="005C22DE">
        <w:t xml:space="preserve">The rule text provides for this change by redefining the term “reporting company” at 31 CFR 1010.380(c) to </w:t>
      </w:r>
      <w:r w:rsidR="00765722">
        <w:t>remove the</w:t>
      </w:r>
      <w:r w:rsidR="00097770">
        <w:t xml:space="preserve"> previously defined </w:t>
      </w:r>
      <w:r w:rsidR="00765722">
        <w:t>term</w:t>
      </w:r>
      <w:r w:rsidR="00097770">
        <w:t xml:space="preserve"> </w:t>
      </w:r>
      <w:r w:rsidR="005C22DE">
        <w:t>“domestic reporting compan</w:t>
      </w:r>
      <w:r w:rsidR="00097770">
        <w:t>ies</w:t>
      </w:r>
      <w:r w:rsidR="005C22DE">
        <w:t>” at 31 CFR 1010.380(c)(1)(</w:t>
      </w:r>
      <w:r w:rsidR="005C22DE">
        <w:t>i</w:t>
      </w:r>
      <w:r w:rsidR="005C22DE">
        <w:t xml:space="preserve">).  </w:t>
      </w:r>
      <w:r w:rsidRPr="00C06BBC" w:rsidR="00C06BBC">
        <w:t xml:space="preserve">Moreover, </w:t>
      </w:r>
      <w:r w:rsidR="00EF4EDC">
        <w:t>the IFR added</w:t>
      </w:r>
      <w:r w:rsidRPr="00C06BBC" w:rsidR="00C06BBC">
        <w:t xml:space="preserve"> an exemption to the list of exempted entities at 31 CFR 1010.380(c)(2). </w:t>
      </w:r>
      <w:r w:rsidR="00931243">
        <w:t xml:space="preserve"> </w:t>
      </w:r>
      <w:r w:rsidRPr="00C06BBC" w:rsidR="00C06BBC">
        <w:t>This exemption applies to “any entity that is: (A) a corporation, limited liability company, or other entity; and (B) created by the filing of a document with a secretary of state or any similar office under the law of a State or Indian tribe.</w:t>
      </w:r>
      <w:r w:rsidR="00C342C4">
        <w:t>”</w:t>
      </w:r>
      <w:r w:rsidRPr="00C06BBC" w:rsidR="00C06BBC">
        <w:t xml:space="preserve"> </w:t>
      </w:r>
      <w:r w:rsidR="00C06BBC">
        <w:t xml:space="preserve"> </w:t>
      </w:r>
      <w:r w:rsidR="00765722">
        <w:t xml:space="preserve">These revisions </w:t>
      </w:r>
      <w:r w:rsidR="00D06128">
        <w:t>relieve</w:t>
      </w:r>
      <w:r w:rsidR="005C22DE">
        <w:t xml:space="preserve"> </w:t>
      </w:r>
      <w:r w:rsidR="005C22DE">
        <w:t xml:space="preserve">all </w:t>
      </w:r>
      <w:r w:rsidR="00F448DF">
        <w:t xml:space="preserve">entities </w:t>
      </w:r>
      <w:r w:rsidR="00D411DD">
        <w:t xml:space="preserve">previously </w:t>
      </w:r>
      <w:r w:rsidR="00F448DF">
        <w:t>known as</w:t>
      </w:r>
      <w:r w:rsidR="00097770">
        <w:t xml:space="preserve"> </w:t>
      </w:r>
      <w:r w:rsidR="00F448DF">
        <w:t>“</w:t>
      </w:r>
      <w:r w:rsidR="005C22DE">
        <w:t>domestic reporting companies</w:t>
      </w:r>
      <w:r w:rsidR="00F448DF">
        <w:t>”</w:t>
      </w:r>
      <w:r w:rsidR="005C22DE">
        <w:t xml:space="preserve"> and their beneficial owners from the requirement</w:t>
      </w:r>
      <w:r w:rsidR="00097770">
        <w:t>s</w:t>
      </w:r>
      <w:r w:rsidR="005C22DE">
        <w:t xml:space="preserve"> to file initial BOI reports </w:t>
      </w:r>
      <w:r w:rsidR="00097770">
        <w:t xml:space="preserve">and </w:t>
      </w:r>
      <w:r w:rsidR="005C22DE">
        <w:t>to update or correct previously filed BOI reports.</w:t>
      </w:r>
    </w:p>
    <w:p w:rsidR="002701D1" w:rsidP="00582286" w14:paraId="7587A41A" w14:textId="15CA1740">
      <w:pPr>
        <w:spacing w:after="240"/>
        <w:ind w:firstLine="720"/>
      </w:pPr>
      <w:r>
        <w:t xml:space="preserve">Second, </w:t>
      </w:r>
      <w:r w:rsidR="005C22DE">
        <w:t>FinCEN used its</w:t>
      </w:r>
      <w:r w:rsidR="007A1F41">
        <w:t xml:space="preserve"> general </w:t>
      </w:r>
      <w:r w:rsidR="005C22DE">
        <w:t>BSA exemptive authority, 31 U.S.C. 5318(a)(7), to</w:t>
      </w:r>
      <w:r>
        <w:t xml:space="preserve"> exempt foreign reporting companies</w:t>
      </w:r>
      <w:r w:rsidR="00765722">
        <w:t>, and their U.S. person beneficial owners,</w:t>
      </w:r>
      <w:r>
        <w:t xml:space="preserve"> from the requirement to </w:t>
      </w:r>
      <w:r w:rsidR="005C22DE">
        <w:t xml:space="preserve">report to FinCEN </w:t>
      </w:r>
      <w:r>
        <w:t xml:space="preserve">the BOI of any U.S. persons who are beneficial owners of the foreign reporting company.  Foreign reporting companies </w:t>
      </w:r>
      <w:r w:rsidR="00097770">
        <w:t xml:space="preserve">whose </w:t>
      </w:r>
      <w:r>
        <w:t>only beneficial owners</w:t>
      </w:r>
      <w:r>
        <w:t xml:space="preserve"> </w:t>
      </w:r>
      <w:r>
        <w:t xml:space="preserve">are U.S. persons </w:t>
      </w:r>
      <w:r w:rsidR="50EC768C">
        <w:t>are</w:t>
      </w:r>
      <w:r>
        <w:t xml:space="preserve"> exempt from the requirement to report any beneficial owners. </w:t>
      </w:r>
      <w:r w:rsidR="005C22DE">
        <w:t xml:space="preserve"> FinCEN used this same authority to revise the special reporting rule for foreign pooled investment vehicles</w:t>
      </w:r>
      <w:r w:rsidR="00107A64">
        <w:t>,</w:t>
      </w:r>
      <w:r w:rsidR="005C22DE">
        <w:t xml:space="preserve"> </w:t>
      </w:r>
      <w:r w:rsidR="00107A64">
        <w:t xml:space="preserve">31 CFR 1010.380(a)(b)(2)(iii), </w:t>
      </w:r>
      <w:r w:rsidR="005C22DE">
        <w:t xml:space="preserve">to exempt such entities from </w:t>
      </w:r>
      <w:r w:rsidR="005C22DE">
        <w:t>having to report the BOI of U.S. persons who exercise substantial control over the entity.</w:t>
      </w:r>
      <w:r>
        <w:rPr>
          <w:rStyle w:val="FootnoteReference"/>
        </w:rPr>
        <w:footnoteReference w:id="12"/>
      </w:r>
      <w:r>
        <w:t xml:space="preserve">  </w:t>
      </w:r>
    </w:p>
    <w:p w:rsidR="009C7DB4" w:rsidP="00582286" w14:paraId="3C489F26" w14:textId="54B4D3A3">
      <w:pPr>
        <w:spacing w:after="240"/>
        <w:ind w:firstLine="720"/>
      </w:pPr>
      <w:r>
        <w:t>Th</w:t>
      </w:r>
      <w:r w:rsidR="4685D580">
        <w:t>e</w:t>
      </w:r>
      <w:r>
        <w:t xml:space="preserve"> </w:t>
      </w:r>
      <w:r w:rsidR="00A54186">
        <w:t>IFR</w:t>
      </w:r>
      <w:r>
        <w:t xml:space="preserve"> </w:t>
      </w:r>
      <w:r>
        <w:t xml:space="preserve">retains the requirement for </w:t>
      </w:r>
      <w:r w:rsidR="00F32ED5">
        <w:t xml:space="preserve">a </w:t>
      </w:r>
      <w:r>
        <w:t>foreign reporting compan</w:t>
      </w:r>
      <w:r w:rsidR="00F32ED5">
        <w:t>y</w:t>
      </w:r>
      <w:r>
        <w:t xml:space="preserve"> </w:t>
      </w:r>
      <w:r>
        <w:t xml:space="preserve">to report the BOI </w:t>
      </w:r>
      <w:r w:rsidR="00107A64">
        <w:t>o</w:t>
      </w:r>
      <w:r w:rsidR="00D446A0">
        <w:t>f</w:t>
      </w:r>
      <w:r w:rsidR="00107A64">
        <w:t xml:space="preserve"> </w:t>
      </w:r>
      <w:r w:rsidR="00F32ED5">
        <w:t xml:space="preserve">a </w:t>
      </w:r>
      <w:r w:rsidR="00107A64">
        <w:t xml:space="preserve">non-U.S. person beneficial owner </w:t>
      </w:r>
      <w:r>
        <w:t xml:space="preserve">to FinCEN, while extending the deadline for </w:t>
      </w:r>
      <w:r w:rsidR="000F7E7E">
        <w:t xml:space="preserve">a foreign reporting </w:t>
      </w:r>
      <w:r>
        <w:t>compan</w:t>
      </w:r>
      <w:r w:rsidR="000F7E7E">
        <w:t>y</w:t>
      </w:r>
      <w:r>
        <w:t xml:space="preserve"> to file </w:t>
      </w:r>
      <w:r w:rsidR="000F7E7E">
        <w:t xml:space="preserve">an </w:t>
      </w:r>
      <w:r>
        <w:t xml:space="preserve">initial BOI report, or update or correct </w:t>
      </w:r>
      <w:r w:rsidR="00622ABE">
        <w:t xml:space="preserve">a </w:t>
      </w:r>
      <w:r>
        <w:t xml:space="preserve">previously filed BOI report, </w:t>
      </w:r>
      <w:r w:rsidR="0CD58921">
        <w:t xml:space="preserve">to </w:t>
      </w:r>
      <w:r w:rsidR="5CA6F69A">
        <w:t xml:space="preserve">April </w:t>
      </w:r>
      <w:r w:rsidR="4F2E39C4">
        <w:t>25, 2025</w:t>
      </w:r>
      <w:r>
        <w:t xml:space="preserve"> or 30 days after </w:t>
      </w:r>
      <w:r w:rsidR="00D876F7">
        <w:t xml:space="preserve">the foreign reporting company’s </w:t>
      </w:r>
      <w:r>
        <w:t xml:space="preserve">registration to do business in the United States, whichever </w:t>
      </w:r>
      <w:r w:rsidR="2D3B5FF0">
        <w:t xml:space="preserve">is </w:t>
      </w:r>
      <w:r>
        <w:t xml:space="preserve">later.  </w:t>
      </w:r>
    </w:p>
    <w:p w:rsidR="00E57AA0" w:rsidRPr="00F967C8" w:rsidP="00582286" w14:paraId="74368106" w14:textId="538028D7">
      <w:pPr>
        <w:spacing w:after="240"/>
        <w:ind w:firstLine="720"/>
        <w:rPr>
          <w:rStyle w:val="FootnoteReference"/>
        </w:rPr>
      </w:pPr>
      <w:r>
        <w:t>For these foreign reporting companies still required to report, t</w:t>
      </w:r>
      <w:r w:rsidR="19AD56AB">
        <w:t>he IFR generally left the o</w:t>
      </w:r>
      <w:r w:rsidR="62716837">
        <w:t xml:space="preserve">ther </w:t>
      </w:r>
      <w:r w:rsidR="57C9C42F">
        <w:t xml:space="preserve">BOI reporting requirements </w:t>
      </w:r>
      <w:r w:rsidR="64E07FFC">
        <w:t xml:space="preserve">in the Reporting Rule </w:t>
      </w:r>
      <w:r w:rsidR="57C9C42F">
        <w:t>unchanged</w:t>
      </w:r>
      <w:r w:rsidR="19AD56AB">
        <w:t xml:space="preserve">.  </w:t>
      </w:r>
      <w:r w:rsidR="7100CC17">
        <w:t>Subject to the IFR’s exemptions</w:t>
      </w:r>
      <w:r w:rsidR="19AD56AB">
        <w:t xml:space="preserve">, </w:t>
      </w:r>
      <w:r w:rsidR="7C4707EC">
        <w:t xml:space="preserve">31 CFR 1010.380 </w:t>
      </w:r>
      <w:r w:rsidR="19AD56AB">
        <w:t>still</w:t>
      </w:r>
      <w:r w:rsidR="7C4707EC">
        <w:t xml:space="preserve"> requires </w:t>
      </w:r>
      <w:r>
        <w:t xml:space="preserve">foreign </w:t>
      </w:r>
      <w:r w:rsidRPr="00A2008E" w:rsidR="7C4707EC">
        <w:t>reporting companies</w:t>
      </w:r>
      <w:r w:rsidR="7C4707EC">
        <w:t xml:space="preserve"> to </w:t>
      </w:r>
      <w:r w:rsidRPr="00B9169E" w:rsidR="7C4707EC">
        <w:t xml:space="preserve">report </w:t>
      </w:r>
      <w:r w:rsidR="7C4707EC">
        <w:t xml:space="preserve">to FinCEN information identifying themselves and specific individuals, namely: any </w:t>
      </w:r>
      <w:r>
        <w:t xml:space="preserve">foreign </w:t>
      </w:r>
      <w:r w:rsidR="7C4707EC">
        <w:t>individual</w:t>
      </w:r>
      <w:r w:rsidRPr="00BC7544" w:rsidR="7C4707EC">
        <w:t xml:space="preserve"> </w:t>
      </w:r>
      <w:r w:rsidRPr="00BD14B4" w:rsidR="7C4707EC">
        <w:t>who directly or indirectly exercise</w:t>
      </w:r>
      <w:r w:rsidR="7C4707EC">
        <w:t>s</w:t>
      </w:r>
      <w:r w:rsidRPr="00BD14B4" w:rsidR="7C4707EC">
        <w:t xml:space="preserve"> substantial control over </w:t>
      </w:r>
      <w:r w:rsidR="7C4707EC">
        <w:t>the reporting company, or who</w:t>
      </w:r>
      <w:r w:rsidRPr="00BD14B4" w:rsidR="7C4707EC">
        <w:t xml:space="preserve"> own</w:t>
      </w:r>
      <w:r w:rsidR="7C4707EC">
        <w:t>s</w:t>
      </w:r>
      <w:r w:rsidRPr="00BD14B4" w:rsidR="7C4707EC">
        <w:t xml:space="preserve"> or control</w:t>
      </w:r>
      <w:r w:rsidR="7C4707EC">
        <w:t>s</w:t>
      </w:r>
      <w:r w:rsidRPr="00BD14B4" w:rsidR="7C4707EC">
        <w:t xml:space="preserve"> 25 percent or more </w:t>
      </w:r>
      <w:r w:rsidR="7C4707EC">
        <w:t>o</w:t>
      </w:r>
      <w:r w:rsidRPr="00BD14B4" w:rsidR="7C4707EC">
        <w:t>f the entity’s ownership inte</w:t>
      </w:r>
      <w:r w:rsidR="7C4707EC">
        <w:t>rests (each a “beneficial owner”);</w:t>
      </w:r>
      <w:r w:rsidRPr="00BD14B4" w:rsidR="7C4707EC">
        <w:t xml:space="preserve"> </w:t>
      </w:r>
      <w:r w:rsidR="7C4707EC">
        <w:t xml:space="preserve">and the </w:t>
      </w:r>
      <w:r w:rsidRPr="00BD14B4" w:rsidR="7C4707EC">
        <w:t>individual who file</w:t>
      </w:r>
      <w:r w:rsidR="7C4707EC">
        <w:t>d</w:t>
      </w:r>
      <w:r w:rsidRPr="00BD14B4" w:rsidR="7C4707EC">
        <w:t xml:space="preserve"> the documents necessary to form or register </w:t>
      </w:r>
      <w:r w:rsidR="7C4707EC">
        <w:t>the reporting company</w:t>
      </w:r>
      <w:r w:rsidRPr="00BD14B4" w:rsidR="7C4707EC">
        <w:t xml:space="preserve"> with a secretary of state or similar office</w:t>
      </w:r>
      <w:r w:rsidR="7C4707EC">
        <w:t>, as well as the individual (if more than one individual is involved in the filing) who is primarily responsible for directing or controlling the filing</w:t>
      </w:r>
      <w:r w:rsidRPr="00874838" w:rsidR="7C4707EC">
        <w:t xml:space="preserve"> (</w:t>
      </w:r>
      <w:r w:rsidR="7C4707EC">
        <w:t>each a “</w:t>
      </w:r>
      <w:r w:rsidRPr="00874838" w:rsidR="7C4707EC">
        <w:t>company applicant</w:t>
      </w:r>
      <w:r w:rsidR="7C4707EC">
        <w:t>”</w:t>
      </w:r>
      <w:r w:rsidRPr="00874838" w:rsidR="7C4707EC">
        <w:t>)</w:t>
      </w:r>
      <w:r w:rsidR="7C4707EC">
        <w:t>.</w:t>
      </w:r>
      <w:r>
        <w:rPr>
          <w:rStyle w:val="FootnoteReference"/>
        </w:rPr>
        <w:footnoteReference w:id="13"/>
      </w:r>
      <w:r w:rsidRPr="003264BB" w:rsidR="7C4707EC">
        <w:t xml:space="preserve"> </w:t>
      </w:r>
      <w:r w:rsidR="7C4707EC">
        <w:t xml:space="preserve"> </w:t>
      </w:r>
    </w:p>
    <w:p w:rsidR="00FD39EA" w:rsidRPr="00582286" w:rsidP="00582286" w14:paraId="5EB93488" w14:textId="623E6E95">
      <w:pPr>
        <w:pStyle w:val="BodyText"/>
        <w:spacing w:before="0" w:after="240"/>
        <w:ind w:right="115" w:firstLine="720"/>
        <w:rPr>
          <w:sz w:val="24"/>
          <w:szCs w:val="24"/>
        </w:rPr>
      </w:pPr>
      <w:r>
        <w:rPr>
          <w:sz w:val="24"/>
          <w:szCs w:val="24"/>
        </w:rPr>
        <w:t xml:space="preserve">Finally, the </w:t>
      </w:r>
      <w:r w:rsidR="00C06D59">
        <w:rPr>
          <w:sz w:val="24"/>
          <w:szCs w:val="24"/>
        </w:rPr>
        <w:t>Reporting R</w:t>
      </w:r>
      <w:r w:rsidR="00050C29">
        <w:rPr>
          <w:sz w:val="24"/>
          <w:szCs w:val="24"/>
        </w:rPr>
        <w:t>ule</w:t>
      </w:r>
      <w:r>
        <w:rPr>
          <w:sz w:val="24"/>
          <w:szCs w:val="24"/>
        </w:rPr>
        <w:t xml:space="preserve"> require</w:t>
      </w:r>
      <w:r w:rsidR="001E69A2">
        <w:rPr>
          <w:sz w:val="24"/>
          <w:szCs w:val="24"/>
        </w:rPr>
        <w:t>s</w:t>
      </w:r>
      <w:r>
        <w:rPr>
          <w:sz w:val="24"/>
          <w:szCs w:val="24"/>
        </w:rPr>
        <w:t xml:space="preserve"> individuals and entities wishing to obtain a unique identifier</w:t>
      </w:r>
      <w:r w:rsidR="00B377A1">
        <w:rPr>
          <w:sz w:val="24"/>
          <w:szCs w:val="24"/>
        </w:rPr>
        <w:t xml:space="preserve"> </w:t>
      </w:r>
      <w:r w:rsidR="00E104EB">
        <w:rPr>
          <w:sz w:val="24"/>
          <w:szCs w:val="24"/>
        </w:rPr>
        <w:t xml:space="preserve">to be reported in </w:t>
      </w:r>
      <w:r>
        <w:rPr>
          <w:sz w:val="24"/>
          <w:szCs w:val="24"/>
        </w:rPr>
        <w:t xml:space="preserve">lieu of </w:t>
      </w:r>
      <w:r w:rsidR="00FF4CFB">
        <w:rPr>
          <w:sz w:val="24"/>
          <w:szCs w:val="24"/>
        </w:rPr>
        <w:t xml:space="preserve">sensitive </w:t>
      </w:r>
      <w:r w:rsidR="00695373">
        <w:rPr>
          <w:sz w:val="24"/>
          <w:szCs w:val="24"/>
        </w:rPr>
        <w:t xml:space="preserve">identifying information </w:t>
      </w:r>
      <w:r w:rsidR="00E104EB">
        <w:rPr>
          <w:sz w:val="24"/>
          <w:szCs w:val="24"/>
        </w:rPr>
        <w:t xml:space="preserve">in certain circumstances </w:t>
      </w:r>
      <w:r w:rsidR="004A537E">
        <w:rPr>
          <w:sz w:val="24"/>
          <w:szCs w:val="24"/>
        </w:rPr>
        <w:t xml:space="preserve">(a </w:t>
      </w:r>
      <w:r w:rsidR="00AE6169">
        <w:rPr>
          <w:sz w:val="24"/>
          <w:szCs w:val="24"/>
        </w:rPr>
        <w:t>“</w:t>
      </w:r>
      <w:r w:rsidR="004A537E">
        <w:rPr>
          <w:sz w:val="24"/>
          <w:szCs w:val="24"/>
        </w:rPr>
        <w:t xml:space="preserve">FinCEN </w:t>
      </w:r>
      <w:r w:rsidR="008704CA">
        <w:rPr>
          <w:sz w:val="24"/>
          <w:szCs w:val="24"/>
        </w:rPr>
        <w:t>i</w:t>
      </w:r>
      <w:r w:rsidR="004A537E">
        <w:rPr>
          <w:sz w:val="24"/>
          <w:szCs w:val="24"/>
        </w:rPr>
        <w:t>dentifier</w:t>
      </w:r>
      <w:r w:rsidR="00AE6169">
        <w:rPr>
          <w:sz w:val="24"/>
          <w:szCs w:val="24"/>
        </w:rPr>
        <w:t>”</w:t>
      </w:r>
      <w:r w:rsidR="004A537E">
        <w:rPr>
          <w:sz w:val="24"/>
          <w:szCs w:val="24"/>
        </w:rPr>
        <w:t>)</w:t>
      </w:r>
      <w:r w:rsidR="00171291">
        <w:rPr>
          <w:sz w:val="24"/>
          <w:szCs w:val="24"/>
        </w:rPr>
        <w:t>.</w:t>
      </w:r>
      <w:r>
        <w:rPr>
          <w:rStyle w:val="FootnoteReference"/>
          <w:sz w:val="24"/>
          <w:szCs w:val="24"/>
        </w:rPr>
        <w:footnoteReference w:id="14"/>
      </w:r>
      <w:r w:rsidR="00A25A11">
        <w:rPr>
          <w:sz w:val="24"/>
          <w:szCs w:val="24"/>
        </w:rPr>
        <w:t xml:space="preserve"> </w:t>
      </w:r>
      <w:r w:rsidR="00275A83">
        <w:rPr>
          <w:sz w:val="24"/>
          <w:szCs w:val="24"/>
        </w:rPr>
        <w:t xml:space="preserve"> </w:t>
      </w:r>
      <w:r w:rsidR="00A25A11">
        <w:rPr>
          <w:sz w:val="24"/>
          <w:szCs w:val="24"/>
        </w:rPr>
        <w:t>Individuals</w:t>
      </w:r>
      <w:r w:rsidR="004A33F0">
        <w:rPr>
          <w:sz w:val="24"/>
          <w:szCs w:val="24"/>
        </w:rPr>
        <w:t xml:space="preserve"> or entities</w:t>
      </w:r>
      <w:r w:rsidR="00A25A11">
        <w:rPr>
          <w:sz w:val="24"/>
          <w:szCs w:val="24"/>
        </w:rPr>
        <w:t xml:space="preserve"> that obtain FinCEN identifiers will have to report updated</w:t>
      </w:r>
      <w:r w:rsidR="008F19BA">
        <w:rPr>
          <w:sz w:val="24"/>
          <w:szCs w:val="24"/>
        </w:rPr>
        <w:t xml:space="preserve"> or corrected</w:t>
      </w:r>
      <w:r w:rsidR="00A25A11">
        <w:rPr>
          <w:sz w:val="24"/>
          <w:szCs w:val="24"/>
        </w:rPr>
        <w:t xml:space="preserve"> information about themselves if previously </w:t>
      </w:r>
      <w:r w:rsidR="00767B9D">
        <w:rPr>
          <w:sz w:val="24"/>
          <w:szCs w:val="24"/>
        </w:rPr>
        <w:t xml:space="preserve">reported </w:t>
      </w:r>
      <w:r w:rsidR="00A25A11">
        <w:rPr>
          <w:sz w:val="24"/>
          <w:szCs w:val="24"/>
        </w:rPr>
        <w:t>information becomes out of date</w:t>
      </w:r>
      <w:r w:rsidR="008F19BA">
        <w:rPr>
          <w:sz w:val="24"/>
          <w:szCs w:val="24"/>
        </w:rPr>
        <w:t xml:space="preserve"> or was incorrect when filed</w:t>
      </w:r>
      <w:r w:rsidR="00A25A11">
        <w:rPr>
          <w:sz w:val="24"/>
          <w:szCs w:val="24"/>
        </w:rPr>
        <w:t>.</w:t>
      </w:r>
    </w:p>
    <w:p w:rsidR="00BC2AA4" w:rsidP="00BC2AA4" w14:paraId="70E0D9DA" w14:textId="77777777">
      <w:pPr>
        <w:autoSpaceDE w:val="0"/>
        <w:autoSpaceDN w:val="0"/>
        <w:adjustRightInd w:val="0"/>
        <w:spacing w:after="240"/>
        <w:rPr>
          <w:u w:val="single"/>
        </w:rPr>
      </w:pPr>
      <w:r>
        <w:t xml:space="preserve">2. </w:t>
      </w:r>
      <w:r w:rsidR="007E495B">
        <w:rPr>
          <w:u w:val="single"/>
        </w:rPr>
        <w:t>Method of c</w:t>
      </w:r>
      <w:r>
        <w:rPr>
          <w:u w:val="single"/>
        </w:rPr>
        <w:t xml:space="preserve">ollection and </w:t>
      </w:r>
      <w:r w:rsidR="007E495B">
        <w:rPr>
          <w:u w:val="single"/>
        </w:rPr>
        <w:t>u</w:t>
      </w:r>
      <w:r>
        <w:rPr>
          <w:u w:val="single"/>
        </w:rPr>
        <w:t xml:space="preserve">se of </w:t>
      </w:r>
      <w:r w:rsidR="007E495B">
        <w:rPr>
          <w:u w:val="single"/>
        </w:rPr>
        <w:t>d</w:t>
      </w:r>
      <w:r w:rsidRPr="000272F8">
        <w:rPr>
          <w:u w:val="single"/>
        </w:rPr>
        <w:t>ata</w:t>
      </w:r>
      <w:r w:rsidRPr="00781ED2">
        <w:rPr>
          <w:u w:val="single"/>
        </w:rPr>
        <w:t xml:space="preserve">. </w:t>
      </w:r>
    </w:p>
    <w:p w:rsidR="003B032B" w:rsidRPr="00BC2AA4" w:rsidP="00BC2AA4" w14:paraId="5890767A" w14:textId="4805CFB3">
      <w:pPr>
        <w:autoSpaceDE w:val="0"/>
        <w:autoSpaceDN w:val="0"/>
        <w:adjustRightInd w:val="0"/>
        <w:spacing w:after="240"/>
        <w:ind w:firstLine="720"/>
        <w:rPr>
          <w:u w:val="single"/>
        </w:rPr>
      </w:pPr>
      <w:r>
        <w:t xml:space="preserve">FinCEN </w:t>
      </w:r>
      <w:r>
        <w:t>is collecting</w:t>
      </w:r>
      <w:r>
        <w:t xml:space="preserve"> BOI from reporting companies through a form, referred to as a </w:t>
      </w:r>
      <w:r w:rsidR="00984BDF">
        <w:t xml:space="preserve">BOI </w:t>
      </w:r>
      <w:r w:rsidR="354D87A5">
        <w:t>Report (</w:t>
      </w:r>
      <w:r>
        <w:t>BOIR</w:t>
      </w:r>
      <w:r w:rsidR="354D87A5">
        <w:t>)</w:t>
      </w:r>
      <w:r>
        <w:t xml:space="preserve">, that </w:t>
      </w:r>
      <w:r w:rsidR="31D2BA75">
        <w:t xml:space="preserve">is </w:t>
      </w:r>
      <w:r>
        <w:t xml:space="preserve">available electronically.  </w:t>
      </w:r>
      <w:r w:rsidR="00D22E95">
        <w:t xml:space="preserve">With respect to </w:t>
      </w:r>
      <w:r w:rsidR="00C95E61">
        <w:t>a reporting company</w:t>
      </w:r>
      <w:r w:rsidR="00AD2465">
        <w:t xml:space="preserve"> that chooses to obtain a FinCEN identifier</w:t>
      </w:r>
      <w:r w:rsidR="00C95E61">
        <w:t xml:space="preserve">, </w:t>
      </w:r>
      <w:r>
        <w:t xml:space="preserve">FinCEN is </w:t>
      </w:r>
      <w:r w:rsidR="7DECCBC7">
        <w:t>collect</w:t>
      </w:r>
      <w:r w:rsidR="240183EF">
        <w:t>ing</w:t>
      </w:r>
      <w:r w:rsidR="7DECCBC7">
        <w:t xml:space="preserve"> </w:t>
      </w:r>
      <w:r w:rsidR="004F71CF">
        <w:t xml:space="preserve">a reporting company’s </w:t>
      </w:r>
      <w:r w:rsidR="7DECCBC7">
        <w:t xml:space="preserve">FinCEN identifier through </w:t>
      </w:r>
      <w:r w:rsidR="00931064">
        <w:t xml:space="preserve">a </w:t>
      </w:r>
      <w:r w:rsidR="7DECCBC7">
        <w:t xml:space="preserve">BOIR.  </w:t>
      </w:r>
      <w:r w:rsidR="3C418DCF">
        <w:t>With</w:t>
      </w:r>
      <w:r w:rsidR="0C619323">
        <w:t xml:space="preserve"> respect to </w:t>
      </w:r>
      <w:r w:rsidR="008D52A4">
        <w:t xml:space="preserve">an </w:t>
      </w:r>
      <w:r w:rsidR="3C418DCF">
        <w:t>individual</w:t>
      </w:r>
      <w:r w:rsidR="0040427F">
        <w:t xml:space="preserve"> who chooses to obtain a FinCEN identifier, </w:t>
      </w:r>
      <w:r w:rsidR="7DECCBC7">
        <w:t xml:space="preserve">FinCEN </w:t>
      </w:r>
      <w:r w:rsidR="4AEDC0F9">
        <w:t>is</w:t>
      </w:r>
      <w:r w:rsidR="7DECCBC7">
        <w:t xml:space="preserve"> collect</w:t>
      </w:r>
      <w:r w:rsidR="4AEDC0F9">
        <w:t>ing</w:t>
      </w:r>
      <w:r w:rsidR="7DECCBC7">
        <w:t xml:space="preserve"> </w:t>
      </w:r>
      <w:r w:rsidR="0040427F">
        <w:t xml:space="preserve">an individual’s </w:t>
      </w:r>
      <w:r w:rsidR="001E789C">
        <w:t xml:space="preserve">identifying information </w:t>
      </w:r>
      <w:r w:rsidR="7DECCBC7">
        <w:t>through a separate electronically available application</w:t>
      </w:r>
      <w:r w:rsidR="4836DFDA">
        <w:t xml:space="preserve"> known as</w:t>
      </w:r>
      <w:r w:rsidR="7DECCBC7">
        <w:t xml:space="preserve"> the FinCEN identifier application.  </w:t>
      </w:r>
      <w:r w:rsidR="004F65E2">
        <w:t>An i</w:t>
      </w:r>
      <w:r w:rsidR="7DECCBC7">
        <w:t xml:space="preserve">ndividual </w:t>
      </w:r>
      <w:r w:rsidR="2BEC7A80">
        <w:t>can</w:t>
      </w:r>
      <w:r w:rsidR="7DECCBC7">
        <w:t xml:space="preserve"> also use </w:t>
      </w:r>
      <w:r w:rsidR="00AB464C">
        <w:t xml:space="preserve">a FinCEN identifier application </w:t>
      </w:r>
      <w:r w:rsidR="7DECCBC7">
        <w:t xml:space="preserve">to </w:t>
      </w:r>
      <w:r w:rsidR="7DECCBC7">
        <w:t xml:space="preserve">provide updated </w:t>
      </w:r>
      <w:r w:rsidR="00AB464C">
        <w:t xml:space="preserve">identifying </w:t>
      </w:r>
      <w:r w:rsidR="7DECCBC7">
        <w:t xml:space="preserve">information associated with </w:t>
      </w:r>
      <w:r w:rsidR="00657144">
        <w:t xml:space="preserve">the individual’s </w:t>
      </w:r>
      <w:r w:rsidR="7DECCBC7">
        <w:t xml:space="preserve">FinCEN identifier.  </w:t>
      </w:r>
    </w:p>
    <w:p w:rsidR="00A25A11" w:rsidP="00582286" w14:paraId="1D3185E2" w14:textId="0D341F96">
      <w:pPr>
        <w:keepNext/>
        <w:keepLines/>
        <w:spacing w:after="240"/>
        <w:ind w:firstLine="720"/>
      </w:pPr>
      <w:r>
        <w:rPr>
          <w:rFonts w:eastAsia="MS Mincho"/>
        </w:rPr>
        <w:t>The information collected is intended to assist law enforcement in anti-money laundering, tax, and other financial investigations; advance counterterrorism, counter-proliferation, and broader national security and intelligence interests; improve financial institutions’ ability to assess and mitigate risk; help prevent evasion of financial sanctions; facilitate tax compliance; enhance the financial transparency; and advance U.S. compliance with international standards and information sharing commitments.  Moreover, the</w:t>
      </w:r>
      <w:r>
        <w:rPr>
          <w:rFonts w:eastAsia="MS Mincho"/>
        </w:rPr>
        <w:t xml:space="preserve"> </w:t>
      </w:r>
      <w:r w:rsidR="00A32758">
        <w:rPr>
          <w:rFonts w:eastAsia="MS Mincho"/>
        </w:rPr>
        <w:t>BOI</w:t>
      </w:r>
      <w:r>
        <w:rPr>
          <w:rFonts w:eastAsia="MS Mincho"/>
        </w:rPr>
        <w:t xml:space="preserve"> required by the CTA may make illicit financial activity in the United States more difficult by increasing barriers for illicit actors to covertly transact through shell or front companies </w:t>
      </w:r>
      <w:r w:rsidRPr="0018488D">
        <w:rPr>
          <w:rFonts w:eastAsia="MS Mincho"/>
        </w:rPr>
        <w:t>within the U.S. economy</w:t>
      </w:r>
      <w:r>
        <w:rPr>
          <w:rFonts w:eastAsia="MS Mincho"/>
        </w:rPr>
        <w:t xml:space="preserve">. </w:t>
      </w:r>
      <w:r w:rsidR="698144AE">
        <w:rPr>
          <w:rFonts w:eastAsia="MS Mincho"/>
        </w:rPr>
        <w:t xml:space="preserve"> Specifically,</w:t>
      </w:r>
      <w:r w:rsidRPr="3D147A20" w:rsidR="7AC75C22">
        <w:rPr>
          <w:rFonts w:eastAsiaTheme="minorEastAsia"/>
          <w14:ligatures w14:val="standardContextual"/>
        </w:rPr>
        <w:t xml:space="preserve"> </w:t>
      </w:r>
      <w:r w:rsidR="4BB43325">
        <w:rPr>
          <w:rFonts w:eastAsia="MS Mincho"/>
        </w:rPr>
        <w:t xml:space="preserve">the Reporting Rule, as amended by the IFR, addresses </w:t>
      </w:r>
      <w:r w:rsidRPr="00427AF5" w:rsidR="7AC75C22">
        <w:rPr>
          <w:rFonts w:eastAsia="MS Mincho"/>
        </w:rPr>
        <w:t xml:space="preserve">the risks of foreign illicit actors accessing the U.S. financial system </w:t>
      </w:r>
      <w:r w:rsidRPr="00427AF5" w:rsidR="7AC75C22">
        <w:rPr>
          <w:rFonts w:eastAsia="MS Mincho"/>
        </w:rPr>
        <w:t>through the use of</w:t>
      </w:r>
      <w:r w:rsidRPr="00427AF5" w:rsidR="7AC75C22">
        <w:rPr>
          <w:rFonts w:eastAsia="MS Mincho"/>
        </w:rPr>
        <w:t xml:space="preserve"> legal entities created in foreign jurisdictions but registered to do business in the United States.  </w:t>
      </w:r>
      <w:r w:rsidR="3CF0C92A">
        <w:rPr>
          <w:rFonts w:eastAsia="MS Mincho"/>
        </w:rPr>
        <w:t>As</w:t>
      </w:r>
      <w:r w:rsidRPr="00427AF5" w:rsidR="7AC75C22">
        <w:rPr>
          <w:rFonts w:eastAsia="MS Mincho"/>
        </w:rPr>
        <w:t xml:space="preserve"> FinCEN </w:t>
      </w:r>
      <w:r w:rsidR="7D45C9F5">
        <w:rPr>
          <w:rFonts w:eastAsia="MS Mincho"/>
        </w:rPr>
        <w:t xml:space="preserve">has previously </w:t>
      </w:r>
      <w:r w:rsidRPr="00427AF5" w:rsidR="7AC75C22">
        <w:rPr>
          <w:rFonts w:eastAsia="MS Mincho"/>
        </w:rPr>
        <w:t>noted</w:t>
      </w:r>
      <w:r w:rsidR="7D45C9F5">
        <w:rPr>
          <w:rFonts w:eastAsia="MS Mincho"/>
        </w:rPr>
        <w:t>,</w:t>
      </w:r>
      <w:r w:rsidRPr="00427AF5" w:rsidR="7AC75C22">
        <w:rPr>
          <w:rFonts w:eastAsia="MS Mincho"/>
        </w:rPr>
        <w:t xml:space="preserve"> “[c]</w:t>
      </w:r>
      <w:r w:rsidRPr="00427AF5" w:rsidR="7AC75C22">
        <w:rPr>
          <w:rFonts w:eastAsia="MS Mincho"/>
        </w:rPr>
        <w:t>orrupt</w:t>
      </w:r>
      <w:r w:rsidRPr="00427AF5" w:rsidR="7AC75C22">
        <w:rPr>
          <w:rFonts w:eastAsia="MS Mincho"/>
        </w:rPr>
        <w:t xml:space="preserve"> foreign officials, sanctions evaders, and narco-traffickers, among others, exploit the current gap in the U.S. BOI reporting regime to park their ill-gotten gains in a stable jurisdiction, thereby exposing the United States to serious national security threats.”</w:t>
      </w:r>
      <w:r>
        <w:rPr>
          <w:rFonts w:eastAsia="MS Mincho"/>
          <w:vertAlign w:val="superscript"/>
        </w:rPr>
        <w:footnoteReference w:id="15"/>
      </w:r>
      <w:r w:rsidRPr="00427AF5" w:rsidR="7AC75C22">
        <w:rPr>
          <w:rFonts w:eastAsia="MS Mincho"/>
        </w:rPr>
        <w:t xml:space="preserve">  </w:t>
      </w:r>
    </w:p>
    <w:p w:rsidR="00600940" w:rsidP="00582286" w14:paraId="4D37384E" w14:textId="6097FE96">
      <w:pPr>
        <w:spacing w:after="240"/>
        <w:rPr>
          <w:szCs w:val="22"/>
        </w:rPr>
      </w:pPr>
      <w:r>
        <w:rPr>
          <w:szCs w:val="22"/>
        </w:rPr>
        <w:t xml:space="preserve">3. </w:t>
      </w:r>
      <w:r w:rsidR="007E495B">
        <w:rPr>
          <w:szCs w:val="22"/>
          <w:u w:val="single"/>
        </w:rPr>
        <w:t>Use of improved i</w:t>
      </w:r>
      <w:r>
        <w:rPr>
          <w:szCs w:val="22"/>
          <w:u w:val="single"/>
        </w:rPr>
        <w:t>n</w:t>
      </w:r>
      <w:r w:rsidR="007E495B">
        <w:rPr>
          <w:szCs w:val="22"/>
          <w:u w:val="single"/>
        </w:rPr>
        <w:t>formation technology to reduce b</w:t>
      </w:r>
      <w:r>
        <w:rPr>
          <w:szCs w:val="22"/>
          <w:u w:val="single"/>
        </w:rPr>
        <w:t>urden.</w:t>
      </w:r>
      <w:r>
        <w:rPr>
          <w:szCs w:val="22"/>
        </w:rPr>
        <w:t xml:space="preserve"> </w:t>
      </w:r>
    </w:p>
    <w:p w:rsidR="00600940" w:rsidP="00582286" w14:paraId="7A3688CA" w14:textId="1D6A4723">
      <w:pPr>
        <w:spacing w:after="240"/>
        <w:ind w:firstLine="720"/>
        <w:rPr>
          <w:szCs w:val="22"/>
        </w:rPr>
      </w:pPr>
      <w:r w:rsidRPr="00F23640">
        <w:rPr>
          <w:szCs w:val="22"/>
        </w:rPr>
        <w:t>Reporting companies</w:t>
      </w:r>
      <w:r w:rsidR="00C0759E">
        <w:rPr>
          <w:szCs w:val="22"/>
        </w:rPr>
        <w:t xml:space="preserve"> and </w:t>
      </w:r>
      <w:r w:rsidR="00C0759E">
        <w:rPr>
          <w:szCs w:val="22"/>
        </w:rPr>
        <w:t>persons</w:t>
      </w:r>
      <w:r w:rsidR="00C0759E">
        <w:rPr>
          <w:szCs w:val="22"/>
        </w:rPr>
        <w:t xml:space="preserve"> applying for FinCEN identifiers </w:t>
      </w:r>
      <w:r>
        <w:rPr>
          <w:szCs w:val="22"/>
        </w:rPr>
        <w:t xml:space="preserve">will be required to submit </w:t>
      </w:r>
      <w:r w:rsidR="00967E54">
        <w:rPr>
          <w:szCs w:val="22"/>
        </w:rPr>
        <w:t>their</w:t>
      </w:r>
      <w:r>
        <w:rPr>
          <w:szCs w:val="22"/>
        </w:rPr>
        <w:t xml:space="preserve"> </w:t>
      </w:r>
      <w:r w:rsidR="00C0759E">
        <w:rPr>
          <w:szCs w:val="22"/>
        </w:rPr>
        <w:t xml:space="preserve">information </w:t>
      </w:r>
      <w:r>
        <w:rPr>
          <w:szCs w:val="22"/>
        </w:rPr>
        <w:t xml:space="preserve">electronically.  </w:t>
      </w:r>
    </w:p>
    <w:p w:rsidR="004447DD" w:rsidRPr="00582286" w:rsidP="00BC2AA4" w14:paraId="545F4BD8" w14:textId="6300B12F">
      <w:pPr>
        <w:spacing w:after="240"/>
        <w:rPr>
          <w:szCs w:val="22"/>
          <w:u w:val="single"/>
        </w:rPr>
      </w:pPr>
      <w:r>
        <w:rPr>
          <w:szCs w:val="22"/>
        </w:rPr>
        <w:t xml:space="preserve">4. </w:t>
      </w:r>
      <w:r w:rsidR="007E495B">
        <w:rPr>
          <w:szCs w:val="22"/>
          <w:u w:val="single"/>
        </w:rPr>
        <w:t>Efforts to identify d</w:t>
      </w:r>
      <w:r>
        <w:rPr>
          <w:szCs w:val="22"/>
          <w:u w:val="single"/>
        </w:rPr>
        <w:t>uplication</w:t>
      </w:r>
      <w:r w:rsidR="00384B9B">
        <w:rPr>
          <w:szCs w:val="22"/>
          <w:u w:val="single"/>
        </w:rPr>
        <w:t>.</w:t>
      </w:r>
      <w:r>
        <w:rPr>
          <w:szCs w:val="22"/>
          <w:u w:val="single"/>
        </w:rPr>
        <w:t xml:space="preserve"> </w:t>
      </w:r>
    </w:p>
    <w:p w:rsidR="00492629" w:rsidP="00582286" w14:paraId="19B52367" w14:textId="28614D6B">
      <w:pPr>
        <w:keepNext/>
        <w:keepLines/>
        <w:spacing w:after="240"/>
        <w:ind w:firstLine="720"/>
      </w:pPr>
      <w:r>
        <w:t xml:space="preserve">As described in more detail further below, FinCEN </w:t>
      </w:r>
      <w:r w:rsidR="00B44F2E">
        <w:t xml:space="preserve">determines </w:t>
      </w:r>
      <w:r>
        <w:t>t</w:t>
      </w:r>
      <w:r w:rsidR="640DA925">
        <w:t xml:space="preserve">here are no </w:t>
      </w:r>
      <w:r w:rsidR="002206A5">
        <w:t>F</w:t>
      </w:r>
      <w:r w:rsidR="640DA925">
        <w:t xml:space="preserve">ederal rules that directly </w:t>
      </w:r>
      <w:r w:rsidR="106DC22A">
        <w:t xml:space="preserve">or </w:t>
      </w:r>
      <w:r w:rsidR="640DA925">
        <w:t>fully duplicate</w:t>
      </w:r>
      <w:r w:rsidR="7EA7134D">
        <w:t xml:space="preserve"> or </w:t>
      </w:r>
      <w:r w:rsidR="640DA925">
        <w:t>overlap</w:t>
      </w:r>
      <w:r w:rsidR="3D32131A">
        <w:t xml:space="preserve"> </w:t>
      </w:r>
      <w:r w:rsidR="640DA925">
        <w:t xml:space="preserve">with the </w:t>
      </w:r>
      <w:r w:rsidR="354D8C5B">
        <w:t xml:space="preserve">Reporting </w:t>
      </w:r>
      <w:r w:rsidR="07ED5599">
        <w:t>R</w:t>
      </w:r>
      <w:r w:rsidR="640DA925">
        <w:t>ule</w:t>
      </w:r>
      <w:r w:rsidR="7EA7134D">
        <w:t xml:space="preserve">, </w:t>
      </w:r>
      <w:r w:rsidR="542A7149">
        <w:t>as amended by the</w:t>
      </w:r>
      <w:r w:rsidR="10093D3B">
        <w:t xml:space="preserve"> </w:t>
      </w:r>
      <w:r w:rsidR="542A7149">
        <w:t xml:space="preserve">IFR, </w:t>
      </w:r>
      <w:r w:rsidR="7EA7134D">
        <w:t>or that require the reporting of the same information</w:t>
      </w:r>
      <w:r w:rsidR="640DA925">
        <w:t xml:space="preserve">.  </w:t>
      </w:r>
      <w:r w:rsidR="7EA7134D">
        <w:t>Therefore</w:t>
      </w:r>
      <w:r w:rsidR="42D49721">
        <w:t>,</w:t>
      </w:r>
      <w:r w:rsidR="7EA7134D">
        <w:t xml:space="preserve"> </w:t>
      </w:r>
      <w:r w:rsidR="00CB0F0C">
        <w:t>FinCEN determines</w:t>
      </w:r>
      <w:r w:rsidR="7EA7134D">
        <w:t xml:space="preserve"> there is no </w:t>
      </w:r>
      <w:r w:rsidR="00D64921">
        <w:t>government</w:t>
      </w:r>
      <w:r w:rsidR="006015B3">
        <w:t xml:space="preserve"> source of</w:t>
      </w:r>
      <w:r w:rsidR="00D64921">
        <w:t xml:space="preserve"> </w:t>
      </w:r>
      <w:r w:rsidR="7EA7134D">
        <w:t xml:space="preserve">information already available to </w:t>
      </w:r>
      <w:r w:rsidR="006015B3">
        <w:t xml:space="preserve">FinCEN </w:t>
      </w:r>
      <w:r w:rsidR="00A93118">
        <w:t xml:space="preserve">that is equivalent </w:t>
      </w:r>
      <w:r w:rsidR="00741F69">
        <w:t>to th</w:t>
      </w:r>
      <w:r w:rsidR="4AB6FECE">
        <w:t>e</w:t>
      </w:r>
      <w:r w:rsidR="17255A02">
        <w:t xml:space="preserve"> information </w:t>
      </w:r>
      <w:r w:rsidR="00F26BD1">
        <w:t>required to be</w:t>
      </w:r>
      <w:r w:rsidR="00741F69">
        <w:t xml:space="preserve"> collected under the CTA</w:t>
      </w:r>
      <w:r w:rsidR="006237B5">
        <w:t xml:space="preserve">. </w:t>
      </w:r>
      <w:r w:rsidR="00FA016B">
        <w:t xml:space="preserve"> </w:t>
      </w:r>
    </w:p>
    <w:p w:rsidR="006308F9" w:rsidP="00582286" w14:paraId="23FE2C08" w14:textId="12AD28C1">
      <w:pPr>
        <w:keepNext/>
        <w:keepLines/>
        <w:spacing w:after="240"/>
        <w:ind w:firstLine="720"/>
      </w:pPr>
      <w:r>
        <w:t xml:space="preserve">Additionally, </w:t>
      </w:r>
      <w:r w:rsidR="00EC69ED">
        <w:t>FinCEN determines</w:t>
      </w:r>
      <w:r w:rsidR="00D90117">
        <w:t xml:space="preserve"> there is n</w:t>
      </w:r>
      <w:r w:rsidR="00B31A62">
        <w:t>o information</w:t>
      </w:r>
      <w:r w:rsidR="00FD6EAF">
        <w:t xml:space="preserve"> </w:t>
      </w:r>
      <w:r w:rsidR="00CB0787">
        <w:t>commercially</w:t>
      </w:r>
      <w:r w:rsidR="00B31A62">
        <w:t xml:space="preserve"> available</w:t>
      </w:r>
      <w:r w:rsidR="00D070C9">
        <w:t xml:space="preserve"> </w:t>
      </w:r>
      <w:r w:rsidR="7EA7134D">
        <w:t xml:space="preserve">that could be used or modified to fully satisfy the statutory requirements </w:t>
      </w:r>
      <w:r w:rsidR="0007385C">
        <w:t>of the CTA</w:t>
      </w:r>
      <w:r w:rsidR="7EA7134D">
        <w:t>.</w:t>
      </w:r>
      <w:r w:rsidR="0032599D">
        <w:t xml:space="preserve"> </w:t>
      </w:r>
      <w:r w:rsidR="00655CBA">
        <w:t xml:space="preserve"> </w:t>
      </w:r>
      <w:r w:rsidR="0032599D">
        <w:t xml:space="preserve">While FinCEN </w:t>
      </w:r>
      <w:r w:rsidR="008C0340">
        <w:t xml:space="preserve">recognizes there are </w:t>
      </w:r>
      <w:r w:rsidR="0032599D">
        <w:t>commercial databases for company ownership</w:t>
      </w:r>
      <w:r w:rsidR="00AF3841">
        <w:t xml:space="preserve"> information</w:t>
      </w:r>
      <w:r w:rsidR="0032599D">
        <w:t xml:space="preserve">, including </w:t>
      </w:r>
      <w:r w:rsidR="006F41B0">
        <w:t>BOI</w:t>
      </w:r>
      <w:r w:rsidR="0032599D">
        <w:t>, the information they collect varies widely</w:t>
      </w:r>
      <w:r w:rsidR="00DE0524">
        <w:t xml:space="preserve"> in terms of</w:t>
      </w:r>
      <w:r w:rsidR="00673DC9">
        <w:t xml:space="preserve"> </w:t>
      </w:r>
      <w:r w:rsidR="00A07EE2">
        <w:t xml:space="preserve">the types of </w:t>
      </w:r>
      <w:r w:rsidR="00673DC9">
        <w:t>identifying information collected</w:t>
      </w:r>
      <w:r w:rsidR="00DA4EAC">
        <w:t>,</w:t>
      </w:r>
      <w:r w:rsidR="00A07EE2">
        <w:t xml:space="preserve"> the frequency </w:t>
      </w:r>
      <w:r w:rsidR="009F4879">
        <w:t xml:space="preserve">with </w:t>
      </w:r>
      <w:r w:rsidR="00A07EE2">
        <w:t xml:space="preserve">which </w:t>
      </w:r>
      <w:r w:rsidR="00E21A97">
        <w:t xml:space="preserve">the </w:t>
      </w:r>
      <w:r w:rsidR="00FE4710">
        <w:t xml:space="preserve">identifying </w:t>
      </w:r>
      <w:r w:rsidR="00E21A97">
        <w:t xml:space="preserve">information </w:t>
      </w:r>
      <w:r w:rsidR="00FE4710">
        <w:t>is</w:t>
      </w:r>
      <w:r w:rsidR="00590E0B">
        <w:t xml:space="preserve"> </w:t>
      </w:r>
      <w:r w:rsidR="00DA4EAC">
        <w:t>updated, and the permissible purposes for</w:t>
      </w:r>
      <w:r w:rsidR="00D53EC2">
        <w:t xml:space="preserve"> </w:t>
      </w:r>
      <w:r w:rsidR="009F25ED">
        <w:t xml:space="preserve">FinCEN to </w:t>
      </w:r>
      <w:r w:rsidR="00772CD5">
        <w:t xml:space="preserve">use </w:t>
      </w:r>
      <w:r w:rsidR="00D53EC2">
        <w:t>commercial</w:t>
      </w:r>
      <w:r w:rsidR="00E767AD">
        <w:t>ly available</w:t>
      </w:r>
      <w:r w:rsidR="00D53EC2">
        <w:t xml:space="preserve"> </w:t>
      </w:r>
      <w:r w:rsidR="00840B26">
        <w:t>BOI</w:t>
      </w:r>
      <w:r w:rsidR="0037559B">
        <w:t xml:space="preserve">.  </w:t>
      </w:r>
      <w:r w:rsidR="00737F87">
        <w:t>Moreover, t</w:t>
      </w:r>
      <w:r w:rsidR="0037559B">
        <w:t>hese commercial database</w:t>
      </w:r>
      <w:r w:rsidR="00737F87">
        <w:t>s</w:t>
      </w:r>
      <w:r w:rsidR="0037559B">
        <w:t xml:space="preserve"> </w:t>
      </w:r>
      <w:r w:rsidR="0032599D">
        <w:t>lack any enforcement mechanism to discourage inaccurate or incomplete reporting</w:t>
      </w:r>
      <w:r w:rsidR="0037559B">
        <w:t>, thereby reducing their reliability and usefulness for law enforcement and national security purposes</w:t>
      </w:r>
      <w:r w:rsidR="0032599D">
        <w:t xml:space="preserve">. </w:t>
      </w:r>
    </w:p>
    <w:p w:rsidR="00BC34B9" w:rsidP="004A33F0" w14:paraId="1AECB5F7" w14:textId="20B3CFE3">
      <w:pPr>
        <w:spacing w:after="240"/>
        <w:ind w:firstLine="720"/>
      </w:pPr>
      <w:r>
        <w:t xml:space="preserve">Briefly, </w:t>
      </w:r>
      <w:r w:rsidR="7EA7134D">
        <w:t xml:space="preserve">FinCEN </w:t>
      </w:r>
      <w:r w:rsidR="00AA7D26">
        <w:t xml:space="preserve">undertook </w:t>
      </w:r>
      <w:r w:rsidR="00216107">
        <w:t>a number of</w:t>
      </w:r>
      <w:r w:rsidR="00216107">
        <w:t xml:space="preserve"> efforts to identify duplication, </w:t>
      </w:r>
      <w:r w:rsidR="008A35CD">
        <w:t xml:space="preserve">including </w:t>
      </w:r>
      <w:r w:rsidR="25BD391C">
        <w:t xml:space="preserve">several </w:t>
      </w:r>
      <w:r w:rsidR="7EA7134D">
        <w:t xml:space="preserve">areas of </w:t>
      </w:r>
      <w:r w:rsidR="35FA5DCD">
        <w:t xml:space="preserve">possible or apparent </w:t>
      </w:r>
      <w:r w:rsidR="7EA7134D">
        <w:t xml:space="preserve">partial </w:t>
      </w:r>
      <w:r w:rsidR="00DC5925">
        <w:t xml:space="preserve">duplication or </w:t>
      </w:r>
      <w:r w:rsidR="7EA7134D">
        <w:t>overlap</w:t>
      </w:r>
      <w:r w:rsidR="47C1D4F9">
        <w:t xml:space="preserve"> with the Reporting </w:t>
      </w:r>
      <w:r w:rsidR="47C1D4F9">
        <w:t>Rule</w:t>
      </w:r>
      <w:r w:rsidR="00EF0841">
        <w:t xml:space="preserve">, as amended by </w:t>
      </w:r>
      <w:r w:rsidR="47C1D4F9">
        <w:t>the IFR</w:t>
      </w:r>
      <w:r w:rsidR="353D48EA">
        <w:t xml:space="preserve">.  </w:t>
      </w:r>
      <w:r w:rsidR="004C20C7">
        <w:t xml:space="preserve">Below </w:t>
      </w:r>
      <w:r w:rsidR="00D35C53">
        <w:t xml:space="preserve">is a summary of </w:t>
      </w:r>
      <w:r w:rsidR="00D21FDA">
        <w:t xml:space="preserve">the </w:t>
      </w:r>
      <w:r w:rsidR="00C71153">
        <w:t xml:space="preserve">areas that FinCEN </w:t>
      </w:r>
      <w:r w:rsidR="006413CC">
        <w:t xml:space="preserve">reviewed </w:t>
      </w:r>
      <w:r w:rsidR="00341247">
        <w:t>to identify duplication, but</w:t>
      </w:r>
      <w:r w:rsidR="00DE1412">
        <w:t>,</w:t>
      </w:r>
      <w:r w:rsidR="00341247">
        <w:t xml:space="preserve"> as noted</w:t>
      </w:r>
      <w:r w:rsidR="00156DBD">
        <w:t xml:space="preserve"> previously </w:t>
      </w:r>
      <w:r w:rsidR="005544E4">
        <w:t xml:space="preserve">and </w:t>
      </w:r>
      <w:r w:rsidR="69049389">
        <w:t xml:space="preserve">as </w:t>
      </w:r>
      <w:r w:rsidR="005544E4">
        <w:t xml:space="preserve">further </w:t>
      </w:r>
      <w:r w:rsidR="69049389">
        <w:t xml:space="preserve">explained </w:t>
      </w:r>
      <w:r w:rsidR="005544E4">
        <w:t xml:space="preserve">below, </w:t>
      </w:r>
      <w:r w:rsidR="00D35C53">
        <w:t xml:space="preserve">FinCEN </w:t>
      </w:r>
      <w:r w:rsidR="00DE1412">
        <w:t xml:space="preserve">has </w:t>
      </w:r>
      <w:r w:rsidR="009B6789">
        <w:t>determine</w:t>
      </w:r>
      <w:r w:rsidR="00DE1412">
        <w:t>d</w:t>
      </w:r>
      <w:r w:rsidR="009B6789">
        <w:t xml:space="preserve"> </w:t>
      </w:r>
      <w:r w:rsidR="005544E4">
        <w:t xml:space="preserve">there are neither commercial </w:t>
      </w:r>
      <w:r w:rsidR="009B6789">
        <w:t>n</w:t>
      </w:r>
      <w:r w:rsidR="005544E4">
        <w:t>or government sources of BOI that fulfill</w:t>
      </w:r>
      <w:r w:rsidR="003668E6">
        <w:t>s</w:t>
      </w:r>
      <w:r w:rsidR="005544E4">
        <w:t xml:space="preserve"> the statutory requirements of the CTA</w:t>
      </w:r>
      <w:r w:rsidR="004F2FC8">
        <w:t xml:space="preserve"> to collect, verify, and make accessible to government </w:t>
      </w:r>
      <w:r w:rsidR="00404D14">
        <w:t>authorities the BOI of a reporting company</w:t>
      </w:r>
      <w:r w:rsidR="006A2D17">
        <w:t xml:space="preserve"> </w:t>
      </w:r>
      <w:r w:rsidR="00D02126">
        <w:t xml:space="preserve">for the purpose </w:t>
      </w:r>
      <w:r w:rsidR="006A2D17">
        <w:t>to combat money laundering, terrorist financing, and other illicit finance activities</w:t>
      </w:r>
      <w:r w:rsidR="005544E4">
        <w:t>.</w:t>
      </w:r>
      <w:r w:rsidR="00D1295C">
        <w:t xml:space="preserve">  </w:t>
      </w:r>
      <w:r w:rsidR="00991B46">
        <w:t>In addition</w:t>
      </w:r>
      <w:r w:rsidR="00D1295C">
        <w:t>, FinCEN notes</w:t>
      </w:r>
      <w:r w:rsidR="00F0159B">
        <w:t xml:space="preserve"> that</w:t>
      </w:r>
      <w:r w:rsidR="00D1295C">
        <w:t xml:space="preserve"> the likelihood of overlap and the possibility of duplicate reporting </w:t>
      </w:r>
      <w:r w:rsidR="0025703A">
        <w:t xml:space="preserve">is </w:t>
      </w:r>
      <w:r w:rsidR="00D1295C">
        <w:t xml:space="preserve">significantly </w:t>
      </w:r>
      <w:r w:rsidR="008E6C33">
        <w:t xml:space="preserve">lower </w:t>
      </w:r>
      <w:r w:rsidR="00D1295C">
        <w:t xml:space="preserve">after the IFR, particularly since the IFR limits a reporting company to what has been previously referred to as a “foreign reporting company,” and the IFR limits the reporting of BOI only to a non-U.S. person.  </w:t>
      </w:r>
    </w:p>
    <w:p w:rsidR="00817440" w:rsidP="004E0E9A" w14:paraId="3EB39404" w14:textId="443899F6">
      <w:pPr>
        <w:pStyle w:val="ListParagraph"/>
        <w:numPr>
          <w:ilvl w:val="0"/>
          <w:numId w:val="7"/>
        </w:numPr>
        <w:spacing w:after="240"/>
        <w:ind w:left="720"/>
        <w:contextualSpacing w:val="0"/>
      </w:pPr>
      <w:r>
        <w:t>T</w:t>
      </w:r>
      <w:r w:rsidRPr="00630863">
        <w:t xml:space="preserve">he CTA requires the Administrator for Federal Procurement Policy to revise the Federal Acquisition Regulation maintained under 41 U.S.C. 1303(a)(1) to require any contractor or subcontractor that is subject to the reporting requirements of the CTA and </w:t>
      </w:r>
      <w:r>
        <w:t>the Reporting Rule</w:t>
      </w:r>
      <w:r w:rsidRPr="00630863">
        <w:t xml:space="preserve"> to disclose the same information to the </w:t>
      </w:r>
      <w:r>
        <w:t>F</w:t>
      </w:r>
      <w:r w:rsidRPr="00630863">
        <w:t>ederal government as part of any bid or proposal for a contract that meets the threshold set in 41 U.S.C. 134.</w:t>
      </w:r>
      <w:r>
        <w:rPr>
          <w:rStyle w:val="FootnoteReference"/>
        </w:rPr>
        <w:footnoteReference w:id="16"/>
      </w:r>
      <w:r w:rsidRPr="00630863">
        <w:t xml:space="preserve">  </w:t>
      </w:r>
      <w:r>
        <w:t>Additionally, Congress created a new beneficial ownership disclosure requirement for the database of Federal agency contract and grant officers that already exists pursuant to 41 U.S.C. 2313(d).  Through collaboration</w:t>
      </w:r>
      <w:r w:rsidRPr="00630863">
        <w:t xml:space="preserve"> with the Administrator for Federal Procurement Policy and other government agencies as necessary</w:t>
      </w:r>
      <w:r>
        <w:t>, FinCEN continues</w:t>
      </w:r>
      <w:r w:rsidRPr="00630863">
        <w:t xml:space="preserve"> to </w:t>
      </w:r>
      <w:r>
        <w:t>identify efforts that</w:t>
      </w:r>
      <w:r w:rsidRPr="00630863">
        <w:t xml:space="preserve"> </w:t>
      </w:r>
      <w:r>
        <w:t>reduce, to the extent possible, any</w:t>
      </w:r>
      <w:r w:rsidRPr="00630863">
        <w:t xml:space="preserve"> duplicati</w:t>
      </w:r>
      <w:r>
        <w:t>on</w:t>
      </w:r>
      <w:r w:rsidRPr="00630863">
        <w:t xml:space="preserve"> of the CTA requirements.</w:t>
      </w:r>
      <w:r>
        <w:t xml:space="preserve">  At this time, FinCEN determines there is no duplication of the information collected by the Administrator for Federal Procurement Policy.</w:t>
      </w:r>
    </w:p>
    <w:p w:rsidR="00BC34B9" w:rsidP="004E0E9A" w14:paraId="4D4AE09E" w14:textId="4FC7CA95">
      <w:pPr>
        <w:pStyle w:val="ListParagraph"/>
        <w:numPr>
          <w:ilvl w:val="0"/>
          <w:numId w:val="7"/>
        </w:numPr>
        <w:spacing w:after="240"/>
        <w:ind w:left="720"/>
        <w:contextualSpacing w:val="0"/>
      </w:pPr>
      <w:r>
        <w:t>FinCEN is aware that t</w:t>
      </w:r>
      <w:r w:rsidRPr="00D23061">
        <w:t>he IRS collects taxpayer information</w:t>
      </w:r>
      <w:r>
        <w:t xml:space="preserve"> that may include information related to beneficial ownership, such as information on entity ownership structure and identifying information about such </w:t>
      </w:r>
      <w:r w:rsidR="001A731C">
        <w:t xml:space="preserve">entities and their </w:t>
      </w:r>
      <w:r>
        <w:t>owners</w:t>
      </w:r>
      <w:r w:rsidRPr="00D23061">
        <w:t xml:space="preserve">. </w:t>
      </w:r>
      <w:r>
        <w:t xml:space="preserve"> </w:t>
      </w:r>
      <w:r w:rsidR="0087393F">
        <w:t>However,</w:t>
      </w:r>
      <w:r w:rsidR="4AAE7FAB">
        <w:t xml:space="preserve"> the IRS does not collect the same information required under the CTA. </w:t>
      </w:r>
      <w:r w:rsidR="00EF5A48">
        <w:t xml:space="preserve"> </w:t>
      </w:r>
      <w:r w:rsidR="4AAE7FAB">
        <w:t>Moreover, the</w:t>
      </w:r>
      <w:r w:rsidR="0087393F">
        <w:t xml:space="preserve"> disclosure of taxpayer information is </w:t>
      </w:r>
      <w:r w:rsidR="008A6008">
        <w:t>limited by statute</w:t>
      </w:r>
      <w:r w:rsidR="0087393F">
        <w:t xml:space="preserve">, and the IRS generally does not have authority to disclose such information </w:t>
      </w:r>
      <w:r w:rsidR="008A6008">
        <w:t xml:space="preserve">for the purposes </w:t>
      </w:r>
      <w:r w:rsidR="0049190B">
        <w:t>specified in</w:t>
      </w:r>
      <w:r w:rsidR="008A6008">
        <w:t xml:space="preserve"> the CTA</w:t>
      </w:r>
      <w:r w:rsidR="0087393F">
        <w:t xml:space="preserve">.  </w:t>
      </w:r>
      <w:r w:rsidR="00034FDE">
        <w:t xml:space="preserve">Therefore, FinCEN determines there is no duplication </w:t>
      </w:r>
      <w:r w:rsidR="00B3142A">
        <w:t xml:space="preserve">with the information collected </w:t>
      </w:r>
      <w:r w:rsidR="00034FDE">
        <w:t>by the IRS.</w:t>
      </w:r>
    </w:p>
    <w:p w:rsidR="00193447" w:rsidP="004E0E9A" w14:paraId="56F238CD" w14:textId="62B39DAC">
      <w:pPr>
        <w:pStyle w:val="ListParagraph"/>
        <w:numPr>
          <w:ilvl w:val="0"/>
          <w:numId w:val="7"/>
        </w:numPr>
        <w:spacing w:after="240"/>
        <w:ind w:left="720"/>
        <w:contextualSpacing w:val="0"/>
      </w:pPr>
      <w:r>
        <w:t xml:space="preserve">FinCEN is also aware that </w:t>
      </w:r>
      <w:r w:rsidR="00982055">
        <w:t xml:space="preserve">certain covered </w:t>
      </w:r>
      <w:r w:rsidRPr="00023B6D">
        <w:t xml:space="preserve">financial institutions subject to </w:t>
      </w:r>
      <w:r w:rsidR="000F48DA">
        <w:t>FinCEN’s 2016 rule</w:t>
      </w:r>
      <w:r w:rsidR="00B20ED8">
        <w:t xml:space="preserve"> regarding </w:t>
      </w:r>
      <w:r w:rsidR="00E877CF">
        <w:t>c</w:t>
      </w:r>
      <w:r w:rsidRPr="00B20ED8" w:rsidR="00B20ED8">
        <w:t xml:space="preserve">ustomer </w:t>
      </w:r>
      <w:r w:rsidR="00714F89">
        <w:t>d</w:t>
      </w:r>
      <w:r w:rsidRPr="00B20ED8" w:rsidR="00B20ED8">
        <w:t xml:space="preserve">ue </w:t>
      </w:r>
      <w:r w:rsidR="00714F89">
        <w:t>d</w:t>
      </w:r>
      <w:r w:rsidRPr="00B20ED8" w:rsidR="00B20ED8">
        <w:t xml:space="preserve">iligence </w:t>
      </w:r>
      <w:r w:rsidR="00714F89">
        <w:t>r</w:t>
      </w:r>
      <w:r w:rsidRPr="00B20ED8" w:rsidR="00B20ED8">
        <w:t xml:space="preserve">equirements for </w:t>
      </w:r>
      <w:r w:rsidR="00714F89">
        <w:t>f</w:t>
      </w:r>
      <w:r w:rsidRPr="00B20ED8" w:rsidR="00B20ED8">
        <w:t xml:space="preserve">inancial </w:t>
      </w:r>
      <w:r w:rsidR="00714F89">
        <w:t>i</w:t>
      </w:r>
      <w:r w:rsidRPr="00B20ED8" w:rsidR="00B20ED8">
        <w:t>nstitutions</w:t>
      </w:r>
      <w:r w:rsidR="000F48DA">
        <w:t xml:space="preserve"> </w:t>
      </w:r>
      <w:r w:rsidR="00B20ED8">
        <w:t>(</w:t>
      </w:r>
      <w:r w:rsidR="42D49721">
        <w:t xml:space="preserve">2016 </w:t>
      </w:r>
      <w:r w:rsidRPr="00023B6D">
        <w:t>CDD Rule</w:t>
      </w:r>
      <w:r w:rsidR="00B20ED8">
        <w:t>)</w:t>
      </w:r>
      <w:r>
        <w:rPr>
          <w:rStyle w:val="FootnoteReference"/>
        </w:rPr>
        <w:footnoteReference w:id="17"/>
      </w:r>
      <w:r w:rsidRPr="00023B6D">
        <w:t xml:space="preserve"> are required to collect</w:t>
      </w:r>
      <w:r>
        <w:t xml:space="preserve"> </w:t>
      </w:r>
      <w:r w:rsidR="00982055">
        <w:t xml:space="preserve">certain </w:t>
      </w:r>
      <w:r w:rsidR="106DC22A">
        <w:t>beneficial ownership information</w:t>
      </w:r>
      <w:r w:rsidRPr="00023B6D">
        <w:t xml:space="preserve"> from </w:t>
      </w:r>
      <w:r>
        <w:t xml:space="preserve">legal </w:t>
      </w:r>
      <w:r w:rsidRPr="00023B6D">
        <w:t xml:space="preserve">entities that establish </w:t>
      </w:r>
      <w:r>
        <w:t>new accounts</w:t>
      </w:r>
      <w:r w:rsidRPr="00023B6D">
        <w:t>.</w:t>
      </w:r>
      <w:r>
        <w:rPr>
          <w:rStyle w:val="FootnoteReference"/>
        </w:rPr>
        <w:footnoteReference w:id="18"/>
      </w:r>
      <w:r w:rsidRPr="00023B6D">
        <w:t xml:space="preserve">  </w:t>
      </w:r>
      <w:r>
        <w:t xml:space="preserve">However, </w:t>
      </w:r>
      <w:r w:rsidR="00982055">
        <w:t xml:space="preserve">the 2016 CDD Rule </w:t>
      </w:r>
      <w:r>
        <w:t xml:space="preserve">does not require </w:t>
      </w:r>
      <w:r w:rsidR="00E83A21">
        <w:t xml:space="preserve">covered </w:t>
      </w:r>
      <w:r>
        <w:t xml:space="preserve">financial institutions to </w:t>
      </w:r>
      <w:r>
        <w:t xml:space="preserve">file a report </w:t>
      </w:r>
      <w:r w:rsidR="106DC22A">
        <w:t xml:space="preserve">containing </w:t>
      </w:r>
      <w:r w:rsidR="007A293A">
        <w:t>BOI</w:t>
      </w:r>
      <w:r>
        <w:t xml:space="preserve"> </w:t>
      </w:r>
      <w:r>
        <w:t>with FinCEN</w:t>
      </w:r>
      <w:r w:rsidR="007C6D9F">
        <w:t xml:space="preserve">, and thereby </w:t>
      </w:r>
      <w:r w:rsidR="009D66F9">
        <w:t xml:space="preserve">limits </w:t>
      </w:r>
      <w:r w:rsidR="008B5F20">
        <w:t xml:space="preserve">the </w:t>
      </w:r>
      <w:r w:rsidR="00E83A21">
        <w:t>accessib</w:t>
      </w:r>
      <w:r w:rsidR="008B5F20">
        <w:t>ility of BOI to law enforcement and national security agenc</w:t>
      </w:r>
      <w:r w:rsidR="009D66F9">
        <w:t>i</w:t>
      </w:r>
      <w:r w:rsidR="008B5F20">
        <w:t>es</w:t>
      </w:r>
      <w:r>
        <w:t>.</w:t>
      </w:r>
      <w:r>
        <w:rPr>
          <w:rStyle w:val="FootnoteReference"/>
        </w:rPr>
        <w:footnoteReference w:id="19"/>
      </w:r>
      <w:r>
        <w:t xml:space="preserve">  </w:t>
      </w:r>
    </w:p>
    <w:p w:rsidR="00BC34B9" w:rsidP="004E0E9A" w14:paraId="4C97DC4C" w14:textId="0C4C9482">
      <w:pPr>
        <w:pStyle w:val="ListParagraph"/>
        <w:numPr>
          <w:ilvl w:val="0"/>
          <w:numId w:val="7"/>
        </w:numPr>
        <w:spacing w:after="240"/>
        <w:ind w:left="720"/>
        <w:contextualSpacing w:val="0"/>
      </w:pPr>
      <w:r>
        <w:t>Finally, FinCEN is aware that the Secure Federal LEASEs Act</w:t>
      </w:r>
      <w:r w:rsidR="00342399">
        <w:t xml:space="preserve"> requires most </w:t>
      </w:r>
      <w:r w:rsidR="002206A5">
        <w:t>F</w:t>
      </w:r>
      <w:r w:rsidR="00342399">
        <w:t>ederal agencies with leasing authority to identify the beneficial owners of prospective lessors before entering into leases of space intended as high security leased space, in conformity with a government-wide plan to be developed by General Services Administration (GSA).</w:t>
      </w:r>
      <w:r>
        <w:rPr>
          <w:rStyle w:val="FootnoteReference"/>
        </w:rPr>
        <w:footnoteReference w:id="20"/>
      </w:r>
      <w:r w:rsidR="00342399">
        <w:t xml:space="preserve">  </w:t>
      </w:r>
      <w:r w:rsidR="00697F4C">
        <w:t>At this time, FinCEN determines there is no duplication of the information collected by the GSA.</w:t>
      </w:r>
    </w:p>
    <w:p w:rsidR="00023164" w:rsidRPr="00582286" w:rsidP="00582286" w14:paraId="2E217663" w14:textId="769C1355">
      <w:pPr>
        <w:spacing w:after="240"/>
        <w:rPr>
          <w:szCs w:val="22"/>
          <w:u w:val="single"/>
        </w:rPr>
      </w:pPr>
      <w:r w:rsidRPr="005713B0">
        <w:rPr>
          <w:szCs w:val="22"/>
        </w:rPr>
        <w:t xml:space="preserve">5. </w:t>
      </w:r>
      <w:r w:rsidRPr="005713B0">
        <w:rPr>
          <w:szCs w:val="22"/>
          <w:u w:val="single"/>
        </w:rPr>
        <w:t>Metho</w:t>
      </w:r>
      <w:r w:rsidRPr="005713B0" w:rsidR="007E495B">
        <w:rPr>
          <w:szCs w:val="22"/>
          <w:u w:val="single"/>
        </w:rPr>
        <w:t>ds to minimize burden on small b</w:t>
      </w:r>
      <w:r w:rsidRPr="005713B0">
        <w:rPr>
          <w:szCs w:val="22"/>
          <w:u w:val="single"/>
        </w:rPr>
        <w:t xml:space="preserve">usinesses or </w:t>
      </w:r>
      <w:r w:rsidRPr="005713B0" w:rsidR="007E495B">
        <w:rPr>
          <w:szCs w:val="22"/>
          <w:u w:val="single"/>
        </w:rPr>
        <w:t>other small e</w:t>
      </w:r>
      <w:r w:rsidRPr="005713B0">
        <w:rPr>
          <w:szCs w:val="22"/>
          <w:u w:val="single"/>
        </w:rPr>
        <w:t>ntities</w:t>
      </w:r>
      <w:r w:rsidRPr="005713B0" w:rsidR="00384B9B">
        <w:rPr>
          <w:szCs w:val="22"/>
          <w:u w:val="single"/>
        </w:rPr>
        <w:t>.</w:t>
      </w:r>
    </w:p>
    <w:p w:rsidR="00A51027" w:rsidP="00582286" w14:paraId="39DFCB65" w14:textId="67F3B753">
      <w:pPr>
        <w:autoSpaceDE w:val="0"/>
        <w:autoSpaceDN w:val="0"/>
        <w:adjustRightInd w:val="0"/>
        <w:spacing w:after="240"/>
        <w:ind w:firstLine="720"/>
      </w:pPr>
      <w:r>
        <w:t xml:space="preserve">FinCEN </w:t>
      </w:r>
      <w:r w:rsidR="0070295E">
        <w:t xml:space="preserve">recognizes </w:t>
      </w:r>
      <w:r>
        <w:t xml:space="preserve">in the Reporting Rule that </w:t>
      </w:r>
      <w:r w:rsidR="002E03EE">
        <w:t>BOI reporting requirements imp</w:t>
      </w:r>
      <w:r w:rsidR="0091589A">
        <w:t>ose</w:t>
      </w:r>
      <w:r w:rsidR="002E03EE">
        <w:t xml:space="preserve"> burden</w:t>
      </w:r>
      <w:r w:rsidR="00CC4680">
        <w:t>s</w:t>
      </w:r>
      <w:r w:rsidR="002E03EE">
        <w:t xml:space="preserve"> on</w:t>
      </w:r>
      <w:r w:rsidR="000A471B">
        <w:t xml:space="preserve"> </w:t>
      </w:r>
      <w:r w:rsidR="00C642D2">
        <w:t xml:space="preserve">a </w:t>
      </w:r>
      <w:r w:rsidR="002E03EE">
        <w:t>small business t</w:t>
      </w:r>
      <w:r w:rsidR="001D69BD">
        <w:t xml:space="preserve">hat </w:t>
      </w:r>
      <w:r w:rsidR="00EA0489">
        <w:t>meet</w:t>
      </w:r>
      <w:r w:rsidR="00C642D2">
        <w:t>s</w:t>
      </w:r>
      <w:r w:rsidR="00EA0489">
        <w:t xml:space="preserve"> the definition of</w:t>
      </w:r>
      <w:r w:rsidR="005713B0">
        <w:t xml:space="preserve"> </w:t>
      </w:r>
      <w:r w:rsidR="007E38B6">
        <w:t xml:space="preserve">a </w:t>
      </w:r>
      <w:r w:rsidR="005713B0">
        <w:t xml:space="preserve">reporting </w:t>
      </w:r>
      <w:r w:rsidR="007E38B6">
        <w:t>company</w:t>
      </w:r>
      <w:r w:rsidR="001D69BD">
        <w:t>.</w:t>
      </w:r>
      <w:r w:rsidR="00A33C56">
        <w:t xml:space="preserve"> </w:t>
      </w:r>
      <w:r w:rsidR="00534ABE">
        <w:t xml:space="preserve"> </w:t>
      </w:r>
      <w:r w:rsidR="008F5390">
        <w:t xml:space="preserve">With </w:t>
      </w:r>
      <w:r w:rsidR="00534ABE">
        <w:t>the IFR</w:t>
      </w:r>
      <w:r w:rsidR="00A33C56">
        <w:t xml:space="preserve">, </w:t>
      </w:r>
      <w:r w:rsidR="00C00099">
        <w:t>FinCEN</w:t>
      </w:r>
      <w:r w:rsidR="000517D1">
        <w:t xml:space="preserve"> </w:t>
      </w:r>
      <w:r>
        <w:t xml:space="preserve">is </w:t>
      </w:r>
      <w:r w:rsidR="00350F37">
        <w:t>advancing</w:t>
      </w:r>
      <w:r>
        <w:t xml:space="preserve"> </w:t>
      </w:r>
      <w:r w:rsidR="00AF1F66">
        <w:t>Executive Order 14192</w:t>
      </w:r>
      <w:r w:rsidR="000C121C">
        <w:t>’s polic</w:t>
      </w:r>
      <w:r w:rsidR="008B0ADA">
        <w:t>ies</w:t>
      </w:r>
      <w:r w:rsidR="00AF1F66">
        <w:t xml:space="preserve"> </w:t>
      </w:r>
      <w:r w:rsidR="008B0ADA">
        <w:t>to “</w:t>
      </w:r>
      <w:r w:rsidRPr="008B0ADA" w:rsidR="008B0ADA">
        <w:t>significantly reduce the private expenditures required to comply with Federal regulations to secure America</w:t>
      </w:r>
      <w:r w:rsidR="006A30B9">
        <w:t>’</w:t>
      </w:r>
      <w:r w:rsidRPr="008B0ADA" w:rsidR="008B0ADA">
        <w:t>s economic prosperity and national security and the highest possible quality of life for each citizen</w:t>
      </w:r>
      <w:r w:rsidR="008B0ADA">
        <w:t xml:space="preserve">” and </w:t>
      </w:r>
      <w:r w:rsidRPr="00AF1F66" w:rsidR="00AF1F66">
        <w:t>“alleviate unnecessary regulatory burdens placed on the American people</w:t>
      </w:r>
      <w:r w:rsidR="00604015">
        <w:t>,</w:t>
      </w:r>
      <w:r w:rsidRPr="00AF1F66" w:rsidR="00AF1F66">
        <w:t>”</w:t>
      </w:r>
      <w:r>
        <w:rPr>
          <w:rStyle w:val="FootnoteReference"/>
        </w:rPr>
        <w:footnoteReference w:id="21"/>
      </w:r>
      <w:r w:rsidR="00604015">
        <w:t xml:space="preserve"> including small businesses or other small entities.</w:t>
      </w:r>
      <w:r w:rsidRPr="00AF1F66" w:rsidR="00AF1F66">
        <w:t xml:space="preserve">  </w:t>
      </w:r>
    </w:p>
    <w:p w:rsidR="00A31AC8" w:rsidRPr="000D207E" w:rsidP="00582286" w14:paraId="356FAD56" w14:textId="50929892">
      <w:pPr>
        <w:autoSpaceDE w:val="0"/>
        <w:autoSpaceDN w:val="0"/>
        <w:adjustRightInd w:val="0"/>
        <w:spacing w:after="240"/>
        <w:ind w:firstLine="720"/>
      </w:pPr>
      <w:r>
        <w:t xml:space="preserve">Prior to the IFR, </w:t>
      </w:r>
      <w:r w:rsidR="00781055">
        <w:t xml:space="preserve">many </w:t>
      </w:r>
      <w:r>
        <w:t>s</w:t>
      </w:r>
      <w:r w:rsidR="002F0F97">
        <w:t xml:space="preserve">mall businesses </w:t>
      </w:r>
      <w:r w:rsidR="00DA1DF7">
        <w:t xml:space="preserve">subject to the Reporting Rule </w:t>
      </w:r>
      <w:r w:rsidR="00781055">
        <w:t>were</w:t>
      </w:r>
      <w:r w:rsidR="005C15D2">
        <w:t xml:space="preserve"> </w:t>
      </w:r>
      <w:r w:rsidR="00847795">
        <w:t>what the R</w:t>
      </w:r>
      <w:r w:rsidR="008844ED">
        <w:t xml:space="preserve">ule </w:t>
      </w:r>
      <w:r w:rsidR="00596396">
        <w:t>labeled</w:t>
      </w:r>
      <w:r w:rsidR="003D2872">
        <w:t xml:space="preserve"> “domestic </w:t>
      </w:r>
      <w:r w:rsidR="000517D1">
        <w:t>reporting companies</w:t>
      </w:r>
      <w:r w:rsidR="00CD45E7">
        <w:t>.</w:t>
      </w:r>
      <w:r w:rsidR="003D2872">
        <w:t xml:space="preserve">” </w:t>
      </w:r>
      <w:r w:rsidR="005D3BDE">
        <w:t xml:space="preserve"> </w:t>
      </w:r>
      <w:r w:rsidR="00312EC9">
        <w:t>B</w:t>
      </w:r>
      <w:r w:rsidR="003C27EE">
        <w:t xml:space="preserve">y </w:t>
      </w:r>
      <w:r w:rsidRPr="00534ABE" w:rsidR="00534ABE">
        <w:t xml:space="preserve">exempting </w:t>
      </w:r>
      <w:r w:rsidR="00596396">
        <w:t>these</w:t>
      </w:r>
      <w:r w:rsidR="004219EB">
        <w:t xml:space="preserve"> </w:t>
      </w:r>
      <w:r w:rsidR="005D3BDE">
        <w:t xml:space="preserve">domestic reporting companies </w:t>
      </w:r>
      <w:r w:rsidR="004219EB">
        <w:t xml:space="preserve">from the </w:t>
      </w:r>
      <w:r w:rsidR="000C5208">
        <w:t>Reporting Rule</w:t>
      </w:r>
      <w:r w:rsidR="003C27EE">
        <w:t>, the IFR</w:t>
      </w:r>
      <w:r w:rsidR="000C5208">
        <w:t xml:space="preserve"> </w:t>
      </w:r>
      <w:r w:rsidR="00EB4C69">
        <w:t xml:space="preserve">thereby </w:t>
      </w:r>
      <w:r w:rsidR="00B56546">
        <w:t>minimizes the burden on small business or other small entities</w:t>
      </w:r>
      <w:r w:rsidR="007466B9">
        <w:t xml:space="preserve"> but still fulfills the statutory requirements of the CTA</w:t>
      </w:r>
      <w:r w:rsidR="00B56546">
        <w:t xml:space="preserve">.  </w:t>
      </w:r>
      <w:r w:rsidR="00653602">
        <w:t>S</w:t>
      </w:r>
      <w:r w:rsidR="00CE24F3">
        <w:t xml:space="preserve">mall businesses or other small entities remain </w:t>
      </w:r>
      <w:r w:rsidRPr="000D207E" w:rsidR="00CE24F3">
        <w:t xml:space="preserve">subject to the Reporting Rule only if they </w:t>
      </w:r>
      <w:r w:rsidR="00CE24F3">
        <w:t xml:space="preserve">are foreign </w:t>
      </w:r>
      <w:r w:rsidR="00167437">
        <w:t>entities</w:t>
      </w:r>
      <w:r w:rsidR="00AF45D2">
        <w:t xml:space="preserve"> </w:t>
      </w:r>
      <w:r w:rsidRPr="000D207E" w:rsidR="00CE24F3">
        <w:t>register</w:t>
      </w:r>
      <w:r w:rsidR="00CE24F3">
        <w:t>ed</w:t>
      </w:r>
      <w:r w:rsidRPr="000D207E" w:rsidR="00CE24F3">
        <w:t xml:space="preserve"> to do business in the United States, </w:t>
      </w:r>
      <w:r w:rsidR="00CE24F3">
        <w:t xml:space="preserve">typically through the </w:t>
      </w:r>
      <w:r w:rsidRPr="000D207E" w:rsidR="00CE24F3">
        <w:t xml:space="preserve">filing </w:t>
      </w:r>
      <w:r w:rsidR="00CE24F3">
        <w:t xml:space="preserve">of </w:t>
      </w:r>
      <w:r w:rsidRPr="000D207E" w:rsidR="00CE24F3">
        <w:t xml:space="preserve">a </w:t>
      </w:r>
      <w:r w:rsidR="00CE24F3">
        <w:t xml:space="preserve">business registration </w:t>
      </w:r>
      <w:r w:rsidRPr="000D207E" w:rsidR="00CE24F3">
        <w:t>document</w:t>
      </w:r>
      <w:r w:rsidR="00CE24F3">
        <w:t>, or similar document,</w:t>
      </w:r>
      <w:r w:rsidRPr="000D207E" w:rsidR="00CE24F3">
        <w:t xml:space="preserve"> </w:t>
      </w:r>
      <w:r w:rsidR="00CE24F3">
        <w:t xml:space="preserve">with state authorities </w:t>
      </w:r>
      <w:r w:rsidRPr="000D207E" w:rsidR="00CE24F3">
        <w:t>in the United States</w:t>
      </w:r>
      <w:r w:rsidR="00492224">
        <w:t xml:space="preserve"> (what the Reporting Rule previously referred to as “foreign reporting companies”</w:t>
      </w:r>
      <w:r w:rsidR="005E06B4">
        <w:t>)</w:t>
      </w:r>
      <w:r w:rsidRPr="000D207E" w:rsidR="00CE24F3">
        <w:t>.</w:t>
      </w:r>
      <w:r w:rsidR="002A4C24">
        <w:t xml:space="preserve">  </w:t>
      </w:r>
      <w:r w:rsidR="007A7D1D">
        <w:t>As described in the IFR, f</w:t>
      </w:r>
      <w:r w:rsidRPr="000D207E" w:rsidR="000D207E">
        <w:t>oreign companie</w:t>
      </w:r>
      <w:r w:rsidR="007B299E">
        <w:t>s</w:t>
      </w:r>
      <w:r w:rsidR="000D207E">
        <w:t xml:space="preserve">, </w:t>
      </w:r>
      <w:r w:rsidR="003B48F4">
        <w:t>even if they are small businesses</w:t>
      </w:r>
      <w:r w:rsidR="000D207E">
        <w:t xml:space="preserve">, </w:t>
      </w:r>
      <w:r w:rsidRPr="000D207E" w:rsidR="000D207E">
        <w:t xml:space="preserve">present </w:t>
      </w:r>
      <w:r w:rsidR="00EB53EA">
        <w:t>higher risks for money laundering</w:t>
      </w:r>
      <w:r w:rsidR="0026753F">
        <w:t xml:space="preserve"> and </w:t>
      </w:r>
      <w:r w:rsidR="00EB53EA">
        <w:t>terrorist financing</w:t>
      </w:r>
      <w:r w:rsidR="00C308A6">
        <w:t xml:space="preserve">, </w:t>
      </w:r>
      <w:r w:rsidR="0078344B">
        <w:t>while raising</w:t>
      </w:r>
      <w:r w:rsidR="0026753F">
        <w:t xml:space="preserve"> </w:t>
      </w:r>
      <w:r w:rsidRPr="000D207E" w:rsidR="000D207E">
        <w:t xml:space="preserve">fewer concerns regarding regulatory burdens </w:t>
      </w:r>
      <w:r w:rsidR="0031221F">
        <w:t>that would not serve the public interest</w:t>
      </w:r>
      <w:r w:rsidRPr="000D207E" w:rsidR="000D207E">
        <w:t xml:space="preserve">.   </w:t>
      </w:r>
      <w:r w:rsidR="00AB1CC7">
        <w:t xml:space="preserve"> </w:t>
      </w:r>
    </w:p>
    <w:p w:rsidR="00072689" w:rsidRPr="00023164" w:rsidP="00582286" w14:paraId="52D9C754" w14:textId="542FE824">
      <w:pPr>
        <w:autoSpaceDE w:val="0"/>
        <w:autoSpaceDN w:val="0"/>
        <w:adjustRightInd w:val="0"/>
        <w:spacing w:after="240"/>
        <w:ind w:firstLine="720"/>
      </w:pPr>
      <w:r>
        <w:t xml:space="preserve">FinCEN </w:t>
      </w:r>
      <w:r w:rsidR="006074B9">
        <w:t xml:space="preserve">intends to further </w:t>
      </w:r>
      <w:r w:rsidRPr="00D64A88" w:rsidR="00D64A88">
        <w:t xml:space="preserve">minimize the burden on small businesses </w:t>
      </w:r>
      <w:r w:rsidR="00620149">
        <w:t xml:space="preserve">or other small entities subject to the Reporting Rule </w:t>
      </w:r>
      <w:r w:rsidR="00B31C60">
        <w:t>by updating</w:t>
      </w:r>
      <w:r w:rsidR="00620149">
        <w:t xml:space="preserve"> the </w:t>
      </w:r>
      <w:r w:rsidRPr="00D64A88" w:rsidR="00D64A88">
        <w:t>Small Entity Compliance Guide</w:t>
      </w:r>
      <w:r w:rsidR="00620149">
        <w:t xml:space="preserve"> </w:t>
      </w:r>
      <w:r w:rsidR="00B31C60">
        <w:t>and other guidance materials</w:t>
      </w:r>
      <w:r w:rsidR="00620149">
        <w:t xml:space="preserve"> </w:t>
      </w:r>
      <w:r w:rsidR="00B31C60">
        <w:t xml:space="preserve">to </w:t>
      </w:r>
      <w:r w:rsidR="00620149">
        <w:t>reflect</w:t>
      </w:r>
      <w:r w:rsidR="00B31C60">
        <w:t xml:space="preserve"> the IFR’s changes to </w:t>
      </w:r>
      <w:r w:rsidR="00111BE8">
        <w:t>BOI reporting requirements</w:t>
      </w:r>
      <w:r w:rsidR="00F92A4F">
        <w:t xml:space="preserve"> and</w:t>
      </w:r>
      <w:r w:rsidR="009349F7">
        <w:t xml:space="preserve"> clearly explain </w:t>
      </w:r>
      <w:r w:rsidR="002850C9">
        <w:t>the inform</w:t>
      </w:r>
      <w:r w:rsidR="0010761D">
        <w:t xml:space="preserve">ation </w:t>
      </w:r>
      <w:r w:rsidR="006D39C6">
        <w:t xml:space="preserve">that </w:t>
      </w:r>
      <w:r w:rsidRPr="00D64A88" w:rsidR="00D64A88">
        <w:t>need</w:t>
      </w:r>
      <w:r w:rsidR="009358BF">
        <w:t>s</w:t>
      </w:r>
      <w:r w:rsidRPr="00D64A88" w:rsidR="00D64A88">
        <w:t xml:space="preserve"> to </w:t>
      </w:r>
      <w:r w:rsidR="006D39C6">
        <w:t xml:space="preserve">be </w:t>
      </w:r>
      <w:r w:rsidRPr="00D64A88" w:rsidR="00D64A88">
        <w:t>report</w:t>
      </w:r>
      <w:r w:rsidR="006D39C6">
        <w:t>ed</w:t>
      </w:r>
      <w:r w:rsidRPr="00D64A88" w:rsidR="00D64A88">
        <w:t>.</w:t>
      </w:r>
    </w:p>
    <w:p w:rsidR="00BC2AA4" w:rsidP="00582286" w14:paraId="66970833" w14:textId="77777777">
      <w:pPr>
        <w:spacing w:after="240"/>
        <w:rPr>
          <w:szCs w:val="22"/>
        </w:rPr>
      </w:pPr>
    </w:p>
    <w:p w:rsidR="00600940" w:rsidP="00582286" w14:paraId="02259CBA" w14:textId="7DA2B8C3">
      <w:pPr>
        <w:spacing w:after="240"/>
        <w:rPr>
          <w:szCs w:val="22"/>
        </w:rPr>
      </w:pPr>
      <w:r>
        <w:rPr>
          <w:szCs w:val="22"/>
        </w:rPr>
        <w:t xml:space="preserve">6. </w:t>
      </w:r>
      <w:r w:rsidR="007E495B">
        <w:rPr>
          <w:szCs w:val="22"/>
          <w:u w:val="single"/>
        </w:rPr>
        <w:t>Consequences to the Federal g</w:t>
      </w:r>
      <w:r>
        <w:rPr>
          <w:szCs w:val="22"/>
          <w:u w:val="single"/>
        </w:rPr>
        <w:t xml:space="preserve">overnment of </w:t>
      </w:r>
      <w:r w:rsidR="007E495B">
        <w:rPr>
          <w:szCs w:val="22"/>
          <w:u w:val="single"/>
        </w:rPr>
        <w:t>n</w:t>
      </w:r>
      <w:r>
        <w:rPr>
          <w:szCs w:val="22"/>
          <w:u w:val="single"/>
        </w:rPr>
        <w:t xml:space="preserve">ot </w:t>
      </w:r>
      <w:r w:rsidR="007E495B">
        <w:rPr>
          <w:szCs w:val="22"/>
          <w:u w:val="single"/>
        </w:rPr>
        <w:t>collecting the i</w:t>
      </w:r>
      <w:r>
        <w:rPr>
          <w:szCs w:val="22"/>
          <w:u w:val="single"/>
        </w:rPr>
        <w:t>nformation.</w:t>
      </w:r>
      <w:r>
        <w:rPr>
          <w:szCs w:val="22"/>
        </w:rPr>
        <w:t xml:space="preserve"> </w:t>
      </w:r>
    </w:p>
    <w:p w:rsidR="00073618" w:rsidP="00582286" w14:paraId="2CDEE134" w14:textId="34A779DE">
      <w:pPr>
        <w:spacing w:after="240"/>
        <w:ind w:firstLine="720"/>
        <w:rPr>
          <w:szCs w:val="22"/>
        </w:rPr>
      </w:pPr>
      <w:r w:rsidRPr="009C79E1">
        <w:rPr>
          <w:szCs w:val="22"/>
        </w:rPr>
        <w:t>Legal entities</w:t>
      </w:r>
      <w:r w:rsidR="006E4717">
        <w:rPr>
          <w:szCs w:val="22"/>
        </w:rPr>
        <w:t>,</w:t>
      </w:r>
      <w:r w:rsidRPr="009C79E1">
        <w:rPr>
          <w:szCs w:val="22"/>
        </w:rPr>
        <w:t xml:space="preserve"> </w:t>
      </w:r>
      <w:r w:rsidR="006E4717">
        <w:rPr>
          <w:szCs w:val="22"/>
        </w:rPr>
        <w:t>including</w:t>
      </w:r>
      <w:r w:rsidRPr="009C79E1">
        <w:rPr>
          <w:szCs w:val="22"/>
        </w:rPr>
        <w:t xml:space="preserve"> corporations, limited liability companies, </w:t>
      </w:r>
      <w:r w:rsidR="006E4717">
        <w:rPr>
          <w:szCs w:val="22"/>
        </w:rPr>
        <w:t xml:space="preserve">and similar entities, </w:t>
      </w:r>
      <w:r w:rsidRPr="009C79E1">
        <w:rPr>
          <w:szCs w:val="22"/>
        </w:rPr>
        <w:t xml:space="preserve">play an essential and legitimate role in the U.S. and global economies.  </w:t>
      </w:r>
      <w:r>
        <w:rPr>
          <w:szCs w:val="22"/>
        </w:rPr>
        <w:t>However, t</w:t>
      </w:r>
      <w:r w:rsidRPr="009C79E1">
        <w:rPr>
          <w:szCs w:val="22"/>
        </w:rPr>
        <w:t xml:space="preserve">hey can also be used to engage in illicit activity, launder </w:t>
      </w:r>
      <w:r w:rsidR="00743F79">
        <w:rPr>
          <w:szCs w:val="22"/>
        </w:rPr>
        <w:t xml:space="preserve">the </w:t>
      </w:r>
      <w:r w:rsidRPr="009C79E1">
        <w:rPr>
          <w:szCs w:val="22"/>
        </w:rPr>
        <w:t>proceeds</w:t>
      </w:r>
      <w:r w:rsidR="00743F79">
        <w:rPr>
          <w:szCs w:val="22"/>
        </w:rPr>
        <w:t xml:space="preserve"> of illicit activity</w:t>
      </w:r>
      <w:r w:rsidRPr="009C79E1">
        <w:rPr>
          <w:szCs w:val="22"/>
        </w:rPr>
        <w:t>, or enable those who threaten U.S. national security to access and transact in the U.S. economy.</w:t>
      </w:r>
      <w:r w:rsidR="009A0897">
        <w:rPr>
          <w:szCs w:val="22"/>
        </w:rPr>
        <w:t xml:space="preserve">  </w:t>
      </w:r>
      <w:r w:rsidR="002E3062">
        <w:rPr>
          <w:szCs w:val="22"/>
        </w:rPr>
        <w:t>Although the IFR exempts domestic companies and the</w:t>
      </w:r>
      <w:r w:rsidR="003C042B">
        <w:rPr>
          <w:szCs w:val="22"/>
        </w:rPr>
        <w:t>i</w:t>
      </w:r>
      <w:r w:rsidR="002E3062">
        <w:rPr>
          <w:szCs w:val="22"/>
        </w:rPr>
        <w:t>r beneficial owners from the requirements of the Reporting Rule</w:t>
      </w:r>
      <w:r w:rsidR="003C042B">
        <w:rPr>
          <w:szCs w:val="22"/>
        </w:rPr>
        <w:t xml:space="preserve"> </w:t>
      </w:r>
      <w:r w:rsidR="00595341">
        <w:rPr>
          <w:szCs w:val="22"/>
        </w:rPr>
        <w:t>based on considerations of burden discussed above</w:t>
      </w:r>
      <w:r w:rsidR="002E3062">
        <w:rPr>
          <w:szCs w:val="22"/>
        </w:rPr>
        <w:t xml:space="preserve">, </w:t>
      </w:r>
      <w:r w:rsidR="0077240F">
        <w:rPr>
          <w:szCs w:val="22"/>
        </w:rPr>
        <w:t xml:space="preserve">the IFR </w:t>
      </w:r>
      <w:r w:rsidR="00BC78D1">
        <w:rPr>
          <w:szCs w:val="22"/>
        </w:rPr>
        <w:t>explains</w:t>
      </w:r>
      <w:r w:rsidR="0077240F">
        <w:rPr>
          <w:szCs w:val="22"/>
        </w:rPr>
        <w:t xml:space="preserve"> that</w:t>
      </w:r>
      <w:r w:rsidR="00BC78D1">
        <w:rPr>
          <w:szCs w:val="22"/>
        </w:rPr>
        <w:t xml:space="preserve"> BOI </w:t>
      </w:r>
      <w:r w:rsidR="00393BDE">
        <w:rPr>
          <w:szCs w:val="22"/>
        </w:rPr>
        <w:t xml:space="preserve">reporting </w:t>
      </w:r>
      <w:r w:rsidR="00BC78D1">
        <w:rPr>
          <w:szCs w:val="22"/>
        </w:rPr>
        <w:t>of</w:t>
      </w:r>
      <w:r w:rsidR="0077240F">
        <w:rPr>
          <w:szCs w:val="22"/>
        </w:rPr>
        <w:t xml:space="preserve"> foreign reporting companies </w:t>
      </w:r>
      <w:r w:rsidR="00393BDE">
        <w:rPr>
          <w:szCs w:val="22"/>
        </w:rPr>
        <w:t xml:space="preserve">is needed </w:t>
      </w:r>
      <w:r w:rsidR="00BC78D1">
        <w:rPr>
          <w:szCs w:val="22"/>
        </w:rPr>
        <w:t>because</w:t>
      </w:r>
      <w:r w:rsidR="00393BDE">
        <w:rPr>
          <w:szCs w:val="22"/>
        </w:rPr>
        <w:t xml:space="preserve"> these entities</w:t>
      </w:r>
      <w:r w:rsidR="00BC78D1">
        <w:rPr>
          <w:szCs w:val="22"/>
        </w:rPr>
        <w:t xml:space="preserve"> </w:t>
      </w:r>
      <w:r w:rsidR="0077240F">
        <w:rPr>
          <w:szCs w:val="22"/>
        </w:rPr>
        <w:t>present heightened national security and illicit finance risks</w:t>
      </w:r>
      <w:r w:rsidR="00B16FBC">
        <w:rPr>
          <w:szCs w:val="22"/>
        </w:rPr>
        <w:t xml:space="preserve">. </w:t>
      </w:r>
      <w:r w:rsidR="0077240F">
        <w:rPr>
          <w:szCs w:val="22"/>
        </w:rPr>
        <w:t xml:space="preserve"> </w:t>
      </w:r>
      <w:r w:rsidR="00E83069">
        <w:rPr>
          <w:szCs w:val="22"/>
        </w:rPr>
        <w:t>For instance, the IFR</w:t>
      </w:r>
      <w:r w:rsidR="009153CD">
        <w:rPr>
          <w:szCs w:val="22"/>
        </w:rPr>
        <w:t xml:space="preserve"> preamble</w:t>
      </w:r>
      <w:r w:rsidR="00E83069">
        <w:rPr>
          <w:szCs w:val="22"/>
        </w:rPr>
        <w:t xml:space="preserve"> notes that </w:t>
      </w:r>
      <w:r w:rsidRPr="0051105B" w:rsidR="0051105B">
        <w:rPr>
          <w:szCs w:val="22"/>
        </w:rPr>
        <w:t xml:space="preserve">Congress, through certain provisions in the CTA, recognized these heightened concerns about national security and illicit finance risks posed by foreign ownership or foreign control of reporting companies.  Congress thus limited certain CTA exemptions to companies that are exclusively domestic.  </w:t>
      </w:r>
    </w:p>
    <w:p w:rsidR="009C79E1" w:rsidRPr="00AB3047" w:rsidP="00582286" w14:paraId="4F8946AE" w14:textId="3B2F04E3">
      <w:pPr>
        <w:spacing w:after="240"/>
        <w:ind w:firstLine="720"/>
        <w:rPr>
          <w:szCs w:val="22"/>
        </w:rPr>
      </w:pPr>
      <w:r>
        <w:rPr>
          <w:szCs w:val="22"/>
        </w:rPr>
        <w:t xml:space="preserve">The IFR </w:t>
      </w:r>
      <w:r w:rsidR="009153CD">
        <w:rPr>
          <w:szCs w:val="22"/>
        </w:rPr>
        <w:t xml:space="preserve">preamble </w:t>
      </w:r>
      <w:r>
        <w:rPr>
          <w:szCs w:val="22"/>
        </w:rPr>
        <w:t>also discusse</w:t>
      </w:r>
      <w:r w:rsidR="009153CD">
        <w:rPr>
          <w:szCs w:val="22"/>
        </w:rPr>
        <w:t>s</w:t>
      </w:r>
      <w:r>
        <w:rPr>
          <w:szCs w:val="22"/>
        </w:rPr>
        <w:t xml:space="preserve"> t</w:t>
      </w:r>
      <w:r w:rsidRPr="00D81E6B">
        <w:rPr>
          <w:rFonts w:eastAsia="Calibri"/>
          <w14:ligatures w14:val="standardContextual"/>
        </w:rPr>
        <w:t>he Financial Action Task Force (FATF)</w:t>
      </w:r>
      <w:r>
        <w:rPr>
          <w:rFonts w:eastAsia="Calibri"/>
          <w:vertAlign w:val="superscript"/>
          <w14:ligatures w14:val="standardContextual"/>
        </w:rPr>
        <w:footnoteReference w:id="22"/>
      </w:r>
      <w:r w:rsidRPr="00D81E6B">
        <w:rPr>
          <w:rFonts w:eastAsia="Calibri"/>
          <w14:ligatures w14:val="standardContextual"/>
        </w:rPr>
        <w:t xml:space="preserve"> Report on the Concealment of Beneficial Ownership</w:t>
      </w:r>
      <w:r w:rsidR="00343549">
        <w:rPr>
          <w:rFonts w:eastAsia="Calibri"/>
          <w14:ligatures w14:val="standardContextual"/>
        </w:rPr>
        <w:t xml:space="preserve"> and </w:t>
      </w:r>
      <w:r w:rsidR="009153CD">
        <w:rPr>
          <w:rFonts w:eastAsia="Calibri"/>
          <w14:ligatures w14:val="standardContextual"/>
        </w:rPr>
        <w:t xml:space="preserve">notes that </w:t>
      </w:r>
      <w:r w:rsidRPr="001C5BA5" w:rsidR="001C5BA5">
        <w:rPr>
          <w:rFonts w:eastAsia="Calibri"/>
          <w14:ligatures w14:val="standardContextual"/>
        </w:rPr>
        <w:t xml:space="preserve">the majority </w:t>
      </w:r>
      <w:r w:rsidR="00B8080C">
        <w:rPr>
          <w:rFonts w:eastAsia="Calibri"/>
          <w14:ligatures w14:val="standardContextual"/>
        </w:rPr>
        <w:t>of</w:t>
      </w:r>
      <w:r w:rsidR="00B8080C">
        <w:rPr>
          <w:rFonts w:eastAsia="Calibri"/>
          <w14:ligatures w14:val="standardContextual"/>
        </w:rPr>
        <w:t xml:space="preserve"> cases analyzed by FATF involving shell companies being used for </w:t>
      </w:r>
      <w:r w:rsidR="004855C8">
        <w:rPr>
          <w:rFonts w:eastAsia="Calibri"/>
          <w14:ligatures w14:val="standardContextual"/>
        </w:rPr>
        <w:t>illicit purposes</w:t>
      </w:r>
      <w:r w:rsidR="00B8080C">
        <w:rPr>
          <w:rFonts w:eastAsia="Calibri"/>
          <w14:ligatures w14:val="standardContextual"/>
        </w:rPr>
        <w:t xml:space="preserve"> </w:t>
      </w:r>
      <w:r w:rsidRPr="001C5BA5" w:rsidR="001C5BA5">
        <w:rPr>
          <w:rFonts w:eastAsia="Calibri"/>
          <w14:ligatures w14:val="standardContextual"/>
        </w:rPr>
        <w:t>included a corporation located in a foreign jurisdiction</w:t>
      </w:r>
      <w:r w:rsidRPr="00D81E6B">
        <w:rPr>
          <w:rFonts w:eastAsia="Calibri"/>
          <w14:ligatures w14:val="standardContextual"/>
        </w:rPr>
        <w:t xml:space="preserve">.  </w:t>
      </w:r>
      <w:r w:rsidRPr="00760DA3" w:rsidR="00760DA3">
        <w:rPr>
          <w:szCs w:val="22"/>
        </w:rPr>
        <w:t xml:space="preserve">  </w:t>
      </w:r>
    </w:p>
    <w:p w:rsidR="00671FA7" w:rsidP="00582286" w14:paraId="71959C8E" w14:textId="77777777">
      <w:pPr>
        <w:spacing w:after="240"/>
        <w:ind w:firstLine="720"/>
        <w:rPr>
          <w:szCs w:val="22"/>
        </w:rPr>
      </w:pPr>
      <w:r w:rsidRPr="00AB3047">
        <w:rPr>
          <w:szCs w:val="22"/>
        </w:rPr>
        <w:t xml:space="preserve">Requiring the disclosure of </w:t>
      </w:r>
      <w:r w:rsidRPr="00AB3047" w:rsidR="00F8572E">
        <w:rPr>
          <w:szCs w:val="22"/>
        </w:rPr>
        <w:t>beneficial owners and company applicants</w:t>
      </w:r>
      <w:r w:rsidR="00F04CB9">
        <w:rPr>
          <w:szCs w:val="22"/>
        </w:rPr>
        <w:t xml:space="preserve"> of foreign reporting companies</w:t>
      </w:r>
      <w:r w:rsidRPr="00AB3047" w:rsidR="00F8572E">
        <w:rPr>
          <w:szCs w:val="22"/>
        </w:rPr>
        <w:t xml:space="preserve"> </w:t>
      </w:r>
      <w:r w:rsidR="00E90A4C">
        <w:rPr>
          <w:szCs w:val="22"/>
        </w:rPr>
        <w:t>is</w:t>
      </w:r>
      <w:r w:rsidR="00F04CB9">
        <w:rPr>
          <w:szCs w:val="22"/>
        </w:rPr>
        <w:t xml:space="preserve"> thus</w:t>
      </w:r>
      <w:r w:rsidR="00E90A4C">
        <w:rPr>
          <w:szCs w:val="22"/>
        </w:rPr>
        <w:t xml:space="preserve"> intended to </w:t>
      </w:r>
      <w:r w:rsidRPr="00AB3047">
        <w:rPr>
          <w:szCs w:val="22"/>
        </w:rPr>
        <w:t xml:space="preserve">help </w:t>
      </w:r>
      <w:r w:rsidRPr="00AB3047" w:rsidR="00406859">
        <w:rPr>
          <w:szCs w:val="22"/>
        </w:rPr>
        <w:t xml:space="preserve">the Federal government </w:t>
      </w:r>
      <w:r w:rsidR="00406859">
        <w:rPr>
          <w:szCs w:val="22"/>
        </w:rPr>
        <w:t xml:space="preserve">protect U.S. national security, </w:t>
      </w:r>
      <w:r w:rsidRPr="00AB3047" w:rsidR="00406859">
        <w:rPr>
          <w:szCs w:val="22"/>
        </w:rPr>
        <w:t>fight financial and other crime</w:t>
      </w:r>
      <w:r w:rsidR="009C79E1">
        <w:rPr>
          <w:szCs w:val="22"/>
        </w:rPr>
        <w:t>,</w:t>
      </w:r>
      <w:r w:rsidR="00406859">
        <w:rPr>
          <w:szCs w:val="22"/>
        </w:rPr>
        <w:t xml:space="preserve"> and promote financial integrity and compliance</w:t>
      </w:r>
      <w:r w:rsidR="00805F14">
        <w:rPr>
          <w:szCs w:val="22"/>
        </w:rPr>
        <w:t xml:space="preserve"> with key international standards</w:t>
      </w:r>
      <w:r w:rsidRPr="00AB3047" w:rsidR="00406859">
        <w:rPr>
          <w:szCs w:val="22"/>
        </w:rPr>
        <w:t xml:space="preserve">. </w:t>
      </w:r>
      <w:r w:rsidRPr="00396AB2" w:rsidR="00F8572E">
        <w:rPr>
          <w:szCs w:val="22"/>
        </w:rPr>
        <w:t xml:space="preserve"> Not collecting this information </w:t>
      </w:r>
      <w:r w:rsidR="009C79E1">
        <w:rPr>
          <w:szCs w:val="22"/>
        </w:rPr>
        <w:t xml:space="preserve">would </w:t>
      </w:r>
      <w:r w:rsidRPr="00396AB2" w:rsidR="00F8572E">
        <w:rPr>
          <w:szCs w:val="22"/>
        </w:rPr>
        <w:t xml:space="preserve">deprive </w:t>
      </w:r>
      <w:r w:rsidR="00922E4E">
        <w:rPr>
          <w:szCs w:val="22"/>
        </w:rPr>
        <w:t xml:space="preserve">authorized </w:t>
      </w:r>
      <w:r w:rsidR="006E7B6C">
        <w:rPr>
          <w:szCs w:val="22"/>
        </w:rPr>
        <w:t>recipients</w:t>
      </w:r>
      <w:r w:rsidR="00922E4E">
        <w:rPr>
          <w:szCs w:val="22"/>
        </w:rPr>
        <w:t xml:space="preserve">, such as those engaged in </w:t>
      </w:r>
      <w:r w:rsidRPr="00396AB2" w:rsidR="00F8572E">
        <w:rPr>
          <w:szCs w:val="22"/>
        </w:rPr>
        <w:t>law enforcement</w:t>
      </w:r>
      <w:r w:rsidR="00922E4E">
        <w:rPr>
          <w:szCs w:val="22"/>
        </w:rPr>
        <w:t xml:space="preserve"> or </w:t>
      </w:r>
      <w:r w:rsidR="00080F03">
        <w:rPr>
          <w:szCs w:val="22"/>
        </w:rPr>
        <w:t>national security</w:t>
      </w:r>
      <w:r w:rsidR="00922E4E">
        <w:rPr>
          <w:szCs w:val="22"/>
        </w:rPr>
        <w:t xml:space="preserve"> activities</w:t>
      </w:r>
      <w:r w:rsidR="00080F03">
        <w:rPr>
          <w:szCs w:val="22"/>
        </w:rPr>
        <w:t>,</w:t>
      </w:r>
      <w:r w:rsidRPr="00396AB2" w:rsidR="00F8572E">
        <w:rPr>
          <w:szCs w:val="22"/>
        </w:rPr>
        <w:t xml:space="preserve"> of </w:t>
      </w:r>
      <w:r w:rsidR="009C79E1">
        <w:rPr>
          <w:szCs w:val="22"/>
        </w:rPr>
        <w:t>a valuable source of information to combat money laundering, terrorist financing, and other illicit activities.</w:t>
      </w:r>
    </w:p>
    <w:p w:rsidR="00600940" w:rsidP="00582286" w14:paraId="5F7E7EC7" w14:textId="77777777">
      <w:pPr>
        <w:spacing w:after="240"/>
        <w:rPr>
          <w:szCs w:val="22"/>
          <w:u w:val="single"/>
        </w:rPr>
      </w:pPr>
      <w:r>
        <w:rPr>
          <w:szCs w:val="22"/>
        </w:rPr>
        <w:t xml:space="preserve">7. </w:t>
      </w:r>
      <w:r>
        <w:rPr>
          <w:szCs w:val="22"/>
          <w:u w:val="single"/>
        </w:rPr>
        <w:t>S</w:t>
      </w:r>
      <w:r w:rsidR="007E495B">
        <w:rPr>
          <w:szCs w:val="22"/>
          <w:u w:val="single"/>
        </w:rPr>
        <w:t>pecial circumstances requiring d</w:t>
      </w:r>
      <w:r>
        <w:rPr>
          <w:szCs w:val="22"/>
          <w:u w:val="single"/>
        </w:rPr>
        <w:t>at</w:t>
      </w:r>
      <w:r w:rsidR="007E495B">
        <w:rPr>
          <w:szCs w:val="22"/>
          <w:u w:val="single"/>
        </w:rPr>
        <w:t xml:space="preserve">a collection </w:t>
      </w:r>
      <w:r w:rsidR="007E495B">
        <w:rPr>
          <w:szCs w:val="22"/>
          <w:u w:val="single"/>
        </w:rPr>
        <w:t>inconsistent</w:t>
      </w:r>
      <w:r w:rsidR="007E495B">
        <w:rPr>
          <w:szCs w:val="22"/>
          <w:u w:val="single"/>
        </w:rPr>
        <w:t xml:space="preserve"> with g</w:t>
      </w:r>
      <w:r>
        <w:rPr>
          <w:szCs w:val="22"/>
          <w:u w:val="single"/>
        </w:rPr>
        <w:t>uidelines.</w:t>
      </w:r>
    </w:p>
    <w:p w:rsidR="00600940" w:rsidRPr="00582286" w:rsidP="00582286" w14:paraId="713FB2E4" w14:textId="16E020F0">
      <w:pPr>
        <w:spacing w:after="240"/>
        <w:ind w:firstLine="720"/>
        <w:rPr>
          <w:szCs w:val="22"/>
          <w:u w:val="single"/>
        </w:rPr>
      </w:pPr>
      <w:r>
        <w:rPr>
          <w:szCs w:val="4"/>
        </w:rPr>
        <w:t xml:space="preserve">There are no special circumstances under which the </w:t>
      </w:r>
      <w:r w:rsidR="00050C29">
        <w:rPr>
          <w:szCs w:val="4"/>
        </w:rPr>
        <w:t>final rule</w:t>
      </w:r>
      <w:r>
        <w:rPr>
          <w:szCs w:val="4"/>
        </w:rPr>
        <w:t xml:space="preserve"> will require data collection inconsistent with guidelines.</w:t>
      </w:r>
    </w:p>
    <w:p w:rsidR="00671FA7" w:rsidP="00582286" w14:paraId="628EB29C" w14:textId="25DC70F9">
      <w:pPr>
        <w:keepNext/>
        <w:keepLines/>
        <w:spacing w:after="240"/>
      </w:pPr>
      <w:r>
        <w:rPr>
          <w:szCs w:val="22"/>
        </w:rPr>
        <w:t xml:space="preserve">8. </w:t>
      </w:r>
      <w:r>
        <w:rPr>
          <w:szCs w:val="22"/>
          <w:u w:val="single"/>
        </w:rPr>
        <w:t>Consultation w</w:t>
      </w:r>
      <w:r w:rsidR="007E495B">
        <w:rPr>
          <w:szCs w:val="22"/>
          <w:u w:val="single"/>
        </w:rPr>
        <w:t>ith individuals outside of the a</w:t>
      </w:r>
      <w:r>
        <w:rPr>
          <w:szCs w:val="22"/>
          <w:u w:val="single"/>
        </w:rPr>
        <w:t xml:space="preserve">gency on </w:t>
      </w:r>
      <w:r w:rsidR="007E495B">
        <w:rPr>
          <w:szCs w:val="22"/>
          <w:u w:val="single"/>
        </w:rPr>
        <w:t>availability of data,</w:t>
      </w:r>
      <w:r w:rsidR="00902855">
        <w:rPr>
          <w:szCs w:val="22"/>
          <w:u w:val="single"/>
        </w:rPr>
        <w:t xml:space="preserve"> </w:t>
      </w:r>
      <w:r w:rsidR="007E495B">
        <w:rPr>
          <w:szCs w:val="22"/>
          <w:u w:val="single"/>
        </w:rPr>
        <w:t>f</w:t>
      </w:r>
      <w:r>
        <w:rPr>
          <w:szCs w:val="22"/>
          <w:u w:val="single"/>
        </w:rPr>
        <w:t>requ</w:t>
      </w:r>
      <w:r w:rsidR="007E495B">
        <w:rPr>
          <w:szCs w:val="22"/>
          <w:u w:val="single"/>
        </w:rPr>
        <w:t>ency of collection, clarity of i</w:t>
      </w:r>
      <w:r>
        <w:rPr>
          <w:szCs w:val="22"/>
          <w:u w:val="single"/>
        </w:rPr>
        <w:t>n</w:t>
      </w:r>
      <w:r w:rsidR="007E495B">
        <w:rPr>
          <w:szCs w:val="22"/>
          <w:u w:val="single"/>
        </w:rPr>
        <w:t>structions and forms, and data e</w:t>
      </w:r>
      <w:r>
        <w:rPr>
          <w:szCs w:val="22"/>
          <w:u w:val="single"/>
        </w:rPr>
        <w:t>lements.</w:t>
      </w:r>
      <w:r>
        <w:rPr>
          <w:szCs w:val="22"/>
        </w:rPr>
        <w:t xml:space="preserve"> </w:t>
      </w:r>
    </w:p>
    <w:p w:rsidR="002701D1" w:rsidP="00582286" w14:paraId="1407E7BF" w14:textId="3122F88B">
      <w:pPr>
        <w:keepNext/>
        <w:spacing w:after="240"/>
        <w:ind w:firstLine="720"/>
      </w:pPr>
      <w:r>
        <w:t xml:space="preserve">FinCEN is accepting comments on this </w:t>
      </w:r>
      <w:r w:rsidR="00AF2926">
        <w:t>IFR</w:t>
      </w:r>
      <w:r>
        <w:t xml:space="preserve">.  FinCEN will assess the exemptions, as appropriate, </w:t>
      </w:r>
      <w:r>
        <w:t>in light of</w:t>
      </w:r>
      <w:r>
        <w:t xml:space="preserve"> those comments and intends to issue a final</w:t>
      </w:r>
      <w:r>
        <w:t xml:space="preserve"> </w:t>
      </w:r>
      <w:r>
        <w:t>rule this year.</w:t>
      </w:r>
      <w:r w:rsidR="006D1BC7">
        <w:t xml:space="preserve">  The comment period </w:t>
      </w:r>
      <w:r w:rsidR="00C02925">
        <w:t xml:space="preserve">closes on </w:t>
      </w:r>
      <w:r w:rsidR="001C0C53">
        <w:t>May 27, 2025.</w:t>
      </w:r>
    </w:p>
    <w:p w:rsidR="00BC2AA4" w:rsidP="00582286" w14:paraId="03C91E49" w14:textId="77777777">
      <w:pPr>
        <w:spacing w:after="240"/>
        <w:rPr>
          <w:szCs w:val="22"/>
        </w:rPr>
      </w:pPr>
    </w:p>
    <w:p w:rsidR="00600940" w:rsidP="00582286" w14:paraId="79226055" w14:textId="4B227401">
      <w:pPr>
        <w:spacing w:after="240"/>
        <w:rPr>
          <w:szCs w:val="22"/>
        </w:rPr>
      </w:pPr>
      <w:r>
        <w:rPr>
          <w:szCs w:val="22"/>
        </w:rPr>
        <w:t xml:space="preserve">9. </w:t>
      </w:r>
      <w:r w:rsidR="00902855">
        <w:rPr>
          <w:szCs w:val="22"/>
          <w:u w:val="single"/>
        </w:rPr>
        <w:t>Payments and g</w:t>
      </w:r>
      <w:r>
        <w:rPr>
          <w:szCs w:val="22"/>
          <w:u w:val="single"/>
        </w:rPr>
        <w:t>ifts</w:t>
      </w:r>
      <w:r w:rsidR="00384B9B">
        <w:rPr>
          <w:szCs w:val="22"/>
          <w:u w:val="single"/>
        </w:rPr>
        <w:t>.</w:t>
      </w:r>
      <w:r>
        <w:rPr>
          <w:szCs w:val="22"/>
        </w:rPr>
        <w:t xml:space="preserve"> </w:t>
      </w:r>
    </w:p>
    <w:p w:rsidR="00600940" w:rsidP="00582286" w14:paraId="36D68C13" w14:textId="5236C260">
      <w:pPr>
        <w:spacing w:after="240"/>
        <w:ind w:firstLine="720"/>
        <w:rPr>
          <w:szCs w:val="22"/>
        </w:rPr>
      </w:pPr>
      <w:r>
        <w:rPr>
          <w:szCs w:val="22"/>
        </w:rPr>
        <w:t xml:space="preserve">No payments or gifts were made to respondents. </w:t>
      </w:r>
    </w:p>
    <w:p w:rsidR="0081749F" w:rsidP="00582286" w14:paraId="75D36A36" w14:textId="3B71805B">
      <w:pPr>
        <w:spacing w:after="240"/>
      </w:pPr>
      <w:r>
        <w:t xml:space="preserve">10. </w:t>
      </w:r>
      <w:r>
        <w:rPr>
          <w:u w:val="single"/>
        </w:rPr>
        <w:t>A</w:t>
      </w:r>
      <w:r w:rsidR="00902855">
        <w:rPr>
          <w:u w:val="single"/>
        </w:rPr>
        <w:t>ssurance of confidentiality of r</w:t>
      </w:r>
      <w:r>
        <w:rPr>
          <w:u w:val="single"/>
        </w:rPr>
        <w:t>esponses.</w:t>
      </w:r>
      <w:r>
        <w:t xml:space="preserve"> </w:t>
      </w:r>
    </w:p>
    <w:p w:rsidR="00F44348" w:rsidP="00582286" w14:paraId="46DFEB1E" w14:textId="05C1BA45">
      <w:pPr>
        <w:pStyle w:val="BodyText"/>
        <w:spacing w:before="0" w:after="240"/>
        <w:ind w:right="115" w:firstLine="720"/>
        <w:rPr>
          <w:sz w:val="24"/>
          <w:szCs w:val="24"/>
        </w:rPr>
      </w:pPr>
      <w:r>
        <w:rPr>
          <w:sz w:val="24"/>
          <w:szCs w:val="24"/>
        </w:rPr>
        <w:t xml:space="preserve">Pursuant to </w:t>
      </w:r>
      <w:r w:rsidRPr="001B781A">
        <w:rPr>
          <w:sz w:val="24"/>
          <w:szCs w:val="24"/>
        </w:rPr>
        <w:t>31 U.S.C. 5336(</w:t>
      </w:r>
      <w:r>
        <w:rPr>
          <w:sz w:val="24"/>
          <w:szCs w:val="24"/>
        </w:rPr>
        <w:t>c</w:t>
      </w:r>
      <w:r w:rsidRPr="001B781A">
        <w:rPr>
          <w:sz w:val="24"/>
          <w:szCs w:val="24"/>
        </w:rPr>
        <w:t>)</w:t>
      </w:r>
      <w:r>
        <w:rPr>
          <w:sz w:val="24"/>
          <w:szCs w:val="24"/>
        </w:rPr>
        <w:t>,</w:t>
      </w:r>
      <w:r w:rsidRPr="001B781A">
        <w:rPr>
          <w:sz w:val="24"/>
          <w:szCs w:val="24"/>
        </w:rPr>
        <w:t xml:space="preserve"> </w:t>
      </w:r>
      <w:r>
        <w:rPr>
          <w:sz w:val="24"/>
          <w:szCs w:val="24"/>
        </w:rPr>
        <w:t>BOI and FinCEN</w:t>
      </w:r>
      <w:r w:rsidR="00A9147A">
        <w:rPr>
          <w:sz w:val="24"/>
          <w:szCs w:val="24"/>
        </w:rPr>
        <w:t xml:space="preserve"> </w:t>
      </w:r>
      <w:r>
        <w:rPr>
          <w:sz w:val="24"/>
          <w:szCs w:val="24"/>
        </w:rPr>
        <w:t xml:space="preserve">identifier information </w:t>
      </w:r>
      <w:r w:rsidRPr="001B781A">
        <w:rPr>
          <w:sz w:val="24"/>
          <w:szCs w:val="24"/>
        </w:rPr>
        <w:t>collected under 31 U.S.C. 5336(b)</w:t>
      </w:r>
      <w:r>
        <w:rPr>
          <w:sz w:val="24"/>
          <w:szCs w:val="24"/>
        </w:rPr>
        <w:t xml:space="preserve"> </w:t>
      </w:r>
      <w:r w:rsidR="00157B2F">
        <w:rPr>
          <w:sz w:val="24"/>
          <w:szCs w:val="24"/>
        </w:rPr>
        <w:t xml:space="preserve">are </w:t>
      </w:r>
      <w:r>
        <w:rPr>
          <w:sz w:val="24"/>
          <w:szCs w:val="24"/>
        </w:rPr>
        <w:t>confidential and may not be disclosed except as authorized</w:t>
      </w:r>
      <w:r w:rsidR="007B0DD6">
        <w:rPr>
          <w:sz w:val="24"/>
          <w:szCs w:val="24"/>
        </w:rPr>
        <w:t xml:space="preserve"> by the CTA</w:t>
      </w:r>
      <w:r>
        <w:rPr>
          <w:sz w:val="24"/>
          <w:szCs w:val="24"/>
        </w:rPr>
        <w:t xml:space="preserve">.  The CTA authorizes </w:t>
      </w:r>
      <w:r>
        <w:rPr>
          <w:sz w:val="24"/>
          <w:szCs w:val="24"/>
        </w:rPr>
        <w:t>disclosure</w:t>
      </w:r>
      <w:r>
        <w:rPr>
          <w:sz w:val="24"/>
          <w:szCs w:val="24"/>
        </w:rPr>
        <w:t xml:space="preserve"> of BOI to certain categories of users, subject to</w:t>
      </w:r>
      <w:r w:rsidRPr="001062A4">
        <w:rPr>
          <w:sz w:val="24"/>
          <w:szCs w:val="24"/>
        </w:rPr>
        <w:t xml:space="preserve"> appropriate protocols</w:t>
      </w:r>
      <w:r>
        <w:rPr>
          <w:sz w:val="24"/>
          <w:szCs w:val="24"/>
        </w:rPr>
        <w:t xml:space="preserve"> to protect the security and confidentiality of the information</w:t>
      </w:r>
      <w:r w:rsidRPr="001062A4">
        <w:rPr>
          <w:sz w:val="24"/>
          <w:szCs w:val="24"/>
        </w:rPr>
        <w:t xml:space="preserve">.  </w:t>
      </w:r>
      <w:r>
        <w:rPr>
          <w:sz w:val="24"/>
          <w:szCs w:val="24"/>
        </w:rPr>
        <w:t>Subject to certain limitations and access requirements, authorized users of BOI include:</w:t>
      </w:r>
      <w:r w:rsidRPr="001062A4">
        <w:rPr>
          <w:sz w:val="24"/>
          <w:szCs w:val="24"/>
        </w:rPr>
        <w:t xml:space="preserve"> Federal agencies engaged in national security, </w:t>
      </w:r>
      <w:r w:rsidRPr="005A7C0B">
        <w:rPr>
          <w:sz w:val="24"/>
          <w:szCs w:val="24"/>
        </w:rPr>
        <w:t>intelligence</w:t>
      </w:r>
      <w:r w:rsidRPr="001062A4">
        <w:rPr>
          <w:sz w:val="24"/>
          <w:szCs w:val="24"/>
        </w:rPr>
        <w:t>, or law enforcement activities</w:t>
      </w:r>
      <w:r>
        <w:rPr>
          <w:sz w:val="24"/>
          <w:szCs w:val="24"/>
        </w:rPr>
        <w:t>;</w:t>
      </w:r>
      <w:r w:rsidRPr="001062A4">
        <w:rPr>
          <w:sz w:val="24"/>
          <w:szCs w:val="24"/>
        </w:rPr>
        <w:t xml:space="preserve"> state, local, or Tribal law enforcement agencies</w:t>
      </w:r>
      <w:r>
        <w:rPr>
          <w:sz w:val="24"/>
          <w:szCs w:val="24"/>
        </w:rPr>
        <w:t xml:space="preserve">; foreign </w:t>
      </w:r>
      <w:r w:rsidRPr="001062A4">
        <w:rPr>
          <w:sz w:val="24"/>
          <w:szCs w:val="24"/>
        </w:rPr>
        <w:t>law enforcement, judicial, or prosecutorial authorities</w:t>
      </w:r>
      <w:r>
        <w:rPr>
          <w:sz w:val="24"/>
          <w:szCs w:val="24"/>
        </w:rPr>
        <w:t>;</w:t>
      </w:r>
      <w:r w:rsidRPr="001062A4">
        <w:rPr>
          <w:sz w:val="24"/>
          <w:szCs w:val="24"/>
        </w:rPr>
        <w:t xml:space="preserve"> </w:t>
      </w:r>
      <w:r>
        <w:rPr>
          <w:sz w:val="24"/>
          <w:szCs w:val="24"/>
        </w:rPr>
        <w:t>f</w:t>
      </w:r>
      <w:r w:rsidRPr="001062A4">
        <w:rPr>
          <w:sz w:val="24"/>
          <w:szCs w:val="24"/>
        </w:rPr>
        <w:t>inancial institutions subject to customer due diligence requirements</w:t>
      </w:r>
      <w:r>
        <w:rPr>
          <w:sz w:val="24"/>
          <w:szCs w:val="24"/>
        </w:rPr>
        <w:t xml:space="preserve">; certain </w:t>
      </w:r>
      <w:r w:rsidRPr="001062A4">
        <w:rPr>
          <w:sz w:val="24"/>
          <w:szCs w:val="24"/>
        </w:rPr>
        <w:t>Federal functional regulators and other appropriate regulatory agencies</w:t>
      </w:r>
      <w:r>
        <w:rPr>
          <w:sz w:val="24"/>
          <w:szCs w:val="24"/>
        </w:rPr>
        <w:t xml:space="preserve">; </w:t>
      </w:r>
      <w:r w:rsidRPr="000C0227">
        <w:rPr>
          <w:sz w:val="24"/>
          <w:szCs w:val="24"/>
        </w:rPr>
        <w:t>and Department of the Treasury officers and employees for their official duties, including for tax administration purposes</w:t>
      </w:r>
      <w:r w:rsidRPr="001062A4">
        <w:rPr>
          <w:sz w:val="24"/>
          <w:szCs w:val="24"/>
        </w:rPr>
        <w:t>.</w:t>
      </w:r>
      <w:r>
        <w:rPr>
          <w:sz w:val="24"/>
          <w:szCs w:val="24"/>
          <w:vertAlign w:val="superscript"/>
        </w:rPr>
        <w:footnoteReference w:id="23"/>
      </w:r>
      <w:r>
        <w:rPr>
          <w:sz w:val="24"/>
          <w:szCs w:val="24"/>
        </w:rPr>
        <w:t xml:space="preserve">  </w:t>
      </w:r>
    </w:p>
    <w:p w:rsidR="00600940" w:rsidRPr="001062A4" w:rsidP="00582286" w14:paraId="29897E2F" w14:textId="3C38C0B0">
      <w:pPr>
        <w:pStyle w:val="BodyText"/>
        <w:spacing w:before="0" w:after="240"/>
        <w:ind w:right="115" w:firstLine="720"/>
        <w:rPr>
          <w:sz w:val="24"/>
          <w:szCs w:val="24"/>
        </w:rPr>
      </w:pPr>
      <w:r>
        <w:rPr>
          <w:sz w:val="24"/>
          <w:szCs w:val="24"/>
        </w:rPr>
        <w:t>O</w:t>
      </w:r>
      <w:r w:rsidRPr="39FD11F7" w:rsidR="00F44348">
        <w:rPr>
          <w:sz w:val="24"/>
          <w:szCs w:val="24"/>
        </w:rPr>
        <w:t xml:space="preserve">n December </w:t>
      </w:r>
      <w:r>
        <w:rPr>
          <w:sz w:val="24"/>
          <w:szCs w:val="24"/>
        </w:rPr>
        <w:t>21</w:t>
      </w:r>
      <w:r w:rsidRPr="39FD11F7" w:rsidR="00F44348">
        <w:rPr>
          <w:sz w:val="24"/>
          <w:szCs w:val="24"/>
        </w:rPr>
        <w:t>, 202</w:t>
      </w:r>
      <w:r>
        <w:rPr>
          <w:sz w:val="24"/>
          <w:szCs w:val="24"/>
        </w:rPr>
        <w:t>3</w:t>
      </w:r>
      <w:r w:rsidRPr="39FD11F7" w:rsidR="00F44348">
        <w:rPr>
          <w:sz w:val="24"/>
          <w:szCs w:val="24"/>
        </w:rPr>
        <w:t xml:space="preserve">, FinCEN </w:t>
      </w:r>
      <w:r w:rsidR="0063615B">
        <w:rPr>
          <w:sz w:val="24"/>
          <w:szCs w:val="24"/>
        </w:rPr>
        <w:t xml:space="preserve">issued a final rule </w:t>
      </w:r>
      <w:r w:rsidR="0072282C">
        <w:rPr>
          <w:sz w:val="24"/>
          <w:szCs w:val="24"/>
        </w:rPr>
        <w:t>regarding access to BOI</w:t>
      </w:r>
      <w:r w:rsidR="00F44348">
        <w:rPr>
          <w:sz w:val="24"/>
          <w:szCs w:val="24"/>
        </w:rPr>
        <w:t xml:space="preserve"> </w:t>
      </w:r>
      <w:r w:rsidR="00827B04">
        <w:rPr>
          <w:sz w:val="24"/>
          <w:szCs w:val="24"/>
        </w:rPr>
        <w:t>that provides</w:t>
      </w:r>
      <w:r w:rsidRPr="39FD11F7" w:rsidR="00F44348">
        <w:rPr>
          <w:color w:val="000000" w:themeColor="text1"/>
          <w:sz w:val="24"/>
          <w:szCs w:val="24"/>
        </w:rPr>
        <w:t xml:space="preserve"> </w:t>
      </w:r>
      <w:r w:rsidRPr="001062A4" w:rsidR="00F44348">
        <w:rPr>
          <w:sz w:val="24"/>
          <w:szCs w:val="24"/>
        </w:rPr>
        <w:t>the specific protocols</w:t>
      </w:r>
      <w:r w:rsidR="00F44348">
        <w:rPr>
          <w:sz w:val="24"/>
          <w:szCs w:val="24"/>
        </w:rPr>
        <w:t xml:space="preserve"> that govern authorized users’ access to BOI</w:t>
      </w:r>
      <w:r w:rsidRPr="001062A4" w:rsidR="00F44348">
        <w:rPr>
          <w:sz w:val="24"/>
          <w:szCs w:val="24"/>
        </w:rPr>
        <w:t>.</w:t>
      </w:r>
      <w:r>
        <w:rPr>
          <w:rStyle w:val="FootnoteReference"/>
          <w:color w:val="000000"/>
          <w:sz w:val="24"/>
          <w:szCs w:val="24"/>
        </w:rPr>
        <w:footnoteReference w:id="24"/>
      </w:r>
      <w:r w:rsidRPr="39FD11F7" w:rsidR="00F44348">
        <w:rPr>
          <w:color w:val="000000" w:themeColor="text1"/>
          <w:sz w:val="24"/>
          <w:szCs w:val="24"/>
        </w:rPr>
        <w:t xml:space="preserve"> </w:t>
      </w:r>
      <w:r w:rsidRPr="001062A4" w:rsidR="00F44348">
        <w:rPr>
          <w:sz w:val="24"/>
          <w:szCs w:val="24"/>
        </w:rPr>
        <w:t xml:space="preserve"> </w:t>
      </w:r>
      <w:r w:rsidR="00F44348">
        <w:rPr>
          <w:sz w:val="24"/>
          <w:szCs w:val="24"/>
        </w:rPr>
        <w:t xml:space="preserve">FinCEN </w:t>
      </w:r>
      <w:r w:rsidR="002E556E">
        <w:rPr>
          <w:sz w:val="24"/>
          <w:szCs w:val="24"/>
        </w:rPr>
        <w:t>also</w:t>
      </w:r>
      <w:r w:rsidR="00F44348">
        <w:rPr>
          <w:sz w:val="24"/>
          <w:szCs w:val="24"/>
        </w:rPr>
        <w:t xml:space="preserve"> </w:t>
      </w:r>
      <w:r w:rsidRPr="39FD11F7" w:rsidR="00F44348">
        <w:rPr>
          <w:sz w:val="24"/>
          <w:szCs w:val="24"/>
        </w:rPr>
        <w:t>has issue</w:t>
      </w:r>
      <w:r w:rsidR="00F44348">
        <w:rPr>
          <w:sz w:val="24"/>
          <w:szCs w:val="24"/>
        </w:rPr>
        <w:t>d</w:t>
      </w:r>
      <w:r w:rsidRPr="39FD11F7" w:rsidR="00F44348">
        <w:rPr>
          <w:sz w:val="24"/>
          <w:szCs w:val="24"/>
        </w:rPr>
        <w:t xml:space="preserve"> </w:t>
      </w:r>
      <w:r w:rsidR="00F44348">
        <w:rPr>
          <w:sz w:val="24"/>
          <w:szCs w:val="24"/>
        </w:rPr>
        <w:t>a new System of Records Notice (SORN)</w:t>
      </w:r>
      <w:r w:rsidRPr="39FD11F7" w:rsidR="00F44348">
        <w:rPr>
          <w:sz w:val="24"/>
          <w:szCs w:val="24"/>
        </w:rPr>
        <w:t xml:space="preserve"> for BOI collected in connection with the implementation of the CTA</w:t>
      </w:r>
      <w:r w:rsidR="00F44348">
        <w:rPr>
          <w:sz w:val="24"/>
          <w:szCs w:val="24"/>
        </w:rPr>
        <w:t xml:space="preserve">, </w:t>
      </w:r>
      <w:r w:rsidRPr="39FD11F7" w:rsidR="00F44348">
        <w:rPr>
          <w:sz w:val="24"/>
          <w:szCs w:val="24"/>
        </w:rPr>
        <w:t xml:space="preserve">which </w:t>
      </w:r>
      <w:r w:rsidR="00F44348">
        <w:rPr>
          <w:sz w:val="24"/>
          <w:szCs w:val="24"/>
        </w:rPr>
        <w:t>publicly identified the routine uses of the information.</w:t>
      </w:r>
      <w:r>
        <w:rPr>
          <w:rStyle w:val="FootnoteReference"/>
          <w:sz w:val="24"/>
          <w:szCs w:val="24"/>
        </w:rPr>
        <w:footnoteReference w:id="25"/>
      </w:r>
      <w:r w:rsidR="00F44348">
        <w:rPr>
          <w:sz w:val="24"/>
          <w:szCs w:val="24"/>
        </w:rPr>
        <w:t xml:space="preserve">  </w:t>
      </w:r>
    </w:p>
    <w:p w:rsidR="00600940" w:rsidP="00582286" w14:paraId="1ABA96FC" w14:textId="6C91755C">
      <w:pPr>
        <w:spacing w:after="240"/>
        <w:rPr>
          <w:szCs w:val="22"/>
        </w:rPr>
      </w:pPr>
      <w:r>
        <w:rPr>
          <w:szCs w:val="22"/>
        </w:rPr>
        <w:t xml:space="preserve">11. </w:t>
      </w:r>
      <w:r w:rsidR="00CA6EF3">
        <w:rPr>
          <w:szCs w:val="22"/>
          <w:u w:val="single"/>
        </w:rPr>
        <w:t>Justification of s</w:t>
      </w:r>
      <w:r w:rsidR="00902855">
        <w:rPr>
          <w:szCs w:val="22"/>
          <w:u w:val="single"/>
        </w:rPr>
        <w:t>ensitive q</w:t>
      </w:r>
      <w:r>
        <w:rPr>
          <w:szCs w:val="22"/>
          <w:u w:val="single"/>
        </w:rPr>
        <w:t>uestions.</w:t>
      </w:r>
      <w:r>
        <w:rPr>
          <w:szCs w:val="22"/>
        </w:rPr>
        <w:t xml:space="preserve"> </w:t>
      </w:r>
    </w:p>
    <w:p w:rsidR="00663BD0" w:rsidP="00582286" w14:paraId="033F0716" w14:textId="70FFCBEA">
      <w:pPr>
        <w:spacing w:after="240"/>
        <w:ind w:firstLine="720"/>
      </w:pPr>
      <w:r w:rsidRPr="002B7E9A">
        <w:t>There are no questions of a sensitive nature in the collection of information</w:t>
      </w:r>
      <w:r w:rsidRPr="00FA351C" w:rsidR="00FA351C">
        <w:t xml:space="preserve">, such as sexual behavior and attitudes, religious beliefs, </w:t>
      </w:r>
      <w:r w:rsidR="001966ED">
        <w:t>or</w:t>
      </w:r>
      <w:r w:rsidRPr="00FA351C" w:rsidR="001966ED">
        <w:t xml:space="preserve"> </w:t>
      </w:r>
      <w:r w:rsidRPr="00FA351C" w:rsidR="00FA351C">
        <w:t>other matters that are commonly considered private</w:t>
      </w:r>
      <w:r w:rsidRPr="002B7E9A">
        <w:t xml:space="preserve">.  </w:t>
      </w:r>
      <w:r w:rsidR="00746523">
        <w:t xml:space="preserve">Access to </w:t>
      </w:r>
      <w:r w:rsidRPr="00B86987" w:rsidR="00746523">
        <w:t xml:space="preserve">any </w:t>
      </w:r>
      <w:r w:rsidRPr="00B86987" w:rsidR="00746523">
        <w:t>personally</w:t>
      </w:r>
      <w:r w:rsidRPr="00B86987" w:rsidR="00746523">
        <w:t xml:space="preserve"> identifiable information collected under the CTA will be strictly controlled</w:t>
      </w:r>
      <w:r w:rsidRPr="00746523" w:rsidR="00746523">
        <w:t>,</w:t>
      </w:r>
      <w:r w:rsidRPr="00B86987" w:rsidR="00746523">
        <w:t xml:space="preserve"> as</w:t>
      </w:r>
      <w:r w:rsidRPr="00B86987" w:rsidR="00746523">
        <w:t xml:space="preserve"> </w:t>
      </w:r>
      <w:r w:rsidRPr="00B86987" w:rsidR="00746523">
        <w:t>outlined in the SORN applicable to the information</w:t>
      </w:r>
      <w:r w:rsidR="00746523">
        <w:t xml:space="preserve"> (see item 10 above)</w:t>
      </w:r>
      <w:r w:rsidRPr="00B86987" w:rsidR="00746523">
        <w:t>.</w:t>
      </w:r>
    </w:p>
    <w:p w:rsidR="00600940" w:rsidP="00582286" w14:paraId="23FF79B0" w14:textId="634E49B6">
      <w:pPr>
        <w:spacing w:after="240"/>
        <w:rPr>
          <w:szCs w:val="22"/>
        </w:rPr>
      </w:pPr>
      <w:r>
        <w:rPr>
          <w:szCs w:val="22"/>
        </w:rPr>
        <w:t xml:space="preserve">12. </w:t>
      </w:r>
      <w:r w:rsidR="00902855">
        <w:rPr>
          <w:szCs w:val="22"/>
          <w:u w:val="single"/>
        </w:rPr>
        <w:t>Estimated annual hourly b</w:t>
      </w:r>
      <w:r>
        <w:rPr>
          <w:szCs w:val="22"/>
          <w:u w:val="single"/>
        </w:rPr>
        <w:t>urden.</w:t>
      </w:r>
      <w:r>
        <w:rPr>
          <w:szCs w:val="22"/>
        </w:rPr>
        <w:t xml:space="preserve"> </w:t>
      </w:r>
    </w:p>
    <w:p w:rsidR="00B24841" w:rsidP="00582286" w14:paraId="47BD05ED" w14:textId="7017A25C">
      <w:pPr>
        <w:spacing w:after="240"/>
        <w:ind w:firstLine="720"/>
        <w:rPr>
          <w:szCs w:val="22"/>
        </w:rPr>
      </w:pPr>
      <w:r>
        <w:rPr>
          <w:szCs w:val="22"/>
        </w:rPr>
        <w:t xml:space="preserve">FinCEN has estimated </w:t>
      </w:r>
      <w:r w:rsidR="00D77CEC">
        <w:rPr>
          <w:szCs w:val="22"/>
        </w:rPr>
        <w:t xml:space="preserve">the </w:t>
      </w:r>
      <w:r>
        <w:rPr>
          <w:szCs w:val="22"/>
        </w:rPr>
        <w:t xml:space="preserve">annual hourly burden for </w:t>
      </w:r>
      <w:r w:rsidR="00414503">
        <w:rPr>
          <w:szCs w:val="22"/>
        </w:rPr>
        <w:t xml:space="preserve">two </w:t>
      </w:r>
      <w:r>
        <w:rPr>
          <w:szCs w:val="22"/>
        </w:rPr>
        <w:t>information collections under the rule</w:t>
      </w:r>
      <w:r w:rsidR="008D3CE0">
        <w:rPr>
          <w:szCs w:val="22"/>
        </w:rPr>
        <w:t xml:space="preserve">: </w:t>
      </w:r>
      <w:r w:rsidR="00E82026">
        <w:rPr>
          <w:szCs w:val="22"/>
        </w:rPr>
        <w:t xml:space="preserve">BOI reports and </w:t>
      </w:r>
      <w:r w:rsidRPr="00894C03" w:rsidR="00E82026">
        <w:rPr>
          <w:szCs w:val="22"/>
        </w:rPr>
        <w:t>individuals obtaining FinCEN identifiers</w:t>
      </w:r>
      <w:r>
        <w:rPr>
          <w:szCs w:val="22"/>
        </w:rPr>
        <w:t>.</w:t>
      </w:r>
      <w:r>
        <w:rPr>
          <w:rStyle w:val="FootnoteReference"/>
          <w:szCs w:val="22"/>
        </w:rPr>
        <w:footnoteReference w:id="26"/>
      </w:r>
      <w:r w:rsidR="00BC34B9">
        <w:rPr>
          <w:szCs w:val="22"/>
        </w:rPr>
        <w:t xml:space="preserve">  Each information collection includes estimates for initial and updated reports or applications, as the </w:t>
      </w:r>
      <w:r w:rsidR="00AF2926">
        <w:rPr>
          <w:szCs w:val="22"/>
        </w:rPr>
        <w:t>IFR</w:t>
      </w:r>
      <w:r w:rsidR="0098240A">
        <w:rPr>
          <w:szCs w:val="22"/>
        </w:rPr>
        <w:t xml:space="preserve"> continues to</w:t>
      </w:r>
      <w:r w:rsidR="00D77CEC">
        <w:rPr>
          <w:szCs w:val="22"/>
        </w:rPr>
        <w:t xml:space="preserve"> require update</w:t>
      </w:r>
      <w:r w:rsidR="00F94B89">
        <w:rPr>
          <w:szCs w:val="22"/>
        </w:rPr>
        <w:t>d</w:t>
      </w:r>
      <w:r w:rsidR="00D77CEC">
        <w:rPr>
          <w:szCs w:val="22"/>
        </w:rPr>
        <w:t xml:space="preserve"> information </w:t>
      </w:r>
      <w:r w:rsidR="00F94B89">
        <w:rPr>
          <w:szCs w:val="22"/>
        </w:rPr>
        <w:t>be</w:t>
      </w:r>
      <w:r w:rsidR="00F94B89">
        <w:rPr>
          <w:szCs w:val="22"/>
        </w:rPr>
        <w:t xml:space="preserve"> </w:t>
      </w:r>
      <w:r w:rsidR="00D77CEC">
        <w:rPr>
          <w:szCs w:val="22"/>
        </w:rPr>
        <w:t xml:space="preserve">submitted to FinCEN </w:t>
      </w:r>
      <w:r w:rsidR="00F94B89">
        <w:rPr>
          <w:szCs w:val="22"/>
        </w:rPr>
        <w:t>if there are</w:t>
      </w:r>
      <w:r w:rsidR="00D77CEC">
        <w:rPr>
          <w:szCs w:val="22"/>
        </w:rPr>
        <w:t xml:space="preserve"> changes after the submission of an initial report</w:t>
      </w:r>
      <w:r w:rsidR="00BC34B9">
        <w:rPr>
          <w:szCs w:val="22"/>
        </w:rPr>
        <w:t xml:space="preserve">.  Additionally, each information </w:t>
      </w:r>
      <w:r w:rsidR="00BC34B9">
        <w:rPr>
          <w:szCs w:val="22"/>
        </w:rPr>
        <w:t xml:space="preserve">collection includes </w:t>
      </w:r>
      <w:r w:rsidR="00981361">
        <w:rPr>
          <w:szCs w:val="22"/>
        </w:rPr>
        <w:t xml:space="preserve">separate </w:t>
      </w:r>
      <w:r w:rsidR="00BC34B9">
        <w:rPr>
          <w:szCs w:val="22"/>
        </w:rPr>
        <w:t xml:space="preserve">estimates for Year </w:t>
      </w:r>
      <w:r w:rsidR="00244C85">
        <w:rPr>
          <w:szCs w:val="22"/>
        </w:rPr>
        <w:t>1</w:t>
      </w:r>
      <w:r w:rsidR="00BC34B9">
        <w:rPr>
          <w:szCs w:val="22"/>
        </w:rPr>
        <w:t xml:space="preserve"> and annual estimate</w:t>
      </w:r>
      <w:r w:rsidR="00244C85">
        <w:rPr>
          <w:szCs w:val="22"/>
        </w:rPr>
        <w:t>s</w:t>
      </w:r>
      <w:r w:rsidR="00BC34B9">
        <w:rPr>
          <w:szCs w:val="22"/>
        </w:rPr>
        <w:t xml:space="preserve"> for </w:t>
      </w:r>
      <w:r w:rsidR="00981361">
        <w:rPr>
          <w:szCs w:val="22"/>
        </w:rPr>
        <w:t>subsequent years</w:t>
      </w:r>
      <w:r w:rsidR="00BC34B9">
        <w:rPr>
          <w:szCs w:val="22"/>
        </w:rPr>
        <w:t xml:space="preserve"> (Year 2+).  Th</w:t>
      </w:r>
      <w:r w:rsidR="009B769E">
        <w:rPr>
          <w:szCs w:val="22"/>
        </w:rPr>
        <w:t>e difference in estimated burdens between these years</w:t>
      </w:r>
      <w:r w:rsidR="00B4393B">
        <w:rPr>
          <w:szCs w:val="22"/>
        </w:rPr>
        <w:t xml:space="preserve"> (Year 1 and</w:t>
      </w:r>
      <w:r w:rsidR="00EF1F24">
        <w:rPr>
          <w:szCs w:val="22"/>
        </w:rPr>
        <w:t xml:space="preserve"> Year 2+)</w:t>
      </w:r>
      <w:r w:rsidR="009B769E">
        <w:rPr>
          <w:szCs w:val="22"/>
        </w:rPr>
        <w:t xml:space="preserve"> </w:t>
      </w:r>
      <w:r w:rsidR="00BC34B9">
        <w:rPr>
          <w:szCs w:val="22"/>
        </w:rPr>
        <w:t xml:space="preserve">is because the </w:t>
      </w:r>
      <w:r w:rsidR="00E93823">
        <w:rPr>
          <w:szCs w:val="22"/>
        </w:rPr>
        <w:t>IFR</w:t>
      </w:r>
      <w:r w:rsidR="00BC34B9">
        <w:rPr>
          <w:szCs w:val="22"/>
        </w:rPr>
        <w:t xml:space="preserve"> require</w:t>
      </w:r>
      <w:r w:rsidR="005F4FC5">
        <w:rPr>
          <w:szCs w:val="22"/>
        </w:rPr>
        <w:t>s</w:t>
      </w:r>
      <w:r w:rsidR="00BC34B9">
        <w:rPr>
          <w:szCs w:val="22"/>
        </w:rPr>
        <w:t xml:space="preserve"> all currently existing </w:t>
      </w:r>
      <w:r w:rsidR="00F511D5">
        <w:rPr>
          <w:szCs w:val="22"/>
        </w:rPr>
        <w:t>companies</w:t>
      </w:r>
      <w:r w:rsidR="00053A96">
        <w:rPr>
          <w:szCs w:val="22"/>
        </w:rPr>
        <w:t xml:space="preserve"> with an obligation to report</w:t>
      </w:r>
      <w:r w:rsidR="0047690E">
        <w:rPr>
          <w:szCs w:val="22"/>
        </w:rPr>
        <w:t xml:space="preserve">—now </w:t>
      </w:r>
      <w:r w:rsidR="000915D4">
        <w:rPr>
          <w:szCs w:val="22"/>
        </w:rPr>
        <w:t xml:space="preserve">by the IFR </w:t>
      </w:r>
      <w:r w:rsidR="0047690E">
        <w:rPr>
          <w:szCs w:val="22"/>
        </w:rPr>
        <w:t xml:space="preserve">narrowed to certain </w:t>
      </w:r>
      <w:r w:rsidR="00053A96">
        <w:rPr>
          <w:szCs w:val="22"/>
        </w:rPr>
        <w:t>foreign companies</w:t>
      </w:r>
      <w:r w:rsidR="00A344DD">
        <w:rPr>
          <w:szCs w:val="22"/>
        </w:rPr>
        <w:t>—</w:t>
      </w:r>
      <w:r w:rsidR="00F511D5">
        <w:rPr>
          <w:szCs w:val="22"/>
        </w:rPr>
        <w:t xml:space="preserve">to comply with requirements </w:t>
      </w:r>
      <w:r w:rsidR="00911020">
        <w:rPr>
          <w:szCs w:val="22"/>
        </w:rPr>
        <w:t>wi</w:t>
      </w:r>
      <w:r w:rsidR="00BC34B9">
        <w:rPr>
          <w:szCs w:val="22"/>
        </w:rPr>
        <w:t>thin Year 1</w:t>
      </w:r>
      <w:r w:rsidR="00911020">
        <w:rPr>
          <w:szCs w:val="22"/>
        </w:rPr>
        <w:t>, whereas in subsequent years</w:t>
      </w:r>
      <w:r w:rsidR="00017682">
        <w:rPr>
          <w:szCs w:val="22"/>
        </w:rPr>
        <w:t xml:space="preserve"> (</w:t>
      </w:r>
      <w:r w:rsidR="00D55179">
        <w:rPr>
          <w:szCs w:val="22"/>
        </w:rPr>
        <w:t>Year 2+)</w:t>
      </w:r>
      <w:r w:rsidR="00911020">
        <w:rPr>
          <w:szCs w:val="22"/>
        </w:rPr>
        <w:t>, the reporting burden would only accrue to entities</w:t>
      </w:r>
      <w:r w:rsidR="004D415C">
        <w:rPr>
          <w:szCs w:val="22"/>
        </w:rPr>
        <w:t xml:space="preserve"> newly formed in that year</w:t>
      </w:r>
      <w:r w:rsidR="00BC34B9">
        <w:rPr>
          <w:szCs w:val="22"/>
        </w:rPr>
        <w:t>.</w:t>
      </w:r>
      <w:r w:rsidR="00C11928">
        <w:rPr>
          <w:szCs w:val="22"/>
        </w:rPr>
        <w:t xml:space="preserve">  </w:t>
      </w:r>
    </w:p>
    <w:p w:rsidR="005A7C0B" w:rsidP="00582286" w14:paraId="4E98EF08" w14:textId="110EAD98">
      <w:pPr>
        <w:spacing w:after="240"/>
        <w:ind w:firstLine="720"/>
        <w:rPr>
          <w:szCs w:val="22"/>
        </w:rPr>
      </w:pPr>
      <w:r>
        <w:rPr>
          <w:szCs w:val="22"/>
        </w:rPr>
        <w:t xml:space="preserve">FinCEN’s revised estimates of burden </w:t>
      </w:r>
      <w:r w:rsidR="006D66CD">
        <w:rPr>
          <w:szCs w:val="22"/>
        </w:rPr>
        <w:t xml:space="preserve">make use of the same methods and assumptions </w:t>
      </w:r>
      <w:r w:rsidR="004A07CE">
        <w:rPr>
          <w:szCs w:val="22"/>
        </w:rPr>
        <w:t xml:space="preserve">described in the previous </w:t>
      </w:r>
      <w:r w:rsidR="00464E63">
        <w:rPr>
          <w:szCs w:val="22"/>
        </w:rPr>
        <w:t>supporting statement and BOI Rule.</w:t>
      </w:r>
      <w:r>
        <w:rPr>
          <w:rStyle w:val="FootnoteReference"/>
          <w:szCs w:val="22"/>
        </w:rPr>
        <w:footnoteReference w:id="27"/>
      </w:r>
    </w:p>
    <w:p w:rsidR="001D69BD" w:rsidRPr="00582286" w:rsidP="00582286" w14:paraId="34EA8AE1" w14:textId="5E4F1050">
      <w:pPr>
        <w:pStyle w:val="ListParagraph"/>
        <w:numPr>
          <w:ilvl w:val="0"/>
          <w:numId w:val="10"/>
        </w:numPr>
        <w:spacing w:after="240"/>
        <w:contextualSpacing w:val="0"/>
      </w:pPr>
      <w:r w:rsidRPr="003F3FD9">
        <w:t>BOI Reports</w:t>
      </w:r>
    </w:p>
    <w:p w:rsidR="001D69BD" w:rsidRPr="00582286" w:rsidP="00582286" w14:paraId="4D8197DC" w14:textId="16B6A1E8">
      <w:pPr>
        <w:widowControl w:val="0"/>
        <w:spacing w:after="240"/>
      </w:pPr>
      <w:r w:rsidRPr="00524480">
        <w:rPr>
          <w:i/>
        </w:rPr>
        <w:t>Frequency</w:t>
      </w:r>
      <w:r w:rsidRPr="00524480">
        <w:t>: As required.</w:t>
      </w:r>
    </w:p>
    <w:p w:rsidR="001D69BD" w:rsidRPr="00561941" w:rsidP="00582286" w14:paraId="7EB42C0F" w14:textId="77777777">
      <w:pPr>
        <w:spacing w:after="240"/>
        <w:rPr>
          <w:i/>
          <w:iCs/>
          <w:u w:val="single"/>
        </w:rPr>
      </w:pPr>
      <w:r w:rsidRPr="00561941">
        <w:rPr>
          <w:i/>
          <w:iCs/>
          <w:u w:val="single"/>
        </w:rPr>
        <w:t xml:space="preserve">Estimated Number of Reports: </w:t>
      </w:r>
    </w:p>
    <w:p w:rsidR="001D69BD" w:rsidRPr="00252EC0" w:rsidP="00582286" w14:paraId="47575E24" w14:textId="3AAC29EF">
      <w:pPr>
        <w:spacing w:after="240"/>
      </w:pPr>
      <w:r w:rsidRPr="00252EC0">
        <w:t xml:space="preserve">Initial reports, Year 1: </w:t>
      </w:r>
      <w:r w:rsidRPr="00E716BB" w:rsidR="00252EC0">
        <w:t>25,000</w:t>
      </w:r>
      <w:r w:rsidRPr="00252EC0" w:rsidR="00844F66">
        <w:t xml:space="preserve"> </w:t>
      </w:r>
      <w:r w:rsidRPr="00252EC0" w:rsidR="00D50329">
        <w:t>reports</w:t>
      </w:r>
      <w:r w:rsidRPr="00252EC0">
        <w:t>.</w:t>
      </w:r>
      <w:r>
        <w:rPr>
          <w:rStyle w:val="FootnoteReference"/>
        </w:rPr>
        <w:footnoteReference w:id="28"/>
      </w:r>
      <w:r w:rsidRPr="00252EC0">
        <w:t xml:space="preserve">  </w:t>
      </w:r>
    </w:p>
    <w:p w:rsidR="001D69BD" w:rsidRPr="00252EC0" w:rsidP="00582286" w14:paraId="29484D3E" w14:textId="70A75D7F">
      <w:pPr>
        <w:spacing w:after="240"/>
      </w:pPr>
      <w:r w:rsidRPr="00252EC0">
        <w:t xml:space="preserve">Initial reports, Year 2+: </w:t>
      </w:r>
      <w:r w:rsidRPr="00E716BB" w:rsidR="00252EC0">
        <w:t>5,000</w:t>
      </w:r>
      <w:r w:rsidRPr="00252EC0" w:rsidR="00844F66">
        <w:t xml:space="preserve"> </w:t>
      </w:r>
      <w:r w:rsidRPr="00252EC0" w:rsidR="00D50329">
        <w:t>reports</w:t>
      </w:r>
      <w:r w:rsidRPr="00252EC0">
        <w:t>.</w:t>
      </w:r>
      <w:r>
        <w:rPr>
          <w:rStyle w:val="FootnoteReference"/>
        </w:rPr>
        <w:footnoteReference w:id="29"/>
      </w:r>
      <w:r w:rsidRPr="00252EC0" w:rsidR="00BC34B9">
        <w:t xml:space="preserve"> </w:t>
      </w:r>
      <w:r w:rsidRPr="00252EC0">
        <w:t xml:space="preserve">  </w:t>
      </w:r>
    </w:p>
    <w:p w:rsidR="00844F66" w:rsidRPr="0028322C" w:rsidP="00582286" w14:paraId="7882EB84" w14:textId="1E53D509">
      <w:pPr>
        <w:spacing w:after="240"/>
        <w:rPr>
          <w:highlight w:val="yellow"/>
        </w:rPr>
      </w:pPr>
      <w:r w:rsidRPr="00BC722F">
        <w:t>Initial reports, Years 1-</w:t>
      </w:r>
      <w:r w:rsidRPr="00E716BB" w:rsidR="00BC722F">
        <w:t>3</w:t>
      </w:r>
      <w:r w:rsidRPr="00BC722F">
        <w:t xml:space="preserve"> average: </w:t>
      </w:r>
      <w:r w:rsidRPr="00E716BB" w:rsidR="0023502F">
        <w:t>11</w:t>
      </w:r>
      <w:r w:rsidRPr="00E716BB" w:rsidR="007C49A2">
        <w:t>,667</w:t>
      </w:r>
      <w:r w:rsidRPr="007C49A2" w:rsidR="006D2E90">
        <w:t xml:space="preserve"> reports</w:t>
      </w:r>
      <w:r w:rsidRPr="007C49A2">
        <w:t>.</w:t>
      </w:r>
    </w:p>
    <w:p w:rsidR="001D69BD" w:rsidRPr="00F70603" w:rsidP="00582286" w14:paraId="61E62D44" w14:textId="1662C30F">
      <w:pPr>
        <w:spacing w:after="240"/>
      </w:pPr>
      <w:r w:rsidRPr="00F70603">
        <w:t xml:space="preserve">Updated reports, Year 1: </w:t>
      </w:r>
      <w:r w:rsidRPr="00E716BB" w:rsidR="00F70603">
        <w:t>4,750</w:t>
      </w:r>
      <w:r w:rsidRPr="00F70603" w:rsidR="00DC15AA">
        <w:t xml:space="preserve"> </w:t>
      </w:r>
      <w:r w:rsidRPr="00F70603" w:rsidR="00D50329">
        <w:t>reports</w:t>
      </w:r>
      <w:r w:rsidRPr="00F70603">
        <w:t>.</w:t>
      </w:r>
      <w:r>
        <w:rPr>
          <w:rStyle w:val="FootnoteReference"/>
        </w:rPr>
        <w:footnoteReference w:id="30"/>
      </w:r>
      <w:r w:rsidRPr="00F70603" w:rsidR="00BC34B9">
        <w:t xml:space="preserve"> </w:t>
      </w:r>
      <w:r w:rsidRPr="00F70603">
        <w:t xml:space="preserve"> </w:t>
      </w:r>
    </w:p>
    <w:p w:rsidR="001D69BD" w:rsidRPr="00B62221" w:rsidP="00582286" w14:paraId="4B0C7948" w14:textId="6FE6DC0E">
      <w:pPr>
        <w:spacing w:after="240"/>
      </w:pPr>
      <w:r w:rsidRPr="00B62221">
        <w:t>Updated reports</w:t>
      </w:r>
      <w:r w:rsidRPr="00B62221">
        <w:t xml:space="preserve">, Year 2+: </w:t>
      </w:r>
      <w:r w:rsidRPr="00E716BB" w:rsidR="00B62221">
        <w:t>8,750</w:t>
      </w:r>
      <w:r w:rsidRPr="00B62221" w:rsidR="00844F66">
        <w:t xml:space="preserve"> </w:t>
      </w:r>
      <w:r w:rsidRPr="00B62221" w:rsidR="00D50329">
        <w:t>reports</w:t>
      </w:r>
      <w:r w:rsidRPr="00B62221">
        <w:t>.</w:t>
      </w:r>
      <w:r>
        <w:rPr>
          <w:rStyle w:val="FootnoteReference"/>
        </w:rPr>
        <w:footnoteReference w:id="31"/>
      </w:r>
      <w:r w:rsidRPr="00B62221" w:rsidR="00BC34B9">
        <w:t xml:space="preserve">  </w:t>
      </w:r>
    </w:p>
    <w:p w:rsidR="00B630CC" w:rsidRPr="0028322C" w:rsidP="00582286" w14:paraId="4944922C" w14:textId="79B9A5D6">
      <w:pPr>
        <w:spacing w:after="240"/>
        <w:rPr>
          <w:highlight w:val="yellow"/>
        </w:rPr>
      </w:pPr>
      <w:r w:rsidRPr="00BC722F">
        <w:t>Updated reports, Years 1-</w:t>
      </w:r>
      <w:r w:rsidRPr="00E716BB" w:rsidR="00BC722F">
        <w:t>3</w:t>
      </w:r>
      <w:r w:rsidRPr="00BC722F">
        <w:t xml:space="preserve"> average: </w:t>
      </w:r>
      <w:r w:rsidRPr="00E716BB" w:rsidR="005A09F8">
        <w:t>7</w:t>
      </w:r>
      <w:r w:rsidRPr="00E716BB" w:rsidR="000C0BDF">
        <w:t>,</w:t>
      </w:r>
      <w:r w:rsidRPr="00E716BB" w:rsidR="005A09F8">
        <w:t>4</w:t>
      </w:r>
      <w:r w:rsidRPr="00E716BB" w:rsidR="000C0BDF">
        <w:t>17</w:t>
      </w:r>
      <w:r w:rsidRPr="000C0BDF" w:rsidR="006D2E90">
        <w:t xml:space="preserve"> reports</w:t>
      </w:r>
      <w:r w:rsidRPr="000C0BDF">
        <w:t>.</w:t>
      </w:r>
    </w:p>
    <w:p w:rsidR="001D69BD" w:rsidRPr="00582286" w:rsidP="00582286" w14:paraId="776D133A" w14:textId="4E15CB5C">
      <w:pPr>
        <w:spacing w:after="240"/>
        <w:rPr>
          <w:i/>
          <w:iCs/>
          <w:u w:val="single"/>
        </w:rPr>
      </w:pPr>
      <w:r w:rsidRPr="00561941">
        <w:rPr>
          <w:i/>
          <w:iCs/>
          <w:u w:val="single"/>
        </w:rPr>
        <w:t>Estimated Total Reporting Burden Hours:</w:t>
      </w:r>
    </w:p>
    <w:p w:rsidR="00E84B84" w:rsidRPr="00524480" w:rsidP="00582286" w14:paraId="5147991B" w14:textId="6D035E83">
      <w:pPr>
        <w:spacing w:after="240"/>
        <w:ind w:firstLine="720"/>
      </w:pPr>
      <w:r>
        <w:t>Applying the same assumptions about the distribution of legal entit</w:t>
      </w:r>
      <w:r w:rsidR="00E17EDC">
        <w:t xml:space="preserve">y complexity as employed in the prior Reporting Rule, </w:t>
      </w:r>
      <w:r w:rsidR="002678D9">
        <w:t xml:space="preserve">FinCEN estimates the following </w:t>
      </w:r>
      <w:r w:rsidR="00497E8E">
        <w:t>aggregate</w:t>
      </w:r>
      <w:r w:rsidR="002678D9">
        <w:t xml:space="preserve"> burden </w:t>
      </w:r>
      <w:r w:rsidR="00497E8E">
        <w:t>hours</w:t>
      </w:r>
      <w:r>
        <w:t xml:space="preserve"> associated with the respective estimated numbers of reports above.</w:t>
      </w:r>
    </w:p>
    <w:p w:rsidR="001D69BD" w:rsidRPr="00B018AD" w:rsidP="00582286" w14:paraId="01B8F690" w14:textId="7C8667B4">
      <w:pPr>
        <w:spacing w:after="240"/>
      </w:pPr>
      <w:r w:rsidRPr="00B018AD">
        <w:t xml:space="preserve">Initial reports, Year 1: </w:t>
      </w:r>
      <w:r w:rsidRPr="00B018AD" w:rsidR="00B018AD">
        <w:t xml:space="preserve">91,050 </w:t>
      </w:r>
      <w:r w:rsidRPr="00B018AD" w:rsidR="00D50329">
        <w:t>hours</w:t>
      </w:r>
      <w:r w:rsidRPr="00B018AD">
        <w:t xml:space="preserve">. </w:t>
      </w:r>
    </w:p>
    <w:p w:rsidR="003F3FD9" w:rsidRPr="00B018AD" w:rsidP="00582286" w14:paraId="0BB8AC6C" w14:textId="45677995">
      <w:pPr>
        <w:spacing w:after="240"/>
      </w:pPr>
      <w:r w:rsidRPr="00B018AD">
        <w:t xml:space="preserve">Initial reports, Year 2+: </w:t>
      </w:r>
      <w:r w:rsidRPr="00B018AD" w:rsidR="00844F66">
        <w:t>18,</w:t>
      </w:r>
      <w:r w:rsidRPr="00B018AD" w:rsidR="00B018AD">
        <w:t xml:space="preserve">210 </w:t>
      </w:r>
      <w:r w:rsidRPr="00B018AD" w:rsidR="00D50329">
        <w:t>hours</w:t>
      </w:r>
      <w:r w:rsidRPr="00B018AD">
        <w:t xml:space="preserve">. </w:t>
      </w:r>
    </w:p>
    <w:p w:rsidR="00844F66" w:rsidRPr="00524480" w:rsidP="00582286" w14:paraId="75AAEBE6" w14:textId="6660B145">
      <w:pPr>
        <w:spacing w:after="240"/>
      </w:pPr>
      <w:r w:rsidRPr="00524480">
        <w:t>Initial reports, Years 1-</w:t>
      </w:r>
      <w:r w:rsidRPr="00321C0C" w:rsidR="00B018AD">
        <w:t>3</w:t>
      </w:r>
      <w:r w:rsidRPr="00524480">
        <w:t xml:space="preserve"> average:</w:t>
      </w:r>
      <w:r w:rsidRPr="00524480" w:rsidR="00EB198A">
        <w:t xml:space="preserve"> </w:t>
      </w:r>
      <w:r w:rsidRPr="00524480" w:rsidR="00524480">
        <w:t xml:space="preserve">42,490 </w:t>
      </w:r>
      <w:r w:rsidRPr="00524480" w:rsidR="00EB198A">
        <w:t>hours</w:t>
      </w:r>
      <w:r w:rsidRPr="00524480" w:rsidR="001A1BD9">
        <w:t>.</w:t>
      </w:r>
    </w:p>
    <w:p w:rsidR="003F3FD9" w:rsidRPr="000E7A54" w:rsidP="00582286" w14:paraId="0159D96F" w14:textId="271AE594">
      <w:pPr>
        <w:spacing w:after="240"/>
      </w:pPr>
      <w:r w:rsidRPr="000E7A54">
        <w:t xml:space="preserve">Updated reports, Year 1: </w:t>
      </w:r>
      <w:r w:rsidRPr="000E7A54" w:rsidR="000E7A54">
        <w:t xml:space="preserve">5,814 </w:t>
      </w:r>
      <w:r w:rsidRPr="000E7A54" w:rsidR="00D50329">
        <w:t>hours</w:t>
      </w:r>
      <w:r w:rsidRPr="000E7A54" w:rsidR="001D69BD">
        <w:t>.</w:t>
      </w:r>
    </w:p>
    <w:p w:rsidR="001D69BD" w:rsidRPr="00A35E7A" w:rsidP="00582286" w14:paraId="16DEC408" w14:textId="4A93CE42">
      <w:pPr>
        <w:spacing w:after="240"/>
      </w:pPr>
      <w:r w:rsidRPr="00A35E7A">
        <w:t xml:space="preserve">Updated reports, Year 2+: </w:t>
      </w:r>
      <w:r w:rsidRPr="00A35E7A" w:rsidR="00A35E7A">
        <w:t xml:space="preserve">10,711 </w:t>
      </w:r>
      <w:r w:rsidRPr="00A35E7A" w:rsidR="00D50329">
        <w:t>hours</w:t>
      </w:r>
      <w:r w:rsidRPr="00A35E7A">
        <w:t>.</w:t>
      </w:r>
    </w:p>
    <w:p w:rsidR="003F3FD9" w:rsidRPr="00582286" w:rsidP="00582286" w14:paraId="255251C5" w14:textId="55A5EC46">
      <w:pPr>
        <w:spacing w:after="240"/>
      </w:pPr>
      <w:r w:rsidRPr="000942D0">
        <w:t>Updated reports</w:t>
      </w:r>
      <w:r w:rsidRPr="000942D0">
        <w:t>, Years 1-</w:t>
      </w:r>
      <w:r w:rsidRPr="00321C0C" w:rsidR="00A35E7A">
        <w:t>3</w:t>
      </w:r>
      <w:r w:rsidRPr="000942D0">
        <w:t xml:space="preserve"> average: </w:t>
      </w:r>
      <w:r w:rsidRPr="000942D0" w:rsidR="000942D0">
        <w:t xml:space="preserve">9,079 </w:t>
      </w:r>
      <w:r w:rsidRPr="000942D0" w:rsidR="00A90707">
        <w:t>hours</w:t>
      </w:r>
      <w:r w:rsidRPr="000942D0" w:rsidR="002443C7">
        <w:t>.</w:t>
      </w:r>
    </w:p>
    <w:p w:rsidR="003F3FD9" w:rsidRPr="00582286" w:rsidP="00582286" w14:paraId="495976B3" w14:textId="4517C151">
      <w:pPr>
        <w:pStyle w:val="ListParagraph"/>
        <w:numPr>
          <w:ilvl w:val="0"/>
          <w:numId w:val="10"/>
        </w:numPr>
        <w:spacing w:after="240"/>
        <w:contextualSpacing w:val="0"/>
      </w:pPr>
      <w:r w:rsidRPr="00524480">
        <w:t>Individual FinCEN Identifier</w:t>
      </w:r>
      <w:r w:rsidRPr="00524480" w:rsidR="003249D6">
        <w:t>s</w:t>
      </w:r>
    </w:p>
    <w:p w:rsidR="003F3FD9" w:rsidRPr="00582286" w:rsidP="00582286" w14:paraId="0B330489" w14:textId="2A32DFF2">
      <w:pPr>
        <w:widowControl w:val="0"/>
        <w:spacing w:after="240"/>
      </w:pPr>
      <w:r w:rsidRPr="00524480">
        <w:rPr>
          <w:i/>
        </w:rPr>
        <w:t>Frequency</w:t>
      </w:r>
      <w:r w:rsidRPr="00524480">
        <w:t>: As required.</w:t>
      </w:r>
    </w:p>
    <w:p w:rsidR="003F3FD9" w:rsidRPr="00561941" w:rsidP="00582286" w14:paraId="3F41C473" w14:textId="2CBD7257">
      <w:pPr>
        <w:spacing w:after="240"/>
        <w:rPr>
          <w:i/>
          <w:iCs/>
          <w:u w:val="single"/>
        </w:rPr>
      </w:pPr>
      <w:r w:rsidRPr="00561941">
        <w:rPr>
          <w:i/>
          <w:iCs/>
          <w:u w:val="single"/>
        </w:rPr>
        <w:t xml:space="preserve">Estimated Number of Applications: </w:t>
      </w:r>
    </w:p>
    <w:p w:rsidR="003F3FD9" w:rsidRPr="002F3104" w:rsidP="00582286" w14:paraId="591A50F5" w14:textId="226005DE">
      <w:pPr>
        <w:spacing w:after="240"/>
      </w:pPr>
      <w:r w:rsidRPr="002F3104">
        <w:t xml:space="preserve">Initial applications, Year 1: </w:t>
      </w:r>
      <w:r w:rsidRPr="000E3229" w:rsidR="002F3104">
        <w:t>200,000</w:t>
      </w:r>
      <w:r w:rsidRPr="002F3104" w:rsidR="003C76B8">
        <w:t xml:space="preserve"> </w:t>
      </w:r>
      <w:r w:rsidRPr="002F3104" w:rsidR="00D50329">
        <w:t>applications</w:t>
      </w:r>
      <w:r w:rsidRPr="002F3104">
        <w:t>.</w:t>
      </w:r>
      <w:r>
        <w:rPr>
          <w:rStyle w:val="FootnoteReference"/>
        </w:rPr>
        <w:footnoteReference w:id="32"/>
      </w:r>
      <w:r w:rsidRPr="002F3104">
        <w:t xml:space="preserve">  </w:t>
      </w:r>
    </w:p>
    <w:p w:rsidR="003249D6" w:rsidRPr="002F3104" w:rsidP="00582286" w14:paraId="55418AE6" w14:textId="3E234A7F">
      <w:pPr>
        <w:spacing w:after="240"/>
      </w:pPr>
      <w:r w:rsidRPr="002F3104">
        <w:t>Initial applications, Year 2+: 4</w:t>
      </w:r>
      <w:r w:rsidRPr="000E3229" w:rsidR="002F3104">
        <w:t>0</w:t>
      </w:r>
      <w:r w:rsidRPr="002F3104">
        <w:t>,</w:t>
      </w:r>
      <w:r w:rsidRPr="00D66781" w:rsidR="002F3104">
        <w:t>000</w:t>
      </w:r>
      <w:r w:rsidRPr="002F3104" w:rsidR="002F3104">
        <w:t xml:space="preserve"> </w:t>
      </w:r>
      <w:r w:rsidRPr="002F3104" w:rsidR="00D50329">
        <w:t>applications</w:t>
      </w:r>
      <w:r w:rsidRPr="002F3104">
        <w:t>.</w:t>
      </w:r>
      <w:r>
        <w:rPr>
          <w:rStyle w:val="FootnoteReference"/>
        </w:rPr>
        <w:footnoteReference w:id="33"/>
      </w:r>
    </w:p>
    <w:p w:rsidR="003F3FD9" w:rsidRPr="00A7731E" w:rsidP="00582286" w14:paraId="61A0B765" w14:textId="5DA811FA">
      <w:pPr>
        <w:spacing w:after="240"/>
      </w:pPr>
      <w:r w:rsidRPr="00A7731E">
        <w:t>Initial applications, Years 1-</w:t>
      </w:r>
      <w:r w:rsidRPr="000E3229" w:rsidR="004E61EF">
        <w:t>3</w:t>
      </w:r>
      <w:r w:rsidRPr="00A7731E">
        <w:t xml:space="preserve"> average: </w:t>
      </w:r>
      <w:r w:rsidRPr="000E3229" w:rsidR="005D7A13">
        <w:t>93,333</w:t>
      </w:r>
      <w:r w:rsidRPr="00A7731E" w:rsidR="006D2E90">
        <w:t xml:space="preserve"> applications</w:t>
      </w:r>
      <w:r w:rsidRPr="00A7731E">
        <w:t>.</w:t>
      </w:r>
      <w:r w:rsidRPr="00A7731E" w:rsidR="00894B17">
        <w:t xml:space="preserve">  </w:t>
      </w:r>
      <w:r w:rsidRPr="00A7731E">
        <w:t xml:space="preserve">  </w:t>
      </w:r>
    </w:p>
    <w:p w:rsidR="003F3FD9" w:rsidRPr="0066007F" w:rsidP="00582286" w14:paraId="6DA88936" w14:textId="6353F107">
      <w:pPr>
        <w:spacing w:after="240"/>
      </w:pPr>
      <w:r w:rsidRPr="0066007F">
        <w:t xml:space="preserve">Updated applications, Year 1: </w:t>
      </w:r>
      <w:r w:rsidRPr="000E3229" w:rsidR="00777D65">
        <w:t>16</w:t>
      </w:r>
      <w:r w:rsidRPr="00C11F2E" w:rsidR="003249D6">
        <w:t>,</w:t>
      </w:r>
      <w:r w:rsidRPr="000E3229" w:rsidR="00777D65">
        <w:t>320</w:t>
      </w:r>
      <w:r w:rsidRPr="00C11F2E" w:rsidR="003249D6">
        <w:t xml:space="preserve"> </w:t>
      </w:r>
      <w:r w:rsidRPr="00C11F2E" w:rsidR="00D50329">
        <w:t>applications</w:t>
      </w:r>
      <w:r w:rsidRPr="0066007F">
        <w:t>.</w:t>
      </w:r>
      <w:r>
        <w:rPr>
          <w:rStyle w:val="FootnoteReference"/>
        </w:rPr>
        <w:footnoteReference w:id="34"/>
      </w:r>
      <w:r w:rsidRPr="0066007F" w:rsidR="00894B17">
        <w:t xml:space="preserve">  </w:t>
      </w:r>
      <w:r w:rsidRPr="0066007F">
        <w:t xml:space="preserve"> </w:t>
      </w:r>
    </w:p>
    <w:p w:rsidR="003F3FD9" w:rsidRPr="00253133" w:rsidP="00582286" w14:paraId="75A4CF8E" w14:textId="51438610">
      <w:pPr>
        <w:spacing w:after="240"/>
      </w:pPr>
      <w:r w:rsidRPr="00253133">
        <w:t xml:space="preserve">Updated applications, Year 2+: </w:t>
      </w:r>
      <w:r w:rsidRPr="000E3229" w:rsidR="006A2902">
        <w:t>22</w:t>
      </w:r>
      <w:r w:rsidRPr="00C11F2E" w:rsidR="003249D6">
        <w:t>,</w:t>
      </w:r>
      <w:r w:rsidRPr="00D66781" w:rsidR="00767468">
        <w:t>848</w:t>
      </w:r>
      <w:r w:rsidRPr="00C11F2E" w:rsidR="00253133">
        <w:t xml:space="preserve"> </w:t>
      </w:r>
      <w:r w:rsidRPr="00C11F2E" w:rsidR="00D50329">
        <w:t>applications</w:t>
      </w:r>
      <w:r w:rsidRPr="00253133">
        <w:t>.</w:t>
      </w:r>
      <w:r>
        <w:rPr>
          <w:rStyle w:val="FootnoteReference"/>
        </w:rPr>
        <w:footnoteReference w:id="35"/>
      </w:r>
      <w:r w:rsidRPr="00253133" w:rsidR="00894B17">
        <w:t xml:space="preserve">  </w:t>
      </w:r>
    </w:p>
    <w:p w:rsidR="003F3FD9" w:rsidRPr="00582286" w:rsidP="00582286" w14:paraId="4EBB6D00" w14:textId="0F8444D6">
      <w:pPr>
        <w:spacing w:after="240"/>
      </w:pPr>
      <w:r w:rsidRPr="006C32CA">
        <w:t>Updated applications, Years 1-</w:t>
      </w:r>
      <w:r w:rsidRPr="000E3229" w:rsidR="00E2003A">
        <w:t>3</w:t>
      </w:r>
      <w:r w:rsidRPr="006C32CA">
        <w:t xml:space="preserve"> average: 2</w:t>
      </w:r>
      <w:r w:rsidRPr="000E3229" w:rsidR="00F809C5">
        <w:t>0</w:t>
      </w:r>
      <w:r w:rsidRPr="006C32CA">
        <w:t>,</w:t>
      </w:r>
      <w:r w:rsidRPr="00D66781" w:rsidR="006C32CA">
        <w:t>672</w:t>
      </w:r>
      <w:r w:rsidRPr="006C32CA" w:rsidR="006C32CA">
        <w:t xml:space="preserve"> </w:t>
      </w:r>
      <w:r w:rsidRPr="006C32CA" w:rsidR="006D2E90">
        <w:t>applications</w:t>
      </w:r>
      <w:r w:rsidRPr="006C32CA">
        <w:t>.</w:t>
      </w:r>
    </w:p>
    <w:p w:rsidR="003F3FD9" w:rsidRPr="00561941" w:rsidP="00582286" w14:paraId="075180EE" w14:textId="77777777">
      <w:pPr>
        <w:spacing w:after="240"/>
        <w:rPr>
          <w:i/>
          <w:iCs/>
          <w:u w:val="single"/>
        </w:rPr>
      </w:pPr>
      <w:r w:rsidRPr="00561941">
        <w:rPr>
          <w:i/>
          <w:iCs/>
          <w:u w:val="single"/>
        </w:rPr>
        <w:t xml:space="preserve">Estimated Total Reporting Burden Hours: </w:t>
      </w:r>
    </w:p>
    <w:p w:rsidR="003F3FD9" w:rsidRPr="00291BE7" w:rsidP="00582286" w14:paraId="5CCBDB76" w14:textId="337072CF">
      <w:pPr>
        <w:spacing w:after="240"/>
      </w:pPr>
      <w:r w:rsidRPr="00291BE7">
        <w:t xml:space="preserve">Initial applications, Year 1: </w:t>
      </w:r>
      <w:r w:rsidRPr="000E3229" w:rsidR="00131F62">
        <w:t>66</w:t>
      </w:r>
      <w:r w:rsidRPr="00291BE7" w:rsidR="003249D6">
        <w:t>,</w:t>
      </w:r>
      <w:r w:rsidRPr="000E3229" w:rsidR="00131F62">
        <w:t>66</w:t>
      </w:r>
      <w:r w:rsidRPr="000E3229" w:rsidR="00575DB2">
        <w:t>7</w:t>
      </w:r>
      <w:r w:rsidRPr="00291BE7" w:rsidR="003A7326">
        <w:t xml:space="preserve"> </w:t>
      </w:r>
      <w:r w:rsidRPr="00291BE7" w:rsidR="00D50329">
        <w:t>hours</w:t>
      </w:r>
      <w:r w:rsidRPr="00291BE7">
        <w:t>.</w:t>
      </w:r>
      <w:r>
        <w:rPr>
          <w:rStyle w:val="FootnoteReference"/>
        </w:rPr>
        <w:footnoteReference w:id="36"/>
      </w:r>
      <w:r w:rsidRPr="00291BE7">
        <w:t xml:space="preserve">    </w:t>
      </w:r>
    </w:p>
    <w:p w:rsidR="003F3FD9" w:rsidRPr="00291BE7" w:rsidP="00582286" w14:paraId="13AF3621" w14:textId="5ADDAF75">
      <w:pPr>
        <w:spacing w:after="240"/>
      </w:pPr>
      <w:r w:rsidRPr="00291BE7">
        <w:t xml:space="preserve">Initial applications, Year 2+: </w:t>
      </w:r>
      <w:r w:rsidRPr="00291BE7" w:rsidR="003249D6">
        <w:t>1</w:t>
      </w:r>
      <w:r w:rsidRPr="000E3229" w:rsidR="00EC1A34">
        <w:t>3</w:t>
      </w:r>
      <w:r w:rsidRPr="00291BE7" w:rsidR="003249D6">
        <w:t>,</w:t>
      </w:r>
      <w:r w:rsidRPr="000E3229" w:rsidR="006B1EC8">
        <w:t>333</w:t>
      </w:r>
      <w:r w:rsidRPr="00291BE7" w:rsidR="003249D6">
        <w:t xml:space="preserve"> </w:t>
      </w:r>
      <w:r w:rsidRPr="00291BE7" w:rsidR="00D50329">
        <w:t>hours</w:t>
      </w:r>
      <w:r w:rsidRPr="00291BE7">
        <w:t>.</w:t>
      </w:r>
      <w:r>
        <w:rPr>
          <w:rStyle w:val="FootnoteReference"/>
        </w:rPr>
        <w:footnoteReference w:id="37"/>
      </w:r>
      <w:r w:rsidRPr="00291BE7">
        <w:t xml:space="preserve">  </w:t>
      </w:r>
    </w:p>
    <w:p w:rsidR="00186AE9" w:rsidRPr="00291BE7" w:rsidP="00582286" w14:paraId="56C0656D" w14:textId="17F876F3">
      <w:pPr>
        <w:spacing w:after="240"/>
      </w:pPr>
      <w:r w:rsidRPr="00291BE7">
        <w:t>Initial applications, Years 1-</w:t>
      </w:r>
      <w:r w:rsidRPr="000E3229" w:rsidR="00D72717">
        <w:t>3</w:t>
      </w:r>
      <w:r w:rsidRPr="00291BE7">
        <w:t xml:space="preserve"> average: </w:t>
      </w:r>
      <w:r w:rsidRPr="00291BE7" w:rsidR="003D4286">
        <w:t>3</w:t>
      </w:r>
      <w:r w:rsidRPr="00D66781" w:rsidR="003D4286">
        <w:t>1</w:t>
      </w:r>
      <w:r w:rsidRPr="00291BE7" w:rsidR="00D3798F">
        <w:t>,</w:t>
      </w:r>
      <w:r w:rsidRPr="000E3229" w:rsidR="00937672">
        <w:t>111</w:t>
      </w:r>
      <w:r w:rsidRPr="00291BE7" w:rsidR="00D3798F">
        <w:t xml:space="preserve"> hours</w:t>
      </w:r>
      <w:r w:rsidRPr="00291BE7" w:rsidR="002443C7">
        <w:t>.</w:t>
      </w:r>
    </w:p>
    <w:p w:rsidR="003F3FD9" w:rsidRPr="00E62A85" w:rsidP="00582286" w14:paraId="43BC57EB" w14:textId="31F7FFCD">
      <w:pPr>
        <w:spacing w:after="240"/>
      </w:pPr>
      <w:r w:rsidRPr="00E62A85">
        <w:t xml:space="preserve">Updated applications, Year 1: </w:t>
      </w:r>
      <w:r w:rsidRPr="00E62A85" w:rsidR="003249D6">
        <w:t>2,</w:t>
      </w:r>
      <w:r w:rsidRPr="00D66781" w:rsidR="00960636">
        <w:t>720</w:t>
      </w:r>
      <w:r w:rsidRPr="00E62A85" w:rsidR="00960636">
        <w:t xml:space="preserve"> </w:t>
      </w:r>
      <w:r w:rsidRPr="00E62A85" w:rsidR="00D50329">
        <w:t>hours</w:t>
      </w:r>
      <w:r w:rsidRPr="00E62A85">
        <w:t>.</w:t>
      </w:r>
      <w:r>
        <w:rPr>
          <w:rStyle w:val="FootnoteReference"/>
        </w:rPr>
        <w:footnoteReference w:id="38"/>
      </w:r>
    </w:p>
    <w:p w:rsidR="003F3FD9" w:rsidRPr="00E62A85" w:rsidP="00582286" w14:paraId="2B85BA99" w14:textId="03400A82">
      <w:pPr>
        <w:spacing w:after="240"/>
      </w:pPr>
      <w:r w:rsidRPr="00E62A85">
        <w:t xml:space="preserve">Updated applications, Year 2+: </w:t>
      </w:r>
      <w:r w:rsidR="00A23245">
        <w:t>3,808</w:t>
      </w:r>
      <w:r w:rsidRPr="00E62A85" w:rsidR="003249D6">
        <w:t xml:space="preserve"> </w:t>
      </w:r>
      <w:r w:rsidRPr="00E62A85" w:rsidR="00D50329">
        <w:t>hours</w:t>
      </w:r>
      <w:r w:rsidRPr="00E62A85">
        <w:t>.</w:t>
      </w:r>
      <w:r>
        <w:rPr>
          <w:rStyle w:val="FootnoteReference"/>
        </w:rPr>
        <w:footnoteReference w:id="39"/>
      </w:r>
    </w:p>
    <w:p w:rsidR="00244C85" w:rsidP="00582286" w14:paraId="5DDE659F" w14:textId="57C88DF8">
      <w:pPr>
        <w:spacing w:after="240"/>
      </w:pPr>
      <w:r w:rsidRPr="00CE307F">
        <w:t>Updated applications, Years 1-</w:t>
      </w:r>
      <w:r w:rsidRPr="000E3229" w:rsidR="00E2003A">
        <w:t>3</w:t>
      </w:r>
      <w:r w:rsidRPr="00CE307F">
        <w:t xml:space="preserve"> average: </w:t>
      </w:r>
      <w:r w:rsidR="00DC159F">
        <w:t>3,445</w:t>
      </w:r>
      <w:r w:rsidRPr="00CE307F" w:rsidR="00D3798F">
        <w:t xml:space="preserve"> hours</w:t>
      </w:r>
      <w:r w:rsidRPr="00CE307F" w:rsidR="002443C7">
        <w:t>.</w:t>
      </w:r>
    </w:p>
    <w:p w:rsidR="003925FB" w:rsidRPr="00582286" w:rsidP="00582286" w14:paraId="45D8CEF4" w14:textId="00A94DAC">
      <w:pPr>
        <w:spacing w:after="240"/>
        <w:ind w:firstLine="720"/>
        <w:rPr>
          <w:b/>
        </w:rPr>
      </w:pPr>
      <w:r>
        <w:t xml:space="preserve">The average total annual hourly burden of Years 1-3 of these collections is </w:t>
      </w:r>
      <w:r w:rsidRPr="00AA6C61" w:rsidR="00AA6C61">
        <w:t>86,125</w:t>
      </w:r>
      <w:r w:rsidRPr="00AA6C61" w:rsidR="00AA6C61">
        <w:rPr>
          <w:i/>
          <w:iCs/>
        </w:rPr>
        <w:t xml:space="preserve"> </w:t>
      </w:r>
      <w:r w:rsidR="24B611C1">
        <w:t xml:space="preserve"> </w:t>
      </w:r>
      <w:r w:rsidRPr="34CC37CC" w:rsidR="24B611C1">
        <w:rPr>
          <w:color w:val="000000" w:themeColor="text1"/>
        </w:rPr>
        <w:t>per year, on average</w:t>
      </w:r>
      <w:r w:rsidRPr="34CC37CC">
        <w:rPr>
          <w:color w:val="000000" w:themeColor="text1"/>
        </w:rPr>
        <w:t>.</w:t>
      </w:r>
    </w:p>
    <w:p w:rsidR="00600940" w:rsidRPr="003925FB" w:rsidP="00582286" w14:paraId="29884DF8" w14:textId="0097DD90">
      <w:pPr>
        <w:widowControl w:val="0"/>
        <w:autoSpaceDE w:val="0"/>
        <w:autoSpaceDN w:val="0"/>
        <w:adjustRightInd w:val="0"/>
        <w:spacing w:after="240"/>
        <w:jc w:val="both"/>
        <w:rPr>
          <w:szCs w:val="22"/>
        </w:rPr>
      </w:pPr>
      <w:r>
        <w:t xml:space="preserve">13. </w:t>
      </w:r>
      <w:r>
        <w:rPr>
          <w:u w:val="single"/>
        </w:rPr>
        <w:t xml:space="preserve">Estimated </w:t>
      </w:r>
      <w:r w:rsidR="00902855">
        <w:rPr>
          <w:u w:val="single"/>
        </w:rPr>
        <w:t>annual cost to respondents for h</w:t>
      </w:r>
      <w:r>
        <w:rPr>
          <w:u w:val="single"/>
        </w:rPr>
        <w:t xml:space="preserve">our </w:t>
      </w:r>
      <w:r w:rsidR="00902855">
        <w:rPr>
          <w:u w:val="single"/>
        </w:rPr>
        <w:t>b</w:t>
      </w:r>
      <w:r>
        <w:rPr>
          <w:u w:val="single"/>
        </w:rPr>
        <w:t>urdens.</w:t>
      </w:r>
      <w:r>
        <w:t xml:space="preserve"> </w:t>
      </w:r>
    </w:p>
    <w:p w:rsidR="00244C85" w:rsidP="00582286" w14:paraId="2996E101" w14:textId="34EC64E9">
      <w:pPr>
        <w:spacing w:after="240"/>
        <w:ind w:firstLine="720"/>
        <w:rPr>
          <w:szCs w:val="22"/>
        </w:rPr>
      </w:pPr>
      <w:r>
        <w:t xml:space="preserve">As noted in the prior response, </w:t>
      </w:r>
      <w:r w:rsidRPr="00244C85">
        <w:rPr>
          <w:szCs w:val="22"/>
        </w:rPr>
        <w:t>FinCEN</w:t>
      </w:r>
      <w:r>
        <w:rPr>
          <w:szCs w:val="22"/>
        </w:rPr>
        <w:t xml:space="preserve"> has estimated annual cost for </w:t>
      </w:r>
      <w:r w:rsidR="006D2E90">
        <w:rPr>
          <w:szCs w:val="22"/>
        </w:rPr>
        <w:t xml:space="preserve">two </w:t>
      </w:r>
      <w:r>
        <w:rPr>
          <w:szCs w:val="22"/>
        </w:rPr>
        <w:t xml:space="preserve">information collections under the </w:t>
      </w:r>
      <w:r w:rsidR="004C6653">
        <w:rPr>
          <w:szCs w:val="22"/>
        </w:rPr>
        <w:t>IFR</w:t>
      </w:r>
      <w:r>
        <w:rPr>
          <w:szCs w:val="22"/>
        </w:rPr>
        <w:t>.</w:t>
      </w:r>
      <w:r>
        <w:rPr>
          <w:rStyle w:val="FootnoteReference"/>
          <w:szCs w:val="22"/>
        </w:rPr>
        <w:footnoteReference w:id="40"/>
      </w:r>
      <w:r>
        <w:rPr>
          <w:szCs w:val="22"/>
        </w:rPr>
        <w:t xml:space="preserve">  Each information collection includes estimates for costs of initial and updated reports or applications.  Additionally, each information collection includes cost estimates for Year 1 and then annual cost estimates for any year after Year 1 (Year 2+).  </w:t>
      </w:r>
      <w:r w:rsidR="009130E6">
        <w:rPr>
          <w:szCs w:val="22"/>
        </w:rPr>
        <w:t>FinCEN applies a</w:t>
      </w:r>
      <w:r w:rsidR="003F11FF">
        <w:rPr>
          <w:szCs w:val="22"/>
        </w:rPr>
        <w:t>n average</w:t>
      </w:r>
      <w:r w:rsidR="009130E6">
        <w:rPr>
          <w:szCs w:val="22"/>
        </w:rPr>
        <w:t xml:space="preserve"> wage rate of </w:t>
      </w:r>
      <w:r w:rsidRPr="00897276" w:rsidR="009130E6">
        <w:rPr>
          <w:szCs w:val="22"/>
        </w:rPr>
        <w:t>$5</w:t>
      </w:r>
      <w:r w:rsidRPr="000E3229" w:rsidR="00897276">
        <w:rPr>
          <w:szCs w:val="22"/>
        </w:rPr>
        <w:t>4</w:t>
      </w:r>
      <w:r w:rsidRPr="00897276" w:rsidR="009130E6">
        <w:rPr>
          <w:szCs w:val="22"/>
        </w:rPr>
        <w:t>.7</w:t>
      </w:r>
      <w:r w:rsidRPr="000E3229" w:rsidR="00897276">
        <w:rPr>
          <w:szCs w:val="22"/>
        </w:rPr>
        <w:t>1</w:t>
      </w:r>
      <w:r w:rsidR="009130E6">
        <w:rPr>
          <w:szCs w:val="22"/>
        </w:rPr>
        <w:t xml:space="preserve"> throughout the analysis.</w:t>
      </w:r>
      <w:r>
        <w:rPr>
          <w:rStyle w:val="FootnoteReference"/>
          <w:szCs w:val="22"/>
        </w:rPr>
        <w:footnoteReference w:id="41"/>
      </w:r>
    </w:p>
    <w:p w:rsidR="00244C85" w:rsidP="00582286" w14:paraId="7256B44C" w14:textId="293173CC">
      <w:pPr>
        <w:pStyle w:val="ListParagraph"/>
        <w:numPr>
          <w:ilvl w:val="0"/>
          <w:numId w:val="8"/>
        </w:numPr>
        <w:spacing w:after="240"/>
        <w:ind w:left="1800"/>
        <w:contextualSpacing w:val="0"/>
      </w:pPr>
      <w:r w:rsidRPr="00244C85">
        <w:t>BOI Reports</w:t>
      </w:r>
    </w:p>
    <w:p w:rsidR="009130E6" w:rsidRPr="00244C85" w:rsidP="00CF798E" w14:paraId="69342B27" w14:textId="4AC19CF1">
      <w:pPr>
        <w:spacing w:after="240"/>
        <w:ind w:firstLine="720"/>
      </w:pPr>
      <w:r>
        <w:t xml:space="preserve">Using the same </w:t>
      </w:r>
      <w:r w:rsidR="000435B9">
        <w:t xml:space="preserve">time burden estimates per type of reporting company as in the previous final rule, </w:t>
      </w:r>
      <w:r w:rsidR="0091589A">
        <w:t>FinCEN estimates the average cost of filing an initial BOI repo</w:t>
      </w:r>
      <w:r w:rsidR="0012676F">
        <w:t>rt per reporting company to be</w:t>
      </w:r>
      <w:r w:rsidR="0091589A">
        <w:t xml:space="preserve"> $8</w:t>
      </w:r>
      <w:r w:rsidR="00EC00E1">
        <w:t>2</w:t>
      </w:r>
      <w:r w:rsidR="0091589A">
        <w:t>.</w:t>
      </w:r>
      <w:r w:rsidR="00EC00E1">
        <w:t>06</w:t>
      </w:r>
      <w:r w:rsidR="0091589A">
        <w:t xml:space="preserve"> for those with a simple </w:t>
      </w:r>
      <w:r w:rsidR="0012676F">
        <w:t>ownership</w:t>
      </w:r>
      <w:r w:rsidR="0091589A">
        <w:t xml:space="preserve"> structure, </w:t>
      </w:r>
      <w:r w:rsidR="0012676F">
        <w:t>$1,3</w:t>
      </w:r>
      <w:r w:rsidR="00C45132">
        <w:t>37</w:t>
      </w:r>
      <w:r w:rsidR="0012676F">
        <w:t>.</w:t>
      </w:r>
      <w:r w:rsidR="00F26BEB">
        <w:t>37</w:t>
      </w:r>
      <w:r w:rsidR="0012676F">
        <w:t xml:space="preserve"> for those with an intermediate reporting structure, and </w:t>
      </w:r>
      <w:r w:rsidR="0091589A">
        <w:t>$2,</w:t>
      </w:r>
      <w:r w:rsidR="00F26BEB">
        <w:t>592</w:t>
      </w:r>
      <w:r w:rsidR="0091589A">
        <w:t>.</w:t>
      </w:r>
      <w:r w:rsidR="00F26BEB">
        <w:t>6</w:t>
      </w:r>
      <w:r w:rsidR="0091589A">
        <w:t>7</w:t>
      </w:r>
      <w:r w:rsidR="0012676F">
        <w:t xml:space="preserve"> for those with a complex ownership structure</w:t>
      </w:r>
      <w:r w:rsidR="0091589A">
        <w:t>.  FinCEN estimates the average cost of filing an updated BOI report per</w:t>
      </w:r>
      <w:r w:rsidR="0012676F">
        <w:t xml:space="preserve"> reporting company to be $3</w:t>
      </w:r>
      <w:r w:rsidR="008A112B">
        <w:t>6</w:t>
      </w:r>
      <w:r w:rsidR="0012676F">
        <w:t>.</w:t>
      </w:r>
      <w:r w:rsidR="008A112B">
        <w:t>47</w:t>
      </w:r>
      <w:r w:rsidR="0012676F">
        <w:t xml:space="preserve"> for those with a simple ownership structure, $</w:t>
      </w:r>
      <w:r w:rsidR="009F0BEB">
        <w:t>104</w:t>
      </w:r>
      <w:r w:rsidR="0012676F">
        <w:t>.</w:t>
      </w:r>
      <w:r w:rsidR="00CA3020">
        <w:t>86</w:t>
      </w:r>
      <w:r w:rsidR="0012676F">
        <w:t xml:space="preserve"> for those with an intermediate ownership structure, and </w:t>
      </w:r>
      <w:r w:rsidR="0091589A">
        <w:t>$</w:t>
      </w:r>
      <w:r w:rsidR="00704B80">
        <w:t>155</w:t>
      </w:r>
      <w:r w:rsidR="0091589A">
        <w:t>.</w:t>
      </w:r>
      <w:r w:rsidR="00704B80">
        <w:t>0</w:t>
      </w:r>
      <w:r w:rsidR="0091589A">
        <w:t>1</w:t>
      </w:r>
      <w:r w:rsidR="0012676F">
        <w:t xml:space="preserve"> for those with a complex ownership structure</w:t>
      </w:r>
      <w:r w:rsidR="0091589A">
        <w:t>.</w:t>
      </w:r>
    </w:p>
    <w:p w:rsidR="00D52A5D" w:rsidP="00582286" w14:paraId="221AACB1" w14:textId="63D25026">
      <w:pPr>
        <w:spacing w:after="240"/>
      </w:pPr>
      <w:r w:rsidRPr="00F341E0">
        <w:rPr>
          <w:i/>
        </w:rPr>
        <w:t>Estimated Total Reporting Cost:</w:t>
      </w:r>
    </w:p>
    <w:p w:rsidR="00D52A5D" w:rsidRPr="00990C64" w:rsidP="00582286" w14:paraId="0E35A900" w14:textId="5A029E1E">
      <w:pPr>
        <w:spacing w:after="240"/>
      </w:pPr>
      <w:r w:rsidRPr="00990C64">
        <w:t xml:space="preserve">Initial reports, Year 1: </w:t>
      </w:r>
      <w:r w:rsidRPr="00990C64" w:rsidR="009130E6">
        <w:t>$</w:t>
      </w:r>
      <w:r w:rsidRPr="000E3229" w:rsidR="001F7CE2">
        <w:t>16,</w:t>
      </w:r>
      <w:r w:rsidRPr="000E3229" w:rsidR="00990C64">
        <w:t>456,151.26</w:t>
      </w:r>
      <w:r w:rsidRPr="00990C64">
        <w:t xml:space="preserve">.  </w:t>
      </w:r>
    </w:p>
    <w:p w:rsidR="00D52A5D" w:rsidRPr="00EF4C0B" w:rsidP="00582286" w14:paraId="3BA12D9B" w14:textId="08188B36">
      <w:pPr>
        <w:spacing w:after="240"/>
      </w:pPr>
      <w:r w:rsidRPr="00EF4C0B">
        <w:t xml:space="preserve">Initial reports, Year 2+: </w:t>
      </w:r>
      <w:r w:rsidRPr="00EF4C0B" w:rsidR="0012676F">
        <w:t>$</w:t>
      </w:r>
      <w:r w:rsidRPr="000E3229" w:rsidR="00EF4C0B">
        <w:t>22,130,486.82</w:t>
      </w:r>
      <w:r w:rsidRPr="00EF4C0B">
        <w:t xml:space="preserve">.  </w:t>
      </w:r>
    </w:p>
    <w:p w:rsidR="0012676F" w:rsidRPr="00C96C3C" w:rsidP="00582286" w14:paraId="72545929" w14:textId="485FDCC7">
      <w:pPr>
        <w:spacing w:after="240"/>
      </w:pPr>
      <w:r w:rsidRPr="00C96C3C">
        <w:t>Initial reports, Years 1-</w:t>
      </w:r>
      <w:r w:rsidRPr="00C96C3C" w:rsidR="00F912E1">
        <w:t>3</w:t>
      </w:r>
      <w:r w:rsidRPr="00C96C3C">
        <w:t xml:space="preserve"> average: </w:t>
      </w:r>
      <w:r w:rsidRPr="00C96C3C" w:rsidR="00BA7072">
        <w:t>$</w:t>
      </w:r>
      <w:r w:rsidRPr="000E3229" w:rsidR="00E84616">
        <w:t>20,</w:t>
      </w:r>
      <w:r w:rsidRPr="000E3229" w:rsidR="00B63D1F">
        <w:t>239,</w:t>
      </w:r>
      <w:r w:rsidRPr="000E3229" w:rsidR="004F7113">
        <w:t>041</w:t>
      </w:r>
      <w:r w:rsidRPr="000E3229" w:rsidR="00C96C3C">
        <w:t>.64</w:t>
      </w:r>
      <w:r w:rsidRPr="00C96C3C" w:rsidR="000853EF">
        <w:t xml:space="preserve">. </w:t>
      </w:r>
    </w:p>
    <w:p w:rsidR="00D52A5D" w:rsidRPr="00587FBF" w:rsidP="00582286" w14:paraId="315F6D86" w14:textId="4B51BF87">
      <w:pPr>
        <w:spacing w:after="240"/>
      </w:pPr>
      <w:r w:rsidRPr="00587FBF">
        <w:t xml:space="preserve">Updated reports, Year 1:  </w:t>
      </w:r>
      <w:r w:rsidRPr="00587FBF" w:rsidR="0012676F">
        <w:t>$</w:t>
      </w:r>
      <w:r w:rsidRPr="000E3229" w:rsidR="00152486">
        <w:t>318,</w:t>
      </w:r>
      <w:r w:rsidRPr="000E3229" w:rsidR="00587FBF">
        <w:t>093.19</w:t>
      </w:r>
      <w:r w:rsidRPr="00587FBF">
        <w:t xml:space="preserve">. </w:t>
      </w:r>
    </w:p>
    <w:p w:rsidR="00D52A5D" w:rsidRPr="001B786C" w:rsidP="00582286" w14:paraId="34F97BD5" w14:textId="0B942072">
      <w:pPr>
        <w:spacing w:after="240"/>
      </w:pPr>
      <w:r w:rsidRPr="001B786C">
        <w:t xml:space="preserve">Updated reports, Year 2+: </w:t>
      </w:r>
      <w:r w:rsidRPr="001B786C" w:rsidR="00BA7072">
        <w:t>$</w:t>
      </w:r>
      <w:r w:rsidRPr="000E3229" w:rsidR="00B70F6B">
        <w:t>585</w:t>
      </w:r>
      <w:r w:rsidRPr="000E3229" w:rsidR="001B786C">
        <w:t>,961.14</w:t>
      </w:r>
      <w:r w:rsidRPr="001B786C">
        <w:t>.</w:t>
      </w:r>
    </w:p>
    <w:p w:rsidR="00D52A5D" w:rsidP="00582286" w14:paraId="6B5EBCC3" w14:textId="38C1D64C">
      <w:pPr>
        <w:spacing w:after="240"/>
        <w:rPr>
          <w:rFonts w:eastAsia="MS Mincho"/>
          <w:szCs w:val="20"/>
        </w:rPr>
      </w:pPr>
      <w:r w:rsidRPr="000543B9">
        <w:t>Updated reports, Years 1-</w:t>
      </w:r>
      <w:r w:rsidRPr="000543B9" w:rsidR="00F912E1">
        <w:t>3</w:t>
      </w:r>
      <w:r w:rsidRPr="000543B9">
        <w:t xml:space="preserve"> average: $</w:t>
      </w:r>
      <w:r w:rsidRPr="000E3229" w:rsidR="00B12BCD">
        <w:t>496,</w:t>
      </w:r>
      <w:r w:rsidRPr="000E3229" w:rsidR="000543B9">
        <w:t>671.83</w:t>
      </w:r>
      <w:r w:rsidRPr="000543B9" w:rsidR="00343D22">
        <w:t>.</w:t>
      </w:r>
    </w:p>
    <w:p w:rsidR="00D52A5D" w:rsidRPr="00D52A5D" w:rsidP="00582286" w14:paraId="1DE41808" w14:textId="478391A6">
      <w:pPr>
        <w:pStyle w:val="ListParagraph"/>
        <w:numPr>
          <w:ilvl w:val="0"/>
          <w:numId w:val="8"/>
        </w:numPr>
        <w:spacing w:after="240"/>
        <w:ind w:left="1800"/>
        <w:contextualSpacing w:val="0"/>
        <w:rPr>
          <w:i/>
        </w:rPr>
      </w:pPr>
      <w:r>
        <w:t>Individuals Applying for a FinCEN Identifier</w:t>
      </w:r>
    </w:p>
    <w:p w:rsidR="00D52A5D" w:rsidRPr="00D52A5D" w:rsidP="00582286" w14:paraId="2D39D6BA" w14:textId="329D9EB7">
      <w:pPr>
        <w:spacing w:after="240"/>
      </w:pPr>
      <w:r>
        <w:rPr>
          <w:i/>
        </w:rPr>
        <w:t>Estimated Total Re</w:t>
      </w:r>
      <w:r w:rsidRPr="00F341E0">
        <w:rPr>
          <w:i/>
        </w:rPr>
        <w:t>porting Cost:</w:t>
      </w:r>
    </w:p>
    <w:p w:rsidR="00D52A5D" w:rsidRPr="0023721D" w:rsidP="00582286" w14:paraId="0FDF4960" w14:textId="2DB386B8">
      <w:pPr>
        <w:spacing w:after="240"/>
      </w:pPr>
      <w:r w:rsidRPr="0023721D">
        <w:t xml:space="preserve">Initial applications, Year 1: </w:t>
      </w:r>
      <w:r w:rsidRPr="0023721D" w:rsidR="000567EA">
        <w:t>$</w:t>
      </w:r>
      <w:r w:rsidRPr="000E3229" w:rsidR="0023721D">
        <w:t>3,647,191.11</w:t>
      </w:r>
      <w:r w:rsidRPr="0023721D">
        <w:t>.</w:t>
      </w:r>
      <w:r>
        <w:rPr>
          <w:rStyle w:val="FootnoteReference"/>
        </w:rPr>
        <w:footnoteReference w:id="42"/>
      </w:r>
      <w:r w:rsidRPr="0023721D">
        <w:t xml:space="preserve">     </w:t>
      </w:r>
    </w:p>
    <w:p w:rsidR="00D52A5D" w:rsidRPr="00CB277E" w:rsidP="00582286" w14:paraId="040E8E8B" w14:textId="66309405">
      <w:pPr>
        <w:spacing w:after="240"/>
      </w:pPr>
      <w:r w:rsidRPr="00CB277E">
        <w:t>Initial applications</w:t>
      </w:r>
      <w:r w:rsidRPr="00CB277E" w:rsidR="00A4089F">
        <w:t xml:space="preserve">, Year 2+: </w:t>
      </w:r>
      <w:r w:rsidRPr="00CB277E" w:rsidR="000567EA">
        <w:t>$</w:t>
      </w:r>
      <w:r w:rsidRPr="000E3229" w:rsidR="004B443F">
        <w:t>729</w:t>
      </w:r>
      <w:r w:rsidRPr="00CB277E" w:rsidR="000567EA">
        <w:t>,</w:t>
      </w:r>
      <w:r w:rsidRPr="000E3229" w:rsidR="004B443F">
        <w:t>438</w:t>
      </w:r>
      <w:r w:rsidRPr="00CB277E" w:rsidR="00602D0A">
        <w:t>.</w:t>
      </w:r>
      <w:r w:rsidRPr="000E3229" w:rsidR="00CB277E">
        <w:t>22</w:t>
      </w:r>
      <w:r w:rsidRPr="00CB277E" w:rsidR="00602D0A">
        <w:t>.</w:t>
      </w:r>
      <w:r>
        <w:rPr>
          <w:rStyle w:val="FootnoteReference"/>
        </w:rPr>
        <w:footnoteReference w:id="43"/>
      </w:r>
      <w:r w:rsidRPr="00CB277E" w:rsidR="00A4089F">
        <w:t xml:space="preserve">  </w:t>
      </w:r>
      <w:r w:rsidRPr="00CB277E">
        <w:t xml:space="preserve"> </w:t>
      </w:r>
    </w:p>
    <w:p w:rsidR="000567EA" w:rsidRPr="00424D94" w:rsidP="00582286" w14:paraId="426F1631" w14:textId="6CBA16C1">
      <w:pPr>
        <w:spacing w:after="240"/>
      </w:pPr>
      <w:r w:rsidRPr="00424D94">
        <w:t>Initial applications, Years 1-</w:t>
      </w:r>
      <w:r w:rsidRPr="00424D94" w:rsidR="00F912E1">
        <w:t>3</w:t>
      </w:r>
      <w:r w:rsidRPr="00424D94">
        <w:t xml:space="preserve"> average: </w:t>
      </w:r>
      <w:r w:rsidRPr="00424D94" w:rsidR="00E72155">
        <w:t>$</w:t>
      </w:r>
      <w:r w:rsidRPr="00D66781" w:rsidR="00926343">
        <w:t>1,702,022</w:t>
      </w:r>
      <w:r w:rsidRPr="00D66781" w:rsidR="001E5D56">
        <w:t>.52</w:t>
      </w:r>
      <w:r w:rsidRPr="00424D94" w:rsidR="000A3D3B">
        <w:t>.</w:t>
      </w:r>
    </w:p>
    <w:p w:rsidR="00DD377D" w:rsidRPr="00535739" w:rsidP="00582286" w14:paraId="02FBDB51" w14:textId="3A07D33D">
      <w:pPr>
        <w:spacing w:after="240"/>
      </w:pPr>
      <w:r w:rsidRPr="00535739">
        <w:t xml:space="preserve">Updated applications, Year 1: </w:t>
      </w:r>
      <w:r w:rsidRPr="00535739" w:rsidR="000567EA">
        <w:t>$</w:t>
      </w:r>
      <w:r w:rsidRPr="00D66781" w:rsidR="00E86336">
        <w:t>148,805</w:t>
      </w:r>
      <w:r w:rsidRPr="00141CFE" w:rsidR="00A4089F">
        <w:t>.</w:t>
      </w:r>
      <w:r w:rsidRPr="00D66781" w:rsidR="00535739">
        <w:t>40</w:t>
      </w:r>
      <w:r w:rsidRPr="00535739" w:rsidR="00A4089F">
        <w:t>.</w:t>
      </w:r>
      <w:r>
        <w:rPr>
          <w:rStyle w:val="FootnoteReference"/>
        </w:rPr>
        <w:footnoteReference w:id="44"/>
      </w:r>
      <w:r w:rsidRPr="00535739" w:rsidR="00A4089F">
        <w:t xml:space="preserve"> </w:t>
      </w:r>
      <w:r w:rsidRPr="00535739">
        <w:t xml:space="preserve"> </w:t>
      </w:r>
    </w:p>
    <w:p w:rsidR="00A4089F" w:rsidRPr="00A43DC8" w:rsidP="00582286" w14:paraId="211B9A66" w14:textId="78C3CD04">
      <w:pPr>
        <w:spacing w:after="240"/>
      </w:pPr>
      <w:r w:rsidRPr="00A43DC8">
        <w:t xml:space="preserve">Updated applications, Year 2+: </w:t>
      </w:r>
      <w:r w:rsidRPr="00A43DC8" w:rsidR="000567EA">
        <w:t>$</w:t>
      </w:r>
      <w:r w:rsidR="008F4285">
        <w:t>208,327.56</w:t>
      </w:r>
      <w:r w:rsidRPr="00A43DC8" w:rsidR="000567EA">
        <w:t>.</w:t>
      </w:r>
      <w:r>
        <w:rPr>
          <w:rStyle w:val="FootnoteReference"/>
        </w:rPr>
        <w:footnoteReference w:id="45"/>
      </w:r>
    </w:p>
    <w:p w:rsidR="003F3FD9" w:rsidP="00582286" w14:paraId="3D62BB56" w14:textId="0C683A9E">
      <w:pPr>
        <w:spacing w:after="240"/>
      </w:pPr>
      <w:r w:rsidRPr="00DA704F">
        <w:t>Updated applications, Years 1-</w:t>
      </w:r>
      <w:r w:rsidRPr="00DA704F" w:rsidR="00F912E1">
        <w:t>3</w:t>
      </w:r>
      <w:r w:rsidRPr="00DA704F">
        <w:t xml:space="preserve"> average: </w:t>
      </w:r>
      <w:r w:rsidRPr="00DA704F" w:rsidR="00E72155">
        <w:t>$</w:t>
      </w:r>
      <w:r w:rsidR="008F4285">
        <w:t>188</w:t>
      </w:r>
      <w:r w:rsidRPr="00D66781" w:rsidR="00DA704F">
        <w:t>,4</w:t>
      </w:r>
      <w:r w:rsidR="008F4285">
        <w:t>86</w:t>
      </w:r>
      <w:r w:rsidRPr="00D66781" w:rsidR="00DA704F">
        <w:t>.</w:t>
      </w:r>
      <w:r w:rsidR="008F4285">
        <w:t>84</w:t>
      </w:r>
      <w:r w:rsidRPr="00DA704F" w:rsidR="000A3D3B">
        <w:t>.</w:t>
      </w:r>
    </w:p>
    <w:p w:rsidR="00E03582" w:rsidRPr="003C2344" w:rsidP="00582286" w14:paraId="0C7265B1" w14:textId="27FE6BA4">
      <w:pPr>
        <w:spacing w:after="240"/>
        <w:rPr>
          <w:b/>
          <w:bCs/>
          <w:color w:val="000000"/>
        </w:rPr>
      </w:pPr>
      <w:r>
        <w:t xml:space="preserve">The average total </w:t>
      </w:r>
      <w:r w:rsidR="3E8483D5">
        <w:t xml:space="preserve">annual </w:t>
      </w:r>
      <w:r>
        <w:t>cost of Years 1-</w:t>
      </w:r>
      <w:r w:rsidR="3E8483D5">
        <w:t>3</w:t>
      </w:r>
      <w:r>
        <w:t xml:space="preserve"> of these collections is </w:t>
      </w:r>
      <w:r w:rsidRPr="3D147A20">
        <w:rPr>
          <w:color w:val="000000" w:themeColor="text1"/>
        </w:rPr>
        <w:t>$</w:t>
      </w:r>
      <w:r w:rsidRPr="3D147A20" w:rsidR="6A2E5238">
        <w:rPr>
          <w:color w:val="000000" w:themeColor="text1"/>
        </w:rPr>
        <w:t>22,507,178.50</w:t>
      </w:r>
      <w:r w:rsidR="69ADC36E">
        <w:t xml:space="preserve"> </w:t>
      </w:r>
      <w:r w:rsidRPr="3D147A20" w:rsidR="69ADC36E">
        <w:rPr>
          <w:color w:val="000000" w:themeColor="text1"/>
        </w:rPr>
        <w:t>per year, on average</w:t>
      </w:r>
      <w:r w:rsidRPr="3D147A20" w:rsidR="2F781EBB">
        <w:rPr>
          <w:color w:val="000000" w:themeColor="text1"/>
        </w:rPr>
        <w:t>.</w:t>
      </w:r>
    </w:p>
    <w:p w:rsidR="00F424DD" w:rsidP="00582286" w14:paraId="533FFA93" w14:textId="7FDF9B34">
      <w:pPr>
        <w:spacing w:after="240"/>
      </w:pPr>
      <w:r>
        <w:rPr>
          <w:szCs w:val="22"/>
        </w:rPr>
        <w:t xml:space="preserve">14. </w:t>
      </w:r>
      <w:r>
        <w:rPr>
          <w:szCs w:val="22"/>
          <w:u w:val="single"/>
        </w:rPr>
        <w:t>Estima</w:t>
      </w:r>
      <w:r w:rsidR="00902855">
        <w:rPr>
          <w:szCs w:val="22"/>
          <w:u w:val="single"/>
        </w:rPr>
        <w:t>ted annual cost to the Federal g</w:t>
      </w:r>
      <w:r>
        <w:rPr>
          <w:szCs w:val="22"/>
          <w:u w:val="single"/>
        </w:rPr>
        <w:t>overnment.</w:t>
      </w:r>
      <w:r>
        <w:rPr>
          <w:szCs w:val="22"/>
        </w:rPr>
        <w:t xml:space="preserve"> </w:t>
      </w:r>
    </w:p>
    <w:p w:rsidR="007A6B66" w:rsidP="00582286" w14:paraId="16BF1FF4" w14:textId="3A5D0F3D">
      <w:pPr>
        <w:spacing w:after="240"/>
        <w:ind w:firstLine="720"/>
      </w:pPr>
      <w:r>
        <w:t xml:space="preserve">Administering the regulation would entail costs to FinCEN.  Such costs include </w:t>
      </w:r>
      <w:r w:rsidR="00A012DC">
        <w:t>information technology</w:t>
      </w:r>
      <w:r w:rsidR="006C7A76">
        <w:t xml:space="preserve"> costs </w:t>
      </w:r>
      <w:r w:rsidR="00724283">
        <w:t xml:space="preserve">associated with </w:t>
      </w:r>
      <w:r w:rsidR="00556CAA">
        <w:t xml:space="preserve">the </w:t>
      </w:r>
      <w:r>
        <w:t xml:space="preserve">ongoing annual maintenance </w:t>
      </w:r>
      <w:r w:rsidR="00DC107D">
        <w:t xml:space="preserve">necessary </w:t>
      </w:r>
      <w:r>
        <w:t>to securely collect, process, store, and make available electronic submissions of BOI data</w:t>
      </w:r>
      <w:r w:rsidR="00CF3653">
        <w:t>,</w:t>
      </w:r>
      <w:r w:rsidRPr="00D412F0" w:rsidR="00D412F0">
        <w:rPr>
          <w:rFonts w:eastAsiaTheme="majorEastAsia"/>
        </w:rPr>
        <w:t xml:space="preserve"> </w:t>
      </w:r>
      <w:r w:rsidR="00D412F0">
        <w:rPr>
          <w:rStyle w:val="normaltextrun"/>
          <w:rFonts w:eastAsiaTheme="majorEastAsia"/>
        </w:rPr>
        <w:t>as well as any changes or enhancements required in support of the</w:t>
      </w:r>
      <w:r w:rsidR="005928DD">
        <w:rPr>
          <w:rStyle w:val="normaltextrun"/>
          <w:rFonts w:eastAsiaTheme="majorEastAsia"/>
        </w:rPr>
        <w:t xml:space="preserve"> </w:t>
      </w:r>
      <w:r w:rsidR="00AF2926">
        <w:rPr>
          <w:rStyle w:val="normaltextrun"/>
          <w:rFonts w:eastAsiaTheme="majorEastAsia"/>
        </w:rPr>
        <w:t>IFR</w:t>
      </w:r>
      <w:r>
        <w:t xml:space="preserve">.  </w:t>
      </w:r>
      <w:r w:rsidR="004B49F9">
        <w:t xml:space="preserve">Prior to the </w:t>
      </w:r>
      <w:r w:rsidR="00AA428C">
        <w:t>IFR</w:t>
      </w:r>
      <w:r w:rsidR="006145BD">
        <w:t xml:space="preserve">, </w:t>
      </w:r>
      <w:r w:rsidR="003C35CF">
        <w:rPr>
          <w:rStyle w:val="normaltextrun"/>
          <w:rFonts w:eastAsiaTheme="majorEastAsia"/>
        </w:rPr>
        <w:t xml:space="preserve">FinCEN’s </w:t>
      </w:r>
      <w:r w:rsidR="0004605A">
        <w:rPr>
          <w:rStyle w:val="normaltextrun"/>
          <w:rFonts w:eastAsiaTheme="majorEastAsia"/>
        </w:rPr>
        <w:t>technology</w:t>
      </w:r>
      <w:r w:rsidR="003C35CF">
        <w:rPr>
          <w:rStyle w:val="normaltextrun"/>
          <w:rFonts w:eastAsiaTheme="majorEastAsia"/>
        </w:rPr>
        <w:t xml:space="preserve"> costs </w:t>
      </w:r>
      <w:r w:rsidR="002D0712">
        <w:rPr>
          <w:rStyle w:val="normaltextrun"/>
          <w:rFonts w:eastAsiaTheme="majorEastAsia"/>
        </w:rPr>
        <w:t xml:space="preserve">associated with the Reporting Rule </w:t>
      </w:r>
      <w:r w:rsidR="00545B9A">
        <w:rPr>
          <w:rStyle w:val="normaltextrun"/>
          <w:rFonts w:eastAsiaTheme="majorEastAsia"/>
        </w:rPr>
        <w:t>were</w:t>
      </w:r>
      <w:r w:rsidR="003C35CF">
        <w:rPr>
          <w:rStyle w:val="normaltextrun"/>
          <w:rFonts w:eastAsiaTheme="majorEastAsia"/>
        </w:rPr>
        <w:t xml:space="preserve"> $25.6 million</w:t>
      </w:r>
      <w:r w:rsidR="006F4916">
        <w:rPr>
          <w:rStyle w:val="normaltextrun"/>
          <w:rFonts w:eastAsiaTheme="majorEastAsia"/>
        </w:rPr>
        <w:t xml:space="preserve"> annually</w:t>
      </w:r>
      <w:r w:rsidR="003C35CF">
        <w:rPr>
          <w:rStyle w:val="normaltextrun"/>
          <w:rFonts w:eastAsiaTheme="majorEastAsia"/>
        </w:rPr>
        <w:t>.  While costs for cloud storage of data or support desk costs may be reduced</w:t>
      </w:r>
      <w:r w:rsidR="00375C5E">
        <w:rPr>
          <w:rStyle w:val="normaltextrun"/>
          <w:rFonts w:eastAsiaTheme="majorEastAsia"/>
        </w:rPr>
        <w:t xml:space="preserve"> by the </w:t>
      </w:r>
      <w:r w:rsidR="00FA6479">
        <w:rPr>
          <w:rStyle w:val="normaltextrun"/>
          <w:rFonts w:eastAsiaTheme="majorEastAsia"/>
        </w:rPr>
        <w:t xml:space="preserve">changes in reporting scope </w:t>
      </w:r>
      <w:r w:rsidR="00202C08">
        <w:rPr>
          <w:rStyle w:val="normaltextrun"/>
          <w:rFonts w:eastAsiaTheme="majorEastAsia"/>
        </w:rPr>
        <w:t xml:space="preserve">introduced by the </w:t>
      </w:r>
      <w:r w:rsidR="00AA428C">
        <w:rPr>
          <w:rStyle w:val="normaltextrun"/>
          <w:rFonts w:eastAsiaTheme="majorEastAsia"/>
        </w:rPr>
        <w:t>IFR</w:t>
      </w:r>
      <w:r w:rsidR="003C35CF">
        <w:rPr>
          <w:rStyle w:val="normaltextrun"/>
          <w:rFonts w:eastAsiaTheme="majorEastAsia"/>
        </w:rPr>
        <w:t xml:space="preserve">, there are additional changes and potential new requirements that may </w:t>
      </w:r>
      <w:r w:rsidR="00647778">
        <w:rPr>
          <w:rStyle w:val="normaltextrun"/>
          <w:rFonts w:eastAsiaTheme="majorEastAsia"/>
        </w:rPr>
        <w:t>necessitate</w:t>
      </w:r>
      <w:r w:rsidR="003C35CF">
        <w:rPr>
          <w:rStyle w:val="normaltextrun"/>
          <w:rFonts w:eastAsiaTheme="majorEastAsia"/>
        </w:rPr>
        <w:t xml:space="preserve"> additional </w:t>
      </w:r>
      <w:r w:rsidR="0086053A">
        <w:rPr>
          <w:rStyle w:val="normaltextrun"/>
          <w:rFonts w:eastAsiaTheme="majorEastAsia"/>
        </w:rPr>
        <w:t xml:space="preserve">IT </w:t>
      </w:r>
      <w:r w:rsidR="003C35CF">
        <w:rPr>
          <w:rStyle w:val="normaltextrun"/>
          <w:rFonts w:eastAsiaTheme="majorEastAsia"/>
        </w:rPr>
        <w:t>development</w:t>
      </w:r>
      <w:r w:rsidR="0049310D">
        <w:rPr>
          <w:rStyle w:val="normaltextrun"/>
          <w:rFonts w:eastAsiaTheme="majorEastAsia"/>
        </w:rPr>
        <w:t>s and associated</w:t>
      </w:r>
      <w:r w:rsidR="003C35CF">
        <w:rPr>
          <w:rStyle w:val="normaltextrun"/>
          <w:rFonts w:eastAsiaTheme="majorEastAsia"/>
        </w:rPr>
        <w:t xml:space="preserve"> costs.  These requirements are not fully known </w:t>
      </w:r>
      <w:r w:rsidR="003C35CF">
        <w:rPr>
          <w:rStyle w:val="normaltextrun"/>
          <w:rFonts w:eastAsiaTheme="majorEastAsia"/>
        </w:rPr>
        <w:t xml:space="preserve">at this </w:t>
      </w:r>
      <w:r w:rsidR="00A305DC">
        <w:rPr>
          <w:rStyle w:val="normaltextrun"/>
          <w:rFonts w:eastAsiaTheme="majorEastAsia"/>
        </w:rPr>
        <w:t>time</w:t>
      </w:r>
      <w:r w:rsidR="00A305DC">
        <w:rPr>
          <w:rStyle w:val="normaltextrun"/>
          <w:rFonts w:eastAsiaTheme="majorEastAsia"/>
        </w:rPr>
        <w:t>;</w:t>
      </w:r>
      <w:r w:rsidR="003C35CF">
        <w:rPr>
          <w:rStyle w:val="normaltextrun"/>
          <w:rFonts w:eastAsiaTheme="majorEastAsia"/>
        </w:rPr>
        <w:t xml:space="preserve"> however, </w:t>
      </w:r>
      <w:r w:rsidR="001503C3">
        <w:rPr>
          <w:rStyle w:val="normaltextrun"/>
          <w:rFonts w:eastAsiaTheme="majorEastAsia"/>
        </w:rPr>
        <w:t xml:space="preserve">FinCEN </w:t>
      </w:r>
      <w:r w:rsidR="001503C3">
        <w:rPr>
          <w:rStyle w:val="normaltextrun"/>
          <w:rFonts w:eastAsiaTheme="majorEastAsia"/>
        </w:rPr>
        <w:t>does not expect</w:t>
      </w:r>
      <w:r w:rsidR="0070545D">
        <w:rPr>
          <w:rStyle w:val="normaltextrun"/>
          <w:rFonts w:eastAsiaTheme="majorEastAsia"/>
        </w:rPr>
        <w:t xml:space="preserve"> the</w:t>
      </w:r>
      <w:r w:rsidR="00531ADD">
        <w:rPr>
          <w:rStyle w:val="normaltextrun"/>
          <w:rFonts w:eastAsiaTheme="majorEastAsia"/>
        </w:rPr>
        <w:t xml:space="preserve">se new </w:t>
      </w:r>
      <w:r w:rsidR="00B642B9">
        <w:rPr>
          <w:rStyle w:val="normaltextrun"/>
          <w:rFonts w:eastAsiaTheme="majorEastAsia"/>
        </w:rPr>
        <w:t>requirements to</w:t>
      </w:r>
      <w:r w:rsidR="00330E35">
        <w:rPr>
          <w:rStyle w:val="normaltextrun"/>
          <w:rFonts w:eastAsiaTheme="majorEastAsia"/>
        </w:rPr>
        <w:t xml:space="preserve"> </w:t>
      </w:r>
      <w:r w:rsidR="00176CFF">
        <w:rPr>
          <w:rStyle w:val="normaltextrun"/>
          <w:rFonts w:eastAsiaTheme="majorEastAsia"/>
        </w:rPr>
        <w:t xml:space="preserve">engender </w:t>
      </w:r>
      <w:r w:rsidR="00531ADD">
        <w:rPr>
          <w:rStyle w:val="normaltextrun"/>
          <w:rFonts w:eastAsiaTheme="majorEastAsia"/>
        </w:rPr>
        <w:t xml:space="preserve">costs </w:t>
      </w:r>
      <w:r w:rsidR="00B41423">
        <w:rPr>
          <w:rStyle w:val="normaltextrun"/>
          <w:rFonts w:eastAsiaTheme="majorEastAsia"/>
        </w:rPr>
        <w:t>in excess of</w:t>
      </w:r>
      <w:r w:rsidR="00B41423">
        <w:rPr>
          <w:rStyle w:val="normaltextrun"/>
          <w:rFonts w:eastAsiaTheme="majorEastAsia"/>
        </w:rPr>
        <w:t xml:space="preserve"> the cur</w:t>
      </w:r>
      <w:r w:rsidR="003C35CF">
        <w:rPr>
          <w:rStyle w:val="normaltextrun"/>
          <w:rFonts w:eastAsiaTheme="majorEastAsia"/>
        </w:rPr>
        <w:t xml:space="preserve">rent annual </w:t>
      </w:r>
      <w:r w:rsidR="00881819">
        <w:rPr>
          <w:rStyle w:val="normaltextrun"/>
          <w:rFonts w:eastAsiaTheme="majorEastAsia"/>
        </w:rPr>
        <w:t>technolo</w:t>
      </w:r>
      <w:r w:rsidR="003767F6">
        <w:rPr>
          <w:rStyle w:val="normaltextrun"/>
          <w:rFonts w:eastAsiaTheme="majorEastAsia"/>
        </w:rPr>
        <w:t>gy costs</w:t>
      </w:r>
      <w:r w:rsidR="00CB5B28">
        <w:rPr>
          <w:rStyle w:val="normaltextrun"/>
          <w:rFonts w:eastAsiaTheme="majorEastAsia"/>
        </w:rPr>
        <w:t>.</w:t>
      </w:r>
      <w:r w:rsidR="003C35CF">
        <w:rPr>
          <w:rStyle w:val="normaltextrun"/>
          <w:rFonts w:eastAsiaTheme="majorEastAsia"/>
        </w:rPr>
        <w:t xml:space="preserve">   </w:t>
      </w:r>
    </w:p>
    <w:p w:rsidR="007A6B66" w:rsidP="00582286" w14:paraId="27FDB778" w14:textId="644C570C">
      <w:pPr>
        <w:spacing w:after="240"/>
        <w:ind w:firstLine="720"/>
      </w:pPr>
      <w:r>
        <w:t xml:space="preserve">FinCEN will incur additional costs, besides those estimated above, </w:t>
      </w:r>
      <w:r>
        <w:t>in order to</w:t>
      </w:r>
      <w:r>
        <w:t xml:space="preserve"> ensure successful implementation of and compliance with the BOI reporting requirements.  These include personnel </w:t>
      </w:r>
      <w:r>
        <w:t>to support</w:t>
      </w:r>
      <w:r>
        <w:t xml:space="preserve"> CTA implementation, </w:t>
      </w:r>
      <w:r>
        <w:t>draft</w:t>
      </w:r>
      <w:r>
        <w:t xml:space="preserve"> regulations, </w:t>
      </w:r>
      <w:r>
        <w:t>conduct</w:t>
      </w:r>
      <w:r>
        <w:t xml:space="preserve"> regulatory impact analyses and stakeholder outreach, </w:t>
      </w:r>
      <w:r>
        <w:t>conduct</w:t>
      </w:r>
      <w:r>
        <w:t xml:space="preserve"> audits and inspections, adjudicate requests for BOI, </w:t>
      </w:r>
      <w:r>
        <w:t>provide</w:t>
      </w:r>
      <w:r>
        <w:t xml:space="preserve"> training on the requirements, </w:t>
      </w:r>
      <w:r>
        <w:t>publish</w:t>
      </w:r>
      <w:r>
        <w:t xml:space="preserve"> documents such as guidance and FAQs, and </w:t>
      </w:r>
      <w:r>
        <w:t>conduct</w:t>
      </w:r>
      <w:r>
        <w:t xml:space="preserve"> outreach to and </w:t>
      </w:r>
      <w:r>
        <w:t>answer</w:t>
      </w:r>
      <w:r>
        <w:t xml:space="preserve"> inquiries from the public.  FinCEN estimates that there will be personnel costs of </w:t>
      </w:r>
      <w:r w:rsidR="00A53FCA">
        <w:t xml:space="preserve">not more than </w:t>
      </w:r>
      <w:r>
        <w:t>$</w:t>
      </w:r>
      <w:r w:rsidRPr="000E3229" w:rsidR="00A53FCA">
        <w:t>2</w:t>
      </w:r>
      <w:r w:rsidRPr="009A3928">
        <w:t xml:space="preserve"> million</w:t>
      </w:r>
      <w:r>
        <w:t xml:space="preserve"> associated with the rule in Fiscal Year 202</w:t>
      </w:r>
      <w:r w:rsidR="001B49D1">
        <w:t>5</w:t>
      </w:r>
      <w:r>
        <w:t>, with continuing recurring costs of roughly the same magnitude for ongoing implementation, outreach and enforcement each year thereafter.</w:t>
      </w:r>
    </w:p>
    <w:p w:rsidR="00F424DD" w:rsidP="00582286" w14:paraId="44A16FED" w14:textId="305C973B">
      <w:pPr>
        <w:spacing w:after="240"/>
        <w:ind w:firstLine="720"/>
      </w:pPr>
      <w:r>
        <w:t>Therefore, for purposes of</w:t>
      </w:r>
      <w:r w:rsidR="007A76E6">
        <w:t xml:space="preserve"> estimating </w:t>
      </w:r>
      <w:r>
        <w:t>cost</w:t>
      </w:r>
      <w:r w:rsidR="00651A85">
        <w:t>s</w:t>
      </w:r>
      <w:r>
        <w:t xml:space="preserve"> </w:t>
      </w:r>
      <w:r w:rsidR="00361D5E">
        <w:t xml:space="preserve">to the </w:t>
      </w:r>
      <w:r w:rsidR="002206A5">
        <w:t>F</w:t>
      </w:r>
      <w:r w:rsidR="00361D5E">
        <w:t>ederal gove</w:t>
      </w:r>
      <w:r w:rsidR="00981BF0">
        <w:t>rnment</w:t>
      </w:r>
      <w:r>
        <w:t xml:space="preserve">, total costs to </w:t>
      </w:r>
      <w:r w:rsidRPr="00F73489">
        <w:t xml:space="preserve">FinCEN are </w:t>
      </w:r>
      <w:r w:rsidR="00DC7C01">
        <w:t xml:space="preserve">expected to be approximately </w:t>
      </w:r>
      <w:r w:rsidRPr="00675C48">
        <w:t>$</w:t>
      </w:r>
      <w:r w:rsidRPr="005765E6" w:rsidR="00ED57B3">
        <w:t>27</w:t>
      </w:r>
      <w:r w:rsidRPr="00675C48">
        <w:t>.6</w:t>
      </w:r>
      <w:r w:rsidRPr="00F73489">
        <w:t xml:space="preserve"> million annually.</w:t>
      </w:r>
    </w:p>
    <w:p w:rsidR="00902855" w:rsidP="00582286" w14:paraId="676EA54A" w14:textId="7E57741D">
      <w:pPr>
        <w:spacing w:after="240"/>
        <w:rPr>
          <w:szCs w:val="22"/>
        </w:rPr>
      </w:pPr>
      <w:r>
        <w:rPr>
          <w:szCs w:val="22"/>
        </w:rPr>
        <w:t xml:space="preserve">15. </w:t>
      </w:r>
      <w:r>
        <w:rPr>
          <w:szCs w:val="22"/>
          <w:u w:val="single"/>
        </w:rPr>
        <w:t>Reason for c</w:t>
      </w:r>
      <w:r>
        <w:rPr>
          <w:szCs w:val="22"/>
          <w:u w:val="single"/>
        </w:rPr>
        <w:t>ha</w:t>
      </w:r>
      <w:r>
        <w:rPr>
          <w:szCs w:val="22"/>
          <w:u w:val="single"/>
        </w:rPr>
        <w:t>nge in b</w:t>
      </w:r>
      <w:r>
        <w:rPr>
          <w:szCs w:val="22"/>
          <w:u w:val="single"/>
        </w:rPr>
        <w:t>urden.</w:t>
      </w:r>
      <w:r>
        <w:rPr>
          <w:szCs w:val="22"/>
        </w:rPr>
        <w:t xml:space="preserve"> </w:t>
      </w:r>
    </w:p>
    <w:p w:rsidR="00FA72FB" w:rsidP="00FA72FB" w14:paraId="2102B6ED" w14:textId="77777777">
      <w:pPr>
        <w:pStyle w:val="Response"/>
        <w:ind w:left="0" w:firstLine="720"/>
      </w:pPr>
      <w:r>
        <w:t>The e</w:t>
      </w:r>
      <w:r w:rsidRPr="002D6604">
        <w:t xml:space="preserve">stimated </w:t>
      </w:r>
      <w:r>
        <w:t>c</w:t>
      </w:r>
      <w:r w:rsidRPr="002D6604">
        <w:t xml:space="preserve">hange in </w:t>
      </w:r>
      <w:r>
        <w:t>t</w:t>
      </w:r>
      <w:r w:rsidRPr="002D6604">
        <w:t xml:space="preserve">otal </w:t>
      </w:r>
      <w:r>
        <w:t>r</w:t>
      </w:r>
      <w:r w:rsidRPr="002D6604">
        <w:t xml:space="preserve">eporting </w:t>
      </w:r>
      <w:r>
        <w:t>b</w:t>
      </w:r>
      <w:r w:rsidRPr="002D6604">
        <w:t xml:space="preserve">urden </w:t>
      </w:r>
      <w:r>
        <w:t>h</w:t>
      </w:r>
      <w:r w:rsidRPr="002D6604">
        <w:t>ours</w:t>
      </w:r>
      <w:r>
        <w:t>, for PRA purposes on a going-forward basis,</w:t>
      </w:r>
      <w:r>
        <w:rPr>
          <w:rStyle w:val="FootnoteReference"/>
        </w:rPr>
        <w:footnoteReference w:id="46"/>
      </w:r>
      <w:r>
        <w:t xml:space="preserve"> is a reduction from the previous ICR summary of burden by approximately 53 million burden</w:t>
      </w:r>
      <w:r w:rsidRPr="002D6604">
        <w:t xml:space="preserve"> hours per year, on average</w:t>
      </w:r>
      <w:r>
        <w:t>, rounded to the nearest million</w:t>
      </w:r>
      <w:r w:rsidRPr="002D6604">
        <w:t>.</w:t>
      </w:r>
      <w:r>
        <w:rPr>
          <w:rStyle w:val="FootnoteReference"/>
        </w:rPr>
        <w:footnoteReference w:id="47"/>
      </w:r>
      <w:r>
        <w:t xml:space="preserve"> </w:t>
      </w:r>
      <w:r w:rsidRPr="079CDEB5">
        <w:t xml:space="preserve"> </w:t>
      </w:r>
      <w:r>
        <w:t xml:space="preserve">The burden estimate has decreased due to the IFR narrowing the Reporting Rule’s BOI reporting requirement where domestic entities previously defined as “domestic reporting companies” are excluded, and foreign entities are no longer required to report the BOI of any U.S. persons who are beneficial owners of a foreign reporting company.  The IFR has substantially decreased the scope and number of reporting companies, particularly with respect to domestic and foreign entities previously subject to the </w:t>
      </w:r>
      <w:r w:rsidRPr="079CDEB5">
        <w:t>Reporting Rule</w:t>
      </w:r>
      <w:r w:rsidRPr="19789A63">
        <w:t>.</w:t>
      </w:r>
    </w:p>
    <w:p w:rsidR="00600940" w:rsidRPr="00467461" w:rsidP="00F50EBC" w14:paraId="23E3769B" w14:textId="2527B72A">
      <w:pPr>
        <w:pStyle w:val="Response"/>
        <w:ind w:left="0" w:firstLine="720"/>
      </w:pPr>
      <w:r>
        <w:t>The e</w:t>
      </w:r>
      <w:r w:rsidRPr="002D6604">
        <w:t xml:space="preserve">stimated </w:t>
      </w:r>
      <w:r>
        <w:t>c</w:t>
      </w:r>
      <w:r w:rsidRPr="002D6604">
        <w:t xml:space="preserve">hange in </w:t>
      </w:r>
      <w:r>
        <w:t>t</w:t>
      </w:r>
      <w:r w:rsidRPr="002D6604">
        <w:t xml:space="preserve">otal </w:t>
      </w:r>
      <w:r>
        <w:t>r</w:t>
      </w:r>
      <w:r w:rsidRPr="002D6604">
        <w:t xml:space="preserve">eporting </w:t>
      </w:r>
      <w:r>
        <w:t>c</w:t>
      </w:r>
      <w:r w:rsidRPr="002D6604">
        <w:t>ost</w:t>
      </w:r>
      <w:r>
        <w:t xml:space="preserve"> is a reduction by approximately $</w:t>
      </w:r>
      <w:r w:rsidRPr="002D6604">
        <w:t>9</w:t>
      </w:r>
      <w:r>
        <w:t xml:space="preserve"> billion dollars</w:t>
      </w:r>
      <w:r w:rsidRPr="002D6604">
        <w:t xml:space="preserve"> per year, on average</w:t>
      </w:r>
      <w:r>
        <w:t>, rounded to the nearest billion</w:t>
      </w:r>
      <w:r w:rsidRPr="002D6604">
        <w:t>.</w:t>
      </w:r>
      <w:r>
        <w:rPr>
          <w:rStyle w:val="FootnoteReference"/>
        </w:rPr>
        <w:footnoteReference w:id="48"/>
      </w:r>
      <w:r>
        <w:t xml:space="preserve"> The estimated annual cost to the Federal government is expected to decrease by approximately $8 million. </w:t>
      </w:r>
    </w:p>
    <w:p w:rsidR="00F424DD" w:rsidP="00582286" w14:paraId="754EEAD5" w14:textId="30660B1A">
      <w:pPr>
        <w:spacing w:after="240"/>
      </w:pPr>
      <w:r>
        <w:rPr>
          <w:szCs w:val="22"/>
        </w:rPr>
        <w:t xml:space="preserve">16. </w:t>
      </w:r>
      <w:r w:rsidR="00902855">
        <w:rPr>
          <w:szCs w:val="22"/>
          <w:u w:val="single"/>
        </w:rPr>
        <w:t>Plans for t</w:t>
      </w:r>
      <w:r>
        <w:rPr>
          <w:szCs w:val="22"/>
          <w:u w:val="single"/>
        </w:rPr>
        <w:t>abulat</w:t>
      </w:r>
      <w:r w:rsidR="00902855">
        <w:rPr>
          <w:szCs w:val="22"/>
          <w:u w:val="single"/>
        </w:rPr>
        <w:t>ion, statistical analysis, and p</w:t>
      </w:r>
      <w:r>
        <w:rPr>
          <w:szCs w:val="22"/>
          <w:u w:val="single"/>
        </w:rPr>
        <w:t>ublication.</w:t>
      </w:r>
      <w:r>
        <w:rPr>
          <w:szCs w:val="22"/>
        </w:rPr>
        <w:t xml:space="preserve"> </w:t>
      </w:r>
    </w:p>
    <w:p w:rsidR="003D413A" w:rsidRPr="005A7C0B" w:rsidP="00582286" w14:paraId="15738878" w14:textId="1AF1C337">
      <w:pPr>
        <w:spacing w:after="240"/>
        <w:ind w:firstLine="720"/>
        <w:rPr>
          <w:szCs w:val="22"/>
        </w:rPr>
      </w:pPr>
      <w:r w:rsidRPr="005A7C0B">
        <w:t>The information will not be tabula</w:t>
      </w:r>
      <w:r w:rsidRPr="005A7C0B">
        <w:t>ted or compiled for publication.</w:t>
      </w:r>
    </w:p>
    <w:p w:rsidR="00F424DD" w:rsidRPr="00AB3047" w:rsidP="00582286" w14:paraId="1D5B6A14" w14:textId="2EB39BCB">
      <w:pPr>
        <w:spacing w:after="240"/>
        <w:rPr>
          <w:szCs w:val="22"/>
        </w:rPr>
      </w:pPr>
      <w:r w:rsidRPr="00AB3047">
        <w:rPr>
          <w:szCs w:val="22"/>
        </w:rPr>
        <w:t xml:space="preserve">17. </w:t>
      </w:r>
      <w:r w:rsidRPr="00AB3047">
        <w:rPr>
          <w:szCs w:val="22"/>
          <w:u w:val="single"/>
        </w:rPr>
        <w:t xml:space="preserve">Request </w:t>
      </w:r>
      <w:r w:rsidRPr="00AB3047" w:rsidR="00902855">
        <w:rPr>
          <w:szCs w:val="22"/>
          <w:u w:val="single"/>
        </w:rPr>
        <w:t>not to d</w:t>
      </w:r>
      <w:r w:rsidRPr="00AB3047">
        <w:rPr>
          <w:szCs w:val="22"/>
          <w:u w:val="single"/>
        </w:rPr>
        <w:t xml:space="preserve">isplay </w:t>
      </w:r>
      <w:r w:rsidRPr="00AB3047" w:rsidR="00902855">
        <w:rPr>
          <w:szCs w:val="22"/>
          <w:u w:val="single"/>
        </w:rPr>
        <w:t>expiration date of OMB control n</w:t>
      </w:r>
      <w:r w:rsidRPr="00AB3047">
        <w:rPr>
          <w:szCs w:val="22"/>
          <w:u w:val="single"/>
        </w:rPr>
        <w:t>umber.</w:t>
      </w:r>
      <w:r w:rsidRPr="00AB3047">
        <w:rPr>
          <w:szCs w:val="22"/>
        </w:rPr>
        <w:t xml:space="preserve"> </w:t>
      </w:r>
    </w:p>
    <w:p w:rsidR="003D413A" w:rsidP="00582286" w14:paraId="64626DEB" w14:textId="03944FEF">
      <w:pPr>
        <w:spacing w:after="240"/>
        <w:ind w:firstLine="720"/>
        <w:rPr>
          <w:szCs w:val="22"/>
        </w:rPr>
      </w:pPr>
      <w:r w:rsidRPr="00AB3047">
        <w:rPr>
          <w:szCs w:val="22"/>
        </w:rPr>
        <w:t xml:space="preserve">FinCEN requests </w:t>
      </w:r>
      <w:r w:rsidRPr="005A7C0B">
        <w:rPr>
          <w:szCs w:val="22"/>
        </w:rPr>
        <w:t xml:space="preserve">that it </w:t>
      </w:r>
      <w:r w:rsidRPr="005A7C0B">
        <w:rPr>
          <w:szCs w:val="22"/>
        </w:rPr>
        <w:t>not be</w:t>
      </w:r>
      <w:r w:rsidRPr="005A7C0B">
        <w:rPr>
          <w:szCs w:val="22"/>
        </w:rPr>
        <w:t xml:space="preserve"> required to display the expiration date so that the regulations </w:t>
      </w:r>
      <w:r w:rsidR="00827EC0">
        <w:rPr>
          <w:szCs w:val="22"/>
        </w:rPr>
        <w:t xml:space="preserve">and forms </w:t>
      </w:r>
      <w:r w:rsidRPr="005A7C0B">
        <w:rPr>
          <w:szCs w:val="22"/>
        </w:rPr>
        <w:t>will not have to be amended for the new expiration date every three years.</w:t>
      </w:r>
      <w:r>
        <w:rPr>
          <w:szCs w:val="22"/>
        </w:rPr>
        <w:t xml:space="preserve">  </w:t>
      </w:r>
    </w:p>
    <w:p w:rsidR="00600940" w:rsidP="00582286" w14:paraId="6ECB9486" w14:textId="2EA972BD">
      <w:pPr>
        <w:spacing w:after="240"/>
        <w:rPr>
          <w:szCs w:val="22"/>
        </w:rPr>
      </w:pPr>
      <w:r>
        <w:rPr>
          <w:szCs w:val="22"/>
        </w:rPr>
        <w:t xml:space="preserve">18. </w:t>
      </w:r>
      <w:r>
        <w:rPr>
          <w:szCs w:val="22"/>
          <w:u w:val="single"/>
        </w:rPr>
        <w:t>Exceptions</w:t>
      </w:r>
      <w:r w:rsidR="00A179B1">
        <w:rPr>
          <w:szCs w:val="22"/>
          <w:u w:val="single"/>
        </w:rPr>
        <w:t xml:space="preserve"> </w:t>
      </w:r>
      <w:r w:rsidR="00A179B1">
        <w:rPr>
          <w:u w:val="single"/>
        </w:rPr>
        <w:t>to the certification statement</w:t>
      </w:r>
      <w:r>
        <w:rPr>
          <w:szCs w:val="22"/>
          <w:u w:val="single"/>
        </w:rPr>
        <w:t>.</w:t>
      </w:r>
      <w:r>
        <w:rPr>
          <w:szCs w:val="22"/>
        </w:rPr>
        <w:t xml:space="preserve"> </w:t>
      </w:r>
    </w:p>
    <w:p w:rsidR="00600940" w:rsidP="00582286" w14:paraId="130DDC08" w14:textId="77777777">
      <w:pPr>
        <w:spacing w:after="240"/>
        <w:ind w:firstLine="720"/>
      </w:pPr>
      <w:r>
        <w:rPr>
          <w:szCs w:val="22"/>
        </w:rPr>
        <w:t>There are no exceptions to the certification statement</w:t>
      </w:r>
      <w:r w:rsidR="007B5A2F">
        <w:rPr>
          <w:szCs w:val="22"/>
        </w:rPr>
        <w:t>.</w:t>
      </w:r>
    </w:p>
    <w:p w:rsidR="003D1C38" w:rsidP="00582286" w14:paraId="59F49A6B" w14:textId="03FCCB94">
      <w:pPr>
        <w:spacing w:after="240"/>
        <w:rPr>
          <w:rFonts w:ascii="Courier New" w:hAnsi="Courier New" w:cs="Courier New"/>
          <w:sz w:val="20"/>
          <w:szCs w:val="20"/>
        </w:rPr>
      </w:pPr>
    </w:p>
    <w:sectPr>
      <w:headerReference w:type="default" r:id="rId9"/>
      <w:foot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28D7" w14:paraId="0C8353ED" w14:textId="082873CF">
    <w:pPr>
      <w:pStyle w:val="Footer"/>
      <w:jc w:val="center"/>
    </w:pPr>
    <w:r>
      <w:fldChar w:fldCharType="begin"/>
    </w:r>
    <w:r>
      <w:instrText xml:space="preserve"> PAGE   \* MERGEFORMAT </w:instrText>
    </w:r>
    <w:r>
      <w:fldChar w:fldCharType="separate"/>
    </w:r>
    <w:r w:rsidR="00B23B45">
      <w:rPr>
        <w:noProof/>
      </w:rPr>
      <w:t>2</w:t>
    </w:r>
    <w:r>
      <w:rPr>
        <w:noProof/>
      </w:rPr>
      <w:fldChar w:fldCharType="end"/>
    </w:r>
  </w:p>
  <w:p w:rsidR="00CE28D7" w14:paraId="253772A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22F63" w14:paraId="2A69DFE1" w14:textId="77777777">
      <w:r>
        <w:separator/>
      </w:r>
    </w:p>
  </w:footnote>
  <w:footnote w:type="continuationSeparator" w:id="1">
    <w:p w:rsidR="00322F63" w14:paraId="3B00B2D4" w14:textId="77777777">
      <w:r>
        <w:continuationSeparator/>
      </w:r>
    </w:p>
  </w:footnote>
  <w:footnote w:type="continuationNotice" w:id="2">
    <w:p w:rsidR="00322F63" w14:paraId="3D7C7A5D" w14:textId="77777777"/>
  </w:footnote>
  <w:footnote w:id="3">
    <w:p w:rsidR="00CF2FB5" w:rsidRPr="001751EC" w:rsidP="00CF2FB5" w14:paraId="02CC0378" w14:textId="77777777">
      <w:pPr>
        <w:pStyle w:val="FootnoteText"/>
      </w:pPr>
      <w:r w:rsidRPr="00204BED">
        <w:rPr>
          <w:rStyle w:val="FootnoteReference"/>
        </w:rPr>
        <w:footnoteRef/>
      </w:r>
      <w:r w:rsidRPr="00204BED">
        <w:t xml:space="preserve"> The CTA is Title LXIV of the </w:t>
      </w:r>
      <w:r w:rsidRPr="000E39C2">
        <w:t>William M. (Mac) Thornberry National Defense Authorization Act for Fiscal Year 2021</w:t>
      </w:r>
      <w:r w:rsidRPr="00460369">
        <w:t>,</w:t>
      </w:r>
      <w:r w:rsidRPr="00204BED">
        <w:t xml:space="preserve"> Pub. L. 116-283 (January 1, 2021)</w:t>
      </w:r>
      <w:r>
        <w:t xml:space="preserve"> (the NDAA)</w:t>
      </w:r>
      <w:r w:rsidRPr="00204BED">
        <w:t xml:space="preserve">.  </w:t>
      </w:r>
      <w:r>
        <w:t xml:space="preserve">Division F of the NDAA is the Anti-Money Laundering Act of 2020 (the AML Act), which includes the CTA.  </w:t>
      </w:r>
      <w:r w:rsidRPr="00204BED">
        <w:t xml:space="preserve">Section 6003(1) of the </w:t>
      </w:r>
      <w:r>
        <w:t>AML Act</w:t>
      </w:r>
      <w:r w:rsidRPr="00204BED">
        <w:t xml:space="preserve"> defines the </w:t>
      </w:r>
      <w:r>
        <w:t>BSA</w:t>
      </w:r>
      <w:r w:rsidRPr="00204BED">
        <w:t xml:space="preserve"> as comprising Section 21 of the Federal Deposit Insurance Act (12 U.S.C. 1829b), Chapter </w:t>
      </w:r>
      <w:r>
        <w:t xml:space="preserve">2 </w:t>
      </w:r>
      <w:r w:rsidRPr="00204BED">
        <w:t xml:space="preserve">of Title I of Public Law 91-508 (12 U.S.C. 1951 </w:t>
      </w:r>
      <w:r w:rsidRPr="00204BED">
        <w:rPr>
          <w:i/>
        </w:rPr>
        <w:t>et seq.</w:t>
      </w:r>
      <w:r w:rsidRPr="00204BED">
        <w:t xml:space="preserve">), and Subchapter II of Chapter 53 of Title 31, </w:t>
      </w:r>
      <w:r>
        <w:t>United States Code.</w:t>
      </w:r>
      <w:r w:rsidRPr="00204BED">
        <w:t xml:space="preserve"> </w:t>
      </w:r>
      <w:r>
        <w:t xml:space="preserve"> </w:t>
      </w:r>
      <w:r w:rsidRPr="000F273F">
        <w:t xml:space="preserve">Congress has authorized the Secretary </w:t>
      </w:r>
      <w:r>
        <w:t xml:space="preserve">of the Treasury (the Secretary) </w:t>
      </w:r>
      <w:r w:rsidRPr="000F273F">
        <w:t xml:space="preserve">to administer the BSA.  The Secretary has delegated to the Director of FinCEN the authority to implement, administer, and enforce compliance with the BSA and associated </w:t>
      </w:r>
      <w:r w:rsidRPr="001751EC">
        <w:t>regulations.  Treasury Order 180–01 (Jan. 14, 2020).</w:t>
      </w:r>
    </w:p>
  </w:footnote>
  <w:footnote w:id="4">
    <w:p w:rsidR="00905EEA" w14:paraId="5D8F3383" w14:textId="4F25A696">
      <w:pPr>
        <w:pStyle w:val="FootnoteText"/>
      </w:pPr>
      <w:r>
        <w:rPr>
          <w:rStyle w:val="FootnoteReference"/>
        </w:rPr>
        <w:footnoteRef/>
      </w:r>
      <w:r>
        <w:t xml:space="preserve"> FinCEN, </w:t>
      </w:r>
      <w:r w:rsidRPr="008B3CEC">
        <w:rPr>
          <w:i/>
        </w:rPr>
        <w:t>Beneficial Ownership Information Reporting Requirement Revision and Deadline Extension Interim Final Rule</w:t>
      </w:r>
      <w:r>
        <w:t xml:space="preserve">, </w:t>
      </w:r>
      <w:r w:rsidRPr="006D2953" w:rsidR="000A5525">
        <w:t>90 FR 13688</w:t>
      </w:r>
      <w:r>
        <w:t xml:space="preserve"> (Mar. </w:t>
      </w:r>
      <w:r w:rsidR="00115CA6">
        <w:t>26</w:t>
      </w:r>
      <w:r w:rsidR="001E59C2">
        <w:t>, 2025).</w:t>
      </w:r>
    </w:p>
  </w:footnote>
  <w:footnote w:id="5">
    <w:p w:rsidR="00347101" w:rsidRPr="00494C57" w:rsidP="00347101" w14:paraId="6E92EC30" w14:textId="6CEDF23B">
      <w:pPr>
        <w:pStyle w:val="FootnoteText"/>
      </w:pPr>
      <w:r w:rsidRPr="00D037BD">
        <w:rPr>
          <w:rStyle w:val="FootnoteReference"/>
        </w:rPr>
        <w:footnoteRef/>
      </w:r>
      <w:r w:rsidRPr="00D037BD">
        <w:t xml:space="preserve"> FinCEN, </w:t>
      </w:r>
      <w:r w:rsidRPr="48667789">
        <w:rPr>
          <w:i/>
          <w:iCs/>
        </w:rPr>
        <w:t>Beneficial Ownership Information Reporting Requirements</w:t>
      </w:r>
      <w:r w:rsidR="00CE1526">
        <w:rPr>
          <w:i/>
          <w:iCs/>
        </w:rPr>
        <w:t xml:space="preserve"> Final Rule</w:t>
      </w:r>
      <w:r w:rsidRPr="00D037BD">
        <w:t>, 87 FR 59498 (Sept. 30, 2022).</w:t>
      </w:r>
      <w:r>
        <w:t xml:space="preserve">  </w:t>
      </w:r>
      <w:r w:rsidR="00634783">
        <w:t>In addition, o</w:t>
      </w:r>
      <w:r w:rsidR="00026857">
        <w:t xml:space="preserve">n November 8, 2023, FinCEN issued a final rule </w:t>
      </w:r>
      <w:r w:rsidR="00634783">
        <w:t xml:space="preserve">on the use of FinCEN identifiers in beneficial ownership information reporting. </w:t>
      </w:r>
      <w:r w:rsidR="00026857">
        <w:t xml:space="preserve"> FinCEN, </w:t>
      </w:r>
      <w:r w:rsidRPr="002F0D4F" w:rsidR="00026857">
        <w:rPr>
          <w:i/>
          <w:iCs/>
        </w:rPr>
        <w:t>Use of FinCEN Identifiers for Reporting Beneficial Ownership Information of Entities</w:t>
      </w:r>
      <w:r w:rsidR="00026857">
        <w:t>, 88 FR</w:t>
      </w:r>
      <w:r w:rsidR="00634783">
        <w:t xml:space="preserve"> </w:t>
      </w:r>
      <w:r w:rsidR="00026857">
        <w:t xml:space="preserve">76995 (Nov. 8, 2023).  </w:t>
      </w:r>
      <w:r>
        <w:t xml:space="preserve">On November 30, 2023, FinCEN also issued a final rule amending the Reporting Rule to extend the filing deadline for reporting companies created or registered in 2024.  FinCEN, </w:t>
      </w:r>
      <w:r>
        <w:rPr>
          <w:i/>
          <w:iCs/>
        </w:rPr>
        <w:t>Beneficial Ownership Information Reporting Deadline Extension for Reporting Companies Created or Registered in 2024</w:t>
      </w:r>
      <w:r w:rsidR="00993A82">
        <w:rPr>
          <w:i/>
          <w:iCs/>
        </w:rPr>
        <w:t xml:space="preserve"> Final Rule</w:t>
      </w:r>
      <w:r>
        <w:t xml:space="preserve">, 88 FR 83499 (Nov. 30, 2023).  </w:t>
      </w:r>
    </w:p>
  </w:footnote>
  <w:footnote w:id="6">
    <w:p w:rsidR="007114E4" w:rsidRPr="00AC73F1" w:rsidP="007114E4" w14:paraId="45778F9A" w14:textId="77777777">
      <w:pPr>
        <w:pStyle w:val="FootnoteText"/>
      </w:pPr>
      <w:r w:rsidRPr="00AC73F1">
        <w:rPr>
          <w:rStyle w:val="FootnoteReference"/>
        </w:rPr>
        <w:footnoteRef/>
      </w:r>
      <w:r w:rsidRPr="00AC73F1">
        <w:t xml:space="preserve"> </w:t>
      </w:r>
      <w:r w:rsidRPr="22ACDC74">
        <w:rPr>
          <w:i/>
          <w:iCs/>
        </w:rPr>
        <w:t>See</w:t>
      </w:r>
      <w:r w:rsidRPr="00AC73F1">
        <w:t xml:space="preserve"> 31 U.S.C. 5336(a)(11).</w:t>
      </w:r>
    </w:p>
  </w:footnote>
  <w:footnote w:id="7">
    <w:p w:rsidR="00347101" w:rsidRPr="0033429E" w:rsidP="00347101" w14:paraId="4D756877" w14:textId="0A3546D0">
      <w:pPr>
        <w:pStyle w:val="FootnoteText"/>
      </w:pPr>
      <w:r w:rsidRPr="0033429E">
        <w:rPr>
          <w:rStyle w:val="FootnoteReference"/>
        </w:rPr>
        <w:footnoteRef/>
      </w:r>
      <w:r w:rsidRPr="0033429E">
        <w:t xml:space="preserve"> </w:t>
      </w:r>
      <w:r w:rsidRPr="00172084" w:rsidR="003C6D25">
        <w:rPr>
          <w:i/>
        </w:rPr>
        <w:t>See</w:t>
      </w:r>
      <w:r w:rsidRPr="00172084" w:rsidR="003C6D25">
        <w:t xml:space="preserve"> </w:t>
      </w:r>
      <w:r w:rsidRPr="00A2008E" w:rsidR="006273B2">
        <w:t xml:space="preserve">FinCEN, </w:t>
      </w:r>
      <w:r w:rsidRPr="00A2008E" w:rsidR="006273B2">
        <w:rPr>
          <w:i/>
        </w:rPr>
        <w:t xml:space="preserve">Beneficial Ownership Information Reporting Requirements, </w:t>
      </w:r>
      <w:r w:rsidRPr="00D037BD" w:rsidR="003C6D25">
        <w:t xml:space="preserve">87 FR </w:t>
      </w:r>
      <w:r w:rsidRPr="00D037BD" w:rsidR="00252EDB">
        <w:t>59498</w:t>
      </w:r>
      <w:r w:rsidR="00252EDB">
        <w:t>,</w:t>
      </w:r>
      <w:r w:rsidR="003C6D25">
        <w:t xml:space="preserve"> </w:t>
      </w:r>
      <w:r w:rsidRPr="00172084" w:rsidR="003C6D25">
        <w:t>59498–99</w:t>
      </w:r>
      <w:r w:rsidRPr="00A2008E" w:rsidR="006273B2">
        <w:t>(Sept. 30, 2022)</w:t>
      </w:r>
      <w:r w:rsidRPr="00172084" w:rsidR="003C6D25">
        <w:t>;</w:t>
      </w:r>
      <w:r w:rsidRPr="00172084" w:rsidR="003C6D25">
        <w:rPr>
          <w:i/>
        </w:rPr>
        <w:t xml:space="preserve"> </w:t>
      </w:r>
      <w:r w:rsidRPr="00172084" w:rsidR="003C6D25">
        <w:t>31 CFR 1010.380(b)(2)(iv).</w:t>
      </w:r>
      <w:r w:rsidRPr="00172084" w:rsidR="003C6D25">
        <w:rPr>
          <w:i/>
        </w:rPr>
        <w:t xml:space="preserve"> </w:t>
      </w:r>
    </w:p>
  </w:footnote>
  <w:footnote w:id="8">
    <w:p w:rsidR="009C7DB4" w:rsidP="009C7DB4" w14:paraId="0C1606EF" w14:textId="77777777">
      <w:pPr>
        <w:pStyle w:val="FootnoteText"/>
      </w:pPr>
      <w:r w:rsidRPr="00172084">
        <w:rPr>
          <w:rStyle w:val="FootnoteReference"/>
        </w:rPr>
        <w:footnoteRef/>
      </w:r>
      <w:r w:rsidRPr="00172084">
        <w:t xml:space="preserve"> A domestic reporting company was previously defined at 31 CFR 1010.380(c)(1)(</w:t>
      </w:r>
      <w:r w:rsidRPr="00172084">
        <w:t>i</w:t>
      </w:r>
      <w:r w:rsidRPr="00172084">
        <w:t xml:space="preserve">) as “a corporation; a limited liability company; or other entity that is created by the filing of a document with a secretary of state or any similar office under the law of a state or Indian tribe.”  </w:t>
      </w:r>
      <w:r>
        <w:t>A foreign reporting company was defined at 31 CFR 1010.380(c)(1)(ii) as “</w:t>
      </w:r>
      <w:r w:rsidRPr="00365833">
        <w:t>a corporation, limited liability company, or other entity that is formed under the law of a foreign country and that is registered to do business in the United States by the filing of a document with a secretary of state or equivalent office under the law of a state or Indian tribe</w:t>
      </w:r>
      <w:r>
        <w:t xml:space="preserve">.”  </w:t>
      </w:r>
    </w:p>
  </w:footnote>
  <w:footnote w:id="9">
    <w:p w:rsidR="009C7DB4" w:rsidRPr="008A2CE5" w:rsidP="009C7DB4" w14:paraId="4414BB38" w14:textId="77777777">
      <w:pPr>
        <w:pStyle w:val="FootnoteText"/>
      </w:pPr>
      <w:r w:rsidRPr="00172084">
        <w:rPr>
          <w:rStyle w:val="FootnoteReference"/>
        </w:rPr>
        <w:footnoteRef/>
      </w:r>
      <w:r w:rsidRPr="00172084">
        <w:t xml:space="preserve"> </w:t>
      </w:r>
      <w:r w:rsidRPr="00172084">
        <w:t>31 CFR 1010.380(a)(1)(iii).</w:t>
      </w:r>
    </w:p>
  </w:footnote>
  <w:footnote w:id="10">
    <w:p w:rsidR="009C7DB4" w:rsidP="009C7DB4" w14:paraId="6A5F21C1" w14:textId="05E0AD3E">
      <w:pPr>
        <w:pStyle w:val="FootnoteText"/>
      </w:pPr>
      <w:r w:rsidRPr="00172084">
        <w:rPr>
          <w:rStyle w:val="FootnoteReference"/>
        </w:rPr>
        <w:footnoteRef/>
      </w:r>
      <w:r w:rsidRPr="00172084">
        <w:t xml:space="preserve"> </w:t>
      </w:r>
      <w:r w:rsidR="000726DB">
        <w:t>3</w:t>
      </w:r>
      <w:r w:rsidR="00640A01">
        <w:t>1 CFR 1010.380(a)</w:t>
      </w:r>
      <w:r w:rsidR="00152C2C">
        <w:t>(1)(</w:t>
      </w:r>
      <w:r w:rsidR="00152C2C">
        <w:t>i</w:t>
      </w:r>
      <w:r w:rsidR="00152C2C">
        <w:t>)(A).</w:t>
      </w:r>
    </w:p>
  </w:footnote>
  <w:footnote w:id="11">
    <w:p w:rsidR="00C5055A" w14:paraId="52E39E40" w14:textId="0D873BD4">
      <w:pPr>
        <w:pStyle w:val="FootnoteText"/>
      </w:pPr>
      <w:r>
        <w:rPr>
          <w:rStyle w:val="FootnoteReference"/>
        </w:rPr>
        <w:footnoteRef/>
      </w:r>
      <w:r>
        <w:t xml:space="preserve"> </w:t>
      </w:r>
      <w:r w:rsidR="00E554C2">
        <w:t>31 CFR 1010.380(a)(1)</w:t>
      </w:r>
      <w:r w:rsidR="004D77D3">
        <w:t>(</w:t>
      </w:r>
      <w:r w:rsidR="004D77D3">
        <w:t>i</w:t>
      </w:r>
      <w:r w:rsidR="004D77D3">
        <w:t>)</w:t>
      </w:r>
      <w:r w:rsidR="00C43B4B">
        <w:t>(B)</w:t>
      </w:r>
      <w:r w:rsidR="009B130F">
        <w:t>.</w:t>
      </w:r>
    </w:p>
  </w:footnote>
  <w:footnote w:id="12">
    <w:p w:rsidR="005076B0" w14:paraId="5C1ECC53" w14:textId="3E243264">
      <w:pPr>
        <w:pStyle w:val="FootnoteText"/>
      </w:pPr>
      <w:r>
        <w:rPr>
          <w:rStyle w:val="FootnoteReference"/>
        </w:rPr>
        <w:footnoteRef/>
      </w:r>
      <w:r>
        <w:t xml:space="preserve"> </w:t>
      </w:r>
      <w:r w:rsidRPr="00DA30ED" w:rsidR="00DA30ED">
        <w:t>Under the IFR, a pooled investment vehicle that would be a reporting company but for the exemption at 31 CFR 1010.380(c)(2)(xviii) and is formed under the laws of a foreign country, also referred to as a foreign pooled investment vehicle, is required to report BOI solely with respect to a non-U.S. person who exercises substantial control over the entity.  If more than one non-U.S. person exercises substantial control over the foreign pooled investment vehicle, the foreign pooled investment vehicle is required to report information with respect to the non-U.S. person who has the greatest authority over the strategic management of the entity.  If no individual with substantial control is a U.S. person, the foreign pooled investment vehicle is not required to report any beneficial owners.</w:t>
      </w:r>
    </w:p>
  </w:footnote>
  <w:footnote w:id="13">
    <w:p w:rsidR="00081D59" w:rsidRPr="00A2008E" w:rsidP="00081D59" w14:paraId="7F91D8AA" w14:textId="1A36DED3">
      <w:pPr>
        <w:pStyle w:val="FootnoteText"/>
      </w:pPr>
      <w:r w:rsidRPr="00A2008E">
        <w:rPr>
          <w:rStyle w:val="FootnoteReference"/>
        </w:rPr>
        <w:footnoteRef/>
      </w:r>
      <w:r w:rsidRPr="00A2008E">
        <w:t xml:space="preserve"> FinCEN, </w:t>
      </w:r>
      <w:r w:rsidRPr="00A2008E">
        <w:rPr>
          <w:i/>
        </w:rPr>
        <w:t xml:space="preserve">Beneficial Ownership Information Reporting Requirements, </w:t>
      </w:r>
      <w:r w:rsidRPr="00A2008E">
        <w:t xml:space="preserve">87 FR </w:t>
      </w:r>
      <w:r w:rsidRPr="00D037BD" w:rsidR="00252EDB">
        <w:t>59498</w:t>
      </w:r>
      <w:r w:rsidR="00252EDB">
        <w:t xml:space="preserve">, </w:t>
      </w:r>
      <w:r w:rsidRPr="00A2008E">
        <w:t>59594-96 (Sept. 30, 2022)</w:t>
      </w:r>
      <w:r w:rsidR="006273B2">
        <w:rPr>
          <w:rStyle w:val="Hyperlink"/>
        </w:rPr>
        <w:t>;</w:t>
      </w:r>
      <w:r w:rsidRPr="00A2008E">
        <w:t xml:space="preserve"> </w:t>
      </w:r>
      <w:r w:rsidR="006273B2">
        <w:rPr>
          <w:i/>
        </w:rPr>
        <w:t>s</w:t>
      </w:r>
      <w:r w:rsidRPr="00A2008E">
        <w:rPr>
          <w:i/>
        </w:rPr>
        <w:t xml:space="preserve">ee also </w:t>
      </w:r>
      <w:r w:rsidRPr="00A2008E">
        <w:t>31 U.S.C. 5336(a)(3) (beneficial owner), (2) (applicant).</w:t>
      </w:r>
    </w:p>
  </w:footnote>
  <w:footnote w:id="14">
    <w:p w:rsidR="00CE28D7" w:rsidRPr="00C820AA" w14:paraId="24C3CD57" w14:textId="08EE2075">
      <w:pPr>
        <w:pStyle w:val="FootnoteText"/>
      </w:pPr>
      <w:r w:rsidRPr="00D52EDF">
        <w:rPr>
          <w:rStyle w:val="FootnoteReference"/>
        </w:rPr>
        <w:footnoteRef/>
      </w:r>
      <w:r>
        <w:t xml:space="preserve"> </w:t>
      </w:r>
      <w:r>
        <w:rPr>
          <w:i/>
        </w:rPr>
        <w:t xml:space="preserve">See </w:t>
      </w:r>
      <w:r>
        <w:t>31 U.S.C. 5336(a)(6), (b)(3).</w:t>
      </w:r>
    </w:p>
  </w:footnote>
  <w:footnote w:id="15">
    <w:p w:rsidR="00427AF5" w:rsidP="00427AF5" w14:paraId="0797FB8B" w14:textId="77777777">
      <w:pPr>
        <w:pStyle w:val="FootnoteText"/>
      </w:pPr>
      <w:r w:rsidRPr="00172084">
        <w:rPr>
          <w:rStyle w:val="FootnoteReference"/>
        </w:rPr>
        <w:footnoteRef/>
      </w:r>
      <w:r w:rsidRPr="00172084">
        <w:t xml:space="preserve"> </w:t>
      </w:r>
      <w:r w:rsidRPr="00172084">
        <w:rPr>
          <w:i/>
        </w:rPr>
        <w:t>See, e.g.</w:t>
      </w:r>
      <w:r w:rsidRPr="00172084">
        <w:t xml:space="preserve">, FinCEN, Notice of Proposed Rulemaking, </w:t>
      </w:r>
      <w:r w:rsidRPr="00172084">
        <w:rPr>
          <w:i/>
        </w:rPr>
        <w:t>Beneficial Ownership Information Reporting Requirements</w:t>
      </w:r>
      <w:r w:rsidRPr="00172084">
        <w:t>, 86 FR 69920, 69928 (Dec. 8, 2021).</w:t>
      </w:r>
    </w:p>
  </w:footnote>
  <w:footnote w:id="16">
    <w:p w:rsidR="00817440" w:rsidP="00817440" w14:paraId="4A774430" w14:textId="77777777">
      <w:pPr>
        <w:pStyle w:val="FootnoteText"/>
      </w:pPr>
      <w:r>
        <w:rPr>
          <w:rStyle w:val="FootnoteReference"/>
        </w:rPr>
        <w:footnoteRef/>
      </w:r>
      <w:r>
        <w:t xml:space="preserve"> CTA, Section 6403(c)(1).</w:t>
      </w:r>
    </w:p>
  </w:footnote>
  <w:footnote w:id="17">
    <w:p w:rsidR="00714F89" w14:paraId="5C00CAF7" w14:textId="6F316830">
      <w:pPr>
        <w:pStyle w:val="FootnoteText"/>
      </w:pPr>
      <w:r>
        <w:rPr>
          <w:rStyle w:val="FootnoteReference"/>
        </w:rPr>
        <w:footnoteRef/>
      </w:r>
      <w:r>
        <w:t xml:space="preserve"> FinCEN, </w:t>
      </w:r>
      <w:r w:rsidRPr="00D15169" w:rsidR="006F0BE8">
        <w:rPr>
          <w:i/>
          <w:iCs/>
        </w:rPr>
        <w:t>Customer Due Diligence Requirements for Financial Institutions</w:t>
      </w:r>
      <w:r w:rsidR="006F0BE8">
        <w:t xml:space="preserve">, </w:t>
      </w:r>
      <w:r w:rsidR="0006428E">
        <w:t>81 FR 29</w:t>
      </w:r>
      <w:r w:rsidR="00671542">
        <w:t>398 (May 11</w:t>
      </w:r>
      <w:r w:rsidR="009D1A77">
        <w:t>,</w:t>
      </w:r>
      <w:r w:rsidR="00671542">
        <w:t xml:space="preserve"> 2016).</w:t>
      </w:r>
    </w:p>
  </w:footnote>
  <w:footnote w:id="18">
    <w:p w:rsidR="00CE28D7" w:rsidRPr="00EB5833" w14:paraId="4D18241E" w14:textId="5972A803">
      <w:pPr>
        <w:pStyle w:val="FootnoteText"/>
      </w:pPr>
      <w:r>
        <w:rPr>
          <w:rStyle w:val="FootnoteReference"/>
        </w:rPr>
        <w:footnoteRef/>
      </w:r>
      <w:r>
        <w:t xml:space="preserve"> </w:t>
      </w:r>
      <w:r>
        <w:rPr>
          <w:i/>
        </w:rPr>
        <w:t xml:space="preserve">See </w:t>
      </w:r>
      <w:r>
        <w:t xml:space="preserve">31 CFR 1020.210 (CDD Rule for banks), 1023.210 (CDD Rule for broker/dealers), 1024.210 (CDD Rule for mutual funds), 1026.210 (CDD Rule for futures commission merchants and introducing brokers in commodities). </w:t>
      </w:r>
    </w:p>
  </w:footnote>
  <w:footnote w:id="19">
    <w:p w:rsidR="00CE28D7" w:rsidP="00BC34B9" w14:paraId="722BC0BB" w14:textId="5576DA18">
      <w:pPr>
        <w:pStyle w:val="FootnoteText"/>
      </w:pPr>
      <w:r>
        <w:rPr>
          <w:rStyle w:val="FootnoteReference"/>
        </w:rPr>
        <w:footnoteRef/>
      </w:r>
      <w:r>
        <w:t xml:space="preserve"> </w:t>
      </w:r>
      <w:r>
        <w:rPr>
          <w:i/>
        </w:rPr>
        <w:t>See</w:t>
      </w:r>
      <w:r>
        <w:t xml:space="preserve">, </w:t>
      </w:r>
      <w:r w:rsidRPr="001F0377">
        <w:rPr>
          <w:i/>
        </w:rPr>
        <w:t>e.g.</w:t>
      </w:r>
      <w:r>
        <w:t xml:space="preserve">, </w:t>
      </w:r>
      <w:r w:rsidR="00D672D3">
        <w:t xml:space="preserve">FinCEN, </w:t>
      </w:r>
      <w:r w:rsidRPr="00D15169" w:rsidR="00D672D3">
        <w:rPr>
          <w:i/>
          <w:iCs/>
        </w:rPr>
        <w:t>Customer Due Diligence Requirements for Financial Institutions</w:t>
      </w:r>
      <w:r w:rsidR="00D672D3">
        <w:t xml:space="preserve">, </w:t>
      </w:r>
      <w:r>
        <w:t xml:space="preserve">81 FR </w:t>
      </w:r>
      <w:r w:rsidR="008801DA">
        <w:t>29398,</w:t>
      </w:r>
      <w:r>
        <w:t xml:space="preserve"> 29401</w:t>
      </w:r>
      <w:r w:rsidR="00824255">
        <w:t xml:space="preserve"> (May 11, 2016)</w:t>
      </w:r>
      <w:r>
        <w:t xml:space="preserve"> (discussion of multipronged strategy in the implementing notice for the 2016 CDD Rule).</w:t>
      </w:r>
    </w:p>
  </w:footnote>
  <w:footnote w:id="20">
    <w:p w:rsidR="00CE28D7" w:rsidRPr="00342399" w14:paraId="651F3897" w14:textId="5A68FE83">
      <w:pPr>
        <w:pStyle w:val="FootnoteText"/>
      </w:pPr>
      <w:r>
        <w:rPr>
          <w:rStyle w:val="FootnoteReference"/>
        </w:rPr>
        <w:footnoteRef/>
      </w:r>
      <w:r>
        <w:t xml:space="preserve"> The Secure Federal Leases from Espionage and Suspicious Entanglements Act (Secure Federal LEASEs Act) is P.L. 116-276, 134 Stat. 3362 </w:t>
      </w:r>
      <w:r>
        <w:rPr>
          <w:i/>
        </w:rPr>
        <w:t xml:space="preserve">et seq. </w:t>
      </w:r>
      <w:r>
        <w:t>(</w:t>
      </w:r>
      <w:r w:rsidR="00641D53">
        <w:t>Dec.</w:t>
      </w:r>
      <w:r w:rsidR="00A57F62">
        <w:t xml:space="preserve"> </w:t>
      </w:r>
      <w:r>
        <w:t>31, 2020).</w:t>
      </w:r>
    </w:p>
  </w:footnote>
  <w:footnote w:id="21">
    <w:p w:rsidR="00605D27" w14:paraId="13394254" w14:textId="3BDD9587">
      <w:pPr>
        <w:pStyle w:val="FootnoteText"/>
      </w:pPr>
      <w:r>
        <w:rPr>
          <w:rStyle w:val="FootnoteReference"/>
        </w:rPr>
        <w:footnoteRef/>
      </w:r>
      <w:r>
        <w:t xml:space="preserve"> </w:t>
      </w:r>
      <w:r w:rsidR="00BA7178">
        <w:t>Exec</w:t>
      </w:r>
      <w:r w:rsidR="00A64F59">
        <w:t>utive</w:t>
      </w:r>
      <w:r w:rsidR="00BA7178">
        <w:t xml:space="preserve"> Order 14192, </w:t>
      </w:r>
      <w:r w:rsidRPr="00CF798E" w:rsidR="00BA7178">
        <w:rPr>
          <w:i/>
          <w:iCs/>
        </w:rPr>
        <w:t>Unleashing Prosperity Through Deregulation</w:t>
      </w:r>
      <w:r w:rsidR="00BA7178">
        <w:t xml:space="preserve">, </w:t>
      </w:r>
      <w:r w:rsidRPr="00E11477" w:rsidR="00E11477">
        <w:t>90 FR 9065</w:t>
      </w:r>
      <w:r w:rsidR="00A64F59">
        <w:t xml:space="preserve"> (</w:t>
      </w:r>
      <w:r w:rsidR="006E4800">
        <w:t>Jan. 31, 2025)</w:t>
      </w:r>
      <w:r w:rsidR="004D135E">
        <w:t xml:space="preserve">. </w:t>
      </w:r>
    </w:p>
  </w:footnote>
  <w:footnote w:id="22">
    <w:p w:rsidR="00D81E6B" w:rsidRPr="00EB18D4" w:rsidP="00D81E6B" w14:paraId="48F32442" w14:textId="77777777">
      <w:pPr>
        <w:pStyle w:val="FootnoteText"/>
      </w:pPr>
      <w:r w:rsidRPr="00172084">
        <w:rPr>
          <w:rStyle w:val="FootnoteReference"/>
        </w:rPr>
        <w:footnoteRef/>
      </w:r>
      <w:r w:rsidRPr="00172084">
        <w:t xml:space="preserve"> The FATF, of which the United States is a founding member, is an international, inter-governmental task force whose purpose is the development and promotion of international AML/CFT standards and the effective implementation of legal, regulatory, and operational measures to combat money laundering, terrorist financing, the financing of proliferation, and other related threats to the integrity of the international financial system.  The FATF assesses over 200 jurisdictions against its minimum standards, known as FATF Recommendations.</w:t>
      </w:r>
    </w:p>
  </w:footnote>
  <w:footnote w:id="23">
    <w:p w:rsidR="00F44348" w:rsidRPr="00F35304" w:rsidP="00F44348" w14:paraId="4FDFF34E" w14:textId="77777777">
      <w:pPr>
        <w:pStyle w:val="FootnoteText"/>
      </w:pPr>
      <w:r>
        <w:rPr>
          <w:rStyle w:val="FootnoteReference"/>
        </w:rPr>
        <w:footnoteRef/>
      </w:r>
      <w:r>
        <w:t xml:space="preserve"> 31 U.S.C. 5336(c)(2)(B), (C), and (c)(5).  </w:t>
      </w:r>
    </w:p>
  </w:footnote>
  <w:footnote w:id="24">
    <w:p w:rsidR="00F44348" w:rsidP="00F44348" w14:paraId="5D85D119" w14:textId="31CD8011">
      <w:pPr>
        <w:pStyle w:val="FootnoteText"/>
      </w:pPr>
      <w:r>
        <w:rPr>
          <w:rStyle w:val="FootnoteReference"/>
        </w:rPr>
        <w:footnoteRef/>
      </w:r>
      <w:r>
        <w:t xml:space="preserve"> FinCEN, </w:t>
      </w:r>
      <w:r w:rsidRPr="00473888">
        <w:rPr>
          <w:i/>
          <w:iCs/>
        </w:rPr>
        <w:t>Beneficial Ownership Information Access and Safeguards</w:t>
      </w:r>
      <w:r w:rsidR="0003712E">
        <w:rPr>
          <w:i/>
          <w:iCs/>
        </w:rPr>
        <w:t xml:space="preserve"> Final Rule</w:t>
      </w:r>
      <w:r>
        <w:t xml:space="preserve">, </w:t>
      </w:r>
      <w:r w:rsidRPr="0003712E" w:rsidR="0003712E">
        <w:t>88 FR 88732</w:t>
      </w:r>
      <w:r w:rsidR="0003712E">
        <w:t xml:space="preserve"> (Dec. 22, 2023).</w:t>
      </w:r>
    </w:p>
  </w:footnote>
  <w:footnote w:id="25">
    <w:p w:rsidR="00282613" w14:paraId="2ADA8201" w14:textId="5D879E95">
      <w:pPr>
        <w:pStyle w:val="FootnoteText"/>
      </w:pPr>
      <w:r>
        <w:rPr>
          <w:rStyle w:val="FootnoteReference"/>
        </w:rPr>
        <w:footnoteRef/>
      </w:r>
      <w:r>
        <w:t xml:space="preserve"> </w:t>
      </w:r>
      <w:r w:rsidR="00413D37">
        <w:t xml:space="preserve">FinCEN, </w:t>
      </w:r>
      <w:r w:rsidRPr="00690BED" w:rsidR="00413D37">
        <w:rPr>
          <w:i/>
        </w:rPr>
        <w:t>Privacy Act of 1974; System of Records</w:t>
      </w:r>
      <w:r w:rsidR="00413D37">
        <w:t>,</w:t>
      </w:r>
      <w:r w:rsidRPr="00413D37" w:rsidR="00413D37">
        <w:t xml:space="preserve"> </w:t>
      </w:r>
      <w:r w:rsidRPr="00282613">
        <w:t>88 FR 62889</w:t>
      </w:r>
      <w:r w:rsidR="00413D37">
        <w:t xml:space="preserve"> (Sept.</w:t>
      </w:r>
      <w:r w:rsidR="006E4800">
        <w:t xml:space="preserve"> </w:t>
      </w:r>
      <w:r w:rsidRPr="00282613">
        <w:t>13</w:t>
      </w:r>
      <w:r w:rsidR="00413D37">
        <w:t xml:space="preserve">, </w:t>
      </w:r>
      <w:r w:rsidRPr="00282613">
        <w:t>2023)</w:t>
      </w:r>
      <w:r w:rsidR="00413D37">
        <w:t>.</w:t>
      </w:r>
    </w:p>
  </w:footnote>
  <w:footnote w:id="26">
    <w:p w:rsidR="00CE28D7" w:rsidRPr="00D66781" w14:paraId="506F41E3" w14:textId="086A8792">
      <w:pPr>
        <w:pStyle w:val="FootnoteText"/>
        <w:rPr>
          <w:highlight w:val="yellow"/>
        </w:rPr>
      </w:pPr>
      <w:r w:rsidRPr="007A3312">
        <w:rPr>
          <w:rStyle w:val="FootnoteReference"/>
        </w:rPr>
        <w:footnoteRef/>
      </w:r>
      <w:r w:rsidRPr="007A3312">
        <w:t xml:space="preserve"> The estimated number of BOI reports and individuals obtaining a FinCEN identifier each year are approximate and not precise estimates.  Further, any rounding produces no meaningful difference in the </w:t>
      </w:r>
      <w:r w:rsidR="009F2864">
        <w:t xml:space="preserve">general </w:t>
      </w:r>
      <w:r w:rsidRPr="007A3312">
        <w:t>magnitude of FinCEN’s estimates or conclusions.  FinCEN does not separately calculate a burden estimate for entities requesting a FinCEN identifier because FinCEN assumes this would already be accounted for in the process and cost of submitting the BOI reports.</w:t>
      </w:r>
    </w:p>
  </w:footnote>
  <w:footnote w:id="27">
    <w:p w:rsidR="00A77957" w14:paraId="06664BB4" w14:textId="2CC5A55D">
      <w:pPr>
        <w:pStyle w:val="FootnoteText"/>
      </w:pPr>
      <w:r>
        <w:rPr>
          <w:rStyle w:val="FootnoteReference"/>
        </w:rPr>
        <w:footnoteRef/>
      </w:r>
      <w:r>
        <w:t xml:space="preserve"> </w:t>
      </w:r>
      <w:r w:rsidRPr="00E14125">
        <w:rPr>
          <w:i/>
        </w:rPr>
        <w:t>See</w:t>
      </w:r>
      <w:r>
        <w:t xml:space="preserve"> </w:t>
      </w:r>
      <w:r w:rsidR="00C21A1B">
        <w:t xml:space="preserve">the first two supporting statements </w:t>
      </w:r>
      <w:r w:rsidR="00543449">
        <w:t>for OMB control number 1506-0076</w:t>
      </w:r>
      <w:r w:rsidR="008172BD">
        <w:t xml:space="preserve"> at </w:t>
      </w:r>
      <w:hyperlink r:id="rId1" w:history="1">
        <w:r w:rsidRPr="00B25389" w:rsidR="00CD4001">
          <w:rPr>
            <w:rStyle w:val="Hyperlink"/>
          </w:rPr>
          <w:t>https://www.reginfo.gov/public/do/PRAV</w:t>
        </w:r>
        <w:bookmarkStart w:id="0" w:name="_Hlt195186445"/>
        <w:bookmarkStart w:id="1" w:name="_Hlt195186446"/>
        <w:r w:rsidRPr="00B25389" w:rsidR="00CD4001">
          <w:rPr>
            <w:rStyle w:val="Hyperlink"/>
          </w:rPr>
          <w:t>i</w:t>
        </w:r>
        <w:bookmarkEnd w:id="0"/>
        <w:bookmarkEnd w:id="1"/>
        <w:r w:rsidRPr="00B25389" w:rsidR="00CD4001">
          <w:rPr>
            <w:rStyle w:val="Hyperlink"/>
          </w:rPr>
          <w:t>ewDocument?ref_nbr=202209-1506-002</w:t>
        </w:r>
      </w:hyperlink>
      <w:r w:rsidR="00D926AD">
        <w:t xml:space="preserve"> </w:t>
      </w:r>
      <w:r w:rsidR="00CD4001">
        <w:t xml:space="preserve">and at </w:t>
      </w:r>
      <w:hyperlink r:id="rId2" w:history="1">
        <w:r w:rsidRPr="00B25389" w:rsidR="00D926AD">
          <w:rPr>
            <w:rStyle w:val="Hyperlink"/>
          </w:rPr>
          <w:t>https://www.reginfo.gov/public/do/PRAViewDocument?ref_nbr=202309-1506-001</w:t>
        </w:r>
      </w:hyperlink>
      <w:r w:rsidR="00D926AD">
        <w:t>.</w:t>
      </w:r>
    </w:p>
  </w:footnote>
  <w:footnote w:id="28">
    <w:p w:rsidR="00CE28D7" w:rsidRPr="00D66781" w14:paraId="68440CAD" w14:textId="655567D8">
      <w:pPr>
        <w:pStyle w:val="FootnoteText"/>
        <w:rPr>
          <w:highlight w:val="yellow"/>
        </w:rPr>
      </w:pPr>
      <w:r w:rsidRPr="00B753C8">
        <w:rPr>
          <w:rStyle w:val="FootnoteReference"/>
        </w:rPr>
        <w:footnoteRef/>
      </w:r>
      <w:r w:rsidRPr="00B753C8">
        <w:t xml:space="preserve"> This estimate aligns with FinCEN’s estimate of existing reporting companies in 202</w:t>
      </w:r>
      <w:r w:rsidRPr="005765E6" w:rsidR="00121CF9">
        <w:t>5</w:t>
      </w:r>
      <w:r w:rsidRPr="005765E6" w:rsidR="007A4BB6">
        <w:t>, based on internal data</w:t>
      </w:r>
      <w:r w:rsidRPr="005765E6" w:rsidR="00A04C1A">
        <w:t xml:space="preserve"> </w:t>
      </w:r>
      <w:r w:rsidRPr="005765E6" w:rsidR="00B753C8">
        <w:t>on the number of foreign companies which have already reported</w:t>
      </w:r>
      <w:r w:rsidR="00B753C8">
        <w:t xml:space="preserve"> before the </w:t>
      </w:r>
      <w:r w:rsidR="00AF2926">
        <w:t>IFR</w:t>
      </w:r>
      <w:r w:rsidR="00B753C8">
        <w:t xml:space="preserve"> was published</w:t>
      </w:r>
      <w:r w:rsidRPr="00D66781" w:rsidR="00B753C8">
        <w:t xml:space="preserve">. </w:t>
      </w:r>
    </w:p>
  </w:footnote>
  <w:footnote w:id="29">
    <w:p w:rsidR="00CE28D7" w:rsidRPr="005765E6" w:rsidP="00BC34B9" w14:paraId="5E2CEEF9" w14:textId="2B304619">
      <w:pPr>
        <w:pStyle w:val="FootnoteText"/>
        <w:rPr>
          <w:highlight w:val="yellow"/>
        </w:rPr>
      </w:pPr>
      <w:r w:rsidRPr="00812293">
        <w:rPr>
          <w:rStyle w:val="FootnoteReference"/>
        </w:rPr>
        <w:footnoteRef/>
      </w:r>
      <w:r w:rsidRPr="00812293">
        <w:t xml:space="preserve"> </w:t>
      </w:r>
      <w:r w:rsidRPr="008A6D96" w:rsidR="00812293">
        <w:rPr>
          <w:i/>
        </w:rPr>
        <w:t>Id</w:t>
      </w:r>
      <w:r w:rsidR="00812293">
        <w:t>.</w:t>
      </w:r>
    </w:p>
  </w:footnote>
  <w:footnote w:id="30">
    <w:p w:rsidR="00CE28D7" w:rsidP="00BC34B9" w14:paraId="19361FCA" w14:textId="79096A51">
      <w:pPr>
        <w:pStyle w:val="FootnoteText"/>
      </w:pPr>
      <w:r w:rsidRPr="00563EEC">
        <w:rPr>
          <w:rStyle w:val="FootnoteReference"/>
        </w:rPr>
        <w:footnoteRef/>
      </w:r>
      <w:r w:rsidRPr="00563EEC">
        <w:t xml:space="preserve"> </w:t>
      </w:r>
      <w:r w:rsidRPr="000F253E">
        <w:t xml:space="preserve">FinCEN estimated updated reports using a methodology that considered the probability of an event resulting in a change to the reported information </w:t>
      </w:r>
      <w:r w:rsidR="00E540E5">
        <w:t xml:space="preserve">within the </w:t>
      </w:r>
      <w:r w:rsidR="0070045C">
        <w:t xml:space="preserve">first </w:t>
      </w:r>
      <w:r w:rsidR="00E540E5">
        <w:t xml:space="preserve">year </w:t>
      </w:r>
      <w:r w:rsidR="008C5446">
        <w:t>of</w:t>
      </w:r>
      <w:r w:rsidR="00E540E5">
        <w:t xml:space="preserve"> filing</w:t>
      </w:r>
      <w:r w:rsidR="00200AF8">
        <w:t xml:space="preserve"> an initial report</w:t>
      </w:r>
      <w:r w:rsidR="00BA63A6">
        <w:t>—</w:t>
      </w:r>
      <w:r w:rsidRPr="005765E6" w:rsidR="00BA63A6">
        <w:t>25,000 × (0.19) = 4,750</w:t>
      </w:r>
      <w:r w:rsidRPr="000F253E">
        <w:t>.</w:t>
      </w:r>
      <w:r w:rsidR="00965405">
        <w:t xml:space="preserve"> </w:t>
      </w:r>
      <w:r w:rsidR="00692ACD">
        <w:t xml:space="preserve"> </w:t>
      </w:r>
      <w:r w:rsidRPr="00E14125" w:rsidR="000B62E3">
        <w:rPr>
          <w:i/>
          <w:iCs/>
        </w:rPr>
        <w:t>See</w:t>
      </w:r>
      <w:r w:rsidR="00965405">
        <w:t xml:space="preserve"> </w:t>
      </w:r>
      <w:r w:rsidR="0008310F">
        <w:t xml:space="preserve">FinCEN, </w:t>
      </w:r>
      <w:r w:rsidR="0008310F">
        <w:rPr>
          <w:i/>
          <w:iCs/>
        </w:rPr>
        <w:t>Beneficial Ownership Information Reporting Requirements</w:t>
      </w:r>
      <w:r w:rsidR="003A3BE4">
        <w:t xml:space="preserve">, </w:t>
      </w:r>
      <w:r w:rsidR="00F4646B">
        <w:t>87 FR</w:t>
      </w:r>
      <w:r w:rsidR="000A2981">
        <w:t xml:space="preserve"> 59</w:t>
      </w:r>
      <w:r w:rsidR="00303C69">
        <w:t>498,</w:t>
      </w:r>
      <w:r w:rsidR="00F4646B">
        <w:t xml:space="preserve"> </w:t>
      </w:r>
      <w:r w:rsidR="00114456">
        <w:t>59576</w:t>
      </w:r>
      <w:r w:rsidR="002A790F">
        <w:t xml:space="preserve"> (Sept. 30, 2022)</w:t>
      </w:r>
      <w:r w:rsidR="000403EC">
        <w:t>.</w:t>
      </w:r>
      <w:r w:rsidR="00F4646B">
        <w:t xml:space="preserve"> </w:t>
      </w:r>
      <w:r w:rsidR="00965405">
        <w:t xml:space="preserve"> </w:t>
      </w:r>
    </w:p>
  </w:footnote>
  <w:footnote w:id="31">
    <w:p w:rsidR="00CE28D7" w:rsidRPr="00690BED" w:rsidP="00BC34B9" w14:paraId="0A6B7C95" w14:textId="6F1AF833">
      <w:pPr>
        <w:pStyle w:val="FootnoteText"/>
        <w:rPr>
          <w:highlight w:val="yellow"/>
        </w:rPr>
      </w:pPr>
      <w:r>
        <w:rPr>
          <w:rStyle w:val="FootnoteReference"/>
        </w:rPr>
        <w:footnoteRef/>
      </w:r>
      <w:r>
        <w:t xml:space="preserve"> </w:t>
      </w:r>
      <w:r w:rsidRPr="00B7587E">
        <w:t>FinCEN estimated updated reports using a methodology that considered the probability of an event resulting in a change to the reported information</w:t>
      </w:r>
      <w:r w:rsidRPr="00B7587E" w:rsidR="000F253E">
        <w:t xml:space="preserve">, based on internal data on the number of foreign companies which already reported </w:t>
      </w:r>
      <w:r w:rsidR="005E57A4">
        <w:t>in calendar year 2024</w:t>
      </w:r>
      <w:r w:rsidR="0023182D">
        <w:t>—</w:t>
      </w:r>
      <w:r w:rsidRPr="00690BED" w:rsidR="004348D5">
        <w:t>(</w:t>
      </w:r>
      <w:r w:rsidRPr="00690BED" w:rsidR="000F253E">
        <w:t>25,000</w:t>
      </w:r>
      <w:r w:rsidRPr="00690BED" w:rsidR="00C80249">
        <w:t xml:space="preserve"> + 5,000 + 5,000</w:t>
      </w:r>
      <w:r w:rsidRPr="00690BED" w:rsidR="004348D5">
        <w:t>)</w:t>
      </w:r>
      <w:r w:rsidRPr="00690BED" w:rsidR="000F253E">
        <w:t xml:space="preserve"> × (0.</w:t>
      </w:r>
      <w:r w:rsidRPr="00690BED" w:rsidR="00C80249">
        <w:t>25</w:t>
      </w:r>
      <w:r w:rsidRPr="00690BED" w:rsidR="000F253E">
        <w:t xml:space="preserve">) = </w:t>
      </w:r>
      <w:r w:rsidRPr="00690BED" w:rsidR="00C80249">
        <w:t>8</w:t>
      </w:r>
      <w:r w:rsidRPr="00690BED" w:rsidR="000F253E">
        <w:t>,750.</w:t>
      </w:r>
    </w:p>
  </w:footnote>
  <w:footnote w:id="32">
    <w:p w:rsidR="00CE28D7" w:rsidRPr="005765E6" w14:paraId="4EB9AA48" w14:textId="137A83E0">
      <w:pPr>
        <w:pStyle w:val="FootnoteText"/>
        <w:rPr>
          <w:highlight w:val="yellow"/>
        </w:rPr>
      </w:pPr>
      <w:r w:rsidRPr="00692ECC">
        <w:rPr>
          <w:rStyle w:val="FootnoteReference"/>
        </w:rPr>
        <w:footnoteRef/>
      </w:r>
      <w:r w:rsidRPr="00692ECC">
        <w:t xml:space="preserve"> </w:t>
      </w:r>
      <w:r w:rsidR="00967682">
        <w:t>B</w:t>
      </w:r>
      <w:r w:rsidRPr="00967682" w:rsidR="00967682">
        <w:t xml:space="preserve">ased on internal data from foreign companies which have already reported before the </w:t>
      </w:r>
      <w:r w:rsidR="00AF2926">
        <w:t>IFR</w:t>
      </w:r>
      <w:r w:rsidRPr="00967682" w:rsidR="00967682">
        <w:t xml:space="preserve"> was published</w:t>
      </w:r>
      <w:r w:rsidR="00967682">
        <w:t>,</w:t>
      </w:r>
      <w:r>
        <w:t xml:space="preserve"> </w:t>
      </w:r>
      <w:r w:rsidRPr="00692ECC">
        <w:t xml:space="preserve">FinCEN estimated this to be approximately </w:t>
      </w:r>
      <w:r w:rsidRPr="005765E6" w:rsidR="00967682">
        <w:t>8 individual filers</w:t>
      </w:r>
      <w:r w:rsidRPr="00692ECC" w:rsidR="00967682">
        <w:t xml:space="preserve"> </w:t>
      </w:r>
      <w:r w:rsidRPr="003C1B30" w:rsidR="004874A0">
        <w:t>per</w:t>
      </w:r>
      <w:r w:rsidRPr="00692ECC">
        <w:t xml:space="preserve"> initial BOI report in </w:t>
      </w:r>
      <w:r w:rsidRPr="003C1B30" w:rsidR="004874A0">
        <w:t xml:space="preserve">the </w:t>
      </w:r>
      <w:r w:rsidRPr="00692ECC">
        <w:t xml:space="preserve">Year 1 estimate.  </w:t>
      </w:r>
    </w:p>
  </w:footnote>
  <w:footnote w:id="33">
    <w:p w:rsidR="00CE28D7" w:rsidRPr="00A66C14" w:rsidP="00894B17" w14:paraId="4AFE97B9" w14:textId="503F24AE">
      <w:pPr>
        <w:pStyle w:val="FootnoteText"/>
        <w:rPr>
          <w:highlight w:val="yellow"/>
        </w:rPr>
      </w:pPr>
      <w:r w:rsidRPr="00692ECC">
        <w:rPr>
          <w:rStyle w:val="FootnoteReference"/>
        </w:rPr>
        <w:footnoteRef/>
      </w:r>
      <w:r w:rsidRPr="00692ECC">
        <w:t xml:space="preserve"> </w:t>
      </w:r>
      <w:r w:rsidRPr="00692ECC" w:rsidR="00692ECC">
        <w:t xml:space="preserve">Based on internal data from foreign companies which have already reported before the </w:t>
      </w:r>
      <w:r w:rsidR="00AF2926">
        <w:t>IFR</w:t>
      </w:r>
      <w:r w:rsidRPr="00692ECC" w:rsidR="00692ECC">
        <w:t xml:space="preserve"> was published, FinCEN estimated this to be approximately 8 individual filers per </w:t>
      </w:r>
      <w:r w:rsidRPr="00692ECC">
        <w:t xml:space="preserve">initial BOI reports in Year 2+ estimate.  </w:t>
      </w:r>
    </w:p>
  </w:footnote>
  <w:footnote w:id="34">
    <w:p w:rsidR="00CE28D7" w:rsidRPr="00A66C14" w:rsidP="00894B17" w14:paraId="74CD3462" w14:textId="12B0AC4F">
      <w:pPr>
        <w:pStyle w:val="FootnoteText"/>
        <w:rPr>
          <w:highlight w:val="yellow"/>
        </w:rPr>
      </w:pPr>
      <w:r w:rsidRPr="00B05041">
        <w:rPr>
          <w:rStyle w:val="FootnoteReference"/>
        </w:rPr>
        <w:footnoteRef/>
      </w:r>
      <w:r w:rsidRPr="00B05041">
        <w:t xml:space="preserve"> </w:t>
      </w:r>
      <w:r w:rsidRPr="007F75FE" w:rsidR="007F75FE">
        <w:t xml:space="preserve">As discussed in the </w:t>
      </w:r>
      <w:r w:rsidR="000B62E3">
        <w:t xml:space="preserve">Reporting Rule, </w:t>
      </w:r>
      <w:r w:rsidRPr="007F75FE" w:rsidR="007F75FE">
        <w:t xml:space="preserve">FinCEN assesses that 8.16 percent of beneficial owners may have a change in address within a year, resulting in an updated </w:t>
      </w:r>
      <w:r w:rsidR="007F75FE">
        <w:t>identifier</w:t>
      </w:r>
      <w:r w:rsidRPr="007F75FE" w:rsidR="007F75FE">
        <w:t xml:space="preserve"> report</w:t>
      </w:r>
      <w:r w:rsidR="002A790F">
        <w:t>—</w:t>
      </w:r>
      <w:r w:rsidRPr="00A66C14" w:rsidR="00B03E7E">
        <w:t>200,000 × (0.</w:t>
      </w:r>
      <w:r w:rsidRPr="00A66C14" w:rsidR="00F636EF">
        <w:t>0</w:t>
      </w:r>
      <w:r w:rsidRPr="00A66C14" w:rsidR="00F90D0E">
        <w:t>816</w:t>
      </w:r>
      <w:r w:rsidRPr="00A66C14" w:rsidR="00B03E7E">
        <w:t xml:space="preserve">) = </w:t>
      </w:r>
      <w:r w:rsidRPr="00A66C14" w:rsidR="00B05041">
        <w:t>16</w:t>
      </w:r>
      <w:r w:rsidRPr="00A66C14" w:rsidR="00B03E7E">
        <w:t>,</w:t>
      </w:r>
      <w:r w:rsidRPr="00A66C14" w:rsidR="00B05041">
        <w:t>320</w:t>
      </w:r>
      <w:r w:rsidRPr="00B05041">
        <w:t>.</w:t>
      </w:r>
      <w:r w:rsidR="000733A5">
        <w:t xml:space="preserve">  </w:t>
      </w:r>
      <w:r w:rsidRPr="00757EA7" w:rsidR="000733A5">
        <w:rPr>
          <w:i/>
          <w:iCs/>
        </w:rPr>
        <w:t>See</w:t>
      </w:r>
      <w:r w:rsidR="000733A5">
        <w:t xml:space="preserve"> </w:t>
      </w:r>
      <w:r w:rsidR="002A790F">
        <w:t xml:space="preserve">FinCEN, </w:t>
      </w:r>
      <w:r w:rsidR="002A790F">
        <w:rPr>
          <w:i/>
          <w:iCs/>
        </w:rPr>
        <w:t>Beneficial Ownership Information Reporting Requirements</w:t>
      </w:r>
      <w:r w:rsidR="002A790F">
        <w:t xml:space="preserve">, </w:t>
      </w:r>
      <w:r w:rsidR="000733A5">
        <w:t>87 FR</w:t>
      </w:r>
      <w:r w:rsidR="002A790F">
        <w:t xml:space="preserve"> 59498,</w:t>
      </w:r>
      <w:r w:rsidR="000733A5">
        <w:t xml:space="preserve"> </w:t>
      </w:r>
      <w:r w:rsidR="00402160">
        <w:t>59574</w:t>
      </w:r>
      <w:r w:rsidR="002A790F">
        <w:t xml:space="preserve"> (Sept. 30, 2022)</w:t>
      </w:r>
      <w:r w:rsidR="00402160">
        <w:t>.</w:t>
      </w:r>
    </w:p>
  </w:footnote>
  <w:footnote w:id="35">
    <w:p w:rsidR="00CE28D7" w:rsidRPr="00A66C14" w:rsidP="00894B17" w14:paraId="4AF18E22" w14:textId="3F5A1EB1">
      <w:pPr>
        <w:pStyle w:val="FootnoteText"/>
        <w:rPr>
          <w:highlight w:val="yellow"/>
        </w:rPr>
      </w:pPr>
      <w:r w:rsidRPr="004348D5">
        <w:rPr>
          <w:rStyle w:val="FootnoteReference"/>
        </w:rPr>
        <w:footnoteRef/>
      </w:r>
      <w:r w:rsidRPr="004348D5">
        <w:t xml:space="preserve"> </w:t>
      </w:r>
      <w:r w:rsidRPr="007F75FE" w:rsidR="007F75FE">
        <w:t xml:space="preserve">As discussed in the </w:t>
      </w:r>
      <w:r w:rsidR="000B62E3">
        <w:t xml:space="preserve">Reporting Rule, </w:t>
      </w:r>
      <w:r w:rsidRPr="007F75FE" w:rsidR="007F75FE">
        <w:t xml:space="preserve">FinCEN assesses that 8.16 percent of beneficial owners may have a change in address within a year, resulting in an updated </w:t>
      </w:r>
      <w:r w:rsidR="007F75FE">
        <w:t>identifier</w:t>
      </w:r>
      <w:r w:rsidRPr="007F75FE" w:rsidR="007F75FE">
        <w:t xml:space="preserve"> report</w:t>
      </w:r>
      <w:r w:rsidR="002A790F">
        <w:t>—</w:t>
      </w:r>
      <w:r w:rsidR="004348D5">
        <w:t>(</w:t>
      </w:r>
      <w:r w:rsidRPr="00A66C14" w:rsidR="005F01F3">
        <w:t xml:space="preserve">200,000 + </w:t>
      </w:r>
      <w:r w:rsidRPr="00A66C14" w:rsidR="007D0BC3">
        <w:t>40,000 + 40,000</w:t>
      </w:r>
      <w:r w:rsidRPr="00A66C14" w:rsidR="004348D5">
        <w:t>)</w:t>
      </w:r>
      <w:r w:rsidRPr="00A66C14" w:rsidR="005F01F3">
        <w:t xml:space="preserve"> × (0.0816) = </w:t>
      </w:r>
      <w:r w:rsidRPr="00A66C14" w:rsidR="004348D5">
        <w:t>22</w:t>
      </w:r>
      <w:r w:rsidRPr="00A66C14" w:rsidR="005F01F3">
        <w:t>,</w:t>
      </w:r>
      <w:r w:rsidRPr="00A66C14" w:rsidR="004348D5">
        <w:t>848</w:t>
      </w:r>
      <w:r w:rsidRPr="00B05041" w:rsidR="005F01F3">
        <w:t>.</w:t>
      </w:r>
      <w:r w:rsidR="000733A5">
        <w:t xml:space="preserve">  </w:t>
      </w:r>
      <w:r w:rsidRPr="00757EA7" w:rsidR="000733A5">
        <w:rPr>
          <w:i/>
          <w:iCs/>
        </w:rPr>
        <w:t>See</w:t>
      </w:r>
      <w:r w:rsidR="000733A5">
        <w:t xml:space="preserve"> </w:t>
      </w:r>
      <w:r w:rsidR="002A790F">
        <w:t xml:space="preserve">FinCEN, </w:t>
      </w:r>
      <w:r w:rsidR="002A790F">
        <w:rPr>
          <w:i/>
          <w:iCs/>
        </w:rPr>
        <w:t>Beneficial Ownership Information Reporting Requirements</w:t>
      </w:r>
      <w:r w:rsidR="002A790F">
        <w:t xml:space="preserve">, </w:t>
      </w:r>
      <w:r w:rsidR="000733A5">
        <w:t xml:space="preserve">87 FR </w:t>
      </w:r>
      <w:r w:rsidR="002A790F">
        <w:t>59498,</w:t>
      </w:r>
      <w:r w:rsidR="000733A5">
        <w:t xml:space="preserve"> </w:t>
      </w:r>
      <w:r w:rsidR="00402160">
        <w:t>59574</w:t>
      </w:r>
      <w:r w:rsidR="002A790F">
        <w:t xml:space="preserve"> (Sept. 30, 2022)</w:t>
      </w:r>
      <w:r w:rsidR="00402160">
        <w:t>.</w:t>
      </w:r>
    </w:p>
  </w:footnote>
  <w:footnote w:id="36">
    <w:p w:rsidR="00CE28D7" w:rsidRPr="00A66C14" w:rsidP="003F3FD9" w14:paraId="426D2740" w14:textId="58FC9997">
      <w:pPr>
        <w:pStyle w:val="FootnoteText"/>
        <w:rPr>
          <w:highlight w:val="yellow"/>
        </w:rPr>
      </w:pPr>
      <w:r w:rsidRPr="0007322E">
        <w:rPr>
          <w:rStyle w:val="FootnoteReference"/>
        </w:rPr>
        <w:footnoteRef/>
      </w:r>
      <w:r w:rsidRPr="00A66C14">
        <w:t xml:space="preserve"> </w:t>
      </w:r>
      <w:r w:rsidRPr="003C1B30" w:rsidR="0007322E">
        <w:t>200,000</w:t>
      </w:r>
      <w:r w:rsidRPr="00A66C14">
        <w:t xml:space="preserve"> × </w:t>
      </w:r>
      <w:r w:rsidR="00842871">
        <w:t>1/3 hour</w:t>
      </w:r>
      <w:r w:rsidRPr="00A66C14">
        <w:t xml:space="preserve"> = </w:t>
      </w:r>
      <w:r w:rsidRPr="003C1B30" w:rsidR="0007322E">
        <w:t>66</w:t>
      </w:r>
      <w:r w:rsidRPr="00A66C14">
        <w:t>,</w:t>
      </w:r>
      <w:r w:rsidRPr="003C1B30" w:rsidR="0007322E">
        <w:t>667</w:t>
      </w:r>
      <w:r w:rsidRPr="00A66C14">
        <w:t xml:space="preserve">. </w:t>
      </w:r>
    </w:p>
  </w:footnote>
  <w:footnote w:id="37">
    <w:p w:rsidR="00CE28D7" w:rsidRPr="00A66C14" w:rsidP="003F3FD9" w14:paraId="71668BD8" w14:textId="44417654">
      <w:pPr>
        <w:pStyle w:val="FootnoteText"/>
        <w:rPr>
          <w:highlight w:val="yellow"/>
        </w:rPr>
      </w:pPr>
      <w:r w:rsidRPr="006B1BC2">
        <w:rPr>
          <w:rStyle w:val="FootnoteReference"/>
        </w:rPr>
        <w:footnoteRef/>
      </w:r>
      <w:r w:rsidRPr="00A66C14">
        <w:t xml:space="preserve"> </w:t>
      </w:r>
      <w:r w:rsidRPr="003C1B30" w:rsidR="00B40F54">
        <w:t>40,000</w:t>
      </w:r>
      <w:r w:rsidRPr="00A66C14">
        <w:t xml:space="preserve"> × </w:t>
      </w:r>
      <w:r w:rsidR="00842871">
        <w:t>1/3 hour</w:t>
      </w:r>
      <w:r w:rsidRPr="00A66C14">
        <w:t xml:space="preserve"> = </w:t>
      </w:r>
      <w:r w:rsidRPr="003C1B30" w:rsidR="006B1BC2">
        <w:t>13</w:t>
      </w:r>
      <w:r w:rsidRPr="00A66C14">
        <w:t>,</w:t>
      </w:r>
      <w:r w:rsidRPr="003C1B30" w:rsidR="006B1BC2">
        <w:t>333</w:t>
      </w:r>
      <w:r w:rsidRPr="00A66C14">
        <w:t>.</w:t>
      </w:r>
    </w:p>
  </w:footnote>
  <w:footnote w:id="38">
    <w:p w:rsidR="00CE28D7" w:rsidRPr="00690BED" w:rsidP="003F3FD9" w14:paraId="260F0891" w14:textId="0C4EC2EC">
      <w:pPr>
        <w:pStyle w:val="FootnoteText"/>
        <w:rPr>
          <w:highlight w:val="yellow"/>
        </w:rPr>
      </w:pPr>
      <w:r>
        <w:rPr>
          <w:rStyle w:val="FootnoteReference"/>
        </w:rPr>
        <w:footnoteRef/>
      </w:r>
      <w:r w:rsidRPr="00A66C14">
        <w:t xml:space="preserve"> </w:t>
      </w:r>
      <w:r w:rsidRPr="00A66C14" w:rsidR="008D1453">
        <w:t xml:space="preserve">As discussed in the </w:t>
      </w:r>
      <w:r w:rsidR="000733A5">
        <w:t xml:space="preserve">Reporting Rule, </w:t>
      </w:r>
      <w:r w:rsidRPr="00A66C14" w:rsidR="00A32F93">
        <w:t xml:space="preserve">FinCEN assesses that 8.16 percent of beneficial owners may have a change in address within a year, resulting in an updated </w:t>
      </w:r>
      <w:r w:rsidRPr="00A66C14" w:rsidR="00777D65">
        <w:t>identifier</w:t>
      </w:r>
      <w:r w:rsidRPr="00A66C14" w:rsidR="00A32F93">
        <w:t xml:space="preserve"> report. </w:t>
      </w:r>
      <w:r w:rsidRPr="00690BED" w:rsidR="00481642">
        <w:t>200,000 × (</w:t>
      </w:r>
      <w:r w:rsidRPr="00690BED" w:rsidR="003C258F">
        <w:t>0.0816)</w:t>
      </w:r>
      <w:r w:rsidRPr="00690BED">
        <w:t xml:space="preserve"> × </w:t>
      </w:r>
      <w:r w:rsidRPr="00690BED" w:rsidR="008666B3">
        <w:t>1/6 hour</w:t>
      </w:r>
      <w:r w:rsidRPr="00690BED">
        <w:t xml:space="preserve"> = 2</w:t>
      </w:r>
      <w:r w:rsidRPr="00690BED" w:rsidR="00224650">
        <w:t>,720</w:t>
      </w:r>
      <w:r w:rsidRPr="00690BED">
        <w:t>.</w:t>
      </w:r>
      <w:r>
        <w:t xml:space="preserve"> </w:t>
      </w:r>
      <w:r w:rsidR="000733A5">
        <w:t xml:space="preserve"> </w:t>
      </w:r>
      <w:r w:rsidRPr="00757EA7" w:rsidR="000733A5">
        <w:rPr>
          <w:i/>
          <w:iCs/>
        </w:rPr>
        <w:t>See</w:t>
      </w:r>
      <w:r w:rsidR="000733A5">
        <w:t xml:space="preserve"> 87 FR at</w:t>
      </w:r>
      <w:r w:rsidR="00402160">
        <w:t xml:space="preserve"> 59574.</w:t>
      </w:r>
      <w:r w:rsidR="000733A5">
        <w:t xml:space="preserve"> </w:t>
      </w:r>
      <w:r w:rsidRPr="00690BED">
        <w:t xml:space="preserve"> </w:t>
      </w:r>
    </w:p>
  </w:footnote>
  <w:footnote w:id="39">
    <w:p w:rsidR="00CE28D7" w:rsidRPr="00A66C14" w:rsidP="003F3FD9" w14:paraId="728658BE" w14:textId="599A6830">
      <w:pPr>
        <w:pStyle w:val="FootnoteText"/>
        <w:rPr>
          <w:highlight w:val="yellow"/>
        </w:rPr>
      </w:pPr>
      <w:r w:rsidRPr="00705F3E">
        <w:rPr>
          <w:rStyle w:val="FootnoteReference"/>
        </w:rPr>
        <w:footnoteRef/>
      </w:r>
      <w:r w:rsidRPr="00705F3E">
        <w:t xml:space="preserve"> </w:t>
      </w:r>
      <w:r w:rsidRPr="00A66C14" w:rsidR="000472BA">
        <w:t>40,000</w:t>
      </w:r>
      <w:r w:rsidRPr="00A66C14">
        <w:t xml:space="preserve"> </w:t>
      </w:r>
      <w:r w:rsidRPr="00690BED">
        <w:t>× (</w:t>
      </w:r>
      <w:r w:rsidRPr="00690BED" w:rsidR="009C13CF">
        <w:t>0.0816)</w:t>
      </w:r>
      <w:r w:rsidRPr="00705F3E">
        <w:t xml:space="preserve"> × </w:t>
      </w:r>
      <w:r w:rsidR="008666B3">
        <w:t>1/6 hour</w:t>
      </w:r>
      <w:r w:rsidRPr="00705F3E">
        <w:t xml:space="preserve"> = </w:t>
      </w:r>
      <w:r w:rsidRPr="003C1B30" w:rsidR="00705F3E">
        <w:t>544</w:t>
      </w:r>
      <w:r w:rsidRPr="00705F3E">
        <w:t>.</w:t>
      </w:r>
    </w:p>
  </w:footnote>
  <w:footnote w:id="40">
    <w:p w:rsidR="00CE28D7" w:rsidP="00BB7949" w14:paraId="19A19FA4" w14:textId="053F4C69">
      <w:pPr>
        <w:pStyle w:val="FootnoteText"/>
      </w:pPr>
      <w:r w:rsidRPr="00744DDC">
        <w:rPr>
          <w:rStyle w:val="FootnoteReference"/>
        </w:rPr>
        <w:footnoteRef/>
      </w:r>
      <w:r w:rsidRPr="00744DDC">
        <w:t xml:space="preserve"> The aggregate costs of BOI reports and individuals obtaining a FinCEN identifier each year are approximate and not precise estimates.  Further, any rounding produces no meaningful difference in the magnitude of FinCEN’s estimates or conclusions.</w:t>
      </w:r>
      <w:r w:rsidRPr="00750DBD">
        <w:t xml:space="preserve"> </w:t>
      </w:r>
      <w:r w:rsidR="004A53ED">
        <w:t xml:space="preserve"> </w:t>
      </w:r>
      <w:r w:rsidRPr="004A53ED" w:rsidR="004A53ED">
        <w:rPr>
          <w:i/>
          <w:iCs/>
        </w:rPr>
        <w:t>See</w:t>
      </w:r>
      <w:r w:rsidR="004A53ED">
        <w:t xml:space="preserve"> </w:t>
      </w:r>
      <w:r w:rsidR="000C4434">
        <w:t xml:space="preserve">FinCEN, </w:t>
      </w:r>
      <w:r w:rsidR="007C5D32">
        <w:t>BOIR Form Supporting Statement (</w:t>
      </w:r>
      <w:r w:rsidR="00954584">
        <w:t xml:space="preserve">Sept. 29, 2023), </w:t>
      </w:r>
      <w:hyperlink r:id="rId2" w:history="1">
        <w:r w:rsidRPr="00954584" w:rsidR="00954584">
          <w:rPr>
            <w:rStyle w:val="Hyperlink"/>
          </w:rPr>
          <w:t>https://www.reginfo.gov/public/do/PRAVie</w:t>
        </w:r>
        <w:bookmarkStart w:id="2" w:name="_Hlt195186612"/>
        <w:bookmarkStart w:id="3" w:name="_Hlt195186613"/>
        <w:r w:rsidRPr="00954584" w:rsidR="00954584">
          <w:rPr>
            <w:rStyle w:val="Hyperlink"/>
          </w:rPr>
          <w:t>w</w:t>
        </w:r>
        <w:bookmarkEnd w:id="2"/>
        <w:bookmarkEnd w:id="3"/>
        <w:r w:rsidRPr="00954584" w:rsidR="00954584">
          <w:rPr>
            <w:rStyle w:val="Hyperlink"/>
          </w:rPr>
          <w:t>Document?ref_nbr=202309-1506-001</w:t>
        </w:r>
      </w:hyperlink>
      <w:r w:rsidR="004A53ED">
        <w:t>.</w:t>
      </w:r>
    </w:p>
  </w:footnote>
  <w:footnote w:id="41">
    <w:p w:rsidR="00CE28D7" w14:paraId="49C39232" w14:textId="5362BC8C">
      <w:pPr>
        <w:pStyle w:val="FootnoteText"/>
      </w:pPr>
      <w:r>
        <w:rPr>
          <w:rStyle w:val="FootnoteReference"/>
        </w:rPr>
        <w:footnoteRef/>
      </w:r>
      <w:r>
        <w:t xml:space="preserve"> To estimate the average wage rate,</w:t>
      </w:r>
      <w:r w:rsidRPr="0012676F">
        <w:t xml:space="preserve"> FinCEN estimated </w:t>
      </w:r>
      <w:r w:rsidR="003F06C8">
        <w:t xml:space="preserve">a </w:t>
      </w:r>
      <w:r w:rsidRPr="0012676F">
        <w:t>base wage rate of $3</w:t>
      </w:r>
      <w:r w:rsidR="009909E9">
        <w:t>8</w:t>
      </w:r>
      <w:r w:rsidRPr="0012676F">
        <w:t>.</w:t>
      </w:r>
      <w:r w:rsidR="009909E9">
        <w:t>53</w:t>
      </w:r>
      <w:r w:rsidRPr="0012676F">
        <w:t xml:space="preserve"> per hour</w:t>
      </w:r>
      <w:r>
        <w:t xml:space="preserve">.  </w:t>
      </w:r>
      <w:r w:rsidRPr="0012676F">
        <w:t>This updated estimate derives from the BLS May 202</w:t>
      </w:r>
      <w:r w:rsidR="00092B33">
        <w:t>3</w:t>
      </w:r>
      <w:r w:rsidRPr="0012676F">
        <w:t xml:space="preserve"> Wage Estimates</w:t>
      </w:r>
      <w:r>
        <w:t xml:space="preserve"> </w:t>
      </w:r>
      <w:r w:rsidRPr="0012676F">
        <w:t>and represents the average reported hourly wage rates of three major occupational groups assessed to be most likely responsible for executing filings on behalf of reporting companies: management; business and financial operations; and office and administrative support.</w:t>
      </w:r>
      <w:r>
        <w:t xml:space="preserve"> </w:t>
      </w:r>
      <w:r w:rsidR="00954584">
        <w:t xml:space="preserve"> </w:t>
      </w:r>
      <w:r w:rsidRPr="003C2344">
        <w:rPr>
          <w:i/>
        </w:rPr>
        <w:t>See</w:t>
      </w:r>
      <w:r w:rsidRPr="0012676F">
        <w:t xml:space="preserve"> U.S. Bureau of Labor Statistics, National Occupational Employment and Wage Estimates United States (May 2021), </w:t>
      </w:r>
      <w:hyperlink r:id="rId3" w:history="1">
        <w:r w:rsidRPr="00CF568B">
          <w:rPr>
            <w:rStyle w:val="Hyperlink"/>
          </w:rPr>
          <w:t>https://www.bls.gov/oes/current/oes_nat.htm</w:t>
        </w:r>
      </w:hyperlink>
      <w:r w:rsidRPr="0012676F">
        <w:t>.</w:t>
      </w:r>
      <w:r>
        <w:t xml:space="preserve"> </w:t>
      </w:r>
      <w:r w:rsidR="00954584">
        <w:t xml:space="preserve"> </w:t>
      </w:r>
      <w:r>
        <w:t>FinCEN multiplied $3</w:t>
      </w:r>
      <w:r w:rsidR="00C134EE">
        <w:t>8</w:t>
      </w:r>
      <w:r>
        <w:t>.</w:t>
      </w:r>
      <w:r w:rsidR="00C134EE">
        <w:t>53</w:t>
      </w:r>
      <w:r>
        <w:t xml:space="preserve"> by a private industry benefits factor of 1.42. </w:t>
      </w:r>
      <w:r w:rsidR="00954584">
        <w:t xml:space="preserve"> </w:t>
      </w:r>
      <w:r>
        <w:t>The ratio between benefits and wages for private industry workers is $1</w:t>
      </w:r>
      <w:r w:rsidR="00AB0C01">
        <w:t>3</w:t>
      </w:r>
      <w:r>
        <w:t>.</w:t>
      </w:r>
      <w:r w:rsidR="00AB0C01">
        <w:t>20</w:t>
      </w:r>
      <w:r>
        <w:t xml:space="preserve"> (hourly benefits)/$</w:t>
      </w:r>
      <w:r w:rsidR="008F7326">
        <w:t>31</w:t>
      </w:r>
      <w:r>
        <w:t>.</w:t>
      </w:r>
      <w:r w:rsidR="008F7326">
        <w:t>47</w:t>
      </w:r>
      <w:r>
        <w:t xml:space="preserve"> (hourly wages) = 0.42, as of </w:t>
      </w:r>
      <w:r w:rsidR="008F7326">
        <w:t xml:space="preserve">December </w:t>
      </w:r>
      <w:r>
        <w:t>202</w:t>
      </w:r>
      <w:r w:rsidR="00D10061">
        <w:t>4</w:t>
      </w:r>
      <w:r>
        <w:t>. The benefit factor is 1 plus the benefit/</w:t>
      </w:r>
      <w:r>
        <w:t>wages</w:t>
      </w:r>
      <w:r>
        <w:t xml:space="preserve"> ratio, or 1.42.  </w:t>
      </w:r>
      <w:r>
        <w:rPr>
          <w:i/>
        </w:rPr>
        <w:t xml:space="preserve">See </w:t>
      </w:r>
      <w:r>
        <w:t xml:space="preserve">U.S. Bureau of Labor Statistics, </w:t>
      </w:r>
      <w:r>
        <w:rPr>
          <w:i/>
        </w:rPr>
        <w:t>Employer Cost for Employee Compensation: Private industry dataset</w:t>
      </w:r>
      <w:r>
        <w:t xml:space="preserve">, </w:t>
      </w:r>
      <w:r w:rsidR="00954584">
        <w:t>(</w:t>
      </w:r>
      <w:r>
        <w:t>Mar</w:t>
      </w:r>
      <w:r w:rsidR="00954584">
        <w:t>.</w:t>
      </w:r>
      <w:r>
        <w:t xml:space="preserve"> 202</w:t>
      </w:r>
      <w:r w:rsidR="00D91136">
        <w:t>5</w:t>
      </w:r>
      <w:r w:rsidR="00954584">
        <w:t>)</w:t>
      </w:r>
      <w:r>
        <w:t xml:space="preserve">, </w:t>
      </w:r>
      <w:hyperlink r:id="rId4" w:history="1">
        <w:r>
          <w:rPr>
            <w:rStyle w:val="Hyperlink"/>
          </w:rPr>
          <w:t>https://www.bls.gov/web/ecec/ecec-private-dataset.xlsx</w:t>
        </w:r>
      </w:hyperlink>
      <w:r w:rsidRPr="00EF7756">
        <w:rPr>
          <w:rStyle w:val="Hyperlink"/>
          <w:color w:val="auto"/>
          <w:u w:val="none"/>
        </w:rPr>
        <w:t xml:space="preserve">. </w:t>
      </w:r>
      <w:r w:rsidR="0029261A">
        <w:rPr>
          <w:rStyle w:val="Hyperlink"/>
          <w:color w:val="auto"/>
          <w:u w:val="none"/>
        </w:rPr>
        <w:t xml:space="preserve"> </w:t>
      </w:r>
      <w:r w:rsidRPr="00EF7756">
        <w:rPr>
          <w:rStyle w:val="Hyperlink"/>
          <w:color w:val="auto"/>
          <w:u w:val="none"/>
        </w:rPr>
        <w:t>Therefore, the fully loaded wage rate is $5</w:t>
      </w:r>
      <w:r w:rsidR="008B77FA">
        <w:rPr>
          <w:rStyle w:val="Hyperlink"/>
          <w:color w:val="auto"/>
          <w:u w:val="none"/>
        </w:rPr>
        <w:t>4</w:t>
      </w:r>
      <w:r w:rsidRPr="00EF7756">
        <w:rPr>
          <w:rStyle w:val="Hyperlink"/>
          <w:color w:val="auto"/>
          <w:u w:val="none"/>
        </w:rPr>
        <w:t>.7</w:t>
      </w:r>
      <w:r w:rsidR="008B77FA">
        <w:rPr>
          <w:rStyle w:val="Hyperlink"/>
          <w:color w:val="auto"/>
          <w:u w:val="none"/>
        </w:rPr>
        <w:t>1</w:t>
      </w:r>
      <w:r w:rsidRPr="00EF7756">
        <w:rPr>
          <w:rStyle w:val="Hyperlink"/>
          <w:color w:val="auto"/>
          <w:u w:val="none"/>
        </w:rPr>
        <w:t xml:space="preserve"> per hour.</w:t>
      </w:r>
    </w:p>
  </w:footnote>
  <w:footnote w:id="42">
    <w:p w:rsidR="00CE28D7" w:rsidRPr="00BF573D" w:rsidP="00D52A5D" w14:paraId="606E2C02" w14:textId="7C7D74F0">
      <w:pPr>
        <w:pStyle w:val="FootnoteText"/>
        <w:rPr>
          <w:highlight w:val="yellow"/>
        </w:rPr>
      </w:pPr>
      <w:r w:rsidRPr="000102D2">
        <w:rPr>
          <w:rStyle w:val="FootnoteReference"/>
        </w:rPr>
        <w:footnoteRef/>
      </w:r>
      <w:r w:rsidRPr="000102D2">
        <w:t xml:space="preserve"> ($</w:t>
      </w:r>
      <w:r w:rsidRPr="000102D2" w:rsidR="0048619A">
        <w:t xml:space="preserve">54.71 </w:t>
      </w:r>
      <w:r w:rsidRPr="000102D2">
        <w:t xml:space="preserve">× </w:t>
      </w:r>
      <w:r w:rsidR="00C32D8D">
        <w:t>1/3 hour</w:t>
      </w:r>
      <w:r w:rsidRPr="000102D2">
        <w:t xml:space="preserve">) × </w:t>
      </w:r>
      <w:r w:rsidRPr="003C1B30" w:rsidR="000102D2">
        <w:t>200,000</w:t>
      </w:r>
      <w:r w:rsidRPr="000102D2">
        <w:t xml:space="preserve"> = $</w:t>
      </w:r>
      <w:r w:rsidRPr="000102D2" w:rsidR="000102D2">
        <w:t>3,647,191.11</w:t>
      </w:r>
      <w:r w:rsidRPr="000102D2">
        <w:t>.</w:t>
      </w:r>
    </w:p>
  </w:footnote>
  <w:footnote w:id="43">
    <w:p w:rsidR="00CE28D7" w:rsidRPr="008672B3" w:rsidP="00A4089F" w14:paraId="6D01586C" w14:textId="6ADF1432">
      <w:pPr>
        <w:pStyle w:val="FootnoteText"/>
        <w:rPr>
          <w:highlight w:val="yellow"/>
        </w:rPr>
      </w:pPr>
      <w:r w:rsidRPr="000102D2">
        <w:rPr>
          <w:rStyle w:val="FootnoteReference"/>
        </w:rPr>
        <w:footnoteRef/>
      </w:r>
      <w:r w:rsidRPr="008672B3">
        <w:t xml:space="preserve"> ($</w:t>
      </w:r>
      <w:r w:rsidRPr="008672B3" w:rsidR="0048619A">
        <w:t xml:space="preserve">54.71 </w:t>
      </w:r>
      <w:r w:rsidRPr="008672B3">
        <w:t xml:space="preserve">× </w:t>
      </w:r>
      <w:r w:rsidRPr="008672B3" w:rsidR="00CF216F">
        <w:t>1/3 hour</w:t>
      </w:r>
      <w:r w:rsidRPr="008672B3">
        <w:t>) × 4</w:t>
      </w:r>
      <w:r w:rsidRPr="008672B3" w:rsidR="000102D2">
        <w:t>0</w:t>
      </w:r>
      <w:r w:rsidRPr="008672B3">
        <w:t>,</w:t>
      </w:r>
      <w:r w:rsidRPr="008672B3" w:rsidR="000102D2">
        <w:t>000</w:t>
      </w:r>
      <w:r w:rsidRPr="008672B3">
        <w:t xml:space="preserve"> = $</w:t>
      </w:r>
      <w:r w:rsidRPr="008672B3" w:rsidR="000102D2">
        <w:t>729,438.22</w:t>
      </w:r>
      <w:r w:rsidRPr="008672B3">
        <w:t xml:space="preserve">. </w:t>
      </w:r>
    </w:p>
  </w:footnote>
  <w:footnote w:id="44">
    <w:p w:rsidR="00CE28D7" w:rsidRPr="008672B3" w:rsidP="00A4089F" w14:paraId="2E89E3AF" w14:textId="0DE82F9D">
      <w:pPr>
        <w:pStyle w:val="FootnoteText"/>
        <w:rPr>
          <w:highlight w:val="yellow"/>
        </w:rPr>
      </w:pPr>
      <w:r w:rsidRPr="004C04EF">
        <w:rPr>
          <w:rStyle w:val="FootnoteReference"/>
        </w:rPr>
        <w:footnoteRef/>
      </w:r>
      <w:r w:rsidRPr="008672B3">
        <w:t xml:space="preserve"> ($</w:t>
      </w:r>
      <w:r w:rsidRPr="008672B3" w:rsidR="0048619A">
        <w:t xml:space="preserve">54.71 </w:t>
      </w:r>
      <w:r w:rsidRPr="008672B3" w:rsidR="004C04EF">
        <w:t>×</w:t>
      </w:r>
      <w:r w:rsidRPr="008672B3" w:rsidR="0048619A">
        <w:t xml:space="preserve"> </w:t>
      </w:r>
      <w:r w:rsidRPr="008672B3" w:rsidR="0062729D">
        <w:t xml:space="preserve">1/6 hour) </w:t>
      </w:r>
      <w:r w:rsidR="0004772F">
        <w:t>×</w:t>
      </w:r>
      <w:r w:rsidRPr="008672B3" w:rsidR="0062729D">
        <w:t xml:space="preserve"> </w:t>
      </w:r>
      <w:r w:rsidRPr="008672B3" w:rsidR="00CD4506">
        <w:t>16,320</w:t>
      </w:r>
      <w:r w:rsidRPr="008672B3" w:rsidR="00391717">
        <w:t xml:space="preserve"> </w:t>
      </w:r>
      <w:r w:rsidRPr="008672B3">
        <w:t>= $</w:t>
      </w:r>
      <w:r w:rsidRPr="008672B3" w:rsidR="004C04EF">
        <w:t>148,805.40</w:t>
      </w:r>
      <w:r w:rsidRPr="008672B3" w:rsidR="00314799">
        <w:t>.</w:t>
      </w:r>
    </w:p>
  </w:footnote>
  <w:footnote w:id="45">
    <w:p w:rsidR="00CE28D7" w:rsidRPr="008672B3" w:rsidP="00A4089F" w14:paraId="3AFF0FCD" w14:textId="5D1D0F72">
      <w:pPr>
        <w:pStyle w:val="FootnoteText"/>
      </w:pPr>
      <w:r w:rsidRPr="00314799">
        <w:rPr>
          <w:rStyle w:val="FootnoteReference"/>
        </w:rPr>
        <w:footnoteRef/>
      </w:r>
      <w:r w:rsidRPr="008672B3">
        <w:t xml:space="preserve"> ($</w:t>
      </w:r>
      <w:r w:rsidRPr="008672B3" w:rsidR="0048619A">
        <w:t xml:space="preserve">54.71 </w:t>
      </w:r>
      <w:r w:rsidRPr="008672B3" w:rsidR="00D22BF1">
        <w:t xml:space="preserve">× </w:t>
      </w:r>
      <w:r w:rsidRPr="008672B3" w:rsidR="00D2088C">
        <w:t xml:space="preserve">1/6 hour) </w:t>
      </w:r>
      <w:r w:rsidR="0004772F">
        <w:t>×</w:t>
      </w:r>
      <w:r w:rsidRPr="008672B3" w:rsidR="00D2088C">
        <w:t xml:space="preserve"> </w:t>
      </w:r>
      <w:r w:rsidRPr="008672B3" w:rsidR="00CD4506">
        <w:t>22,</w:t>
      </w:r>
      <w:r w:rsidRPr="008672B3" w:rsidR="0040046D">
        <w:t>848</w:t>
      </w:r>
      <w:r w:rsidRPr="008672B3">
        <w:t xml:space="preserve"> = $</w:t>
      </w:r>
      <w:r w:rsidRPr="008672B3" w:rsidR="00D03D86">
        <w:t>208,327</w:t>
      </w:r>
      <w:r w:rsidRPr="008672B3" w:rsidR="008D3020">
        <w:t>.56</w:t>
      </w:r>
      <w:r w:rsidRPr="008672B3">
        <w:t>.</w:t>
      </w:r>
    </w:p>
  </w:footnote>
  <w:footnote w:id="46">
    <w:p w:rsidR="00FA72FB" w:rsidP="00FA72FB" w14:paraId="5A8ECBB8" w14:textId="77777777">
      <w:pPr>
        <w:pStyle w:val="FootnoteText"/>
      </w:pPr>
      <w:r>
        <w:rPr>
          <w:rStyle w:val="FootnoteReference"/>
        </w:rPr>
        <w:footnoteRef/>
      </w:r>
      <w:r>
        <w:t xml:space="preserve"> This expected change in reporting burden is broadly consistent with the change in burden hours presented in the IFR (approximately 91 million), which utilized a looking-backward method of estimation. These methods only differ in the assignment of when estimated annual burdens are considered to have effectively been realized.</w:t>
      </w:r>
    </w:p>
  </w:footnote>
  <w:footnote w:id="47">
    <w:p w:rsidR="00FA72FB" w:rsidP="00FA72FB" w14:paraId="332A2E28" w14:textId="77777777">
      <w:pPr>
        <w:pStyle w:val="FootnoteText"/>
      </w:pPr>
      <w:r>
        <w:rPr>
          <w:rStyle w:val="FootnoteReference"/>
        </w:rPr>
        <w:footnoteRef/>
      </w:r>
      <w:r>
        <w:t xml:space="preserve"> This estimate represents the difference between the three-year average burden in the IFR (approximately 86 thousand</w:t>
      </w:r>
      <w:r>
        <w:t>)</w:t>
      </w:r>
      <w:r>
        <w:t xml:space="preserve"> and the five-year average burden presented in the Reporting Rule (approximately 53 million).  </w:t>
      </w:r>
    </w:p>
  </w:footnote>
  <w:footnote w:id="48">
    <w:p w:rsidR="00FA72FB" w:rsidP="00FA72FB" w14:paraId="7439945D" w14:textId="77777777">
      <w:pPr>
        <w:pStyle w:val="FootnoteText"/>
      </w:pPr>
      <w:r>
        <w:rPr>
          <w:rStyle w:val="FootnoteReference"/>
        </w:rPr>
        <w:footnoteRef/>
      </w:r>
      <w:r>
        <w:t xml:space="preserve"> This figure is the difference between the three-year average cost presented in the Interim Final Rule (approximately $22 million) and the five-year average cost presented in the Original Rule issued in 2022 (approximately $9 billion).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2880"/>
      <w:gridCol w:w="2880"/>
      <w:gridCol w:w="2880"/>
    </w:tblGrid>
    <w:tr w14:paraId="1AF88DAE" w14:textId="77777777" w:rsidTr="008672B3">
      <w:tblPrEx>
        <w:tblW w:w="0" w:type="auto"/>
        <w:tblLayout w:type="fixed"/>
        <w:tblLook w:val="06A0"/>
      </w:tblPrEx>
      <w:trPr>
        <w:trHeight w:val="300"/>
      </w:trPr>
      <w:tc>
        <w:tcPr>
          <w:tcW w:w="2880" w:type="dxa"/>
        </w:tcPr>
        <w:p w:rsidR="74A40194" w:rsidP="008672B3" w14:paraId="47236A8F" w14:textId="41C05038">
          <w:pPr>
            <w:pStyle w:val="Header"/>
            <w:ind w:left="-115"/>
          </w:pPr>
        </w:p>
      </w:tc>
      <w:tc>
        <w:tcPr>
          <w:tcW w:w="2880" w:type="dxa"/>
        </w:tcPr>
        <w:p w:rsidR="74A40194" w:rsidP="008672B3" w14:paraId="0149BF34" w14:textId="5D23F10B">
          <w:pPr>
            <w:pStyle w:val="Header"/>
            <w:jc w:val="center"/>
          </w:pPr>
        </w:p>
      </w:tc>
      <w:tc>
        <w:tcPr>
          <w:tcW w:w="2880" w:type="dxa"/>
        </w:tcPr>
        <w:p w:rsidR="74A40194" w:rsidP="008672B3" w14:paraId="3E9406CB" w14:textId="0BFB6968">
          <w:pPr>
            <w:pStyle w:val="Header"/>
            <w:ind w:right="-115"/>
            <w:jc w:val="right"/>
          </w:pPr>
        </w:p>
      </w:tc>
    </w:tr>
  </w:tbl>
  <w:p w:rsidR="00E32D06" w14:paraId="1564B1E7" w14:textId="07C47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6094C"/>
    <w:multiLevelType w:val="hybridMultilevel"/>
    <w:tmpl w:val="9202D7C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6E24474"/>
    <w:multiLevelType w:val="hybridMultilevel"/>
    <w:tmpl w:val="92C878A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9DD582A"/>
    <w:multiLevelType w:val="hybridMultilevel"/>
    <w:tmpl w:val="96ACEA6C"/>
    <w:lvl w:ilvl="0">
      <w:start w:val="12"/>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4D67F1C"/>
    <w:multiLevelType w:val="hybridMultilevel"/>
    <w:tmpl w:val="74F083B0"/>
    <w:lvl w:ilvl="0">
      <w:start w:val="1"/>
      <w:numFmt w:val="lowerLetter"/>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4DC123AB"/>
    <w:multiLevelType w:val="hybridMultilevel"/>
    <w:tmpl w:val="446AE9C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53594610"/>
    <w:multiLevelType w:val="hybridMultilevel"/>
    <w:tmpl w:val="066A616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54B85E76"/>
    <w:multiLevelType w:val="hybridMultilevel"/>
    <w:tmpl w:val="530EC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7A777CA"/>
    <w:multiLevelType w:val="hybridMultilevel"/>
    <w:tmpl w:val="9F5AE490"/>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5BB4FB3"/>
    <w:multiLevelType w:val="hybridMultilevel"/>
    <w:tmpl w:val="99C0F7EA"/>
    <w:lvl w:ilvl="0">
      <w:start w:val="1"/>
      <w:numFmt w:val="lowerLetter"/>
      <w:lvlText w:val="%1."/>
      <w:lvlJc w:val="left"/>
      <w:pPr>
        <w:ind w:left="720" w:hanging="360"/>
      </w:pPr>
      <w:rPr>
        <w:rFonts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925596D"/>
    <w:multiLevelType w:val="multilevel"/>
    <w:tmpl w:val="0218B5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6928928">
    <w:abstractNumId w:val="6"/>
  </w:num>
  <w:num w:numId="2" w16cid:durableId="1146629471">
    <w:abstractNumId w:val="7"/>
  </w:num>
  <w:num w:numId="3" w16cid:durableId="843210149">
    <w:abstractNumId w:val="5"/>
  </w:num>
  <w:num w:numId="4" w16cid:durableId="381641936">
    <w:abstractNumId w:val="4"/>
  </w:num>
  <w:num w:numId="5" w16cid:durableId="1230073043">
    <w:abstractNumId w:val="0"/>
  </w:num>
  <w:num w:numId="6" w16cid:durableId="1857768730">
    <w:abstractNumId w:val="2"/>
  </w:num>
  <w:num w:numId="7" w16cid:durableId="1390617711">
    <w:abstractNumId w:val="1"/>
  </w:num>
  <w:num w:numId="8" w16cid:durableId="649482957">
    <w:abstractNumId w:val="8"/>
  </w:num>
  <w:num w:numId="9" w16cid:durableId="673263982">
    <w:abstractNumId w:val="9"/>
  </w:num>
  <w:num w:numId="10" w16cid:durableId="656761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1E03"/>
    <w:rsid w:val="000002D2"/>
    <w:rsid w:val="0000057C"/>
    <w:rsid w:val="000005F9"/>
    <w:rsid w:val="0000121D"/>
    <w:rsid w:val="0000162D"/>
    <w:rsid w:val="0000198C"/>
    <w:rsid w:val="00001BBF"/>
    <w:rsid w:val="000029F3"/>
    <w:rsid w:val="000044FF"/>
    <w:rsid w:val="00005166"/>
    <w:rsid w:val="000051FD"/>
    <w:rsid w:val="00005662"/>
    <w:rsid w:val="00005D61"/>
    <w:rsid w:val="00005F0C"/>
    <w:rsid w:val="0000730F"/>
    <w:rsid w:val="000102D2"/>
    <w:rsid w:val="000110F0"/>
    <w:rsid w:val="00011269"/>
    <w:rsid w:val="000119C3"/>
    <w:rsid w:val="0001239D"/>
    <w:rsid w:val="00015324"/>
    <w:rsid w:val="00015727"/>
    <w:rsid w:val="00015E7B"/>
    <w:rsid w:val="00016614"/>
    <w:rsid w:val="0001717A"/>
    <w:rsid w:val="0001732D"/>
    <w:rsid w:val="00017682"/>
    <w:rsid w:val="00020039"/>
    <w:rsid w:val="000222D4"/>
    <w:rsid w:val="0002271A"/>
    <w:rsid w:val="0002275A"/>
    <w:rsid w:val="000230BA"/>
    <w:rsid w:val="00023100"/>
    <w:rsid w:val="00023164"/>
    <w:rsid w:val="00023B6D"/>
    <w:rsid w:val="00023DD2"/>
    <w:rsid w:val="00023FA7"/>
    <w:rsid w:val="00024350"/>
    <w:rsid w:val="000254F4"/>
    <w:rsid w:val="00025E6B"/>
    <w:rsid w:val="00026857"/>
    <w:rsid w:val="00026DC4"/>
    <w:rsid w:val="000272F8"/>
    <w:rsid w:val="00027525"/>
    <w:rsid w:val="00031124"/>
    <w:rsid w:val="00031596"/>
    <w:rsid w:val="00032C15"/>
    <w:rsid w:val="00033248"/>
    <w:rsid w:val="0003340D"/>
    <w:rsid w:val="00033F9E"/>
    <w:rsid w:val="0003499A"/>
    <w:rsid w:val="00034FDE"/>
    <w:rsid w:val="00035A5E"/>
    <w:rsid w:val="00035CD2"/>
    <w:rsid w:val="00036505"/>
    <w:rsid w:val="0003712E"/>
    <w:rsid w:val="000378D1"/>
    <w:rsid w:val="000403EC"/>
    <w:rsid w:val="00040BB5"/>
    <w:rsid w:val="000416A6"/>
    <w:rsid w:val="000435B9"/>
    <w:rsid w:val="00043C49"/>
    <w:rsid w:val="0004605A"/>
    <w:rsid w:val="000468C8"/>
    <w:rsid w:val="0004700B"/>
    <w:rsid w:val="000470BF"/>
    <w:rsid w:val="00047164"/>
    <w:rsid w:val="000472BA"/>
    <w:rsid w:val="00047620"/>
    <w:rsid w:val="0004772F"/>
    <w:rsid w:val="00050C29"/>
    <w:rsid w:val="000510A1"/>
    <w:rsid w:val="000517D1"/>
    <w:rsid w:val="0005247B"/>
    <w:rsid w:val="00053A96"/>
    <w:rsid w:val="000543B9"/>
    <w:rsid w:val="00055200"/>
    <w:rsid w:val="000556A0"/>
    <w:rsid w:val="00055FE3"/>
    <w:rsid w:val="000567EA"/>
    <w:rsid w:val="00056A2E"/>
    <w:rsid w:val="0005749C"/>
    <w:rsid w:val="0006011C"/>
    <w:rsid w:val="000602CC"/>
    <w:rsid w:val="00061693"/>
    <w:rsid w:val="0006297C"/>
    <w:rsid w:val="0006373A"/>
    <w:rsid w:val="0006428E"/>
    <w:rsid w:val="00064630"/>
    <w:rsid w:val="0006487C"/>
    <w:rsid w:val="00065762"/>
    <w:rsid w:val="0006580B"/>
    <w:rsid w:val="00065D87"/>
    <w:rsid w:val="00065E54"/>
    <w:rsid w:val="00066416"/>
    <w:rsid w:val="000667BB"/>
    <w:rsid w:val="00067044"/>
    <w:rsid w:val="00067538"/>
    <w:rsid w:val="00070134"/>
    <w:rsid w:val="00071474"/>
    <w:rsid w:val="000717D9"/>
    <w:rsid w:val="00072689"/>
    <w:rsid w:val="000726DB"/>
    <w:rsid w:val="000729DE"/>
    <w:rsid w:val="00073179"/>
    <w:rsid w:val="0007322E"/>
    <w:rsid w:val="000733A5"/>
    <w:rsid w:val="00073618"/>
    <w:rsid w:val="0007385C"/>
    <w:rsid w:val="000746FA"/>
    <w:rsid w:val="00075F1B"/>
    <w:rsid w:val="000762F3"/>
    <w:rsid w:val="00076D8B"/>
    <w:rsid w:val="0007709B"/>
    <w:rsid w:val="00077713"/>
    <w:rsid w:val="00080075"/>
    <w:rsid w:val="00080F03"/>
    <w:rsid w:val="00081286"/>
    <w:rsid w:val="00081C30"/>
    <w:rsid w:val="00081D59"/>
    <w:rsid w:val="0008245D"/>
    <w:rsid w:val="00082F27"/>
    <w:rsid w:val="0008310F"/>
    <w:rsid w:val="000835D3"/>
    <w:rsid w:val="00083921"/>
    <w:rsid w:val="00083EC9"/>
    <w:rsid w:val="00083F36"/>
    <w:rsid w:val="00084790"/>
    <w:rsid w:val="00084841"/>
    <w:rsid w:val="00085289"/>
    <w:rsid w:val="000853EF"/>
    <w:rsid w:val="00085718"/>
    <w:rsid w:val="00085C7B"/>
    <w:rsid w:val="000860E8"/>
    <w:rsid w:val="000867B0"/>
    <w:rsid w:val="00086E00"/>
    <w:rsid w:val="000878FD"/>
    <w:rsid w:val="00087F23"/>
    <w:rsid w:val="0009096D"/>
    <w:rsid w:val="000911A9"/>
    <w:rsid w:val="000915D4"/>
    <w:rsid w:val="00091A9B"/>
    <w:rsid w:val="000924E4"/>
    <w:rsid w:val="00092B33"/>
    <w:rsid w:val="0009305B"/>
    <w:rsid w:val="00093125"/>
    <w:rsid w:val="000937D0"/>
    <w:rsid w:val="00093DF3"/>
    <w:rsid w:val="000942D0"/>
    <w:rsid w:val="000943EF"/>
    <w:rsid w:val="000944AF"/>
    <w:rsid w:val="0009536C"/>
    <w:rsid w:val="0009580D"/>
    <w:rsid w:val="00095E5B"/>
    <w:rsid w:val="00095EC6"/>
    <w:rsid w:val="00096A66"/>
    <w:rsid w:val="00096FEE"/>
    <w:rsid w:val="00097770"/>
    <w:rsid w:val="000A02AE"/>
    <w:rsid w:val="000A10E6"/>
    <w:rsid w:val="000A1604"/>
    <w:rsid w:val="000A1E6E"/>
    <w:rsid w:val="000A2823"/>
    <w:rsid w:val="000A2981"/>
    <w:rsid w:val="000A33CB"/>
    <w:rsid w:val="000A3925"/>
    <w:rsid w:val="000A3D3B"/>
    <w:rsid w:val="000A471B"/>
    <w:rsid w:val="000A5525"/>
    <w:rsid w:val="000A5882"/>
    <w:rsid w:val="000A7A98"/>
    <w:rsid w:val="000A7E89"/>
    <w:rsid w:val="000B0610"/>
    <w:rsid w:val="000B187D"/>
    <w:rsid w:val="000B1B05"/>
    <w:rsid w:val="000B61C7"/>
    <w:rsid w:val="000B62E3"/>
    <w:rsid w:val="000B6EFD"/>
    <w:rsid w:val="000B79BB"/>
    <w:rsid w:val="000B7D61"/>
    <w:rsid w:val="000C0227"/>
    <w:rsid w:val="000C0992"/>
    <w:rsid w:val="000C0BDF"/>
    <w:rsid w:val="000C0E2D"/>
    <w:rsid w:val="000C121C"/>
    <w:rsid w:val="000C2012"/>
    <w:rsid w:val="000C3251"/>
    <w:rsid w:val="000C4434"/>
    <w:rsid w:val="000C5208"/>
    <w:rsid w:val="000D13C0"/>
    <w:rsid w:val="000D1911"/>
    <w:rsid w:val="000D207E"/>
    <w:rsid w:val="000D2C22"/>
    <w:rsid w:val="000D37DF"/>
    <w:rsid w:val="000D3FFC"/>
    <w:rsid w:val="000D763A"/>
    <w:rsid w:val="000D79AB"/>
    <w:rsid w:val="000E060E"/>
    <w:rsid w:val="000E07A8"/>
    <w:rsid w:val="000E10AA"/>
    <w:rsid w:val="000E3229"/>
    <w:rsid w:val="000E39C2"/>
    <w:rsid w:val="000E3F5C"/>
    <w:rsid w:val="000E45B5"/>
    <w:rsid w:val="000E5A0D"/>
    <w:rsid w:val="000E5A3B"/>
    <w:rsid w:val="000E620B"/>
    <w:rsid w:val="000E7A54"/>
    <w:rsid w:val="000F0DFF"/>
    <w:rsid w:val="000F1C5B"/>
    <w:rsid w:val="000F1E2B"/>
    <w:rsid w:val="000F253E"/>
    <w:rsid w:val="000F26F8"/>
    <w:rsid w:val="000F26F9"/>
    <w:rsid w:val="000F273F"/>
    <w:rsid w:val="000F275C"/>
    <w:rsid w:val="000F34C6"/>
    <w:rsid w:val="000F3524"/>
    <w:rsid w:val="000F430D"/>
    <w:rsid w:val="000F48CA"/>
    <w:rsid w:val="000F48DA"/>
    <w:rsid w:val="000F521E"/>
    <w:rsid w:val="000F5788"/>
    <w:rsid w:val="000F67F1"/>
    <w:rsid w:val="000F7249"/>
    <w:rsid w:val="000F7BA8"/>
    <w:rsid w:val="000F7E7E"/>
    <w:rsid w:val="00100176"/>
    <w:rsid w:val="0010077E"/>
    <w:rsid w:val="001011E2"/>
    <w:rsid w:val="00101A72"/>
    <w:rsid w:val="00101F56"/>
    <w:rsid w:val="0010206F"/>
    <w:rsid w:val="001027A3"/>
    <w:rsid w:val="001029C8"/>
    <w:rsid w:val="00102B87"/>
    <w:rsid w:val="00102CD1"/>
    <w:rsid w:val="00103B82"/>
    <w:rsid w:val="0010462A"/>
    <w:rsid w:val="0010579A"/>
    <w:rsid w:val="0010586F"/>
    <w:rsid w:val="00105A4A"/>
    <w:rsid w:val="00105D58"/>
    <w:rsid w:val="00105FAC"/>
    <w:rsid w:val="00106204"/>
    <w:rsid w:val="001062A4"/>
    <w:rsid w:val="00106F2B"/>
    <w:rsid w:val="001072FA"/>
    <w:rsid w:val="0010761D"/>
    <w:rsid w:val="00107A64"/>
    <w:rsid w:val="001100D0"/>
    <w:rsid w:val="001106BE"/>
    <w:rsid w:val="001107F0"/>
    <w:rsid w:val="00110ECE"/>
    <w:rsid w:val="00110FE8"/>
    <w:rsid w:val="001115C0"/>
    <w:rsid w:val="00111BE8"/>
    <w:rsid w:val="00112CEC"/>
    <w:rsid w:val="001131F7"/>
    <w:rsid w:val="00113C3F"/>
    <w:rsid w:val="00113EA4"/>
    <w:rsid w:val="00114456"/>
    <w:rsid w:val="00114999"/>
    <w:rsid w:val="00115BD7"/>
    <w:rsid w:val="00115CA6"/>
    <w:rsid w:val="00120BEF"/>
    <w:rsid w:val="00120D19"/>
    <w:rsid w:val="00120FCE"/>
    <w:rsid w:val="0012113B"/>
    <w:rsid w:val="00121359"/>
    <w:rsid w:val="001218BA"/>
    <w:rsid w:val="00121CF9"/>
    <w:rsid w:val="00121F3C"/>
    <w:rsid w:val="001221D0"/>
    <w:rsid w:val="00123C96"/>
    <w:rsid w:val="00124B61"/>
    <w:rsid w:val="0012676F"/>
    <w:rsid w:val="00126EA7"/>
    <w:rsid w:val="00130C5D"/>
    <w:rsid w:val="00131376"/>
    <w:rsid w:val="001313C4"/>
    <w:rsid w:val="00131757"/>
    <w:rsid w:val="00131935"/>
    <w:rsid w:val="00131F62"/>
    <w:rsid w:val="00132018"/>
    <w:rsid w:val="00132997"/>
    <w:rsid w:val="0013338B"/>
    <w:rsid w:val="00133AB4"/>
    <w:rsid w:val="0013458E"/>
    <w:rsid w:val="00137BCC"/>
    <w:rsid w:val="00140104"/>
    <w:rsid w:val="001402D1"/>
    <w:rsid w:val="00141CFE"/>
    <w:rsid w:val="0014247C"/>
    <w:rsid w:val="00142AF7"/>
    <w:rsid w:val="00143407"/>
    <w:rsid w:val="00143481"/>
    <w:rsid w:val="001437B5"/>
    <w:rsid w:val="00143BBF"/>
    <w:rsid w:val="00143C28"/>
    <w:rsid w:val="00143DD9"/>
    <w:rsid w:val="00143DE7"/>
    <w:rsid w:val="001440A7"/>
    <w:rsid w:val="00144137"/>
    <w:rsid w:val="00144F98"/>
    <w:rsid w:val="001453EE"/>
    <w:rsid w:val="00146300"/>
    <w:rsid w:val="0014647D"/>
    <w:rsid w:val="00146EA8"/>
    <w:rsid w:val="00147F2E"/>
    <w:rsid w:val="001503C3"/>
    <w:rsid w:val="00152486"/>
    <w:rsid w:val="00152C2C"/>
    <w:rsid w:val="00153320"/>
    <w:rsid w:val="0015453A"/>
    <w:rsid w:val="00155B76"/>
    <w:rsid w:val="0015656D"/>
    <w:rsid w:val="0015667B"/>
    <w:rsid w:val="00156DBD"/>
    <w:rsid w:val="001572BF"/>
    <w:rsid w:val="0015767A"/>
    <w:rsid w:val="00157B2F"/>
    <w:rsid w:val="001601F7"/>
    <w:rsid w:val="001623BD"/>
    <w:rsid w:val="0016287F"/>
    <w:rsid w:val="0016308C"/>
    <w:rsid w:val="001642F3"/>
    <w:rsid w:val="00164BBE"/>
    <w:rsid w:val="00164C40"/>
    <w:rsid w:val="001652EF"/>
    <w:rsid w:val="001654E2"/>
    <w:rsid w:val="00165E2F"/>
    <w:rsid w:val="00166271"/>
    <w:rsid w:val="001670A6"/>
    <w:rsid w:val="00167437"/>
    <w:rsid w:val="00170E75"/>
    <w:rsid w:val="00170EC9"/>
    <w:rsid w:val="00171165"/>
    <w:rsid w:val="00171291"/>
    <w:rsid w:val="00172084"/>
    <w:rsid w:val="00172276"/>
    <w:rsid w:val="00172DDD"/>
    <w:rsid w:val="00172FD6"/>
    <w:rsid w:val="00173F30"/>
    <w:rsid w:val="001746D2"/>
    <w:rsid w:val="00175076"/>
    <w:rsid w:val="001750D2"/>
    <w:rsid w:val="001751EC"/>
    <w:rsid w:val="001757EB"/>
    <w:rsid w:val="00175B16"/>
    <w:rsid w:val="0017660A"/>
    <w:rsid w:val="00176882"/>
    <w:rsid w:val="00176B1D"/>
    <w:rsid w:val="00176CFF"/>
    <w:rsid w:val="00180EE3"/>
    <w:rsid w:val="0018264C"/>
    <w:rsid w:val="00182C11"/>
    <w:rsid w:val="00182DB9"/>
    <w:rsid w:val="00183043"/>
    <w:rsid w:val="001835BD"/>
    <w:rsid w:val="00183784"/>
    <w:rsid w:val="00183A1B"/>
    <w:rsid w:val="0018488D"/>
    <w:rsid w:val="00184D24"/>
    <w:rsid w:val="0018514E"/>
    <w:rsid w:val="001861CC"/>
    <w:rsid w:val="00186AE9"/>
    <w:rsid w:val="00186F5D"/>
    <w:rsid w:val="00187515"/>
    <w:rsid w:val="00187A24"/>
    <w:rsid w:val="00190DF5"/>
    <w:rsid w:val="001911FF"/>
    <w:rsid w:val="00192C9F"/>
    <w:rsid w:val="00193447"/>
    <w:rsid w:val="0019433C"/>
    <w:rsid w:val="00194F2F"/>
    <w:rsid w:val="001966ED"/>
    <w:rsid w:val="00196D4A"/>
    <w:rsid w:val="0019726C"/>
    <w:rsid w:val="001973D7"/>
    <w:rsid w:val="001A0155"/>
    <w:rsid w:val="001A0B82"/>
    <w:rsid w:val="001A13F9"/>
    <w:rsid w:val="001A1747"/>
    <w:rsid w:val="001A1AFE"/>
    <w:rsid w:val="001A1BD9"/>
    <w:rsid w:val="001A27F2"/>
    <w:rsid w:val="001A312A"/>
    <w:rsid w:val="001A35FB"/>
    <w:rsid w:val="001A3856"/>
    <w:rsid w:val="001A40BD"/>
    <w:rsid w:val="001A496E"/>
    <w:rsid w:val="001A59B9"/>
    <w:rsid w:val="001A6090"/>
    <w:rsid w:val="001A6AFE"/>
    <w:rsid w:val="001A731C"/>
    <w:rsid w:val="001A75CE"/>
    <w:rsid w:val="001B4968"/>
    <w:rsid w:val="001B49D1"/>
    <w:rsid w:val="001B49FB"/>
    <w:rsid w:val="001B4D8B"/>
    <w:rsid w:val="001B55A9"/>
    <w:rsid w:val="001B55E1"/>
    <w:rsid w:val="001B5A69"/>
    <w:rsid w:val="001B6A9A"/>
    <w:rsid w:val="001B72A3"/>
    <w:rsid w:val="001B76BF"/>
    <w:rsid w:val="001B781A"/>
    <w:rsid w:val="001B786C"/>
    <w:rsid w:val="001C0C53"/>
    <w:rsid w:val="001C0EE6"/>
    <w:rsid w:val="001C1D5F"/>
    <w:rsid w:val="001C377F"/>
    <w:rsid w:val="001C3914"/>
    <w:rsid w:val="001C3B46"/>
    <w:rsid w:val="001C5BA5"/>
    <w:rsid w:val="001C6832"/>
    <w:rsid w:val="001C79AE"/>
    <w:rsid w:val="001D1221"/>
    <w:rsid w:val="001D3470"/>
    <w:rsid w:val="001D3A7D"/>
    <w:rsid w:val="001D4333"/>
    <w:rsid w:val="001D4FC2"/>
    <w:rsid w:val="001D5FE7"/>
    <w:rsid w:val="001D69BD"/>
    <w:rsid w:val="001D6FAF"/>
    <w:rsid w:val="001E211A"/>
    <w:rsid w:val="001E28DB"/>
    <w:rsid w:val="001E3648"/>
    <w:rsid w:val="001E3DA8"/>
    <w:rsid w:val="001E423A"/>
    <w:rsid w:val="001E59C2"/>
    <w:rsid w:val="001E5D56"/>
    <w:rsid w:val="001E613B"/>
    <w:rsid w:val="001E674C"/>
    <w:rsid w:val="001E69A2"/>
    <w:rsid w:val="001E789C"/>
    <w:rsid w:val="001E79C3"/>
    <w:rsid w:val="001F0377"/>
    <w:rsid w:val="001F063B"/>
    <w:rsid w:val="001F09B6"/>
    <w:rsid w:val="001F2C12"/>
    <w:rsid w:val="001F5A28"/>
    <w:rsid w:val="001F5E0B"/>
    <w:rsid w:val="001F60B9"/>
    <w:rsid w:val="001F6CAA"/>
    <w:rsid w:val="001F7CE2"/>
    <w:rsid w:val="002000FE"/>
    <w:rsid w:val="00200355"/>
    <w:rsid w:val="00200A6B"/>
    <w:rsid w:val="00200AF8"/>
    <w:rsid w:val="00202350"/>
    <w:rsid w:val="0020276B"/>
    <w:rsid w:val="00202C08"/>
    <w:rsid w:val="00203929"/>
    <w:rsid w:val="002039FF"/>
    <w:rsid w:val="00204080"/>
    <w:rsid w:val="00204BED"/>
    <w:rsid w:val="002054FB"/>
    <w:rsid w:val="00207315"/>
    <w:rsid w:val="00210034"/>
    <w:rsid w:val="002111D0"/>
    <w:rsid w:val="00211D6C"/>
    <w:rsid w:val="0021200B"/>
    <w:rsid w:val="002127E1"/>
    <w:rsid w:val="00213032"/>
    <w:rsid w:val="002156EF"/>
    <w:rsid w:val="00215C9D"/>
    <w:rsid w:val="00216107"/>
    <w:rsid w:val="002164B8"/>
    <w:rsid w:val="00216D3E"/>
    <w:rsid w:val="00216E60"/>
    <w:rsid w:val="00216F7E"/>
    <w:rsid w:val="002200E5"/>
    <w:rsid w:val="002206A5"/>
    <w:rsid w:val="0022187D"/>
    <w:rsid w:val="0022268B"/>
    <w:rsid w:val="00222832"/>
    <w:rsid w:val="00222A58"/>
    <w:rsid w:val="00222C26"/>
    <w:rsid w:val="00222D9A"/>
    <w:rsid w:val="00223FE7"/>
    <w:rsid w:val="00224650"/>
    <w:rsid w:val="00224B4B"/>
    <w:rsid w:val="00225A45"/>
    <w:rsid w:val="00227BFA"/>
    <w:rsid w:val="00227E85"/>
    <w:rsid w:val="00227FDC"/>
    <w:rsid w:val="002306BE"/>
    <w:rsid w:val="0023182D"/>
    <w:rsid w:val="00231E03"/>
    <w:rsid w:val="0023502F"/>
    <w:rsid w:val="00236CC2"/>
    <w:rsid w:val="0023721D"/>
    <w:rsid w:val="0023738C"/>
    <w:rsid w:val="002376A3"/>
    <w:rsid w:val="002379A2"/>
    <w:rsid w:val="00237F39"/>
    <w:rsid w:val="00240363"/>
    <w:rsid w:val="00240429"/>
    <w:rsid w:val="00240694"/>
    <w:rsid w:val="002427C8"/>
    <w:rsid w:val="002443C7"/>
    <w:rsid w:val="00244C85"/>
    <w:rsid w:val="00244DBA"/>
    <w:rsid w:val="002478CA"/>
    <w:rsid w:val="002505AA"/>
    <w:rsid w:val="00250935"/>
    <w:rsid w:val="00250A4D"/>
    <w:rsid w:val="00250BB5"/>
    <w:rsid w:val="00252CEB"/>
    <w:rsid w:val="00252EC0"/>
    <w:rsid w:val="00252EDB"/>
    <w:rsid w:val="00253133"/>
    <w:rsid w:val="00254049"/>
    <w:rsid w:val="00255617"/>
    <w:rsid w:val="0025703A"/>
    <w:rsid w:val="002579A0"/>
    <w:rsid w:val="00260452"/>
    <w:rsid w:val="0026048B"/>
    <w:rsid w:val="00260918"/>
    <w:rsid w:val="00261075"/>
    <w:rsid w:val="00261104"/>
    <w:rsid w:val="0026186C"/>
    <w:rsid w:val="00261AEE"/>
    <w:rsid w:val="00262324"/>
    <w:rsid w:val="002629C4"/>
    <w:rsid w:val="002633E6"/>
    <w:rsid w:val="00263AB2"/>
    <w:rsid w:val="00264C03"/>
    <w:rsid w:val="00265BF4"/>
    <w:rsid w:val="002661A3"/>
    <w:rsid w:val="0026718A"/>
    <w:rsid w:val="00267244"/>
    <w:rsid w:val="0026731A"/>
    <w:rsid w:val="0026753F"/>
    <w:rsid w:val="002678D3"/>
    <w:rsid w:val="002678D9"/>
    <w:rsid w:val="002678F2"/>
    <w:rsid w:val="002679C3"/>
    <w:rsid w:val="00267B27"/>
    <w:rsid w:val="00267D6A"/>
    <w:rsid w:val="00270073"/>
    <w:rsid w:val="002701D1"/>
    <w:rsid w:val="002707EA"/>
    <w:rsid w:val="002710A8"/>
    <w:rsid w:val="00272129"/>
    <w:rsid w:val="00272491"/>
    <w:rsid w:val="00274528"/>
    <w:rsid w:val="002751DC"/>
    <w:rsid w:val="00275647"/>
    <w:rsid w:val="00275A4F"/>
    <w:rsid w:val="00275A83"/>
    <w:rsid w:val="0027616B"/>
    <w:rsid w:val="0027650B"/>
    <w:rsid w:val="00277309"/>
    <w:rsid w:val="00280226"/>
    <w:rsid w:val="00281321"/>
    <w:rsid w:val="00282017"/>
    <w:rsid w:val="00282613"/>
    <w:rsid w:val="002829AA"/>
    <w:rsid w:val="0028322C"/>
    <w:rsid w:val="002836C8"/>
    <w:rsid w:val="0028395F"/>
    <w:rsid w:val="00283D2E"/>
    <w:rsid w:val="00284054"/>
    <w:rsid w:val="002847B6"/>
    <w:rsid w:val="002850C9"/>
    <w:rsid w:val="00286455"/>
    <w:rsid w:val="00287C8D"/>
    <w:rsid w:val="00290125"/>
    <w:rsid w:val="00291923"/>
    <w:rsid w:val="00291BE7"/>
    <w:rsid w:val="0029261A"/>
    <w:rsid w:val="00293331"/>
    <w:rsid w:val="00294416"/>
    <w:rsid w:val="00294613"/>
    <w:rsid w:val="00294E57"/>
    <w:rsid w:val="00294FEF"/>
    <w:rsid w:val="002961B8"/>
    <w:rsid w:val="00297348"/>
    <w:rsid w:val="002A1105"/>
    <w:rsid w:val="002A1303"/>
    <w:rsid w:val="002A1606"/>
    <w:rsid w:val="002A2799"/>
    <w:rsid w:val="002A4C24"/>
    <w:rsid w:val="002A61B9"/>
    <w:rsid w:val="002A6A79"/>
    <w:rsid w:val="002A7857"/>
    <w:rsid w:val="002A790F"/>
    <w:rsid w:val="002A7E2F"/>
    <w:rsid w:val="002B0438"/>
    <w:rsid w:val="002B0643"/>
    <w:rsid w:val="002B1DE3"/>
    <w:rsid w:val="002B2375"/>
    <w:rsid w:val="002B3F4A"/>
    <w:rsid w:val="002B400F"/>
    <w:rsid w:val="002B40C9"/>
    <w:rsid w:val="002B4CAD"/>
    <w:rsid w:val="002B57EF"/>
    <w:rsid w:val="002B674D"/>
    <w:rsid w:val="002B7E9A"/>
    <w:rsid w:val="002C0FBA"/>
    <w:rsid w:val="002C316F"/>
    <w:rsid w:val="002C3B10"/>
    <w:rsid w:val="002C4A7B"/>
    <w:rsid w:val="002C5734"/>
    <w:rsid w:val="002C6D44"/>
    <w:rsid w:val="002C7118"/>
    <w:rsid w:val="002C7A0F"/>
    <w:rsid w:val="002D0371"/>
    <w:rsid w:val="002D0712"/>
    <w:rsid w:val="002D0812"/>
    <w:rsid w:val="002D08E3"/>
    <w:rsid w:val="002D0E6A"/>
    <w:rsid w:val="002D1DE2"/>
    <w:rsid w:val="002D21D9"/>
    <w:rsid w:val="002D2D2D"/>
    <w:rsid w:val="002D34C5"/>
    <w:rsid w:val="002D36A9"/>
    <w:rsid w:val="002D4DAD"/>
    <w:rsid w:val="002D5353"/>
    <w:rsid w:val="002D5D72"/>
    <w:rsid w:val="002D63CA"/>
    <w:rsid w:val="002D6604"/>
    <w:rsid w:val="002D6645"/>
    <w:rsid w:val="002D7576"/>
    <w:rsid w:val="002D789F"/>
    <w:rsid w:val="002D7C5D"/>
    <w:rsid w:val="002D7F38"/>
    <w:rsid w:val="002E03EE"/>
    <w:rsid w:val="002E04DB"/>
    <w:rsid w:val="002E127A"/>
    <w:rsid w:val="002E1547"/>
    <w:rsid w:val="002E1D11"/>
    <w:rsid w:val="002E3062"/>
    <w:rsid w:val="002E4D2C"/>
    <w:rsid w:val="002E5188"/>
    <w:rsid w:val="002E556E"/>
    <w:rsid w:val="002E5710"/>
    <w:rsid w:val="002E5B4F"/>
    <w:rsid w:val="002E6359"/>
    <w:rsid w:val="002E7F4B"/>
    <w:rsid w:val="002E7F76"/>
    <w:rsid w:val="002F08E0"/>
    <w:rsid w:val="002F0D4F"/>
    <w:rsid w:val="002F0F97"/>
    <w:rsid w:val="002F15F3"/>
    <w:rsid w:val="002F2EB0"/>
    <w:rsid w:val="002F3104"/>
    <w:rsid w:val="002F3818"/>
    <w:rsid w:val="002F458C"/>
    <w:rsid w:val="002F46F6"/>
    <w:rsid w:val="00300435"/>
    <w:rsid w:val="003015B4"/>
    <w:rsid w:val="00301743"/>
    <w:rsid w:val="003026C4"/>
    <w:rsid w:val="003028E6"/>
    <w:rsid w:val="00303C69"/>
    <w:rsid w:val="00303D6D"/>
    <w:rsid w:val="003044A9"/>
    <w:rsid w:val="003048A4"/>
    <w:rsid w:val="00304942"/>
    <w:rsid w:val="0030499B"/>
    <w:rsid w:val="00304A7C"/>
    <w:rsid w:val="00304DAF"/>
    <w:rsid w:val="00304DDE"/>
    <w:rsid w:val="00305600"/>
    <w:rsid w:val="00305C54"/>
    <w:rsid w:val="00306A33"/>
    <w:rsid w:val="00306B5D"/>
    <w:rsid w:val="003107D9"/>
    <w:rsid w:val="00311A4E"/>
    <w:rsid w:val="0031221F"/>
    <w:rsid w:val="00312C81"/>
    <w:rsid w:val="00312EC9"/>
    <w:rsid w:val="00312EF1"/>
    <w:rsid w:val="00312F59"/>
    <w:rsid w:val="003130A4"/>
    <w:rsid w:val="003131A0"/>
    <w:rsid w:val="003134D2"/>
    <w:rsid w:val="00314799"/>
    <w:rsid w:val="00315A77"/>
    <w:rsid w:val="0031690D"/>
    <w:rsid w:val="00316F4E"/>
    <w:rsid w:val="003175FD"/>
    <w:rsid w:val="00320E35"/>
    <w:rsid w:val="00321315"/>
    <w:rsid w:val="00321C0C"/>
    <w:rsid w:val="00321F7C"/>
    <w:rsid w:val="00322F63"/>
    <w:rsid w:val="00323908"/>
    <w:rsid w:val="003249D6"/>
    <w:rsid w:val="00325845"/>
    <w:rsid w:val="0032599D"/>
    <w:rsid w:val="003264BB"/>
    <w:rsid w:val="00330E35"/>
    <w:rsid w:val="00332EB9"/>
    <w:rsid w:val="0033343A"/>
    <w:rsid w:val="0033429E"/>
    <w:rsid w:val="0033452C"/>
    <w:rsid w:val="00335007"/>
    <w:rsid w:val="003350FC"/>
    <w:rsid w:val="00335BAF"/>
    <w:rsid w:val="003367D6"/>
    <w:rsid w:val="003374E0"/>
    <w:rsid w:val="0033789E"/>
    <w:rsid w:val="003378A5"/>
    <w:rsid w:val="00337959"/>
    <w:rsid w:val="00337F71"/>
    <w:rsid w:val="00340281"/>
    <w:rsid w:val="00340370"/>
    <w:rsid w:val="00341247"/>
    <w:rsid w:val="003416BA"/>
    <w:rsid w:val="00341E2A"/>
    <w:rsid w:val="00342399"/>
    <w:rsid w:val="00342E02"/>
    <w:rsid w:val="0034320B"/>
    <w:rsid w:val="00343549"/>
    <w:rsid w:val="00343D22"/>
    <w:rsid w:val="00344F66"/>
    <w:rsid w:val="0034609E"/>
    <w:rsid w:val="003468F7"/>
    <w:rsid w:val="00346BB8"/>
    <w:rsid w:val="00347101"/>
    <w:rsid w:val="00350855"/>
    <w:rsid w:val="00350F37"/>
    <w:rsid w:val="003514FF"/>
    <w:rsid w:val="00351DA8"/>
    <w:rsid w:val="00353860"/>
    <w:rsid w:val="00353E3E"/>
    <w:rsid w:val="00354D7A"/>
    <w:rsid w:val="00355FFA"/>
    <w:rsid w:val="00356CC0"/>
    <w:rsid w:val="00357B51"/>
    <w:rsid w:val="00360CA9"/>
    <w:rsid w:val="00361D5E"/>
    <w:rsid w:val="00361FD0"/>
    <w:rsid w:val="00363161"/>
    <w:rsid w:val="00364E3B"/>
    <w:rsid w:val="0036502F"/>
    <w:rsid w:val="00365087"/>
    <w:rsid w:val="00365170"/>
    <w:rsid w:val="00365833"/>
    <w:rsid w:val="00365B13"/>
    <w:rsid w:val="003668E6"/>
    <w:rsid w:val="00366C47"/>
    <w:rsid w:val="003672D8"/>
    <w:rsid w:val="0037000B"/>
    <w:rsid w:val="003708CA"/>
    <w:rsid w:val="00371228"/>
    <w:rsid w:val="003713D1"/>
    <w:rsid w:val="0037148B"/>
    <w:rsid w:val="00373412"/>
    <w:rsid w:val="00373904"/>
    <w:rsid w:val="00373DE0"/>
    <w:rsid w:val="0037559B"/>
    <w:rsid w:val="00375C5E"/>
    <w:rsid w:val="003767F6"/>
    <w:rsid w:val="00376AF9"/>
    <w:rsid w:val="00377ECC"/>
    <w:rsid w:val="00382038"/>
    <w:rsid w:val="00382046"/>
    <w:rsid w:val="0038213E"/>
    <w:rsid w:val="003824FD"/>
    <w:rsid w:val="00383BF5"/>
    <w:rsid w:val="003849D4"/>
    <w:rsid w:val="00384B9B"/>
    <w:rsid w:val="00386FA0"/>
    <w:rsid w:val="0038702D"/>
    <w:rsid w:val="00387701"/>
    <w:rsid w:val="00387824"/>
    <w:rsid w:val="00390E89"/>
    <w:rsid w:val="00391617"/>
    <w:rsid w:val="00391717"/>
    <w:rsid w:val="003925FB"/>
    <w:rsid w:val="003929D1"/>
    <w:rsid w:val="00393BDE"/>
    <w:rsid w:val="0039447D"/>
    <w:rsid w:val="00395755"/>
    <w:rsid w:val="0039656C"/>
    <w:rsid w:val="00396AB2"/>
    <w:rsid w:val="0039775A"/>
    <w:rsid w:val="003978A1"/>
    <w:rsid w:val="003A2F81"/>
    <w:rsid w:val="003A3BE4"/>
    <w:rsid w:val="003A3DA5"/>
    <w:rsid w:val="003A3E53"/>
    <w:rsid w:val="003A62AA"/>
    <w:rsid w:val="003A62DA"/>
    <w:rsid w:val="003A643A"/>
    <w:rsid w:val="003A6BD4"/>
    <w:rsid w:val="003A7326"/>
    <w:rsid w:val="003B008E"/>
    <w:rsid w:val="003B028D"/>
    <w:rsid w:val="003B032B"/>
    <w:rsid w:val="003B19C0"/>
    <w:rsid w:val="003B1EE8"/>
    <w:rsid w:val="003B200D"/>
    <w:rsid w:val="003B29E8"/>
    <w:rsid w:val="003B34FF"/>
    <w:rsid w:val="003B3EEE"/>
    <w:rsid w:val="003B40F3"/>
    <w:rsid w:val="003B48F4"/>
    <w:rsid w:val="003B4F93"/>
    <w:rsid w:val="003B6406"/>
    <w:rsid w:val="003C042B"/>
    <w:rsid w:val="003C1B30"/>
    <w:rsid w:val="003C2344"/>
    <w:rsid w:val="003C258F"/>
    <w:rsid w:val="003C27EE"/>
    <w:rsid w:val="003C35CF"/>
    <w:rsid w:val="003C3B5D"/>
    <w:rsid w:val="003C5CB9"/>
    <w:rsid w:val="003C606D"/>
    <w:rsid w:val="003C61A1"/>
    <w:rsid w:val="003C6276"/>
    <w:rsid w:val="003C6D25"/>
    <w:rsid w:val="003C70FA"/>
    <w:rsid w:val="003C76B8"/>
    <w:rsid w:val="003C7C9E"/>
    <w:rsid w:val="003D0904"/>
    <w:rsid w:val="003D163E"/>
    <w:rsid w:val="003D1703"/>
    <w:rsid w:val="003D1C38"/>
    <w:rsid w:val="003D2288"/>
    <w:rsid w:val="003D2872"/>
    <w:rsid w:val="003D2DB7"/>
    <w:rsid w:val="003D3A78"/>
    <w:rsid w:val="003D413A"/>
    <w:rsid w:val="003D4286"/>
    <w:rsid w:val="003D434C"/>
    <w:rsid w:val="003D47E4"/>
    <w:rsid w:val="003D4EF1"/>
    <w:rsid w:val="003D5EF4"/>
    <w:rsid w:val="003D65DE"/>
    <w:rsid w:val="003D67B6"/>
    <w:rsid w:val="003D7610"/>
    <w:rsid w:val="003E0222"/>
    <w:rsid w:val="003E04B5"/>
    <w:rsid w:val="003E06DB"/>
    <w:rsid w:val="003E3322"/>
    <w:rsid w:val="003E34DF"/>
    <w:rsid w:val="003E357E"/>
    <w:rsid w:val="003E6329"/>
    <w:rsid w:val="003E64E6"/>
    <w:rsid w:val="003E686C"/>
    <w:rsid w:val="003E6871"/>
    <w:rsid w:val="003E6B86"/>
    <w:rsid w:val="003E79DC"/>
    <w:rsid w:val="003E7BFB"/>
    <w:rsid w:val="003F06C8"/>
    <w:rsid w:val="003F11FF"/>
    <w:rsid w:val="003F1516"/>
    <w:rsid w:val="003F3FD9"/>
    <w:rsid w:val="003F494C"/>
    <w:rsid w:val="003F4F37"/>
    <w:rsid w:val="003F5C07"/>
    <w:rsid w:val="003F73A3"/>
    <w:rsid w:val="003F7426"/>
    <w:rsid w:val="003F7EE6"/>
    <w:rsid w:val="0040046D"/>
    <w:rsid w:val="00401B39"/>
    <w:rsid w:val="00402160"/>
    <w:rsid w:val="0040427F"/>
    <w:rsid w:val="004043D9"/>
    <w:rsid w:val="004046BF"/>
    <w:rsid w:val="00404A3E"/>
    <w:rsid w:val="00404D14"/>
    <w:rsid w:val="00405698"/>
    <w:rsid w:val="00405BCC"/>
    <w:rsid w:val="00406859"/>
    <w:rsid w:val="00406CB8"/>
    <w:rsid w:val="0040749A"/>
    <w:rsid w:val="00411140"/>
    <w:rsid w:val="00411B4F"/>
    <w:rsid w:val="00413CFA"/>
    <w:rsid w:val="00413D37"/>
    <w:rsid w:val="00414503"/>
    <w:rsid w:val="004151D1"/>
    <w:rsid w:val="00415749"/>
    <w:rsid w:val="00415B39"/>
    <w:rsid w:val="0041629E"/>
    <w:rsid w:val="004162E3"/>
    <w:rsid w:val="0041630A"/>
    <w:rsid w:val="00416346"/>
    <w:rsid w:val="0041655D"/>
    <w:rsid w:val="00416A2B"/>
    <w:rsid w:val="004175CB"/>
    <w:rsid w:val="00417C8D"/>
    <w:rsid w:val="00420A6D"/>
    <w:rsid w:val="0042178E"/>
    <w:rsid w:val="004219EB"/>
    <w:rsid w:val="004228D9"/>
    <w:rsid w:val="00424347"/>
    <w:rsid w:val="00424A01"/>
    <w:rsid w:val="00424D94"/>
    <w:rsid w:val="00425137"/>
    <w:rsid w:val="00427105"/>
    <w:rsid w:val="00427AF5"/>
    <w:rsid w:val="004302B0"/>
    <w:rsid w:val="0043094B"/>
    <w:rsid w:val="00430FF6"/>
    <w:rsid w:val="00431E55"/>
    <w:rsid w:val="004334F9"/>
    <w:rsid w:val="00433D2E"/>
    <w:rsid w:val="004348D5"/>
    <w:rsid w:val="00434B15"/>
    <w:rsid w:val="00436B41"/>
    <w:rsid w:val="00440812"/>
    <w:rsid w:val="00442106"/>
    <w:rsid w:val="00442F09"/>
    <w:rsid w:val="004447DD"/>
    <w:rsid w:val="00444E23"/>
    <w:rsid w:val="004468C4"/>
    <w:rsid w:val="0044792F"/>
    <w:rsid w:val="00447DA1"/>
    <w:rsid w:val="004503E5"/>
    <w:rsid w:val="004503EB"/>
    <w:rsid w:val="004505F7"/>
    <w:rsid w:val="004512E7"/>
    <w:rsid w:val="00452937"/>
    <w:rsid w:val="00452C81"/>
    <w:rsid w:val="00452D80"/>
    <w:rsid w:val="0045388D"/>
    <w:rsid w:val="004556F0"/>
    <w:rsid w:val="00455F82"/>
    <w:rsid w:val="0045631F"/>
    <w:rsid w:val="004565ED"/>
    <w:rsid w:val="004578C6"/>
    <w:rsid w:val="00460369"/>
    <w:rsid w:val="004603BB"/>
    <w:rsid w:val="004606CE"/>
    <w:rsid w:val="00460A94"/>
    <w:rsid w:val="00460B10"/>
    <w:rsid w:val="00462995"/>
    <w:rsid w:val="0046299B"/>
    <w:rsid w:val="00462AFD"/>
    <w:rsid w:val="00464464"/>
    <w:rsid w:val="0046488F"/>
    <w:rsid w:val="00464E63"/>
    <w:rsid w:val="00464F17"/>
    <w:rsid w:val="004655E3"/>
    <w:rsid w:val="004663BB"/>
    <w:rsid w:val="00466EBC"/>
    <w:rsid w:val="00466F6C"/>
    <w:rsid w:val="00467461"/>
    <w:rsid w:val="0047003F"/>
    <w:rsid w:val="00470778"/>
    <w:rsid w:val="0047082D"/>
    <w:rsid w:val="004712E7"/>
    <w:rsid w:val="00471763"/>
    <w:rsid w:val="00473888"/>
    <w:rsid w:val="00473CD4"/>
    <w:rsid w:val="004747B2"/>
    <w:rsid w:val="0047515F"/>
    <w:rsid w:val="004766A4"/>
    <w:rsid w:val="0047690E"/>
    <w:rsid w:val="00480167"/>
    <w:rsid w:val="00480471"/>
    <w:rsid w:val="0048098D"/>
    <w:rsid w:val="00481642"/>
    <w:rsid w:val="004826E3"/>
    <w:rsid w:val="00482FF2"/>
    <w:rsid w:val="0048332E"/>
    <w:rsid w:val="0048349C"/>
    <w:rsid w:val="004838B3"/>
    <w:rsid w:val="004855C8"/>
    <w:rsid w:val="00485A83"/>
    <w:rsid w:val="0048619A"/>
    <w:rsid w:val="00486739"/>
    <w:rsid w:val="00487417"/>
    <w:rsid w:val="004874A0"/>
    <w:rsid w:val="00487DC8"/>
    <w:rsid w:val="0049005F"/>
    <w:rsid w:val="00490973"/>
    <w:rsid w:val="0049122F"/>
    <w:rsid w:val="0049184F"/>
    <w:rsid w:val="0049190B"/>
    <w:rsid w:val="00492224"/>
    <w:rsid w:val="00492407"/>
    <w:rsid w:val="00492629"/>
    <w:rsid w:val="0049310D"/>
    <w:rsid w:val="00494430"/>
    <w:rsid w:val="00494C57"/>
    <w:rsid w:val="0049664C"/>
    <w:rsid w:val="004976AE"/>
    <w:rsid w:val="00497E8E"/>
    <w:rsid w:val="004A07CE"/>
    <w:rsid w:val="004A089E"/>
    <w:rsid w:val="004A0FE6"/>
    <w:rsid w:val="004A1903"/>
    <w:rsid w:val="004A33F0"/>
    <w:rsid w:val="004A37FE"/>
    <w:rsid w:val="004A3D30"/>
    <w:rsid w:val="004A3E49"/>
    <w:rsid w:val="004A4625"/>
    <w:rsid w:val="004A4E77"/>
    <w:rsid w:val="004A537E"/>
    <w:rsid w:val="004A53ED"/>
    <w:rsid w:val="004A5968"/>
    <w:rsid w:val="004A5D4F"/>
    <w:rsid w:val="004A669F"/>
    <w:rsid w:val="004A73A2"/>
    <w:rsid w:val="004A771D"/>
    <w:rsid w:val="004B0306"/>
    <w:rsid w:val="004B07BE"/>
    <w:rsid w:val="004B12EA"/>
    <w:rsid w:val="004B18A8"/>
    <w:rsid w:val="004B3844"/>
    <w:rsid w:val="004B3D95"/>
    <w:rsid w:val="004B434D"/>
    <w:rsid w:val="004B443F"/>
    <w:rsid w:val="004B4646"/>
    <w:rsid w:val="004B49F9"/>
    <w:rsid w:val="004B4FAB"/>
    <w:rsid w:val="004B5DB8"/>
    <w:rsid w:val="004B5FD6"/>
    <w:rsid w:val="004C0226"/>
    <w:rsid w:val="004C04DA"/>
    <w:rsid w:val="004C04EF"/>
    <w:rsid w:val="004C159E"/>
    <w:rsid w:val="004C20C7"/>
    <w:rsid w:val="004C29AA"/>
    <w:rsid w:val="004C2D14"/>
    <w:rsid w:val="004C4B4A"/>
    <w:rsid w:val="004C4D9A"/>
    <w:rsid w:val="004C519E"/>
    <w:rsid w:val="004C6242"/>
    <w:rsid w:val="004C6653"/>
    <w:rsid w:val="004C7430"/>
    <w:rsid w:val="004D135E"/>
    <w:rsid w:val="004D24FA"/>
    <w:rsid w:val="004D3DBC"/>
    <w:rsid w:val="004D415C"/>
    <w:rsid w:val="004D4542"/>
    <w:rsid w:val="004D4658"/>
    <w:rsid w:val="004D6634"/>
    <w:rsid w:val="004D6E3F"/>
    <w:rsid w:val="004D6F5E"/>
    <w:rsid w:val="004D74F1"/>
    <w:rsid w:val="004D77D3"/>
    <w:rsid w:val="004D7963"/>
    <w:rsid w:val="004E095A"/>
    <w:rsid w:val="004E0E9A"/>
    <w:rsid w:val="004E223B"/>
    <w:rsid w:val="004E2DCA"/>
    <w:rsid w:val="004E3013"/>
    <w:rsid w:val="004E3A0F"/>
    <w:rsid w:val="004E4D79"/>
    <w:rsid w:val="004E61EF"/>
    <w:rsid w:val="004E639B"/>
    <w:rsid w:val="004E6DC1"/>
    <w:rsid w:val="004F0F4D"/>
    <w:rsid w:val="004F10FD"/>
    <w:rsid w:val="004F1F85"/>
    <w:rsid w:val="004F2426"/>
    <w:rsid w:val="004F293A"/>
    <w:rsid w:val="004F2FC8"/>
    <w:rsid w:val="004F526C"/>
    <w:rsid w:val="004F5F67"/>
    <w:rsid w:val="004F65E2"/>
    <w:rsid w:val="004F6A7F"/>
    <w:rsid w:val="004F7113"/>
    <w:rsid w:val="004F71CF"/>
    <w:rsid w:val="004F721D"/>
    <w:rsid w:val="004F731A"/>
    <w:rsid w:val="004F7588"/>
    <w:rsid w:val="004F7992"/>
    <w:rsid w:val="00501942"/>
    <w:rsid w:val="00501D07"/>
    <w:rsid w:val="005026BB"/>
    <w:rsid w:val="005029E4"/>
    <w:rsid w:val="00503422"/>
    <w:rsid w:val="00503DA0"/>
    <w:rsid w:val="00503DB2"/>
    <w:rsid w:val="00504A7C"/>
    <w:rsid w:val="00505331"/>
    <w:rsid w:val="00505B3A"/>
    <w:rsid w:val="00505C3A"/>
    <w:rsid w:val="005076B0"/>
    <w:rsid w:val="005108A6"/>
    <w:rsid w:val="00510CAD"/>
    <w:rsid w:val="0051105B"/>
    <w:rsid w:val="00511C85"/>
    <w:rsid w:val="005124E6"/>
    <w:rsid w:val="00512ABA"/>
    <w:rsid w:val="00512FF9"/>
    <w:rsid w:val="00513252"/>
    <w:rsid w:val="0051379E"/>
    <w:rsid w:val="00513EB4"/>
    <w:rsid w:val="005162D5"/>
    <w:rsid w:val="005166C4"/>
    <w:rsid w:val="005208AA"/>
    <w:rsid w:val="005210BE"/>
    <w:rsid w:val="00521363"/>
    <w:rsid w:val="005220DB"/>
    <w:rsid w:val="00522F4F"/>
    <w:rsid w:val="00523019"/>
    <w:rsid w:val="00524480"/>
    <w:rsid w:val="005250A3"/>
    <w:rsid w:val="005257E8"/>
    <w:rsid w:val="00525815"/>
    <w:rsid w:val="00526C42"/>
    <w:rsid w:val="00530A6B"/>
    <w:rsid w:val="00531573"/>
    <w:rsid w:val="00531881"/>
    <w:rsid w:val="00531ADD"/>
    <w:rsid w:val="00531B16"/>
    <w:rsid w:val="00531B7F"/>
    <w:rsid w:val="005325A9"/>
    <w:rsid w:val="0053292D"/>
    <w:rsid w:val="00532DA6"/>
    <w:rsid w:val="005331FA"/>
    <w:rsid w:val="005336AA"/>
    <w:rsid w:val="00534009"/>
    <w:rsid w:val="00534133"/>
    <w:rsid w:val="005348A3"/>
    <w:rsid w:val="00534ABE"/>
    <w:rsid w:val="00534B17"/>
    <w:rsid w:val="00535444"/>
    <w:rsid w:val="00535739"/>
    <w:rsid w:val="00536820"/>
    <w:rsid w:val="0053735F"/>
    <w:rsid w:val="0053781B"/>
    <w:rsid w:val="00537A84"/>
    <w:rsid w:val="00537EDE"/>
    <w:rsid w:val="005407F6"/>
    <w:rsid w:val="00541015"/>
    <w:rsid w:val="005411ED"/>
    <w:rsid w:val="00541CD4"/>
    <w:rsid w:val="00542127"/>
    <w:rsid w:val="005425DC"/>
    <w:rsid w:val="00542A2F"/>
    <w:rsid w:val="00542FF0"/>
    <w:rsid w:val="005433D3"/>
    <w:rsid w:val="00543449"/>
    <w:rsid w:val="005443CE"/>
    <w:rsid w:val="00545B9A"/>
    <w:rsid w:val="005464A8"/>
    <w:rsid w:val="00547719"/>
    <w:rsid w:val="00547D2F"/>
    <w:rsid w:val="005503A0"/>
    <w:rsid w:val="00550B4B"/>
    <w:rsid w:val="00551169"/>
    <w:rsid w:val="00551FD2"/>
    <w:rsid w:val="0055252B"/>
    <w:rsid w:val="005527C2"/>
    <w:rsid w:val="005538A3"/>
    <w:rsid w:val="00553E5C"/>
    <w:rsid w:val="005544E4"/>
    <w:rsid w:val="005551ED"/>
    <w:rsid w:val="005553C2"/>
    <w:rsid w:val="00556021"/>
    <w:rsid w:val="0055662F"/>
    <w:rsid w:val="0055678D"/>
    <w:rsid w:val="00556CAA"/>
    <w:rsid w:val="00556FD9"/>
    <w:rsid w:val="00560443"/>
    <w:rsid w:val="005613F1"/>
    <w:rsid w:val="00561941"/>
    <w:rsid w:val="00561AF9"/>
    <w:rsid w:val="0056304D"/>
    <w:rsid w:val="00563B17"/>
    <w:rsid w:val="00563E30"/>
    <w:rsid w:val="00563EEC"/>
    <w:rsid w:val="00564C21"/>
    <w:rsid w:val="00566460"/>
    <w:rsid w:val="005667D0"/>
    <w:rsid w:val="00567801"/>
    <w:rsid w:val="00567C3F"/>
    <w:rsid w:val="005700CC"/>
    <w:rsid w:val="00570668"/>
    <w:rsid w:val="00570677"/>
    <w:rsid w:val="0057116A"/>
    <w:rsid w:val="005712F6"/>
    <w:rsid w:val="005713B0"/>
    <w:rsid w:val="0057145D"/>
    <w:rsid w:val="00572C01"/>
    <w:rsid w:val="00573BB8"/>
    <w:rsid w:val="005743C0"/>
    <w:rsid w:val="0057484D"/>
    <w:rsid w:val="005752D5"/>
    <w:rsid w:val="005753F8"/>
    <w:rsid w:val="00575C2E"/>
    <w:rsid w:val="00575DB2"/>
    <w:rsid w:val="005765E6"/>
    <w:rsid w:val="0057783F"/>
    <w:rsid w:val="00577AF6"/>
    <w:rsid w:val="00577FBC"/>
    <w:rsid w:val="00580426"/>
    <w:rsid w:val="00581B10"/>
    <w:rsid w:val="00581BC4"/>
    <w:rsid w:val="00582286"/>
    <w:rsid w:val="0058232D"/>
    <w:rsid w:val="00583117"/>
    <w:rsid w:val="005837A4"/>
    <w:rsid w:val="0058539F"/>
    <w:rsid w:val="0058585A"/>
    <w:rsid w:val="00585F47"/>
    <w:rsid w:val="00587FBF"/>
    <w:rsid w:val="00590E0B"/>
    <w:rsid w:val="00591486"/>
    <w:rsid w:val="005919F7"/>
    <w:rsid w:val="005928DD"/>
    <w:rsid w:val="00593665"/>
    <w:rsid w:val="00594A52"/>
    <w:rsid w:val="00594C56"/>
    <w:rsid w:val="005950B0"/>
    <w:rsid w:val="00595341"/>
    <w:rsid w:val="005955D2"/>
    <w:rsid w:val="005956E5"/>
    <w:rsid w:val="005957F3"/>
    <w:rsid w:val="00595EB4"/>
    <w:rsid w:val="00596396"/>
    <w:rsid w:val="005967A1"/>
    <w:rsid w:val="00597F3B"/>
    <w:rsid w:val="005A09F8"/>
    <w:rsid w:val="005A0E0D"/>
    <w:rsid w:val="005A24EC"/>
    <w:rsid w:val="005A24F5"/>
    <w:rsid w:val="005A2DB1"/>
    <w:rsid w:val="005A2F8A"/>
    <w:rsid w:val="005A34CF"/>
    <w:rsid w:val="005A37A4"/>
    <w:rsid w:val="005A61BE"/>
    <w:rsid w:val="005A7C0B"/>
    <w:rsid w:val="005B084C"/>
    <w:rsid w:val="005B351F"/>
    <w:rsid w:val="005B4D2D"/>
    <w:rsid w:val="005B51F7"/>
    <w:rsid w:val="005B53FC"/>
    <w:rsid w:val="005B6356"/>
    <w:rsid w:val="005B6B92"/>
    <w:rsid w:val="005B7F30"/>
    <w:rsid w:val="005C0343"/>
    <w:rsid w:val="005C15D2"/>
    <w:rsid w:val="005C222E"/>
    <w:rsid w:val="005C22DE"/>
    <w:rsid w:val="005C2311"/>
    <w:rsid w:val="005C2368"/>
    <w:rsid w:val="005C27A7"/>
    <w:rsid w:val="005C32C5"/>
    <w:rsid w:val="005C3452"/>
    <w:rsid w:val="005C3B6A"/>
    <w:rsid w:val="005C4204"/>
    <w:rsid w:val="005C5376"/>
    <w:rsid w:val="005C5C58"/>
    <w:rsid w:val="005C6E1D"/>
    <w:rsid w:val="005D22A5"/>
    <w:rsid w:val="005D2BA9"/>
    <w:rsid w:val="005D3824"/>
    <w:rsid w:val="005D3BDE"/>
    <w:rsid w:val="005D4CB2"/>
    <w:rsid w:val="005D6199"/>
    <w:rsid w:val="005D7427"/>
    <w:rsid w:val="005D76AD"/>
    <w:rsid w:val="005D7A13"/>
    <w:rsid w:val="005E023A"/>
    <w:rsid w:val="005E06B4"/>
    <w:rsid w:val="005E13EA"/>
    <w:rsid w:val="005E16E4"/>
    <w:rsid w:val="005E1ED9"/>
    <w:rsid w:val="005E2E89"/>
    <w:rsid w:val="005E2FF2"/>
    <w:rsid w:val="005E3288"/>
    <w:rsid w:val="005E4B0B"/>
    <w:rsid w:val="005E57A4"/>
    <w:rsid w:val="005E5DA7"/>
    <w:rsid w:val="005E7D80"/>
    <w:rsid w:val="005F014D"/>
    <w:rsid w:val="005F01F3"/>
    <w:rsid w:val="005F1650"/>
    <w:rsid w:val="005F16B2"/>
    <w:rsid w:val="005F1A0D"/>
    <w:rsid w:val="005F2396"/>
    <w:rsid w:val="005F2B86"/>
    <w:rsid w:val="005F3E75"/>
    <w:rsid w:val="005F477E"/>
    <w:rsid w:val="005F4FC5"/>
    <w:rsid w:val="005F66ED"/>
    <w:rsid w:val="005F7582"/>
    <w:rsid w:val="005F7713"/>
    <w:rsid w:val="005F7A15"/>
    <w:rsid w:val="00600940"/>
    <w:rsid w:val="006015B3"/>
    <w:rsid w:val="006016F4"/>
    <w:rsid w:val="00601B5B"/>
    <w:rsid w:val="00601EE9"/>
    <w:rsid w:val="006029A4"/>
    <w:rsid w:val="00602D0A"/>
    <w:rsid w:val="0060302D"/>
    <w:rsid w:val="00603B7C"/>
    <w:rsid w:val="00603CCA"/>
    <w:rsid w:val="00603D05"/>
    <w:rsid w:val="00603D8E"/>
    <w:rsid w:val="00604015"/>
    <w:rsid w:val="00605595"/>
    <w:rsid w:val="00605BBE"/>
    <w:rsid w:val="00605D27"/>
    <w:rsid w:val="00606E29"/>
    <w:rsid w:val="006074B9"/>
    <w:rsid w:val="00607A0F"/>
    <w:rsid w:val="00610332"/>
    <w:rsid w:val="006104D6"/>
    <w:rsid w:val="00612687"/>
    <w:rsid w:val="006126A1"/>
    <w:rsid w:val="00612ABA"/>
    <w:rsid w:val="00612F88"/>
    <w:rsid w:val="00614201"/>
    <w:rsid w:val="006145BD"/>
    <w:rsid w:val="006145E0"/>
    <w:rsid w:val="00614CAA"/>
    <w:rsid w:val="00614D8E"/>
    <w:rsid w:val="00615267"/>
    <w:rsid w:val="00617957"/>
    <w:rsid w:val="006179D0"/>
    <w:rsid w:val="00617F44"/>
    <w:rsid w:val="00620149"/>
    <w:rsid w:val="00620241"/>
    <w:rsid w:val="00620CA5"/>
    <w:rsid w:val="00621246"/>
    <w:rsid w:val="00622ABE"/>
    <w:rsid w:val="00622F2B"/>
    <w:rsid w:val="006234A2"/>
    <w:rsid w:val="006237B5"/>
    <w:rsid w:val="00623FEF"/>
    <w:rsid w:val="00624872"/>
    <w:rsid w:val="0062554E"/>
    <w:rsid w:val="00625E09"/>
    <w:rsid w:val="006266C9"/>
    <w:rsid w:val="00626C51"/>
    <w:rsid w:val="0062729D"/>
    <w:rsid w:val="006273B2"/>
    <w:rsid w:val="00630863"/>
    <w:rsid w:val="006308F9"/>
    <w:rsid w:val="00632C2C"/>
    <w:rsid w:val="006330F7"/>
    <w:rsid w:val="00634338"/>
    <w:rsid w:val="00634783"/>
    <w:rsid w:val="006347E6"/>
    <w:rsid w:val="00634824"/>
    <w:rsid w:val="00634EB1"/>
    <w:rsid w:val="0063615B"/>
    <w:rsid w:val="006363EB"/>
    <w:rsid w:val="006365A2"/>
    <w:rsid w:val="006405D0"/>
    <w:rsid w:val="00640A01"/>
    <w:rsid w:val="006413CC"/>
    <w:rsid w:val="00641D53"/>
    <w:rsid w:val="00642472"/>
    <w:rsid w:val="00642B7F"/>
    <w:rsid w:val="0064388C"/>
    <w:rsid w:val="006438D1"/>
    <w:rsid w:val="006448E3"/>
    <w:rsid w:val="00644C13"/>
    <w:rsid w:val="00645C10"/>
    <w:rsid w:val="00645CE7"/>
    <w:rsid w:val="00647165"/>
    <w:rsid w:val="0064726A"/>
    <w:rsid w:val="00647606"/>
    <w:rsid w:val="006476BD"/>
    <w:rsid w:val="00647778"/>
    <w:rsid w:val="0064777A"/>
    <w:rsid w:val="00650864"/>
    <w:rsid w:val="00650D2E"/>
    <w:rsid w:val="00651A85"/>
    <w:rsid w:val="00652B72"/>
    <w:rsid w:val="00653602"/>
    <w:rsid w:val="00653D5D"/>
    <w:rsid w:val="00653D88"/>
    <w:rsid w:val="00654FDC"/>
    <w:rsid w:val="00655726"/>
    <w:rsid w:val="00655CBA"/>
    <w:rsid w:val="00655E52"/>
    <w:rsid w:val="00655FDA"/>
    <w:rsid w:val="006562A1"/>
    <w:rsid w:val="006567F6"/>
    <w:rsid w:val="0065682F"/>
    <w:rsid w:val="00656C50"/>
    <w:rsid w:val="00657144"/>
    <w:rsid w:val="00657340"/>
    <w:rsid w:val="0066007F"/>
    <w:rsid w:val="00660D0D"/>
    <w:rsid w:val="0066168F"/>
    <w:rsid w:val="00661DA6"/>
    <w:rsid w:val="00662DED"/>
    <w:rsid w:val="00663BD0"/>
    <w:rsid w:val="00664750"/>
    <w:rsid w:val="00664BF3"/>
    <w:rsid w:val="00664C85"/>
    <w:rsid w:val="00664FD7"/>
    <w:rsid w:val="00665604"/>
    <w:rsid w:val="00665C28"/>
    <w:rsid w:val="0066617F"/>
    <w:rsid w:val="006705DD"/>
    <w:rsid w:val="0067136D"/>
    <w:rsid w:val="00671542"/>
    <w:rsid w:val="00671FA7"/>
    <w:rsid w:val="00671FD7"/>
    <w:rsid w:val="006727E0"/>
    <w:rsid w:val="00672AA0"/>
    <w:rsid w:val="00672E07"/>
    <w:rsid w:val="0067344B"/>
    <w:rsid w:val="00673DC9"/>
    <w:rsid w:val="00674BFB"/>
    <w:rsid w:val="00674EF0"/>
    <w:rsid w:val="00675C48"/>
    <w:rsid w:val="00675F20"/>
    <w:rsid w:val="00677630"/>
    <w:rsid w:val="00681123"/>
    <w:rsid w:val="006811D1"/>
    <w:rsid w:val="006811FB"/>
    <w:rsid w:val="00682044"/>
    <w:rsid w:val="00683F2F"/>
    <w:rsid w:val="0068449B"/>
    <w:rsid w:val="00684722"/>
    <w:rsid w:val="00687606"/>
    <w:rsid w:val="006902E1"/>
    <w:rsid w:val="0069032B"/>
    <w:rsid w:val="00690BED"/>
    <w:rsid w:val="006911FA"/>
    <w:rsid w:val="00691EEC"/>
    <w:rsid w:val="00692ACD"/>
    <w:rsid w:val="00692E4D"/>
    <w:rsid w:val="00692ECC"/>
    <w:rsid w:val="006931F9"/>
    <w:rsid w:val="00693E87"/>
    <w:rsid w:val="00694ADC"/>
    <w:rsid w:val="00695373"/>
    <w:rsid w:val="00695407"/>
    <w:rsid w:val="006959BF"/>
    <w:rsid w:val="00695F23"/>
    <w:rsid w:val="00697857"/>
    <w:rsid w:val="00697955"/>
    <w:rsid w:val="00697A21"/>
    <w:rsid w:val="00697F4C"/>
    <w:rsid w:val="006A0744"/>
    <w:rsid w:val="006A1864"/>
    <w:rsid w:val="006A2902"/>
    <w:rsid w:val="006A2A68"/>
    <w:rsid w:val="006A2D17"/>
    <w:rsid w:val="006A30B9"/>
    <w:rsid w:val="006A33AC"/>
    <w:rsid w:val="006A3913"/>
    <w:rsid w:val="006A3F7B"/>
    <w:rsid w:val="006A57B6"/>
    <w:rsid w:val="006A67B6"/>
    <w:rsid w:val="006A67E9"/>
    <w:rsid w:val="006A79DB"/>
    <w:rsid w:val="006A7F52"/>
    <w:rsid w:val="006B0203"/>
    <w:rsid w:val="006B0672"/>
    <w:rsid w:val="006B1BC2"/>
    <w:rsid w:val="006B1BF2"/>
    <w:rsid w:val="006B1E0D"/>
    <w:rsid w:val="006B1EC8"/>
    <w:rsid w:val="006B26EC"/>
    <w:rsid w:val="006B30BA"/>
    <w:rsid w:val="006B3C90"/>
    <w:rsid w:val="006B51B2"/>
    <w:rsid w:val="006B5771"/>
    <w:rsid w:val="006B5A1E"/>
    <w:rsid w:val="006B735B"/>
    <w:rsid w:val="006B79B3"/>
    <w:rsid w:val="006C0AAF"/>
    <w:rsid w:val="006C1150"/>
    <w:rsid w:val="006C17A7"/>
    <w:rsid w:val="006C19AC"/>
    <w:rsid w:val="006C3088"/>
    <w:rsid w:val="006C32CA"/>
    <w:rsid w:val="006C3C7F"/>
    <w:rsid w:val="006C49C2"/>
    <w:rsid w:val="006C5558"/>
    <w:rsid w:val="006C5EA9"/>
    <w:rsid w:val="006C7A76"/>
    <w:rsid w:val="006D07FC"/>
    <w:rsid w:val="006D0D49"/>
    <w:rsid w:val="006D1BC7"/>
    <w:rsid w:val="006D212F"/>
    <w:rsid w:val="006D2953"/>
    <w:rsid w:val="006D2DDC"/>
    <w:rsid w:val="006D2E90"/>
    <w:rsid w:val="006D307A"/>
    <w:rsid w:val="006D39C6"/>
    <w:rsid w:val="006D499D"/>
    <w:rsid w:val="006D5ECC"/>
    <w:rsid w:val="006D65A3"/>
    <w:rsid w:val="006D66CD"/>
    <w:rsid w:val="006D6C94"/>
    <w:rsid w:val="006D6F5D"/>
    <w:rsid w:val="006D7B57"/>
    <w:rsid w:val="006E10F3"/>
    <w:rsid w:val="006E145A"/>
    <w:rsid w:val="006E2B1C"/>
    <w:rsid w:val="006E31BD"/>
    <w:rsid w:val="006E4717"/>
    <w:rsid w:val="006E4800"/>
    <w:rsid w:val="006E505F"/>
    <w:rsid w:val="006E6FD7"/>
    <w:rsid w:val="006E7B6C"/>
    <w:rsid w:val="006F0173"/>
    <w:rsid w:val="006F01E1"/>
    <w:rsid w:val="006F0BE8"/>
    <w:rsid w:val="006F2F64"/>
    <w:rsid w:val="006F30BF"/>
    <w:rsid w:val="006F41B0"/>
    <w:rsid w:val="006F41BF"/>
    <w:rsid w:val="006F4916"/>
    <w:rsid w:val="006F66E9"/>
    <w:rsid w:val="006F7A74"/>
    <w:rsid w:val="00700284"/>
    <w:rsid w:val="007002DF"/>
    <w:rsid w:val="007002E5"/>
    <w:rsid w:val="0070045C"/>
    <w:rsid w:val="00700572"/>
    <w:rsid w:val="00701DBF"/>
    <w:rsid w:val="00702791"/>
    <w:rsid w:val="0070295E"/>
    <w:rsid w:val="00702A7D"/>
    <w:rsid w:val="00702B9A"/>
    <w:rsid w:val="007031DC"/>
    <w:rsid w:val="00703379"/>
    <w:rsid w:val="00703986"/>
    <w:rsid w:val="00704638"/>
    <w:rsid w:val="00704B80"/>
    <w:rsid w:val="0070545D"/>
    <w:rsid w:val="00705F3E"/>
    <w:rsid w:val="0070602C"/>
    <w:rsid w:val="00707B7C"/>
    <w:rsid w:val="0071061F"/>
    <w:rsid w:val="007107C1"/>
    <w:rsid w:val="007114E4"/>
    <w:rsid w:val="00711E3C"/>
    <w:rsid w:val="007121D2"/>
    <w:rsid w:val="0071294F"/>
    <w:rsid w:val="00713CC5"/>
    <w:rsid w:val="00713EF6"/>
    <w:rsid w:val="007145DE"/>
    <w:rsid w:val="007146AB"/>
    <w:rsid w:val="0071471E"/>
    <w:rsid w:val="00714F89"/>
    <w:rsid w:val="007150DE"/>
    <w:rsid w:val="00716FF0"/>
    <w:rsid w:val="00717E7C"/>
    <w:rsid w:val="00721692"/>
    <w:rsid w:val="007217A5"/>
    <w:rsid w:val="00721F16"/>
    <w:rsid w:val="0072282C"/>
    <w:rsid w:val="00722F5E"/>
    <w:rsid w:val="00723194"/>
    <w:rsid w:val="007235CE"/>
    <w:rsid w:val="00723BB2"/>
    <w:rsid w:val="00724283"/>
    <w:rsid w:val="007246A3"/>
    <w:rsid w:val="00724D6A"/>
    <w:rsid w:val="007275B5"/>
    <w:rsid w:val="00727E1C"/>
    <w:rsid w:val="00730FA6"/>
    <w:rsid w:val="00732CDB"/>
    <w:rsid w:val="007332CA"/>
    <w:rsid w:val="007349EF"/>
    <w:rsid w:val="00734BF8"/>
    <w:rsid w:val="00734FFF"/>
    <w:rsid w:val="007367A0"/>
    <w:rsid w:val="007368F8"/>
    <w:rsid w:val="007378A9"/>
    <w:rsid w:val="00737F87"/>
    <w:rsid w:val="0074013C"/>
    <w:rsid w:val="0074029C"/>
    <w:rsid w:val="00741193"/>
    <w:rsid w:val="0074166D"/>
    <w:rsid w:val="00741F69"/>
    <w:rsid w:val="00743001"/>
    <w:rsid w:val="007438BA"/>
    <w:rsid w:val="00743E38"/>
    <w:rsid w:val="00743F79"/>
    <w:rsid w:val="0074431E"/>
    <w:rsid w:val="00744C50"/>
    <w:rsid w:val="00744DDC"/>
    <w:rsid w:val="00745958"/>
    <w:rsid w:val="00745C92"/>
    <w:rsid w:val="00746523"/>
    <w:rsid w:val="007466B9"/>
    <w:rsid w:val="00747C2C"/>
    <w:rsid w:val="0075019B"/>
    <w:rsid w:val="00750DBD"/>
    <w:rsid w:val="00751378"/>
    <w:rsid w:val="00751A20"/>
    <w:rsid w:val="00753CBD"/>
    <w:rsid w:val="007543BD"/>
    <w:rsid w:val="00755B53"/>
    <w:rsid w:val="007565BB"/>
    <w:rsid w:val="00757C5C"/>
    <w:rsid w:val="00757EA7"/>
    <w:rsid w:val="00760DA3"/>
    <w:rsid w:val="00761400"/>
    <w:rsid w:val="00761817"/>
    <w:rsid w:val="00762EA3"/>
    <w:rsid w:val="007630C7"/>
    <w:rsid w:val="0076338D"/>
    <w:rsid w:val="00764C7E"/>
    <w:rsid w:val="00764D7A"/>
    <w:rsid w:val="00765722"/>
    <w:rsid w:val="00767468"/>
    <w:rsid w:val="007674C1"/>
    <w:rsid w:val="00767B9D"/>
    <w:rsid w:val="00767D99"/>
    <w:rsid w:val="0077240F"/>
    <w:rsid w:val="00772CD5"/>
    <w:rsid w:val="00772E4A"/>
    <w:rsid w:val="007742FB"/>
    <w:rsid w:val="0077500B"/>
    <w:rsid w:val="00775120"/>
    <w:rsid w:val="007755BC"/>
    <w:rsid w:val="007766FF"/>
    <w:rsid w:val="007767AC"/>
    <w:rsid w:val="007768F8"/>
    <w:rsid w:val="00777513"/>
    <w:rsid w:val="00777D65"/>
    <w:rsid w:val="00780305"/>
    <w:rsid w:val="007806C2"/>
    <w:rsid w:val="00781031"/>
    <w:rsid w:val="00781055"/>
    <w:rsid w:val="00781CDF"/>
    <w:rsid w:val="00781ED2"/>
    <w:rsid w:val="0078344B"/>
    <w:rsid w:val="007843A7"/>
    <w:rsid w:val="00784476"/>
    <w:rsid w:val="00785C1F"/>
    <w:rsid w:val="00786A44"/>
    <w:rsid w:val="0079036A"/>
    <w:rsid w:val="00790599"/>
    <w:rsid w:val="0079259F"/>
    <w:rsid w:val="00792799"/>
    <w:rsid w:val="00792AFC"/>
    <w:rsid w:val="00792C49"/>
    <w:rsid w:val="00792F23"/>
    <w:rsid w:val="00792F84"/>
    <w:rsid w:val="00792F95"/>
    <w:rsid w:val="00793A0E"/>
    <w:rsid w:val="00793D24"/>
    <w:rsid w:val="00793DC6"/>
    <w:rsid w:val="007948E7"/>
    <w:rsid w:val="007950B3"/>
    <w:rsid w:val="00796973"/>
    <w:rsid w:val="00797B33"/>
    <w:rsid w:val="00797C2A"/>
    <w:rsid w:val="007A00B2"/>
    <w:rsid w:val="007A0DF8"/>
    <w:rsid w:val="007A1194"/>
    <w:rsid w:val="007A1AF8"/>
    <w:rsid w:val="007A1F41"/>
    <w:rsid w:val="007A21C5"/>
    <w:rsid w:val="007A293A"/>
    <w:rsid w:val="007A29B0"/>
    <w:rsid w:val="007A2BF2"/>
    <w:rsid w:val="007A3312"/>
    <w:rsid w:val="007A340F"/>
    <w:rsid w:val="007A3FA2"/>
    <w:rsid w:val="007A4BB6"/>
    <w:rsid w:val="007A553E"/>
    <w:rsid w:val="007A5AEB"/>
    <w:rsid w:val="007A5B2A"/>
    <w:rsid w:val="007A6B66"/>
    <w:rsid w:val="007A76E6"/>
    <w:rsid w:val="007A7D1D"/>
    <w:rsid w:val="007B04C6"/>
    <w:rsid w:val="007B0DD6"/>
    <w:rsid w:val="007B2588"/>
    <w:rsid w:val="007B299E"/>
    <w:rsid w:val="007B2E5F"/>
    <w:rsid w:val="007B30EC"/>
    <w:rsid w:val="007B32E1"/>
    <w:rsid w:val="007B3611"/>
    <w:rsid w:val="007B438D"/>
    <w:rsid w:val="007B4840"/>
    <w:rsid w:val="007B4C14"/>
    <w:rsid w:val="007B5A2F"/>
    <w:rsid w:val="007B70ED"/>
    <w:rsid w:val="007B7C94"/>
    <w:rsid w:val="007C109F"/>
    <w:rsid w:val="007C10C9"/>
    <w:rsid w:val="007C11A5"/>
    <w:rsid w:val="007C1F77"/>
    <w:rsid w:val="007C209C"/>
    <w:rsid w:val="007C26C5"/>
    <w:rsid w:val="007C3E09"/>
    <w:rsid w:val="007C3E19"/>
    <w:rsid w:val="007C3E1C"/>
    <w:rsid w:val="007C4023"/>
    <w:rsid w:val="007C42FB"/>
    <w:rsid w:val="007C49A2"/>
    <w:rsid w:val="007C52F7"/>
    <w:rsid w:val="007C59D8"/>
    <w:rsid w:val="007C5D32"/>
    <w:rsid w:val="007C621B"/>
    <w:rsid w:val="007C63A5"/>
    <w:rsid w:val="007C674C"/>
    <w:rsid w:val="007C685F"/>
    <w:rsid w:val="007C6D9F"/>
    <w:rsid w:val="007C753E"/>
    <w:rsid w:val="007D0BC3"/>
    <w:rsid w:val="007D14AE"/>
    <w:rsid w:val="007D3FC4"/>
    <w:rsid w:val="007D4255"/>
    <w:rsid w:val="007D4985"/>
    <w:rsid w:val="007D557A"/>
    <w:rsid w:val="007D5634"/>
    <w:rsid w:val="007D6A5F"/>
    <w:rsid w:val="007D6D51"/>
    <w:rsid w:val="007D79D0"/>
    <w:rsid w:val="007E0F91"/>
    <w:rsid w:val="007E1585"/>
    <w:rsid w:val="007E38B6"/>
    <w:rsid w:val="007E495B"/>
    <w:rsid w:val="007E5932"/>
    <w:rsid w:val="007E5995"/>
    <w:rsid w:val="007E5F80"/>
    <w:rsid w:val="007E69FE"/>
    <w:rsid w:val="007E704C"/>
    <w:rsid w:val="007E7580"/>
    <w:rsid w:val="007E796E"/>
    <w:rsid w:val="007E7B31"/>
    <w:rsid w:val="007E7EE6"/>
    <w:rsid w:val="007F013C"/>
    <w:rsid w:val="007F0E2D"/>
    <w:rsid w:val="007F0E9F"/>
    <w:rsid w:val="007F2F9E"/>
    <w:rsid w:val="007F3323"/>
    <w:rsid w:val="007F4F8D"/>
    <w:rsid w:val="007F5BD0"/>
    <w:rsid w:val="007F5CEB"/>
    <w:rsid w:val="007F652E"/>
    <w:rsid w:val="007F65E2"/>
    <w:rsid w:val="007F7326"/>
    <w:rsid w:val="007F75A2"/>
    <w:rsid w:val="007F75FE"/>
    <w:rsid w:val="0080021E"/>
    <w:rsid w:val="008003A5"/>
    <w:rsid w:val="008009BF"/>
    <w:rsid w:val="00804DD9"/>
    <w:rsid w:val="00805F14"/>
    <w:rsid w:val="00806E0A"/>
    <w:rsid w:val="0080796C"/>
    <w:rsid w:val="00810142"/>
    <w:rsid w:val="00811567"/>
    <w:rsid w:val="00811B2D"/>
    <w:rsid w:val="00811D0A"/>
    <w:rsid w:val="00811E64"/>
    <w:rsid w:val="00812293"/>
    <w:rsid w:val="00812721"/>
    <w:rsid w:val="00813549"/>
    <w:rsid w:val="0081417E"/>
    <w:rsid w:val="00814A6C"/>
    <w:rsid w:val="00814E76"/>
    <w:rsid w:val="00815BE8"/>
    <w:rsid w:val="008165BE"/>
    <w:rsid w:val="008165C6"/>
    <w:rsid w:val="0081661D"/>
    <w:rsid w:val="00816E7F"/>
    <w:rsid w:val="008172BD"/>
    <w:rsid w:val="00817440"/>
    <w:rsid w:val="0081749F"/>
    <w:rsid w:val="00821DE2"/>
    <w:rsid w:val="00822131"/>
    <w:rsid w:val="008225DA"/>
    <w:rsid w:val="00822908"/>
    <w:rsid w:val="008238EB"/>
    <w:rsid w:val="00824255"/>
    <w:rsid w:val="00824317"/>
    <w:rsid w:val="00824CF7"/>
    <w:rsid w:val="00826122"/>
    <w:rsid w:val="00827327"/>
    <w:rsid w:val="00827497"/>
    <w:rsid w:val="00827569"/>
    <w:rsid w:val="00827936"/>
    <w:rsid w:val="00827B04"/>
    <w:rsid w:val="00827B88"/>
    <w:rsid w:val="00827EC0"/>
    <w:rsid w:val="00830346"/>
    <w:rsid w:val="00830932"/>
    <w:rsid w:val="008310C6"/>
    <w:rsid w:val="00831CF2"/>
    <w:rsid w:val="00832E92"/>
    <w:rsid w:val="0083437A"/>
    <w:rsid w:val="008350D2"/>
    <w:rsid w:val="00836B20"/>
    <w:rsid w:val="00837021"/>
    <w:rsid w:val="0083728B"/>
    <w:rsid w:val="00837A88"/>
    <w:rsid w:val="00840B26"/>
    <w:rsid w:val="00840B29"/>
    <w:rsid w:val="00840D3E"/>
    <w:rsid w:val="00841B20"/>
    <w:rsid w:val="00842452"/>
    <w:rsid w:val="00842871"/>
    <w:rsid w:val="00842DAD"/>
    <w:rsid w:val="00843AEA"/>
    <w:rsid w:val="008444B1"/>
    <w:rsid w:val="00844F66"/>
    <w:rsid w:val="00845A10"/>
    <w:rsid w:val="00847795"/>
    <w:rsid w:val="0085026C"/>
    <w:rsid w:val="00850415"/>
    <w:rsid w:val="00850E20"/>
    <w:rsid w:val="00850EE0"/>
    <w:rsid w:val="008517DA"/>
    <w:rsid w:val="008519FB"/>
    <w:rsid w:val="00851EA2"/>
    <w:rsid w:val="00851F5C"/>
    <w:rsid w:val="008520CF"/>
    <w:rsid w:val="008523CC"/>
    <w:rsid w:val="00852AA7"/>
    <w:rsid w:val="008531A6"/>
    <w:rsid w:val="008531A7"/>
    <w:rsid w:val="00854754"/>
    <w:rsid w:val="008551F7"/>
    <w:rsid w:val="0085545F"/>
    <w:rsid w:val="008567ED"/>
    <w:rsid w:val="00856E9E"/>
    <w:rsid w:val="00856EDF"/>
    <w:rsid w:val="00857D1C"/>
    <w:rsid w:val="00860063"/>
    <w:rsid w:val="00860259"/>
    <w:rsid w:val="00860364"/>
    <w:rsid w:val="0086053A"/>
    <w:rsid w:val="00860558"/>
    <w:rsid w:val="0086092B"/>
    <w:rsid w:val="00861719"/>
    <w:rsid w:val="00861827"/>
    <w:rsid w:val="008666B3"/>
    <w:rsid w:val="008669A1"/>
    <w:rsid w:val="008672B3"/>
    <w:rsid w:val="008673D5"/>
    <w:rsid w:val="0086778C"/>
    <w:rsid w:val="008704CA"/>
    <w:rsid w:val="00871381"/>
    <w:rsid w:val="0087240D"/>
    <w:rsid w:val="008734CE"/>
    <w:rsid w:val="008735E1"/>
    <w:rsid w:val="0087393F"/>
    <w:rsid w:val="00874838"/>
    <w:rsid w:val="00877538"/>
    <w:rsid w:val="00877BE4"/>
    <w:rsid w:val="008801DA"/>
    <w:rsid w:val="00880762"/>
    <w:rsid w:val="0088097A"/>
    <w:rsid w:val="00881819"/>
    <w:rsid w:val="008844ED"/>
    <w:rsid w:val="008850CB"/>
    <w:rsid w:val="00885939"/>
    <w:rsid w:val="00886410"/>
    <w:rsid w:val="008864C7"/>
    <w:rsid w:val="008874FF"/>
    <w:rsid w:val="00887515"/>
    <w:rsid w:val="008878AD"/>
    <w:rsid w:val="0089028F"/>
    <w:rsid w:val="008921AE"/>
    <w:rsid w:val="00892229"/>
    <w:rsid w:val="0089314F"/>
    <w:rsid w:val="00894471"/>
    <w:rsid w:val="008946FE"/>
    <w:rsid w:val="008949DA"/>
    <w:rsid w:val="00894B17"/>
    <w:rsid w:val="00894C03"/>
    <w:rsid w:val="00894EF4"/>
    <w:rsid w:val="0089583E"/>
    <w:rsid w:val="00896C90"/>
    <w:rsid w:val="0089726B"/>
    <w:rsid w:val="00897276"/>
    <w:rsid w:val="008A051A"/>
    <w:rsid w:val="008A059E"/>
    <w:rsid w:val="008A112B"/>
    <w:rsid w:val="008A1172"/>
    <w:rsid w:val="008A167A"/>
    <w:rsid w:val="008A192C"/>
    <w:rsid w:val="008A1DB6"/>
    <w:rsid w:val="008A221C"/>
    <w:rsid w:val="008A2CE5"/>
    <w:rsid w:val="008A2E4B"/>
    <w:rsid w:val="008A2E86"/>
    <w:rsid w:val="008A35CD"/>
    <w:rsid w:val="008A4D4A"/>
    <w:rsid w:val="008A51EE"/>
    <w:rsid w:val="008A5290"/>
    <w:rsid w:val="008A6008"/>
    <w:rsid w:val="008A6AF4"/>
    <w:rsid w:val="008A6D96"/>
    <w:rsid w:val="008A6ED4"/>
    <w:rsid w:val="008B034E"/>
    <w:rsid w:val="008B0ADA"/>
    <w:rsid w:val="008B11B9"/>
    <w:rsid w:val="008B2C1D"/>
    <w:rsid w:val="008B329F"/>
    <w:rsid w:val="008B391B"/>
    <w:rsid w:val="008B3968"/>
    <w:rsid w:val="008B3CB8"/>
    <w:rsid w:val="008B3CEC"/>
    <w:rsid w:val="008B3E02"/>
    <w:rsid w:val="008B3E18"/>
    <w:rsid w:val="008B43D3"/>
    <w:rsid w:val="008B486F"/>
    <w:rsid w:val="008B5F20"/>
    <w:rsid w:val="008B6E57"/>
    <w:rsid w:val="008B77FA"/>
    <w:rsid w:val="008B79B9"/>
    <w:rsid w:val="008C0340"/>
    <w:rsid w:val="008C07F8"/>
    <w:rsid w:val="008C2461"/>
    <w:rsid w:val="008C26B5"/>
    <w:rsid w:val="008C49AC"/>
    <w:rsid w:val="008C5446"/>
    <w:rsid w:val="008C557B"/>
    <w:rsid w:val="008C5BFB"/>
    <w:rsid w:val="008C5D69"/>
    <w:rsid w:val="008C68F6"/>
    <w:rsid w:val="008C7266"/>
    <w:rsid w:val="008C7509"/>
    <w:rsid w:val="008C76F7"/>
    <w:rsid w:val="008C7964"/>
    <w:rsid w:val="008D07E6"/>
    <w:rsid w:val="008D1453"/>
    <w:rsid w:val="008D1A63"/>
    <w:rsid w:val="008D2DD7"/>
    <w:rsid w:val="008D3020"/>
    <w:rsid w:val="008D3CE0"/>
    <w:rsid w:val="008D450F"/>
    <w:rsid w:val="008D52A4"/>
    <w:rsid w:val="008D575B"/>
    <w:rsid w:val="008D5D38"/>
    <w:rsid w:val="008D5FC9"/>
    <w:rsid w:val="008D7670"/>
    <w:rsid w:val="008E05E9"/>
    <w:rsid w:val="008E0ABE"/>
    <w:rsid w:val="008E1004"/>
    <w:rsid w:val="008E1051"/>
    <w:rsid w:val="008E1B9F"/>
    <w:rsid w:val="008E24B2"/>
    <w:rsid w:val="008E2DA1"/>
    <w:rsid w:val="008E3772"/>
    <w:rsid w:val="008E3979"/>
    <w:rsid w:val="008E462A"/>
    <w:rsid w:val="008E576F"/>
    <w:rsid w:val="008E5967"/>
    <w:rsid w:val="008E5A23"/>
    <w:rsid w:val="008E6612"/>
    <w:rsid w:val="008E6C33"/>
    <w:rsid w:val="008E7107"/>
    <w:rsid w:val="008F0F03"/>
    <w:rsid w:val="008F19BA"/>
    <w:rsid w:val="008F1B2C"/>
    <w:rsid w:val="008F25BC"/>
    <w:rsid w:val="008F38FC"/>
    <w:rsid w:val="008F410F"/>
    <w:rsid w:val="008F4285"/>
    <w:rsid w:val="008F4E8C"/>
    <w:rsid w:val="008F5390"/>
    <w:rsid w:val="008F5482"/>
    <w:rsid w:val="008F6FAB"/>
    <w:rsid w:val="008F705A"/>
    <w:rsid w:val="008F722D"/>
    <w:rsid w:val="008F7326"/>
    <w:rsid w:val="0090033F"/>
    <w:rsid w:val="009016C9"/>
    <w:rsid w:val="00901B22"/>
    <w:rsid w:val="00901E4A"/>
    <w:rsid w:val="00902855"/>
    <w:rsid w:val="00902A6B"/>
    <w:rsid w:val="009030A9"/>
    <w:rsid w:val="009030DE"/>
    <w:rsid w:val="009037C5"/>
    <w:rsid w:val="00904CDA"/>
    <w:rsid w:val="00904F2B"/>
    <w:rsid w:val="009054B9"/>
    <w:rsid w:val="00905702"/>
    <w:rsid w:val="00905862"/>
    <w:rsid w:val="00905EEA"/>
    <w:rsid w:val="00906178"/>
    <w:rsid w:val="00906F28"/>
    <w:rsid w:val="00907397"/>
    <w:rsid w:val="00910BD3"/>
    <w:rsid w:val="00910F94"/>
    <w:rsid w:val="00911020"/>
    <w:rsid w:val="00911165"/>
    <w:rsid w:val="009113EC"/>
    <w:rsid w:val="009120D6"/>
    <w:rsid w:val="009123F7"/>
    <w:rsid w:val="009130E6"/>
    <w:rsid w:val="009131CB"/>
    <w:rsid w:val="00913549"/>
    <w:rsid w:val="009135E6"/>
    <w:rsid w:val="00914B07"/>
    <w:rsid w:val="009153CD"/>
    <w:rsid w:val="00915472"/>
    <w:rsid w:val="0091589A"/>
    <w:rsid w:val="009159EC"/>
    <w:rsid w:val="00915D42"/>
    <w:rsid w:val="0091618F"/>
    <w:rsid w:val="00916B2E"/>
    <w:rsid w:val="00916DAE"/>
    <w:rsid w:val="00920030"/>
    <w:rsid w:val="00920F46"/>
    <w:rsid w:val="009217A0"/>
    <w:rsid w:val="00921E87"/>
    <w:rsid w:val="00922172"/>
    <w:rsid w:val="009221F3"/>
    <w:rsid w:val="00922E4E"/>
    <w:rsid w:val="00923905"/>
    <w:rsid w:val="00923953"/>
    <w:rsid w:val="00925A3F"/>
    <w:rsid w:val="00925C57"/>
    <w:rsid w:val="00926343"/>
    <w:rsid w:val="00926E77"/>
    <w:rsid w:val="0093033E"/>
    <w:rsid w:val="0093065D"/>
    <w:rsid w:val="00931064"/>
    <w:rsid w:val="00931243"/>
    <w:rsid w:val="009313A2"/>
    <w:rsid w:val="0093199D"/>
    <w:rsid w:val="00931D4A"/>
    <w:rsid w:val="00933D85"/>
    <w:rsid w:val="00934123"/>
    <w:rsid w:val="009349F7"/>
    <w:rsid w:val="009358BF"/>
    <w:rsid w:val="00935AC3"/>
    <w:rsid w:val="009363C2"/>
    <w:rsid w:val="00936778"/>
    <w:rsid w:val="00937672"/>
    <w:rsid w:val="0093784F"/>
    <w:rsid w:val="00937ED5"/>
    <w:rsid w:val="00940918"/>
    <w:rsid w:val="0094175F"/>
    <w:rsid w:val="00942248"/>
    <w:rsid w:val="00942F34"/>
    <w:rsid w:val="009441F4"/>
    <w:rsid w:val="00944329"/>
    <w:rsid w:val="00944639"/>
    <w:rsid w:val="00945117"/>
    <w:rsid w:val="00946EFD"/>
    <w:rsid w:val="00947048"/>
    <w:rsid w:val="00947167"/>
    <w:rsid w:val="0095245A"/>
    <w:rsid w:val="00953422"/>
    <w:rsid w:val="00953552"/>
    <w:rsid w:val="00953977"/>
    <w:rsid w:val="0095439F"/>
    <w:rsid w:val="00954584"/>
    <w:rsid w:val="00954BAC"/>
    <w:rsid w:val="00955136"/>
    <w:rsid w:val="0095542F"/>
    <w:rsid w:val="009558DB"/>
    <w:rsid w:val="00955F56"/>
    <w:rsid w:val="00957701"/>
    <w:rsid w:val="00960636"/>
    <w:rsid w:val="009613D1"/>
    <w:rsid w:val="009613FC"/>
    <w:rsid w:val="00961820"/>
    <w:rsid w:val="00961B04"/>
    <w:rsid w:val="00961FDE"/>
    <w:rsid w:val="00962E06"/>
    <w:rsid w:val="00963556"/>
    <w:rsid w:val="00963D27"/>
    <w:rsid w:val="00965405"/>
    <w:rsid w:val="009654BC"/>
    <w:rsid w:val="00965CE8"/>
    <w:rsid w:val="0096632C"/>
    <w:rsid w:val="00966567"/>
    <w:rsid w:val="00967085"/>
    <w:rsid w:val="009674D6"/>
    <w:rsid w:val="00967682"/>
    <w:rsid w:val="00967E54"/>
    <w:rsid w:val="0097013A"/>
    <w:rsid w:val="00970EF9"/>
    <w:rsid w:val="009714F5"/>
    <w:rsid w:val="00973133"/>
    <w:rsid w:val="00973F19"/>
    <w:rsid w:val="00973F8C"/>
    <w:rsid w:val="00974234"/>
    <w:rsid w:val="00974440"/>
    <w:rsid w:val="0097515F"/>
    <w:rsid w:val="0097621E"/>
    <w:rsid w:val="00976A82"/>
    <w:rsid w:val="00977371"/>
    <w:rsid w:val="00977842"/>
    <w:rsid w:val="00977E65"/>
    <w:rsid w:val="00981361"/>
    <w:rsid w:val="0098148A"/>
    <w:rsid w:val="00981BD5"/>
    <w:rsid w:val="00981BF0"/>
    <w:rsid w:val="00982055"/>
    <w:rsid w:val="0098240A"/>
    <w:rsid w:val="009825CC"/>
    <w:rsid w:val="00982FE7"/>
    <w:rsid w:val="00984147"/>
    <w:rsid w:val="00984BDF"/>
    <w:rsid w:val="0098566E"/>
    <w:rsid w:val="0098688A"/>
    <w:rsid w:val="009870C5"/>
    <w:rsid w:val="00987F08"/>
    <w:rsid w:val="009906D0"/>
    <w:rsid w:val="009909E9"/>
    <w:rsid w:val="00990C64"/>
    <w:rsid w:val="009913B8"/>
    <w:rsid w:val="0099155A"/>
    <w:rsid w:val="00991B46"/>
    <w:rsid w:val="00992672"/>
    <w:rsid w:val="009931B0"/>
    <w:rsid w:val="00993A82"/>
    <w:rsid w:val="009951CB"/>
    <w:rsid w:val="009958AC"/>
    <w:rsid w:val="00995D5E"/>
    <w:rsid w:val="00996289"/>
    <w:rsid w:val="0099662D"/>
    <w:rsid w:val="00997407"/>
    <w:rsid w:val="00997501"/>
    <w:rsid w:val="00997E05"/>
    <w:rsid w:val="009A0897"/>
    <w:rsid w:val="009A0E78"/>
    <w:rsid w:val="009A1836"/>
    <w:rsid w:val="009A1B89"/>
    <w:rsid w:val="009A1E1B"/>
    <w:rsid w:val="009A1EA9"/>
    <w:rsid w:val="009A2BF4"/>
    <w:rsid w:val="009A3928"/>
    <w:rsid w:val="009A3A44"/>
    <w:rsid w:val="009A3F9B"/>
    <w:rsid w:val="009A4E6C"/>
    <w:rsid w:val="009A6FEE"/>
    <w:rsid w:val="009A7113"/>
    <w:rsid w:val="009A7B51"/>
    <w:rsid w:val="009A7D20"/>
    <w:rsid w:val="009B0371"/>
    <w:rsid w:val="009B04F7"/>
    <w:rsid w:val="009B05BF"/>
    <w:rsid w:val="009B10DD"/>
    <w:rsid w:val="009B12F3"/>
    <w:rsid w:val="009B130F"/>
    <w:rsid w:val="009B1571"/>
    <w:rsid w:val="009B16BE"/>
    <w:rsid w:val="009B1F59"/>
    <w:rsid w:val="009B32DE"/>
    <w:rsid w:val="009B3503"/>
    <w:rsid w:val="009B51EC"/>
    <w:rsid w:val="009B5545"/>
    <w:rsid w:val="009B5C88"/>
    <w:rsid w:val="009B618F"/>
    <w:rsid w:val="009B6789"/>
    <w:rsid w:val="009B769E"/>
    <w:rsid w:val="009B770F"/>
    <w:rsid w:val="009B7975"/>
    <w:rsid w:val="009B7EA2"/>
    <w:rsid w:val="009C0237"/>
    <w:rsid w:val="009C047A"/>
    <w:rsid w:val="009C0CEE"/>
    <w:rsid w:val="009C13CF"/>
    <w:rsid w:val="009C13F3"/>
    <w:rsid w:val="009C2412"/>
    <w:rsid w:val="009C2566"/>
    <w:rsid w:val="009C2659"/>
    <w:rsid w:val="009C3156"/>
    <w:rsid w:val="009C3581"/>
    <w:rsid w:val="009C43CC"/>
    <w:rsid w:val="009C4CB7"/>
    <w:rsid w:val="009C5D55"/>
    <w:rsid w:val="009C728A"/>
    <w:rsid w:val="009C7431"/>
    <w:rsid w:val="009C79E1"/>
    <w:rsid w:val="009C7DB4"/>
    <w:rsid w:val="009D1972"/>
    <w:rsid w:val="009D1A77"/>
    <w:rsid w:val="009D248C"/>
    <w:rsid w:val="009D2D15"/>
    <w:rsid w:val="009D3D1E"/>
    <w:rsid w:val="009D427D"/>
    <w:rsid w:val="009D43C5"/>
    <w:rsid w:val="009D4C47"/>
    <w:rsid w:val="009D5454"/>
    <w:rsid w:val="009D62CE"/>
    <w:rsid w:val="009D66F9"/>
    <w:rsid w:val="009D71F5"/>
    <w:rsid w:val="009E2EF0"/>
    <w:rsid w:val="009E3350"/>
    <w:rsid w:val="009E3F8D"/>
    <w:rsid w:val="009E4B5C"/>
    <w:rsid w:val="009E4BA8"/>
    <w:rsid w:val="009E68DA"/>
    <w:rsid w:val="009E778F"/>
    <w:rsid w:val="009E7B78"/>
    <w:rsid w:val="009E7B9D"/>
    <w:rsid w:val="009E7DAA"/>
    <w:rsid w:val="009F00BE"/>
    <w:rsid w:val="009F054B"/>
    <w:rsid w:val="009F0BEB"/>
    <w:rsid w:val="009F0C6D"/>
    <w:rsid w:val="009F1C37"/>
    <w:rsid w:val="009F25ED"/>
    <w:rsid w:val="009F2864"/>
    <w:rsid w:val="009F2FFD"/>
    <w:rsid w:val="009F376D"/>
    <w:rsid w:val="009F3CEC"/>
    <w:rsid w:val="009F3FA7"/>
    <w:rsid w:val="009F44F9"/>
    <w:rsid w:val="009F4879"/>
    <w:rsid w:val="009F4D92"/>
    <w:rsid w:val="009F6E44"/>
    <w:rsid w:val="00A006A9"/>
    <w:rsid w:val="00A0081C"/>
    <w:rsid w:val="00A011B4"/>
    <w:rsid w:val="00A012DC"/>
    <w:rsid w:val="00A0186F"/>
    <w:rsid w:val="00A01EC4"/>
    <w:rsid w:val="00A028DA"/>
    <w:rsid w:val="00A03FF9"/>
    <w:rsid w:val="00A04863"/>
    <w:rsid w:val="00A04C1A"/>
    <w:rsid w:val="00A051E9"/>
    <w:rsid w:val="00A05CCD"/>
    <w:rsid w:val="00A06292"/>
    <w:rsid w:val="00A07EE2"/>
    <w:rsid w:val="00A10BB0"/>
    <w:rsid w:val="00A13AA0"/>
    <w:rsid w:val="00A13F3D"/>
    <w:rsid w:val="00A14095"/>
    <w:rsid w:val="00A14826"/>
    <w:rsid w:val="00A157FB"/>
    <w:rsid w:val="00A15E2B"/>
    <w:rsid w:val="00A16B69"/>
    <w:rsid w:val="00A179B1"/>
    <w:rsid w:val="00A2008E"/>
    <w:rsid w:val="00A22EAD"/>
    <w:rsid w:val="00A22FD2"/>
    <w:rsid w:val="00A23245"/>
    <w:rsid w:val="00A234CB"/>
    <w:rsid w:val="00A24616"/>
    <w:rsid w:val="00A24C02"/>
    <w:rsid w:val="00A255E1"/>
    <w:rsid w:val="00A25A11"/>
    <w:rsid w:val="00A26817"/>
    <w:rsid w:val="00A305DC"/>
    <w:rsid w:val="00A3151B"/>
    <w:rsid w:val="00A31AC8"/>
    <w:rsid w:val="00A31CC5"/>
    <w:rsid w:val="00A322EC"/>
    <w:rsid w:val="00A32758"/>
    <w:rsid w:val="00A32F93"/>
    <w:rsid w:val="00A33053"/>
    <w:rsid w:val="00A33059"/>
    <w:rsid w:val="00A33C56"/>
    <w:rsid w:val="00A34006"/>
    <w:rsid w:val="00A3414B"/>
    <w:rsid w:val="00A344DD"/>
    <w:rsid w:val="00A35650"/>
    <w:rsid w:val="00A35E7A"/>
    <w:rsid w:val="00A361F6"/>
    <w:rsid w:val="00A370AB"/>
    <w:rsid w:val="00A4089F"/>
    <w:rsid w:val="00A422C0"/>
    <w:rsid w:val="00A42436"/>
    <w:rsid w:val="00A431CA"/>
    <w:rsid w:val="00A43DC8"/>
    <w:rsid w:val="00A4424A"/>
    <w:rsid w:val="00A44787"/>
    <w:rsid w:val="00A4547D"/>
    <w:rsid w:val="00A45663"/>
    <w:rsid w:val="00A45939"/>
    <w:rsid w:val="00A45FDF"/>
    <w:rsid w:val="00A46595"/>
    <w:rsid w:val="00A505C5"/>
    <w:rsid w:val="00A50A7C"/>
    <w:rsid w:val="00A51027"/>
    <w:rsid w:val="00A512DE"/>
    <w:rsid w:val="00A513DF"/>
    <w:rsid w:val="00A517D0"/>
    <w:rsid w:val="00A51F6D"/>
    <w:rsid w:val="00A52B5F"/>
    <w:rsid w:val="00A53FCA"/>
    <w:rsid w:val="00A54186"/>
    <w:rsid w:val="00A54C3C"/>
    <w:rsid w:val="00A55A2C"/>
    <w:rsid w:val="00A566D6"/>
    <w:rsid w:val="00A57107"/>
    <w:rsid w:val="00A57F62"/>
    <w:rsid w:val="00A60219"/>
    <w:rsid w:val="00A61D65"/>
    <w:rsid w:val="00A62A3B"/>
    <w:rsid w:val="00A632E8"/>
    <w:rsid w:val="00A644B5"/>
    <w:rsid w:val="00A64E0C"/>
    <w:rsid w:val="00A64F00"/>
    <w:rsid w:val="00A64F59"/>
    <w:rsid w:val="00A65192"/>
    <w:rsid w:val="00A65B99"/>
    <w:rsid w:val="00A65CBC"/>
    <w:rsid w:val="00A660B1"/>
    <w:rsid w:val="00A663DB"/>
    <w:rsid w:val="00A6689B"/>
    <w:rsid w:val="00A66C14"/>
    <w:rsid w:val="00A66EAC"/>
    <w:rsid w:val="00A67404"/>
    <w:rsid w:val="00A67CEC"/>
    <w:rsid w:val="00A732A8"/>
    <w:rsid w:val="00A735F9"/>
    <w:rsid w:val="00A7518A"/>
    <w:rsid w:val="00A75C2E"/>
    <w:rsid w:val="00A75DAA"/>
    <w:rsid w:val="00A76766"/>
    <w:rsid w:val="00A76F01"/>
    <w:rsid w:val="00A7731E"/>
    <w:rsid w:val="00A7734A"/>
    <w:rsid w:val="00A77957"/>
    <w:rsid w:val="00A80605"/>
    <w:rsid w:val="00A81003"/>
    <w:rsid w:val="00A82497"/>
    <w:rsid w:val="00A82AF9"/>
    <w:rsid w:val="00A82CAA"/>
    <w:rsid w:val="00A833C7"/>
    <w:rsid w:val="00A85E27"/>
    <w:rsid w:val="00A866DC"/>
    <w:rsid w:val="00A90219"/>
    <w:rsid w:val="00A90707"/>
    <w:rsid w:val="00A90CA2"/>
    <w:rsid w:val="00A9147A"/>
    <w:rsid w:val="00A91D9D"/>
    <w:rsid w:val="00A92086"/>
    <w:rsid w:val="00A92ECE"/>
    <w:rsid w:val="00A93118"/>
    <w:rsid w:val="00A9345A"/>
    <w:rsid w:val="00A93D3A"/>
    <w:rsid w:val="00A93F8A"/>
    <w:rsid w:val="00A93FF8"/>
    <w:rsid w:val="00A94A59"/>
    <w:rsid w:val="00A95388"/>
    <w:rsid w:val="00A961E7"/>
    <w:rsid w:val="00A9658F"/>
    <w:rsid w:val="00A97C5D"/>
    <w:rsid w:val="00AA0203"/>
    <w:rsid w:val="00AA1040"/>
    <w:rsid w:val="00AA192A"/>
    <w:rsid w:val="00AA24F4"/>
    <w:rsid w:val="00AA275C"/>
    <w:rsid w:val="00AA2EE3"/>
    <w:rsid w:val="00AA428C"/>
    <w:rsid w:val="00AA4F12"/>
    <w:rsid w:val="00AA5834"/>
    <w:rsid w:val="00AA6838"/>
    <w:rsid w:val="00AA6AE3"/>
    <w:rsid w:val="00AA6C61"/>
    <w:rsid w:val="00AA74B4"/>
    <w:rsid w:val="00AA7B74"/>
    <w:rsid w:val="00AA7D26"/>
    <w:rsid w:val="00AB0C01"/>
    <w:rsid w:val="00AB0FD7"/>
    <w:rsid w:val="00AB1164"/>
    <w:rsid w:val="00AB1CC7"/>
    <w:rsid w:val="00AB1D1F"/>
    <w:rsid w:val="00AB3047"/>
    <w:rsid w:val="00AB37E5"/>
    <w:rsid w:val="00AB464C"/>
    <w:rsid w:val="00AB5175"/>
    <w:rsid w:val="00AB64F5"/>
    <w:rsid w:val="00AC0412"/>
    <w:rsid w:val="00AC0D50"/>
    <w:rsid w:val="00AC1115"/>
    <w:rsid w:val="00AC137C"/>
    <w:rsid w:val="00AC2BA2"/>
    <w:rsid w:val="00AC5D6B"/>
    <w:rsid w:val="00AC6E9B"/>
    <w:rsid w:val="00AC73F1"/>
    <w:rsid w:val="00AC759D"/>
    <w:rsid w:val="00AC76BF"/>
    <w:rsid w:val="00AD071C"/>
    <w:rsid w:val="00AD0A84"/>
    <w:rsid w:val="00AD191F"/>
    <w:rsid w:val="00AD19AD"/>
    <w:rsid w:val="00AD2465"/>
    <w:rsid w:val="00AD26CA"/>
    <w:rsid w:val="00AD3620"/>
    <w:rsid w:val="00AD39AB"/>
    <w:rsid w:val="00AD3DEB"/>
    <w:rsid w:val="00AD455E"/>
    <w:rsid w:val="00AD61B9"/>
    <w:rsid w:val="00AD6262"/>
    <w:rsid w:val="00AD78C9"/>
    <w:rsid w:val="00AE0465"/>
    <w:rsid w:val="00AE05C1"/>
    <w:rsid w:val="00AE0709"/>
    <w:rsid w:val="00AE1053"/>
    <w:rsid w:val="00AE2A23"/>
    <w:rsid w:val="00AE2C40"/>
    <w:rsid w:val="00AE316D"/>
    <w:rsid w:val="00AE33E7"/>
    <w:rsid w:val="00AE3505"/>
    <w:rsid w:val="00AE366D"/>
    <w:rsid w:val="00AE3FEB"/>
    <w:rsid w:val="00AE4639"/>
    <w:rsid w:val="00AE4EBF"/>
    <w:rsid w:val="00AE5ACD"/>
    <w:rsid w:val="00AE6169"/>
    <w:rsid w:val="00AF0150"/>
    <w:rsid w:val="00AF160D"/>
    <w:rsid w:val="00AF1B4C"/>
    <w:rsid w:val="00AF1F66"/>
    <w:rsid w:val="00AF23C6"/>
    <w:rsid w:val="00AF2926"/>
    <w:rsid w:val="00AF3841"/>
    <w:rsid w:val="00AF3981"/>
    <w:rsid w:val="00AF45D2"/>
    <w:rsid w:val="00AF48A8"/>
    <w:rsid w:val="00AF534A"/>
    <w:rsid w:val="00AF654E"/>
    <w:rsid w:val="00AF7801"/>
    <w:rsid w:val="00B00212"/>
    <w:rsid w:val="00B003C8"/>
    <w:rsid w:val="00B008DF"/>
    <w:rsid w:val="00B01045"/>
    <w:rsid w:val="00B01526"/>
    <w:rsid w:val="00B01796"/>
    <w:rsid w:val="00B018AD"/>
    <w:rsid w:val="00B022AD"/>
    <w:rsid w:val="00B03E7E"/>
    <w:rsid w:val="00B0458C"/>
    <w:rsid w:val="00B05041"/>
    <w:rsid w:val="00B050A1"/>
    <w:rsid w:val="00B05819"/>
    <w:rsid w:val="00B079C1"/>
    <w:rsid w:val="00B07C2C"/>
    <w:rsid w:val="00B07D3D"/>
    <w:rsid w:val="00B10334"/>
    <w:rsid w:val="00B10608"/>
    <w:rsid w:val="00B1060D"/>
    <w:rsid w:val="00B10C10"/>
    <w:rsid w:val="00B11760"/>
    <w:rsid w:val="00B129BD"/>
    <w:rsid w:val="00B12B30"/>
    <w:rsid w:val="00B12BCD"/>
    <w:rsid w:val="00B1349F"/>
    <w:rsid w:val="00B13F8A"/>
    <w:rsid w:val="00B13F8E"/>
    <w:rsid w:val="00B14ED3"/>
    <w:rsid w:val="00B1577F"/>
    <w:rsid w:val="00B15967"/>
    <w:rsid w:val="00B15BE9"/>
    <w:rsid w:val="00B15DAD"/>
    <w:rsid w:val="00B16FBC"/>
    <w:rsid w:val="00B17083"/>
    <w:rsid w:val="00B202AA"/>
    <w:rsid w:val="00B20A64"/>
    <w:rsid w:val="00B20ED8"/>
    <w:rsid w:val="00B21AFA"/>
    <w:rsid w:val="00B23238"/>
    <w:rsid w:val="00B235AD"/>
    <w:rsid w:val="00B2364B"/>
    <w:rsid w:val="00B23950"/>
    <w:rsid w:val="00B23B45"/>
    <w:rsid w:val="00B23B8D"/>
    <w:rsid w:val="00B23C04"/>
    <w:rsid w:val="00B24841"/>
    <w:rsid w:val="00B25389"/>
    <w:rsid w:val="00B258D1"/>
    <w:rsid w:val="00B30025"/>
    <w:rsid w:val="00B3017B"/>
    <w:rsid w:val="00B3142A"/>
    <w:rsid w:val="00B31699"/>
    <w:rsid w:val="00B319D3"/>
    <w:rsid w:val="00B31A62"/>
    <w:rsid w:val="00B31C60"/>
    <w:rsid w:val="00B31CB0"/>
    <w:rsid w:val="00B31D3A"/>
    <w:rsid w:val="00B31DDF"/>
    <w:rsid w:val="00B332E7"/>
    <w:rsid w:val="00B34759"/>
    <w:rsid w:val="00B3638D"/>
    <w:rsid w:val="00B3725B"/>
    <w:rsid w:val="00B377A1"/>
    <w:rsid w:val="00B402B4"/>
    <w:rsid w:val="00B40828"/>
    <w:rsid w:val="00B40F54"/>
    <w:rsid w:val="00B41423"/>
    <w:rsid w:val="00B419E9"/>
    <w:rsid w:val="00B42172"/>
    <w:rsid w:val="00B42FEF"/>
    <w:rsid w:val="00B4393B"/>
    <w:rsid w:val="00B43C0A"/>
    <w:rsid w:val="00B4421D"/>
    <w:rsid w:val="00B4431B"/>
    <w:rsid w:val="00B44F21"/>
    <w:rsid w:val="00B44F2E"/>
    <w:rsid w:val="00B46C47"/>
    <w:rsid w:val="00B50959"/>
    <w:rsid w:val="00B50A2B"/>
    <w:rsid w:val="00B50BCA"/>
    <w:rsid w:val="00B52F14"/>
    <w:rsid w:val="00B536B0"/>
    <w:rsid w:val="00B53ADF"/>
    <w:rsid w:val="00B53AEC"/>
    <w:rsid w:val="00B54383"/>
    <w:rsid w:val="00B55BD8"/>
    <w:rsid w:val="00B56546"/>
    <w:rsid w:val="00B56DB9"/>
    <w:rsid w:val="00B57346"/>
    <w:rsid w:val="00B57E74"/>
    <w:rsid w:val="00B603F9"/>
    <w:rsid w:val="00B61020"/>
    <w:rsid w:val="00B611BF"/>
    <w:rsid w:val="00B6185A"/>
    <w:rsid w:val="00B61A3F"/>
    <w:rsid w:val="00B62221"/>
    <w:rsid w:val="00B62CE6"/>
    <w:rsid w:val="00B630CC"/>
    <w:rsid w:val="00B63109"/>
    <w:rsid w:val="00B63319"/>
    <w:rsid w:val="00B63D1F"/>
    <w:rsid w:val="00B63DF9"/>
    <w:rsid w:val="00B642B9"/>
    <w:rsid w:val="00B6570E"/>
    <w:rsid w:val="00B657F2"/>
    <w:rsid w:val="00B65F12"/>
    <w:rsid w:val="00B665A7"/>
    <w:rsid w:val="00B6757D"/>
    <w:rsid w:val="00B67D8F"/>
    <w:rsid w:val="00B70F6B"/>
    <w:rsid w:val="00B720DC"/>
    <w:rsid w:val="00B722E1"/>
    <w:rsid w:val="00B74DE1"/>
    <w:rsid w:val="00B753C8"/>
    <w:rsid w:val="00B7587E"/>
    <w:rsid w:val="00B775DD"/>
    <w:rsid w:val="00B778B8"/>
    <w:rsid w:val="00B77C08"/>
    <w:rsid w:val="00B800E2"/>
    <w:rsid w:val="00B8080C"/>
    <w:rsid w:val="00B80ED8"/>
    <w:rsid w:val="00B811E9"/>
    <w:rsid w:val="00B81772"/>
    <w:rsid w:val="00B84DAA"/>
    <w:rsid w:val="00B852BE"/>
    <w:rsid w:val="00B8669C"/>
    <w:rsid w:val="00B86944"/>
    <w:rsid w:val="00B86987"/>
    <w:rsid w:val="00B86C3E"/>
    <w:rsid w:val="00B8771E"/>
    <w:rsid w:val="00B90410"/>
    <w:rsid w:val="00B90934"/>
    <w:rsid w:val="00B90CB8"/>
    <w:rsid w:val="00B90F5E"/>
    <w:rsid w:val="00B9169E"/>
    <w:rsid w:val="00B91716"/>
    <w:rsid w:val="00B91E07"/>
    <w:rsid w:val="00B92321"/>
    <w:rsid w:val="00B92445"/>
    <w:rsid w:val="00B92D0C"/>
    <w:rsid w:val="00B94571"/>
    <w:rsid w:val="00B948D8"/>
    <w:rsid w:val="00B95AFB"/>
    <w:rsid w:val="00B9630F"/>
    <w:rsid w:val="00B96CB6"/>
    <w:rsid w:val="00B96E4A"/>
    <w:rsid w:val="00B9770E"/>
    <w:rsid w:val="00BA0B97"/>
    <w:rsid w:val="00BA0D4B"/>
    <w:rsid w:val="00BA1805"/>
    <w:rsid w:val="00BA27E0"/>
    <w:rsid w:val="00BA2FB0"/>
    <w:rsid w:val="00BA3280"/>
    <w:rsid w:val="00BA3ABB"/>
    <w:rsid w:val="00BA4AD0"/>
    <w:rsid w:val="00BA4C19"/>
    <w:rsid w:val="00BA5853"/>
    <w:rsid w:val="00BA63A6"/>
    <w:rsid w:val="00BA7072"/>
    <w:rsid w:val="00BA7178"/>
    <w:rsid w:val="00BA7AB4"/>
    <w:rsid w:val="00BA7D0A"/>
    <w:rsid w:val="00BB17F6"/>
    <w:rsid w:val="00BB1CAB"/>
    <w:rsid w:val="00BB220B"/>
    <w:rsid w:val="00BB44BB"/>
    <w:rsid w:val="00BB483F"/>
    <w:rsid w:val="00BB4CD1"/>
    <w:rsid w:val="00BB4EE3"/>
    <w:rsid w:val="00BB505D"/>
    <w:rsid w:val="00BB54E2"/>
    <w:rsid w:val="00BB64BA"/>
    <w:rsid w:val="00BB7949"/>
    <w:rsid w:val="00BC0C6F"/>
    <w:rsid w:val="00BC1F78"/>
    <w:rsid w:val="00BC2AA4"/>
    <w:rsid w:val="00BC3117"/>
    <w:rsid w:val="00BC323C"/>
    <w:rsid w:val="00BC34B9"/>
    <w:rsid w:val="00BC3576"/>
    <w:rsid w:val="00BC4239"/>
    <w:rsid w:val="00BC4961"/>
    <w:rsid w:val="00BC6BFD"/>
    <w:rsid w:val="00BC6EC5"/>
    <w:rsid w:val="00BC6ECB"/>
    <w:rsid w:val="00BC722F"/>
    <w:rsid w:val="00BC7544"/>
    <w:rsid w:val="00BC78D1"/>
    <w:rsid w:val="00BC7AF5"/>
    <w:rsid w:val="00BD06B0"/>
    <w:rsid w:val="00BD14B4"/>
    <w:rsid w:val="00BD1A13"/>
    <w:rsid w:val="00BD1B63"/>
    <w:rsid w:val="00BD2105"/>
    <w:rsid w:val="00BD2688"/>
    <w:rsid w:val="00BD41F3"/>
    <w:rsid w:val="00BD46A1"/>
    <w:rsid w:val="00BD5616"/>
    <w:rsid w:val="00BD584B"/>
    <w:rsid w:val="00BD635A"/>
    <w:rsid w:val="00BD6EAF"/>
    <w:rsid w:val="00BD76B7"/>
    <w:rsid w:val="00BE2146"/>
    <w:rsid w:val="00BE2339"/>
    <w:rsid w:val="00BE261E"/>
    <w:rsid w:val="00BE313B"/>
    <w:rsid w:val="00BE364A"/>
    <w:rsid w:val="00BE465B"/>
    <w:rsid w:val="00BE5F04"/>
    <w:rsid w:val="00BE71E1"/>
    <w:rsid w:val="00BE75B4"/>
    <w:rsid w:val="00BF00C2"/>
    <w:rsid w:val="00BF0370"/>
    <w:rsid w:val="00BF1916"/>
    <w:rsid w:val="00BF1EA7"/>
    <w:rsid w:val="00BF458F"/>
    <w:rsid w:val="00BF4A88"/>
    <w:rsid w:val="00BF536F"/>
    <w:rsid w:val="00BF5574"/>
    <w:rsid w:val="00BF573D"/>
    <w:rsid w:val="00BF7568"/>
    <w:rsid w:val="00BF7652"/>
    <w:rsid w:val="00BF7A07"/>
    <w:rsid w:val="00C00099"/>
    <w:rsid w:val="00C00A93"/>
    <w:rsid w:val="00C019FA"/>
    <w:rsid w:val="00C01D74"/>
    <w:rsid w:val="00C0241F"/>
    <w:rsid w:val="00C02925"/>
    <w:rsid w:val="00C05423"/>
    <w:rsid w:val="00C060C0"/>
    <w:rsid w:val="00C067FD"/>
    <w:rsid w:val="00C06BBC"/>
    <w:rsid w:val="00C06D59"/>
    <w:rsid w:val="00C07283"/>
    <w:rsid w:val="00C0759E"/>
    <w:rsid w:val="00C10582"/>
    <w:rsid w:val="00C113D1"/>
    <w:rsid w:val="00C1148F"/>
    <w:rsid w:val="00C11921"/>
    <w:rsid w:val="00C11928"/>
    <w:rsid w:val="00C11F2E"/>
    <w:rsid w:val="00C12618"/>
    <w:rsid w:val="00C132AD"/>
    <w:rsid w:val="00C134EE"/>
    <w:rsid w:val="00C14091"/>
    <w:rsid w:val="00C149FC"/>
    <w:rsid w:val="00C156CE"/>
    <w:rsid w:val="00C16459"/>
    <w:rsid w:val="00C2023E"/>
    <w:rsid w:val="00C210DF"/>
    <w:rsid w:val="00C215F7"/>
    <w:rsid w:val="00C21A1B"/>
    <w:rsid w:val="00C2231A"/>
    <w:rsid w:val="00C223D0"/>
    <w:rsid w:val="00C23B03"/>
    <w:rsid w:val="00C23DDF"/>
    <w:rsid w:val="00C24A34"/>
    <w:rsid w:val="00C24BAD"/>
    <w:rsid w:val="00C24EA8"/>
    <w:rsid w:val="00C24F02"/>
    <w:rsid w:val="00C25A34"/>
    <w:rsid w:val="00C27161"/>
    <w:rsid w:val="00C27478"/>
    <w:rsid w:val="00C27897"/>
    <w:rsid w:val="00C27AD4"/>
    <w:rsid w:val="00C27FBD"/>
    <w:rsid w:val="00C308A6"/>
    <w:rsid w:val="00C30A7B"/>
    <w:rsid w:val="00C30B42"/>
    <w:rsid w:val="00C31177"/>
    <w:rsid w:val="00C316E0"/>
    <w:rsid w:val="00C3263D"/>
    <w:rsid w:val="00C32D8D"/>
    <w:rsid w:val="00C342C4"/>
    <w:rsid w:val="00C357DE"/>
    <w:rsid w:val="00C366B6"/>
    <w:rsid w:val="00C37105"/>
    <w:rsid w:val="00C3776B"/>
    <w:rsid w:val="00C378D5"/>
    <w:rsid w:val="00C415E5"/>
    <w:rsid w:val="00C41DCF"/>
    <w:rsid w:val="00C42CA6"/>
    <w:rsid w:val="00C43029"/>
    <w:rsid w:val="00C43807"/>
    <w:rsid w:val="00C43B4B"/>
    <w:rsid w:val="00C43B4E"/>
    <w:rsid w:val="00C43D9F"/>
    <w:rsid w:val="00C45132"/>
    <w:rsid w:val="00C455D9"/>
    <w:rsid w:val="00C4571F"/>
    <w:rsid w:val="00C45C6C"/>
    <w:rsid w:val="00C45F7D"/>
    <w:rsid w:val="00C46D0F"/>
    <w:rsid w:val="00C4765B"/>
    <w:rsid w:val="00C47853"/>
    <w:rsid w:val="00C5055A"/>
    <w:rsid w:val="00C51D44"/>
    <w:rsid w:val="00C54618"/>
    <w:rsid w:val="00C55068"/>
    <w:rsid w:val="00C55B4F"/>
    <w:rsid w:val="00C56810"/>
    <w:rsid w:val="00C56A13"/>
    <w:rsid w:val="00C56C72"/>
    <w:rsid w:val="00C5763D"/>
    <w:rsid w:val="00C57645"/>
    <w:rsid w:val="00C62535"/>
    <w:rsid w:val="00C62B0A"/>
    <w:rsid w:val="00C642D2"/>
    <w:rsid w:val="00C6659D"/>
    <w:rsid w:val="00C6676D"/>
    <w:rsid w:val="00C67516"/>
    <w:rsid w:val="00C6793C"/>
    <w:rsid w:val="00C70920"/>
    <w:rsid w:val="00C71153"/>
    <w:rsid w:val="00C7142F"/>
    <w:rsid w:val="00C7198D"/>
    <w:rsid w:val="00C71EC6"/>
    <w:rsid w:val="00C72EA2"/>
    <w:rsid w:val="00C72EAB"/>
    <w:rsid w:val="00C734B3"/>
    <w:rsid w:val="00C73A1E"/>
    <w:rsid w:val="00C74CFE"/>
    <w:rsid w:val="00C77DD6"/>
    <w:rsid w:val="00C77E86"/>
    <w:rsid w:val="00C80249"/>
    <w:rsid w:val="00C802B8"/>
    <w:rsid w:val="00C80471"/>
    <w:rsid w:val="00C804FA"/>
    <w:rsid w:val="00C810AE"/>
    <w:rsid w:val="00C81748"/>
    <w:rsid w:val="00C820AA"/>
    <w:rsid w:val="00C82B45"/>
    <w:rsid w:val="00C8322F"/>
    <w:rsid w:val="00C844DE"/>
    <w:rsid w:val="00C849C4"/>
    <w:rsid w:val="00C8620C"/>
    <w:rsid w:val="00C87918"/>
    <w:rsid w:val="00C90018"/>
    <w:rsid w:val="00C92150"/>
    <w:rsid w:val="00C92A8B"/>
    <w:rsid w:val="00C92DB6"/>
    <w:rsid w:val="00C92E08"/>
    <w:rsid w:val="00C9379B"/>
    <w:rsid w:val="00C939DF"/>
    <w:rsid w:val="00C949E0"/>
    <w:rsid w:val="00C94FF8"/>
    <w:rsid w:val="00C95384"/>
    <w:rsid w:val="00C957B3"/>
    <w:rsid w:val="00C95E61"/>
    <w:rsid w:val="00C96728"/>
    <w:rsid w:val="00C96BEF"/>
    <w:rsid w:val="00C96C3C"/>
    <w:rsid w:val="00C96EEA"/>
    <w:rsid w:val="00C9798C"/>
    <w:rsid w:val="00C97ADB"/>
    <w:rsid w:val="00C97C88"/>
    <w:rsid w:val="00C97D26"/>
    <w:rsid w:val="00CA054A"/>
    <w:rsid w:val="00CA08F5"/>
    <w:rsid w:val="00CA12DA"/>
    <w:rsid w:val="00CA13C3"/>
    <w:rsid w:val="00CA1D32"/>
    <w:rsid w:val="00CA3020"/>
    <w:rsid w:val="00CA33CF"/>
    <w:rsid w:val="00CA3AF2"/>
    <w:rsid w:val="00CA3D0E"/>
    <w:rsid w:val="00CA3DAE"/>
    <w:rsid w:val="00CA4660"/>
    <w:rsid w:val="00CA48E3"/>
    <w:rsid w:val="00CA49D7"/>
    <w:rsid w:val="00CA5914"/>
    <w:rsid w:val="00CA6059"/>
    <w:rsid w:val="00CA6EF3"/>
    <w:rsid w:val="00CA71E4"/>
    <w:rsid w:val="00CA773E"/>
    <w:rsid w:val="00CB015D"/>
    <w:rsid w:val="00CB04EC"/>
    <w:rsid w:val="00CB0787"/>
    <w:rsid w:val="00CB0F0C"/>
    <w:rsid w:val="00CB24DE"/>
    <w:rsid w:val="00CB277E"/>
    <w:rsid w:val="00CB3362"/>
    <w:rsid w:val="00CB3DF4"/>
    <w:rsid w:val="00CB4387"/>
    <w:rsid w:val="00CB452E"/>
    <w:rsid w:val="00CB491A"/>
    <w:rsid w:val="00CB5B28"/>
    <w:rsid w:val="00CB6CF3"/>
    <w:rsid w:val="00CB6D4C"/>
    <w:rsid w:val="00CB72DB"/>
    <w:rsid w:val="00CC0D18"/>
    <w:rsid w:val="00CC144B"/>
    <w:rsid w:val="00CC1A68"/>
    <w:rsid w:val="00CC1A7B"/>
    <w:rsid w:val="00CC1BA9"/>
    <w:rsid w:val="00CC20E9"/>
    <w:rsid w:val="00CC38B1"/>
    <w:rsid w:val="00CC432C"/>
    <w:rsid w:val="00CC4680"/>
    <w:rsid w:val="00CC4EA7"/>
    <w:rsid w:val="00CC56D3"/>
    <w:rsid w:val="00CC5BB1"/>
    <w:rsid w:val="00CC5DCC"/>
    <w:rsid w:val="00CC622B"/>
    <w:rsid w:val="00CC6C3D"/>
    <w:rsid w:val="00CC76BD"/>
    <w:rsid w:val="00CC7ABA"/>
    <w:rsid w:val="00CD07D1"/>
    <w:rsid w:val="00CD07D7"/>
    <w:rsid w:val="00CD0B05"/>
    <w:rsid w:val="00CD14DF"/>
    <w:rsid w:val="00CD2588"/>
    <w:rsid w:val="00CD29FD"/>
    <w:rsid w:val="00CD3434"/>
    <w:rsid w:val="00CD34A8"/>
    <w:rsid w:val="00CD4001"/>
    <w:rsid w:val="00CD4506"/>
    <w:rsid w:val="00CD45E7"/>
    <w:rsid w:val="00CD5786"/>
    <w:rsid w:val="00CD59A7"/>
    <w:rsid w:val="00CD6096"/>
    <w:rsid w:val="00CD766E"/>
    <w:rsid w:val="00CD797D"/>
    <w:rsid w:val="00CE027A"/>
    <w:rsid w:val="00CE0EC0"/>
    <w:rsid w:val="00CE1526"/>
    <w:rsid w:val="00CE187F"/>
    <w:rsid w:val="00CE190F"/>
    <w:rsid w:val="00CE24F3"/>
    <w:rsid w:val="00CE28D7"/>
    <w:rsid w:val="00CE2E4A"/>
    <w:rsid w:val="00CE307F"/>
    <w:rsid w:val="00CE3167"/>
    <w:rsid w:val="00CE3A23"/>
    <w:rsid w:val="00CE3A7F"/>
    <w:rsid w:val="00CE3D1C"/>
    <w:rsid w:val="00CE4B67"/>
    <w:rsid w:val="00CE5886"/>
    <w:rsid w:val="00CE6A2B"/>
    <w:rsid w:val="00CF216F"/>
    <w:rsid w:val="00CF2659"/>
    <w:rsid w:val="00CF269C"/>
    <w:rsid w:val="00CF2FB5"/>
    <w:rsid w:val="00CF3159"/>
    <w:rsid w:val="00CF3653"/>
    <w:rsid w:val="00CF3AB3"/>
    <w:rsid w:val="00CF568B"/>
    <w:rsid w:val="00CF58FE"/>
    <w:rsid w:val="00CF5CD7"/>
    <w:rsid w:val="00CF717C"/>
    <w:rsid w:val="00CF798E"/>
    <w:rsid w:val="00D02126"/>
    <w:rsid w:val="00D02209"/>
    <w:rsid w:val="00D037BD"/>
    <w:rsid w:val="00D03D86"/>
    <w:rsid w:val="00D04BA7"/>
    <w:rsid w:val="00D04FE1"/>
    <w:rsid w:val="00D05CA6"/>
    <w:rsid w:val="00D05DD8"/>
    <w:rsid w:val="00D05F47"/>
    <w:rsid w:val="00D06066"/>
    <w:rsid w:val="00D06067"/>
    <w:rsid w:val="00D06128"/>
    <w:rsid w:val="00D06459"/>
    <w:rsid w:val="00D06CA6"/>
    <w:rsid w:val="00D070C9"/>
    <w:rsid w:val="00D077D6"/>
    <w:rsid w:val="00D0788A"/>
    <w:rsid w:val="00D07F01"/>
    <w:rsid w:val="00D10061"/>
    <w:rsid w:val="00D106D7"/>
    <w:rsid w:val="00D11EDA"/>
    <w:rsid w:val="00D12100"/>
    <w:rsid w:val="00D1285C"/>
    <w:rsid w:val="00D1295C"/>
    <w:rsid w:val="00D12FE6"/>
    <w:rsid w:val="00D131BF"/>
    <w:rsid w:val="00D13F86"/>
    <w:rsid w:val="00D143CD"/>
    <w:rsid w:val="00D1469B"/>
    <w:rsid w:val="00D1481A"/>
    <w:rsid w:val="00D14E60"/>
    <w:rsid w:val="00D15169"/>
    <w:rsid w:val="00D15598"/>
    <w:rsid w:val="00D16D73"/>
    <w:rsid w:val="00D17D89"/>
    <w:rsid w:val="00D2088C"/>
    <w:rsid w:val="00D20C93"/>
    <w:rsid w:val="00D21B49"/>
    <w:rsid w:val="00D21FDA"/>
    <w:rsid w:val="00D22244"/>
    <w:rsid w:val="00D22BF1"/>
    <w:rsid w:val="00D22E95"/>
    <w:rsid w:val="00D23061"/>
    <w:rsid w:val="00D2511E"/>
    <w:rsid w:val="00D258AA"/>
    <w:rsid w:val="00D266F3"/>
    <w:rsid w:val="00D2689E"/>
    <w:rsid w:val="00D26DF2"/>
    <w:rsid w:val="00D2708E"/>
    <w:rsid w:val="00D2795E"/>
    <w:rsid w:val="00D306E3"/>
    <w:rsid w:val="00D30E5F"/>
    <w:rsid w:val="00D32E3B"/>
    <w:rsid w:val="00D3328F"/>
    <w:rsid w:val="00D347F8"/>
    <w:rsid w:val="00D35B53"/>
    <w:rsid w:val="00D35C53"/>
    <w:rsid w:val="00D35CE5"/>
    <w:rsid w:val="00D3798F"/>
    <w:rsid w:val="00D401AE"/>
    <w:rsid w:val="00D40827"/>
    <w:rsid w:val="00D411DD"/>
    <w:rsid w:val="00D412F0"/>
    <w:rsid w:val="00D41C01"/>
    <w:rsid w:val="00D42473"/>
    <w:rsid w:val="00D42C1F"/>
    <w:rsid w:val="00D43E4D"/>
    <w:rsid w:val="00D446A0"/>
    <w:rsid w:val="00D4559E"/>
    <w:rsid w:val="00D4638B"/>
    <w:rsid w:val="00D46797"/>
    <w:rsid w:val="00D4696E"/>
    <w:rsid w:val="00D50251"/>
    <w:rsid w:val="00D50329"/>
    <w:rsid w:val="00D50BD9"/>
    <w:rsid w:val="00D511C6"/>
    <w:rsid w:val="00D51683"/>
    <w:rsid w:val="00D52A5D"/>
    <w:rsid w:val="00D52EDF"/>
    <w:rsid w:val="00D53EC2"/>
    <w:rsid w:val="00D54C50"/>
    <w:rsid w:val="00D54E59"/>
    <w:rsid w:val="00D54E79"/>
    <w:rsid w:val="00D55179"/>
    <w:rsid w:val="00D56AF0"/>
    <w:rsid w:val="00D6033E"/>
    <w:rsid w:val="00D60CC1"/>
    <w:rsid w:val="00D60D9A"/>
    <w:rsid w:val="00D60FB1"/>
    <w:rsid w:val="00D61558"/>
    <w:rsid w:val="00D61D29"/>
    <w:rsid w:val="00D624D0"/>
    <w:rsid w:val="00D62EF4"/>
    <w:rsid w:val="00D64921"/>
    <w:rsid w:val="00D64A88"/>
    <w:rsid w:val="00D658E2"/>
    <w:rsid w:val="00D66781"/>
    <w:rsid w:val="00D668E9"/>
    <w:rsid w:val="00D672D3"/>
    <w:rsid w:val="00D676C5"/>
    <w:rsid w:val="00D700A6"/>
    <w:rsid w:val="00D702C0"/>
    <w:rsid w:val="00D70596"/>
    <w:rsid w:val="00D7137A"/>
    <w:rsid w:val="00D71B1A"/>
    <w:rsid w:val="00D72717"/>
    <w:rsid w:val="00D72FDA"/>
    <w:rsid w:val="00D741CA"/>
    <w:rsid w:val="00D75759"/>
    <w:rsid w:val="00D7774F"/>
    <w:rsid w:val="00D77CEC"/>
    <w:rsid w:val="00D77D23"/>
    <w:rsid w:val="00D77DDE"/>
    <w:rsid w:val="00D80852"/>
    <w:rsid w:val="00D80BA4"/>
    <w:rsid w:val="00D811E1"/>
    <w:rsid w:val="00D81E6B"/>
    <w:rsid w:val="00D844D3"/>
    <w:rsid w:val="00D8452D"/>
    <w:rsid w:val="00D846BA"/>
    <w:rsid w:val="00D8661E"/>
    <w:rsid w:val="00D869A8"/>
    <w:rsid w:val="00D876F7"/>
    <w:rsid w:val="00D90117"/>
    <w:rsid w:val="00D91136"/>
    <w:rsid w:val="00D911B2"/>
    <w:rsid w:val="00D918A2"/>
    <w:rsid w:val="00D91A3E"/>
    <w:rsid w:val="00D9211B"/>
    <w:rsid w:val="00D926AD"/>
    <w:rsid w:val="00D92F9F"/>
    <w:rsid w:val="00D94DC1"/>
    <w:rsid w:val="00D9612F"/>
    <w:rsid w:val="00D979F7"/>
    <w:rsid w:val="00D97FC7"/>
    <w:rsid w:val="00DA03AE"/>
    <w:rsid w:val="00DA16E2"/>
    <w:rsid w:val="00DA1D3F"/>
    <w:rsid w:val="00DA1DDE"/>
    <w:rsid w:val="00DA1DF7"/>
    <w:rsid w:val="00DA29EB"/>
    <w:rsid w:val="00DA30ED"/>
    <w:rsid w:val="00DA341C"/>
    <w:rsid w:val="00DA3B64"/>
    <w:rsid w:val="00DA4057"/>
    <w:rsid w:val="00DA41D1"/>
    <w:rsid w:val="00DA4445"/>
    <w:rsid w:val="00DA454D"/>
    <w:rsid w:val="00DA4D97"/>
    <w:rsid w:val="00DA4EAC"/>
    <w:rsid w:val="00DA595B"/>
    <w:rsid w:val="00DA5CA5"/>
    <w:rsid w:val="00DA6142"/>
    <w:rsid w:val="00DA6225"/>
    <w:rsid w:val="00DA6303"/>
    <w:rsid w:val="00DA6630"/>
    <w:rsid w:val="00DA704F"/>
    <w:rsid w:val="00DA7422"/>
    <w:rsid w:val="00DA7B7C"/>
    <w:rsid w:val="00DB00DA"/>
    <w:rsid w:val="00DB023C"/>
    <w:rsid w:val="00DB037C"/>
    <w:rsid w:val="00DB1328"/>
    <w:rsid w:val="00DB1CBC"/>
    <w:rsid w:val="00DB2593"/>
    <w:rsid w:val="00DB3116"/>
    <w:rsid w:val="00DB3944"/>
    <w:rsid w:val="00DB3AD2"/>
    <w:rsid w:val="00DB4D02"/>
    <w:rsid w:val="00DB60B7"/>
    <w:rsid w:val="00DB63CE"/>
    <w:rsid w:val="00DB6E15"/>
    <w:rsid w:val="00DB7905"/>
    <w:rsid w:val="00DB7BD0"/>
    <w:rsid w:val="00DC03EA"/>
    <w:rsid w:val="00DC0E21"/>
    <w:rsid w:val="00DC107D"/>
    <w:rsid w:val="00DC145F"/>
    <w:rsid w:val="00DC1463"/>
    <w:rsid w:val="00DC159F"/>
    <w:rsid w:val="00DC15AA"/>
    <w:rsid w:val="00DC1AC5"/>
    <w:rsid w:val="00DC3297"/>
    <w:rsid w:val="00DC360C"/>
    <w:rsid w:val="00DC4662"/>
    <w:rsid w:val="00DC4B7E"/>
    <w:rsid w:val="00DC4DB4"/>
    <w:rsid w:val="00DC4DEC"/>
    <w:rsid w:val="00DC5179"/>
    <w:rsid w:val="00DC5925"/>
    <w:rsid w:val="00DC5BB4"/>
    <w:rsid w:val="00DC5CDD"/>
    <w:rsid w:val="00DC6101"/>
    <w:rsid w:val="00DC6DEA"/>
    <w:rsid w:val="00DC7195"/>
    <w:rsid w:val="00DC75D7"/>
    <w:rsid w:val="00DC7A01"/>
    <w:rsid w:val="00DC7C01"/>
    <w:rsid w:val="00DC7C2C"/>
    <w:rsid w:val="00DD259B"/>
    <w:rsid w:val="00DD377D"/>
    <w:rsid w:val="00DD3D15"/>
    <w:rsid w:val="00DD4818"/>
    <w:rsid w:val="00DD519E"/>
    <w:rsid w:val="00DD5264"/>
    <w:rsid w:val="00DD58E0"/>
    <w:rsid w:val="00DD5B9A"/>
    <w:rsid w:val="00DD5D5A"/>
    <w:rsid w:val="00DD6071"/>
    <w:rsid w:val="00DD75A1"/>
    <w:rsid w:val="00DE03A3"/>
    <w:rsid w:val="00DE0524"/>
    <w:rsid w:val="00DE0C53"/>
    <w:rsid w:val="00DE1412"/>
    <w:rsid w:val="00DE1EC9"/>
    <w:rsid w:val="00DE22A5"/>
    <w:rsid w:val="00DE43CF"/>
    <w:rsid w:val="00DE5BA9"/>
    <w:rsid w:val="00DE60EB"/>
    <w:rsid w:val="00DE67BF"/>
    <w:rsid w:val="00DE6C23"/>
    <w:rsid w:val="00DE6F42"/>
    <w:rsid w:val="00DE74C5"/>
    <w:rsid w:val="00DE7799"/>
    <w:rsid w:val="00DF02D1"/>
    <w:rsid w:val="00DF1A8A"/>
    <w:rsid w:val="00DF2E7F"/>
    <w:rsid w:val="00DF326E"/>
    <w:rsid w:val="00DF32E4"/>
    <w:rsid w:val="00DF3706"/>
    <w:rsid w:val="00DF3AA2"/>
    <w:rsid w:val="00DF40AB"/>
    <w:rsid w:val="00DF5CED"/>
    <w:rsid w:val="00DF7B8F"/>
    <w:rsid w:val="00DF7BAA"/>
    <w:rsid w:val="00E001FD"/>
    <w:rsid w:val="00E00879"/>
    <w:rsid w:val="00E00BAA"/>
    <w:rsid w:val="00E03148"/>
    <w:rsid w:val="00E03582"/>
    <w:rsid w:val="00E05576"/>
    <w:rsid w:val="00E0634F"/>
    <w:rsid w:val="00E06A8C"/>
    <w:rsid w:val="00E06D7B"/>
    <w:rsid w:val="00E104EB"/>
    <w:rsid w:val="00E113E1"/>
    <w:rsid w:val="00E11477"/>
    <w:rsid w:val="00E11757"/>
    <w:rsid w:val="00E1186A"/>
    <w:rsid w:val="00E12724"/>
    <w:rsid w:val="00E12CE4"/>
    <w:rsid w:val="00E1309B"/>
    <w:rsid w:val="00E1400E"/>
    <w:rsid w:val="00E14125"/>
    <w:rsid w:val="00E14C5F"/>
    <w:rsid w:val="00E1565A"/>
    <w:rsid w:val="00E1580C"/>
    <w:rsid w:val="00E16764"/>
    <w:rsid w:val="00E17810"/>
    <w:rsid w:val="00E17EDC"/>
    <w:rsid w:val="00E2003A"/>
    <w:rsid w:val="00E21030"/>
    <w:rsid w:val="00E21A97"/>
    <w:rsid w:val="00E2366C"/>
    <w:rsid w:val="00E24DF6"/>
    <w:rsid w:val="00E2709B"/>
    <w:rsid w:val="00E27BA5"/>
    <w:rsid w:val="00E30F55"/>
    <w:rsid w:val="00E30FB0"/>
    <w:rsid w:val="00E3239D"/>
    <w:rsid w:val="00E32D06"/>
    <w:rsid w:val="00E33703"/>
    <w:rsid w:val="00E33AD6"/>
    <w:rsid w:val="00E33F87"/>
    <w:rsid w:val="00E34D72"/>
    <w:rsid w:val="00E352EE"/>
    <w:rsid w:val="00E359D5"/>
    <w:rsid w:val="00E35AF4"/>
    <w:rsid w:val="00E35FB6"/>
    <w:rsid w:val="00E376AA"/>
    <w:rsid w:val="00E404A0"/>
    <w:rsid w:val="00E4066B"/>
    <w:rsid w:val="00E40F39"/>
    <w:rsid w:val="00E4174F"/>
    <w:rsid w:val="00E43DFB"/>
    <w:rsid w:val="00E4402B"/>
    <w:rsid w:val="00E447CE"/>
    <w:rsid w:val="00E44877"/>
    <w:rsid w:val="00E45402"/>
    <w:rsid w:val="00E45731"/>
    <w:rsid w:val="00E4581F"/>
    <w:rsid w:val="00E45BB8"/>
    <w:rsid w:val="00E46320"/>
    <w:rsid w:val="00E46D6C"/>
    <w:rsid w:val="00E52857"/>
    <w:rsid w:val="00E53355"/>
    <w:rsid w:val="00E540E5"/>
    <w:rsid w:val="00E541A2"/>
    <w:rsid w:val="00E54F2A"/>
    <w:rsid w:val="00E554C2"/>
    <w:rsid w:val="00E57AA0"/>
    <w:rsid w:val="00E60890"/>
    <w:rsid w:val="00E610E2"/>
    <w:rsid w:val="00E61368"/>
    <w:rsid w:val="00E625C1"/>
    <w:rsid w:val="00E627BA"/>
    <w:rsid w:val="00E62A85"/>
    <w:rsid w:val="00E62AAA"/>
    <w:rsid w:val="00E62B54"/>
    <w:rsid w:val="00E62EBD"/>
    <w:rsid w:val="00E6311C"/>
    <w:rsid w:val="00E6326B"/>
    <w:rsid w:val="00E63596"/>
    <w:rsid w:val="00E63937"/>
    <w:rsid w:val="00E65311"/>
    <w:rsid w:val="00E65C58"/>
    <w:rsid w:val="00E66065"/>
    <w:rsid w:val="00E66228"/>
    <w:rsid w:val="00E66564"/>
    <w:rsid w:val="00E671B1"/>
    <w:rsid w:val="00E672A5"/>
    <w:rsid w:val="00E67C30"/>
    <w:rsid w:val="00E70281"/>
    <w:rsid w:val="00E7142D"/>
    <w:rsid w:val="00E716BB"/>
    <w:rsid w:val="00E71900"/>
    <w:rsid w:val="00E71A91"/>
    <w:rsid w:val="00E71BB9"/>
    <w:rsid w:val="00E72155"/>
    <w:rsid w:val="00E73502"/>
    <w:rsid w:val="00E73E0A"/>
    <w:rsid w:val="00E7409B"/>
    <w:rsid w:val="00E754F6"/>
    <w:rsid w:val="00E757A3"/>
    <w:rsid w:val="00E75A53"/>
    <w:rsid w:val="00E75FD2"/>
    <w:rsid w:val="00E76341"/>
    <w:rsid w:val="00E767AD"/>
    <w:rsid w:val="00E7733A"/>
    <w:rsid w:val="00E80325"/>
    <w:rsid w:val="00E8116B"/>
    <w:rsid w:val="00E82026"/>
    <w:rsid w:val="00E820C8"/>
    <w:rsid w:val="00E82182"/>
    <w:rsid w:val="00E82560"/>
    <w:rsid w:val="00E8294C"/>
    <w:rsid w:val="00E82C1B"/>
    <w:rsid w:val="00E83069"/>
    <w:rsid w:val="00E83287"/>
    <w:rsid w:val="00E83A21"/>
    <w:rsid w:val="00E83AC3"/>
    <w:rsid w:val="00E84616"/>
    <w:rsid w:val="00E84B84"/>
    <w:rsid w:val="00E856D5"/>
    <w:rsid w:val="00E86336"/>
    <w:rsid w:val="00E8743C"/>
    <w:rsid w:val="00E877CF"/>
    <w:rsid w:val="00E90127"/>
    <w:rsid w:val="00E9034D"/>
    <w:rsid w:val="00E90A4C"/>
    <w:rsid w:val="00E912F3"/>
    <w:rsid w:val="00E9198D"/>
    <w:rsid w:val="00E91FFE"/>
    <w:rsid w:val="00E92C74"/>
    <w:rsid w:val="00E92DD3"/>
    <w:rsid w:val="00E93823"/>
    <w:rsid w:val="00E93F6E"/>
    <w:rsid w:val="00E952AC"/>
    <w:rsid w:val="00E957FA"/>
    <w:rsid w:val="00E9628D"/>
    <w:rsid w:val="00E97267"/>
    <w:rsid w:val="00E97B3F"/>
    <w:rsid w:val="00EA0489"/>
    <w:rsid w:val="00EA167D"/>
    <w:rsid w:val="00EA1E54"/>
    <w:rsid w:val="00EA4131"/>
    <w:rsid w:val="00EA453C"/>
    <w:rsid w:val="00EA4A13"/>
    <w:rsid w:val="00EA5C3A"/>
    <w:rsid w:val="00EA7686"/>
    <w:rsid w:val="00EA7B21"/>
    <w:rsid w:val="00EA7FC9"/>
    <w:rsid w:val="00EB18D4"/>
    <w:rsid w:val="00EB198A"/>
    <w:rsid w:val="00EB23BA"/>
    <w:rsid w:val="00EB285E"/>
    <w:rsid w:val="00EB2C7A"/>
    <w:rsid w:val="00EB2F28"/>
    <w:rsid w:val="00EB3653"/>
    <w:rsid w:val="00EB48C5"/>
    <w:rsid w:val="00EB4C69"/>
    <w:rsid w:val="00EB4ECB"/>
    <w:rsid w:val="00EB52E1"/>
    <w:rsid w:val="00EB53EA"/>
    <w:rsid w:val="00EB5833"/>
    <w:rsid w:val="00EB58CC"/>
    <w:rsid w:val="00EB5978"/>
    <w:rsid w:val="00EB5C41"/>
    <w:rsid w:val="00EB7248"/>
    <w:rsid w:val="00EB7C67"/>
    <w:rsid w:val="00EC00E1"/>
    <w:rsid w:val="00EC15E2"/>
    <w:rsid w:val="00EC19BE"/>
    <w:rsid w:val="00EC1A34"/>
    <w:rsid w:val="00EC233D"/>
    <w:rsid w:val="00EC31C3"/>
    <w:rsid w:val="00EC33D9"/>
    <w:rsid w:val="00EC41E7"/>
    <w:rsid w:val="00EC4869"/>
    <w:rsid w:val="00EC4D7D"/>
    <w:rsid w:val="00EC4F94"/>
    <w:rsid w:val="00EC69ED"/>
    <w:rsid w:val="00ED0623"/>
    <w:rsid w:val="00ED083B"/>
    <w:rsid w:val="00ED1DD9"/>
    <w:rsid w:val="00ED30A3"/>
    <w:rsid w:val="00ED3700"/>
    <w:rsid w:val="00ED3C3D"/>
    <w:rsid w:val="00ED57B3"/>
    <w:rsid w:val="00ED58EA"/>
    <w:rsid w:val="00ED5E87"/>
    <w:rsid w:val="00ED6F50"/>
    <w:rsid w:val="00EE015C"/>
    <w:rsid w:val="00EE018A"/>
    <w:rsid w:val="00EE0933"/>
    <w:rsid w:val="00EE1BC4"/>
    <w:rsid w:val="00EE276A"/>
    <w:rsid w:val="00EE2947"/>
    <w:rsid w:val="00EE2B13"/>
    <w:rsid w:val="00EE2BD6"/>
    <w:rsid w:val="00EE2C09"/>
    <w:rsid w:val="00EE391A"/>
    <w:rsid w:val="00EE3970"/>
    <w:rsid w:val="00EE39AA"/>
    <w:rsid w:val="00EE455B"/>
    <w:rsid w:val="00EE5222"/>
    <w:rsid w:val="00EE5B04"/>
    <w:rsid w:val="00EE61CD"/>
    <w:rsid w:val="00EE69D7"/>
    <w:rsid w:val="00EF0841"/>
    <w:rsid w:val="00EF08C8"/>
    <w:rsid w:val="00EF1663"/>
    <w:rsid w:val="00EF173B"/>
    <w:rsid w:val="00EF1F24"/>
    <w:rsid w:val="00EF2313"/>
    <w:rsid w:val="00EF3383"/>
    <w:rsid w:val="00EF35A3"/>
    <w:rsid w:val="00EF364B"/>
    <w:rsid w:val="00EF410D"/>
    <w:rsid w:val="00EF4C0B"/>
    <w:rsid w:val="00EF4EDC"/>
    <w:rsid w:val="00EF5A48"/>
    <w:rsid w:val="00EF6EC7"/>
    <w:rsid w:val="00EF7756"/>
    <w:rsid w:val="00EF7E3D"/>
    <w:rsid w:val="00F0066D"/>
    <w:rsid w:val="00F00A5D"/>
    <w:rsid w:val="00F00CA6"/>
    <w:rsid w:val="00F0159B"/>
    <w:rsid w:val="00F01B36"/>
    <w:rsid w:val="00F0432E"/>
    <w:rsid w:val="00F04AAC"/>
    <w:rsid w:val="00F04CB9"/>
    <w:rsid w:val="00F04D94"/>
    <w:rsid w:val="00F05BB2"/>
    <w:rsid w:val="00F05DDC"/>
    <w:rsid w:val="00F06551"/>
    <w:rsid w:val="00F06783"/>
    <w:rsid w:val="00F06D99"/>
    <w:rsid w:val="00F06E2B"/>
    <w:rsid w:val="00F101AF"/>
    <w:rsid w:val="00F1060C"/>
    <w:rsid w:val="00F10F50"/>
    <w:rsid w:val="00F113D3"/>
    <w:rsid w:val="00F11A78"/>
    <w:rsid w:val="00F11D67"/>
    <w:rsid w:val="00F1241C"/>
    <w:rsid w:val="00F128B9"/>
    <w:rsid w:val="00F12CA0"/>
    <w:rsid w:val="00F13CE5"/>
    <w:rsid w:val="00F14BF9"/>
    <w:rsid w:val="00F15043"/>
    <w:rsid w:val="00F1576F"/>
    <w:rsid w:val="00F20158"/>
    <w:rsid w:val="00F20885"/>
    <w:rsid w:val="00F20948"/>
    <w:rsid w:val="00F20974"/>
    <w:rsid w:val="00F20FFA"/>
    <w:rsid w:val="00F21F86"/>
    <w:rsid w:val="00F222FF"/>
    <w:rsid w:val="00F23640"/>
    <w:rsid w:val="00F23D03"/>
    <w:rsid w:val="00F23F8D"/>
    <w:rsid w:val="00F2466C"/>
    <w:rsid w:val="00F246A2"/>
    <w:rsid w:val="00F24810"/>
    <w:rsid w:val="00F24FB1"/>
    <w:rsid w:val="00F25221"/>
    <w:rsid w:val="00F25C47"/>
    <w:rsid w:val="00F26349"/>
    <w:rsid w:val="00F26BD1"/>
    <w:rsid w:val="00F26BEB"/>
    <w:rsid w:val="00F27567"/>
    <w:rsid w:val="00F30A13"/>
    <w:rsid w:val="00F328C0"/>
    <w:rsid w:val="00F32ED5"/>
    <w:rsid w:val="00F341E0"/>
    <w:rsid w:val="00F34C91"/>
    <w:rsid w:val="00F352EC"/>
    <w:rsid w:val="00F35304"/>
    <w:rsid w:val="00F35964"/>
    <w:rsid w:val="00F36053"/>
    <w:rsid w:val="00F36125"/>
    <w:rsid w:val="00F3661E"/>
    <w:rsid w:val="00F36919"/>
    <w:rsid w:val="00F3794E"/>
    <w:rsid w:val="00F37E2A"/>
    <w:rsid w:val="00F37FDA"/>
    <w:rsid w:val="00F422B1"/>
    <w:rsid w:val="00F424DD"/>
    <w:rsid w:val="00F425BF"/>
    <w:rsid w:val="00F42DAE"/>
    <w:rsid w:val="00F43793"/>
    <w:rsid w:val="00F43D00"/>
    <w:rsid w:val="00F44348"/>
    <w:rsid w:val="00F448DF"/>
    <w:rsid w:val="00F46145"/>
    <w:rsid w:val="00F46289"/>
    <w:rsid w:val="00F4646B"/>
    <w:rsid w:val="00F469E7"/>
    <w:rsid w:val="00F50EBC"/>
    <w:rsid w:val="00F511D5"/>
    <w:rsid w:val="00F51472"/>
    <w:rsid w:val="00F5253D"/>
    <w:rsid w:val="00F53079"/>
    <w:rsid w:val="00F53716"/>
    <w:rsid w:val="00F53A37"/>
    <w:rsid w:val="00F55A2D"/>
    <w:rsid w:val="00F562A1"/>
    <w:rsid w:val="00F564BD"/>
    <w:rsid w:val="00F574C0"/>
    <w:rsid w:val="00F57BB3"/>
    <w:rsid w:val="00F60213"/>
    <w:rsid w:val="00F614DF"/>
    <w:rsid w:val="00F61BD7"/>
    <w:rsid w:val="00F636EF"/>
    <w:rsid w:val="00F63A7E"/>
    <w:rsid w:val="00F6546E"/>
    <w:rsid w:val="00F65959"/>
    <w:rsid w:val="00F663C9"/>
    <w:rsid w:val="00F66556"/>
    <w:rsid w:val="00F6674C"/>
    <w:rsid w:val="00F70603"/>
    <w:rsid w:val="00F71379"/>
    <w:rsid w:val="00F71D5F"/>
    <w:rsid w:val="00F72E53"/>
    <w:rsid w:val="00F73489"/>
    <w:rsid w:val="00F73E27"/>
    <w:rsid w:val="00F749CC"/>
    <w:rsid w:val="00F758FE"/>
    <w:rsid w:val="00F77359"/>
    <w:rsid w:val="00F77448"/>
    <w:rsid w:val="00F77C10"/>
    <w:rsid w:val="00F809C5"/>
    <w:rsid w:val="00F81C0C"/>
    <w:rsid w:val="00F81C1C"/>
    <w:rsid w:val="00F81E6A"/>
    <w:rsid w:val="00F82300"/>
    <w:rsid w:val="00F827C7"/>
    <w:rsid w:val="00F82DD2"/>
    <w:rsid w:val="00F82E97"/>
    <w:rsid w:val="00F83579"/>
    <w:rsid w:val="00F8502D"/>
    <w:rsid w:val="00F8557F"/>
    <w:rsid w:val="00F8572E"/>
    <w:rsid w:val="00F870E1"/>
    <w:rsid w:val="00F9030E"/>
    <w:rsid w:val="00F90D0E"/>
    <w:rsid w:val="00F912E1"/>
    <w:rsid w:val="00F9130D"/>
    <w:rsid w:val="00F92A4F"/>
    <w:rsid w:val="00F92DDF"/>
    <w:rsid w:val="00F93702"/>
    <w:rsid w:val="00F93A38"/>
    <w:rsid w:val="00F93B22"/>
    <w:rsid w:val="00F940EF"/>
    <w:rsid w:val="00F9444D"/>
    <w:rsid w:val="00F9457B"/>
    <w:rsid w:val="00F94ABE"/>
    <w:rsid w:val="00F94B89"/>
    <w:rsid w:val="00F9630D"/>
    <w:rsid w:val="00F967C8"/>
    <w:rsid w:val="00F9680C"/>
    <w:rsid w:val="00F96B12"/>
    <w:rsid w:val="00F97DD0"/>
    <w:rsid w:val="00FA016B"/>
    <w:rsid w:val="00FA191D"/>
    <w:rsid w:val="00FA351C"/>
    <w:rsid w:val="00FA36FE"/>
    <w:rsid w:val="00FA3A01"/>
    <w:rsid w:val="00FA414C"/>
    <w:rsid w:val="00FA5890"/>
    <w:rsid w:val="00FA5C89"/>
    <w:rsid w:val="00FA6098"/>
    <w:rsid w:val="00FA6479"/>
    <w:rsid w:val="00FA6A08"/>
    <w:rsid w:val="00FA6D1A"/>
    <w:rsid w:val="00FA7073"/>
    <w:rsid w:val="00FA72FB"/>
    <w:rsid w:val="00FA792B"/>
    <w:rsid w:val="00FB0859"/>
    <w:rsid w:val="00FB2A9B"/>
    <w:rsid w:val="00FB2EF5"/>
    <w:rsid w:val="00FB559F"/>
    <w:rsid w:val="00FB6C55"/>
    <w:rsid w:val="00FB70C1"/>
    <w:rsid w:val="00FC01F7"/>
    <w:rsid w:val="00FC1404"/>
    <w:rsid w:val="00FC282C"/>
    <w:rsid w:val="00FC2DB2"/>
    <w:rsid w:val="00FC34CA"/>
    <w:rsid w:val="00FC4D4E"/>
    <w:rsid w:val="00FC58F1"/>
    <w:rsid w:val="00FC5A37"/>
    <w:rsid w:val="00FC60EC"/>
    <w:rsid w:val="00FC64F2"/>
    <w:rsid w:val="00FC682E"/>
    <w:rsid w:val="00FD0359"/>
    <w:rsid w:val="00FD26E6"/>
    <w:rsid w:val="00FD2D81"/>
    <w:rsid w:val="00FD34D4"/>
    <w:rsid w:val="00FD39EA"/>
    <w:rsid w:val="00FD479A"/>
    <w:rsid w:val="00FD47DC"/>
    <w:rsid w:val="00FD48E5"/>
    <w:rsid w:val="00FD6EAF"/>
    <w:rsid w:val="00FD718D"/>
    <w:rsid w:val="00FD7222"/>
    <w:rsid w:val="00FD79C2"/>
    <w:rsid w:val="00FE1079"/>
    <w:rsid w:val="00FE2EE3"/>
    <w:rsid w:val="00FE4052"/>
    <w:rsid w:val="00FE4710"/>
    <w:rsid w:val="00FE482F"/>
    <w:rsid w:val="00FE624E"/>
    <w:rsid w:val="00FE7318"/>
    <w:rsid w:val="00FE734E"/>
    <w:rsid w:val="00FE78B4"/>
    <w:rsid w:val="00FF08B1"/>
    <w:rsid w:val="00FF0B90"/>
    <w:rsid w:val="00FF10AA"/>
    <w:rsid w:val="00FF14AD"/>
    <w:rsid w:val="00FF1D46"/>
    <w:rsid w:val="00FF3E2F"/>
    <w:rsid w:val="00FF46D5"/>
    <w:rsid w:val="00FF4B68"/>
    <w:rsid w:val="00FF4CFB"/>
    <w:rsid w:val="00FF5315"/>
    <w:rsid w:val="00FF5AC6"/>
    <w:rsid w:val="00FF69BA"/>
    <w:rsid w:val="00FF795A"/>
    <w:rsid w:val="018C8AB3"/>
    <w:rsid w:val="01B58575"/>
    <w:rsid w:val="01FB0858"/>
    <w:rsid w:val="02571C5D"/>
    <w:rsid w:val="02D8E03E"/>
    <w:rsid w:val="0313FEAC"/>
    <w:rsid w:val="03425DA2"/>
    <w:rsid w:val="035456A3"/>
    <w:rsid w:val="03B4577C"/>
    <w:rsid w:val="03D78AAE"/>
    <w:rsid w:val="0430BC28"/>
    <w:rsid w:val="0472EB32"/>
    <w:rsid w:val="048D749F"/>
    <w:rsid w:val="04AEB812"/>
    <w:rsid w:val="05DCCB08"/>
    <w:rsid w:val="065073F5"/>
    <w:rsid w:val="06D4927A"/>
    <w:rsid w:val="0703836A"/>
    <w:rsid w:val="0775C341"/>
    <w:rsid w:val="079CDEB5"/>
    <w:rsid w:val="07B4D144"/>
    <w:rsid w:val="07ED5599"/>
    <w:rsid w:val="07F3BB48"/>
    <w:rsid w:val="089C392B"/>
    <w:rsid w:val="0AA43D6C"/>
    <w:rsid w:val="0ACC3F3F"/>
    <w:rsid w:val="0B138A10"/>
    <w:rsid w:val="0BC583C9"/>
    <w:rsid w:val="0C619323"/>
    <w:rsid w:val="0C7A0B9C"/>
    <w:rsid w:val="0CD58921"/>
    <w:rsid w:val="0CEEE464"/>
    <w:rsid w:val="0D7544B7"/>
    <w:rsid w:val="0D941C3C"/>
    <w:rsid w:val="0D974EAA"/>
    <w:rsid w:val="0DA0E8FA"/>
    <w:rsid w:val="0DBAFC19"/>
    <w:rsid w:val="0DEFEE4F"/>
    <w:rsid w:val="0E4BD54E"/>
    <w:rsid w:val="0EA467FD"/>
    <w:rsid w:val="0F14958A"/>
    <w:rsid w:val="0F416190"/>
    <w:rsid w:val="0F425422"/>
    <w:rsid w:val="0F4E5EB7"/>
    <w:rsid w:val="0F68C15D"/>
    <w:rsid w:val="0FB9AF7F"/>
    <w:rsid w:val="0FE09D86"/>
    <w:rsid w:val="10093D3B"/>
    <w:rsid w:val="102B440F"/>
    <w:rsid w:val="106DC22A"/>
    <w:rsid w:val="108514CC"/>
    <w:rsid w:val="1217DDB4"/>
    <w:rsid w:val="1270389B"/>
    <w:rsid w:val="12FE04BD"/>
    <w:rsid w:val="136BEC2D"/>
    <w:rsid w:val="139BC285"/>
    <w:rsid w:val="1480C579"/>
    <w:rsid w:val="14D6ED60"/>
    <w:rsid w:val="1569ED13"/>
    <w:rsid w:val="17140BF9"/>
    <w:rsid w:val="17161F3A"/>
    <w:rsid w:val="17255A02"/>
    <w:rsid w:val="17AE5651"/>
    <w:rsid w:val="18B9BDE4"/>
    <w:rsid w:val="1946D96A"/>
    <w:rsid w:val="19789A63"/>
    <w:rsid w:val="19AD56AB"/>
    <w:rsid w:val="1A2411B7"/>
    <w:rsid w:val="1A2DD6D9"/>
    <w:rsid w:val="1A5D2F3F"/>
    <w:rsid w:val="1BCE3092"/>
    <w:rsid w:val="1BE44B56"/>
    <w:rsid w:val="1C787DD6"/>
    <w:rsid w:val="1D10D92B"/>
    <w:rsid w:val="1D1BDB11"/>
    <w:rsid w:val="1D1E1299"/>
    <w:rsid w:val="1E07ACCE"/>
    <w:rsid w:val="1E1FA88A"/>
    <w:rsid w:val="1E68A2AE"/>
    <w:rsid w:val="1EED5F51"/>
    <w:rsid w:val="1F33AC92"/>
    <w:rsid w:val="1F3444CA"/>
    <w:rsid w:val="203F70DF"/>
    <w:rsid w:val="21C343F0"/>
    <w:rsid w:val="2287B6A0"/>
    <w:rsid w:val="22ACDC74"/>
    <w:rsid w:val="22B06794"/>
    <w:rsid w:val="23611A59"/>
    <w:rsid w:val="23B5CC2A"/>
    <w:rsid w:val="23D808AE"/>
    <w:rsid w:val="23F0788A"/>
    <w:rsid w:val="240183EF"/>
    <w:rsid w:val="245A9A5A"/>
    <w:rsid w:val="24A77D08"/>
    <w:rsid w:val="24B611C1"/>
    <w:rsid w:val="24FD287B"/>
    <w:rsid w:val="2580A242"/>
    <w:rsid w:val="25B68EC2"/>
    <w:rsid w:val="25BD391C"/>
    <w:rsid w:val="25D72F52"/>
    <w:rsid w:val="2634267C"/>
    <w:rsid w:val="274DAD5C"/>
    <w:rsid w:val="27EC16FE"/>
    <w:rsid w:val="2946DCE5"/>
    <w:rsid w:val="295C8864"/>
    <w:rsid w:val="296E9B1B"/>
    <w:rsid w:val="29D0D955"/>
    <w:rsid w:val="2B65211C"/>
    <w:rsid w:val="2BEC7A80"/>
    <w:rsid w:val="2C2CF675"/>
    <w:rsid w:val="2C355471"/>
    <w:rsid w:val="2CE92C1A"/>
    <w:rsid w:val="2D257281"/>
    <w:rsid w:val="2D266335"/>
    <w:rsid w:val="2D3B5FF0"/>
    <w:rsid w:val="2D4BF97A"/>
    <w:rsid w:val="2D58045C"/>
    <w:rsid w:val="2E544879"/>
    <w:rsid w:val="2E89DABB"/>
    <w:rsid w:val="2E9E1D22"/>
    <w:rsid w:val="2EA11C07"/>
    <w:rsid w:val="2EEA4324"/>
    <w:rsid w:val="2F1C417F"/>
    <w:rsid w:val="2F4315C4"/>
    <w:rsid w:val="2F685DD6"/>
    <w:rsid w:val="2F781EBB"/>
    <w:rsid w:val="2F785E66"/>
    <w:rsid w:val="304058D9"/>
    <w:rsid w:val="3076EA5A"/>
    <w:rsid w:val="30943AE6"/>
    <w:rsid w:val="30AE446F"/>
    <w:rsid w:val="30B71207"/>
    <w:rsid w:val="30B80F54"/>
    <w:rsid w:val="319FED2F"/>
    <w:rsid w:val="31C888FF"/>
    <w:rsid w:val="31D2BA75"/>
    <w:rsid w:val="326B8896"/>
    <w:rsid w:val="326C13E3"/>
    <w:rsid w:val="32930720"/>
    <w:rsid w:val="3302DFD1"/>
    <w:rsid w:val="3317FC26"/>
    <w:rsid w:val="33C31796"/>
    <w:rsid w:val="33C39FCF"/>
    <w:rsid w:val="34CC37CC"/>
    <w:rsid w:val="353D48EA"/>
    <w:rsid w:val="354D87A5"/>
    <w:rsid w:val="354D8C5B"/>
    <w:rsid w:val="35FA5DCD"/>
    <w:rsid w:val="362161E9"/>
    <w:rsid w:val="3974BA07"/>
    <w:rsid w:val="39FD11F7"/>
    <w:rsid w:val="3A08B45C"/>
    <w:rsid w:val="3AE09C48"/>
    <w:rsid w:val="3BE4F730"/>
    <w:rsid w:val="3BEDB167"/>
    <w:rsid w:val="3C418DCF"/>
    <w:rsid w:val="3C6F3203"/>
    <w:rsid w:val="3C85F976"/>
    <w:rsid w:val="3CA23C52"/>
    <w:rsid w:val="3CCED873"/>
    <w:rsid w:val="3CED787E"/>
    <w:rsid w:val="3CF0C92A"/>
    <w:rsid w:val="3CF76D96"/>
    <w:rsid w:val="3D147A20"/>
    <w:rsid w:val="3D32131A"/>
    <w:rsid w:val="3DA9B78B"/>
    <w:rsid w:val="3E15AAD7"/>
    <w:rsid w:val="3E8483D5"/>
    <w:rsid w:val="3E8B46C2"/>
    <w:rsid w:val="3EA2DAA7"/>
    <w:rsid w:val="3F20E09E"/>
    <w:rsid w:val="3F4EE791"/>
    <w:rsid w:val="3F8320F5"/>
    <w:rsid w:val="3FBA0462"/>
    <w:rsid w:val="3FCE68FD"/>
    <w:rsid w:val="3FD89C32"/>
    <w:rsid w:val="402274CB"/>
    <w:rsid w:val="40761121"/>
    <w:rsid w:val="4116B2E8"/>
    <w:rsid w:val="42226404"/>
    <w:rsid w:val="42BC6220"/>
    <w:rsid w:val="42BE7B78"/>
    <w:rsid w:val="42D49721"/>
    <w:rsid w:val="43F42B42"/>
    <w:rsid w:val="44A33D68"/>
    <w:rsid w:val="44A7E0CA"/>
    <w:rsid w:val="450568EE"/>
    <w:rsid w:val="450850BB"/>
    <w:rsid w:val="454FF855"/>
    <w:rsid w:val="45597834"/>
    <w:rsid w:val="456CDEC5"/>
    <w:rsid w:val="458C9A26"/>
    <w:rsid w:val="458D13EB"/>
    <w:rsid w:val="458E5C8A"/>
    <w:rsid w:val="45CFBA82"/>
    <w:rsid w:val="4603A9FF"/>
    <w:rsid w:val="4685D580"/>
    <w:rsid w:val="46C26028"/>
    <w:rsid w:val="471EAE1C"/>
    <w:rsid w:val="4724B5F0"/>
    <w:rsid w:val="4741D53B"/>
    <w:rsid w:val="474206EA"/>
    <w:rsid w:val="47617223"/>
    <w:rsid w:val="47C1D4F9"/>
    <w:rsid w:val="4836DFDA"/>
    <w:rsid w:val="4849CC30"/>
    <w:rsid w:val="48667789"/>
    <w:rsid w:val="48B0BCDA"/>
    <w:rsid w:val="49F87A21"/>
    <w:rsid w:val="4AAE7FAB"/>
    <w:rsid w:val="4AB6FECE"/>
    <w:rsid w:val="4ACC989C"/>
    <w:rsid w:val="4AEDC0F9"/>
    <w:rsid w:val="4B0C6796"/>
    <w:rsid w:val="4B3EA8E5"/>
    <w:rsid w:val="4BB43325"/>
    <w:rsid w:val="4BBBF4D7"/>
    <w:rsid w:val="4C06F4E5"/>
    <w:rsid w:val="4C395ABA"/>
    <w:rsid w:val="4C95C048"/>
    <w:rsid w:val="4CABF859"/>
    <w:rsid w:val="4DB32720"/>
    <w:rsid w:val="4DD34678"/>
    <w:rsid w:val="4E452F87"/>
    <w:rsid w:val="4E4EB08A"/>
    <w:rsid w:val="4EA61BC8"/>
    <w:rsid w:val="4EB5200C"/>
    <w:rsid w:val="4EED74C8"/>
    <w:rsid w:val="4F2E39C4"/>
    <w:rsid w:val="4F6DD19B"/>
    <w:rsid w:val="50BDC16B"/>
    <w:rsid w:val="50EC768C"/>
    <w:rsid w:val="517D3E95"/>
    <w:rsid w:val="5198E4BD"/>
    <w:rsid w:val="51FAC485"/>
    <w:rsid w:val="52D15A1F"/>
    <w:rsid w:val="539B951E"/>
    <w:rsid w:val="53A0C093"/>
    <w:rsid w:val="542A7149"/>
    <w:rsid w:val="54315301"/>
    <w:rsid w:val="5452118F"/>
    <w:rsid w:val="54DDF4FA"/>
    <w:rsid w:val="55BB2CE2"/>
    <w:rsid w:val="5600BBB7"/>
    <w:rsid w:val="56376CC0"/>
    <w:rsid w:val="5651D5A5"/>
    <w:rsid w:val="565988EE"/>
    <w:rsid w:val="5756871F"/>
    <w:rsid w:val="57C9C42F"/>
    <w:rsid w:val="5861C65D"/>
    <w:rsid w:val="5921F312"/>
    <w:rsid w:val="59BEDDC4"/>
    <w:rsid w:val="5A16D342"/>
    <w:rsid w:val="5CA6F69A"/>
    <w:rsid w:val="5CF3FFCE"/>
    <w:rsid w:val="5D4C7B0F"/>
    <w:rsid w:val="5D619208"/>
    <w:rsid w:val="5D6A3724"/>
    <w:rsid w:val="5D7542C9"/>
    <w:rsid w:val="5E2AD12B"/>
    <w:rsid w:val="5F00F7D0"/>
    <w:rsid w:val="5F05871A"/>
    <w:rsid w:val="5F935413"/>
    <w:rsid w:val="6015EEAE"/>
    <w:rsid w:val="60833C9B"/>
    <w:rsid w:val="60F593F7"/>
    <w:rsid w:val="61826795"/>
    <w:rsid w:val="61E02F7B"/>
    <w:rsid w:val="622D7974"/>
    <w:rsid w:val="62716837"/>
    <w:rsid w:val="627FEAC7"/>
    <w:rsid w:val="62B16864"/>
    <w:rsid w:val="632EA253"/>
    <w:rsid w:val="6359D309"/>
    <w:rsid w:val="635A7FCD"/>
    <w:rsid w:val="63EE04E3"/>
    <w:rsid w:val="640DA925"/>
    <w:rsid w:val="641A5889"/>
    <w:rsid w:val="641AF98A"/>
    <w:rsid w:val="64405674"/>
    <w:rsid w:val="64444C8A"/>
    <w:rsid w:val="64520D64"/>
    <w:rsid w:val="647763C0"/>
    <w:rsid w:val="6481FB16"/>
    <w:rsid w:val="64E07FFC"/>
    <w:rsid w:val="65151895"/>
    <w:rsid w:val="66B3E38C"/>
    <w:rsid w:val="671DCC36"/>
    <w:rsid w:val="672E68C1"/>
    <w:rsid w:val="67684E7A"/>
    <w:rsid w:val="681614F1"/>
    <w:rsid w:val="685AD997"/>
    <w:rsid w:val="686E3567"/>
    <w:rsid w:val="69049389"/>
    <w:rsid w:val="69113DAD"/>
    <w:rsid w:val="698144AE"/>
    <w:rsid w:val="69ADC36E"/>
    <w:rsid w:val="6A2E5238"/>
    <w:rsid w:val="6A358683"/>
    <w:rsid w:val="6AC2BCE5"/>
    <w:rsid w:val="6B83E1E4"/>
    <w:rsid w:val="6C51BCFC"/>
    <w:rsid w:val="6C616721"/>
    <w:rsid w:val="6C6A1958"/>
    <w:rsid w:val="6C727EDD"/>
    <w:rsid w:val="6C864E77"/>
    <w:rsid w:val="6CC0AD26"/>
    <w:rsid w:val="6CE94411"/>
    <w:rsid w:val="6E7D4396"/>
    <w:rsid w:val="6F130635"/>
    <w:rsid w:val="6F198700"/>
    <w:rsid w:val="7100CC17"/>
    <w:rsid w:val="710D85E0"/>
    <w:rsid w:val="715A651A"/>
    <w:rsid w:val="71C6402B"/>
    <w:rsid w:val="724A658A"/>
    <w:rsid w:val="7283024A"/>
    <w:rsid w:val="72A27301"/>
    <w:rsid w:val="72A83C85"/>
    <w:rsid w:val="72CE88C4"/>
    <w:rsid w:val="72D64820"/>
    <w:rsid w:val="73413789"/>
    <w:rsid w:val="736425A6"/>
    <w:rsid w:val="74A40194"/>
    <w:rsid w:val="74BB8773"/>
    <w:rsid w:val="74DDD955"/>
    <w:rsid w:val="74E6AB17"/>
    <w:rsid w:val="75450AF0"/>
    <w:rsid w:val="75B0DFCB"/>
    <w:rsid w:val="76078199"/>
    <w:rsid w:val="77911A6B"/>
    <w:rsid w:val="77D562F6"/>
    <w:rsid w:val="794CFBE9"/>
    <w:rsid w:val="797D7DD9"/>
    <w:rsid w:val="79C95C24"/>
    <w:rsid w:val="7A0B80F6"/>
    <w:rsid w:val="7A17190C"/>
    <w:rsid w:val="7AC75C22"/>
    <w:rsid w:val="7AF4F2B8"/>
    <w:rsid w:val="7BE530AE"/>
    <w:rsid w:val="7BF9E96B"/>
    <w:rsid w:val="7C4707EC"/>
    <w:rsid w:val="7C7D55DF"/>
    <w:rsid w:val="7D45C9F5"/>
    <w:rsid w:val="7D976369"/>
    <w:rsid w:val="7DECCBC7"/>
    <w:rsid w:val="7E3E29E0"/>
    <w:rsid w:val="7E95273D"/>
    <w:rsid w:val="7EA7134D"/>
    <w:rsid w:val="7FA74BA0"/>
    <w:rsid w:val="7FBC0E07"/>
    <w:rsid w:val="7FBE0C77"/>
    <w:rsid w:val="7FFF8BD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942C0C8"/>
  <w15:chartTrackingRefBased/>
  <w15:docId w15:val="{A5804547-A957-4D0C-ACAD-89B925F74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D5D7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61420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cs="Courier New"/>
      <w:sz w:val="20"/>
      <w:szCs w:val="20"/>
    </w:rPr>
  </w:style>
  <w:style w:type="character" w:styleId="FootnoteReference">
    <w:name w:val="footnote reference"/>
    <w:aliases w:val="(Footnote Reference),12,BVI fnr,Footnote Reference-BSA-AML,Footnote symbol,Ref. de nota al pie,Rimando notaOreste,Rimando notaOreste1,Rimando notaOreste2,SUPERS,Style 16,Style 19,callout,fr,ftref,nota a piè di pagina,Знак сноски-FN"/>
    <w:uiPriority w:val="99"/>
    <w:qFormat/>
    <w:rPr>
      <w:vertAlign w:val="superscript"/>
    </w:rPr>
  </w:style>
  <w:style w:type="paragraph" w:styleId="BodyText">
    <w:name w:val="Body Text"/>
    <w:basedOn w:val="Normal"/>
    <w:pPr>
      <w:autoSpaceDE w:val="0"/>
      <w:autoSpaceDN w:val="0"/>
      <w:adjustRightInd w:val="0"/>
      <w:spacing w:before="283"/>
    </w:pPr>
    <w:rPr>
      <w:sz w:val="22"/>
      <w:szCs w:val="22"/>
    </w:rPr>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spacing w:after="120"/>
      <w:ind w:left="360"/>
    </w:pPr>
  </w:style>
  <w:style w:type="paragraph" w:styleId="FootnoteText">
    <w:name w:val="footnote text"/>
    <w:aliases w:val="Footnote Text Char Char Char,Footnote Text Char Char Char Char Char,Footnote Text Char1,Footnote Text Char1 Char,Footnote Text Char1 Char Char,Footnote Text Char1 Char Char Char,Footnote Text Char1 Char Char Char Char Char,Style 15,fn,ft"/>
    <w:basedOn w:val="Normal"/>
    <w:link w:val="FootnoteTextChar"/>
    <w:uiPriority w:val="99"/>
    <w:qFormat/>
    <w:rsid w:val="003925FB"/>
    <w:rPr>
      <w:sz w:val="20"/>
      <w:szCs w:val="20"/>
    </w:rPr>
  </w:style>
  <w:style w:type="character" w:customStyle="1" w:styleId="FootnoteTextChar">
    <w:name w:val="Footnote Text Char"/>
    <w:aliases w:val="Footnote Text Char Char Char Char,Footnote Text Char Char Char Char Char Char,Footnote Text Char1 Char Char Char Char,Footnote Text Char1 Char Char Char1,Footnote Text Char1 Char Char1,Footnote Text Char1 Char1,Style 15 Char,fn Char"/>
    <w:basedOn w:val="DefaultParagraphFont"/>
    <w:link w:val="FootnoteText"/>
    <w:uiPriority w:val="99"/>
    <w:rsid w:val="003925FB"/>
  </w:style>
  <w:style w:type="character" w:customStyle="1" w:styleId="PlainTextChar">
    <w:name w:val="Plain Text Char"/>
    <w:link w:val="PlainText"/>
    <w:rsid w:val="003925FB"/>
    <w:rPr>
      <w:rFonts w:ascii="Courier New" w:hAnsi="Courier New" w:cs="Courier New"/>
    </w:rPr>
  </w:style>
  <w:style w:type="character" w:styleId="CommentReference">
    <w:name w:val="annotation reference"/>
    <w:uiPriority w:val="99"/>
    <w:rsid w:val="003925FB"/>
    <w:rPr>
      <w:sz w:val="16"/>
      <w:szCs w:val="16"/>
    </w:rPr>
  </w:style>
  <w:style w:type="paragraph" w:styleId="CommentText">
    <w:name w:val="annotation text"/>
    <w:basedOn w:val="Normal"/>
    <w:link w:val="CommentTextChar"/>
    <w:uiPriority w:val="99"/>
    <w:rsid w:val="003925FB"/>
    <w:rPr>
      <w:sz w:val="20"/>
      <w:szCs w:val="20"/>
    </w:rPr>
  </w:style>
  <w:style w:type="character" w:customStyle="1" w:styleId="CommentTextChar">
    <w:name w:val="Comment Text Char"/>
    <w:basedOn w:val="DefaultParagraphFont"/>
    <w:link w:val="CommentText"/>
    <w:uiPriority w:val="99"/>
    <w:rsid w:val="003925FB"/>
  </w:style>
  <w:style w:type="paragraph" w:styleId="CommentSubject">
    <w:name w:val="annotation subject"/>
    <w:basedOn w:val="CommentText"/>
    <w:next w:val="CommentText"/>
    <w:link w:val="CommentSubjectChar"/>
    <w:rsid w:val="006179D0"/>
    <w:rPr>
      <w:b/>
      <w:bCs/>
    </w:rPr>
  </w:style>
  <w:style w:type="character" w:customStyle="1" w:styleId="CommentSubjectChar">
    <w:name w:val="Comment Subject Char"/>
    <w:link w:val="CommentSubject"/>
    <w:rsid w:val="006179D0"/>
    <w:rPr>
      <w:b/>
      <w:bCs/>
    </w:rPr>
  </w:style>
  <w:style w:type="character" w:styleId="Hyperlink">
    <w:name w:val="Hyperlink"/>
    <w:rsid w:val="00130C5D"/>
    <w:rPr>
      <w:color w:val="0563C1"/>
      <w:u w:val="single"/>
    </w:rPr>
  </w:style>
  <w:style w:type="character" w:styleId="FollowedHyperlink">
    <w:name w:val="FollowedHyperlink"/>
    <w:rsid w:val="0098688A"/>
    <w:rPr>
      <w:color w:val="954F72"/>
      <w:u w:val="single"/>
    </w:rPr>
  </w:style>
  <w:style w:type="paragraph" w:styleId="Header">
    <w:name w:val="header"/>
    <w:basedOn w:val="Normal"/>
    <w:link w:val="HeaderChar"/>
    <w:uiPriority w:val="99"/>
    <w:rsid w:val="00473CD4"/>
    <w:pPr>
      <w:tabs>
        <w:tab w:val="center" w:pos="4680"/>
        <w:tab w:val="right" w:pos="9360"/>
      </w:tabs>
    </w:pPr>
  </w:style>
  <w:style w:type="character" w:customStyle="1" w:styleId="HeaderChar">
    <w:name w:val="Header Char"/>
    <w:link w:val="Header"/>
    <w:uiPriority w:val="99"/>
    <w:rsid w:val="00473CD4"/>
    <w:rPr>
      <w:sz w:val="24"/>
      <w:szCs w:val="24"/>
    </w:rPr>
  </w:style>
  <w:style w:type="paragraph" w:styleId="Footer">
    <w:name w:val="footer"/>
    <w:basedOn w:val="Normal"/>
    <w:link w:val="FooterChar"/>
    <w:uiPriority w:val="99"/>
    <w:rsid w:val="00473CD4"/>
    <w:pPr>
      <w:tabs>
        <w:tab w:val="center" w:pos="4680"/>
        <w:tab w:val="right" w:pos="9360"/>
      </w:tabs>
    </w:pPr>
  </w:style>
  <w:style w:type="character" w:customStyle="1" w:styleId="FooterChar">
    <w:name w:val="Footer Char"/>
    <w:link w:val="Footer"/>
    <w:uiPriority w:val="99"/>
    <w:rsid w:val="00473CD4"/>
    <w:rPr>
      <w:sz w:val="24"/>
      <w:szCs w:val="24"/>
    </w:rPr>
  </w:style>
  <w:style w:type="paragraph" w:styleId="Revision">
    <w:name w:val="Revision"/>
    <w:hidden/>
    <w:uiPriority w:val="99"/>
    <w:semiHidden/>
    <w:rsid w:val="00F352EC"/>
    <w:rPr>
      <w:sz w:val="24"/>
      <w:szCs w:val="24"/>
    </w:rPr>
  </w:style>
  <w:style w:type="paragraph" w:styleId="NormalWeb">
    <w:name w:val="Normal (Web)"/>
    <w:basedOn w:val="Normal"/>
    <w:uiPriority w:val="99"/>
    <w:unhideWhenUsed/>
    <w:rsid w:val="00E359D5"/>
    <w:pPr>
      <w:spacing w:before="100" w:beforeAutospacing="1" w:after="100" w:afterAutospacing="1"/>
      <w:ind w:firstLine="480"/>
    </w:pPr>
  </w:style>
  <w:style w:type="paragraph" w:styleId="ListParagraph">
    <w:name w:val="List Paragraph"/>
    <w:aliases w:val="3,Bullet,Bullet 1,Bullet List,Bullet Points,Dot pt,F5 List Paragraph,Indicator Text,Issue Action POC,List Paragraph Char Char Char,List Paragraph1,List Paragraph2,MAIN CONTENT,No Spacing1,Normal numbered,Numbered Para 1,POCG Table Text"/>
    <w:basedOn w:val="Normal"/>
    <w:link w:val="ListParagraphChar"/>
    <w:uiPriority w:val="34"/>
    <w:qFormat/>
    <w:rsid w:val="00D17D89"/>
    <w:pPr>
      <w:ind w:left="720"/>
      <w:contextualSpacing/>
    </w:pPr>
  </w:style>
  <w:style w:type="character" w:customStyle="1" w:styleId="ListParagraphChar">
    <w:name w:val="List Paragraph Char"/>
    <w:aliases w:val="3 Char,Bullet 1 Char,Bullet Char,Bullet List Char,Bullet Points Char,Dot pt Char,F5 List Paragraph Char,Indicator Text Char,Issue Action POC Char,List Paragraph Char Char Char Char,List Paragraph1 Char,List Paragraph2 Char"/>
    <w:link w:val="ListParagraph"/>
    <w:uiPriority w:val="34"/>
    <w:locked/>
    <w:rsid w:val="00D17D89"/>
    <w:rPr>
      <w:sz w:val="24"/>
      <w:szCs w:val="24"/>
    </w:rPr>
  </w:style>
  <w:style w:type="character" w:customStyle="1" w:styleId="Heading3Char">
    <w:name w:val="Heading 3 Char"/>
    <w:basedOn w:val="DefaultParagraphFont"/>
    <w:link w:val="Heading3"/>
    <w:uiPriority w:val="9"/>
    <w:rsid w:val="00614201"/>
    <w:rPr>
      <w:b/>
      <w:bCs/>
      <w:sz w:val="27"/>
      <w:szCs w:val="27"/>
    </w:rPr>
  </w:style>
  <w:style w:type="table" w:styleId="TableGrid">
    <w:name w:val="Table Grid"/>
    <w:basedOn w:val="TableNormal"/>
    <w:rsid w:val="00244C8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nhideWhenUsed/>
    <w:rsid w:val="00A82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A82AF9"/>
    <w:rPr>
      <w:rFonts w:ascii="Courier New" w:hAnsi="Courier New" w:cs="Courier New"/>
    </w:rPr>
  </w:style>
  <w:style w:type="paragraph" w:customStyle="1" w:styleId="Bulletlistmultiple">
    <w:name w:val="Bullet list multiple"/>
    <w:rsid w:val="00E4174F"/>
    <w:pPr>
      <w:tabs>
        <w:tab w:val="num" w:pos="720"/>
      </w:tabs>
      <w:spacing w:before="80" w:after="80"/>
      <w:ind w:left="720" w:hanging="360"/>
    </w:pPr>
    <w:rPr>
      <w:rFonts w:eastAsia="Calibri"/>
      <w:sz w:val="24"/>
      <w:szCs w:val="24"/>
    </w:rPr>
  </w:style>
  <w:style w:type="character" w:customStyle="1" w:styleId="Heading1Char">
    <w:name w:val="Heading 1 Char"/>
    <w:basedOn w:val="DefaultParagraphFont"/>
    <w:link w:val="Heading1"/>
    <w:rsid w:val="002D5D72"/>
    <w:rPr>
      <w:rFonts w:asciiTheme="majorHAnsi" w:eastAsiaTheme="majorEastAsia" w:hAnsiTheme="majorHAnsi" w:cstheme="majorBidi"/>
      <w:color w:val="2E74B5" w:themeColor="accent1" w:themeShade="BF"/>
      <w:sz w:val="32"/>
      <w:szCs w:val="32"/>
    </w:rPr>
  </w:style>
  <w:style w:type="character" w:styleId="Emphasis">
    <w:name w:val="Emphasis"/>
    <w:basedOn w:val="DefaultParagraphFont"/>
    <w:uiPriority w:val="20"/>
    <w:qFormat/>
    <w:rsid w:val="00072689"/>
    <w:rPr>
      <w:i/>
      <w:iCs/>
    </w:rPr>
  </w:style>
  <w:style w:type="character" w:styleId="UnresolvedMention">
    <w:name w:val="Unresolved Mention"/>
    <w:basedOn w:val="DefaultParagraphFont"/>
    <w:uiPriority w:val="99"/>
    <w:semiHidden/>
    <w:unhideWhenUsed/>
    <w:rsid w:val="00905EEA"/>
    <w:rPr>
      <w:color w:val="605E5C"/>
      <w:shd w:val="clear" w:color="auto" w:fill="E1DFDD"/>
    </w:rPr>
  </w:style>
  <w:style w:type="character" w:styleId="Mention">
    <w:name w:val="Mention"/>
    <w:basedOn w:val="DefaultParagraphFont"/>
    <w:uiPriority w:val="99"/>
    <w:unhideWhenUsed/>
    <w:rsid w:val="00612ABA"/>
    <w:rPr>
      <w:color w:val="2B579A"/>
      <w:shd w:val="clear" w:color="auto" w:fill="E1DFDD"/>
    </w:rPr>
  </w:style>
  <w:style w:type="character" w:customStyle="1" w:styleId="normaltextrun">
    <w:name w:val="normaltextrun"/>
    <w:basedOn w:val="DefaultParagraphFont"/>
    <w:rsid w:val="00D412F0"/>
  </w:style>
  <w:style w:type="table" w:customStyle="1" w:styleId="TableGridLight1">
    <w:name w:val="Table Grid Light1"/>
    <w:basedOn w:val="TableNormal"/>
    <w:next w:val="GridTableLight"/>
    <w:uiPriority w:val="40"/>
    <w:rsid w:val="003D1C38"/>
    <w:rPr>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GridTableLight">
    <w:name w:val="Grid Table Light"/>
    <w:basedOn w:val="TableNormal"/>
    <w:uiPriority w:val="40"/>
    <w:rsid w:val="003D1C3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Response">
    <w:name w:val="Response"/>
    <w:basedOn w:val="Normal"/>
    <w:link w:val="ResponseChar"/>
    <w:qFormat/>
    <w:rsid w:val="00FA72FB"/>
    <w:pPr>
      <w:spacing w:after="240"/>
      <w:ind w:left="720"/>
    </w:pPr>
  </w:style>
  <w:style w:type="character" w:customStyle="1" w:styleId="ResponseChar">
    <w:name w:val="Response Char"/>
    <w:basedOn w:val="DefaultParagraphFont"/>
    <w:link w:val="Response"/>
    <w:rsid w:val="00FA72F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reginfo.gov/public/do/PRAViewDocument?ref_nbr=202209-1506-002" TargetMode="External" /><Relationship Id="rId2" Type="http://schemas.openxmlformats.org/officeDocument/2006/relationships/hyperlink" Target="https://www.reginfo.gov/public/do/PRAViewDocument?ref_nbr=202309-1506-001" TargetMode="External" /><Relationship Id="rId3" Type="http://schemas.openxmlformats.org/officeDocument/2006/relationships/hyperlink" Target="https://www.bls.gov/oes/current/oes_nat.htm" TargetMode="External" /><Relationship Id="rId4" Type="http://schemas.openxmlformats.org/officeDocument/2006/relationships/hyperlink" Target="https://www.bls.gov/web/ecec/ecec-private-dataset.xls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aseID xmlns="7c52ab08-1567-4dbe-ad07-4d7ae6e0743f">20254-TFI-5642</CaseID>
    <DocID xmlns="7c52ab08-1567-4dbe-ad07-4d7ae6e0743f">cb6667ae-a287-4e20-94fd-cfdb461d8c0e</DocID>
    <Category xmlns="7c52ab08-1567-4dbe-ad07-4d7ae6e0743f">Final</Category>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04DFC043A666448BEF839E82B37FBA7" ma:contentTypeVersion="4" ma:contentTypeDescription="Create a new document." ma:contentTypeScope="" ma:versionID="f7d9427c084fe83eda63e0f313ef3f2a">
  <xsd:schema xmlns:xsd="http://www.w3.org/2001/XMLSchema" xmlns:xs="http://www.w3.org/2001/XMLSchema" xmlns:p="http://schemas.microsoft.com/office/2006/metadata/properties" xmlns:ns2="7c52ab08-1567-4dbe-ad07-4d7ae6e0743f" xmlns:ns3="91882c98-ad7c-457b-bb99-16138be0c2aa" targetNamespace="http://schemas.microsoft.com/office/2006/metadata/properties" ma:root="true" ma:fieldsID="d2e895910fbcd383b26256e00ab3b24e" ns2:_="" ns3:_="">
    <xsd:import namespace="7c52ab08-1567-4dbe-ad07-4d7ae6e0743f"/>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2ab08-1567-4dbe-ad07-4d7ae6e0743f"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2C1CBB-613C-4F12-AC1A-FCF48E0F0017}">
  <ds:schemaRefs>
    <ds:schemaRef ds:uri="http://schemas.microsoft.com/sharepoint/v3/contenttype/forms"/>
  </ds:schemaRefs>
</ds:datastoreItem>
</file>

<file path=customXml/itemProps2.xml><?xml version="1.0" encoding="utf-8"?>
<ds:datastoreItem xmlns:ds="http://schemas.openxmlformats.org/officeDocument/2006/customXml" ds:itemID="{293CCF34-653A-46E9-B518-A81B72447383}">
  <ds:schemaRefs>
    <ds:schemaRef ds:uri="http://schemas.openxmlformats.org/officeDocument/2006/bibliography"/>
  </ds:schemaRefs>
</ds:datastoreItem>
</file>

<file path=customXml/itemProps3.xml><?xml version="1.0" encoding="utf-8"?>
<ds:datastoreItem xmlns:ds="http://schemas.openxmlformats.org/officeDocument/2006/customXml" ds:itemID="{A00BCD2F-FAAA-4899-835D-9C38C6EFC537}">
  <ds:schemaRefs>
    <ds:schemaRef ds:uri="http://schemas.microsoft.com/office/2006/metadata/properties"/>
    <ds:schemaRef ds:uri="http://schemas.microsoft.com/office/infopath/2007/PartnerControls"/>
    <ds:schemaRef ds:uri="7c52ab08-1567-4dbe-ad07-4d7ae6e0743f"/>
  </ds:schemaRefs>
</ds:datastoreItem>
</file>

<file path=customXml/itemProps4.xml><?xml version="1.0" encoding="utf-8"?>
<ds:datastoreItem xmlns:ds="http://schemas.openxmlformats.org/officeDocument/2006/customXml" ds:itemID="{855E2ECE-AB52-4BDB-A780-33BDE32D1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52ab08-1567-4dbe-ad07-4d7ae6e0743f"/>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4028</Words>
  <Characters>23677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 Molly</dc:creator>
  <cp:lastModifiedBy>Stewart, Jaclyn</cp:lastModifiedBy>
  <cp:revision>4</cp:revision>
  <dcterms:created xsi:type="dcterms:W3CDTF">2025-09-18T13:17:00Z</dcterms:created>
  <dcterms:modified xsi:type="dcterms:W3CDTF">2025-09-18T13:19:00Z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0x010100504DFC043A666448BEF839E82B37FBA7</vt:lpwstr>
  </property>
</Properties>
</file>