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56CFA" w:rsidRPr="00C56CFA" w:rsidP="00C56CFA" w14:paraId="406623E8" w14:textId="77777777">
      <w:pPr>
        <w:tabs>
          <w:tab w:val="center" w:pos="4680"/>
        </w:tabs>
        <w:jc w:val="center"/>
        <w:rPr>
          <w:rFonts w:asciiTheme="minorHAnsi" w:hAnsiTheme="minorHAnsi"/>
          <w:sz w:val="22"/>
          <w:szCs w:val="22"/>
        </w:rPr>
      </w:pPr>
      <w:r w:rsidRPr="00C56CFA">
        <w:rPr>
          <w:rFonts w:asciiTheme="minorHAnsi" w:hAnsiTheme="minorHAnsi"/>
          <w:sz w:val="22"/>
          <w:szCs w:val="22"/>
        </w:rPr>
        <w:t>SUPPORTING STATEMENT</w:t>
      </w:r>
    </w:p>
    <w:p w:rsidR="00C56CFA" w:rsidRPr="00C56CFA" w:rsidP="00C56CFA" w14:paraId="297C4683" w14:textId="42CAA302">
      <w:pPr>
        <w:tabs>
          <w:tab w:val="center" w:pos="4680"/>
        </w:tabs>
        <w:jc w:val="center"/>
        <w:rPr>
          <w:rFonts w:asciiTheme="minorHAnsi" w:hAnsiTheme="minorHAnsi"/>
          <w:sz w:val="22"/>
          <w:szCs w:val="22"/>
        </w:rPr>
      </w:pPr>
      <w:r w:rsidRPr="00C56CFA">
        <w:rPr>
          <w:rFonts w:asciiTheme="minorHAnsi" w:hAnsiTheme="minorHAnsi"/>
          <w:sz w:val="22"/>
          <w:szCs w:val="22"/>
        </w:rPr>
        <w:t>Internal Revenue Service (</w:t>
      </w:r>
      <w:r w:rsidR="00793EF6">
        <w:rPr>
          <w:rFonts w:asciiTheme="minorHAnsi" w:hAnsiTheme="minorHAnsi"/>
          <w:sz w:val="22"/>
          <w:szCs w:val="22"/>
        </w:rPr>
        <w:t>IRS</w:t>
      </w:r>
      <w:r w:rsidRPr="00C56CFA">
        <w:rPr>
          <w:rFonts w:asciiTheme="minorHAnsi" w:hAnsiTheme="minorHAnsi"/>
          <w:sz w:val="22"/>
          <w:szCs w:val="22"/>
        </w:rPr>
        <w:t>)</w:t>
      </w:r>
    </w:p>
    <w:p w:rsidR="00C56CFA" w:rsidRPr="00C56CFA" w:rsidP="00C56CFA" w14:paraId="1FA9D128" w14:textId="084B8765">
      <w:pPr>
        <w:tabs>
          <w:tab w:val="center" w:pos="4680"/>
        </w:tabs>
        <w:jc w:val="center"/>
        <w:rPr>
          <w:rFonts w:asciiTheme="minorHAnsi" w:hAnsiTheme="minorHAnsi"/>
          <w:sz w:val="22"/>
          <w:szCs w:val="22"/>
        </w:rPr>
      </w:pPr>
      <w:r>
        <w:rPr>
          <w:rFonts w:asciiTheme="minorHAnsi" w:hAnsiTheme="minorHAnsi"/>
          <w:sz w:val="22"/>
          <w:szCs w:val="22"/>
        </w:rPr>
        <w:t>Section 2801 Tax</w:t>
      </w:r>
      <w:r w:rsidR="00596774">
        <w:rPr>
          <w:rFonts w:asciiTheme="minorHAnsi" w:hAnsiTheme="minorHAnsi"/>
          <w:sz w:val="22"/>
          <w:szCs w:val="22"/>
        </w:rPr>
        <w:t xml:space="preserve"> on </w:t>
      </w:r>
      <w:r w:rsidR="00692375">
        <w:rPr>
          <w:rFonts w:asciiTheme="minorHAnsi" w:hAnsiTheme="minorHAnsi"/>
          <w:sz w:val="22"/>
          <w:szCs w:val="22"/>
        </w:rPr>
        <w:t xml:space="preserve">Certain </w:t>
      </w:r>
      <w:r w:rsidR="00596774">
        <w:rPr>
          <w:rFonts w:asciiTheme="minorHAnsi" w:hAnsiTheme="minorHAnsi"/>
          <w:sz w:val="22"/>
          <w:szCs w:val="22"/>
        </w:rPr>
        <w:t>Gifts or Bequests from Covered Expatriates</w:t>
      </w:r>
    </w:p>
    <w:p w:rsidR="00F44DF2" w:rsidP="00C56CFA" w14:paraId="73BD7508" w14:textId="6FEB32A0">
      <w:pPr>
        <w:jc w:val="center"/>
        <w:rPr>
          <w:rFonts w:asciiTheme="minorHAnsi" w:hAnsiTheme="minorHAnsi"/>
          <w:sz w:val="22"/>
          <w:szCs w:val="22"/>
        </w:rPr>
      </w:pPr>
      <w:r w:rsidRPr="00C56CFA">
        <w:rPr>
          <w:rFonts w:asciiTheme="minorHAnsi" w:hAnsiTheme="minorHAnsi"/>
          <w:sz w:val="22"/>
          <w:szCs w:val="22"/>
        </w:rPr>
        <w:t xml:space="preserve">OMB </w:t>
      </w:r>
      <w:r>
        <w:rPr>
          <w:rFonts w:asciiTheme="minorHAnsi" w:hAnsiTheme="minorHAnsi"/>
          <w:sz w:val="22"/>
          <w:szCs w:val="22"/>
        </w:rPr>
        <w:t>Number</w:t>
      </w:r>
      <w:r w:rsidRPr="00C56CFA">
        <w:rPr>
          <w:rFonts w:asciiTheme="minorHAnsi" w:hAnsiTheme="minorHAnsi"/>
          <w:sz w:val="22"/>
          <w:szCs w:val="22"/>
        </w:rPr>
        <w:t xml:space="preserve"> 1545-</w:t>
      </w:r>
      <w:r w:rsidR="00562E03">
        <w:rPr>
          <w:rFonts w:asciiTheme="minorHAnsi" w:hAnsiTheme="minorHAnsi"/>
          <w:sz w:val="22"/>
          <w:szCs w:val="22"/>
        </w:rPr>
        <w:t>2309</w:t>
      </w:r>
    </w:p>
    <w:p w:rsidR="00C56CFA" w:rsidP="00C56CFA" w14:paraId="73D83CA1" w14:textId="499AF263">
      <w:pPr>
        <w:rPr>
          <w:rFonts w:asciiTheme="minorHAnsi" w:hAnsiTheme="minorHAnsi"/>
          <w:sz w:val="22"/>
          <w:szCs w:val="22"/>
        </w:rPr>
      </w:pPr>
    </w:p>
    <w:p w:rsidR="00C56CFA" w:rsidP="00C56CFA" w14:paraId="58518A38" w14:textId="4B306068">
      <w:pPr>
        <w:rPr>
          <w:rFonts w:asciiTheme="minorHAnsi" w:hAnsiTheme="minorHAnsi"/>
          <w:sz w:val="22"/>
          <w:szCs w:val="22"/>
        </w:rPr>
      </w:pPr>
    </w:p>
    <w:p w:rsidR="00C56CFA" w:rsidRPr="00453AD3" w:rsidP="00C56CFA" w14:paraId="12C8442E" w14:textId="77777777">
      <w:pPr>
        <w:pStyle w:val="Level1"/>
        <w:numPr>
          <w:ilvl w:val="0"/>
          <w:numId w:val="2"/>
        </w:numPr>
        <w:tabs>
          <w:tab w:val="left" w:pos="-1440"/>
          <w:tab w:val="num" w:pos="720"/>
        </w:tabs>
        <w:ind w:left="720" w:hanging="720"/>
        <w:rPr>
          <w:rFonts w:asciiTheme="minorHAnsi" w:hAnsiTheme="minorHAnsi"/>
          <w:sz w:val="22"/>
          <w:szCs w:val="22"/>
        </w:rPr>
      </w:pPr>
      <w:r w:rsidRPr="00453AD3">
        <w:rPr>
          <w:rFonts w:asciiTheme="minorHAnsi" w:hAnsiTheme="minorHAnsi"/>
          <w:sz w:val="22"/>
          <w:szCs w:val="22"/>
          <w:u w:val="single"/>
        </w:rPr>
        <w:t>CIRCUMSTANCES NECESSITATING COLLECTION OF INFORMATION</w:t>
      </w:r>
    </w:p>
    <w:p w:rsidR="00C56CFA" w:rsidRPr="00C56CFA" w:rsidP="00C56CFA" w14:paraId="19EF5C5C" w14:textId="47DB75FB">
      <w:pPr>
        <w:ind w:left="720"/>
        <w:rPr>
          <w:rFonts w:asciiTheme="minorHAnsi" w:hAnsiTheme="minorHAnsi"/>
          <w:sz w:val="22"/>
          <w:szCs w:val="22"/>
        </w:rPr>
      </w:pPr>
    </w:p>
    <w:p w:rsidR="00C56CFA" w:rsidP="00C56CFA" w14:paraId="494A0A28" w14:textId="180BC7BC">
      <w:pPr>
        <w:ind w:left="720"/>
        <w:rPr>
          <w:rFonts w:asciiTheme="minorHAnsi" w:hAnsiTheme="minorHAnsi"/>
          <w:sz w:val="22"/>
          <w:szCs w:val="22"/>
        </w:rPr>
      </w:pPr>
      <w:r w:rsidRPr="00453AD3">
        <w:rPr>
          <w:rFonts w:asciiTheme="minorHAnsi" w:hAnsiTheme="minorHAnsi"/>
          <w:sz w:val="22"/>
          <w:szCs w:val="22"/>
        </w:rPr>
        <w:t xml:space="preserve">Internal Revenue Code (IRC) </w:t>
      </w:r>
      <w:r w:rsidR="00DB3279">
        <w:rPr>
          <w:rFonts w:asciiTheme="minorHAnsi" w:hAnsiTheme="minorHAnsi"/>
          <w:sz w:val="22"/>
          <w:szCs w:val="22"/>
        </w:rPr>
        <w:t>s</w:t>
      </w:r>
      <w:r w:rsidRPr="00453AD3">
        <w:rPr>
          <w:rFonts w:asciiTheme="minorHAnsi" w:hAnsiTheme="minorHAnsi"/>
          <w:sz w:val="22"/>
          <w:szCs w:val="22"/>
        </w:rPr>
        <w:t xml:space="preserve">ection </w:t>
      </w:r>
      <w:r w:rsidR="00596774">
        <w:rPr>
          <w:rFonts w:asciiTheme="minorHAnsi" w:hAnsiTheme="minorHAnsi"/>
          <w:sz w:val="22"/>
          <w:szCs w:val="22"/>
        </w:rPr>
        <w:t>2801</w:t>
      </w:r>
      <w:r w:rsidRPr="00453AD3">
        <w:rPr>
          <w:rFonts w:asciiTheme="minorHAnsi" w:hAnsiTheme="minorHAnsi"/>
          <w:sz w:val="22"/>
          <w:szCs w:val="22"/>
        </w:rPr>
        <w:t xml:space="preserve"> </w:t>
      </w:r>
      <w:r w:rsidR="00596774">
        <w:rPr>
          <w:rFonts w:asciiTheme="minorHAnsi" w:hAnsiTheme="minorHAnsi"/>
          <w:sz w:val="22"/>
          <w:szCs w:val="22"/>
        </w:rPr>
        <w:t xml:space="preserve">imposes a tax on </w:t>
      </w:r>
      <w:r w:rsidRPr="00596774" w:rsidR="00596774">
        <w:rPr>
          <w:rFonts w:asciiTheme="minorHAnsi" w:hAnsiTheme="minorHAnsi"/>
          <w:sz w:val="22"/>
          <w:szCs w:val="22"/>
        </w:rPr>
        <w:t>United States citizens and residents who receive gifts or bequests from certain individuals who relinquished United States citizenship or ceased to be lawful permanent residents of the United States</w:t>
      </w:r>
      <w:r w:rsidR="00DB63F5">
        <w:rPr>
          <w:rFonts w:asciiTheme="minorHAnsi" w:hAnsiTheme="minorHAnsi"/>
          <w:sz w:val="22"/>
          <w:szCs w:val="22"/>
        </w:rPr>
        <w:t>.</w:t>
      </w:r>
    </w:p>
    <w:p w:rsidR="00DB63F5" w:rsidP="00C56CFA" w14:paraId="34EF39A3" w14:textId="5882F05D">
      <w:pPr>
        <w:ind w:left="720"/>
        <w:rPr>
          <w:rFonts w:asciiTheme="minorHAnsi" w:hAnsiTheme="minorHAnsi"/>
          <w:sz w:val="22"/>
          <w:szCs w:val="22"/>
        </w:rPr>
      </w:pPr>
    </w:p>
    <w:p w:rsidR="008751CF" w:rsidP="00C56CFA" w14:paraId="60C9E431" w14:textId="2B49178B">
      <w:pPr>
        <w:ind w:left="720"/>
        <w:rPr>
          <w:rFonts w:asciiTheme="minorHAnsi" w:hAnsiTheme="minorHAnsi"/>
          <w:sz w:val="22"/>
          <w:szCs w:val="22"/>
        </w:rPr>
      </w:pPr>
      <w:r>
        <w:rPr>
          <w:rFonts w:asciiTheme="minorHAnsi" w:hAnsiTheme="minorHAnsi"/>
          <w:sz w:val="22"/>
          <w:szCs w:val="22"/>
        </w:rPr>
        <w:t xml:space="preserve">The </w:t>
      </w:r>
      <w:r w:rsidR="00E3495B">
        <w:rPr>
          <w:rFonts w:asciiTheme="minorHAnsi" w:hAnsiTheme="minorHAnsi"/>
          <w:sz w:val="22"/>
          <w:szCs w:val="22"/>
        </w:rPr>
        <w:t>final rule, Treasury Decision (T.D.) 10027,</w:t>
      </w:r>
      <w:r>
        <w:rPr>
          <w:rFonts w:asciiTheme="minorHAnsi" w:hAnsiTheme="minorHAnsi"/>
          <w:sz w:val="22"/>
          <w:szCs w:val="22"/>
        </w:rPr>
        <w:t xml:space="preserve"> require</w:t>
      </w:r>
      <w:r w:rsidR="00E3495B">
        <w:rPr>
          <w:rFonts w:asciiTheme="minorHAnsi" w:hAnsiTheme="minorHAnsi"/>
          <w:sz w:val="22"/>
          <w:szCs w:val="22"/>
        </w:rPr>
        <w:t>s</w:t>
      </w:r>
      <w:r>
        <w:rPr>
          <w:rFonts w:asciiTheme="minorHAnsi" w:hAnsiTheme="minorHAnsi"/>
          <w:sz w:val="22"/>
          <w:szCs w:val="22"/>
        </w:rPr>
        <w:t xml:space="preserve"> taxpayer</w:t>
      </w:r>
      <w:r w:rsidR="00DB3279">
        <w:rPr>
          <w:rFonts w:asciiTheme="minorHAnsi" w:hAnsiTheme="minorHAnsi"/>
          <w:sz w:val="22"/>
          <w:szCs w:val="22"/>
        </w:rPr>
        <w:t>s</w:t>
      </w:r>
      <w:r>
        <w:rPr>
          <w:rFonts w:asciiTheme="minorHAnsi" w:hAnsiTheme="minorHAnsi"/>
          <w:sz w:val="22"/>
          <w:szCs w:val="22"/>
        </w:rPr>
        <w:t xml:space="preserve"> to keep records and report information related to IRC section 2801 taxes to the IRS. Regulations </w:t>
      </w:r>
      <w:r w:rsidR="00DB3279">
        <w:rPr>
          <w:rFonts w:asciiTheme="minorHAnsi" w:hAnsiTheme="minorHAnsi"/>
          <w:sz w:val="22"/>
          <w:szCs w:val="22"/>
        </w:rPr>
        <w:t>section 28.6011-1 names Form 708 as the return taxpayers must file, when it is available, to report IRC section 2801 taxes. S</w:t>
      </w:r>
      <w:r>
        <w:rPr>
          <w:rFonts w:asciiTheme="minorHAnsi" w:hAnsiTheme="minorHAnsi"/>
          <w:sz w:val="22"/>
          <w:szCs w:val="22"/>
        </w:rPr>
        <w:t xml:space="preserve">ection 28.2801-4(e) requires a filer taking a deduction for related </w:t>
      </w:r>
      <w:r w:rsidR="0055390A">
        <w:rPr>
          <w:rFonts w:asciiTheme="minorHAnsi" w:hAnsiTheme="minorHAnsi"/>
          <w:sz w:val="22"/>
          <w:szCs w:val="22"/>
        </w:rPr>
        <w:t>gift or estate taxes paid to a foreign country</w:t>
      </w:r>
      <w:r>
        <w:rPr>
          <w:rFonts w:asciiTheme="minorHAnsi" w:hAnsiTheme="minorHAnsi"/>
          <w:sz w:val="22"/>
          <w:szCs w:val="22"/>
        </w:rPr>
        <w:t xml:space="preserve"> to attach a statement</w:t>
      </w:r>
      <w:r w:rsidR="0055390A">
        <w:rPr>
          <w:rFonts w:asciiTheme="minorHAnsi" w:hAnsiTheme="minorHAnsi"/>
          <w:sz w:val="22"/>
          <w:szCs w:val="22"/>
        </w:rPr>
        <w:t xml:space="preserve"> to the return with specific information</w:t>
      </w:r>
      <w:r>
        <w:rPr>
          <w:rFonts w:asciiTheme="minorHAnsi" w:hAnsiTheme="minorHAnsi"/>
          <w:sz w:val="22"/>
          <w:szCs w:val="22"/>
        </w:rPr>
        <w:t xml:space="preserve"> supporting the </w:t>
      </w:r>
      <w:r w:rsidR="0055390A">
        <w:rPr>
          <w:rFonts w:asciiTheme="minorHAnsi" w:hAnsiTheme="minorHAnsi"/>
          <w:sz w:val="22"/>
          <w:szCs w:val="22"/>
        </w:rPr>
        <w:t>deduction</w:t>
      </w:r>
      <w:r>
        <w:rPr>
          <w:rFonts w:asciiTheme="minorHAnsi" w:hAnsiTheme="minorHAnsi"/>
          <w:sz w:val="22"/>
          <w:szCs w:val="22"/>
        </w:rPr>
        <w:t xml:space="preserve">. Section </w:t>
      </w:r>
      <w:r w:rsidR="0055390A">
        <w:rPr>
          <w:rFonts w:asciiTheme="minorHAnsi" w:hAnsiTheme="minorHAnsi"/>
          <w:sz w:val="22"/>
          <w:szCs w:val="22"/>
        </w:rPr>
        <w:t>28.2801-5(d)</w:t>
      </w:r>
      <w:r>
        <w:rPr>
          <w:rFonts w:asciiTheme="minorHAnsi" w:hAnsiTheme="minorHAnsi"/>
          <w:sz w:val="22"/>
          <w:szCs w:val="22"/>
        </w:rPr>
        <w:t xml:space="preserve"> require</w:t>
      </w:r>
      <w:r w:rsidR="0055390A">
        <w:rPr>
          <w:rFonts w:asciiTheme="minorHAnsi" w:hAnsiTheme="minorHAnsi"/>
          <w:sz w:val="22"/>
          <w:szCs w:val="22"/>
        </w:rPr>
        <w:t>s</w:t>
      </w:r>
      <w:r>
        <w:rPr>
          <w:rFonts w:asciiTheme="minorHAnsi" w:hAnsiTheme="minorHAnsi"/>
          <w:sz w:val="22"/>
          <w:szCs w:val="22"/>
        </w:rPr>
        <w:t xml:space="preserve"> a filer </w:t>
      </w:r>
      <w:r w:rsidR="0055390A">
        <w:rPr>
          <w:rFonts w:asciiTheme="minorHAnsi" w:hAnsiTheme="minorHAnsi"/>
          <w:sz w:val="22"/>
          <w:szCs w:val="22"/>
        </w:rPr>
        <w:t>treating a foreign trust as a domestic trust for the purposes of the IRC section 2801 taxes to make an election on the return</w:t>
      </w:r>
      <w:r>
        <w:rPr>
          <w:rFonts w:asciiTheme="minorHAnsi" w:hAnsiTheme="minorHAnsi"/>
          <w:sz w:val="22"/>
          <w:szCs w:val="22"/>
        </w:rPr>
        <w:t>.</w:t>
      </w:r>
      <w:r w:rsidR="0055390A">
        <w:rPr>
          <w:rFonts w:asciiTheme="minorHAnsi" w:hAnsiTheme="minorHAnsi"/>
          <w:sz w:val="22"/>
          <w:szCs w:val="22"/>
        </w:rPr>
        <w:t xml:space="preserve"> Section 28.6001-1 requires the taxpayer to keep records to support the information provided on the return. </w:t>
      </w:r>
    </w:p>
    <w:p w:rsidR="00C56CFA" w:rsidP="00C56CFA" w14:paraId="37651042" w14:textId="3B2D874C">
      <w:pPr>
        <w:ind w:left="720"/>
        <w:rPr>
          <w:rFonts w:asciiTheme="minorHAnsi" w:hAnsiTheme="minorHAnsi"/>
          <w:sz w:val="22"/>
          <w:szCs w:val="22"/>
        </w:rPr>
      </w:pPr>
    </w:p>
    <w:p w:rsidR="00C56CFA" w:rsidRPr="00453AD3" w:rsidP="00C56CFA" w14:paraId="3E8AFC39" w14:textId="77777777">
      <w:pPr>
        <w:pStyle w:val="Level1"/>
        <w:numPr>
          <w:ilvl w:val="0"/>
          <w:numId w:val="2"/>
        </w:numPr>
        <w:tabs>
          <w:tab w:val="left" w:pos="-1440"/>
          <w:tab w:val="num" w:pos="720"/>
        </w:tabs>
        <w:ind w:left="720" w:hanging="720"/>
        <w:rPr>
          <w:rFonts w:asciiTheme="minorHAnsi" w:hAnsiTheme="minorHAnsi"/>
          <w:sz w:val="22"/>
          <w:szCs w:val="22"/>
        </w:rPr>
      </w:pPr>
      <w:r w:rsidRPr="00453AD3">
        <w:rPr>
          <w:rFonts w:asciiTheme="minorHAnsi" w:hAnsiTheme="minorHAnsi"/>
          <w:sz w:val="22"/>
          <w:szCs w:val="22"/>
          <w:u w:val="single"/>
        </w:rPr>
        <w:t>USE OF DATA</w:t>
      </w:r>
      <w:r>
        <w:rPr>
          <w:rFonts w:asciiTheme="minorHAnsi" w:hAnsiTheme="minorHAnsi"/>
          <w:sz w:val="22"/>
          <w:szCs w:val="22"/>
        </w:rPr>
        <w:t xml:space="preserve"> </w:t>
      </w:r>
    </w:p>
    <w:p w:rsidR="00C56CFA" w:rsidP="00C56CFA" w14:paraId="5CAC47D9" w14:textId="4EB8584E">
      <w:pPr>
        <w:ind w:left="720"/>
        <w:rPr>
          <w:rFonts w:asciiTheme="minorHAnsi" w:hAnsiTheme="minorHAnsi"/>
          <w:sz w:val="22"/>
          <w:szCs w:val="22"/>
        </w:rPr>
      </w:pPr>
    </w:p>
    <w:p w:rsidR="00C56CFA" w:rsidP="00C56CFA" w14:paraId="11209762" w14:textId="31B9F81D">
      <w:pPr>
        <w:ind w:left="720"/>
        <w:rPr>
          <w:rFonts w:asciiTheme="minorHAnsi" w:hAnsiTheme="minorHAnsi"/>
          <w:sz w:val="22"/>
          <w:szCs w:val="22"/>
        </w:rPr>
      </w:pPr>
      <w:r w:rsidRPr="008953DB">
        <w:rPr>
          <w:rFonts w:asciiTheme="minorHAnsi" w:hAnsiTheme="minorHAnsi"/>
          <w:sz w:val="22"/>
          <w:szCs w:val="22"/>
        </w:rPr>
        <w:t>The IRS will use the information in determining whether to assess the section 2801 tax liability for covered gifts and bequests received during the calendar year</w:t>
      </w:r>
      <w:r>
        <w:rPr>
          <w:rFonts w:asciiTheme="minorHAnsi" w:hAnsiTheme="minorHAnsi"/>
          <w:sz w:val="22"/>
          <w:szCs w:val="22"/>
        </w:rPr>
        <w:t>.</w:t>
      </w:r>
    </w:p>
    <w:p w:rsidR="00D33F60" w:rsidP="00C56CFA" w14:paraId="5411103B" w14:textId="2DA887CB">
      <w:pPr>
        <w:ind w:left="720"/>
        <w:rPr>
          <w:rFonts w:asciiTheme="minorHAnsi" w:hAnsiTheme="minorHAnsi"/>
          <w:sz w:val="22"/>
          <w:szCs w:val="22"/>
        </w:rPr>
      </w:pPr>
    </w:p>
    <w:p w:rsidR="00D33F60" w:rsidRPr="00453AD3" w:rsidP="00D33F60" w14:paraId="4F5233F3" w14:textId="77777777">
      <w:pPr>
        <w:pStyle w:val="Level1"/>
        <w:numPr>
          <w:ilvl w:val="0"/>
          <w:numId w:val="2"/>
        </w:numPr>
        <w:tabs>
          <w:tab w:val="left" w:pos="-1440"/>
          <w:tab w:val="num" w:pos="720"/>
        </w:tabs>
        <w:ind w:left="720" w:hanging="720"/>
        <w:rPr>
          <w:rFonts w:asciiTheme="minorHAnsi" w:hAnsiTheme="minorHAnsi"/>
          <w:sz w:val="22"/>
          <w:szCs w:val="22"/>
        </w:rPr>
      </w:pPr>
      <w:r w:rsidRPr="00453AD3">
        <w:rPr>
          <w:rFonts w:asciiTheme="minorHAnsi" w:hAnsiTheme="minorHAnsi"/>
          <w:sz w:val="22"/>
          <w:szCs w:val="22"/>
          <w:u w:val="single"/>
        </w:rPr>
        <w:t>USE OF IMPROVED INFORMATION TECHNOLOGY TO REDUCE BURDEN</w:t>
      </w:r>
    </w:p>
    <w:p w:rsidR="00D33F60" w:rsidP="00C56CFA" w14:paraId="356E40DA" w14:textId="24EA8439">
      <w:pPr>
        <w:ind w:left="720"/>
        <w:rPr>
          <w:rFonts w:asciiTheme="minorHAnsi" w:hAnsiTheme="minorHAnsi"/>
          <w:sz w:val="22"/>
          <w:szCs w:val="22"/>
        </w:rPr>
      </w:pPr>
    </w:p>
    <w:p w:rsidR="00297D7C" w:rsidRPr="00297D7C" w:rsidP="00297D7C" w14:paraId="0D18E803" w14:textId="1AB65585">
      <w:pPr>
        <w:ind w:left="720"/>
        <w:rPr>
          <w:rFonts w:asciiTheme="minorHAnsi" w:hAnsiTheme="minorHAnsi"/>
          <w:sz w:val="22"/>
          <w:szCs w:val="22"/>
        </w:rPr>
      </w:pPr>
      <w:r w:rsidRPr="00297D7C">
        <w:rPr>
          <w:rFonts w:asciiTheme="minorHAnsi" w:hAnsiTheme="minorHAnsi"/>
          <w:sz w:val="22"/>
          <w:szCs w:val="22"/>
        </w:rPr>
        <w:t xml:space="preserve">IRS is developing Form </w:t>
      </w:r>
      <w:r>
        <w:rPr>
          <w:rFonts w:asciiTheme="minorHAnsi" w:hAnsiTheme="minorHAnsi"/>
          <w:sz w:val="22"/>
          <w:szCs w:val="22"/>
        </w:rPr>
        <w:t>708</w:t>
      </w:r>
      <w:r w:rsidRPr="00297D7C">
        <w:rPr>
          <w:rFonts w:asciiTheme="minorHAnsi" w:hAnsiTheme="minorHAnsi"/>
          <w:sz w:val="22"/>
          <w:szCs w:val="22"/>
        </w:rPr>
        <w:t xml:space="preserve"> to be available electronically on IRS.gov. However, the form </w:t>
      </w:r>
      <w:r>
        <w:rPr>
          <w:rFonts w:asciiTheme="minorHAnsi" w:hAnsiTheme="minorHAnsi"/>
          <w:sz w:val="22"/>
          <w:szCs w:val="22"/>
        </w:rPr>
        <w:t>is</w:t>
      </w:r>
      <w:r w:rsidRPr="00297D7C">
        <w:rPr>
          <w:rFonts w:asciiTheme="minorHAnsi" w:hAnsiTheme="minorHAnsi"/>
          <w:sz w:val="22"/>
          <w:szCs w:val="22"/>
        </w:rPr>
        <w:t xml:space="preserve"> not available to be electronic at this time. </w:t>
      </w:r>
    </w:p>
    <w:p w:rsidR="00D33F60" w:rsidP="00C56CFA" w14:paraId="38F04D94" w14:textId="75DD028D">
      <w:pPr>
        <w:ind w:left="720"/>
        <w:rPr>
          <w:rFonts w:asciiTheme="minorHAnsi" w:hAnsiTheme="minorHAnsi"/>
          <w:sz w:val="22"/>
          <w:szCs w:val="22"/>
        </w:rPr>
      </w:pPr>
    </w:p>
    <w:p w:rsidR="00D33F60" w:rsidRPr="00453AD3" w:rsidP="00D33F60" w14:paraId="411862C0" w14:textId="77777777">
      <w:pPr>
        <w:pStyle w:val="Level1"/>
        <w:numPr>
          <w:ilvl w:val="0"/>
          <w:numId w:val="2"/>
        </w:numPr>
        <w:tabs>
          <w:tab w:val="left" w:pos="-1440"/>
          <w:tab w:val="num" w:pos="720"/>
        </w:tabs>
        <w:ind w:left="720" w:hanging="720"/>
        <w:rPr>
          <w:rFonts w:asciiTheme="minorHAnsi" w:hAnsiTheme="minorHAnsi"/>
          <w:sz w:val="22"/>
          <w:szCs w:val="22"/>
        </w:rPr>
      </w:pPr>
      <w:r w:rsidRPr="00453AD3">
        <w:rPr>
          <w:rFonts w:asciiTheme="minorHAnsi" w:hAnsiTheme="minorHAnsi"/>
          <w:sz w:val="22"/>
          <w:szCs w:val="22"/>
          <w:u w:val="single"/>
        </w:rPr>
        <w:t>EFFORTS TO IDENTIFY DUPLICATION</w:t>
      </w:r>
    </w:p>
    <w:p w:rsidR="00D33F60" w:rsidP="00C56CFA" w14:paraId="3AB7D415" w14:textId="434A26EB">
      <w:pPr>
        <w:ind w:left="720"/>
        <w:rPr>
          <w:rFonts w:asciiTheme="minorHAnsi" w:hAnsiTheme="minorHAnsi"/>
          <w:sz w:val="22"/>
          <w:szCs w:val="22"/>
        </w:rPr>
      </w:pPr>
    </w:p>
    <w:p w:rsidR="00D33F60" w:rsidP="00C56CFA" w14:paraId="0EC3DA91" w14:textId="15118394">
      <w:pPr>
        <w:ind w:left="720"/>
        <w:rPr>
          <w:rFonts w:asciiTheme="minorHAnsi" w:hAnsiTheme="minorHAnsi"/>
          <w:iCs/>
          <w:sz w:val="22"/>
          <w:szCs w:val="22"/>
        </w:rPr>
      </w:pPr>
      <w:r w:rsidRPr="00453AD3">
        <w:rPr>
          <w:rFonts w:asciiTheme="minorHAnsi" w:hAnsiTheme="minorHAnsi"/>
          <w:iCs/>
          <w:sz w:val="22"/>
          <w:szCs w:val="22"/>
        </w:rPr>
        <w:t>The information obtained through this collection is unique and is not already available for use or adaptation from another source.</w:t>
      </w:r>
    </w:p>
    <w:p w:rsidR="00D33F60" w:rsidP="00C56CFA" w14:paraId="5BF17D69" w14:textId="5A650B45">
      <w:pPr>
        <w:ind w:left="720"/>
        <w:rPr>
          <w:rFonts w:asciiTheme="minorHAnsi" w:hAnsiTheme="minorHAnsi"/>
          <w:iCs/>
          <w:sz w:val="22"/>
          <w:szCs w:val="22"/>
        </w:rPr>
      </w:pPr>
    </w:p>
    <w:p w:rsidR="00691597" w:rsidRPr="00691597" w:rsidP="00691597" w14:paraId="53DADB73" w14:textId="0B1DD966">
      <w:pPr>
        <w:pStyle w:val="Level1"/>
        <w:numPr>
          <w:ilvl w:val="0"/>
          <w:numId w:val="2"/>
        </w:numPr>
        <w:tabs>
          <w:tab w:val="left" w:pos="-1440"/>
          <w:tab w:val="num" w:pos="720"/>
        </w:tabs>
        <w:ind w:left="720" w:hanging="720"/>
        <w:rPr>
          <w:rFonts w:asciiTheme="minorHAnsi" w:hAnsiTheme="minorHAnsi"/>
          <w:sz w:val="22"/>
          <w:szCs w:val="22"/>
          <w:u w:val="single"/>
        </w:rPr>
      </w:pPr>
      <w:r w:rsidRPr="00453AD3">
        <w:rPr>
          <w:rFonts w:asciiTheme="minorHAnsi" w:hAnsiTheme="minorHAnsi"/>
          <w:sz w:val="22"/>
          <w:szCs w:val="22"/>
          <w:u w:val="single"/>
        </w:rPr>
        <w:t>METHODS TO MINIMIZE BURDEN ON SMALL BUSINESSES OR OTHER SMALL ENTITIES</w:t>
      </w:r>
    </w:p>
    <w:p w:rsidR="00D33F60" w:rsidP="00C56CFA" w14:paraId="716E4602" w14:textId="75FBEE58">
      <w:pPr>
        <w:ind w:left="720"/>
        <w:rPr>
          <w:rFonts w:asciiTheme="minorHAnsi" w:hAnsiTheme="minorHAnsi"/>
          <w:sz w:val="22"/>
          <w:szCs w:val="22"/>
        </w:rPr>
      </w:pPr>
    </w:p>
    <w:p w:rsidR="00691597" w:rsidP="00C56CFA" w14:paraId="5CF389EC" w14:textId="17DCD2B6">
      <w:pPr>
        <w:ind w:left="720"/>
        <w:rPr>
          <w:rFonts w:asciiTheme="minorHAnsi" w:hAnsiTheme="minorHAnsi"/>
          <w:sz w:val="22"/>
          <w:szCs w:val="22"/>
        </w:rPr>
      </w:pPr>
      <w:bookmarkStart w:id="0" w:name="_Hlk129679301"/>
      <w:r w:rsidRPr="00453AD3">
        <w:rPr>
          <w:rFonts w:asciiTheme="minorHAnsi" w:hAnsiTheme="minorHAnsi" w:cs="Courier New"/>
          <w:color w:val="000000"/>
          <w:sz w:val="22"/>
          <w:szCs w:val="22"/>
        </w:rPr>
        <w:t>There is no burden on small businesses or entities by this collection due to the inapplicability of</w:t>
      </w:r>
      <w:bookmarkEnd w:id="0"/>
      <w:r>
        <w:rPr>
          <w:rFonts w:asciiTheme="minorHAnsi" w:hAnsiTheme="minorHAnsi" w:cs="Courier New"/>
          <w:color w:val="000000"/>
          <w:sz w:val="22"/>
          <w:szCs w:val="22"/>
        </w:rPr>
        <w:t xml:space="preserve"> IRC section 2801 to this type of entity. The regulations will affect individuals and certain trusts.</w:t>
      </w:r>
    </w:p>
    <w:p w:rsidR="00691597" w:rsidP="00C56CFA" w14:paraId="44B5E62D" w14:textId="114C30D5">
      <w:pPr>
        <w:ind w:left="720"/>
        <w:rPr>
          <w:rFonts w:asciiTheme="minorHAnsi" w:hAnsiTheme="minorHAnsi"/>
          <w:sz w:val="22"/>
          <w:szCs w:val="22"/>
        </w:rPr>
      </w:pPr>
    </w:p>
    <w:p w:rsidR="00691597" w:rsidRPr="00691597" w:rsidP="00691597" w14:paraId="6A5E9524" w14:textId="77777777">
      <w:pPr>
        <w:pStyle w:val="Level1"/>
        <w:numPr>
          <w:ilvl w:val="0"/>
          <w:numId w:val="2"/>
        </w:numPr>
        <w:tabs>
          <w:tab w:val="left" w:pos="-1440"/>
          <w:tab w:val="num" w:pos="720"/>
        </w:tabs>
        <w:ind w:left="720" w:hanging="720"/>
        <w:rPr>
          <w:rFonts w:asciiTheme="minorHAnsi" w:hAnsiTheme="minorHAnsi"/>
          <w:sz w:val="22"/>
          <w:szCs w:val="22"/>
          <w:u w:val="single"/>
        </w:rPr>
      </w:pPr>
      <w:r w:rsidRPr="00453AD3">
        <w:rPr>
          <w:rFonts w:asciiTheme="minorHAnsi" w:hAnsiTheme="minorHAnsi"/>
          <w:sz w:val="22"/>
          <w:szCs w:val="22"/>
          <w:u w:val="single"/>
        </w:rPr>
        <w:t>CONSEQUENCES OF LESS FREQUENT COLLECTION ON FEDERAL PROGRAMS OR POLICY ACTIVITIES</w:t>
      </w:r>
    </w:p>
    <w:p w:rsidR="00691597" w:rsidP="00C56CFA" w14:paraId="32FA15C0" w14:textId="3F212D55">
      <w:pPr>
        <w:ind w:left="720"/>
        <w:rPr>
          <w:rFonts w:asciiTheme="minorHAnsi" w:hAnsiTheme="minorHAnsi"/>
          <w:sz w:val="22"/>
          <w:szCs w:val="22"/>
        </w:rPr>
      </w:pPr>
    </w:p>
    <w:p w:rsidR="00691597" w:rsidP="00C56CFA" w14:paraId="76D4F3C3" w14:textId="31CA8720">
      <w:pPr>
        <w:ind w:left="720"/>
        <w:rPr>
          <w:rFonts w:asciiTheme="minorHAnsi" w:hAnsiTheme="minorHAnsi" w:cs="Calibri"/>
          <w:bCs/>
          <w:sz w:val="22"/>
          <w:szCs w:val="22"/>
        </w:rPr>
      </w:pPr>
      <w:bookmarkStart w:id="1" w:name="_Hlk100319375"/>
      <w:r w:rsidRPr="00453AD3">
        <w:rPr>
          <w:rFonts w:asciiTheme="minorHAnsi" w:hAnsiTheme="minorHAnsi" w:cs="Courier New"/>
          <w:sz w:val="22"/>
          <w:szCs w:val="22"/>
        </w:rPr>
        <w:t xml:space="preserve">Consequences of less frequent collection on federal programs or policy activities would consist of decreased amount of taxes collected by the </w:t>
      </w:r>
      <w:r>
        <w:rPr>
          <w:rFonts w:asciiTheme="minorHAnsi" w:hAnsiTheme="minorHAnsi" w:cs="Courier New"/>
          <w:sz w:val="22"/>
          <w:szCs w:val="22"/>
        </w:rPr>
        <w:t>IRS</w:t>
      </w:r>
      <w:r w:rsidRPr="00453AD3">
        <w:rPr>
          <w:rFonts w:asciiTheme="minorHAnsi" w:hAnsiTheme="minorHAnsi" w:cs="Courier New"/>
          <w:sz w:val="22"/>
          <w:szCs w:val="22"/>
        </w:rPr>
        <w:t>, inaccurate and untimely filing of tax returns, and an increase in tax violations.</w:t>
      </w:r>
      <w:bookmarkEnd w:id="1"/>
    </w:p>
    <w:p w:rsidR="00F14806" w:rsidP="00C56CFA" w14:paraId="1703B86B" w14:textId="04C69600">
      <w:pPr>
        <w:ind w:left="720"/>
        <w:rPr>
          <w:rFonts w:asciiTheme="minorHAnsi" w:hAnsiTheme="minorHAnsi" w:cs="Calibri"/>
          <w:bCs/>
          <w:sz w:val="22"/>
          <w:szCs w:val="22"/>
        </w:rPr>
      </w:pPr>
    </w:p>
    <w:p w:rsidR="00F14806" w:rsidRPr="00F14806" w:rsidP="00F14806" w14:paraId="0DC55857" w14:textId="77777777">
      <w:pPr>
        <w:pStyle w:val="Level1"/>
        <w:numPr>
          <w:ilvl w:val="0"/>
          <w:numId w:val="2"/>
        </w:numPr>
        <w:tabs>
          <w:tab w:val="left" w:pos="-1440"/>
          <w:tab w:val="num" w:pos="720"/>
        </w:tabs>
        <w:ind w:left="720" w:hanging="720"/>
        <w:rPr>
          <w:rFonts w:asciiTheme="minorHAnsi" w:hAnsiTheme="minorHAnsi"/>
          <w:sz w:val="22"/>
          <w:szCs w:val="22"/>
          <w:u w:val="single"/>
        </w:rPr>
      </w:pPr>
      <w:r w:rsidRPr="00453AD3">
        <w:rPr>
          <w:rFonts w:asciiTheme="minorHAnsi" w:hAnsiTheme="minorHAnsi"/>
          <w:sz w:val="22"/>
          <w:szCs w:val="22"/>
          <w:u w:val="single"/>
        </w:rPr>
        <w:t>SPECIAL CIRCUMSTANCES REQUIRING DATA COLLECTION TO BE</w:t>
      </w:r>
      <w:r>
        <w:rPr>
          <w:rFonts w:asciiTheme="minorHAnsi" w:hAnsiTheme="minorHAnsi"/>
          <w:sz w:val="22"/>
          <w:szCs w:val="22"/>
          <w:u w:val="single"/>
        </w:rPr>
        <w:t xml:space="preserve"> </w:t>
      </w:r>
      <w:r w:rsidRPr="00453AD3">
        <w:rPr>
          <w:rFonts w:asciiTheme="minorHAnsi" w:hAnsiTheme="minorHAnsi"/>
          <w:sz w:val="22"/>
          <w:szCs w:val="22"/>
          <w:u w:val="single"/>
        </w:rPr>
        <w:t>INCONSISTENT WITH GUIDELINES IN 5 CFR 1320.5(d)(2)</w:t>
      </w:r>
    </w:p>
    <w:p w:rsidR="00F14806" w:rsidP="00C56CFA" w14:paraId="51752928" w14:textId="16B8D55A">
      <w:pPr>
        <w:ind w:left="720"/>
        <w:rPr>
          <w:rFonts w:asciiTheme="minorHAnsi" w:hAnsiTheme="minorHAnsi" w:cs="Calibri"/>
          <w:bCs/>
          <w:sz w:val="22"/>
          <w:szCs w:val="22"/>
        </w:rPr>
      </w:pPr>
    </w:p>
    <w:p w:rsidR="00F14806" w:rsidP="00C56CFA" w14:paraId="4BDD8DCD" w14:textId="220A4D45">
      <w:pPr>
        <w:ind w:left="720"/>
        <w:rPr>
          <w:rFonts w:asciiTheme="minorHAnsi" w:hAnsiTheme="minorHAnsi"/>
          <w:sz w:val="22"/>
          <w:szCs w:val="22"/>
        </w:rPr>
      </w:pPr>
      <w:r w:rsidRPr="00453AD3">
        <w:rPr>
          <w:rFonts w:asciiTheme="minorHAnsi" w:hAnsiTheme="minorHAnsi"/>
          <w:sz w:val="22"/>
          <w:szCs w:val="22"/>
        </w:rPr>
        <w:t xml:space="preserve">There are no special circumstances requiring data collection to be inconsistent with </w:t>
      </w:r>
      <w:r>
        <w:rPr>
          <w:rFonts w:asciiTheme="minorHAnsi" w:hAnsiTheme="minorHAnsi"/>
          <w:sz w:val="22"/>
          <w:szCs w:val="22"/>
        </w:rPr>
        <w:t>g</w:t>
      </w:r>
      <w:r w:rsidRPr="00453AD3">
        <w:rPr>
          <w:rFonts w:asciiTheme="minorHAnsi" w:hAnsiTheme="minorHAnsi"/>
          <w:sz w:val="22"/>
          <w:szCs w:val="22"/>
        </w:rPr>
        <w:t>uidelines in 5 CFR 1320.5(d)(2).</w:t>
      </w:r>
    </w:p>
    <w:p w:rsidR="00F14806" w:rsidP="00C56CFA" w14:paraId="00430652" w14:textId="26561863">
      <w:pPr>
        <w:ind w:left="720"/>
        <w:rPr>
          <w:rFonts w:asciiTheme="minorHAnsi" w:hAnsiTheme="minorHAnsi"/>
          <w:sz w:val="22"/>
          <w:szCs w:val="22"/>
        </w:rPr>
      </w:pPr>
    </w:p>
    <w:p w:rsidR="00F14806" w:rsidRPr="00F14806" w:rsidP="00F14806" w14:paraId="67ECE1CF" w14:textId="77777777">
      <w:pPr>
        <w:pStyle w:val="Level1"/>
        <w:numPr>
          <w:ilvl w:val="0"/>
          <w:numId w:val="2"/>
        </w:numPr>
        <w:tabs>
          <w:tab w:val="left" w:pos="-1440"/>
          <w:tab w:val="num" w:pos="720"/>
        </w:tabs>
        <w:ind w:left="720" w:hanging="720"/>
        <w:rPr>
          <w:rFonts w:asciiTheme="minorHAnsi" w:hAnsiTheme="minorHAnsi"/>
          <w:sz w:val="22"/>
          <w:szCs w:val="22"/>
          <w:u w:val="single"/>
        </w:rPr>
      </w:pPr>
      <w:r w:rsidRPr="00453AD3">
        <w:rPr>
          <w:rFonts w:asciiTheme="minorHAnsi" w:hAnsiTheme="minorHAnsi"/>
          <w:sz w:val="22"/>
          <w:szCs w:val="22"/>
          <w:u w:val="single"/>
        </w:rPr>
        <w:t>CONSULTATION WITH INDIVIDUALS OUTSIDE OF THE AGENCY ON</w:t>
      </w:r>
      <w:r>
        <w:rPr>
          <w:rFonts w:asciiTheme="minorHAnsi" w:hAnsiTheme="minorHAnsi"/>
          <w:sz w:val="22"/>
          <w:szCs w:val="22"/>
          <w:u w:val="single"/>
        </w:rPr>
        <w:t xml:space="preserve"> </w:t>
      </w:r>
      <w:r w:rsidRPr="00453AD3">
        <w:rPr>
          <w:rFonts w:asciiTheme="minorHAnsi" w:hAnsiTheme="minorHAnsi"/>
          <w:sz w:val="22"/>
          <w:szCs w:val="22"/>
          <w:u w:val="single"/>
        </w:rPr>
        <w:t>AVAILABILITY OF DATA, FREQUENCY OF COLLECTION, CLARITY OF INSTRUCTIONS AND FORMS, AND DATA ELEMENTS</w:t>
      </w:r>
    </w:p>
    <w:p w:rsidR="00F14806" w:rsidP="00C56CFA" w14:paraId="4FF241F7" w14:textId="1BD98B35">
      <w:pPr>
        <w:ind w:left="720"/>
        <w:rPr>
          <w:rFonts w:asciiTheme="minorHAnsi" w:hAnsiTheme="minorHAnsi"/>
          <w:sz w:val="22"/>
          <w:szCs w:val="22"/>
        </w:rPr>
      </w:pPr>
    </w:p>
    <w:p w:rsidR="00F14806" w:rsidP="00C56CFA" w14:paraId="03BE2801" w14:textId="6C676F35">
      <w:pPr>
        <w:ind w:left="720"/>
        <w:rPr>
          <w:rFonts w:asciiTheme="minorHAnsi" w:hAnsiTheme="minorHAnsi"/>
          <w:sz w:val="22"/>
          <w:szCs w:val="22"/>
        </w:rPr>
      </w:pPr>
      <w:r w:rsidRPr="00FE42C6">
        <w:rPr>
          <w:rFonts w:asciiTheme="minorHAnsi" w:hAnsiTheme="minorHAnsi"/>
          <w:sz w:val="22"/>
          <w:szCs w:val="22"/>
        </w:rPr>
        <w:t>A notice of proposed rulemaking (NPRM) soliciting comments was published in the Federal Register on September 10, 2015 (80 FR 54447). Comments w</w:t>
      </w:r>
      <w:r>
        <w:rPr>
          <w:rFonts w:asciiTheme="minorHAnsi" w:hAnsiTheme="minorHAnsi"/>
          <w:sz w:val="22"/>
          <w:szCs w:val="22"/>
        </w:rPr>
        <w:t>ere</w:t>
      </w:r>
      <w:r w:rsidRPr="00FE42C6">
        <w:rPr>
          <w:rFonts w:asciiTheme="minorHAnsi" w:hAnsiTheme="minorHAnsi"/>
          <w:sz w:val="22"/>
          <w:szCs w:val="22"/>
        </w:rPr>
        <w:t xml:space="preserve"> addressed in the final rule</w:t>
      </w:r>
      <w:r>
        <w:rPr>
          <w:rFonts w:asciiTheme="minorHAnsi" w:hAnsiTheme="minorHAnsi"/>
          <w:sz w:val="22"/>
          <w:szCs w:val="22"/>
        </w:rPr>
        <w:t xml:space="preserve">, </w:t>
      </w:r>
      <w:r w:rsidRPr="00821DF3" w:rsidR="00821DF3">
        <w:rPr>
          <w:rFonts w:asciiTheme="minorHAnsi" w:hAnsiTheme="minorHAnsi"/>
          <w:sz w:val="22"/>
          <w:szCs w:val="22"/>
        </w:rPr>
        <w:t xml:space="preserve">published in the Federal Register </w:t>
      </w:r>
      <w:r w:rsidR="00B86269">
        <w:rPr>
          <w:rFonts w:asciiTheme="minorHAnsi" w:hAnsiTheme="minorHAnsi"/>
          <w:sz w:val="22"/>
          <w:szCs w:val="22"/>
        </w:rPr>
        <w:t>on</w:t>
      </w:r>
      <w:r w:rsidRPr="004A2DA0" w:rsidR="00B86269">
        <w:rPr>
          <w:rFonts w:asciiTheme="minorHAnsi" w:hAnsiTheme="minorHAnsi"/>
          <w:sz w:val="22"/>
          <w:szCs w:val="22"/>
        </w:rPr>
        <w:t xml:space="preserve"> </w:t>
      </w:r>
      <w:r w:rsidR="0067693D">
        <w:rPr>
          <w:rFonts w:asciiTheme="minorHAnsi" w:hAnsiTheme="minorHAnsi"/>
          <w:sz w:val="22"/>
          <w:szCs w:val="22"/>
        </w:rPr>
        <w:t>January</w:t>
      </w:r>
      <w:r w:rsidR="00B86269">
        <w:rPr>
          <w:rFonts w:asciiTheme="minorHAnsi" w:hAnsiTheme="minorHAnsi"/>
          <w:sz w:val="22"/>
          <w:szCs w:val="22"/>
        </w:rPr>
        <w:t xml:space="preserve"> 1</w:t>
      </w:r>
      <w:r w:rsidR="0067693D">
        <w:rPr>
          <w:rFonts w:asciiTheme="minorHAnsi" w:hAnsiTheme="minorHAnsi"/>
          <w:sz w:val="22"/>
          <w:szCs w:val="22"/>
        </w:rPr>
        <w:t>4,</w:t>
      </w:r>
      <w:r w:rsidR="00B86269">
        <w:rPr>
          <w:rFonts w:asciiTheme="minorHAnsi" w:hAnsiTheme="minorHAnsi"/>
          <w:sz w:val="22"/>
          <w:szCs w:val="22"/>
        </w:rPr>
        <w:t xml:space="preserve"> 20</w:t>
      </w:r>
      <w:r w:rsidR="0067693D">
        <w:rPr>
          <w:rFonts w:asciiTheme="minorHAnsi" w:hAnsiTheme="minorHAnsi"/>
          <w:sz w:val="22"/>
          <w:szCs w:val="22"/>
        </w:rPr>
        <w:t>2</w:t>
      </w:r>
      <w:r w:rsidR="00821DF3">
        <w:rPr>
          <w:rFonts w:asciiTheme="minorHAnsi" w:hAnsiTheme="minorHAnsi"/>
          <w:sz w:val="22"/>
          <w:szCs w:val="22"/>
        </w:rPr>
        <w:t>5</w:t>
      </w:r>
      <w:r w:rsidRPr="004A2DA0" w:rsidR="00B86269">
        <w:rPr>
          <w:rFonts w:asciiTheme="minorHAnsi" w:hAnsiTheme="minorHAnsi"/>
          <w:sz w:val="22"/>
          <w:szCs w:val="22"/>
        </w:rPr>
        <w:t xml:space="preserve"> (</w:t>
      </w:r>
      <w:r w:rsidR="0067693D">
        <w:rPr>
          <w:rFonts w:asciiTheme="minorHAnsi" w:hAnsiTheme="minorHAnsi"/>
          <w:sz w:val="22"/>
          <w:szCs w:val="22"/>
        </w:rPr>
        <w:t>90</w:t>
      </w:r>
      <w:r w:rsidR="00B86269">
        <w:rPr>
          <w:rFonts w:asciiTheme="minorHAnsi" w:hAnsiTheme="minorHAnsi"/>
          <w:sz w:val="22"/>
          <w:szCs w:val="22"/>
        </w:rPr>
        <w:t xml:space="preserve"> FR </w:t>
      </w:r>
      <w:r w:rsidR="0067693D">
        <w:rPr>
          <w:rFonts w:asciiTheme="minorHAnsi" w:hAnsiTheme="minorHAnsi"/>
          <w:sz w:val="22"/>
          <w:szCs w:val="22"/>
        </w:rPr>
        <w:t>3376</w:t>
      </w:r>
      <w:r w:rsidRPr="004A2DA0" w:rsidR="00B86269">
        <w:rPr>
          <w:rFonts w:asciiTheme="minorHAnsi" w:hAnsiTheme="minorHAnsi"/>
          <w:sz w:val="22"/>
          <w:szCs w:val="22"/>
        </w:rPr>
        <w:t xml:space="preserve">). </w:t>
      </w:r>
    </w:p>
    <w:p w:rsidR="00F14806" w:rsidP="00C56CFA" w14:paraId="405304B1" w14:textId="4BE7D304">
      <w:pPr>
        <w:ind w:left="720"/>
        <w:rPr>
          <w:rFonts w:asciiTheme="minorHAnsi" w:hAnsiTheme="minorHAnsi"/>
          <w:sz w:val="22"/>
          <w:szCs w:val="22"/>
        </w:rPr>
      </w:pPr>
    </w:p>
    <w:p w:rsidR="00F14806" w:rsidRPr="00D22344" w:rsidP="00F14806" w14:paraId="6F02EB8E" w14:textId="77777777">
      <w:pPr>
        <w:pStyle w:val="Level1"/>
        <w:numPr>
          <w:ilvl w:val="0"/>
          <w:numId w:val="2"/>
        </w:numPr>
        <w:tabs>
          <w:tab w:val="left" w:pos="-1440"/>
          <w:tab w:val="num" w:pos="720"/>
        </w:tabs>
        <w:ind w:left="720" w:hanging="720"/>
        <w:rPr>
          <w:rFonts w:asciiTheme="minorHAnsi" w:hAnsiTheme="minorHAnsi"/>
          <w:sz w:val="22"/>
          <w:szCs w:val="22"/>
          <w:u w:val="single"/>
        </w:rPr>
      </w:pPr>
      <w:r w:rsidRPr="00D22344">
        <w:rPr>
          <w:rFonts w:asciiTheme="minorHAnsi" w:hAnsiTheme="minorHAnsi"/>
          <w:sz w:val="22"/>
          <w:szCs w:val="22"/>
          <w:u w:val="single"/>
        </w:rPr>
        <w:t>EXPLANATION OF DECISION TO PROVIDE ANY PAYMENT OR GIFT TO RESPONDENTS</w:t>
      </w:r>
    </w:p>
    <w:p w:rsidR="00F14806" w:rsidP="00C56CFA" w14:paraId="17972B14" w14:textId="1D5C63F4">
      <w:pPr>
        <w:ind w:left="720"/>
        <w:rPr>
          <w:rFonts w:asciiTheme="minorHAnsi" w:hAnsiTheme="minorHAnsi"/>
          <w:sz w:val="22"/>
          <w:szCs w:val="22"/>
        </w:rPr>
      </w:pPr>
    </w:p>
    <w:p w:rsidR="00F14806" w:rsidP="00C56CFA" w14:paraId="7C733844" w14:textId="59B30B70">
      <w:pPr>
        <w:ind w:left="720"/>
        <w:rPr>
          <w:rFonts w:asciiTheme="minorHAnsi" w:hAnsiTheme="minorHAnsi"/>
          <w:sz w:val="22"/>
          <w:szCs w:val="22"/>
        </w:rPr>
      </w:pPr>
      <w:bookmarkStart w:id="2" w:name="_Hlk103317405"/>
      <w:r w:rsidRPr="00453AD3">
        <w:rPr>
          <w:rFonts w:asciiTheme="minorHAnsi" w:hAnsiTheme="minorHAnsi"/>
          <w:sz w:val="22"/>
          <w:szCs w:val="22"/>
        </w:rPr>
        <w:t>No payment or gift has been provided to any respondents.</w:t>
      </w:r>
      <w:bookmarkEnd w:id="2"/>
    </w:p>
    <w:p w:rsidR="00F14806" w:rsidP="00C56CFA" w14:paraId="44CAA08D" w14:textId="2C7E2B66">
      <w:pPr>
        <w:ind w:left="720"/>
        <w:rPr>
          <w:rFonts w:asciiTheme="minorHAnsi" w:hAnsiTheme="minorHAnsi"/>
          <w:sz w:val="22"/>
          <w:szCs w:val="22"/>
        </w:rPr>
      </w:pPr>
    </w:p>
    <w:p w:rsidR="00F14806" w:rsidRPr="00F14806" w:rsidP="00F14806" w14:paraId="1C689EAF" w14:textId="77777777">
      <w:pPr>
        <w:pStyle w:val="Level1"/>
        <w:numPr>
          <w:ilvl w:val="0"/>
          <w:numId w:val="2"/>
        </w:numPr>
        <w:tabs>
          <w:tab w:val="left" w:pos="-1440"/>
          <w:tab w:val="num" w:pos="720"/>
        </w:tabs>
        <w:ind w:left="720" w:hanging="720"/>
        <w:rPr>
          <w:rFonts w:asciiTheme="minorHAnsi" w:hAnsiTheme="minorHAnsi"/>
          <w:sz w:val="22"/>
          <w:szCs w:val="22"/>
          <w:u w:val="single"/>
        </w:rPr>
      </w:pPr>
      <w:r w:rsidRPr="00453AD3">
        <w:rPr>
          <w:rFonts w:asciiTheme="minorHAnsi" w:hAnsiTheme="minorHAnsi"/>
          <w:sz w:val="22"/>
          <w:szCs w:val="22"/>
          <w:u w:val="single"/>
        </w:rPr>
        <w:t>ASSURANCE OF CONFIDENTIALITY OF RESPONSES</w:t>
      </w:r>
    </w:p>
    <w:p w:rsidR="00F14806" w:rsidP="00C56CFA" w14:paraId="7F53AA4A" w14:textId="47B8C89A">
      <w:pPr>
        <w:ind w:left="720"/>
        <w:rPr>
          <w:rFonts w:asciiTheme="minorHAnsi" w:hAnsiTheme="minorHAnsi"/>
          <w:sz w:val="22"/>
          <w:szCs w:val="22"/>
        </w:rPr>
      </w:pPr>
    </w:p>
    <w:p w:rsidR="00F14806" w:rsidP="00C56CFA" w14:paraId="16F48F32" w14:textId="57B183BD">
      <w:pPr>
        <w:ind w:left="720"/>
        <w:rPr>
          <w:rFonts w:asciiTheme="minorHAnsi" w:hAnsiTheme="minorHAnsi"/>
          <w:sz w:val="22"/>
          <w:szCs w:val="22"/>
        </w:rPr>
      </w:pPr>
      <w:bookmarkStart w:id="3" w:name="_Hlk95473991"/>
      <w:r w:rsidRPr="00453AD3">
        <w:rPr>
          <w:rFonts w:asciiTheme="minorHAnsi" w:hAnsiTheme="minorHAnsi"/>
          <w:sz w:val="22"/>
          <w:szCs w:val="22"/>
        </w:rPr>
        <w:t>Generally, tax returns and tax return information are confidential as required by 26 U</w:t>
      </w:r>
      <w:r>
        <w:rPr>
          <w:rFonts w:asciiTheme="minorHAnsi" w:hAnsiTheme="minorHAnsi"/>
          <w:sz w:val="22"/>
          <w:szCs w:val="22"/>
        </w:rPr>
        <w:t>.</w:t>
      </w:r>
      <w:r w:rsidRPr="00453AD3">
        <w:rPr>
          <w:rFonts w:asciiTheme="minorHAnsi" w:hAnsiTheme="minorHAnsi"/>
          <w:sz w:val="22"/>
          <w:szCs w:val="22"/>
        </w:rPr>
        <w:t>S</w:t>
      </w:r>
      <w:r>
        <w:rPr>
          <w:rFonts w:asciiTheme="minorHAnsi" w:hAnsiTheme="minorHAnsi"/>
          <w:sz w:val="22"/>
          <w:szCs w:val="22"/>
        </w:rPr>
        <w:t>.</w:t>
      </w:r>
      <w:r w:rsidRPr="00453AD3">
        <w:rPr>
          <w:rFonts w:asciiTheme="minorHAnsi" w:hAnsiTheme="minorHAnsi"/>
          <w:sz w:val="22"/>
          <w:szCs w:val="22"/>
        </w:rPr>
        <w:t>C</w:t>
      </w:r>
      <w:r>
        <w:rPr>
          <w:rFonts w:asciiTheme="minorHAnsi" w:hAnsiTheme="minorHAnsi"/>
          <w:sz w:val="22"/>
          <w:szCs w:val="22"/>
        </w:rPr>
        <w:t>.</w:t>
      </w:r>
      <w:r w:rsidRPr="00453AD3">
        <w:rPr>
          <w:rFonts w:asciiTheme="minorHAnsi" w:hAnsiTheme="minorHAnsi"/>
          <w:sz w:val="22"/>
          <w:szCs w:val="22"/>
        </w:rPr>
        <w:t xml:space="preserve"> 6103.</w:t>
      </w:r>
      <w:bookmarkEnd w:id="3"/>
    </w:p>
    <w:p w:rsidR="00F14806" w:rsidP="00C56CFA" w14:paraId="5017BEA1" w14:textId="39F8FF94">
      <w:pPr>
        <w:ind w:left="720"/>
        <w:rPr>
          <w:rFonts w:asciiTheme="minorHAnsi" w:hAnsiTheme="minorHAnsi"/>
          <w:sz w:val="22"/>
          <w:szCs w:val="22"/>
        </w:rPr>
      </w:pPr>
    </w:p>
    <w:p w:rsidR="00F14806" w:rsidRPr="00F14806" w:rsidP="00F14806" w14:paraId="2071A97C" w14:textId="723CCEE7">
      <w:pPr>
        <w:pStyle w:val="Level1"/>
        <w:numPr>
          <w:ilvl w:val="0"/>
          <w:numId w:val="2"/>
        </w:numPr>
        <w:tabs>
          <w:tab w:val="left" w:pos="-1440"/>
          <w:tab w:val="num" w:pos="720"/>
        </w:tabs>
        <w:ind w:left="720" w:hanging="720"/>
        <w:rPr>
          <w:rFonts w:asciiTheme="minorHAnsi" w:hAnsiTheme="minorHAnsi"/>
          <w:sz w:val="22"/>
          <w:szCs w:val="22"/>
          <w:u w:val="single"/>
        </w:rPr>
      </w:pPr>
      <w:r w:rsidRPr="00453AD3">
        <w:rPr>
          <w:rFonts w:asciiTheme="minorHAnsi" w:hAnsiTheme="minorHAnsi"/>
          <w:sz w:val="22"/>
          <w:szCs w:val="22"/>
          <w:u w:val="single"/>
        </w:rPr>
        <w:t>JUSTIFICATION OF SENSITIVE QUESTIONS</w:t>
      </w:r>
    </w:p>
    <w:p w:rsidR="00F14806" w:rsidP="00C56CFA" w14:paraId="148CBB37" w14:textId="608130DD">
      <w:pPr>
        <w:ind w:left="720"/>
        <w:rPr>
          <w:rFonts w:asciiTheme="minorHAnsi" w:hAnsiTheme="minorHAnsi"/>
          <w:sz w:val="22"/>
          <w:szCs w:val="22"/>
        </w:rPr>
      </w:pPr>
    </w:p>
    <w:p w:rsidR="00F14806" w:rsidRPr="00453AD3" w:rsidP="00F14806" w14:paraId="25D26008" w14:textId="77777777">
      <w:pPr>
        <w:numPr>
          <w:ilvl w:val="12"/>
          <w:numId w:val="0"/>
        </w:numPr>
        <w:ind w:left="720"/>
        <w:rPr>
          <w:rFonts w:asciiTheme="minorHAnsi" w:hAnsiTheme="minorHAnsi" w:cs="Calibri"/>
          <w:bCs/>
          <w:sz w:val="22"/>
          <w:szCs w:val="22"/>
        </w:rPr>
      </w:pPr>
      <w:bookmarkStart w:id="4" w:name="_Hlk125524792"/>
      <w:bookmarkStart w:id="5" w:name="_Hlk129670057"/>
      <w:r w:rsidRPr="00453AD3">
        <w:rPr>
          <w:rFonts w:asciiTheme="minorHAnsi" w:hAnsiTheme="minorHAnsi" w:cs="Calibri"/>
          <w:bCs/>
          <w:sz w:val="22"/>
          <w:szCs w:val="22"/>
        </w:rPr>
        <w:t>A privacy impact assessment (PIA) has been conducted for information collected under this request</w:t>
      </w:r>
      <w:r>
        <w:rPr>
          <w:rFonts w:asciiTheme="minorHAnsi" w:hAnsiTheme="minorHAnsi" w:cs="Calibri"/>
          <w:bCs/>
          <w:sz w:val="22"/>
          <w:szCs w:val="22"/>
        </w:rPr>
        <w:t>,</w:t>
      </w:r>
      <w:r w:rsidRPr="00453AD3">
        <w:rPr>
          <w:rFonts w:asciiTheme="minorHAnsi" w:hAnsiTheme="minorHAnsi" w:cs="Calibri"/>
          <w:bCs/>
          <w:sz w:val="22"/>
          <w:szCs w:val="22"/>
        </w:rPr>
        <w:t xml:space="preserve"> and a Privacy Act System of Records notice (SORN) has been issued for </w:t>
      </w:r>
      <w:bookmarkStart w:id="6" w:name="_Hlk94249110"/>
      <w:r w:rsidRPr="00453AD3">
        <w:rPr>
          <w:rFonts w:asciiTheme="minorHAnsi" w:hAnsiTheme="minorHAnsi" w:cs="Calibri"/>
          <w:bCs/>
          <w:sz w:val="22"/>
          <w:szCs w:val="22"/>
        </w:rPr>
        <w:t xml:space="preserve">these systems under </w:t>
      </w:r>
      <w:r>
        <w:rPr>
          <w:rFonts w:asciiTheme="minorHAnsi" w:hAnsiTheme="minorHAnsi" w:cs="Calibri"/>
          <w:bCs/>
          <w:sz w:val="22"/>
          <w:szCs w:val="22"/>
        </w:rPr>
        <w:t>Treasury/</w:t>
      </w:r>
      <w:r w:rsidRPr="00453AD3">
        <w:rPr>
          <w:rFonts w:asciiTheme="minorHAnsi" w:hAnsiTheme="minorHAnsi" w:cs="Calibri"/>
          <w:bCs/>
          <w:sz w:val="22"/>
          <w:szCs w:val="22"/>
        </w:rPr>
        <w:t xml:space="preserve">IRS 22.062 </w:t>
      </w:r>
      <w:r>
        <w:rPr>
          <w:rFonts w:asciiTheme="minorHAnsi" w:hAnsiTheme="minorHAnsi" w:cs="Calibri"/>
          <w:bCs/>
          <w:sz w:val="22"/>
          <w:szCs w:val="22"/>
        </w:rPr>
        <w:t>-</w:t>
      </w:r>
      <w:r w:rsidRPr="00453AD3">
        <w:rPr>
          <w:rFonts w:asciiTheme="minorHAnsi" w:hAnsiTheme="minorHAnsi" w:cs="Calibri"/>
          <w:bCs/>
          <w:sz w:val="22"/>
          <w:szCs w:val="22"/>
        </w:rPr>
        <w:t xml:space="preserve"> Electronic Filing Records; </w:t>
      </w:r>
      <w:bookmarkStart w:id="7" w:name="_Hlk95474527"/>
      <w:r>
        <w:rPr>
          <w:rFonts w:asciiTheme="minorHAnsi" w:hAnsiTheme="minorHAnsi" w:cs="Calibri"/>
          <w:bCs/>
          <w:sz w:val="22"/>
          <w:szCs w:val="22"/>
        </w:rPr>
        <w:t>Treasury/</w:t>
      </w:r>
      <w:r w:rsidRPr="00453AD3">
        <w:rPr>
          <w:rFonts w:asciiTheme="minorHAnsi" w:hAnsiTheme="minorHAnsi" w:cs="Calibri"/>
          <w:bCs/>
          <w:sz w:val="22"/>
          <w:szCs w:val="22"/>
        </w:rPr>
        <w:t xml:space="preserve">IRS 24.030 </w:t>
      </w:r>
      <w:r>
        <w:rPr>
          <w:rFonts w:asciiTheme="minorHAnsi" w:hAnsiTheme="minorHAnsi" w:cs="Calibri"/>
          <w:bCs/>
          <w:sz w:val="22"/>
          <w:szCs w:val="22"/>
        </w:rPr>
        <w:t>-</w:t>
      </w:r>
      <w:r w:rsidRPr="00453AD3">
        <w:rPr>
          <w:rFonts w:asciiTheme="minorHAnsi" w:hAnsiTheme="minorHAnsi" w:cs="Calibri"/>
          <w:bCs/>
          <w:sz w:val="22"/>
          <w:szCs w:val="22"/>
        </w:rPr>
        <w:t xml:space="preserve"> Customer Account Data Engine (CADE) Individual Master File; </w:t>
      </w:r>
      <w:r>
        <w:rPr>
          <w:rFonts w:asciiTheme="minorHAnsi" w:hAnsiTheme="minorHAnsi" w:cs="Calibri"/>
          <w:bCs/>
          <w:sz w:val="22"/>
          <w:szCs w:val="22"/>
        </w:rPr>
        <w:t>Treasury/</w:t>
      </w:r>
      <w:r w:rsidRPr="00453AD3">
        <w:rPr>
          <w:rFonts w:asciiTheme="minorHAnsi" w:hAnsiTheme="minorHAnsi" w:cs="Calibri"/>
          <w:bCs/>
          <w:sz w:val="22"/>
          <w:szCs w:val="22"/>
        </w:rPr>
        <w:t xml:space="preserve">IRS 24.046 - CADE Business Master File (BMF); </w:t>
      </w:r>
      <w:r>
        <w:rPr>
          <w:rFonts w:asciiTheme="minorHAnsi" w:hAnsiTheme="minorHAnsi" w:cs="Calibri"/>
          <w:bCs/>
          <w:sz w:val="22"/>
          <w:szCs w:val="22"/>
        </w:rPr>
        <w:t>Treasury/</w:t>
      </w:r>
      <w:r w:rsidRPr="00453AD3">
        <w:rPr>
          <w:rFonts w:asciiTheme="minorHAnsi" w:hAnsiTheme="minorHAnsi" w:cs="Calibri"/>
          <w:bCs/>
          <w:sz w:val="22"/>
          <w:szCs w:val="22"/>
        </w:rPr>
        <w:t xml:space="preserve">IRS 34.037 - Audit Trail and Security Records. </w:t>
      </w:r>
      <w:bookmarkStart w:id="8" w:name="_Hlk90540730"/>
      <w:r w:rsidRPr="00453AD3">
        <w:rPr>
          <w:rFonts w:asciiTheme="minorHAnsi" w:hAnsiTheme="minorHAnsi" w:cs="Calibri"/>
          <w:bCs/>
          <w:sz w:val="22"/>
          <w:szCs w:val="22"/>
        </w:rPr>
        <w:t xml:space="preserve">The Internal Revenue Service PIAs can be found </w:t>
      </w:r>
      <w:bookmarkStart w:id="9" w:name="_Hlk96425022"/>
      <w:r w:rsidRPr="00453AD3">
        <w:rPr>
          <w:rFonts w:asciiTheme="minorHAnsi" w:hAnsiTheme="minorHAnsi" w:cs="Calibri"/>
          <w:bCs/>
          <w:sz w:val="22"/>
          <w:szCs w:val="22"/>
        </w:rPr>
        <w:t xml:space="preserve">at </w:t>
      </w:r>
      <w:bookmarkStart w:id="10" w:name="_Hlk90530558"/>
      <w:hyperlink r:id="rId5" w:history="1">
        <w:r w:rsidRPr="007461BD">
          <w:rPr>
            <w:rStyle w:val="Hyperlink"/>
            <w:rFonts w:asciiTheme="minorHAnsi" w:hAnsiTheme="minorHAnsi" w:cs="Calibri"/>
            <w:bCs/>
            <w:sz w:val="22"/>
            <w:szCs w:val="22"/>
          </w:rPr>
          <w:t>https://www.irs.gov/privacy-disclosure/privacy-impact-assessments-pia</w:t>
        </w:r>
      </w:hyperlink>
      <w:bookmarkEnd w:id="10"/>
      <w:r w:rsidRPr="00453AD3">
        <w:rPr>
          <w:rFonts w:asciiTheme="minorHAnsi" w:hAnsiTheme="minorHAnsi" w:cs="Calibri"/>
          <w:bCs/>
          <w:sz w:val="22"/>
          <w:szCs w:val="22"/>
        </w:rPr>
        <w:t>.</w:t>
      </w:r>
      <w:bookmarkEnd w:id="4"/>
      <w:bookmarkEnd w:id="6"/>
      <w:bookmarkEnd w:id="7"/>
      <w:bookmarkEnd w:id="8"/>
      <w:bookmarkEnd w:id="9"/>
    </w:p>
    <w:p w:rsidR="00F14806" w:rsidRPr="00453AD3" w:rsidP="00F14806" w14:paraId="12BAEBED" w14:textId="77777777">
      <w:pPr>
        <w:numPr>
          <w:ilvl w:val="12"/>
          <w:numId w:val="0"/>
        </w:numPr>
        <w:ind w:left="720"/>
        <w:rPr>
          <w:rFonts w:asciiTheme="minorHAnsi" w:hAnsiTheme="minorHAnsi" w:cs="Calibri"/>
          <w:bCs/>
          <w:sz w:val="22"/>
          <w:szCs w:val="22"/>
        </w:rPr>
      </w:pPr>
    </w:p>
    <w:p w:rsidR="00F14806" w:rsidRPr="00453AD3" w:rsidP="00F14806" w14:paraId="27F98E7C" w14:textId="77777777">
      <w:pPr>
        <w:numPr>
          <w:ilvl w:val="12"/>
          <w:numId w:val="0"/>
        </w:numPr>
        <w:ind w:left="720"/>
        <w:rPr>
          <w:rFonts w:asciiTheme="minorHAnsi" w:hAnsiTheme="minorHAnsi" w:cs="Calibri"/>
          <w:bCs/>
          <w:sz w:val="22"/>
          <w:szCs w:val="22"/>
        </w:rPr>
      </w:pPr>
      <w:r w:rsidRPr="00453AD3">
        <w:rPr>
          <w:rFonts w:asciiTheme="minorHAnsi" w:hAnsiTheme="minorHAnsi" w:cs="Calibri"/>
          <w:bCs/>
          <w:sz w:val="22"/>
          <w:szCs w:val="22"/>
        </w:rPr>
        <w:t>Title 26 U</w:t>
      </w:r>
      <w:r>
        <w:rPr>
          <w:rFonts w:asciiTheme="minorHAnsi" w:hAnsiTheme="minorHAnsi" w:cs="Calibri"/>
          <w:bCs/>
          <w:sz w:val="22"/>
          <w:szCs w:val="22"/>
        </w:rPr>
        <w:t>.</w:t>
      </w:r>
      <w:r w:rsidRPr="00453AD3">
        <w:rPr>
          <w:rFonts w:asciiTheme="minorHAnsi" w:hAnsiTheme="minorHAnsi" w:cs="Calibri"/>
          <w:bCs/>
          <w:sz w:val="22"/>
          <w:szCs w:val="22"/>
        </w:rPr>
        <w:t>S</w:t>
      </w:r>
      <w:r>
        <w:rPr>
          <w:rFonts w:asciiTheme="minorHAnsi" w:hAnsiTheme="minorHAnsi" w:cs="Calibri"/>
          <w:bCs/>
          <w:sz w:val="22"/>
          <w:szCs w:val="22"/>
        </w:rPr>
        <w:t>.</w:t>
      </w:r>
      <w:r w:rsidRPr="00453AD3">
        <w:rPr>
          <w:rFonts w:asciiTheme="minorHAnsi" w:hAnsiTheme="minorHAnsi" w:cs="Calibri"/>
          <w:bCs/>
          <w:sz w:val="22"/>
          <w:szCs w:val="22"/>
        </w:rPr>
        <w:t>C</w:t>
      </w:r>
      <w:r>
        <w:rPr>
          <w:rFonts w:asciiTheme="minorHAnsi" w:hAnsiTheme="minorHAnsi" w:cs="Calibri"/>
          <w:bCs/>
          <w:sz w:val="22"/>
          <w:szCs w:val="22"/>
        </w:rPr>
        <w:t>.</w:t>
      </w:r>
      <w:r w:rsidRPr="00453AD3">
        <w:rPr>
          <w:rFonts w:asciiTheme="minorHAnsi" w:hAnsiTheme="minorHAnsi" w:cs="Calibri"/>
          <w:bCs/>
          <w:sz w:val="22"/>
          <w:szCs w:val="22"/>
        </w:rPr>
        <w:t xml:space="preserve"> 6109 requires inclusion of identifying numbers in returns, statements, or other documents for securing proper identification of persons required to make such returns, statements, or documents and is the authority for social security numbers (SSNs) in IRS systems.</w:t>
      </w:r>
      <w:bookmarkEnd w:id="5"/>
    </w:p>
    <w:p w:rsidR="00F14806" w:rsidP="00F14806" w14:paraId="541E222D" w14:textId="2311F1F7">
      <w:pPr>
        <w:ind w:left="720"/>
        <w:rPr>
          <w:rFonts w:asciiTheme="minorHAnsi" w:hAnsiTheme="minorHAnsi"/>
          <w:sz w:val="22"/>
          <w:szCs w:val="22"/>
        </w:rPr>
      </w:pPr>
    </w:p>
    <w:p w:rsidR="00F14806" w:rsidRPr="00453AD3" w:rsidP="00F14806" w14:paraId="0D7D6AE8" w14:textId="77777777">
      <w:pPr>
        <w:pStyle w:val="Level1"/>
        <w:numPr>
          <w:ilvl w:val="0"/>
          <w:numId w:val="2"/>
        </w:numPr>
        <w:tabs>
          <w:tab w:val="left" w:pos="-1440"/>
          <w:tab w:val="num" w:pos="720"/>
        </w:tabs>
        <w:ind w:left="720" w:hanging="720"/>
        <w:rPr>
          <w:rFonts w:asciiTheme="minorHAnsi" w:hAnsiTheme="minorHAnsi"/>
          <w:sz w:val="22"/>
          <w:szCs w:val="22"/>
          <w:u w:val="single"/>
        </w:rPr>
      </w:pPr>
      <w:r w:rsidRPr="00453AD3">
        <w:rPr>
          <w:rFonts w:asciiTheme="minorHAnsi" w:hAnsiTheme="minorHAnsi"/>
          <w:sz w:val="22"/>
          <w:szCs w:val="22"/>
          <w:u w:val="single"/>
        </w:rPr>
        <w:t>ESTIMATED BURDEN OF INFORMATION COLLECTION</w:t>
      </w:r>
    </w:p>
    <w:p w:rsidR="00F14806" w:rsidP="00F14806" w14:paraId="027C4D80" w14:textId="75B5E6E3">
      <w:pPr>
        <w:ind w:left="720"/>
        <w:rPr>
          <w:rFonts w:asciiTheme="minorHAnsi" w:hAnsiTheme="minorHAnsi"/>
          <w:sz w:val="22"/>
          <w:szCs w:val="22"/>
        </w:rPr>
      </w:pPr>
    </w:p>
    <w:p w:rsidR="00F14806" w:rsidP="00F14806" w14:paraId="5E6785EE" w14:textId="517FD38F">
      <w:pPr>
        <w:ind w:left="720"/>
        <w:rPr>
          <w:rFonts w:ascii="Calibri" w:hAnsi="Calibri" w:cs="Courier New"/>
          <w:sz w:val="22"/>
          <w:szCs w:val="22"/>
        </w:rPr>
      </w:pPr>
      <w:r w:rsidRPr="00567A1A">
        <w:rPr>
          <w:rFonts w:ascii="Calibri" w:hAnsi="Calibri" w:cs="Courier New"/>
          <w:sz w:val="22"/>
          <w:szCs w:val="22"/>
        </w:rPr>
        <w:t xml:space="preserve">To comply with </w:t>
      </w:r>
      <w:r>
        <w:rPr>
          <w:rFonts w:ascii="Calibri" w:hAnsi="Calibri" w:cs="Courier New"/>
          <w:sz w:val="22"/>
          <w:szCs w:val="22"/>
        </w:rPr>
        <w:t xml:space="preserve">IRC </w:t>
      </w:r>
      <w:r w:rsidRPr="00567A1A">
        <w:rPr>
          <w:rFonts w:ascii="Calibri" w:hAnsi="Calibri" w:cs="Courier New"/>
          <w:sz w:val="22"/>
          <w:szCs w:val="22"/>
        </w:rPr>
        <w:t xml:space="preserve">section 2801, a U.S. citizen or resident who receives a covered gift or bequest during the calendar year must report the aggregate value of all covered gifts and bequests received during the year and calculate the tax liability pertaining to such gifts and bequests. The return must include </w:t>
      </w:r>
      <w:r w:rsidRPr="00567A1A">
        <w:rPr>
          <w:rFonts w:ascii="Calibri" w:hAnsi="Calibri" w:cs="Courier New"/>
          <w:sz w:val="22"/>
          <w:szCs w:val="22"/>
        </w:rPr>
        <w:t>all of</w:t>
      </w:r>
      <w:r w:rsidRPr="00567A1A">
        <w:rPr>
          <w:rFonts w:ascii="Calibri" w:hAnsi="Calibri" w:cs="Courier New"/>
          <w:sz w:val="22"/>
          <w:szCs w:val="22"/>
        </w:rPr>
        <w:t xml:space="preserve"> the information specified in order to determine whether the gift or bequest is a covered gift or bequest and whether the value of such gift or request is accurately determined by the taxpayer. </w:t>
      </w:r>
      <w:r>
        <w:rPr>
          <w:rFonts w:ascii="Calibri" w:hAnsi="Calibri" w:cs="Courier New"/>
          <w:sz w:val="22"/>
          <w:szCs w:val="22"/>
        </w:rPr>
        <w:t>The IRS anticipates that there will be</w:t>
      </w:r>
      <w:r w:rsidRPr="00567A1A">
        <w:rPr>
          <w:rFonts w:ascii="Calibri" w:hAnsi="Calibri" w:cs="Courier New"/>
          <w:sz w:val="22"/>
          <w:szCs w:val="22"/>
        </w:rPr>
        <w:t xml:space="preserve"> 1,000 </w:t>
      </w:r>
      <w:r>
        <w:rPr>
          <w:rFonts w:ascii="Calibri" w:hAnsi="Calibri" w:cs="Courier New"/>
          <w:sz w:val="22"/>
          <w:szCs w:val="22"/>
        </w:rPr>
        <w:t>respondents annually</w:t>
      </w:r>
      <w:r w:rsidRPr="00567A1A">
        <w:rPr>
          <w:rFonts w:ascii="Calibri" w:hAnsi="Calibri" w:cs="Courier New"/>
          <w:sz w:val="22"/>
          <w:szCs w:val="22"/>
        </w:rPr>
        <w:t>, with a</w:t>
      </w:r>
      <w:r>
        <w:rPr>
          <w:rFonts w:ascii="Calibri" w:hAnsi="Calibri" w:cs="Courier New"/>
          <w:sz w:val="22"/>
          <w:szCs w:val="22"/>
        </w:rPr>
        <w:t xml:space="preserve">n estimated per-response time of </w:t>
      </w:r>
      <w:r w:rsidRPr="00567A1A">
        <w:rPr>
          <w:rFonts w:ascii="Calibri" w:hAnsi="Calibri" w:cs="Courier New"/>
          <w:sz w:val="22"/>
          <w:szCs w:val="22"/>
        </w:rPr>
        <w:t>approximately 7 hours per respondent.</w:t>
      </w:r>
    </w:p>
    <w:p w:rsidR="00F14806" w:rsidP="00F14806" w14:paraId="13303137" w14:textId="3ADCD409">
      <w:pPr>
        <w:ind w:left="720"/>
        <w:rPr>
          <w:rFonts w:ascii="Calibri" w:hAnsi="Calibri" w:cs="Courier New"/>
          <w:sz w:val="22"/>
          <w:szCs w:val="22"/>
        </w:rPr>
      </w:pPr>
    </w:p>
    <w:tbl>
      <w:tblPr>
        <w:tblW w:w="864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5"/>
        <w:gridCol w:w="1376"/>
        <w:gridCol w:w="1255"/>
        <w:gridCol w:w="1435"/>
        <w:gridCol w:w="1091"/>
        <w:gridCol w:w="1088"/>
        <w:gridCol w:w="1450"/>
      </w:tblGrid>
      <w:tr w14:paraId="7307FBBD" w14:textId="77777777" w:rsidTr="00664C60">
        <w:tblPrEx>
          <w:tblW w:w="864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25" w:type="dxa"/>
            <w:shd w:val="clear" w:color="auto" w:fill="auto"/>
            <w:vAlign w:val="bottom"/>
          </w:tcPr>
          <w:p w:rsidR="00F14806" w:rsidRPr="00F14806" w:rsidP="004B0B4F" w14:paraId="1DAE580B" w14:textId="77777777">
            <w:pPr>
              <w:keepNext/>
              <w:keepLines/>
              <w:numPr>
                <w:ilvl w:val="12"/>
                <w:numId w:val="0"/>
              </w:numPr>
              <w:jc w:val="center"/>
              <w:rPr>
                <w:rFonts w:ascii="Arial Narrow" w:hAnsi="Arial Narrow"/>
                <w:b/>
                <w:sz w:val="20"/>
                <w:szCs w:val="20"/>
              </w:rPr>
            </w:pPr>
            <w:bookmarkStart w:id="11" w:name="_Hlk103748992"/>
            <w:r w:rsidRPr="00F14806">
              <w:rPr>
                <w:rFonts w:ascii="Arial Narrow" w:hAnsi="Arial Narrow"/>
                <w:b/>
                <w:sz w:val="20"/>
                <w:szCs w:val="20"/>
              </w:rPr>
              <w:t>Authority</w:t>
            </w:r>
          </w:p>
        </w:tc>
        <w:tc>
          <w:tcPr>
            <w:tcW w:w="1461" w:type="dxa"/>
            <w:vAlign w:val="bottom"/>
          </w:tcPr>
          <w:p w:rsidR="00F14806" w:rsidRPr="00F14806" w:rsidP="004B0B4F" w14:paraId="447453CB" w14:textId="77777777">
            <w:pPr>
              <w:keepNext/>
              <w:keepLines/>
              <w:numPr>
                <w:ilvl w:val="12"/>
                <w:numId w:val="0"/>
              </w:numPr>
              <w:jc w:val="center"/>
              <w:rPr>
                <w:rFonts w:ascii="Arial Narrow" w:hAnsi="Arial Narrow"/>
                <w:b/>
                <w:sz w:val="20"/>
                <w:szCs w:val="20"/>
              </w:rPr>
            </w:pPr>
            <w:r w:rsidRPr="00F14806">
              <w:rPr>
                <w:rFonts w:ascii="Arial Narrow" w:hAnsi="Arial Narrow"/>
                <w:b/>
                <w:sz w:val="20"/>
                <w:szCs w:val="20"/>
              </w:rPr>
              <w:t>Description</w:t>
            </w:r>
          </w:p>
        </w:tc>
        <w:tc>
          <w:tcPr>
            <w:tcW w:w="1255" w:type="dxa"/>
            <w:vAlign w:val="bottom"/>
          </w:tcPr>
          <w:p w:rsidR="00F14806" w:rsidRPr="00F14806" w:rsidP="004B0B4F" w14:paraId="3DBF7C9F" w14:textId="77777777">
            <w:pPr>
              <w:keepNext/>
              <w:keepLines/>
              <w:numPr>
                <w:ilvl w:val="12"/>
                <w:numId w:val="0"/>
              </w:numPr>
              <w:jc w:val="center"/>
              <w:rPr>
                <w:rFonts w:ascii="Arial Narrow" w:hAnsi="Arial Narrow"/>
                <w:b/>
                <w:sz w:val="20"/>
                <w:szCs w:val="20"/>
              </w:rPr>
            </w:pPr>
            <w:r w:rsidRPr="00F14806">
              <w:rPr>
                <w:rFonts w:ascii="Arial Narrow" w:hAnsi="Arial Narrow"/>
                <w:b/>
                <w:sz w:val="20"/>
                <w:szCs w:val="20"/>
              </w:rPr>
              <w:t># of Respondents</w:t>
            </w:r>
          </w:p>
        </w:tc>
        <w:tc>
          <w:tcPr>
            <w:tcW w:w="1524" w:type="dxa"/>
            <w:vAlign w:val="bottom"/>
          </w:tcPr>
          <w:p w:rsidR="00F14806" w:rsidRPr="00F14806" w:rsidP="004B0B4F" w14:paraId="761CAC7C" w14:textId="77777777">
            <w:pPr>
              <w:keepNext/>
              <w:keepLines/>
              <w:numPr>
                <w:ilvl w:val="12"/>
                <w:numId w:val="0"/>
              </w:numPr>
              <w:jc w:val="center"/>
              <w:rPr>
                <w:rFonts w:ascii="Arial Narrow" w:hAnsi="Arial Narrow"/>
                <w:b/>
                <w:sz w:val="20"/>
                <w:szCs w:val="20"/>
              </w:rPr>
            </w:pPr>
            <w:r w:rsidRPr="00F14806">
              <w:rPr>
                <w:rFonts w:ascii="Arial Narrow" w:hAnsi="Arial Narrow"/>
                <w:b/>
                <w:sz w:val="20"/>
                <w:szCs w:val="20"/>
              </w:rPr>
              <w:t># Responses per Respondent</w:t>
            </w:r>
          </w:p>
        </w:tc>
        <w:tc>
          <w:tcPr>
            <w:tcW w:w="1091" w:type="dxa"/>
            <w:shd w:val="clear" w:color="auto" w:fill="auto"/>
            <w:vAlign w:val="bottom"/>
          </w:tcPr>
          <w:p w:rsidR="00F14806" w:rsidRPr="00F14806" w:rsidP="004B0B4F" w14:paraId="45121140" w14:textId="77777777">
            <w:pPr>
              <w:keepNext/>
              <w:keepLines/>
              <w:numPr>
                <w:ilvl w:val="12"/>
                <w:numId w:val="0"/>
              </w:numPr>
              <w:jc w:val="center"/>
              <w:rPr>
                <w:rFonts w:ascii="Arial Narrow" w:hAnsi="Arial Narrow"/>
                <w:b/>
                <w:sz w:val="20"/>
                <w:szCs w:val="20"/>
              </w:rPr>
            </w:pPr>
            <w:r w:rsidRPr="00F14806">
              <w:rPr>
                <w:rFonts w:ascii="Arial Narrow" w:hAnsi="Arial Narrow"/>
                <w:b/>
                <w:sz w:val="20"/>
                <w:szCs w:val="20"/>
              </w:rPr>
              <w:t>Annual Responses</w:t>
            </w:r>
          </w:p>
        </w:tc>
        <w:tc>
          <w:tcPr>
            <w:tcW w:w="1117" w:type="dxa"/>
            <w:vAlign w:val="bottom"/>
          </w:tcPr>
          <w:p w:rsidR="00F14806" w:rsidRPr="00F14806" w:rsidP="004B0B4F" w14:paraId="612C95FF" w14:textId="77777777">
            <w:pPr>
              <w:keepNext/>
              <w:keepLines/>
              <w:numPr>
                <w:ilvl w:val="12"/>
                <w:numId w:val="0"/>
              </w:numPr>
              <w:jc w:val="center"/>
              <w:rPr>
                <w:rFonts w:ascii="Arial Narrow" w:hAnsi="Arial Narrow"/>
                <w:b/>
                <w:sz w:val="20"/>
                <w:szCs w:val="20"/>
              </w:rPr>
            </w:pPr>
            <w:r w:rsidRPr="00F14806">
              <w:rPr>
                <w:rFonts w:ascii="Arial Narrow" w:hAnsi="Arial Narrow"/>
                <w:b/>
                <w:sz w:val="20"/>
                <w:szCs w:val="20"/>
              </w:rPr>
              <w:t>Hours per Response</w:t>
            </w:r>
          </w:p>
        </w:tc>
        <w:tc>
          <w:tcPr>
            <w:tcW w:w="1667" w:type="dxa"/>
            <w:shd w:val="clear" w:color="auto" w:fill="auto"/>
            <w:vAlign w:val="bottom"/>
          </w:tcPr>
          <w:p w:rsidR="00F14806" w:rsidRPr="00F14806" w:rsidP="004B0B4F" w14:paraId="06833800" w14:textId="77777777">
            <w:pPr>
              <w:keepNext/>
              <w:keepLines/>
              <w:numPr>
                <w:ilvl w:val="12"/>
                <w:numId w:val="0"/>
              </w:numPr>
              <w:jc w:val="center"/>
              <w:rPr>
                <w:rFonts w:ascii="Arial Narrow" w:hAnsi="Arial Narrow"/>
                <w:b/>
                <w:sz w:val="20"/>
                <w:szCs w:val="20"/>
              </w:rPr>
            </w:pPr>
            <w:r w:rsidRPr="00F14806">
              <w:rPr>
                <w:rFonts w:ascii="Arial Narrow" w:hAnsi="Arial Narrow"/>
                <w:b/>
                <w:sz w:val="20"/>
                <w:szCs w:val="20"/>
              </w:rPr>
              <w:t>Total Burden Hours</w:t>
            </w:r>
          </w:p>
        </w:tc>
      </w:tr>
      <w:tr w14:paraId="56FE6A9B" w14:textId="77777777" w:rsidTr="00664C60">
        <w:tblPrEx>
          <w:tblW w:w="8640" w:type="dxa"/>
          <w:tblInd w:w="535" w:type="dxa"/>
          <w:tblLook w:val="04A0"/>
        </w:tblPrEx>
        <w:tc>
          <w:tcPr>
            <w:tcW w:w="525" w:type="dxa"/>
            <w:shd w:val="clear" w:color="auto" w:fill="auto"/>
            <w:vAlign w:val="bottom"/>
          </w:tcPr>
          <w:p w:rsidR="00F14806" w:rsidRPr="00F14806" w:rsidP="004B0B4F" w14:paraId="14517427" w14:textId="26AC7472">
            <w:pPr>
              <w:keepNext/>
              <w:keepLines/>
              <w:numPr>
                <w:ilvl w:val="12"/>
                <w:numId w:val="0"/>
              </w:numPr>
              <w:jc w:val="center"/>
              <w:rPr>
                <w:rFonts w:ascii="Arial Narrow" w:hAnsi="Arial Narrow"/>
                <w:sz w:val="20"/>
                <w:szCs w:val="20"/>
              </w:rPr>
            </w:pPr>
            <w:r>
              <w:rPr>
                <w:rFonts w:ascii="Arial Narrow" w:hAnsi="Arial Narrow"/>
                <w:sz w:val="20"/>
                <w:szCs w:val="20"/>
              </w:rPr>
              <w:t>IRC 2801</w:t>
            </w:r>
          </w:p>
        </w:tc>
        <w:tc>
          <w:tcPr>
            <w:tcW w:w="1461" w:type="dxa"/>
            <w:vAlign w:val="bottom"/>
          </w:tcPr>
          <w:p w:rsidR="00F14806" w:rsidRPr="00F14806" w:rsidP="004B0B4F" w14:paraId="13E1C4A0" w14:textId="40E53F1D">
            <w:pPr>
              <w:keepNext/>
              <w:keepLines/>
              <w:numPr>
                <w:ilvl w:val="12"/>
                <w:numId w:val="0"/>
              </w:numPr>
              <w:jc w:val="center"/>
              <w:rPr>
                <w:rFonts w:ascii="Arial Narrow" w:hAnsi="Arial Narrow"/>
                <w:sz w:val="20"/>
                <w:szCs w:val="20"/>
              </w:rPr>
            </w:pPr>
            <w:r>
              <w:rPr>
                <w:rFonts w:ascii="Arial Narrow" w:hAnsi="Arial Narrow"/>
                <w:sz w:val="20"/>
                <w:szCs w:val="20"/>
              </w:rPr>
              <w:t>Form 708</w:t>
            </w:r>
          </w:p>
        </w:tc>
        <w:tc>
          <w:tcPr>
            <w:tcW w:w="1255" w:type="dxa"/>
            <w:vAlign w:val="bottom"/>
          </w:tcPr>
          <w:p w:rsidR="00F14806" w:rsidRPr="00F14806" w:rsidP="004B0B4F" w14:paraId="5740FA67" w14:textId="70FADA10">
            <w:pPr>
              <w:keepNext/>
              <w:keepLines/>
              <w:numPr>
                <w:ilvl w:val="12"/>
                <w:numId w:val="0"/>
              </w:numPr>
              <w:jc w:val="center"/>
              <w:rPr>
                <w:rFonts w:ascii="Arial Narrow" w:hAnsi="Arial Narrow"/>
                <w:sz w:val="20"/>
                <w:szCs w:val="20"/>
              </w:rPr>
            </w:pPr>
            <w:r>
              <w:rPr>
                <w:rFonts w:ascii="Arial Narrow" w:hAnsi="Arial Narrow"/>
                <w:sz w:val="20"/>
                <w:szCs w:val="20"/>
              </w:rPr>
              <w:t>1,000</w:t>
            </w:r>
          </w:p>
        </w:tc>
        <w:tc>
          <w:tcPr>
            <w:tcW w:w="1524" w:type="dxa"/>
            <w:vAlign w:val="bottom"/>
          </w:tcPr>
          <w:p w:rsidR="00F14806" w:rsidRPr="00F14806" w:rsidP="004B0B4F" w14:paraId="72D317CF" w14:textId="628C7984">
            <w:pPr>
              <w:keepNext/>
              <w:keepLines/>
              <w:numPr>
                <w:ilvl w:val="12"/>
                <w:numId w:val="0"/>
              </w:numPr>
              <w:jc w:val="center"/>
              <w:rPr>
                <w:rFonts w:ascii="Arial Narrow" w:hAnsi="Arial Narrow"/>
                <w:sz w:val="20"/>
                <w:szCs w:val="20"/>
              </w:rPr>
            </w:pPr>
            <w:r>
              <w:rPr>
                <w:rFonts w:ascii="Arial Narrow" w:hAnsi="Arial Narrow"/>
                <w:sz w:val="20"/>
                <w:szCs w:val="20"/>
              </w:rPr>
              <w:t>1</w:t>
            </w:r>
          </w:p>
        </w:tc>
        <w:tc>
          <w:tcPr>
            <w:tcW w:w="1091" w:type="dxa"/>
            <w:shd w:val="clear" w:color="auto" w:fill="auto"/>
            <w:vAlign w:val="bottom"/>
          </w:tcPr>
          <w:p w:rsidR="00F14806" w:rsidRPr="00F14806" w:rsidP="004B0B4F" w14:paraId="27454A99" w14:textId="2278D5E7">
            <w:pPr>
              <w:keepNext/>
              <w:keepLines/>
              <w:numPr>
                <w:ilvl w:val="12"/>
                <w:numId w:val="0"/>
              </w:numPr>
              <w:jc w:val="center"/>
              <w:rPr>
                <w:rFonts w:ascii="Arial Narrow" w:hAnsi="Arial Narrow"/>
                <w:sz w:val="20"/>
                <w:szCs w:val="20"/>
              </w:rPr>
            </w:pPr>
            <w:r>
              <w:rPr>
                <w:rFonts w:ascii="Arial Narrow" w:hAnsi="Arial Narrow"/>
                <w:sz w:val="20"/>
                <w:szCs w:val="20"/>
              </w:rPr>
              <w:t>1,000</w:t>
            </w:r>
          </w:p>
        </w:tc>
        <w:tc>
          <w:tcPr>
            <w:tcW w:w="1117" w:type="dxa"/>
            <w:vAlign w:val="bottom"/>
          </w:tcPr>
          <w:p w:rsidR="00F14806" w:rsidRPr="00F14806" w:rsidP="004B0B4F" w14:paraId="284BA6BA" w14:textId="10B2D11F">
            <w:pPr>
              <w:keepNext/>
              <w:keepLines/>
              <w:numPr>
                <w:ilvl w:val="12"/>
                <w:numId w:val="0"/>
              </w:numPr>
              <w:jc w:val="center"/>
              <w:rPr>
                <w:rFonts w:ascii="Arial Narrow" w:hAnsi="Arial Narrow"/>
                <w:sz w:val="20"/>
                <w:szCs w:val="20"/>
              </w:rPr>
            </w:pPr>
            <w:r>
              <w:rPr>
                <w:rFonts w:ascii="Arial Narrow" w:hAnsi="Arial Narrow"/>
                <w:sz w:val="20"/>
                <w:szCs w:val="20"/>
              </w:rPr>
              <w:t>7</w:t>
            </w:r>
          </w:p>
        </w:tc>
        <w:tc>
          <w:tcPr>
            <w:tcW w:w="1667" w:type="dxa"/>
            <w:shd w:val="clear" w:color="auto" w:fill="auto"/>
            <w:vAlign w:val="bottom"/>
          </w:tcPr>
          <w:p w:rsidR="00F14806" w:rsidRPr="00F14806" w:rsidP="004B0B4F" w14:paraId="7947EA8F" w14:textId="5A1CB66E">
            <w:pPr>
              <w:keepNext/>
              <w:keepLines/>
              <w:numPr>
                <w:ilvl w:val="12"/>
                <w:numId w:val="0"/>
              </w:numPr>
              <w:jc w:val="center"/>
              <w:rPr>
                <w:rFonts w:ascii="Arial Narrow" w:hAnsi="Arial Narrow"/>
                <w:sz w:val="20"/>
                <w:szCs w:val="20"/>
              </w:rPr>
            </w:pPr>
            <w:r>
              <w:rPr>
                <w:rFonts w:ascii="Arial Narrow" w:hAnsi="Arial Narrow"/>
                <w:sz w:val="20"/>
                <w:szCs w:val="20"/>
              </w:rPr>
              <w:t>7,000</w:t>
            </w:r>
          </w:p>
        </w:tc>
      </w:tr>
      <w:tr w14:paraId="497474E9" w14:textId="77777777" w:rsidTr="00664C60">
        <w:tblPrEx>
          <w:tblW w:w="8640" w:type="dxa"/>
          <w:tblInd w:w="535" w:type="dxa"/>
          <w:tblLook w:val="04A0"/>
        </w:tblPrEx>
        <w:tc>
          <w:tcPr>
            <w:tcW w:w="525" w:type="dxa"/>
            <w:shd w:val="clear" w:color="auto" w:fill="auto"/>
            <w:vAlign w:val="bottom"/>
          </w:tcPr>
          <w:p w:rsidR="00F14806" w:rsidRPr="00F14806" w:rsidP="004B0B4F" w14:paraId="794CA37B" w14:textId="77777777">
            <w:pPr>
              <w:keepNext/>
              <w:keepLines/>
              <w:numPr>
                <w:ilvl w:val="12"/>
                <w:numId w:val="0"/>
              </w:numPr>
              <w:jc w:val="center"/>
              <w:rPr>
                <w:rFonts w:ascii="Arial Narrow" w:hAnsi="Arial Narrow"/>
                <w:b/>
                <w:bCs/>
                <w:sz w:val="20"/>
                <w:szCs w:val="20"/>
              </w:rPr>
            </w:pPr>
            <w:r w:rsidRPr="00F14806">
              <w:rPr>
                <w:rFonts w:ascii="Arial Narrow" w:hAnsi="Arial Narrow"/>
                <w:b/>
                <w:bCs/>
                <w:sz w:val="20"/>
                <w:szCs w:val="20"/>
              </w:rPr>
              <w:t>Totals</w:t>
            </w:r>
          </w:p>
        </w:tc>
        <w:tc>
          <w:tcPr>
            <w:tcW w:w="1461" w:type="dxa"/>
            <w:vAlign w:val="bottom"/>
          </w:tcPr>
          <w:p w:rsidR="00F14806" w:rsidRPr="00F14806" w:rsidP="004B0B4F" w14:paraId="0C28AA76" w14:textId="77777777">
            <w:pPr>
              <w:keepNext/>
              <w:keepLines/>
              <w:numPr>
                <w:ilvl w:val="12"/>
                <w:numId w:val="0"/>
              </w:numPr>
              <w:jc w:val="center"/>
              <w:rPr>
                <w:rFonts w:ascii="Arial Narrow" w:hAnsi="Arial Narrow"/>
                <w:b/>
                <w:bCs/>
                <w:sz w:val="20"/>
                <w:szCs w:val="20"/>
              </w:rPr>
            </w:pPr>
          </w:p>
        </w:tc>
        <w:tc>
          <w:tcPr>
            <w:tcW w:w="1255" w:type="dxa"/>
            <w:vAlign w:val="bottom"/>
          </w:tcPr>
          <w:p w:rsidR="00F14806" w:rsidRPr="00F14806" w:rsidP="004B0B4F" w14:paraId="0F201F40" w14:textId="3D0F17CF">
            <w:pPr>
              <w:keepNext/>
              <w:keepLines/>
              <w:numPr>
                <w:ilvl w:val="12"/>
                <w:numId w:val="0"/>
              </w:numPr>
              <w:jc w:val="center"/>
              <w:rPr>
                <w:rFonts w:ascii="Arial Narrow" w:hAnsi="Arial Narrow"/>
                <w:b/>
                <w:bCs/>
                <w:sz w:val="20"/>
                <w:szCs w:val="20"/>
              </w:rPr>
            </w:pPr>
            <w:r>
              <w:rPr>
                <w:rFonts w:ascii="Arial Narrow" w:hAnsi="Arial Narrow"/>
                <w:b/>
                <w:bCs/>
                <w:sz w:val="20"/>
                <w:szCs w:val="20"/>
              </w:rPr>
              <w:t>1,000</w:t>
            </w:r>
          </w:p>
        </w:tc>
        <w:tc>
          <w:tcPr>
            <w:tcW w:w="1524" w:type="dxa"/>
            <w:vAlign w:val="bottom"/>
          </w:tcPr>
          <w:p w:rsidR="00F14806" w:rsidRPr="00F14806" w:rsidP="004B0B4F" w14:paraId="5E5B9E6F" w14:textId="77777777">
            <w:pPr>
              <w:keepNext/>
              <w:keepLines/>
              <w:numPr>
                <w:ilvl w:val="12"/>
                <w:numId w:val="0"/>
              </w:numPr>
              <w:jc w:val="center"/>
              <w:rPr>
                <w:rFonts w:ascii="Arial Narrow" w:hAnsi="Arial Narrow"/>
                <w:b/>
                <w:bCs/>
                <w:sz w:val="20"/>
                <w:szCs w:val="20"/>
              </w:rPr>
            </w:pPr>
          </w:p>
        </w:tc>
        <w:tc>
          <w:tcPr>
            <w:tcW w:w="1091" w:type="dxa"/>
            <w:shd w:val="clear" w:color="auto" w:fill="auto"/>
            <w:vAlign w:val="bottom"/>
          </w:tcPr>
          <w:p w:rsidR="00F14806" w:rsidRPr="00F14806" w:rsidP="004B0B4F" w14:paraId="7BD9ED66" w14:textId="5964DA45">
            <w:pPr>
              <w:keepNext/>
              <w:keepLines/>
              <w:numPr>
                <w:ilvl w:val="12"/>
                <w:numId w:val="0"/>
              </w:numPr>
              <w:jc w:val="center"/>
              <w:rPr>
                <w:rFonts w:ascii="Arial Narrow" w:hAnsi="Arial Narrow"/>
                <w:b/>
                <w:bCs/>
                <w:sz w:val="20"/>
                <w:szCs w:val="20"/>
              </w:rPr>
            </w:pPr>
            <w:r>
              <w:rPr>
                <w:rFonts w:ascii="Arial Narrow" w:hAnsi="Arial Narrow"/>
                <w:b/>
                <w:bCs/>
                <w:sz w:val="20"/>
                <w:szCs w:val="20"/>
              </w:rPr>
              <w:t>1,000</w:t>
            </w:r>
          </w:p>
        </w:tc>
        <w:tc>
          <w:tcPr>
            <w:tcW w:w="1117" w:type="dxa"/>
            <w:vAlign w:val="bottom"/>
          </w:tcPr>
          <w:p w:rsidR="00F14806" w:rsidRPr="00F14806" w:rsidP="004B0B4F" w14:paraId="72756387" w14:textId="77777777">
            <w:pPr>
              <w:keepNext/>
              <w:keepLines/>
              <w:numPr>
                <w:ilvl w:val="12"/>
                <w:numId w:val="0"/>
              </w:numPr>
              <w:jc w:val="center"/>
              <w:rPr>
                <w:rFonts w:ascii="Arial Narrow" w:hAnsi="Arial Narrow"/>
                <w:b/>
                <w:bCs/>
                <w:sz w:val="20"/>
                <w:szCs w:val="20"/>
              </w:rPr>
            </w:pPr>
          </w:p>
        </w:tc>
        <w:tc>
          <w:tcPr>
            <w:tcW w:w="1667" w:type="dxa"/>
            <w:shd w:val="clear" w:color="auto" w:fill="auto"/>
            <w:vAlign w:val="bottom"/>
          </w:tcPr>
          <w:p w:rsidR="00F14806" w:rsidRPr="00F14806" w:rsidP="004B0B4F" w14:paraId="1C782D74" w14:textId="01EB625E">
            <w:pPr>
              <w:keepNext/>
              <w:keepLines/>
              <w:numPr>
                <w:ilvl w:val="12"/>
                <w:numId w:val="0"/>
              </w:numPr>
              <w:jc w:val="center"/>
              <w:rPr>
                <w:rFonts w:ascii="Arial Narrow" w:hAnsi="Arial Narrow"/>
                <w:b/>
                <w:bCs/>
                <w:sz w:val="20"/>
                <w:szCs w:val="20"/>
              </w:rPr>
            </w:pPr>
            <w:r>
              <w:rPr>
                <w:rFonts w:ascii="Arial Narrow" w:hAnsi="Arial Narrow"/>
                <w:b/>
                <w:bCs/>
                <w:sz w:val="20"/>
                <w:szCs w:val="20"/>
              </w:rPr>
              <w:t>7,000</w:t>
            </w:r>
          </w:p>
        </w:tc>
      </w:tr>
      <w:bookmarkEnd w:id="11"/>
    </w:tbl>
    <w:p w:rsidR="00F14806" w:rsidP="00F14806" w14:paraId="44BF3AEE" w14:textId="314CB4CF">
      <w:pPr>
        <w:ind w:left="720"/>
        <w:rPr>
          <w:rFonts w:ascii="Calibri" w:hAnsi="Calibri" w:cs="Courier New"/>
          <w:sz w:val="22"/>
          <w:szCs w:val="22"/>
        </w:rPr>
      </w:pPr>
    </w:p>
    <w:p w:rsidR="00F14806" w:rsidP="00F14806" w14:paraId="66C147AF" w14:textId="5CE3A564">
      <w:pPr>
        <w:ind w:left="720"/>
        <w:rPr>
          <w:rFonts w:asciiTheme="minorHAnsi" w:hAnsiTheme="minorHAnsi"/>
          <w:sz w:val="22"/>
          <w:szCs w:val="22"/>
        </w:rPr>
      </w:pPr>
      <w:bookmarkStart w:id="12" w:name="_Hlk103749115"/>
      <w:bookmarkStart w:id="13" w:name="_Hlk198647367"/>
      <w:r w:rsidRPr="00743627">
        <w:rPr>
          <w:rFonts w:asciiTheme="minorHAnsi" w:hAnsiTheme="minorHAnsi"/>
          <w:sz w:val="22"/>
          <w:szCs w:val="22"/>
        </w:rPr>
        <w:t>The following regulations impose no additional burden. Please</w:t>
      </w:r>
      <w:r w:rsidR="00CB64BD">
        <w:rPr>
          <w:rFonts w:asciiTheme="minorHAnsi" w:hAnsiTheme="minorHAnsi"/>
          <w:sz w:val="22"/>
          <w:szCs w:val="22"/>
        </w:rPr>
        <w:t xml:space="preserve"> continue to</w:t>
      </w:r>
      <w:r w:rsidRPr="00743627">
        <w:rPr>
          <w:rFonts w:asciiTheme="minorHAnsi" w:hAnsiTheme="minorHAnsi"/>
          <w:sz w:val="22"/>
          <w:szCs w:val="22"/>
        </w:rPr>
        <w:t xml:space="preserve"> assign OMB number 1545-</w:t>
      </w:r>
      <w:r w:rsidR="000E3594">
        <w:rPr>
          <w:rFonts w:asciiTheme="minorHAnsi" w:hAnsiTheme="minorHAnsi"/>
          <w:sz w:val="22"/>
          <w:szCs w:val="22"/>
        </w:rPr>
        <w:t>2309</w:t>
      </w:r>
      <w:r w:rsidRPr="00743627">
        <w:rPr>
          <w:rFonts w:asciiTheme="minorHAnsi" w:hAnsiTheme="minorHAnsi"/>
          <w:sz w:val="22"/>
          <w:szCs w:val="22"/>
        </w:rPr>
        <w:t xml:space="preserve"> to these regulations.</w:t>
      </w:r>
      <w:bookmarkEnd w:id="12"/>
    </w:p>
    <w:p w:rsidR="007739B8" w:rsidP="00F14806" w14:paraId="06C9650E" w14:textId="18EDC0F8">
      <w:pPr>
        <w:ind w:left="720"/>
        <w:rPr>
          <w:rFonts w:asciiTheme="minorHAnsi" w:hAnsiTheme="minorHAnsi"/>
          <w:sz w:val="22"/>
          <w:szCs w:val="22"/>
        </w:rPr>
      </w:pPr>
    </w:p>
    <w:p w:rsidR="007739B8" w:rsidP="00F14806" w14:paraId="237BAA07" w14:textId="77777777">
      <w:pPr>
        <w:ind w:left="720"/>
        <w:rPr>
          <w:rFonts w:asciiTheme="minorHAnsi" w:hAnsiTheme="minorHAnsi"/>
          <w:sz w:val="22"/>
          <w:szCs w:val="22"/>
        </w:rPr>
        <w:sectPr>
          <w:pgSz w:w="12240" w:h="15840"/>
          <w:pgMar w:top="1440" w:right="1440" w:bottom="1440" w:left="1440" w:header="720" w:footer="720" w:gutter="0"/>
          <w:cols w:space="720"/>
          <w:docGrid w:linePitch="360"/>
        </w:sectPr>
      </w:pPr>
    </w:p>
    <w:p w:rsidR="007739B8" w:rsidP="00F14806" w14:paraId="7410A6C9" w14:textId="571FBF2B">
      <w:pPr>
        <w:ind w:left="720"/>
        <w:rPr>
          <w:rFonts w:asciiTheme="minorHAnsi" w:hAnsiTheme="minorHAnsi"/>
          <w:sz w:val="22"/>
          <w:szCs w:val="22"/>
        </w:rPr>
      </w:pPr>
      <w:r>
        <w:rPr>
          <w:rFonts w:asciiTheme="minorHAnsi" w:hAnsiTheme="minorHAnsi"/>
          <w:sz w:val="22"/>
          <w:szCs w:val="22"/>
        </w:rPr>
        <w:t>28.2801-4</w:t>
      </w:r>
    </w:p>
    <w:p w:rsidR="007739B8" w:rsidP="00F14806" w14:paraId="77F5C2B0" w14:textId="4E3BECD3">
      <w:pPr>
        <w:ind w:left="720"/>
        <w:rPr>
          <w:rFonts w:asciiTheme="minorHAnsi" w:hAnsiTheme="minorHAnsi"/>
          <w:sz w:val="22"/>
          <w:szCs w:val="22"/>
        </w:rPr>
      </w:pPr>
      <w:r>
        <w:rPr>
          <w:rFonts w:asciiTheme="minorHAnsi" w:hAnsiTheme="minorHAnsi"/>
          <w:sz w:val="22"/>
          <w:szCs w:val="22"/>
        </w:rPr>
        <w:t>28.2801-5</w:t>
      </w:r>
    </w:p>
    <w:p w:rsidR="007739B8" w:rsidP="00F14806" w14:paraId="6BF927C0" w14:textId="53F97148">
      <w:pPr>
        <w:ind w:left="720"/>
        <w:rPr>
          <w:rFonts w:asciiTheme="minorHAnsi" w:hAnsiTheme="minorHAnsi"/>
          <w:sz w:val="22"/>
          <w:szCs w:val="22"/>
        </w:rPr>
      </w:pPr>
      <w:r>
        <w:rPr>
          <w:rFonts w:asciiTheme="minorHAnsi" w:hAnsiTheme="minorHAnsi"/>
          <w:sz w:val="22"/>
          <w:szCs w:val="22"/>
        </w:rPr>
        <w:t>28.6001-1</w:t>
      </w:r>
    </w:p>
    <w:p w:rsidR="007739B8" w:rsidP="00F14806" w14:paraId="1168BCD1" w14:textId="718226DB">
      <w:pPr>
        <w:ind w:left="720"/>
        <w:rPr>
          <w:rFonts w:ascii="Calibri" w:hAnsi="Calibri" w:cs="Courier New"/>
          <w:sz w:val="22"/>
          <w:szCs w:val="22"/>
        </w:rPr>
      </w:pPr>
      <w:r>
        <w:rPr>
          <w:rFonts w:asciiTheme="minorHAnsi" w:hAnsiTheme="minorHAnsi"/>
          <w:sz w:val="22"/>
          <w:szCs w:val="22"/>
        </w:rPr>
        <w:t>28.6011-1</w:t>
      </w:r>
    </w:p>
    <w:bookmarkEnd w:id="13"/>
    <w:p w:rsidR="007739B8" w:rsidP="00F14806" w14:paraId="5A36A456" w14:textId="77777777">
      <w:pPr>
        <w:ind w:left="720"/>
        <w:rPr>
          <w:rFonts w:ascii="Calibri" w:hAnsi="Calibri" w:cs="Courier New"/>
          <w:sz w:val="22"/>
          <w:szCs w:val="22"/>
        </w:rPr>
        <w:sectPr w:rsidSect="007739B8">
          <w:type w:val="continuous"/>
          <w:pgSz w:w="12240" w:h="15840"/>
          <w:pgMar w:top="1440" w:right="1440" w:bottom="1440" w:left="1440" w:header="720" w:footer="720" w:gutter="0"/>
          <w:cols w:num="4" w:space="720"/>
          <w:docGrid w:linePitch="360"/>
        </w:sectPr>
      </w:pPr>
    </w:p>
    <w:p w:rsidR="00F14806" w:rsidP="00F14806" w14:paraId="374938BE" w14:textId="77777777">
      <w:pPr>
        <w:ind w:left="720"/>
        <w:rPr>
          <w:rFonts w:ascii="Calibri" w:hAnsi="Calibri" w:cs="Courier New"/>
          <w:sz w:val="22"/>
          <w:szCs w:val="22"/>
        </w:rPr>
      </w:pPr>
    </w:p>
    <w:p w:rsidR="00F14806" w:rsidRPr="00F14806" w:rsidP="00F14806" w14:paraId="421419F9" w14:textId="77777777">
      <w:pPr>
        <w:pStyle w:val="Level1"/>
        <w:numPr>
          <w:ilvl w:val="0"/>
          <w:numId w:val="2"/>
        </w:numPr>
        <w:tabs>
          <w:tab w:val="left" w:pos="-1440"/>
          <w:tab w:val="num" w:pos="720"/>
        </w:tabs>
        <w:ind w:left="720" w:hanging="720"/>
        <w:rPr>
          <w:rFonts w:asciiTheme="minorHAnsi" w:hAnsiTheme="minorHAnsi"/>
          <w:sz w:val="22"/>
          <w:szCs w:val="22"/>
          <w:u w:val="single"/>
        </w:rPr>
      </w:pPr>
      <w:r w:rsidRPr="00453AD3">
        <w:rPr>
          <w:rFonts w:asciiTheme="minorHAnsi" w:hAnsiTheme="minorHAnsi"/>
          <w:sz w:val="22"/>
          <w:szCs w:val="22"/>
          <w:u w:val="single"/>
        </w:rPr>
        <w:t>ESTIMATED TOTAL ANNUAL COST BURDEN TO RESPONDENTS</w:t>
      </w:r>
    </w:p>
    <w:p w:rsidR="00F14806" w:rsidP="00F14806" w14:paraId="1D919649" w14:textId="6E39DA4D">
      <w:pPr>
        <w:ind w:left="720"/>
        <w:rPr>
          <w:rFonts w:asciiTheme="minorHAnsi" w:hAnsiTheme="minorHAnsi"/>
          <w:sz w:val="22"/>
          <w:szCs w:val="22"/>
        </w:rPr>
      </w:pPr>
    </w:p>
    <w:p w:rsidR="00574990" w:rsidRPr="00574990" w:rsidP="00574990" w14:paraId="12418995" w14:textId="6E3C6851">
      <w:pPr>
        <w:ind w:left="720"/>
        <w:rPr>
          <w:rFonts w:asciiTheme="minorHAnsi" w:hAnsiTheme="minorHAnsi"/>
          <w:sz w:val="22"/>
          <w:szCs w:val="22"/>
        </w:rPr>
      </w:pPr>
      <w:bookmarkStart w:id="14" w:name="_Hlk197508228"/>
      <w:r w:rsidRPr="00574990">
        <w:rPr>
          <w:rFonts w:asciiTheme="minorHAnsi" w:hAnsiTheme="minorHAnsi"/>
          <w:sz w:val="22"/>
          <w:szCs w:val="22"/>
        </w:rPr>
        <w:t>IRS estimates the total annual cost to respondents at $</w:t>
      </w:r>
      <w:r w:rsidR="002A13C5">
        <w:rPr>
          <w:rFonts w:asciiTheme="minorHAnsi" w:hAnsiTheme="minorHAnsi"/>
          <w:sz w:val="22"/>
          <w:szCs w:val="22"/>
        </w:rPr>
        <w:t>144</w:t>
      </w:r>
      <w:r w:rsidRPr="00574990">
        <w:rPr>
          <w:rFonts w:asciiTheme="minorHAnsi" w:hAnsiTheme="minorHAnsi"/>
          <w:sz w:val="22"/>
          <w:szCs w:val="22"/>
        </w:rPr>
        <w:t>,</w:t>
      </w:r>
      <w:r w:rsidR="002A13C5">
        <w:rPr>
          <w:rFonts w:asciiTheme="minorHAnsi" w:hAnsiTheme="minorHAnsi"/>
          <w:sz w:val="22"/>
          <w:szCs w:val="22"/>
        </w:rPr>
        <w:t>942</w:t>
      </w:r>
      <w:r w:rsidRPr="00574990">
        <w:rPr>
          <w:rFonts w:asciiTheme="minorHAnsi" w:hAnsiTheme="minorHAnsi"/>
          <w:sz w:val="22"/>
          <w:szCs w:val="22"/>
        </w:rPr>
        <w:t>. </w:t>
      </w:r>
    </w:p>
    <w:p w:rsidR="00574990" w:rsidRPr="00574990" w:rsidP="00574990" w14:paraId="7747D9B7" w14:textId="77777777">
      <w:pPr>
        <w:ind w:left="720"/>
        <w:rPr>
          <w:rFonts w:asciiTheme="minorHAnsi" w:hAnsiTheme="minorHAnsi"/>
          <w:sz w:val="22"/>
          <w:szCs w:val="22"/>
        </w:rPr>
      </w:pPr>
    </w:p>
    <w:p w:rsidR="00574990" w:rsidRPr="00285A4A" w:rsidP="00574990" w14:paraId="1A78315A" w14:textId="00DAFE61">
      <w:pPr>
        <w:ind w:left="720"/>
        <w:rPr>
          <w:rFonts w:asciiTheme="minorHAnsi" w:hAnsiTheme="minorHAnsi"/>
          <w:sz w:val="22"/>
          <w:szCs w:val="22"/>
        </w:rPr>
      </w:pPr>
      <w:r w:rsidRPr="00574990">
        <w:rPr>
          <w:rFonts w:asciiTheme="minorHAnsi" w:hAnsiTheme="minorHAnsi"/>
          <w:sz w:val="22"/>
          <w:szCs w:val="22"/>
        </w:rPr>
        <w:t>To arrive at this figure, 51%</w:t>
      </w:r>
      <w:r>
        <w:rPr>
          <w:rFonts w:asciiTheme="minorHAnsi" w:hAnsiTheme="minorHAnsi"/>
          <w:sz w:val="22"/>
          <w:szCs w:val="22"/>
          <w:vertAlign w:val="superscript"/>
        </w:rPr>
        <w:footnoteReference w:id="2"/>
      </w:r>
      <w:r w:rsidRPr="00574990">
        <w:rPr>
          <w:rFonts w:asciiTheme="minorHAnsi" w:hAnsiTheme="minorHAnsi"/>
          <w:sz w:val="22"/>
          <w:szCs w:val="22"/>
          <w:vertAlign w:val="superscript"/>
        </w:rPr>
        <w:t xml:space="preserve"> </w:t>
      </w:r>
      <w:r w:rsidRPr="00574990">
        <w:rPr>
          <w:rFonts w:asciiTheme="minorHAnsi" w:hAnsiTheme="minorHAnsi"/>
          <w:sz w:val="22"/>
          <w:szCs w:val="22"/>
        </w:rPr>
        <w:t xml:space="preserve">of burden of </w:t>
      </w:r>
      <w:r w:rsidR="007567CE">
        <w:rPr>
          <w:rFonts w:asciiTheme="minorHAnsi" w:hAnsiTheme="minorHAnsi"/>
          <w:sz w:val="22"/>
          <w:szCs w:val="22"/>
        </w:rPr>
        <w:t>7,000</w:t>
      </w:r>
      <w:r w:rsidRPr="00574990">
        <w:rPr>
          <w:rFonts w:asciiTheme="minorHAnsi" w:hAnsiTheme="minorHAnsi"/>
          <w:sz w:val="22"/>
          <w:szCs w:val="22"/>
        </w:rPr>
        <w:t xml:space="preserve"> was multiplied by $40.60 per hour. IRS anticipates that 51% of taxpayers may use a </w:t>
      </w:r>
      <w:r w:rsidRPr="00285A4A">
        <w:rPr>
          <w:rFonts w:asciiTheme="minorHAnsi" w:hAnsiTheme="minorHAnsi"/>
          <w:sz w:val="22"/>
          <w:szCs w:val="22"/>
        </w:rPr>
        <w:t>tax preparer to complete their Form 70</w:t>
      </w:r>
      <w:r w:rsidRPr="00285A4A" w:rsidR="007567CE">
        <w:rPr>
          <w:rFonts w:asciiTheme="minorHAnsi" w:hAnsiTheme="minorHAnsi"/>
          <w:sz w:val="22"/>
          <w:szCs w:val="22"/>
        </w:rPr>
        <w:t>8</w:t>
      </w:r>
      <w:r w:rsidRPr="00285A4A">
        <w:rPr>
          <w:rFonts w:asciiTheme="minorHAnsi" w:hAnsiTheme="minorHAnsi"/>
          <w:sz w:val="22"/>
          <w:szCs w:val="22"/>
        </w:rPr>
        <w:t xml:space="preserve"> to report </w:t>
      </w:r>
      <w:r w:rsidRPr="00285A4A" w:rsidR="00821F50">
        <w:rPr>
          <w:rFonts w:asciiTheme="minorHAnsi" w:hAnsiTheme="minorHAnsi"/>
          <w:sz w:val="22"/>
          <w:szCs w:val="22"/>
        </w:rPr>
        <w:t xml:space="preserve">certain </w:t>
      </w:r>
      <w:r w:rsidRPr="00285A4A">
        <w:rPr>
          <w:rFonts w:asciiTheme="minorHAnsi" w:hAnsiTheme="minorHAnsi"/>
          <w:sz w:val="22"/>
          <w:szCs w:val="22"/>
        </w:rPr>
        <w:t xml:space="preserve">gift transfers and </w:t>
      </w:r>
      <w:r w:rsidRPr="00285A4A" w:rsidR="00821F50">
        <w:rPr>
          <w:rFonts w:asciiTheme="minorHAnsi" w:hAnsiTheme="minorHAnsi"/>
          <w:sz w:val="22"/>
          <w:szCs w:val="22"/>
        </w:rPr>
        <w:t>bequest</w:t>
      </w:r>
      <w:r w:rsidR="00322443">
        <w:rPr>
          <w:rFonts w:asciiTheme="minorHAnsi" w:hAnsiTheme="minorHAnsi"/>
          <w:sz w:val="22"/>
          <w:szCs w:val="22"/>
        </w:rPr>
        <w:t>s</w:t>
      </w:r>
      <w:r w:rsidRPr="00285A4A" w:rsidR="00821F50">
        <w:rPr>
          <w:rFonts w:asciiTheme="minorHAnsi" w:hAnsiTheme="minorHAnsi"/>
          <w:sz w:val="22"/>
          <w:szCs w:val="22"/>
        </w:rPr>
        <w:t xml:space="preserve"> and </w:t>
      </w:r>
      <w:r w:rsidRPr="00285A4A">
        <w:rPr>
          <w:rFonts w:asciiTheme="minorHAnsi" w:hAnsiTheme="minorHAnsi"/>
          <w:sz w:val="22"/>
          <w:szCs w:val="22"/>
        </w:rPr>
        <w:t xml:space="preserve">compute the tax on the transfers.  </w:t>
      </w:r>
    </w:p>
    <w:p w:rsidR="00574990" w:rsidRPr="00285A4A" w:rsidP="00574990" w14:paraId="100A0484" w14:textId="77777777">
      <w:pPr>
        <w:ind w:left="720"/>
        <w:rPr>
          <w:rFonts w:asciiTheme="minorHAnsi" w:hAnsiTheme="minorHAnsi"/>
          <w:sz w:val="22"/>
          <w:szCs w:val="22"/>
        </w:rPr>
      </w:pPr>
    </w:p>
    <w:p w:rsidR="00574990" w:rsidRPr="00574990" w:rsidP="00574990" w14:paraId="6B5C05FB" w14:textId="77777777">
      <w:pPr>
        <w:ind w:left="720"/>
        <w:rPr>
          <w:rFonts w:asciiTheme="minorHAnsi" w:hAnsiTheme="minorHAnsi"/>
          <w:sz w:val="22"/>
          <w:szCs w:val="22"/>
        </w:rPr>
      </w:pPr>
      <w:r w:rsidRPr="00574990">
        <w:rPr>
          <w:rFonts w:asciiTheme="minorHAnsi" w:hAnsiTheme="minorHAnsi"/>
          <w:sz w:val="22"/>
          <w:szCs w:val="22"/>
        </w:rPr>
        <w:t xml:space="preserve">The above Hourly Wage Rate is the </w:t>
      </w:r>
      <w:hyperlink r:id="rId6" w:history="1">
        <w:r w:rsidRPr="00574990">
          <w:rPr>
            <w:rStyle w:val="Hyperlink"/>
            <w:rFonts w:asciiTheme="minorHAnsi" w:hAnsiTheme="minorHAnsi"/>
            <w:sz w:val="22"/>
            <w:szCs w:val="22"/>
          </w:rPr>
          <w:t>May 2023 Bureau of Labor Statistics</w:t>
        </w:r>
      </w:hyperlink>
      <w:r w:rsidRPr="00574990">
        <w:rPr>
          <w:rFonts w:asciiTheme="minorHAnsi" w:hAnsiTheme="minorHAnsi"/>
          <w:sz w:val="22"/>
          <w:szCs w:val="22"/>
        </w:rPr>
        <w:t xml:space="preserve"> mean wage for “Tax Preparers” (Major Group (13-2082)” of $27.96 times the wage rate benefit multiplier of 1.4524 (to account for fringe benefits) equaling a fully-loaded wage rate of $40.60.</w:t>
      </w:r>
    </w:p>
    <w:p w:rsidR="00574990" w:rsidRPr="00574990" w:rsidP="00574990" w14:paraId="445E59B5" w14:textId="77777777">
      <w:pPr>
        <w:ind w:left="720"/>
        <w:rPr>
          <w:rFonts w:asciiTheme="minorHAnsi" w:hAnsiTheme="minorHAnsi"/>
          <w:sz w:val="22"/>
          <w:szCs w:val="22"/>
        </w:rPr>
      </w:pPr>
    </w:p>
    <w:p w:rsidR="00574990" w:rsidRPr="00574990" w:rsidP="00574990" w14:paraId="72A44167" w14:textId="77777777">
      <w:pPr>
        <w:ind w:left="720"/>
        <w:rPr>
          <w:rFonts w:asciiTheme="minorHAnsi" w:hAnsiTheme="minorHAnsi"/>
          <w:sz w:val="22"/>
          <w:szCs w:val="22"/>
        </w:rPr>
      </w:pPr>
      <w:r w:rsidRPr="00574990">
        <w:rPr>
          <w:rFonts w:asciiTheme="minorHAnsi" w:hAnsiTheme="minorHAnsi"/>
          <w:sz w:val="22"/>
          <w:szCs w:val="22"/>
        </w:rPr>
        <w:t xml:space="preserve">The benefits multiplier is estimated by dividing total compensation of $46.84 by salaries and wages of $32.25, based on Employer Cost for Employee Compensation, September 2024 data, released </w:t>
      </w:r>
      <w:hyperlink r:id="rId7" w:history="1">
        <w:r w:rsidRPr="00574990">
          <w:rPr>
            <w:rStyle w:val="Hyperlink"/>
            <w:rFonts w:asciiTheme="minorHAnsi" w:hAnsiTheme="minorHAnsi"/>
            <w:sz w:val="22"/>
            <w:szCs w:val="22"/>
          </w:rPr>
          <w:t>December 17, 2024</w:t>
        </w:r>
      </w:hyperlink>
      <w:r w:rsidRPr="00574990">
        <w:rPr>
          <w:rFonts w:asciiTheme="minorHAnsi" w:hAnsiTheme="minorHAnsi"/>
          <w:sz w:val="22"/>
          <w:szCs w:val="22"/>
        </w:rPr>
        <w:t xml:space="preserve">.  </w:t>
      </w:r>
    </w:p>
    <w:p w:rsidR="00F14806" w:rsidP="00F14806" w14:paraId="1084544F" w14:textId="3FA3094E">
      <w:pPr>
        <w:ind w:left="720"/>
        <w:rPr>
          <w:rFonts w:asciiTheme="minorHAnsi" w:hAnsiTheme="minorHAnsi"/>
          <w:sz w:val="22"/>
          <w:szCs w:val="22"/>
        </w:rPr>
      </w:pPr>
    </w:p>
    <w:bookmarkEnd w:id="14"/>
    <w:p w:rsidR="00F14806" w:rsidRPr="00F14806" w:rsidP="00F14806" w14:paraId="5765F057" w14:textId="77777777">
      <w:pPr>
        <w:pStyle w:val="Level1"/>
        <w:numPr>
          <w:ilvl w:val="0"/>
          <w:numId w:val="2"/>
        </w:numPr>
        <w:tabs>
          <w:tab w:val="left" w:pos="-1440"/>
          <w:tab w:val="num" w:pos="720"/>
        </w:tabs>
        <w:ind w:left="720" w:hanging="720"/>
        <w:rPr>
          <w:rFonts w:asciiTheme="minorHAnsi" w:hAnsiTheme="minorHAnsi"/>
          <w:sz w:val="22"/>
          <w:szCs w:val="22"/>
          <w:u w:val="single"/>
        </w:rPr>
      </w:pPr>
      <w:r w:rsidRPr="00453AD3">
        <w:rPr>
          <w:rFonts w:asciiTheme="minorHAnsi" w:hAnsiTheme="minorHAnsi"/>
          <w:sz w:val="22"/>
          <w:szCs w:val="22"/>
          <w:u w:val="single"/>
        </w:rPr>
        <w:t>ESTIMATED ANNUALIZED COST TO THE FEDERAL GOVERNMENT</w:t>
      </w:r>
    </w:p>
    <w:p w:rsidR="00F14806" w:rsidP="00F14806" w14:paraId="6CA8CE6C" w14:textId="23040451">
      <w:pPr>
        <w:ind w:left="720"/>
        <w:rPr>
          <w:rFonts w:asciiTheme="minorHAnsi" w:hAnsiTheme="minorHAnsi"/>
          <w:sz w:val="22"/>
          <w:szCs w:val="22"/>
        </w:rPr>
      </w:pPr>
    </w:p>
    <w:p w:rsidR="00497AF3" w:rsidRPr="00497AF3" w:rsidP="00497AF3" w14:paraId="007EE4E3" w14:textId="77777777">
      <w:pPr>
        <w:ind w:left="720"/>
        <w:rPr>
          <w:rFonts w:asciiTheme="minorHAnsi" w:hAnsiTheme="minorHAnsi"/>
          <w:sz w:val="22"/>
          <w:szCs w:val="22"/>
        </w:rPr>
      </w:pPr>
      <w:r w:rsidRPr="00497AF3">
        <w:rPr>
          <w:rFonts w:asciiTheme="minorHAnsi" w:hAnsiTheme="minorHAnsi"/>
          <w:sz w:val="22"/>
          <w:szCs w:val="22"/>
        </w:rPr>
        <w:t>The federal government cost estimate is based on a model that considers the following three cost factors for each information product: aggregate labor costs for development, including annualized startup expenses, operating and maintenance expenses, and distribution of the product that collects the information. These costs do not include any activities such as taxpayer assistance and enforcement.</w:t>
      </w:r>
    </w:p>
    <w:p w:rsidR="00497AF3" w:rsidRPr="00497AF3" w:rsidP="00497AF3" w14:paraId="1F1F8B58" w14:textId="77777777">
      <w:pPr>
        <w:ind w:left="720"/>
        <w:rPr>
          <w:rFonts w:asciiTheme="minorHAnsi" w:hAnsiTheme="minorHAnsi"/>
          <w:sz w:val="22"/>
          <w:szCs w:val="22"/>
        </w:rPr>
      </w:pPr>
    </w:p>
    <w:p w:rsidR="00497AF3" w:rsidRPr="00497AF3" w:rsidP="00497AF3" w14:paraId="18316F43" w14:textId="77777777">
      <w:pPr>
        <w:ind w:left="720"/>
        <w:rPr>
          <w:rFonts w:asciiTheme="minorHAnsi" w:hAnsiTheme="minorHAnsi"/>
          <w:sz w:val="22"/>
          <w:szCs w:val="22"/>
        </w:rPr>
      </w:pPr>
      <w:r w:rsidRPr="00497AF3">
        <w:rPr>
          <w:rFonts w:asciiTheme="minorHAnsi" w:hAnsiTheme="minorHAnsi"/>
          <w:sz w:val="22"/>
          <w:szCs w:val="22"/>
        </w:rPr>
        <w:t>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p>
    <w:p w:rsidR="00497AF3" w:rsidRPr="00497AF3" w:rsidP="00497AF3" w14:paraId="3B861679" w14:textId="77777777">
      <w:pPr>
        <w:ind w:left="720"/>
        <w:rPr>
          <w:rFonts w:asciiTheme="minorHAnsi" w:hAnsiTheme="minorHAnsi"/>
          <w:sz w:val="22"/>
          <w:szCs w:val="22"/>
        </w:rPr>
      </w:pPr>
    </w:p>
    <w:p w:rsidR="00497AF3" w:rsidRPr="00497AF3" w:rsidP="00050741" w14:paraId="333548AE" w14:textId="6868D300">
      <w:pPr>
        <w:ind w:left="720"/>
        <w:rPr>
          <w:rFonts w:asciiTheme="minorHAnsi" w:hAnsiTheme="minorHAnsi"/>
          <w:sz w:val="22"/>
          <w:szCs w:val="22"/>
        </w:rPr>
      </w:pPr>
      <w:r w:rsidRPr="00497AF3">
        <w:rPr>
          <w:rFonts w:asciiTheme="minorHAnsi" w:hAnsiTheme="minorHAnsi"/>
          <w:sz w:val="22"/>
          <w:szCs w:val="22"/>
        </w:rPr>
        <w:t>The government cost estimate for this collection is summarized in the table below.</w:t>
      </w:r>
    </w:p>
    <w:tbl>
      <w:tblPr>
        <w:tblpPr w:leftFromText="180" w:rightFromText="180" w:vertAnchor="text" w:horzAnchor="margin" w:tblpX="710" w:tblpY="217"/>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5"/>
        <w:gridCol w:w="2430"/>
        <w:gridCol w:w="360"/>
        <w:gridCol w:w="1620"/>
        <w:gridCol w:w="360"/>
        <w:gridCol w:w="2340"/>
      </w:tblGrid>
      <w:tr w14:paraId="3D6E7797" w14:textId="77777777" w:rsidTr="00475350">
        <w:tblPrEx>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07"/>
        </w:trPr>
        <w:tc>
          <w:tcPr>
            <w:tcW w:w="1705" w:type="dxa"/>
            <w:tcBorders>
              <w:top w:val="single" w:sz="4" w:space="0" w:color="auto"/>
              <w:left w:val="single" w:sz="4" w:space="0" w:color="auto"/>
              <w:bottom w:val="single" w:sz="4" w:space="0" w:color="auto"/>
              <w:right w:val="single" w:sz="4" w:space="0" w:color="auto"/>
            </w:tcBorders>
            <w:vAlign w:val="center"/>
            <w:hideMark/>
          </w:tcPr>
          <w:p w:rsidR="00497AF3" w:rsidRPr="003630D2" w:rsidP="00050741" w14:paraId="1E320F0F" w14:textId="77777777">
            <w:pPr>
              <w:keepNext/>
              <w:keepLines/>
              <w:ind w:left="-18"/>
              <w:jc w:val="center"/>
              <w:rPr>
                <w:rFonts w:asciiTheme="minorHAnsi" w:hAnsiTheme="minorHAnsi"/>
                <w:b/>
                <w:bCs/>
                <w:sz w:val="22"/>
                <w:szCs w:val="22"/>
              </w:rPr>
            </w:pPr>
            <w:r w:rsidRPr="003630D2">
              <w:rPr>
                <w:rFonts w:asciiTheme="minorHAnsi" w:hAnsiTheme="minorHAnsi"/>
                <w:b/>
                <w:bCs/>
                <w:sz w:val="22"/>
                <w:szCs w:val="22"/>
              </w:rPr>
              <w:t>Product</w:t>
            </w:r>
          </w:p>
        </w:tc>
        <w:tc>
          <w:tcPr>
            <w:tcW w:w="2430" w:type="dxa"/>
            <w:tcBorders>
              <w:top w:val="single" w:sz="4" w:space="0" w:color="auto"/>
              <w:left w:val="single" w:sz="4" w:space="0" w:color="auto"/>
              <w:bottom w:val="single" w:sz="4" w:space="0" w:color="auto"/>
              <w:right w:val="single" w:sz="4" w:space="0" w:color="auto"/>
            </w:tcBorders>
            <w:vAlign w:val="center"/>
            <w:hideMark/>
          </w:tcPr>
          <w:p w:rsidR="00497AF3" w:rsidRPr="003630D2" w:rsidP="00050741" w14:paraId="01786FBF" w14:textId="77777777">
            <w:pPr>
              <w:keepNext/>
              <w:keepLines/>
              <w:ind w:left="-42"/>
              <w:jc w:val="center"/>
              <w:rPr>
                <w:rFonts w:asciiTheme="minorHAnsi" w:hAnsiTheme="minorHAnsi"/>
                <w:b/>
                <w:bCs/>
                <w:sz w:val="22"/>
                <w:szCs w:val="22"/>
              </w:rPr>
            </w:pPr>
            <w:r w:rsidRPr="003630D2">
              <w:rPr>
                <w:rFonts w:asciiTheme="minorHAnsi" w:hAnsiTheme="minorHAnsi"/>
                <w:b/>
                <w:bCs/>
                <w:sz w:val="22"/>
                <w:szCs w:val="22"/>
              </w:rPr>
              <w:t>Aggregate Cost per Product (factor applied)</w:t>
            </w:r>
          </w:p>
        </w:tc>
        <w:tc>
          <w:tcPr>
            <w:tcW w:w="360" w:type="dxa"/>
            <w:tcBorders>
              <w:top w:val="single" w:sz="4" w:space="0" w:color="auto"/>
              <w:left w:val="single" w:sz="4" w:space="0" w:color="auto"/>
              <w:bottom w:val="single" w:sz="4" w:space="0" w:color="auto"/>
              <w:right w:val="single" w:sz="4" w:space="0" w:color="auto"/>
            </w:tcBorders>
            <w:vAlign w:val="center"/>
          </w:tcPr>
          <w:p w:rsidR="00497AF3" w:rsidRPr="003630D2" w:rsidP="00050741" w14:paraId="046395D5" w14:textId="77777777">
            <w:pPr>
              <w:keepNext/>
              <w:keepLines/>
              <w:ind w:left="-114" w:right="-138"/>
              <w:jc w:val="center"/>
              <w:rPr>
                <w:rFonts w:asciiTheme="minorHAnsi" w:hAnsiTheme="minorHAnsi"/>
                <w:b/>
                <w:bCs/>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497AF3" w:rsidRPr="003630D2" w:rsidP="00050741" w14:paraId="7B77BCA1" w14:textId="77777777">
            <w:pPr>
              <w:keepNext/>
              <w:keepLines/>
              <w:ind w:left="-18"/>
              <w:jc w:val="center"/>
              <w:rPr>
                <w:rFonts w:asciiTheme="minorHAnsi" w:hAnsiTheme="minorHAnsi"/>
                <w:b/>
                <w:bCs/>
                <w:sz w:val="22"/>
                <w:szCs w:val="22"/>
              </w:rPr>
            </w:pPr>
            <w:r w:rsidRPr="003630D2">
              <w:rPr>
                <w:rFonts w:asciiTheme="minorHAnsi" w:hAnsiTheme="minorHAnsi"/>
                <w:b/>
                <w:bCs/>
                <w:sz w:val="22"/>
                <w:szCs w:val="22"/>
              </w:rPr>
              <w:t>Printing and Distribution</w:t>
            </w:r>
          </w:p>
        </w:tc>
        <w:tc>
          <w:tcPr>
            <w:tcW w:w="360" w:type="dxa"/>
            <w:tcBorders>
              <w:top w:val="single" w:sz="4" w:space="0" w:color="auto"/>
              <w:left w:val="single" w:sz="4" w:space="0" w:color="auto"/>
              <w:bottom w:val="single" w:sz="4" w:space="0" w:color="auto"/>
              <w:right w:val="single" w:sz="4" w:space="0" w:color="auto"/>
            </w:tcBorders>
            <w:vAlign w:val="center"/>
          </w:tcPr>
          <w:p w:rsidR="00497AF3" w:rsidRPr="003630D2" w:rsidP="00050741" w14:paraId="3B8C774A" w14:textId="77777777">
            <w:pPr>
              <w:keepNext/>
              <w:keepLines/>
              <w:ind w:left="-114" w:right="-48"/>
              <w:jc w:val="center"/>
              <w:rPr>
                <w:rFonts w:asciiTheme="minorHAnsi" w:hAnsiTheme="minorHAnsi"/>
                <w:b/>
                <w:bCs/>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97AF3" w:rsidRPr="003630D2" w:rsidP="00050741" w14:paraId="16C923C8" w14:textId="77777777">
            <w:pPr>
              <w:keepNext/>
              <w:keepLines/>
              <w:ind w:left="-18"/>
              <w:jc w:val="center"/>
              <w:rPr>
                <w:rFonts w:asciiTheme="minorHAnsi" w:hAnsiTheme="minorHAnsi"/>
                <w:b/>
                <w:bCs/>
                <w:sz w:val="22"/>
                <w:szCs w:val="22"/>
              </w:rPr>
            </w:pPr>
            <w:r w:rsidRPr="003630D2">
              <w:rPr>
                <w:rFonts w:asciiTheme="minorHAnsi" w:hAnsiTheme="minorHAnsi"/>
                <w:b/>
                <w:bCs/>
                <w:sz w:val="22"/>
                <w:szCs w:val="22"/>
              </w:rPr>
              <w:t>Government Cost Estimate per Product</w:t>
            </w:r>
          </w:p>
        </w:tc>
      </w:tr>
      <w:tr w14:paraId="034D3535" w14:textId="77777777" w:rsidTr="00475350">
        <w:tblPrEx>
          <w:tblW w:w="8815" w:type="dxa"/>
          <w:tblLook w:val="04A0"/>
        </w:tblPrEx>
        <w:trPr>
          <w:trHeight w:val="235"/>
        </w:trPr>
        <w:tc>
          <w:tcPr>
            <w:tcW w:w="1705" w:type="dxa"/>
            <w:tcBorders>
              <w:top w:val="single" w:sz="4" w:space="0" w:color="auto"/>
              <w:left w:val="single" w:sz="4" w:space="0" w:color="auto"/>
              <w:bottom w:val="single" w:sz="4" w:space="0" w:color="auto"/>
              <w:right w:val="single" w:sz="4" w:space="0" w:color="auto"/>
            </w:tcBorders>
            <w:vAlign w:val="bottom"/>
            <w:hideMark/>
          </w:tcPr>
          <w:p w:rsidR="00497AF3" w:rsidRPr="003630D2" w:rsidP="00050741" w14:paraId="51EE9DB7" w14:textId="278BBD1A">
            <w:pPr>
              <w:keepNext/>
              <w:keepLines/>
              <w:numPr>
                <w:ilvl w:val="12"/>
                <w:numId w:val="0"/>
              </w:numPr>
              <w:ind w:left="-18"/>
              <w:rPr>
                <w:rFonts w:asciiTheme="minorHAnsi" w:hAnsiTheme="minorHAnsi"/>
                <w:sz w:val="22"/>
                <w:szCs w:val="22"/>
              </w:rPr>
            </w:pPr>
            <w:r w:rsidRPr="003630D2">
              <w:rPr>
                <w:rFonts w:asciiTheme="minorHAnsi" w:hAnsiTheme="minorHAnsi"/>
                <w:sz w:val="22"/>
                <w:szCs w:val="22"/>
              </w:rPr>
              <w:t xml:space="preserve">Form </w:t>
            </w:r>
            <w:r w:rsidRPr="003630D2" w:rsidR="00050741">
              <w:rPr>
                <w:rFonts w:asciiTheme="minorHAnsi" w:hAnsiTheme="minorHAnsi"/>
                <w:sz w:val="22"/>
                <w:szCs w:val="22"/>
              </w:rPr>
              <w:t>708</w:t>
            </w:r>
          </w:p>
        </w:tc>
        <w:tc>
          <w:tcPr>
            <w:tcW w:w="2430" w:type="dxa"/>
            <w:tcBorders>
              <w:top w:val="single" w:sz="4" w:space="0" w:color="auto"/>
              <w:left w:val="single" w:sz="4" w:space="0" w:color="auto"/>
              <w:bottom w:val="single" w:sz="4" w:space="0" w:color="auto"/>
              <w:right w:val="single" w:sz="4" w:space="0" w:color="auto"/>
            </w:tcBorders>
            <w:vAlign w:val="bottom"/>
            <w:hideMark/>
          </w:tcPr>
          <w:p w:rsidR="00497AF3" w:rsidRPr="003630D2" w:rsidP="00050741" w14:paraId="4A2568B8" w14:textId="6F1968B7">
            <w:pPr>
              <w:keepNext/>
              <w:keepLines/>
              <w:ind w:left="-42" w:right="-366"/>
              <w:jc w:val="center"/>
              <w:rPr>
                <w:rFonts w:asciiTheme="minorHAnsi" w:hAnsiTheme="minorHAnsi"/>
                <w:sz w:val="22"/>
                <w:szCs w:val="22"/>
              </w:rPr>
            </w:pPr>
            <w:r w:rsidRPr="003630D2">
              <w:rPr>
                <w:rFonts w:asciiTheme="minorHAnsi" w:hAnsiTheme="minorHAnsi"/>
                <w:sz w:val="22"/>
                <w:szCs w:val="22"/>
              </w:rPr>
              <w:t>$</w:t>
            </w:r>
            <w:r w:rsidRPr="003630D2" w:rsidR="00C65F87">
              <w:rPr>
                <w:rFonts w:asciiTheme="minorHAnsi" w:hAnsiTheme="minorHAnsi"/>
                <w:sz w:val="22"/>
                <w:szCs w:val="22"/>
              </w:rPr>
              <w:t>30</w:t>
            </w:r>
            <w:r w:rsidRPr="003630D2">
              <w:rPr>
                <w:rFonts w:asciiTheme="minorHAnsi" w:hAnsiTheme="minorHAnsi"/>
                <w:sz w:val="22"/>
                <w:szCs w:val="22"/>
              </w:rPr>
              <w:t>,</w:t>
            </w:r>
            <w:r w:rsidRPr="003630D2" w:rsidR="00C65F87">
              <w:rPr>
                <w:rFonts w:asciiTheme="minorHAnsi" w:hAnsiTheme="minorHAnsi"/>
                <w:sz w:val="22"/>
                <w:szCs w:val="22"/>
              </w:rPr>
              <w:t>725</w:t>
            </w:r>
          </w:p>
        </w:tc>
        <w:tc>
          <w:tcPr>
            <w:tcW w:w="360" w:type="dxa"/>
            <w:tcBorders>
              <w:top w:val="single" w:sz="4" w:space="0" w:color="auto"/>
              <w:left w:val="single" w:sz="4" w:space="0" w:color="auto"/>
              <w:bottom w:val="single" w:sz="4" w:space="0" w:color="auto"/>
              <w:right w:val="single" w:sz="4" w:space="0" w:color="auto"/>
            </w:tcBorders>
          </w:tcPr>
          <w:p w:rsidR="00497AF3" w:rsidRPr="003630D2" w:rsidP="00050741" w14:paraId="182F429F" w14:textId="77777777">
            <w:pPr>
              <w:keepNext/>
              <w:keepLines/>
              <w:ind w:left="-114" w:right="-138"/>
              <w:jc w:val="center"/>
              <w:rPr>
                <w:rFonts w:asciiTheme="minorHAnsi" w:hAnsiTheme="minorHAnsi"/>
                <w:sz w:val="22"/>
                <w:szCs w:val="22"/>
              </w:rPr>
            </w:pPr>
            <w:r w:rsidRPr="003630D2">
              <w:rPr>
                <w:rFonts w:asciiTheme="minorHAnsi" w:hAnsiTheme="minorHAnsi"/>
                <w:sz w:val="22"/>
                <w:szCs w:val="22"/>
              </w:rPr>
              <w:t>+</w:t>
            </w:r>
          </w:p>
        </w:tc>
        <w:tc>
          <w:tcPr>
            <w:tcW w:w="1620" w:type="dxa"/>
            <w:tcBorders>
              <w:top w:val="single" w:sz="4" w:space="0" w:color="auto"/>
              <w:left w:val="single" w:sz="4" w:space="0" w:color="auto"/>
              <w:bottom w:val="single" w:sz="4" w:space="0" w:color="auto"/>
              <w:right w:val="single" w:sz="4" w:space="0" w:color="auto"/>
            </w:tcBorders>
            <w:hideMark/>
          </w:tcPr>
          <w:p w:rsidR="00497AF3" w:rsidRPr="003630D2" w:rsidP="00050741" w14:paraId="681B9730" w14:textId="2C56562B">
            <w:pPr>
              <w:keepNext/>
              <w:keepLines/>
              <w:ind w:left="-18"/>
              <w:jc w:val="center"/>
              <w:rPr>
                <w:rFonts w:asciiTheme="minorHAnsi" w:hAnsiTheme="minorHAnsi"/>
                <w:sz w:val="22"/>
                <w:szCs w:val="22"/>
              </w:rPr>
            </w:pPr>
            <w:r w:rsidRPr="003630D2">
              <w:rPr>
                <w:rFonts w:asciiTheme="minorHAnsi" w:hAnsiTheme="minorHAnsi"/>
                <w:sz w:val="22"/>
                <w:szCs w:val="22"/>
              </w:rPr>
              <w:t>$</w:t>
            </w:r>
            <w:r w:rsidRPr="003630D2" w:rsidR="00C65F87">
              <w:rPr>
                <w:rFonts w:asciiTheme="minorHAnsi" w:hAnsiTheme="minorHAnsi"/>
                <w:sz w:val="22"/>
                <w:szCs w:val="22"/>
              </w:rPr>
              <w:t>0</w:t>
            </w:r>
          </w:p>
        </w:tc>
        <w:tc>
          <w:tcPr>
            <w:tcW w:w="360" w:type="dxa"/>
            <w:tcBorders>
              <w:top w:val="single" w:sz="4" w:space="0" w:color="auto"/>
              <w:left w:val="single" w:sz="4" w:space="0" w:color="auto"/>
              <w:bottom w:val="single" w:sz="4" w:space="0" w:color="auto"/>
              <w:right w:val="single" w:sz="4" w:space="0" w:color="auto"/>
            </w:tcBorders>
          </w:tcPr>
          <w:p w:rsidR="00497AF3" w:rsidRPr="003630D2" w:rsidP="00050741" w14:paraId="05840CF2" w14:textId="77777777">
            <w:pPr>
              <w:keepNext/>
              <w:keepLines/>
              <w:ind w:left="-114" w:right="-48"/>
              <w:jc w:val="center"/>
              <w:rPr>
                <w:rFonts w:asciiTheme="minorHAnsi" w:hAnsiTheme="minorHAnsi"/>
                <w:sz w:val="22"/>
                <w:szCs w:val="22"/>
              </w:rPr>
            </w:pPr>
            <w:r w:rsidRPr="003630D2">
              <w:rPr>
                <w:rFonts w:asciiTheme="minorHAnsi" w:hAnsiTheme="minorHAnsi"/>
                <w:sz w:val="22"/>
                <w:szCs w:val="22"/>
              </w:rPr>
              <w:t>=</w:t>
            </w:r>
          </w:p>
        </w:tc>
        <w:tc>
          <w:tcPr>
            <w:tcW w:w="2340" w:type="dxa"/>
            <w:tcBorders>
              <w:top w:val="single" w:sz="4" w:space="0" w:color="auto"/>
              <w:left w:val="single" w:sz="4" w:space="0" w:color="auto"/>
              <w:bottom w:val="single" w:sz="4" w:space="0" w:color="auto"/>
              <w:right w:val="single" w:sz="4" w:space="0" w:color="auto"/>
            </w:tcBorders>
            <w:vAlign w:val="bottom"/>
            <w:hideMark/>
          </w:tcPr>
          <w:p w:rsidR="00497AF3" w:rsidRPr="003630D2" w:rsidP="00050741" w14:paraId="35F140BC" w14:textId="24822A2A">
            <w:pPr>
              <w:keepNext/>
              <w:keepLines/>
              <w:ind w:left="-18"/>
              <w:jc w:val="center"/>
              <w:rPr>
                <w:rFonts w:asciiTheme="minorHAnsi" w:hAnsiTheme="minorHAnsi"/>
                <w:sz w:val="22"/>
                <w:szCs w:val="22"/>
              </w:rPr>
            </w:pPr>
            <w:r w:rsidRPr="003630D2">
              <w:rPr>
                <w:rFonts w:asciiTheme="minorHAnsi" w:hAnsiTheme="minorHAnsi"/>
                <w:sz w:val="22"/>
                <w:szCs w:val="22"/>
              </w:rPr>
              <w:t>$</w:t>
            </w:r>
            <w:r w:rsidRPr="003630D2" w:rsidR="00C65F87">
              <w:rPr>
                <w:rFonts w:asciiTheme="minorHAnsi" w:hAnsiTheme="minorHAnsi"/>
                <w:sz w:val="22"/>
                <w:szCs w:val="22"/>
              </w:rPr>
              <w:t>30,725</w:t>
            </w:r>
          </w:p>
        </w:tc>
      </w:tr>
      <w:tr w14:paraId="032C1487" w14:textId="77777777" w:rsidTr="00475350">
        <w:tblPrEx>
          <w:tblW w:w="8815" w:type="dxa"/>
          <w:tblLook w:val="04A0"/>
        </w:tblPrEx>
        <w:trPr>
          <w:trHeight w:val="235"/>
        </w:trPr>
        <w:tc>
          <w:tcPr>
            <w:tcW w:w="17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7AF3" w:rsidRPr="003630D2" w:rsidP="00050741" w14:paraId="249BC668" w14:textId="77777777">
            <w:pPr>
              <w:keepNext/>
              <w:keepLines/>
              <w:numPr>
                <w:ilvl w:val="12"/>
                <w:numId w:val="0"/>
              </w:numPr>
              <w:ind w:left="-18"/>
              <w:rPr>
                <w:rFonts w:asciiTheme="minorHAnsi" w:hAnsiTheme="minorHAnsi"/>
                <w:sz w:val="22"/>
                <w:szCs w:val="22"/>
              </w:rPr>
            </w:pPr>
            <w:r w:rsidRPr="003630D2">
              <w:rPr>
                <w:rFonts w:asciiTheme="minorHAnsi" w:hAnsiTheme="minorHAnsi"/>
                <w:sz w:val="22"/>
                <w:szCs w:val="22"/>
              </w:rPr>
              <w:t>Grand Total</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7AF3" w:rsidRPr="003630D2" w:rsidP="00050741" w14:paraId="071747BF" w14:textId="38AE52DC">
            <w:pPr>
              <w:keepNext/>
              <w:keepLines/>
              <w:ind w:left="-42" w:right="-366"/>
              <w:jc w:val="center"/>
              <w:rPr>
                <w:rFonts w:asciiTheme="minorHAnsi" w:hAnsiTheme="minorHAnsi"/>
                <w:sz w:val="22"/>
                <w:szCs w:val="22"/>
              </w:rPr>
            </w:pPr>
            <w:r w:rsidRPr="003630D2">
              <w:rPr>
                <w:rFonts w:asciiTheme="minorHAnsi" w:hAnsiTheme="minorHAnsi"/>
                <w:sz w:val="22"/>
                <w:szCs w:val="22"/>
              </w:rPr>
              <w:t>$</w:t>
            </w:r>
            <w:r w:rsidRPr="003630D2" w:rsidR="00C65F87">
              <w:rPr>
                <w:rFonts w:asciiTheme="minorHAnsi" w:hAnsiTheme="minorHAnsi"/>
                <w:sz w:val="22"/>
                <w:szCs w:val="22"/>
              </w:rPr>
              <w:t>30,725</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497AF3" w:rsidRPr="003630D2" w:rsidP="00050741" w14:paraId="23281433" w14:textId="77777777">
            <w:pPr>
              <w:keepNext/>
              <w:keepLines/>
              <w:ind w:left="-114" w:right="-138"/>
              <w:jc w:val="center"/>
              <w:rPr>
                <w:rFonts w:asciiTheme="minorHAnsi" w:hAnsiTheme="minorHAnsi"/>
                <w:sz w:val="22"/>
                <w:szCs w:val="22"/>
              </w:rPr>
            </w:pPr>
            <w:r w:rsidRPr="003630D2">
              <w:rPr>
                <w:rFonts w:asciiTheme="minorHAnsi" w:hAnsiTheme="minorHAnsi"/>
                <w:sz w:val="22"/>
                <w:szCs w:val="22"/>
              </w:rPr>
              <w:t>+</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497AF3" w:rsidRPr="003630D2" w:rsidP="00050741" w14:paraId="539BA9A4" w14:textId="73749F27">
            <w:pPr>
              <w:keepNext/>
              <w:keepLines/>
              <w:ind w:left="-18"/>
              <w:jc w:val="center"/>
              <w:rPr>
                <w:rFonts w:asciiTheme="minorHAnsi" w:hAnsiTheme="minorHAnsi"/>
                <w:sz w:val="22"/>
                <w:szCs w:val="22"/>
              </w:rPr>
            </w:pPr>
            <w:r w:rsidRPr="003630D2">
              <w:rPr>
                <w:rFonts w:asciiTheme="minorHAnsi" w:hAnsiTheme="minorHAnsi"/>
                <w:sz w:val="22"/>
                <w:szCs w:val="22"/>
              </w:rPr>
              <w:t>$</w:t>
            </w:r>
            <w:r w:rsidRPr="003630D2" w:rsidR="00C65F87">
              <w:rPr>
                <w:rFonts w:asciiTheme="minorHAnsi" w:hAnsiTheme="minorHAnsi"/>
                <w:sz w:val="22"/>
                <w:szCs w:val="22"/>
              </w:rPr>
              <w:t>0</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497AF3" w:rsidRPr="003630D2" w:rsidP="00050741" w14:paraId="15C7CC80" w14:textId="77777777">
            <w:pPr>
              <w:keepNext/>
              <w:keepLines/>
              <w:ind w:left="-114" w:right="-48"/>
              <w:jc w:val="center"/>
              <w:rPr>
                <w:rFonts w:asciiTheme="minorHAnsi" w:hAnsiTheme="minorHAnsi"/>
                <w:sz w:val="22"/>
                <w:szCs w:val="22"/>
              </w:rPr>
            </w:pPr>
            <w:r w:rsidRPr="003630D2">
              <w:rPr>
                <w:rFonts w:asciiTheme="minorHAnsi" w:hAnsiTheme="minorHAnsi"/>
                <w:sz w:val="22"/>
                <w:szCs w:val="22"/>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7AF3" w:rsidRPr="003630D2" w:rsidP="00050741" w14:paraId="2CFD0EC3" w14:textId="3E38D008">
            <w:pPr>
              <w:keepNext/>
              <w:keepLines/>
              <w:ind w:left="-18"/>
              <w:jc w:val="center"/>
              <w:rPr>
                <w:rFonts w:asciiTheme="minorHAnsi" w:hAnsiTheme="minorHAnsi"/>
                <w:sz w:val="22"/>
                <w:szCs w:val="22"/>
              </w:rPr>
            </w:pPr>
            <w:r w:rsidRPr="003630D2">
              <w:rPr>
                <w:rFonts w:asciiTheme="minorHAnsi" w:hAnsiTheme="minorHAnsi"/>
                <w:sz w:val="22"/>
                <w:szCs w:val="22"/>
              </w:rPr>
              <w:t>$</w:t>
            </w:r>
            <w:r w:rsidRPr="003630D2" w:rsidR="00C65F87">
              <w:rPr>
                <w:rFonts w:asciiTheme="minorHAnsi" w:hAnsiTheme="minorHAnsi"/>
                <w:sz w:val="22"/>
                <w:szCs w:val="22"/>
              </w:rPr>
              <w:t>30,725</w:t>
            </w:r>
          </w:p>
        </w:tc>
      </w:tr>
      <w:tr w14:paraId="4D5DAEE8" w14:textId="77777777" w:rsidTr="00050741">
        <w:tblPrEx>
          <w:tblW w:w="8815" w:type="dxa"/>
          <w:tblLook w:val="04A0"/>
        </w:tblPrEx>
        <w:trPr>
          <w:trHeight w:val="342"/>
        </w:trPr>
        <w:tc>
          <w:tcPr>
            <w:tcW w:w="8815" w:type="dxa"/>
            <w:gridSpan w:val="6"/>
            <w:shd w:val="clear" w:color="auto" w:fill="auto"/>
          </w:tcPr>
          <w:p w:rsidR="00497AF3" w:rsidRPr="003630D2" w:rsidP="00050741" w14:paraId="4D1C2FAC" w14:textId="50A492F8">
            <w:pPr>
              <w:keepNext/>
              <w:keepLines/>
              <w:ind w:left="-18"/>
              <w:rPr>
                <w:rFonts w:asciiTheme="minorHAnsi" w:hAnsiTheme="minorHAnsi"/>
                <w:sz w:val="22"/>
                <w:szCs w:val="22"/>
              </w:rPr>
            </w:pPr>
            <w:r w:rsidRPr="003630D2">
              <w:rPr>
                <w:rFonts w:asciiTheme="minorHAnsi" w:hAnsiTheme="minorHAnsi"/>
                <w:sz w:val="22"/>
                <w:szCs w:val="22"/>
              </w:rPr>
              <w:t xml:space="preserve">Table costs are based on Fiscal Year </w:t>
            </w:r>
            <w:r w:rsidRPr="003630D2" w:rsidR="00EB3DC5">
              <w:rPr>
                <w:rFonts w:asciiTheme="minorHAnsi" w:hAnsiTheme="minorHAnsi"/>
                <w:sz w:val="22"/>
                <w:szCs w:val="22"/>
              </w:rPr>
              <w:t>2023</w:t>
            </w:r>
            <w:r w:rsidRPr="003630D2">
              <w:rPr>
                <w:rFonts w:asciiTheme="minorHAnsi" w:hAnsiTheme="minorHAnsi"/>
                <w:sz w:val="22"/>
                <w:szCs w:val="22"/>
              </w:rPr>
              <w:t xml:space="preserve"> actuals obtained from IRS Chief Financial Office</w:t>
            </w:r>
            <w:r w:rsidRPr="003630D2" w:rsidR="00EB3DC5">
              <w:rPr>
                <w:rFonts w:asciiTheme="minorHAnsi" w:hAnsiTheme="minorHAnsi"/>
                <w:sz w:val="22"/>
                <w:szCs w:val="22"/>
              </w:rPr>
              <w:t>r</w:t>
            </w:r>
            <w:r w:rsidRPr="003630D2">
              <w:rPr>
                <w:rFonts w:asciiTheme="minorHAnsi" w:hAnsiTheme="minorHAnsi"/>
                <w:sz w:val="22"/>
                <w:szCs w:val="22"/>
              </w:rPr>
              <w:t xml:space="preserve"> and Media and Publications</w:t>
            </w:r>
          </w:p>
        </w:tc>
      </w:tr>
    </w:tbl>
    <w:p w:rsidR="00444C5D" w:rsidP="00F14806" w14:paraId="582296B1" w14:textId="77777777">
      <w:pPr>
        <w:ind w:left="720"/>
        <w:rPr>
          <w:rFonts w:asciiTheme="minorHAnsi" w:hAnsiTheme="minorHAnsi"/>
          <w:sz w:val="22"/>
          <w:szCs w:val="22"/>
        </w:rPr>
      </w:pPr>
    </w:p>
    <w:p w:rsidR="00F14806" w:rsidRPr="00F14806" w:rsidP="00F14806" w14:paraId="20BA1153" w14:textId="77777777">
      <w:pPr>
        <w:pStyle w:val="Level1"/>
        <w:numPr>
          <w:ilvl w:val="0"/>
          <w:numId w:val="2"/>
        </w:numPr>
        <w:tabs>
          <w:tab w:val="left" w:pos="-1440"/>
          <w:tab w:val="num" w:pos="720"/>
        </w:tabs>
        <w:ind w:left="720" w:hanging="720"/>
        <w:rPr>
          <w:rFonts w:asciiTheme="minorHAnsi" w:hAnsiTheme="minorHAnsi"/>
          <w:sz w:val="22"/>
          <w:szCs w:val="22"/>
          <w:u w:val="single"/>
        </w:rPr>
      </w:pPr>
      <w:r w:rsidRPr="00453AD3">
        <w:rPr>
          <w:rFonts w:asciiTheme="minorHAnsi" w:hAnsiTheme="minorHAnsi"/>
          <w:sz w:val="22"/>
          <w:szCs w:val="22"/>
          <w:u w:val="single"/>
        </w:rPr>
        <w:t>REASONS FOR CHANGE IN BURDEN</w:t>
      </w:r>
    </w:p>
    <w:p w:rsidR="00F14806" w:rsidP="00F14806" w14:paraId="46DC54F8" w14:textId="579A566F">
      <w:pPr>
        <w:ind w:left="720"/>
        <w:rPr>
          <w:rFonts w:asciiTheme="minorHAnsi" w:hAnsiTheme="minorHAnsi"/>
          <w:sz w:val="22"/>
          <w:szCs w:val="22"/>
        </w:rPr>
      </w:pPr>
    </w:p>
    <w:p w:rsidR="00F14806" w:rsidP="00F14806" w14:paraId="56F2CA46" w14:textId="1F7965BC">
      <w:pPr>
        <w:ind w:left="720"/>
        <w:rPr>
          <w:rFonts w:asciiTheme="minorHAnsi" w:hAnsiTheme="minorHAnsi"/>
          <w:sz w:val="22"/>
          <w:szCs w:val="22"/>
        </w:rPr>
      </w:pPr>
      <w:bookmarkStart w:id="15" w:name="_Hlk198647581"/>
      <w:r w:rsidRPr="00CB64BD">
        <w:rPr>
          <w:rFonts w:asciiTheme="minorHAnsi" w:hAnsiTheme="minorHAnsi"/>
          <w:sz w:val="22"/>
          <w:szCs w:val="22"/>
        </w:rPr>
        <w:t>This is a new information collection developed to comply with IRS section 2801, added by section 301 of P.L. 110-245</w:t>
      </w:r>
      <w:r>
        <w:rPr>
          <w:rFonts w:asciiTheme="minorHAnsi" w:hAnsiTheme="minorHAnsi"/>
          <w:sz w:val="22"/>
          <w:szCs w:val="22"/>
        </w:rPr>
        <w:t>.</w:t>
      </w:r>
    </w:p>
    <w:bookmarkEnd w:id="15"/>
    <w:p w:rsidR="00F14806" w:rsidP="00F14806" w14:paraId="2252A858" w14:textId="3F968E7D">
      <w:pPr>
        <w:ind w:left="720"/>
        <w:rPr>
          <w:rFonts w:asciiTheme="minorHAnsi" w:hAnsiTheme="minorHAnsi"/>
          <w:sz w:val="22"/>
          <w:szCs w:val="22"/>
        </w:rPr>
      </w:pPr>
    </w:p>
    <w:p w:rsidR="00F14806" w:rsidRPr="00F14806" w:rsidP="00F14806" w14:paraId="74429E91" w14:textId="77777777">
      <w:pPr>
        <w:pStyle w:val="Level1"/>
        <w:numPr>
          <w:ilvl w:val="0"/>
          <w:numId w:val="2"/>
        </w:numPr>
        <w:tabs>
          <w:tab w:val="left" w:pos="-1440"/>
          <w:tab w:val="num" w:pos="720"/>
        </w:tabs>
        <w:ind w:left="720" w:hanging="720"/>
        <w:rPr>
          <w:rFonts w:asciiTheme="minorHAnsi" w:hAnsiTheme="minorHAnsi"/>
          <w:sz w:val="22"/>
          <w:szCs w:val="22"/>
          <w:u w:val="single"/>
        </w:rPr>
      </w:pPr>
      <w:r w:rsidRPr="00453AD3">
        <w:rPr>
          <w:rFonts w:asciiTheme="minorHAnsi" w:hAnsiTheme="minorHAnsi"/>
          <w:sz w:val="22"/>
          <w:szCs w:val="22"/>
          <w:u w:val="single"/>
        </w:rPr>
        <w:t>PLANS FOR TABULATION, STATISTICAL ANALYSIS AND PUBLICATION</w:t>
      </w:r>
    </w:p>
    <w:p w:rsidR="00F14806" w:rsidP="00F14806" w14:paraId="0DE523FC" w14:textId="5C7ED73A">
      <w:pPr>
        <w:ind w:left="720"/>
        <w:rPr>
          <w:rFonts w:asciiTheme="minorHAnsi" w:hAnsiTheme="minorHAnsi"/>
          <w:sz w:val="22"/>
          <w:szCs w:val="22"/>
        </w:rPr>
      </w:pPr>
    </w:p>
    <w:p w:rsidR="00F14806" w:rsidP="00F14806" w14:paraId="0913BCFE" w14:textId="0C892EEC">
      <w:pPr>
        <w:ind w:left="720"/>
        <w:rPr>
          <w:rFonts w:asciiTheme="minorHAnsi" w:hAnsiTheme="minorHAnsi"/>
          <w:sz w:val="22"/>
          <w:szCs w:val="22"/>
        </w:rPr>
      </w:pPr>
      <w:r w:rsidRPr="00453AD3">
        <w:rPr>
          <w:rFonts w:asciiTheme="minorHAnsi" w:hAnsiTheme="minorHAnsi"/>
          <w:sz w:val="22"/>
          <w:szCs w:val="22"/>
        </w:rPr>
        <w:t>There are no plans for tabulation, statistical analysis</w:t>
      </w:r>
      <w:r>
        <w:rPr>
          <w:rFonts w:asciiTheme="minorHAnsi" w:hAnsiTheme="minorHAnsi"/>
          <w:sz w:val="22"/>
          <w:szCs w:val="22"/>
        </w:rPr>
        <w:t>,</w:t>
      </w:r>
      <w:r w:rsidRPr="00453AD3">
        <w:rPr>
          <w:rFonts w:asciiTheme="minorHAnsi" w:hAnsiTheme="minorHAnsi"/>
          <w:sz w:val="22"/>
          <w:szCs w:val="22"/>
        </w:rPr>
        <w:t xml:space="preserve"> and publication.</w:t>
      </w:r>
    </w:p>
    <w:p w:rsidR="00F14806" w:rsidP="00F14806" w14:paraId="05D9C33E" w14:textId="0E23DB26">
      <w:pPr>
        <w:ind w:left="720"/>
        <w:rPr>
          <w:rFonts w:asciiTheme="minorHAnsi" w:hAnsiTheme="minorHAnsi"/>
          <w:sz w:val="22"/>
          <w:szCs w:val="22"/>
        </w:rPr>
      </w:pPr>
    </w:p>
    <w:p w:rsidR="00F14806" w:rsidRPr="00202025" w:rsidP="00202025" w14:paraId="400861E9" w14:textId="77777777">
      <w:pPr>
        <w:pStyle w:val="Level1"/>
        <w:numPr>
          <w:ilvl w:val="0"/>
          <w:numId w:val="2"/>
        </w:numPr>
        <w:tabs>
          <w:tab w:val="left" w:pos="-1440"/>
          <w:tab w:val="num" w:pos="720"/>
        </w:tabs>
        <w:ind w:left="720" w:hanging="720"/>
        <w:rPr>
          <w:rFonts w:asciiTheme="minorHAnsi" w:hAnsiTheme="minorHAnsi"/>
          <w:sz w:val="22"/>
          <w:szCs w:val="22"/>
          <w:u w:val="single"/>
        </w:rPr>
      </w:pPr>
      <w:r w:rsidRPr="00453AD3">
        <w:rPr>
          <w:rFonts w:asciiTheme="minorHAnsi" w:hAnsiTheme="minorHAnsi"/>
          <w:sz w:val="22"/>
          <w:szCs w:val="22"/>
          <w:u w:val="single"/>
        </w:rPr>
        <w:t>REASONS WHY DISPLAYING THE OMB EXPIRATION DATE IS</w:t>
      </w:r>
      <w:r>
        <w:rPr>
          <w:rFonts w:asciiTheme="minorHAnsi" w:hAnsiTheme="minorHAnsi"/>
          <w:sz w:val="22"/>
          <w:szCs w:val="22"/>
          <w:u w:val="single"/>
        </w:rPr>
        <w:t xml:space="preserve"> </w:t>
      </w:r>
      <w:r w:rsidRPr="00453AD3">
        <w:rPr>
          <w:rFonts w:asciiTheme="minorHAnsi" w:hAnsiTheme="minorHAnsi"/>
          <w:sz w:val="22"/>
          <w:szCs w:val="22"/>
          <w:u w:val="single"/>
        </w:rPr>
        <w:t>INAPPROPRIATE</w:t>
      </w:r>
    </w:p>
    <w:p w:rsidR="00F14806" w:rsidRPr="00202025" w:rsidP="00202025" w14:paraId="109AE812" w14:textId="21C5B4E9">
      <w:pPr>
        <w:pStyle w:val="Level1"/>
        <w:tabs>
          <w:tab w:val="left" w:pos="-1440"/>
          <w:tab w:val="num" w:pos="720"/>
        </w:tabs>
        <w:ind w:left="720" w:hanging="720"/>
        <w:rPr>
          <w:rFonts w:asciiTheme="minorHAnsi" w:hAnsiTheme="minorHAnsi"/>
          <w:sz w:val="22"/>
          <w:szCs w:val="22"/>
          <w:u w:val="single"/>
        </w:rPr>
      </w:pPr>
    </w:p>
    <w:p w:rsidR="00F14806" w:rsidP="00F14806" w14:paraId="38BA153A" w14:textId="703718FD">
      <w:pPr>
        <w:ind w:left="720"/>
        <w:rPr>
          <w:rFonts w:asciiTheme="minorHAnsi" w:hAnsiTheme="minorHAnsi"/>
          <w:sz w:val="22"/>
          <w:szCs w:val="22"/>
        </w:rPr>
      </w:pPr>
      <w:bookmarkStart w:id="16" w:name="_Hlk91075794"/>
      <w:r>
        <w:rPr>
          <w:rFonts w:asciiTheme="minorHAnsi" w:hAnsiTheme="minorHAnsi"/>
          <w:sz w:val="22"/>
          <w:szCs w:val="22"/>
        </w:rPr>
        <w:t>The IRS</w:t>
      </w:r>
      <w:r w:rsidRPr="00453AD3">
        <w:rPr>
          <w:rFonts w:asciiTheme="minorHAnsi" w:hAnsiTheme="minorHAnsi"/>
          <w:sz w:val="22"/>
          <w:szCs w:val="22"/>
        </w:rPr>
        <w:t xml:space="preserve"> believe</w:t>
      </w:r>
      <w:r>
        <w:rPr>
          <w:rFonts w:asciiTheme="minorHAnsi" w:hAnsiTheme="minorHAnsi"/>
          <w:sz w:val="22"/>
          <w:szCs w:val="22"/>
        </w:rPr>
        <w:t>s</w:t>
      </w:r>
      <w:r w:rsidRPr="00453AD3">
        <w:rPr>
          <w:rFonts w:asciiTheme="minorHAnsi" w:hAnsiTheme="minorHAnsi"/>
          <w:sz w:val="22"/>
          <w:szCs w:val="22"/>
        </w:rPr>
        <w:t xml:space="preserve"> that displaying the OMB expiration date is inappropriate because it could cause confusion by leading taxpayers to believe that the regulation </w:t>
      </w:r>
      <w:r>
        <w:rPr>
          <w:rFonts w:asciiTheme="minorHAnsi" w:hAnsiTheme="minorHAnsi"/>
          <w:sz w:val="22"/>
          <w:szCs w:val="22"/>
        </w:rPr>
        <w:t>expires</w:t>
      </w:r>
      <w:r w:rsidRPr="00453AD3">
        <w:rPr>
          <w:rFonts w:asciiTheme="minorHAnsi" w:hAnsiTheme="minorHAnsi"/>
          <w:sz w:val="22"/>
          <w:szCs w:val="22"/>
        </w:rPr>
        <w:t xml:space="preserve"> as of the expiration date. Taxpayers are not likely to be aware that the </w:t>
      </w:r>
      <w:r>
        <w:rPr>
          <w:rFonts w:asciiTheme="minorHAnsi" w:hAnsiTheme="minorHAnsi"/>
          <w:sz w:val="22"/>
          <w:szCs w:val="22"/>
        </w:rPr>
        <w:t>IRS</w:t>
      </w:r>
      <w:r w:rsidRPr="00453AD3">
        <w:rPr>
          <w:rFonts w:asciiTheme="minorHAnsi" w:hAnsiTheme="minorHAnsi"/>
          <w:sz w:val="22"/>
          <w:szCs w:val="22"/>
        </w:rPr>
        <w:t xml:space="preserve"> intends to request renewal of the OMB approval and obtain a new expiration date before the old one expires.</w:t>
      </w:r>
      <w:bookmarkEnd w:id="16"/>
    </w:p>
    <w:p w:rsidR="00202025" w:rsidP="00F14806" w14:paraId="0CC69E25" w14:textId="3AADAB36">
      <w:pPr>
        <w:ind w:left="720"/>
        <w:rPr>
          <w:rFonts w:asciiTheme="minorHAnsi" w:hAnsiTheme="minorHAnsi"/>
          <w:sz w:val="22"/>
          <w:szCs w:val="22"/>
        </w:rPr>
      </w:pPr>
    </w:p>
    <w:p w:rsidR="00202025" w:rsidRPr="00202025" w:rsidP="00202025" w14:paraId="51AD202B" w14:textId="77777777">
      <w:pPr>
        <w:pStyle w:val="Level1"/>
        <w:numPr>
          <w:ilvl w:val="0"/>
          <w:numId w:val="2"/>
        </w:numPr>
        <w:tabs>
          <w:tab w:val="left" w:pos="-1440"/>
          <w:tab w:val="num" w:pos="720"/>
        </w:tabs>
        <w:ind w:left="720" w:hanging="720"/>
        <w:rPr>
          <w:rFonts w:asciiTheme="minorHAnsi" w:hAnsiTheme="minorHAnsi"/>
          <w:sz w:val="22"/>
          <w:szCs w:val="22"/>
          <w:u w:val="single"/>
        </w:rPr>
      </w:pPr>
      <w:r w:rsidRPr="00453AD3">
        <w:rPr>
          <w:rFonts w:asciiTheme="minorHAnsi" w:hAnsiTheme="minorHAnsi"/>
          <w:sz w:val="22"/>
          <w:szCs w:val="22"/>
          <w:u w:val="single"/>
        </w:rPr>
        <w:t xml:space="preserve">EXCEPTIONS TO THE CERTIFICATION STATEMENT </w:t>
      </w:r>
    </w:p>
    <w:p w:rsidR="00202025" w:rsidP="00F14806" w14:paraId="338E122E" w14:textId="6C5C4733">
      <w:pPr>
        <w:ind w:left="720"/>
        <w:rPr>
          <w:rFonts w:asciiTheme="minorHAnsi" w:hAnsiTheme="minorHAnsi"/>
          <w:sz w:val="22"/>
          <w:szCs w:val="22"/>
        </w:rPr>
      </w:pPr>
    </w:p>
    <w:p w:rsidR="00202025" w:rsidRPr="00453AD3" w:rsidP="00202025" w14:paraId="7CF7F2A5" w14:textId="77777777">
      <w:pPr>
        <w:ind w:left="720"/>
        <w:rPr>
          <w:rFonts w:asciiTheme="minorHAnsi" w:hAnsiTheme="minorHAnsi"/>
          <w:sz w:val="22"/>
          <w:szCs w:val="22"/>
        </w:rPr>
      </w:pPr>
      <w:bookmarkStart w:id="17" w:name="_Hlk95714878"/>
      <w:r w:rsidRPr="00453AD3">
        <w:rPr>
          <w:rFonts w:asciiTheme="minorHAnsi" w:hAnsiTheme="minorHAnsi"/>
          <w:sz w:val="22"/>
          <w:szCs w:val="22"/>
        </w:rPr>
        <w:t>There are no exceptions to the certification statement.</w:t>
      </w:r>
    </w:p>
    <w:p w:rsidR="00202025" w:rsidRPr="00453AD3" w:rsidP="00202025" w14:paraId="4F24A74A" w14:textId="77777777">
      <w:pPr>
        <w:ind w:left="720"/>
        <w:rPr>
          <w:rFonts w:asciiTheme="minorHAnsi" w:hAnsiTheme="minorHAnsi"/>
          <w:sz w:val="22"/>
          <w:szCs w:val="22"/>
        </w:rPr>
      </w:pPr>
    </w:p>
    <w:p w:rsidR="00202025" w:rsidRPr="00453AD3" w:rsidP="00202025" w14:paraId="4C32ABC2" w14:textId="77777777">
      <w:pPr>
        <w:ind w:left="720"/>
        <w:rPr>
          <w:rFonts w:asciiTheme="minorHAnsi" w:hAnsiTheme="minorHAnsi"/>
          <w:sz w:val="22"/>
          <w:szCs w:val="22"/>
        </w:rPr>
      </w:pPr>
      <w:r w:rsidRPr="008E2DFD">
        <w:rPr>
          <w:rFonts w:asciiTheme="minorHAnsi" w:hAnsiTheme="minorHAnsi"/>
          <w:sz w:val="22"/>
          <w:szCs w:val="22"/>
          <w:u w:val="single"/>
        </w:rPr>
        <w:t>Note</w:t>
      </w:r>
      <w:r w:rsidRPr="008E2DFD">
        <w:rPr>
          <w:rFonts w:asciiTheme="minorHAnsi" w:hAnsiTheme="minorHAnsi"/>
          <w:sz w:val="22"/>
          <w:szCs w:val="22"/>
        </w:rPr>
        <w:t>:</w:t>
      </w:r>
      <w:r w:rsidRPr="00453AD3">
        <w:rPr>
          <w:rFonts w:asciiTheme="minorHAnsi" w:hAnsiTheme="minorHAnsi"/>
          <w:sz w:val="22"/>
          <w:szCs w:val="22"/>
        </w:rPr>
        <w:t xml:space="preserve">   The following paragraph applies to all of the collections of information in this submission:</w:t>
      </w:r>
    </w:p>
    <w:p w:rsidR="00202025" w:rsidRPr="00453AD3" w:rsidP="00202025" w14:paraId="4EF3FE34" w14:textId="77777777">
      <w:pPr>
        <w:ind w:left="720"/>
        <w:rPr>
          <w:rFonts w:asciiTheme="minorHAnsi" w:hAnsiTheme="minorHAnsi"/>
          <w:sz w:val="22"/>
          <w:szCs w:val="22"/>
        </w:rPr>
      </w:pPr>
    </w:p>
    <w:p w:rsidR="00202025" w:rsidRPr="00C56CFA" w:rsidP="00202025" w14:paraId="2B245D39" w14:textId="016BEABC">
      <w:pPr>
        <w:ind w:left="720"/>
        <w:rPr>
          <w:rFonts w:asciiTheme="minorHAnsi" w:hAnsiTheme="minorHAnsi"/>
          <w:sz w:val="22"/>
          <w:szCs w:val="22"/>
        </w:rPr>
      </w:pPr>
      <w:r w:rsidRPr="00453AD3">
        <w:rPr>
          <w:rFonts w:asciiTheme="minorHAnsi" w:hAnsiTheme="minorHAnsi"/>
          <w:sz w:val="22"/>
          <w:szCs w:val="22"/>
        </w:rPr>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bookmarkEnd w:id="17"/>
    </w:p>
    <w:sectPr w:rsidSect="007739B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86269" w:rsidP="00574990" w14:paraId="30D50116" w14:textId="77777777">
      <w:r>
        <w:separator/>
      </w:r>
    </w:p>
  </w:footnote>
  <w:footnote w:type="continuationSeparator" w:id="1">
    <w:p w:rsidR="00B86269" w:rsidP="00574990" w14:paraId="29DCC115" w14:textId="77777777">
      <w:r>
        <w:continuationSeparator/>
      </w:r>
    </w:p>
  </w:footnote>
  <w:footnote w:id="2">
    <w:p w:rsidR="00574990" w:rsidP="00574990" w14:paraId="226E05A7" w14:textId="77777777">
      <w:pPr>
        <w:pStyle w:val="FootnoteText"/>
      </w:pPr>
      <w:r>
        <w:rPr>
          <w:rStyle w:val="FootnoteReference"/>
        </w:rPr>
        <w:footnoteRef/>
      </w:r>
      <w:r>
        <w:t xml:space="preserve"> </w:t>
      </w:r>
      <w:r w:rsidRPr="006C1073">
        <w:rPr>
          <w:rFonts w:ascii="Times New Roman" w:hAnsi="Times New Roman"/>
        </w:rPr>
        <w:t xml:space="preserve">IRS </w:t>
      </w:r>
      <w:r>
        <w:rPr>
          <w:rFonts w:ascii="Times New Roman" w:hAnsi="Times New Roman"/>
        </w:rPr>
        <w:t xml:space="preserve">estimates, a 51% of taxpayers would hire a Tax Preparer to complete their tax return based on IRS </w:t>
      </w:r>
      <w:r w:rsidRPr="006C1073">
        <w:rPr>
          <w:rFonts w:ascii="Times New Roman" w:hAnsi="Times New Roman"/>
        </w:rPr>
        <w:t>Data Book,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26DE3BE0"/>
    <w:multiLevelType w:val="multilevel"/>
    <w:tmpl w:val="1EC85234"/>
    <w:styleLink w:val="QA"/>
    <w:lvl w:ilvl="0">
      <w:start w:val="1"/>
      <w:numFmt w:val="none"/>
      <w:lvlText w:val="Q."/>
      <w:lvlJc w:val="left"/>
      <w:pPr>
        <w:ind w:left="720" w:hanging="360"/>
      </w:pPr>
      <w:rPr>
        <w:rFonts w:ascii="Arial" w:hAnsi="Arial" w:hint="default"/>
        <w:sz w:val="24"/>
      </w:rPr>
    </w:lvl>
    <w:lvl w:ilvl="1">
      <w:start w:val="1"/>
      <w:numFmt w:val="none"/>
      <w:lvlText w:val="A."/>
      <w:lvlJc w:val="left"/>
      <w:pPr>
        <w:ind w:left="1440" w:hanging="360"/>
      </w:pPr>
      <w:rPr>
        <w:rFonts w:hint="default"/>
      </w:rPr>
    </w:lvl>
    <w:lvl w:ilvl="2">
      <w:start w:val="1"/>
      <w:numFmt w:val="none"/>
      <w:lvlText w:val="%3"/>
      <w:lvlJc w:val="right"/>
      <w:pPr>
        <w:ind w:left="2160" w:hanging="180"/>
      </w:pPr>
      <w:rPr>
        <w:rFonts w:hint="default"/>
      </w:rPr>
    </w:lvl>
    <w:lvl w:ilvl="3">
      <w:start w:val="1"/>
      <w:numFmt w:val="none"/>
      <w:lvlJc w:val="left"/>
      <w:pPr>
        <w:ind w:left="2880" w:hanging="360"/>
      </w:pPr>
      <w:rPr>
        <w:rFonts w:hint="default"/>
      </w:rPr>
    </w:lvl>
    <w:lvl w:ilvl="4">
      <w:start w:val="1"/>
      <w:numFmt w:val="none"/>
      <w:lvlJc w:val="left"/>
      <w:pPr>
        <w:ind w:left="3600" w:hanging="360"/>
      </w:pPr>
      <w:rPr>
        <w:rFonts w:hint="default"/>
      </w:rPr>
    </w:lvl>
    <w:lvl w:ilvl="5">
      <w:start w:val="1"/>
      <w:numFmt w:val="none"/>
      <w:lvlJc w:val="right"/>
      <w:pPr>
        <w:ind w:left="4320" w:hanging="180"/>
      </w:pPr>
      <w:rPr>
        <w:rFonts w:hint="default"/>
      </w:rPr>
    </w:lvl>
    <w:lvl w:ilvl="6">
      <w:start w:val="1"/>
      <w:numFmt w:val="none"/>
      <w:lvlJc w:val="left"/>
      <w:pPr>
        <w:ind w:left="5040" w:hanging="360"/>
      </w:pPr>
      <w:rPr>
        <w:rFonts w:hint="default"/>
      </w:rPr>
    </w:lvl>
    <w:lvl w:ilvl="7">
      <w:start w:val="1"/>
      <w:numFmt w:val="none"/>
      <w:lvlJc w:val="left"/>
      <w:pPr>
        <w:ind w:left="5760" w:hanging="360"/>
      </w:pPr>
      <w:rPr>
        <w:rFonts w:hint="default"/>
      </w:rPr>
    </w:lvl>
    <w:lvl w:ilvl="8">
      <w:start w:val="0"/>
      <w:numFmt w:val="none"/>
      <w:lvlRestart w:val="0"/>
      <w:lvlJc w:val="right"/>
      <w:pPr>
        <w:ind w:left="6480" w:hanging="180"/>
      </w:pPr>
      <w:rPr>
        <w:rFonts w:hint="default"/>
      </w:rPr>
    </w:lvl>
  </w:abstractNum>
  <w:abstractNum w:abstractNumId="3">
    <w:nsid w:val="4C977EE2"/>
    <w:multiLevelType w:val="hybridMultilevel"/>
    <w:tmpl w:val="0E2036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60080217">
    <w:abstractNumId w:val="2"/>
  </w:num>
  <w:num w:numId="2" w16cid:durableId="807822414">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171144572">
    <w:abstractNumId w:val="1"/>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829516087">
    <w:abstractNumId w:val="1"/>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2077625040">
    <w:abstractNumId w:val="3"/>
  </w:num>
  <w:num w:numId="6" w16cid:durableId="1477262013">
    <w:abstractNumId w:val="1"/>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856966574">
    <w:abstractNumId w:val="1"/>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691495599">
    <w:abstractNumId w:val="1"/>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1920165519">
    <w:abstractNumId w:val="1"/>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910507390">
    <w:abstractNumId w:val="1"/>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429349342">
    <w:abstractNumId w:val="1"/>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509176581">
    <w:abstractNumId w:val="1"/>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16cid:durableId="2069919014">
    <w:abstractNumId w:val="1"/>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16cid:durableId="1078939147">
    <w:abstractNumId w:val="1"/>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16cid:durableId="1347974370">
    <w:abstractNumId w:val="1"/>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16cid:durableId="1728147061">
    <w:abstractNumId w:val="1"/>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CFA"/>
    <w:rsid w:val="00050741"/>
    <w:rsid w:val="0006274D"/>
    <w:rsid w:val="00077901"/>
    <w:rsid w:val="000A29C2"/>
    <w:rsid w:val="000A6D12"/>
    <w:rsid w:val="000E3594"/>
    <w:rsid w:val="001C77E7"/>
    <w:rsid w:val="002004DB"/>
    <w:rsid w:val="00202025"/>
    <w:rsid w:val="00214FD0"/>
    <w:rsid w:val="00227AE0"/>
    <w:rsid w:val="00267A70"/>
    <w:rsid w:val="0028518C"/>
    <w:rsid w:val="00285A4A"/>
    <w:rsid w:val="00297D7C"/>
    <w:rsid w:val="002A13C5"/>
    <w:rsid w:val="002D09C7"/>
    <w:rsid w:val="002E1C2E"/>
    <w:rsid w:val="00322443"/>
    <w:rsid w:val="003630D2"/>
    <w:rsid w:val="0041161A"/>
    <w:rsid w:val="00444C5D"/>
    <w:rsid w:val="00453AD3"/>
    <w:rsid w:val="00475350"/>
    <w:rsid w:val="00475487"/>
    <w:rsid w:val="00490E73"/>
    <w:rsid w:val="00497AF3"/>
    <w:rsid w:val="004A2DA0"/>
    <w:rsid w:val="004B0B4F"/>
    <w:rsid w:val="004E2550"/>
    <w:rsid w:val="0055390A"/>
    <w:rsid w:val="00557306"/>
    <w:rsid w:val="00562E03"/>
    <w:rsid w:val="00564247"/>
    <w:rsid w:val="00567A1A"/>
    <w:rsid w:val="00574990"/>
    <w:rsid w:val="00596774"/>
    <w:rsid w:val="0062372E"/>
    <w:rsid w:val="00664C60"/>
    <w:rsid w:val="00671070"/>
    <w:rsid w:val="0067693D"/>
    <w:rsid w:val="00691597"/>
    <w:rsid w:val="00692375"/>
    <w:rsid w:val="006A3AE6"/>
    <w:rsid w:val="006C1073"/>
    <w:rsid w:val="00721704"/>
    <w:rsid w:val="00743627"/>
    <w:rsid w:val="007461BD"/>
    <w:rsid w:val="007567CE"/>
    <w:rsid w:val="007739B8"/>
    <w:rsid w:val="00793EF6"/>
    <w:rsid w:val="007C021A"/>
    <w:rsid w:val="007C0A11"/>
    <w:rsid w:val="007D5BC4"/>
    <w:rsid w:val="00821DF3"/>
    <w:rsid w:val="00821F50"/>
    <w:rsid w:val="00842666"/>
    <w:rsid w:val="008557ED"/>
    <w:rsid w:val="00865F76"/>
    <w:rsid w:val="008751CF"/>
    <w:rsid w:val="008953DB"/>
    <w:rsid w:val="00896D56"/>
    <w:rsid w:val="008C6967"/>
    <w:rsid w:val="008E0806"/>
    <w:rsid w:val="008E2DFD"/>
    <w:rsid w:val="00996D0D"/>
    <w:rsid w:val="00A139F0"/>
    <w:rsid w:val="00A37F38"/>
    <w:rsid w:val="00A435FF"/>
    <w:rsid w:val="00A45943"/>
    <w:rsid w:val="00AE5F1B"/>
    <w:rsid w:val="00AF1130"/>
    <w:rsid w:val="00B86269"/>
    <w:rsid w:val="00BA6997"/>
    <w:rsid w:val="00C21455"/>
    <w:rsid w:val="00C56CFA"/>
    <w:rsid w:val="00C65F87"/>
    <w:rsid w:val="00CB64BD"/>
    <w:rsid w:val="00D22344"/>
    <w:rsid w:val="00D33F60"/>
    <w:rsid w:val="00D364AE"/>
    <w:rsid w:val="00DB3279"/>
    <w:rsid w:val="00DB63F5"/>
    <w:rsid w:val="00DF3B50"/>
    <w:rsid w:val="00E122ED"/>
    <w:rsid w:val="00E3495B"/>
    <w:rsid w:val="00E55F7D"/>
    <w:rsid w:val="00EB3DC5"/>
    <w:rsid w:val="00F14806"/>
    <w:rsid w:val="00F31388"/>
    <w:rsid w:val="00F44DF2"/>
    <w:rsid w:val="00F57530"/>
    <w:rsid w:val="00FE42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E7FF33"/>
  <w15:chartTrackingRefBased/>
  <w15:docId w15:val="{3166EA09-AF04-4C07-9FFA-01E098AD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6CFA"/>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QA">
    <w:name w:val="Q&amp;A"/>
    <w:uiPriority w:val="99"/>
    <w:rsid w:val="0041161A"/>
    <w:pPr>
      <w:numPr>
        <w:numId w:val="1"/>
      </w:numPr>
    </w:pPr>
  </w:style>
  <w:style w:type="paragraph" w:customStyle="1" w:styleId="Level1">
    <w:name w:val="Level 1"/>
    <w:basedOn w:val="Normal"/>
    <w:rsid w:val="00C56CFA"/>
    <w:pPr>
      <w:outlineLvl w:val="0"/>
    </w:pPr>
  </w:style>
  <w:style w:type="character" w:styleId="Hyperlink">
    <w:name w:val="Hyperlink"/>
    <w:basedOn w:val="DefaultParagraphFont"/>
    <w:unhideWhenUsed/>
    <w:rsid w:val="00F14806"/>
    <w:rPr>
      <w:color w:val="0000FF" w:themeColor="hyperlink"/>
      <w:u w:val="single"/>
    </w:rPr>
  </w:style>
  <w:style w:type="paragraph" w:styleId="Revision">
    <w:name w:val="Revision"/>
    <w:hidden/>
    <w:uiPriority w:val="99"/>
    <w:semiHidden/>
    <w:rsid w:val="00D364AE"/>
    <w:pPr>
      <w:spacing w:after="0" w:line="240" w:lineRule="auto"/>
    </w:pPr>
    <w:rPr>
      <w:rFonts w:ascii="Courier" w:eastAsia="Times New Roman" w:hAnsi="Courier" w:cs="Times New Roman"/>
      <w:sz w:val="24"/>
      <w:szCs w:val="24"/>
    </w:rPr>
  </w:style>
  <w:style w:type="character" w:styleId="CommentReference">
    <w:name w:val="annotation reference"/>
    <w:basedOn w:val="DefaultParagraphFont"/>
    <w:uiPriority w:val="99"/>
    <w:semiHidden/>
    <w:unhideWhenUsed/>
    <w:rsid w:val="007C021A"/>
    <w:rPr>
      <w:sz w:val="16"/>
      <w:szCs w:val="16"/>
    </w:rPr>
  </w:style>
  <w:style w:type="paragraph" w:styleId="CommentText">
    <w:name w:val="annotation text"/>
    <w:basedOn w:val="Normal"/>
    <w:link w:val="CommentTextChar"/>
    <w:uiPriority w:val="99"/>
    <w:unhideWhenUsed/>
    <w:rsid w:val="007C021A"/>
    <w:rPr>
      <w:sz w:val="20"/>
      <w:szCs w:val="20"/>
    </w:rPr>
  </w:style>
  <w:style w:type="character" w:customStyle="1" w:styleId="CommentTextChar">
    <w:name w:val="Comment Text Char"/>
    <w:basedOn w:val="DefaultParagraphFont"/>
    <w:link w:val="CommentText"/>
    <w:uiPriority w:val="99"/>
    <w:rsid w:val="007C021A"/>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7C021A"/>
    <w:rPr>
      <w:b/>
      <w:bCs/>
    </w:rPr>
  </w:style>
  <w:style w:type="character" w:customStyle="1" w:styleId="CommentSubjectChar">
    <w:name w:val="Comment Subject Char"/>
    <w:basedOn w:val="CommentTextChar"/>
    <w:link w:val="CommentSubject"/>
    <w:uiPriority w:val="99"/>
    <w:semiHidden/>
    <w:rsid w:val="007C021A"/>
    <w:rPr>
      <w:rFonts w:ascii="Courier" w:eastAsia="Times New Roman" w:hAnsi="Courier" w:cs="Times New Roman"/>
      <w:b/>
      <w:bCs/>
      <w:sz w:val="20"/>
      <w:szCs w:val="20"/>
    </w:rPr>
  </w:style>
  <w:style w:type="character" w:styleId="FootnoteReference">
    <w:name w:val="footnote reference"/>
    <w:semiHidden/>
    <w:rsid w:val="00574990"/>
  </w:style>
  <w:style w:type="paragraph" w:styleId="FootnoteText">
    <w:name w:val="footnote text"/>
    <w:basedOn w:val="Normal"/>
    <w:link w:val="FootnoteTextChar"/>
    <w:semiHidden/>
    <w:unhideWhenUsed/>
    <w:rsid w:val="00574990"/>
    <w:rPr>
      <w:sz w:val="20"/>
      <w:szCs w:val="20"/>
    </w:rPr>
  </w:style>
  <w:style w:type="character" w:customStyle="1" w:styleId="FootnoteTextChar">
    <w:name w:val="Footnote Text Char"/>
    <w:basedOn w:val="DefaultParagraphFont"/>
    <w:link w:val="FootnoteText"/>
    <w:semiHidden/>
    <w:rsid w:val="00574990"/>
    <w:rPr>
      <w:rFonts w:ascii="Courier" w:eastAsia="Times New Roman" w:hAnsi="Courier" w:cs="Times New Roman"/>
      <w:sz w:val="20"/>
      <w:szCs w:val="20"/>
    </w:rPr>
  </w:style>
  <w:style w:type="character" w:styleId="UnresolvedMention">
    <w:name w:val="Unresolved Mention"/>
    <w:basedOn w:val="DefaultParagraphFont"/>
    <w:uiPriority w:val="99"/>
    <w:semiHidden/>
    <w:unhideWhenUsed/>
    <w:rsid w:val="00574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irs.gov/privacy-disclosure/privacy-impact-assessments-pia" TargetMode="External" /><Relationship Id="rId6" Type="http://schemas.openxmlformats.org/officeDocument/2006/relationships/hyperlink" Target="https://www.bls.gov/oes/current/oes132082.htm" TargetMode="External" /><Relationship Id="rId7" Type="http://schemas.openxmlformats.org/officeDocument/2006/relationships/hyperlink" Target="https://www.bls.gov/news.release/archives/ecec_12172024.htm"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R. Callahan</dc:creator>
  <cp:lastModifiedBy>Dennis Kerry</cp:lastModifiedBy>
  <cp:revision>2</cp:revision>
  <dcterms:created xsi:type="dcterms:W3CDTF">2025-05-22T22:49:00Z</dcterms:created>
  <dcterms:modified xsi:type="dcterms:W3CDTF">2025-05-22T22:49:00Z</dcterms:modified>
</cp:coreProperties>
</file>