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076D" w:rsidRPr="008E26C6" w:rsidP="00E9076D" w14:paraId="59E85EA6" w14:textId="77777777">
      <w:pPr>
        <w:tabs>
          <w:tab w:val="center" w:pos="4680"/>
        </w:tabs>
        <w:rPr>
          <w:rFonts w:ascii="Times New Roman" w:hAnsi="Times New Roman"/>
          <w:b/>
          <w:bCs/>
        </w:rPr>
      </w:pPr>
      <w:r>
        <w:rPr>
          <w:rFonts w:ascii="Berylium" w:hAnsi="Berylium" w:cs="Berylium"/>
          <w:b/>
          <w:bCs/>
        </w:rPr>
        <w:tab/>
      </w:r>
      <w:r w:rsidRPr="008E26C6">
        <w:rPr>
          <w:rFonts w:ascii="Times New Roman" w:hAnsi="Times New Roman"/>
          <w:b/>
          <w:bCs/>
        </w:rPr>
        <w:t>SUPPORTING STATEMENT</w:t>
      </w:r>
    </w:p>
    <w:p w:rsidR="00E9076D" w:rsidRPr="008E26C6" w:rsidP="00E9076D" w14:paraId="4283EBC2" w14:textId="77777777">
      <w:pPr>
        <w:tabs>
          <w:tab w:val="center" w:pos="4680"/>
        </w:tabs>
        <w:jc w:val="center"/>
        <w:rPr>
          <w:rFonts w:ascii="Times New Roman" w:hAnsi="Times New Roman"/>
        </w:rPr>
      </w:pPr>
      <w:r w:rsidRPr="008E26C6">
        <w:rPr>
          <w:rFonts w:ascii="Times New Roman" w:hAnsi="Times New Roman"/>
        </w:rPr>
        <w:t>Internal Revenue Service</w:t>
      </w:r>
      <w:r w:rsidRPr="008E26C6" w:rsidR="004B6E0C">
        <w:rPr>
          <w:rFonts w:ascii="Times New Roman" w:hAnsi="Times New Roman"/>
        </w:rPr>
        <w:t xml:space="preserve"> (IRS)</w:t>
      </w:r>
    </w:p>
    <w:p w:rsidR="00E6585A" w:rsidRPr="008E26C6" w:rsidP="00E6585A" w14:paraId="59161B98" w14:textId="3520D997">
      <w:pPr>
        <w:tabs>
          <w:tab w:val="center" w:pos="4680"/>
        </w:tabs>
        <w:jc w:val="center"/>
        <w:rPr>
          <w:rFonts w:ascii="Times New Roman" w:hAnsi="Times New Roman"/>
        </w:rPr>
      </w:pPr>
      <w:r w:rsidRPr="008E26C6">
        <w:rPr>
          <w:rFonts w:ascii="Times New Roman" w:hAnsi="Times New Roman"/>
        </w:rPr>
        <w:t xml:space="preserve">Taxation of Gain or Loss from Certain Nonfunctional Currency Transactions </w:t>
      </w:r>
    </w:p>
    <w:p w:rsidR="009A340C" w:rsidRPr="008E26C6" w:rsidP="00E6585A" w14:paraId="59F84911" w14:textId="402D7F1E">
      <w:pPr>
        <w:tabs>
          <w:tab w:val="center" w:pos="4680"/>
        </w:tabs>
        <w:jc w:val="center"/>
        <w:rPr>
          <w:rFonts w:ascii="Times New Roman" w:hAnsi="Times New Roman"/>
        </w:rPr>
      </w:pPr>
      <w:r w:rsidRPr="008E26C6">
        <w:rPr>
          <w:rFonts w:ascii="Times New Roman" w:hAnsi="Times New Roman"/>
        </w:rPr>
        <w:t>(Section 988 Transactions)</w:t>
      </w:r>
    </w:p>
    <w:p w:rsidR="00E9076D" w:rsidRPr="008E26C6" w:rsidP="00E9076D" w14:paraId="239113C1" w14:textId="79462ACF">
      <w:pPr>
        <w:tabs>
          <w:tab w:val="center" w:pos="4680"/>
        </w:tabs>
        <w:jc w:val="center"/>
        <w:rPr>
          <w:rFonts w:ascii="Times New Roman" w:hAnsi="Times New Roman"/>
        </w:rPr>
      </w:pPr>
      <w:r w:rsidRPr="008E26C6">
        <w:rPr>
          <w:rFonts w:ascii="Times New Roman" w:hAnsi="Times New Roman"/>
        </w:rPr>
        <w:t xml:space="preserve">OMB </w:t>
      </w:r>
      <w:r w:rsidRPr="008E26C6" w:rsidR="00AE0CA5">
        <w:rPr>
          <w:rFonts w:ascii="Times New Roman" w:hAnsi="Times New Roman"/>
        </w:rPr>
        <w:t xml:space="preserve">Control </w:t>
      </w:r>
      <w:r w:rsidRPr="008E26C6">
        <w:rPr>
          <w:rFonts w:ascii="Times New Roman" w:hAnsi="Times New Roman"/>
        </w:rPr>
        <w:t xml:space="preserve">Number </w:t>
      </w:r>
      <w:r w:rsidRPr="008E26C6">
        <w:rPr>
          <w:rFonts w:ascii="Times New Roman" w:hAnsi="Times New Roman"/>
          <w:b/>
          <w:bCs/>
        </w:rPr>
        <w:t>1545-</w:t>
      </w:r>
      <w:r w:rsidRPr="008E26C6" w:rsidR="00E6585A">
        <w:rPr>
          <w:rFonts w:ascii="Times New Roman" w:hAnsi="Times New Roman"/>
          <w:b/>
          <w:bCs/>
        </w:rPr>
        <w:t>1131</w:t>
      </w:r>
    </w:p>
    <w:p w:rsidR="007E2EEB" w:rsidRPr="008E26C6" w14:paraId="0FAF961A" w14:textId="77777777">
      <w:pPr>
        <w:rPr>
          <w:rFonts w:ascii="Times New Roman" w:hAnsi="Times New Roman"/>
          <w:b/>
          <w:bCs/>
        </w:rPr>
      </w:pPr>
    </w:p>
    <w:p w:rsidR="007E2EEB" w:rsidRPr="008E26C6" w14:paraId="5E1E25C1" w14:textId="77777777">
      <w:pPr>
        <w:pStyle w:val="Level1"/>
        <w:numPr>
          <w:ilvl w:val="0"/>
          <w:numId w:val="1"/>
        </w:numPr>
        <w:tabs>
          <w:tab w:val="left" w:pos="-1440"/>
          <w:tab w:val="num" w:pos="720"/>
        </w:tabs>
        <w:rPr>
          <w:rFonts w:ascii="Times New Roman" w:hAnsi="Times New Roman"/>
          <w:bCs/>
        </w:rPr>
      </w:pPr>
      <w:r w:rsidRPr="008E26C6">
        <w:rPr>
          <w:rFonts w:ascii="Times New Roman" w:hAnsi="Times New Roman"/>
          <w:bCs/>
          <w:u w:val="single"/>
        </w:rPr>
        <w:t>CIRCUMSTANCES NECESSITATING COLLECTION OF INFORMATION</w:t>
      </w:r>
      <w:r w:rsidRPr="008E26C6" w:rsidR="009501AC">
        <w:rPr>
          <w:rFonts w:ascii="Times New Roman" w:hAnsi="Times New Roman"/>
          <w:bCs/>
          <w:u w:val="single"/>
        </w:rPr>
        <w:t xml:space="preserve"> </w:t>
      </w:r>
    </w:p>
    <w:p w:rsidR="004F12D2" w:rsidRPr="008E26C6" w:rsidP="00AE0CA5" w14:paraId="459B53CD" w14:textId="77777777">
      <w:pPr>
        <w:ind w:left="720"/>
        <w:rPr>
          <w:rFonts w:ascii="Times New Roman" w:hAnsi="Times New Roman"/>
        </w:rPr>
      </w:pPr>
    </w:p>
    <w:p w:rsidR="008E26C6" w:rsidP="00AE0CA5" w14:paraId="0438EBC2" w14:textId="77777777">
      <w:pPr>
        <w:ind w:left="720"/>
        <w:rPr>
          <w:rFonts w:ascii="Times New Roman" w:hAnsi="Times New Roman"/>
        </w:rPr>
      </w:pPr>
      <w:r w:rsidRPr="008E26C6">
        <w:rPr>
          <w:rFonts w:ascii="Times New Roman" w:hAnsi="Times New Roman"/>
        </w:rPr>
        <w:t xml:space="preserve">Treasury Decision (TD) 8400 contains previously approved final regulations regarding the taxation of gain or loss from certain foreign currency transactions under Internal Revenue Code (IRC) section 988 and applies to taxpayers engaging in such transactions. </w:t>
      </w:r>
    </w:p>
    <w:p w:rsidR="008E26C6" w:rsidP="00AE0CA5" w14:paraId="5A077C93" w14:textId="77777777">
      <w:pPr>
        <w:ind w:left="720"/>
        <w:rPr>
          <w:rFonts w:ascii="Times New Roman" w:hAnsi="Times New Roman"/>
        </w:rPr>
      </w:pPr>
    </w:p>
    <w:p w:rsidR="008E26C6" w:rsidP="00AE0CA5" w14:paraId="6217ECB7" w14:textId="77777777">
      <w:pPr>
        <w:ind w:left="720"/>
        <w:rPr>
          <w:rFonts w:ascii="Times New Roman" w:hAnsi="Times New Roman"/>
        </w:rPr>
      </w:pPr>
      <w:r w:rsidRPr="008E26C6">
        <w:rPr>
          <w:rFonts w:ascii="Times New Roman" w:hAnsi="Times New Roman"/>
        </w:rPr>
        <w:t xml:space="preserve">Such gains and losses are characterized as ordinary income or loss. </w:t>
      </w:r>
      <w:r w:rsidRPr="008E26C6" w:rsidR="00EF25C8">
        <w:rPr>
          <w:rFonts w:ascii="Times New Roman" w:hAnsi="Times New Roman"/>
        </w:rPr>
        <w:t xml:space="preserve">However, under IRC section 988(a)(1)(B), taxpayers may elect to characterize exchange gain or loss on certain transactions as capital gain or loss. Treasury Regulations section 1.988-3(b) provides the procedure for making the election. Under IRC section 988(c)(1)(D)(ii), taxpayers may elect to have regulated futures contracts and certain options (which generally are not subject to section 988) treated as section 988 transactions. </w:t>
      </w:r>
    </w:p>
    <w:p w:rsidR="008E26C6" w:rsidP="00AE0CA5" w14:paraId="373F3D26" w14:textId="77777777">
      <w:pPr>
        <w:ind w:left="720"/>
        <w:rPr>
          <w:rFonts w:ascii="Times New Roman" w:hAnsi="Times New Roman"/>
        </w:rPr>
      </w:pPr>
    </w:p>
    <w:p w:rsidR="008E26C6" w:rsidP="00AE0CA5" w14:paraId="44033D52" w14:textId="77777777">
      <w:pPr>
        <w:ind w:left="720"/>
        <w:rPr>
          <w:rFonts w:ascii="Times New Roman" w:hAnsi="Times New Roman"/>
        </w:rPr>
      </w:pPr>
      <w:r w:rsidRPr="008E26C6">
        <w:rPr>
          <w:rFonts w:ascii="Times New Roman" w:hAnsi="Times New Roman"/>
        </w:rPr>
        <w:t xml:space="preserve">Treasury Regulations sections 1.988-1(a)(7)(iii) and (iv) provide the procedure for making that election. Under IRC section 988(c)(1)(E)(iii), a qualified fund may elect out of section 988 with respect to certain financial transactions. Treasury Regulations section 1.988-1(a)(8)(iv) provides the procedure for making that election. Under IRC section 988(d), taxpayers may receive special treatment allowing integration with respect to certain borrowings and property if the transactions are properly identified. </w:t>
      </w:r>
    </w:p>
    <w:p w:rsidR="008E26C6" w:rsidP="00AE0CA5" w14:paraId="7E347553" w14:textId="77777777">
      <w:pPr>
        <w:ind w:left="720"/>
        <w:rPr>
          <w:rFonts w:ascii="Times New Roman" w:hAnsi="Times New Roman"/>
        </w:rPr>
      </w:pPr>
    </w:p>
    <w:p w:rsidR="008E26C6" w:rsidP="00AE0CA5" w14:paraId="589FA9C0" w14:textId="77777777">
      <w:pPr>
        <w:ind w:left="720"/>
        <w:rPr>
          <w:rFonts w:ascii="Times New Roman" w:hAnsi="Times New Roman"/>
        </w:rPr>
      </w:pPr>
      <w:r w:rsidRPr="008E26C6">
        <w:rPr>
          <w:rFonts w:ascii="Times New Roman" w:hAnsi="Times New Roman"/>
        </w:rPr>
        <w:t xml:space="preserve">The identification rules are in Treasury Regulations sections 1.988-5(a)(8), 1.988-5(b)(3), and 1.988-5(c)(2). Treasury Regulations section 1.988-2(a)(2)(v) allows an accrual basis taxpayer to make an election that provides special translation rules regarding the purchase and sale of stock or securities traded on an established securities market. </w:t>
      </w:r>
    </w:p>
    <w:p w:rsidR="008E26C6" w:rsidP="00AE0CA5" w14:paraId="3413B9FC" w14:textId="77777777">
      <w:pPr>
        <w:ind w:left="720"/>
        <w:rPr>
          <w:rFonts w:ascii="Times New Roman" w:hAnsi="Times New Roman"/>
        </w:rPr>
      </w:pPr>
    </w:p>
    <w:p w:rsidR="006D449A" w:rsidRPr="008E26C6" w:rsidP="00AE0CA5" w14:paraId="72EAAE85" w14:textId="00400BDC">
      <w:pPr>
        <w:ind w:left="720"/>
        <w:rPr>
          <w:rFonts w:ascii="Times New Roman" w:hAnsi="Times New Roman"/>
        </w:rPr>
      </w:pPr>
      <w:r w:rsidRPr="008E26C6">
        <w:rPr>
          <w:rFonts w:ascii="Times New Roman" w:hAnsi="Times New Roman"/>
        </w:rPr>
        <w:t>Treasury Regulations section 1.988-2(b)(2)(iii)(B) provides an election allowing the translation of interest income and expense using a spot accrual convention.</w:t>
      </w:r>
    </w:p>
    <w:p w:rsidR="00010B0A" w:rsidRPr="008E26C6" w:rsidP="004F12D2" w14:paraId="3036165C" w14:textId="77777777">
      <w:pPr>
        <w:pStyle w:val="Default"/>
        <w:rPr>
          <w:rFonts w:ascii="Times New Roman" w:hAnsi="Times New Roman" w:cs="Times New Roman"/>
        </w:rPr>
      </w:pPr>
      <w:bookmarkStart w:id="0" w:name="_Hlk503267997"/>
      <w:r w:rsidRPr="008E26C6">
        <w:rPr>
          <w:rFonts w:ascii="Times New Roman" w:hAnsi="Times New Roman" w:cs="Times New Roman"/>
        </w:rPr>
        <w:t xml:space="preserve">               </w:t>
      </w:r>
    </w:p>
    <w:bookmarkEnd w:id="0"/>
    <w:p w:rsidR="007E2EEB" w:rsidRPr="008E26C6" w14:paraId="26048C95" w14:textId="77777777">
      <w:pPr>
        <w:pStyle w:val="Level1"/>
        <w:numPr>
          <w:ilvl w:val="0"/>
          <w:numId w:val="1"/>
        </w:numPr>
        <w:tabs>
          <w:tab w:val="left" w:pos="-1440"/>
          <w:tab w:val="num" w:pos="720"/>
        </w:tabs>
        <w:rPr>
          <w:rFonts w:ascii="Times New Roman" w:hAnsi="Times New Roman"/>
          <w:bCs/>
        </w:rPr>
      </w:pPr>
      <w:r w:rsidRPr="008E26C6">
        <w:rPr>
          <w:rFonts w:ascii="Times New Roman" w:hAnsi="Times New Roman"/>
          <w:bCs/>
          <w:u w:val="single"/>
        </w:rPr>
        <w:t>USE OF DATA</w:t>
      </w:r>
      <w:r w:rsidRPr="008E26C6">
        <w:rPr>
          <w:rFonts w:ascii="Times New Roman" w:hAnsi="Times New Roman"/>
          <w:bCs/>
        </w:rPr>
        <w:t xml:space="preserve">              </w:t>
      </w:r>
    </w:p>
    <w:p w:rsidR="007E2EEB" w:rsidRPr="008E26C6" w14:paraId="1791FCB5" w14:textId="77777777">
      <w:pPr>
        <w:rPr>
          <w:rFonts w:ascii="Times New Roman" w:hAnsi="Times New Roman"/>
        </w:rPr>
      </w:pPr>
    </w:p>
    <w:p w:rsidR="00010B0A" w:rsidRPr="008E26C6" w:rsidP="00AE0CA5" w14:paraId="569877A8" w14:textId="0491D509">
      <w:pPr>
        <w:ind w:left="720"/>
        <w:rPr>
          <w:rFonts w:ascii="Times New Roman" w:hAnsi="Times New Roman"/>
        </w:rPr>
      </w:pPr>
      <w:r w:rsidRPr="008E26C6">
        <w:rPr>
          <w:rFonts w:ascii="Times New Roman" w:hAnsi="Times New Roman"/>
        </w:rPr>
        <w:t>The data obtained by the IRS from the various elections and identifications is used to verify that taxpayers have, in fact, elected special treatment under IRC section 988.</w:t>
      </w:r>
    </w:p>
    <w:p w:rsidR="007E2EEB" w:rsidRPr="008E26C6" w14:paraId="323341F2" w14:textId="77777777">
      <w:pPr>
        <w:rPr>
          <w:rFonts w:ascii="Times New Roman" w:hAnsi="Times New Roman"/>
        </w:rPr>
      </w:pPr>
      <w:r w:rsidRPr="008E26C6">
        <w:rPr>
          <w:rFonts w:ascii="Times New Roman" w:hAnsi="Times New Roman"/>
        </w:rPr>
        <w:t xml:space="preserve">    </w:t>
      </w:r>
    </w:p>
    <w:p w:rsidR="007E2EEB" w:rsidRPr="008E26C6" w:rsidP="00341826" w14:paraId="7375B98D" w14:textId="77777777">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USE OF IMPROVED INFORMATION TECHNOLOGY TO REDUCE BURDEN</w:t>
      </w:r>
    </w:p>
    <w:p w:rsidR="007E2EEB" w:rsidRPr="008E26C6" w14:paraId="065C51DC" w14:textId="77777777">
      <w:pPr>
        <w:rPr>
          <w:rFonts w:ascii="Times New Roman" w:hAnsi="Times New Roman"/>
        </w:rPr>
      </w:pPr>
    </w:p>
    <w:p w:rsidR="007E2EEB" w:rsidRPr="008E26C6" w14:paraId="1EBD0D50" w14:textId="62D1A763">
      <w:pPr>
        <w:ind w:left="720"/>
        <w:rPr>
          <w:rFonts w:ascii="Times New Roman" w:hAnsi="Times New Roman"/>
        </w:rPr>
      </w:pPr>
      <w:r w:rsidRPr="008E26C6">
        <w:rPr>
          <w:rFonts w:ascii="Times New Roman" w:hAnsi="Times New Roman"/>
        </w:rPr>
        <w:t>There is no plan to offer electronic filing for this collection due to the low volume of filers complying with reporting requirements in Treasury Regulations section</w:t>
      </w:r>
      <w:r w:rsidRPr="008E26C6" w:rsidR="00252BA6">
        <w:rPr>
          <w:rFonts w:ascii="Times New Roman" w:hAnsi="Times New Roman"/>
        </w:rPr>
        <w:t>s 1.988-1,</w:t>
      </w:r>
      <w:r w:rsidRPr="008E26C6">
        <w:rPr>
          <w:rFonts w:ascii="Times New Roman" w:hAnsi="Times New Roman"/>
        </w:rPr>
        <w:t xml:space="preserve"> 1.988-2</w:t>
      </w:r>
      <w:r w:rsidRPr="008E26C6" w:rsidR="00252BA6">
        <w:rPr>
          <w:rFonts w:ascii="Times New Roman" w:hAnsi="Times New Roman"/>
        </w:rPr>
        <w:t>, and 1.988-3</w:t>
      </w:r>
      <w:r w:rsidRPr="008E26C6">
        <w:rPr>
          <w:rFonts w:ascii="Times New Roman" w:hAnsi="Times New Roman"/>
        </w:rPr>
        <w:t>. The procedures outlined in the remaining regulations are record keeping requirements.</w:t>
      </w:r>
    </w:p>
    <w:p w:rsidR="007E2EEB" w14:paraId="55B465DE" w14:textId="77777777">
      <w:pPr>
        <w:rPr>
          <w:rFonts w:ascii="Times New Roman" w:hAnsi="Times New Roman"/>
        </w:rPr>
      </w:pPr>
    </w:p>
    <w:p w:rsidR="008E26C6" w14:paraId="7762BC9A" w14:textId="77777777">
      <w:pPr>
        <w:rPr>
          <w:rFonts w:ascii="Times New Roman" w:hAnsi="Times New Roman"/>
        </w:rPr>
      </w:pPr>
    </w:p>
    <w:p w:rsidR="008E26C6" w:rsidRPr="008E26C6" w14:paraId="3532BDAD" w14:textId="77777777">
      <w:pPr>
        <w:rPr>
          <w:rFonts w:ascii="Times New Roman" w:hAnsi="Times New Roman"/>
        </w:rPr>
      </w:pPr>
    </w:p>
    <w:p w:rsidR="007E2EEB" w:rsidRPr="008E26C6" w:rsidP="00341826" w14:paraId="04B4CB25" w14:textId="77777777">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EFFORTS TO IDENTIFY DUPLICATION</w:t>
      </w:r>
    </w:p>
    <w:p w:rsidR="007E2EEB" w:rsidRPr="008E26C6" w14:paraId="26E20796" w14:textId="77777777">
      <w:pPr>
        <w:rPr>
          <w:rFonts w:ascii="Times New Roman" w:hAnsi="Times New Roman"/>
        </w:rPr>
      </w:pPr>
    </w:p>
    <w:p w:rsidR="0047289C" w:rsidRPr="008E26C6" w:rsidP="00886D4B" w14:paraId="4849C15C" w14:textId="708F2E6A">
      <w:pPr>
        <w:ind w:left="720"/>
        <w:rPr>
          <w:rFonts w:ascii="Times New Roman" w:hAnsi="Times New Roman"/>
        </w:rPr>
      </w:pPr>
      <w:r w:rsidRPr="008E26C6">
        <w:rPr>
          <w:rFonts w:ascii="Times New Roman" w:hAnsi="Times New Roman"/>
        </w:rPr>
        <w:t>The information obtained through this collection is unique and is not already available or use or adaption from another source.</w:t>
      </w:r>
    </w:p>
    <w:p w:rsidR="0047289C" w:rsidRPr="008E26C6" w14:paraId="508BC548" w14:textId="77777777">
      <w:pPr>
        <w:rPr>
          <w:rFonts w:ascii="Times New Roman" w:hAnsi="Times New Roman"/>
        </w:rPr>
      </w:pPr>
    </w:p>
    <w:p w:rsidR="007E2EEB" w:rsidRPr="008E26C6" w:rsidP="00341826" w14:paraId="1D1C3359" w14:textId="77777777">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METHODS TO MINIMIZE BURDEN ON SMALL BUSINESSES OR OTHER</w:t>
      </w:r>
      <w:r w:rsidRPr="008E26C6" w:rsidR="00715FFF">
        <w:rPr>
          <w:rFonts w:ascii="Times New Roman" w:hAnsi="Times New Roman"/>
          <w:bCs/>
          <w:u w:val="single"/>
        </w:rPr>
        <w:t xml:space="preserve"> </w:t>
      </w:r>
      <w:r w:rsidRPr="008E26C6">
        <w:rPr>
          <w:rFonts w:ascii="Times New Roman" w:hAnsi="Times New Roman"/>
          <w:bCs/>
          <w:u w:val="single"/>
        </w:rPr>
        <w:t>SMALL ENTITIES</w:t>
      </w:r>
    </w:p>
    <w:p w:rsidR="007E2EEB" w:rsidRPr="008E26C6" w14:paraId="5DEAAF27" w14:textId="77777777">
      <w:pPr>
        <w:rPr>
          <w:rFonts w:ascii="Times New Roman" w:hAnsi="Times New Roman"/>
        </w:rPr>
      </w:pPr>
    </w:p>
    <w:p w:rsidR="002B177C" w:rsidRPr="008E26C6" w14:paraId="0F4E527F" w14:textId="7544A521">
      <w:pPr>
        <w:ind w:left="720"/>
        <w:rPr>
          <w:rFonts w:ascii="Times New Roman" w:hAnsi="Times New Roman"/>
          <w:color w:val="000000"/>
        </w:rPr>
      </w:pPr>
      <w:r w:rsidRPr="008E26C6">
        <w:rPr>
          <w:rFonts w:ascii="Times New Roman" w:hAnsi="Times New Roman"/>
        </w:rPr>
        <w:t>The collection of information requirement will not have a significant economic impact on a substantial number of small entities.</w:t>
      </w:r>
    </w:p>
    <w:p w:rsidR="00F669A8" w:rsidRPr="008E26C6" w14:paraId="4ABF981F" w14:textId="77777777">
      <w:pPr>
        <w:ind w:left="720"/>
        <w:rPr>
          <w:rFonts w:ascii="Times New Roman" w:hAnsi="Times New Roman"/>
        </w:rPr>
      </w:pPr>
    </w:p>
    <w:p w:rsidR="007E2EEB" w:rsidRPr="008E26C6" w:rsidP="00341826" w14:paraId="333BA9C4" w14:textId="6808F6BE">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CONSEQUENCES OF LESS FREQUENT COLLECTION ON FEDERAL PROGRAMS OR POLICY ACTIVITIES</w:t>
      </w:r>
    </w:p>
    <w:p w:rsidR="007E2EEB" w:rsidRPr="008E26C6" w14:paraId="12EC8924" w14:textId="77777777">
      <w:pPr>
        <w:rPr>
          <w:rFonts w:ascii="Times New Roman" w:hAnsi="Times New Roman"/>
        </w:rPr>
      </w:pPr>
    </w:p>
    <w:p w:rsidR="007E2EEB" w:rsidRPr="008E26C6" w14:paraId="1755E1C1" w14:textId="2FD32255">
      <w:pPr>
        <w:ind w:left="720"/>
        <w:rPr>
          <w:rFonts w:ascii="Times New Roman" w:hAnsi="Times New Roman"/>
        </w:rPr>
      </w:pPr>
      <w:r w:rsidRPr="008E26C6">
        <w:rPr>
          <w:rFonts w:ascii="Times New Roman" w:hAnsi="Times New Roman"/>
        </w:rPr>
        <w:t>The information will be used by the IRS to verify that taxpayers have, in fact, elected special treatment under section 988. If this information is collected less frequently, it would compromise the Agency’s ability to determine the tax treatment</w:t>
      </w:r>
      <w:r w:rsidRPr="008E26C6" w:rsidR="00E91636">
        <w:rPr>
          <w:rFonts w:ascii="Times New Roman" w:hAnsi="Times New Roman"/>
        </w:rPr>
        <w:t xml:space="preserve"> of certain foreign currency denominated transactions and </w:t>
      </w:r>
      <w:r w:rsidRPr="008E26C6">
        <w:rPr>
          <w:rFonts w:ascii="Times New Roman" w:hAnsi="Times New Roman"/>
        </w:rPr>
        <w:t>enforce tax compliance. Tax compliance is a vital part of the government’s ability to meet its mission and serve the public.</w:t>
      </w:r>
    </w:p>
    <w:p w:rsidR="007E2EEB" w:rsidRPr="008E26C6" w14:paraId="54C25B04" w14:textId="77777777">
      <w:pPr>
        <w:rPr>
          <w:rFonts w:ascii="Times New Roman" w:hAnsi="Times New Roman"/>
        </w:rPr>
      </w:pPr>
    </w:p>
    <w:p w:rsidR="007E2EEB" w:rsidRPr="008E26C6" w:rsidP="00341826" w14:paraId="3F2A813E" w14:textId="77777777">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SPECIAL CIRCUMSTANCES REQUIRING DATA COLLECTION TO BE</w:t>
      </w:r>
      <w:r w:rsidRPr="008E26C6" w:rsidR="00473D0D">
        <w:rPr>
          <w:rFonts w:ascii="Times New Roman" w:hAnsi="Times New Roman"/>
          <w:bCs/>
          <w:u w:val="single"/>
        </w:rPr>
        <w:t xml:space="preserve"> </w:t>
      </w:r>
      <w:r w:rsidRPr="008E26C6">
        <w:rPr>
          <w:rFonts w:ascii="Times New Roman" w:hAnsi="Times New Roman"/>
          <w:bCs/>
          <w:u w:val="single"/>
        </w:rPr>
        <w:t>INCONSISTENT WITH GUIDELINES IN 5 CFR 1320.5(d)(2)</w:t>
      </w:r>
    </w:p>
    <w:p w:rsidR="007E2EEB" w:rsidRPr="008E26C6" w14:paraId="5CAD0ABA" w14:textId="77777777">
      <w:pPr>
        <w:rPr>
          <w:rFonts w:ascii="Times New Roman" w:hAnsi="Times New Roman"/>
        </w:rPr>
      </w:pPr>
    </w:p>
    <w:p w:rsidR="007E2EEB" w:rsidRPr="008E26C6" w14:paraId="75816E4A" w14:textId="5007511B">
      <w:pPr>
        <w:ind w:left="720"/>
        <w:rPr>
          <w:rFonts w:ascii="Times New Roman" w:hAnsi="Times New Roman"/>
        </w:rPr>
      </w:pPr>
      <w:r w:rsidRPr="008E26C6">
        <w:rPr>
          <w:rFonts w:ascii="Times New Roman" w:hAnsi="Times New Roman"/>
        </w:rPr>
        <w:t xml:space="preserve">There are no special circumstances requiring data collection to be inconsistent with </w:t>
      </w:r>
      <w:r w:rsidRPr="008E26C6" w:rsidR="002F3136">
        <w:rPr>
          <w:rFonts w:ascii="Times New Roman" w:hAnsi="Times New Roman"/>
        </w:rPr>
        <w:t>g</w:t>
      </w:r>
      <w:r w:rsidRPr="008E26C6">
        <w:rPr>
          <w:rFonts w:ascii="Times New Roman" w:hAnsi="Times New Roman"/>
        </w:rPr>
        <w:t>uidelines in 5 CFR 1320.5(d)(2).</w:t>
      </w:r>
    </w:p>
    <w:p w:rsidR="007E2EEB" w:rsidRPr="008E26C6" w14:paraId="0170FC3B" w14:textId="77777777">
      <w:pPr>
        <w:rPr>
          <w:rFonts w:ascii="Times New Roman" w:hAnsi="Times New Roman"/>
        </w:rPr>
      </w:pPr>
    </w:p>
    <w:p w:rsidR="007E2EEB" w:rsidRPr="008E26C6" w:rsidP="00341826" w14:paraId="668913E9" w14:textId="49C49EAD">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CONSULTATION WITH INDIVIDUALS OUTSIDE OF THE AGENCY ON</w:t>
      </w:r>
      <w:r w:rsidRPr="008E26C6" w:rsidR="00473D0D">
        <w:rPr>
          <w:rFonts w:ascii="Times New Roman" w:hAnsi="Times New Roman"/>
          <w:bCs/>
          <w:u w:val="single"/>
        </w:rPr>
        <w:t xml:space="preserve"> </w:t>
      </w:r>
      <w:r w:rsidRPr="008E26C6">
        <w:rPr>
          <w:rFonts w:ascii="Times New Roman" w:hAnsi="Times New Roman"/>
          <w:bCs/>
          <w:u w:val="single"/>
        </w:rPr>
        <w:t>AVAILABILITY OF DATA, FREQUENCY OF COLLECTION, CLARITY OF INSTRUCTIONS AND FORMS, AND DATA ELEMENTS</w:t>
      </w:r>
      <w:r w:rsidRPr="008E26C6" w:rsidR="00293354">
        <w:rPr>
          <w:rFonts w:ascii="Times New Roman" w:hAnsi="Times New Roman"/>
          <w:bCs/>
          <w:u w:val="single"/>
        </w:rPr>
        <w:t xml:space="preserve"> </w:t>
      </w:r>
    </w:p>
    <w:p w:rsidR="007E2EEB" w:rsidRPr="008E26C6" w14:paraId="33CDBF7E" w14:textId="77777777">
      <w:pPr>
        <w:rPr>
          <w:rFonts w:ascii="Times New Roman" w:hAnsi="Times New Roman"/>
        </w:rPr>
      </w:pPr>
    </w:p>
    <w:p w:rsidR="007E2EEB" w:rsidRPr="008E26C6" w14:paraId="77380EA6" w14:textId="1E6B29DF">
      <w:pPr>
        <w:ind w:left="720"/>
        <w:rPr>
          <w:rFonts w:ascii="Times New Roman" w:hAnsi="Times New Roman"/>
        </w:rPr>
      </w:pPr>
      <w:r w:rsidRPr="008E26C6">
        <w:rPr>
          <w:rFonts w:ascii="Times New Roman" w:hAnsi="Times New Roman"/>
        </w:rPr>
        <w:t>We received no comments during the public comment period in response to the Federal Register notice (</w:t>
      </w:r>
      <w:r w:rsidRPr="008E26C6" w:rsidR="00000E33">
        <w:rPr>
          <w:rFonts w:ascii="Times New Roman" w:hAnsi="Times New Roman"/>
        </w:rPr>
        <w:t>90</w:t>
      </w:r>
      <w:r w:rsidRPr="008E26C6" w:rsidR="00EC775E">
        <w:rPr>
          <w:rFonts w:ascii="Times New Roman" w:hAnsi="Times New Roman"/>
        </w:rPr>
        <w:t xml:space="preserve"> FR </w:t>
      </w:r>
      <w:r w:rsidR="0086123F">
        <w:rPr>
          <w:rFonts w:ascii="Times New Roman" w:hAnsi="Times New Roman"/>
        </w:rPr>
        <w:t>11878</w:t>
      </w:r>
      <w:r w:rsidRPr="008E26C6">
        <w:rPr>
          <w:rFonts w:ascii="Times New Roman" w:hAnsi="Times New Roman"/>
        </w:rPr>
        <w:t xml:space="preserve">), dated </w:t>
      </w:r>
      <w:r w:rsidRPr="008E26C6" w:rsidR="00000E33">
        <w:rPr>
          <w:rFonts w:ascii="Times New Roman" w:hAnsi="Times New Roman"/>
        </w:rPr>
        <w:t xml:space="preserve">March </w:t>
      </w:r>
      <w:r w:rsidR="0086123F">
        <w:rPr>
          <w:rFonts w:ascii="Times New Roman" w:hAnsi="Times New Roman"/>
        </w:rPr>
        <w:t>12</w:t>
      </w:r>
      <w:r w:rsidRPr="008E26C6" w:rsidR="00000E33">
        <w:rPr>
          <w:rFonts w:ascii="Times New Roman" w:hAnsi="Times New Roman"/>
        </w:rPr>
        <w:t>, 2025</w:t>
      </w:r>
      <w:r w:rsidRPr="008E26C6">
        <w:rPr>
          <w:rFonts w:ascii="Times New Roman" w:hAnsi="Times New Roman"/>
        </w:rPr>
        <w:t>.</w:t>
      </w:r>
    </w:p>
    <w:p w:rsidR="007E2EEB" w:rsidRPr="008E26C6" w14:paraId="3C96FA41" w14:textId="77777777">
      <w:pPr>
        <w:tabs>
          <w:tab w:val="center" w:pos="4680"/>
        </w:tabs>
        <w:rPr>
          <w:rFonts w:ascii="Times New Roman" w:hAnsi="Times New Roman"/>
        </w:rPr>
      </w:pPr>
    </w:p>
    <w:p w:rsidR="007E2EEB" w:rsidRPr="008E26C6" w:rsidP="00341826" w14:paraId="070B6483" w14:textId="77777777">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EXPLANATION OF DECISION TO PROVIDE ANY PAYMENT OR GIFT TO</w:t>
      </w:r>
      <w:r w:rsidRPr="008E26C6" w:rsidR="006E6E53">
        <w:rPr>
          <w:rFonts w:ascii="Times New Roman" w:hAnsi="Times New Roman"/>
          <w:bCs/>
          <w:u w:val="single"/>
        </w:rPr>
        <w:t xml:space="preserve"> </w:t>
      </w:r>
      <w:r w:rsidRPr="008E26C6">
        <w:rPr>
          <w:rFonts w:ascii="Times New Roman" w:hAnsi="Times New Roman"/>
          <w:bCs/>
          <w:u w:val="single"/>
        </w:rPr>
        <w:t>RESPONDENTS</w:t>
      </w:r>
    </w:p>
    <w:p w:rsidR="007E2EEB" w:rsidRPr="008E26C6" w14:paraId="5B1BA159" w14:textId="77777777">
      <w:pPr>
        <w:rPr>
          <w:rFonts w:ascii="Times New Roman" w:hAnsi="Times New Roman"/>
        </w:rPr>
      </w:pPr>
    </w:p>
    <w:p w:rsidR="006E6E53" w:rsidRPr="008E26C6" w:rsidP="006E6E53" w14:paraId="4E09B02B" w14:textId="77777777">
      <w:pPr>
        <w:ind w:left="720"/>
        <w:rPr>
          <w:rFonts w:ascii="Times New Roman" w:hAnsi="Times New Roman"/>
        </w:rPr>
      </w:pPr>
      <w:r w:rsidRPr="008E26C6">
        <w:rPr>
          <w:rFonts w:ascii="Times New Roman" w:hAnsi="Times New Roman"/>
        </w:rPr>
        <w:t>No payment or gift has been provided to any respondents.</w:t>
      </w:r>
    </w:p>
    <w:p w:rsidR="006E6E53" w:rsidRPr="008E26C6" w:rsidP="006E6E53" w14:paraId="64B83D7B" w14:textId="77777777">
      <w:pPr>
        <w:rPr>
          <w:rFonts w:ascii="Times New Roman" w:hAnsi="Times New Roman"/>
        </w:rPr>
      </w:pPr>
    </w:p>
    <w:p w:rsidR="007E2EEB" w:rsidRPr="008E26C6" w:rsidP="00341826" w14:paraId="0B1B8C0D" w14:textId="77777777">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ASSURANCE OF CONFIDENTIALITY OF RESPONSES</w:t>
      </w:r>
    </w:p>
    <w:p w:rsidR="007E2EEB" w:rsidRPr="008E26C6" w14:paraId="3AD88592" w14:textId="77777777">
      <w:pPr>
        <w:rPr>
          <w:rFonts w:ascii="Times New Roman" w:hAnsi="Times New Roman"/>
        </w:rPr>
      </w:pPr>
    </w:p>
    <w:p w:rsidR="007E2EEB" w14:paraId="1F890A62" w14:textId="6A0402AC">
      <w:pPr>
        <w:ind w:left="720"/>
        <w:rPr>
          <w:rFonts w:ascii="Times New Roman" w:hAnsi="Times New Roman"/>
        </w:rPr>
      </w:pPr>
      <w:r w:rsidRPr="008E26C6">
        <w:rPr>
          <w:rFonts w:ascii="Times New Roman" w:hAnsi="Times New Roman"/>
        </w:rPr>
        <w:t>Generally, tax returns and tax return information are confidential as required by 26 U</w:t>
      </w:r>
      <w:r w:rsidRPr="008E26C6" w:rsidR="00DD12F9">
        <w:rPr>
          <w:rFonts w:ascii="Times New Roman" w:hAnsi="Times New Roman"/>
        </w:rPr>
        <w:t>.</w:t>
      </w:r>
      <w:r w:rsidRPr="008E26C6">
        <w:rPr>
          <w:rFonts w:ascii="Times New Roman" w:hAnsi="Times New Roman"/>
        </w:rPr>
        <w:t>S</w:t>
      </w:r>
      <w:r w:rsidRPr="008E26C6" w:rsidR="00DD12F9">
        <w:rPr>
          <w:rFonts w:ascii="Times New Roman" w:hAnsi="Times New Roman"/>
        </w:rPr>
        <w:t>.</w:t>
      </w:r>
      <w:r w:rsidRPr="008E26C6">
        <w:rPr>
          <w:rFonts w:ascii="Times New Roman" w:hAnsi="Times New Roman"/>
        </w:rPr>
        <w:t>C</w:t>
      </w:r>
      <w:r w:rsidRPr="008E26C6" w:rsidR="00DD12F9">
        <w:rPr>
          <w:rFonts w:ascii="Times New Roman" w:hAnsi="Times New Roman"/>
        </w:rPr>
        <w:t>.</w:t>
      </w:r>
      <w:r w:rsidRPr="008E26C6">
        <w:rPr>
          <w:rFonts w:ascii="Times New Roman" w:hAnsi="Times New Roman"/>
        </w:rPr>
        <w:t xml:space="preserve"> 6103.</w:t>
      </w:r>
    </w:p>
    <w:p w:rsidR="008E26C6" w14:paraId="763FED45" w14:textId="77777777">
      <w:pPr>
        <w:ind w:left="720"/>
        <w:rPr>
          <w:rFonts w:ascii="Times New Roman" w:hAnsi="Times New Roman"/>
        </w:rPr>
      </w:pPr>
    </w:p>
    <w:p w:rsidR="008E26C6" w:rsidRPr="008E26C6" w14:paraId="47B9CC66" w14:textId="77777777">
      <w:pPr>
        <w:ind w:left="720"/>
        <w:rPr>
          <w:rFonts w:ascii="Times New Roman" w:hAnsi="Times New Roman"/>
        </w:rPr>
      </w:pPr>
    </w:p>
    <w:p w:rsidR="007E2EEB" w:rsidRPr="008E26C6" w14:paraId="67600AFF" w14:textId="77777777">
      <w:pPr>
        <w:rPr>
          <w:rFonts w:ascii="Times New Roman" w:hAnsi="Times New Roman"/>
        </w:rPr>
      </w:pPr>
    </w:p>
    <w:p w:rsidR="007E2EEB" w:rsidRPr="008E26C6" w:rsidP="00341826" w14:paraId="6A92B7B8" w14:textId="77777777">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JUSTIFICATION OF SENSITIVE QUESTIONS</w:t>
      </w:r>
    </w:p>
    <w:p w:rsidR="007E2EEB" w:rsidRPr="008E26C6" w14:paraId="199EFAF1" w14:textId="77777777">
      <w:pPr>
        <w:rPr>
          <w:rFonts w:ascii="Times New Roman" w:hAnsi="Times New Roman"/>
          <w:u w:val="single"/>
        </w:rPr>
      </w:pPr>
    </w:p>
    <w:p w:rsidR="00044F37" w:rsidRPr="008E26C6" w:rsidP="002F3136" w14:paraId="3FE5F62D" w14:textId="72EE99FB">
      <w:pPr>
        <w:ind w:left="720"/>
        <w:rPr>
          <w:rFonts w:ascii="Times New Roman" w:hAnsi="Times New Roman"/>
        </w:rPr>
      </w:pPr>
      <w:r w:rsidRPr="008E26C6">
        <w:rPr>
          <w:rFonts w:ascii="Times New Roman" w:hAnsi="Times New Roman"/>
        </w:rPr>
        <w:t xml:space="preserve">A privacy impact assessment (PIA) has been conducted for information collected under this request as part of the </w:t>
      </w:r>
      <w:r w:rsidRPr="008E26C6" w:rsidR="00E91636">
        <w:rPr>
          <w:rFonts w:ascii="Times New Roman" w:hAnsi="Times New Roman"/>
        </w:rPr>
        <w:t xml:space="preserve">“Individual Master File (IMF)” and </w:t>
      </w:r>
      <w:r w:rsidRPr="008E26C6">
        <w:rPr>
          <w:rFonts w:ascii="Times New Roman" w:hAnsi="Times New Roman"/>
        </w:rPr>
        <w:t>“</w:t>
      </w:r>
      <w:r w:rsidRPr="008E26C6" w:rsidR="00F669A8">
        <w:rPr>
          <w:rFonts w:ascii="Times New Roman" w:hAnsi="Times New Roman"/>
        </w:rPr>
        <w:t>Business</w:t>
      </w:r>
      <w:r w:rsidRPr="008E26C6" w:rsidR="00F63BDE">
        <w:rPr>
          <w:rFonts w:ascii="Times New Roman" w:hAnsi="Times New Roman"/>
        </w:rPr>
        <w:t xml:space="preserve"> Master File (</w:t>
      </w:r>
      <w:r w:rsidRPr="008E26C6" w:rsidR="00F669A8">
        <w:rPr>
          <w:rFonts w:ascii="Times New Roman" w:hAnsi="Times New Roman"/>
        </w:rPr>
        <w:t>B</w:t>
      </w:r>
      <w:r w:rsidRPr="008E26C6" w:rsidR="00F63BDE">
        <w:rPr>
          <w:rFonts w:ascii="Times New Roman" w:hAnsi="Times New Roman"/>
        </w:rPr>
        <w:t xml:space="preserve">MF)” </w:t>
      </w:r>
      <w:r w:rsidRPr="008E26C6" w:rsidR="00E91636">
        <w:rPr>
          <w:rFonts w:ascii="Times New Roman" w:hAnsi="Times New Roman"/>
        </w:rPr>
        <w:t>systems. A</w:t>
      </w:r>
      <w:r w:rsidRPr="008E26C6">
        <w:rPr>
          <w:rFonts w:ascii="Times New Roman" w:hAnsi="Times New Roman"/>
        </w:rPr>
        <w:t xml:space="preserve"> Privacy Act System of Records notice (SORN) has been issued for these systems under</w:t>
      </w:r>
      <w:r w:rsidRPr="008E26C6" w:rsidR="00066407">
        <w:rPr>
          <w:rFonts w:ascii="Times New Roman" w:hAnsi="Times New Roman"/>
        </w:rPr>
        <w:t xml:space="preserve"> </w:t>
      </w:r>
      <w:r w:rsidRPr="008E26C6" w:rsidR="00E91636">
        <w:rPr>
          <w:rFonts w:ascii="Times New Roman" w:hAnsi="Times New Roman"/>
        </w:rPr>
        <w:t>Treasury/</w:t>
      </w:r>
      <w:r w:rsidRPr="008E26C6" w:rsidR="00066407">
        <w:rPr>
          <w:rFonts w:ascii="Times New Roman" w:hAnsi="Times New Roman"/>
        </w:rPr>
        <w:t xml:space="preserve">IRS 24.030 – Customer Account Data Engine (CADE) Individual Master File; </w:t>
      </w:r>
      <w:r w:rsidRPr="008E26C6" w:rsidR="00E91636">
        <w:rPr>
          <w:rFonts w:ascii="Times New Roman" w:hAnsi="Times New Roman"/>
        </w:rPr>
        <w:t>Treasury/</w:t>
      </w:r>
      <w:r w:rsidRPr="008E26C6" w:rsidR="00066407">
        <w:rPr>
          <w:rFonts w:ascii="Times New Roman" w:hAnsi="Times New Roman"/>
        </w:rPr>
        <w:t xml:space="preserve">IRS 24.046 - CADE Business Master File (BMF); </w:t>
      </w:r>
      <w:r w:rsidRPr="008E26C6" w:rsidR="002F3136">
        <w:rPr>
          <w:rFonts w:ascii="Times New Roman" w:hAnsi="Times New Roman"/>
        </w:rPr>
        <w:t xml:space="preserve">and </w:t>
      </w:r>
      <w:r w:rsidRPr="008E26C6" w:rsidR="00E91636">
        <w:rPr>
          <w:rFonts w:ascii="Times New Roman" w:hAnsi="Times New Roman"/>
        </w:rPr>
        <w:t>Treasury/</w:t>
      </w:r>
      <w:r w:rsidRPr="008E26C6" w:rsidR="00066407">
        <w:rPr>
          <w:rFonts w:ascii="Times New Roman" w:hAnsi="Times New Roman"/>
        </w:rPr>
        <w:t>IRS 34.037 - IRS Audit Trail and Security Records</w:t>
      </w:r>
      <w:r w:rsidRPr="008E26C6" w:rsidR="002F3136">
        <w:rPr>
          <w:rFonts w:ascii="Times New Roman" w:hAnsi="Times New Roman"/>
        </w:rPr>
        <w:t xml:space="preserve">. </w:t>
      </w:r>
      <w:bookmarkStart w:id="1" w:name="_Hlk90540730"/>
      <w:r w:rsidRPr="008E26C6" w:rsidR="002F3136">
        <w:rPr>
          <w:rFonts w:ascii="Times New Roman" w:hAnsi="Times New Roman"/>
          <w:bCs/>
        </w:rPr>
        <w:t xml:space="preserve">The Internal Revenue Service PIAs can be found </w:t>
      </w:r>
      <w:bookmarkStart w:id="2" w:name="_Hlk96425022"/>
      <w:r w:rsidRPr="008E26C6" w:rsidR="002F3136">
        <w:rPr>
          <w:rFonts w:ascii="Times New Roman" w:hAnsi="Times New Roman"/>
          <w:bCs/>
        </w:rPr>
        <w:t xml:space="preserve">at </w:t>
      </w:r>
      <w:bookmarkStart w:id="3" w:name="_Hlk90530558"/>
      <w:hyperlink r:id="rId5" w:history="1">
        <w:r w:rsidRPr="008E26C6" w:rsidR="002F3136">
          <w:rPr>
            <w:rStyle w:val="Hyperlink"/>
            <w:rFonts w:ascii="Times New Roman" w:hAnsi="Times New Roman"/>
            <w:bCs/>
          </w:rPr>
          <w:t>https://www.irs.gov/privacy-disclosure/privacy-impact-assessments-pia</w:t>
        </w:r>
      </w:hyperlink>
      <w:bookmarkEnd w:id="3"/>
      <w:r w:rsidRPr="008E26C6" w:rsidR="002F3136">
        <w:rPr>
          <w:rFonts w:ascii="Times New Roman" w:hAnsi="Times New Roman"/>
          <w:bCs/>
        </w:rPr>
        <w:t>.</w:t>
      </w:r>
      <w:bookmarkEnd w:id="1"/>
      <w:bookmarkEnd w:id="2"/>
    </w:p>
    <w:p w:rsidR="0047289C" w:rsidRPr="008E26C6" w:rsidP="00044F37" w14:paraId="7421FE21" w14:textId="77777777">
      <w:pPr>
        <w:ind w:left="720"/>
        <w:rPr>
          <w:rFonts w:ascii="Times New Roman" w:hAnsi="Times New Roman"/>
        </w:rPr>
      </w:pPr>
    </w:p>
    <w:p w:rsidR="002B177C" w:rsidRPr="008E26C6" w:rsidP="00044F37" w14:paraId="571F2A67" w14:textId="26DAAD8E">
      <w:pPr>
        <w:ind w:left="720"/>
        <w:rPr>
          <w:rFonts w:ascii="Times New Roman" w:hAnsi="Times New Roman"/>
        </w:rPr>
      </w:pPr>
      <w:r w:rsidRPr="008E26C6">
        <w:rPr>
          <w:rFonts w:ascii="Times New Roman" w:hAnsi="Times New Roman"/>
        </w:rPr>
        <w:t>Title 26 U</w:t>
      </w:r>
      <w:r w:rsidRPr="008E26C6" w:rsidR="002F3136">
        <w:rPr>
          <w:rFonts w:ascii="Times New Roman" w:hAnsi="Times New Roman"/>
        </w:rPr>
        <w:t>.</w:t>
      </w:r>
      <w:r w:rsidRPr="008E26C6">
        <w:rPr>
          <w:rFonts w:ascii="Times New Roman" w:hAnsi="Times New Roman"/>
        </w:rPr>
        <w:t>S</w:t>
      </w:r>
      <w:r w:rsidRPr="008E26C6" w:rsidR="002F3136">
        <w:rPr>
          <w:rFonts w:ascii="Times New Roman" w:hAnsi="Times New Roman"/>
        </w:rPr>
        <w:t>.</w:t>
      </w:r>
      <w:r w:rsidRPr="008E26C6">
        <w:rPr>
          <w:rFonts w:ascii="Times New Roman" w:hAnsi="Times New Roman"/>
        </w:rPr>
        <w:t>C</w:t>
      </w:r>
      <w:r w:rsidRPr="008E26C6" w:rsidR="002F3136">
        <w:rPr>
          <w:rFonts w:ascii="Times New Roman" w:hAnsi="Times New Roman"/>
        </w:rPr>
        <w:t>.</w:t>
      </w:r>
      <w:r w:rsidRPr="008E26C6">
        <w:rPr>
          <w:rFonts w:ascii="Times New Roman" w:hAnsi="Times New Roman"/>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p>
    <w:p w:rsidR="00F669A8" w:rsidRPr="008E26C6" w:rsidP="00044F37" w14:paraId="61AA9957" w14:textId="77777777">
      <w:pPr>
        <w:ind w:left="720"/>
        <w:rPr>
          <w:rFonts w:ascii="Times New Roman" w:hAnsi="Times New Roman"/>
        </w:rPr>
      </w:pPr>
    </w:p>
    <w:p w:rsidR="008A5F74" w:rsidRPr="008E26C6" w:rsidP="008A5F74" w14:paraId="68C99C55" w14:textId="1C9ACF01">
      <w:pPr>
        <w:ind w:left="720"/>
        <w:rPr>
          <w:rFonts w:ascii="Times New Roman" w:hAnsi="Times New Roman"/>
        </w:rPr>
      </w:pPr>
      <w:bookmarkStart w:id="4" w:name="_Hlk504987468"/>
      <w:r w:rsidRPr="008E26C6">
        <w:rPr>
          <w:rFonts w:ascii="Times New Roman" w:hAnsi="Times New Roman"/>
        </w:rPr>
        <w:t>The statements required by these regulations are attachments to the Federal tax return. The Privacy Act statement associated with these attachments is listed in the Federal tax return instructions.</w:t>
      </w:r>
    </w:p>
    <w:bookmarkEnd w:id="4"/>
    <w:p w:rsidR="003A5A1A" w:rsidRPr="008E26C6" w:rsidP="00044F37" w14:paraId="197F6124" w14:textId="77777777">
      <w:pPr>
        <w:ind w:left="720"/>
        <w:rPr>
          <w:rFonts w:ascii="Times New Roman" w:hAnsi="Times New Roman"/>
        </w:rPr>
      </w:pPr>
    </w:p>
    <w:p w:rsidR="007E2EEB" w:rsidRPr="008E26C6" w:rsidP="00341826" w14:paraId="46BE6A02" w14:textId="77777777">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ESTIMATED BURDEN OF INFORMATION COLLECTION</w:t>
      </w:r>
    </w:p>
    <w:p w:rsidR="002113E1" w:rsidRPr="008E26C6" w:rsidP="002F3136" w14:paraId="11F5B6F4" w14:textId="77777777">
      <w:pPr>
        <w:ind w:left="720"/>
        <w:rPr>
          <w:rFonts w:ascii="Times New Roman" w:hAnsi="Times New Roman"/>
        </w:rPr>
      </w:pPr>
    </w:p>
    <w:p w:rsidR="00B33683" w:rsidRPr="008E26C6" w:rsidP="00DD12F9" w14:paraId="7EAD2059" w14:textId="3E933827">
      <w:pPr>
        <w:ind w:left="720"/>
        <w:rPr>
          <w:rFonts w:ascii="Times New Roman" w:hAnsi="Times New Roman"/>
        </w:rPr>
      </w:pPr>
      <w:r w:rsidRPr="008E26C6">
        <w:rPr>
          <w:rFonts w:ascii="Times New Roman" w:hAnsi="Times New Roman"/>
        </w:rPr>
        <w:t>Treasury Regulations s</w:t>
      </w:r>
      <w:r w:rsidRPr="008E26C6" w:rsidR="00252BA6">
        <w:rPr>
          <w:rFonts w:ascii="Times New Roman" w:hAnsi="Times New Roman"/>
        </w:rPr>
        <w:t>ection 1.988-3(b) generally provides that a taxpayer may elect to treat gain or loss on a</w:t>
      </w:r>
      <w:r w:rsidRPr="008E26C6">
        <w:rPr>
          <w:rFonts w:ascii="Times New Roman" w:hAnsi="Times New Roman"/>
        </w:rPr>
        <w:t>n IRC</w:t>
      </w:r>
      <w:r w:rsidRPr="008E26C6" w:rsidR="00252BA6">
        <w:rPr>
          <w:rFonts w:ascii="Times New Roman" w:hAnsi="Times New Roman"/>
        </w:rPr>
        <w:t xml:space="preserve"> section 988 transaction as capital gain or loss by identifying the transaction on its books and records on the day it was entered into and verifying the election in a statement attached to the taxpayer’s return. Sections 1.988-1(a)(7)(iii) and (iv) and 1.988-1(a)(8)(iv) provide that a taxpayer makes the relevant election by mailing a statement regarding such election to the Kansas City IRS Service Center. This election is generally a lifetime election. The rules of section 1.988-5(a), (b), and (c) provide that a taxpayer elects integrated hedging treatment by clearly identifying a hedging transaction on its books and records on the day the transaction is </w:t>
      </w:r>
      <w:r w:rsidRPr="008E26C6" w:rsidR="00156AE7">
        <w:rPr>
          <w:rFonts w:ascii="Times New Roman" w:hAnsi="Times New Roman"/>
        </w:rPr>
        <w:t>entered</w:t>
      </w:r>
      <w:r w:rsidRPr="008E26C6" w:rsidR="00252BA6">
        <w:rPr>
          <w:rFonts w:ascii="Times New Roman" w:hAnsi="Times New Roman"/>
        </w:rPr>
        <w:t xml:space="preserve">. Sections 1.988-2(a)(2)(v) and 1.988-2(b)(2)(iii)(B) provide that a taxpayer makes the elections by filing a statement with the taxpayer's first return in which the election is effective indicating that the election has been made. </w:t>
      </w:r>
    </w:p>
    <w:p w:rsidR="00B33683" w:rsidRPr="008E26C6" w:rsidP="00DD12F9" w14:paraId="014FCB2E" w14:textId="77777777">
      <w:pPr>
        <w:ind w:left="720"/>
        <w:rPr>
          <w:rFonts w:ascii="Times New Roman" w:hAnsi="Times New Roman"/>
        </w:rPr>
      </w:pPr>
    </w:p>
    <w:p w:rsidR="002113E1" w:rsidRPr="008E26C6" w:rsidP="00DD12F9" w14:paraId="1A787B85" w14:textId="19BA500C">
      <w:pPr>
        <w:ind w:left="720"/>
        <w:rPr>
          <w:rFonts w:ascii="Times New Roman" w:hAnsi="Times New Roman"/>
        </w:rPr>
      </w:pPr>
      <w:r w:rsidRPr="008E26C6">
        <w:rPr>
          <w:rFonts w:ascii="Times New Roman" w:hAnsi="Times New Roman"/>
        </w:rPr>
        <w:t>The IRS anticipates that there will be 5,000 respondents annually, for a total estimated burden of 3,333 hours annually</w:t>
      </w:r>
      <w:r w:rsidRPr="008E26C6" w:rsidR="00252BA6">
        <w:rPr>
          <w:rFonts w:ascii="Times New Roman" w:hAnsi="Times New Roman"/>
        </w:rPr>
        <w:t>. This includes the time needed to make the elections and to comply with the identification rules.</w:t>
      </w:r>
      <w:r w:rsidRPr="008E26C6" w:rsidR="00DD12F9">
        <w:rPr>
          <w:rFonts w:ascii="Times New Roman" w:hAnsi="Times New Roman"/>
        </w:rPr>
        <w:t xml:space="preserve"> The estimated burden is shown below.</w:t>
      </w:r>
      <w:r w:rsidRPr="008E26C6">
        <w:rPr>
          <w:rFonts w:ascii="Times New Roman" w:hAnsi="Times New Roman"/>
        </w:rPr>
        <w:t xml:space="preserve"> </w:t>
      </w:r>
    </w:p>
    <w:p w:rsidR="00CD6F63" w:rsidRPr="008E26C6" w:rsidP="00DD12F9" w14:paraId="748F61D4" w14:textId="3BA8E991">
      <w:pPr>
        <w:ind w:left="720"/>
        <w:rPr>
          <w:rFonts w:ascii="Times New Roman" w:hAnsi="Times New Roman"/>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1403"/>
        <w:gridCol w:w="1523"/>
        <w:gridCol w:w="1430"/>
        <w:gridCol w:w="1270"/>
        <w:gridCol w:w="1177"/>
        <w:gridCol w:w="990"/>
      </w:tblGrid>
      <w:tr w14:paraId="76732EC3" w14:textId="77777777" w:rsidTr="00DB7E8E">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0" w:type="dxa"/>
            <w:shd w:val="clear" w:color="auto" w:fill="auto"/>
            <w:vAlign w:val="bottom"/>
          </w:tcPr>
          <w:p w:rsidR="00CD6F63" w:rsidRPr="008E26C6" w:rsidP="000D56E5" w14:paraId="2F4AB5CD" w14:textId="77777777">
            <w:pPr>
              <w:keepNext/>
              <w:keepLines/>
              <w:numPr>
                <w:ilvl w:val="12"/>
                <w:numId w:val="0"/>
              </w:numPr>
              <w:jc w:val="center"/>
              <w:rPr>
                <w:rFonts w:ascii="Times New Roman" w:hAnsi="Times New Roman"/>
                <w:b/>
              </w:rPr>
            </w:pPr>
            <w:r w:rsidRPr="008E26C6">
              <w:rPr>
                <w:rFonts w:ascii="Times New Roman" w:hAnsi="Times New Roman"/>
                <w:b/>
              </w:rPr>
              <w:t>Authority</w:t>
            </w:r>
          </w:p>
        </w:tc>
        <w:tc>
          <w:tcPr>
            <w:tcW w:w="2221" w:type="dxa"/>
            <w:vAlign w:val="bottom"/>
          </w:tcPr>
          <w:p w:rsidR="00CD6F63" w:rsidRPr="008E26C6" w:rsidP="000D56E5" w14:paraId="602D551C" w14:textId="77777777">
            <w:pPr>
              <w:keepNext/>
              <w:keepLines/>
              <w:numPr>
                <w:ilvl w:val="12"/>
                <w:numId w:val="0"/>
              </w:numPr>
              <w:jc w:val="center"/>
              <w:rPr>
                <w:rFonts w:ascii="Times New Roman" w:hAnsi="Times New Roman"/>
                <w:b/>
              </w:rPr>
            </w:pPr>
            <w:r w:rsidRPr="008E26C6">
              <w:rPr>
                <w:rFonts w:ascii="Times New Roman" w:hAnsi="Times New Roman"/>
                <w:b/>
              </w:rPr>
              <w:t>Description</w:t>
            </w:r>
          </w:p>
        </w:tc>
        <w:tc>
          <w:tcPr>
            <w:tcW w:w="1151" w:type="dxa"/>
            <w:vAlign w:val="bottom"/>
          </w:tcPr>
          <w:p w:rsidR="00CD6F63" w:rsidRPr="008E26C6" w:rsidP="000D56E5" w14:paraId="4626F2A1" w14:textId="77777777">
            <w:pPr>
              <w:keepNext/>
              <w:keepLines/>
              <w:numPr>
                <w:ilvl w:val="12"/>
                <w:numId w:val="0"/>
              </w:numPr>
              <w:jc w:val="center"/>
              <w:rPr>
                <w:rFonts w:ascii="Times New Roman" w:hAnsi="Times New Roman"/>
                <w:b/>
              </w:rPr>
            </w:pPr>
            <w:r w:rsidRPr="008E26C6">
              <w:rPr>
                <w:rFonts w:ascii="Times New Roman" w:hAnsi="Times New Roman"/>
                <w:b/>
              </w:rPr>
              <w:t># of Respondents</w:t>
            </w:r>
          </w:p>
        </w:tc>
        <w:tc>
          <w:tcPr>
            <w:tcW w:w="1151" w:type="dxa"/>
            <w:vAlign w:val="bottom"/>
          </w:tcPr>
          <w:p w:rsidR="00CD6F63" w:rsidRPr="008E26C6" w:rsidP="000D56E5" w14:paraId="5F36F410" w14:textId="77777777">
            <w:pPr>
              <w:keepNext/>
              <w:keepLines/>
              <w:numPr>
                <w:ilvl w:val="12"/>
                <w:numId w:val="0"/>
              </w:numPr>
              <w:jc w:val="center"/>
              <w:rPr>
                <w:rFonts w:ascii="Times New Roman" w:hAnsi="Times New Roman"/>
                <w:b/>
              </w:rPr>
            </w:pPr>
            <w:r w:rsidRPr="008E26C6">
              <w:rPr>
                <w:rFonts w:ascii="Times New Roman" w:hAnsi="Times New Roman"/>
                <w:b/>
              </w:rPr>
              <w:t># Responses per Respondent</w:t>
            </w:r>
          </w:p>
        </w:tc>
        <w:tc>
          <w:tcPr>
            <w:tcW w:w="1004" w:type="dxa"/>
            <w:shd w:val="clear" w:color="auto" w:fill="auto"/>
            <w:vAlign w:val="bottom"/>
          </w:tcPr>
          <w:p w:rsidR="00CD6F63" w:rsidRPr="008E26C6" w:rsidP="000D56E5" w14:paraId="5A3DE107" w14:textId="77777777">
            <w:pPr>
              <w:keepNext/>
              <w:keepLines/>
              <w:numPr>
                <w:ilvl w:val="12"/>
                <w:numId w:val="0"/>
              </w:numPr>
              <w:jc w:val="center"/>
              <w:rPr>
                <w:rFonts w:ascii="Times New Roman" w:hAnsi="Times New Roman"/>
                <w:b/>
              </w:rPr>
            </w:pPr>
            <w:r w:rsidRPr="008E26C6">
              <w:rPr>
                <w:rFonts w:ascii="Times New Roman" w:hAnsi="Times New Roman"/>
                <w:b/>
              </w:rPr>
              <w:t>Annual Responses</w:t>
            </w:r>
          </w:p>
        </w:tc>
        <w:tc>
          <w:tcPr>
            <w:tcW w:w="945" w:type="dxa"/>
            <w:vAlign w:val="bottom"/>
          </w:tcPr>
          <w:p w:rsidR="00CD6F63" w:rsidRPr="008E26C6" w:rsidP="000D56E5" w14:paraId="12EEB3DF" w14:textId="77777777">
            <w:pPr>
              <w:keepNext/>
              <w:keepLines/>
              <w:numPr>
                <w:ilvl w:val="12"/>
                <w:numId w:val="0"/>
              </w:numPr>
              <w:jc w:val="center"/>
              <w:rPr>
                <w:rFonts w:ascii="Times New Roman" w:hAnsi="Times New Roman"/>
                <w:b/>
              </w:rPr>
            </w:pPr>
            <w:r w:rsidRPr="008E26C6">
              <w:rPr>
                <w:rFonts w:ascii="Times New Roman" w:hAnsi="Times New Roman"/>
                <w:b/>
              </w:rPr>
              <w:t>Hours per Response</w:t>
            </w:r>
          </w:p>
        </w:tc>
        <w:tc>
          <w:tcPr>
            <w:tcW w:w="1088" w:type="dxa"/>
            <w:shd w:val="clear" w:color="auto" w:fill="auto"/>
            <w:vAlign w:val="bottom"/>
          </w:tcPr>
          <w:p w:rsidR="00CD6F63" w:rsidRPr="008E26C6" w:rsidP="000D56E5" w14:paraId="6A771BD2" w14:textId="77777777">
            <w:pPr>
              <w:keepNext/>
              <w:keepLines/>
              <w:numPr>
                <w:ilvl w:val="12"/>
                <w:numId w:val="0"/>
              </w:numPr>
              <w:jc w:val="center"/>
              <w:rPr>
                <w:rFonts w:ascii="Times New Roman" w:hAnsi="Times New Roman"/>
                <w:b/>
              </w:rPr>
            </w:pPr>
            <w:r w:rsidRPr="008E26C6">
              <w:rPr>
                <w:rFonts w:ascii="Times New Roman" w:hAnsi="Times New Roman"/>
                <w:b/>
              </w:rPr>
              <w:t>Total Burden Hours</w:t>
            </w:r>
          </w:p>
        </w:tc>
      </w:tr>
      <w:tr w14:paraId="65EDB140" w14:textId="77777777" w:rsidTr="00DB7E8E">
        <w:tblPrEx>
          <w:tblW w:w="8640" w:type="dxa"/>
          <w:tblInd w:w="715" w:type="dxa"/>
          <w:tblLook w:val="04A0"/>
        </w:tblPrEx>
        <w:tc>
          <w:tcPr>
            <w:tcW w:w="1080" w:type="dxa"/>
            <w:shd w:val="clear" w:color="auto" w:fill="auto"/>
            <w:vAlign w:val="bottom"/>
          </w:tcPr>
          <w:p w:rsidR="00CD6F63" w:rsidRPr="008E26C6" w:rsidP="000D56E5" w14:paraId="3BD5E920" w14:textId="1469CB79">
            <w:pPr>
              <w:keepNext/>
              <w:keepLines/>
              <w:numPr>
                <w:ilvl w:val="12"/>
                <w:numId w:val="0"/>
              </w:numPr>
              <w:jc w:val="center"/>
              <w:rPr>
                <w:rFonts w:ascii="Times New Roman" w:hAnsi="Times New Roman"/>
              </w:rPr>
            </w:pPr>
            <w:r w:rsidRPr="008E26C6">
              <w:rPr>
                <w:rFonts w:ascii="Times New Roman" w:hAnsi="Times New Roman"/>
              </w:rPr>
              <w:t xml:space="preserve">IRC </w:t>
            </w:r>
            <w:r w:rsidRPr="008E26C6" w:rsidR="00B33683">
              <w:rPr>
                <w:rFonts w:ascii="Times New Roman" w:hAnsi="Times New Roman"/>
              </w:rPr>
              <w:t>988</w:t>
            </w:r>
          </w:p>
        </w:tc>
        <w:tc>
          <w:tcPr>
            <w:tcW w:w="2221" w:type="dxa"/>
            <w:vAlign w:val="bottom"/>
          </w:tcPr>
          <w:p w:rsidR="00CD6F63" w:rsidRPr="008E26C6" w:rsidP="000D56E5" w14:paraId="185D34E3" w14:textId="7EBA606E">
            <w:pPr>
              <w:keepNext/>
              <w:keepLines/>
              <w:numPr>
                <w:ilvl w:val="12"/>
                <w:numId w:val="0"/>
              </w:numPr>
              <w:jc w:val="center"/>
              <w:rPr>
                <w:rFonts w:ascii="Times New Roman" w:hAnsi="Times New Roman"/>
              </w:rPr>
            </w:pPr>
            <w:r w:rsidRPr="008E26C6">
              <w:rPr>
                <w:rFonts w:ascii="Times New Roman" w:hAnsi="Times New Roman"/>
              </w:rPr>
              <w:t>TD 8400</w:t>
            </w:r>
          </w:p>
        </w:tc>
        <w:tc>
          <w:tcPr>
            <w:tcW w:w="1151" w:type="dxa"/>
            <w:vAlign w:val="bottom"/>
          </w:tcPr>
          <w:p w:rsidR="00CD6F63" w:rsidRPr="008E26C6" w:rsidP="000D56E5" w14:paraId="4AC2AE26" w14:textId="72479A7B">
            <w:pPr>
              <w:keepNext/>
              <w:keepLines/>
              <w:numPr>
                <w:ilvl w:val="12"/>
                <w:numId w:val="0"/>
              </w:numPr>
              <w:jc w:val="center"/>
              <w:rPr>
                <w:rFonts w:ascii="Times New Roman" w:hAnsi="Times New Roman"/>
              </w:rPr>
            </w:pPr>
            <w:r w:rsidRPr="008E26C6">
              <w:rPr>
                <w:rFonts w:ascii="Times New Roman" w:hAnsi="Times New Roman"/>
              </w:rPr>
              <w:t>5,000</w:t>
            </w:r>
          </w:p>
        </w:tc>
        <w:tc>
          <w:tcPr>
            <w:tcW w:w="1151" w:type="dxa"/>
            <w:vAlign w:val="bottom"/>
          </w:tcPr>
          <w:p w:rsidR="00CD6F63" w:rsidRPr="008E26C6" w:rsidP="000D56E5" w14:paraId="299FBECC" w14:textId="034E471E">
            <w:pPr>
              <w:keepNext/>
              <w:keepLines/>
              <w:numPr>
                <w:ilvl w:val="12"/>
                <w:numId w:val="0"/>
              </w:numPr>
              <w:jc w:val="center"/>
              <w:rPr>
                <w:rFonts w:ascii="Times New Roman" w:hAnsi="Times New Roman"/>
              </w:rPr>
            </w:pPr>
            <w:r w:rsidRPr="008E26C6">
              <w:rPr>
                <w:rFonts w:ascii="Times New Roman" w:hAnsi="Times New Roman"/>
              </w:rPr>
              <w:t>1</w:t>
            </w:r>
          </w:p>
        </w:tc>
        <w:tc>
          <w:tcPr>
            <w:tcW w:w="1004" w:type="dxa"/>
            <w:shd w:val="clear" w:color="auto" w:fill="auto"/>
            <w:vAlign w:val="bottom"/>
          </w:tcPr>
          <w:p w:rsidR="00CD6F63" w:rsidRPr="008E26C6" w:rsidP="000D56E5" w14:paraId="70676D86" w14:textId="22038D18">
            <w:pPr>
              <w:keepNext/>
              <w:keepLines/>
              <w:numPr>
                <w:ilvl w:val="12"/>
                <w:numId w:val="0"/>
              </w:numPr>
              <w:jc w:val="center"/>
              <w:rPr>
                <w:rFonts w:ascii="Times New Roman" w:hAnsi="Times New Roman"/>
              </w:rPr>
            </w:pPr>
            <w:r w:rsidRPr="008E26C6">
              <w:rPr>
                <w:rFonts w:ascii="Times New Roman" w:hAnsi="Times New Roman"/>
              </w:rPr>
              <w:t>5,000</w:t>
            </w:r>
          </w:p>
        </w:tc>
        <w:tc>
          <w:tcPr>
            <w:tcW w:w="945" w:type="dxa"/>
            <w:vAlign w:val="bottom"/>
          </w:tcPr>
          <w:p w:rsidR="00CD6F63" w:rsidRPr="008E26C6" w:rsidP="000D56E5" w14:paraId="4AE1B094" w14:textId="4202072A">
            <w:pPr>
              <w:keepNext/>
              <w:keepLines/>
              <w:numPr>
                <w:ilvl w:val="12"/>
                <w:numId w:val="0"/>
              </w:numPr>
              <w:jc w:val="center"/>
              <w:rPr>
                <w:rFonts w:ascii="Times New Roman" w:hAnsi="Times New Roman"/>
              </w:rPr>
            </w:pPr>
            <w:r w:rsidRPr="008E26C6">
              <w:rPr>
                <w:rFonts w:ascii="Times New Roman" w:hAnsi="Times New Roman"/>
              </w:rPr>
              <w:t>.67</w:t>
            </w:r>
          </w:p>
        </w:tc>
        <w:tc>
          <w:tcPr>
            <w:tcW w:w="1088" w:type="dxa"/>
            <w:shd w:val="clear" w:color="auto" w:fill="auto"/>
            <w:vAlign w:val="bottom"/>
          </w:tcPr>
          <w:p w:rsidR="00CD6F63" w:rsidRPr="008E26C6" w:rsidP="000D56E5" w14:paraId="4F400431" w14:textId="517ED798">
            <w:pPr>
              <w:keepNext/>
              <w:keepLines/>
              <w:numPr>
                <w:ilvl w:val="12"/>
                <w:numId w:val="0"/>
              </w:numPr>
              <w:jc w:val="center"/>
              <w:rPr>
                <w:rFonts w:ascii="Times New Roman" w:hAnsi="Times New Roman"/>
              </w:rPr>
            </w:pPr>
            <w:r w:rsidRPr="008E26C6">
              <w:rPr>
                <w:rFonts w:ascii="Times New Roman" w:hAnsi="Times New Roman"/>
              </w:rPr>
              <w:t>3,333</w:t>
            </w:r>
          </w:p>
        </w:tc>
      </w:tr>
      <w:tr w14:paraId="3E85734E" w14:textId="77777777" w:rsidTr="00DB7E8E">
        <w:tblPrEx>
          <w:tblW w:w="8640" w:type="dxa"/>
          <w:tblInd w:w="715" w:type="dxa"/>
          <w:tblLook w:val="04A0"/>
        </w:tblPrEx>
        <w:tc>
          <w:tcPr>
            <w:tcW w:w="1080" w:type="dxa"/>
            <w:shd w:val="clear" w:color="auto" w:fill="auto"/>
            <w:vAlign w:val="bottom"/>
          </w:tcPr>
          <w:p w:rsidR="00CD6F63" w:rsidRPr="008E26C6" w:rsidP="000D56E5" w14:paraId="6AB5E234" w14:textId="77777777">
            <w:pPr>
              <w:keepNext/>
              <w:keepLines/>
              <w:numPr>
                <w:ilvl w:val="12"/>
                <w:numId w:val="0"/>
              </w:numPr>
              <w:jc w:val="center"/>
              <w:rPr>
                <w:rFonts w:ascii="Times New Roman" w:hAnsi="Times New Roman"/>
                <w:b/>
                <w:bCs/>
              </w:rPr>
            </w:pPr>
            <w:r w:rsidRPr="008E26C6">
              <w:rPr>
                <w:rFonts w:ascii="Times New Roman" w:hAnsi="Times New Roman"/>
                <w:b/>
                <w:bCs/>
              </w:rPr>
              <w:t>Totals</w:t>
            </w:r>
          </w:p>
        </w:tc>
        <w:tc>
          <w:tcPr>
            <w:tcW w:w="2221" w:type="dxa"/>
            <w:vAlign w:val="bottom"/>
          </w:tcPr>
          <w:p w:rsidR="00CD6F63" w:rsidRPr="008E26C6" w:rsidP="000D56E5" w14:paraId="5EB3CBB1" w14:textId="77777777">
            <w:pPr>
              <w:keepNext/>
              <w:keepLines/>
              <w:numPr>
                <w:ilvl w:val="12"/>
                <w:numId w:val="0"/>
              </w:numPr>
              <w:jc w:val="center"/>
              <w:rPr>
                <w:rFonts w:ascii="Times New Roman" w:hAnsi="Times New Roman"/>
                <w:b/>
                <w:bCs/>
              </w:rPr>
            </w:pPr>
          </w:p>
        </w:tc>
        <w:tc>
          <w:tcPr>
            <w:tcW w:w="1151" w:type="dxa"/>
            <w:vAlign w:val="bottom"/>
          </w:tcPr>
          <w:p w:rsidR="00CD6F63" w:rsidRPr="008E26C6" w:rsidP="000D56E5" w14:paraId="329A273C" w14:textId="4A35AF24">
            <w:pPr>
              <w:keepNext/>
              <w:keepLines/>
              <w:numPr>
                <w:ilvl w:val="12"/>
                <w:numId w:val="0"/>
              </w:numPr>
              <w:jc w:val="center"/>
              <w:rPr>
                <w:rFonts w:ascii="Times New Roman" w:hAnsi="Times New Roman"/>
                <w:b/>
                <w:bCs/>
              </w:rPr>
            </w:pPr>
            <w:r w:rsidRPr="008E26C6">
              <w:rPr>
                <w:rFonts w:ascii="Times New Roman" w:hAnsi="Times New Roman"/>
                <w:b/>
                <w:bCs/>
              </w:rPr>
              <w:t>5,000</w:t>
            </w:r>
          </w:p>
        </w:tc>
        <w:tc>
          <w:tcPr>
            <w:tcW w:w="1151" w:type="dxa"/>
            <w:vAlign w:val="bottom"/>
          </w:tcPr>
          <w:p w:rsidR="00CD6F63" w:rsidRPr="008E26C6" w:rsidP="000D56E5" w14:paraId="5EDFEBC8" w14:textId="77777777">
            <w:pPr>
              <w:keepNext/>
              <w:keepLines/>
              <w:numPr>
                <w:ilvl w:val="12"/>
                <w:numId w:val="0"/>
              </w:numPr>
              <w:jc w:val="center"/>
              <w:rPr>
                <w:rFonts w:ascii="Times New Roman" w:hAnsi="Times New Roman"/>
                <w:b/>
                <w:bCs/>
              </w:rPr>
            </w:pPr>
          </w:p>
        </w:tc>
        <w:tc>
          <w:tcPr>
            <w:tcW w:w="1004" w:type="dxa"/>
            <w:shd w:val="clear" w:color="auto" w:fill="auto"/>
            <w:vAlign w:val="bottom"/>
          </w:tcPr>
          <w:p w:rsidR="00CD6F63" w:rsidRPr="008E26C6" w:rsidP="000D56E5" w14:paraId="4F654055" w14:textId="1484D8F1">
            <w:pPr>
              <w:keepNext/>
              <w:keepLines/>
              <w:numPr>
                <w:ilvl w:val="12"/>
                <w:numId w:val="0"/>
              </w:numPr>
              <w:jc w:val="center"/>
              <w:rPr>
                <w:rFonts w:ascii="Times New Roman" w:hAnsi="Times New Roman"/>
                <w:b/>
                <w:bCs/>
              </w:rPr>
            </w:pPr>
            <w:r w:rsidRPr="008E26C6">
              <w:rPr>
                <w:rFonts w:ascii="Times New Roman" w:hAnsi="Times New Roman"/>
                <w:b/>
                <w:bCs/>
              </w:rPr>
              <w:t>5,000</w:t>
            </w:r>
          </w:p>
        </w:tc>
        <w:tc>
          <w:tcPr>
            <w:tcW w:w="945" w:type="dxa"/>
            <w:vAlign w:val="bottom"/>
          </w:tcPr>
          <w:p w:rsidR="00CD6F63" w:rsidRPr="008E26C6" w:rsidP="000D56E5" w14:paraId="7A61CD33" w14:textId="77777777">
            <w:pPr>
              <w:keepNext/>
              <w:keepLines/>
              <w:numPr>
                <w:ilvl w:val="12"/>
                <w:numId w:val="0"/>
              </w:numPr>
              <w:jc w:val="center"/>
              <w:rPr>
                <w:rFonts w:ascii="Times New Roman" w:hAnsi="Times New Roman"/>
                <w:b/>
                <w:bCs/>
              </w:rPr>
            </w:pPr>
          </w:p>
        </w:tc>
        <w:tc>
          <w:tcPr>
            <w:tcW w:w="1088" w:type="dxa"/>
            <w:shd w:val="clear" w:color="auto" w:fill="auto"/>
            <w:vAlign w:val="bottom"/>
          </w:tcPr>
          <w:p w:rsidR="00CD6F63" w:rsidRPr="008E26C6" w:rsidP="000D56E5" w14:paraId="150A12F1" w14:textId="452EE99C">
            <w:pPr>
              <w:keepNext/>
              <w:keepLines/>
              <w:numPr>
                <w:ilvl w:val="12"/>
                <w:numId w:val="0"/>
              </w:numPr>
              <w:jc w:val="center"/>
              <w:rPr>
                <w:rFonts w:ascii="Times New Roman" w:hAnsi="Times New Roman"/>
                <w:b/>
                <w:bCs/>
              </w:rPr>
            </w:pPr>
            <w:r w:rsidRPr="008E26C6">
              <w:rPr>
                <w:rFonts w:ascii="Times New Roman" w:hAnsi="Times New Roman"/>
                <w:b/>
                <w:bCs/>
              </w:rPr>
              <w:t>3,333</w:t>
            </w:r>
          </w:p>
        </w:tc>
      </w:tr>
    </w:tbl>
    <w:p w:rsidR="00CD6F63" w:rsidRPr="008E26C6" w:rsidP="00DD12F9" w14:paraId="5A15461A" w14:textId="77777777">
      <w:pPr>
        <w:ind w:left="720"/>
        <w:rPr>
          <w:rFonts w:ascii="Times New Roman" w:hAnsi="Times New Roman"/>
        </w:rPr>
      </w:pPr>
    </w:p>
    <w:p w:rsidR="00FA3A49" w:rsidRPr="008E26C6" w:rsidP="00BA04FD" w14:paraId="2FF96C91" w14:textId="6E860174">
      <w:pPr>
        <w:ind w:left="720"/>
        <w:rPr>
          <w:rFonts w:ascii="Times New Roman" w:hAnsi="Times New Roman"/>
        </w:rPr>
      </w:pPr>
      <w:r w:rsidRPr="008E26C6">
        <w:rPr>
          <w:rFonts w:ascii="Times New Roman" w:hAnsi="Times New Roman"/>
        </w:rPr>
        <w:t>The following regulations impose no additional burden</w:t>
      </w:r>
      <w:r w:rsidRPr="008E26C6" w:rsidR="00BA04FD">
        <w:rPr>
          <w:rFonts w:ascii="Times New Roman" w:hAnsi="Times New Roman"/>
        </w:rPr>
        <w:t xml:space="preserve">. </w:t>
      </w:r>
      <w:r w:rsidRPr="008E26C6">
        <w:rPr>
          <w:rFonts w:ascii="Times New Roman" w:hAnsi="Times New Roman"/>
        </w:rPr>
        <w:t>Please continue to assign OMB number 1545-</w:t>
      </w:r>
      <w:r w:rsidRPr="008E26C6" w:rsidR="00B33683">
        <w:rPr>
          <w:rFonts w:ascii="Times New Roman" w:hAnsi="Times New Roman"/>
        </w:rPr>
        <w:t>1131</w:t>
      </w:r>
      <w:r w:rsidRPr="008E26C6">
        <w:rPr>
          <w:rFonts w:ascii="Times New Roman" w:hAnsi="Times New Roman"/>
        </w:rPr>
        <w:t xml:space="preserve"> these regulations.</w:t>
      </w:r>
    </w:p>
    <w:p w:rsidR="00377337" w:rsidRPr="008E26C6" w:rsidP="00BA04FD" w14:paraId="6193DD33" w14:textId="77777777">
      <w:pPr>
        <w:ind w:left="720"/>
        <w:rPr>
          <w:rFonts w:ascii="Times New Roman" w:hAnsi="Times New Roman"/>
        </w:rPr>
      </w:pPr>
    </w:p>
    <w:tbl>
      <w:tblPr>
        <w:tblStyle w:val="TableGrid"/>
        <w:tblW w:w="1025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7"/>
        <w:gridCol w:w="1446"/>
        <w:gridCol w:w="1446"/>
        <w:gridCol w:w="1248"/>
        <w:gridCol w:w="1248"/>
        <w:gridCol w:w="1170"/>
        <w:gridCol w:w="1299"/>
        <w:gridCol w:w="952"/>
      </w:tblGrid>
      <w:tr w14:paraId="55A07B51" w14:textId="7FA99739" w:rsidTr="00377337">
        <w:tblPrEx>
          <w:tblW w:w="1025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8"/>
        </w:trPr>
        <w:tc>
          <w:tcPr>
            <w:tcW w:w="1447" w:type="dxa"/>
          </w:tcPr>
          <w:p w:rsidR="00377337" w:rsidRPr="008E26C6" w:rsidP="00377337" w14:paraId="050C0696" w14:textId="25F2ACD6">
            <w:pPr>
              <w:jc w:val="center"/>
              <w:rPr>
                <w:rFonts w:ascii="Times New Roman" w:hAnsi="Times New Roman"/>
              </w:rPr>
            </w:pPr>
            <w:r w:rsidRPr="008E26C6">
              <w:rPr>
                <w:rFonts w:ascii="Times New Roman" w:hAnsi="Times New Roman"/>
              </w:rPr>
              <w:t>1.988-0</w:t>
            </w:r>
          </w:p>
        </w:tc>
        <w:tc>
          <w:tcPr>
            <w:tcW w:w="1446" w:type="dxa"/>
          </w:tcPr>
          <w:p w:rsidR="00377337" w:rsidRPr="008E26C6" w:rsidP="00377337" w14:paraId="39656350" w14:textId="2046FAA1">
            <w:pPr>
              <w:jc w:val="center"/>
              <w:rPr>
                <w:rFonts w:ascii="Times New Roman" w:hAnsi="Times New Roman"/>
              </w:rPr>
            </w:pPr>
            <w:r w:rsidRPr="008E26C6">
              <w:rPr>
                <w:rFonts w:ascii="Times New Roman" w:hAnsi="Times New Roman"/>
              </w:rPr>
              <w:t>1.988-1</w:t>
            </w:r>
          </w:p>
        </w:tc>
        <w:tc>
          <w:tcPr>
            <w:tcW w:w="1446" w:type="dxa"/>
          </w:tcPr>
          <w:p w:rsidR="00377337" w:rsidRPr="008E26C6" w:rsidP="00046F28" w14:paraId="019FBE19" w14:textId="2F3801FD">
            <w:pPr>
              <w:jc w:val="center"/>
              <w:rPr>
                <w:rFonts w:ascii="Times New Roman" w:hAnsi="Times New Roman"/>
              </w:rPr>
            </w:pPr>
            <w:r w:rsidRPr="008E26C6">
              <w:rPr>
                <w:rFonts w:ascii="Times New Roman" w:hAnsi="Times New Roman"/>
              </w:rPr>
              <w:t>1.988-2</w:t>
            </w:r>
          </w:p>
        </w:tc>
        <w:tc>
          <w:tcPr>
            <w:tcW w:w="1248" w:type="dxa"/>
          </w:tcPr>
          <w:p w:rsidR="00377337" w:rsidRPr="008E26C6" w:rsidP="00046F28" w14:paraId="042D3927" w14:textId="2E9C017A">
            <w:pPr>
              <w:jc w:val="center"/>
              <w:rPr>
                <w:rFonts w:ascii="Times New Roman" w:hAnsi="Times New Roman"/>
              </w:rPr>
            </w:pPr>
            <w:r w:rsidRPr="008E26C6">
              <w:rPr>
                <w:rFonts w:ascii="Times New Roman" w:hAnsi="Times New Roman"/>
              </w:rPr>
              <w:t>1.988-3</w:t>
            </w:r>
          </w:p>
        </w:tc>
        <w:tc>
          <w:tcPr>
            <w:tcW w:w="1248" w:type="dxa"/>
          </w:tcPr>
          <w:p w:rsidR="00377337" w:rsidRPr="008E26C6" w:rsidP="00046F28" w14:paraId="684C63E0" w14:textId="1400A0EA">
            <w:pPr>
              <w:jc w:val="center"/>
              <w:rPr>
                <w:rFonts w:ascii="Times New Roman" w:hAnsi="Times New Roman"/>
              </w:rPr>
            </w:pPr>
            <w:r w:rsidRPr="008E26C6">
              <w:rPr>
                <w:rFonts w:ascii="Times New Roman" w:hAnsi="Times New Roman"/>
              </w:rPr>
              <w:t>1.988-4</w:t>
            </w:r>
          </w:p>
        </w:tc>
        <w:tc>
          <w:tcPr>
            <w:tcW w:w="1170" w:type="dxa"/>
          </w:tcPr>
          <w:p w:rsidR="00377337" w:rsidRPr="008E26C6" w:rsidP="00046F28" w14:paraId="281B745F" w14:textId="33ABE909">
            <w:pPr>
              <w:jc w:val="center"/>
              <w:rPr>
                <w:rFonts w:ascii="Times New Roman" w:hAnsi="Times New Roman"/>
              </w:rPr>
            </w:pPr>
            <w:r w:rsidRPr="008E26C6">
              <w:rPr>
                <w:rFonts w:ascii="Times New Roman" w:hAnsi="Times New Roman"/>
              </w:rPr>
              <w:t>1.988-5</w:t>
            </w:r>
          </w:p>
        </w:tc>
        <w:tc>
          <w:tcPr>
            <w:tcW w:w="1299" w:type="dxa"/>
          </w:tcPr>
          <w:p w:rsidR="00377337" w:rsidRPr="008E26C6" w:rsidP="00046F28" w14:paraId="404C345B" w14:textId="02AFF739">
            <w:pPr>
              <w:jc w:val="center"/>
              <w:rPr>
                <w:rFonts w:ascii="Times New Roman" w:hAnsi="Times New Roman"/>
              </w:rPr>
            </w:pPr>
          </w:p>
        </w:tc>
        <w:tc>
          <w:tcPr>
            <w:tcW w:w="952" w:type="dxa"/>
          </w:tcPr>
          <w:p w:rsidR="00377337" w:rsidRPr="008E26C6" w:rsidP="00046F28" w14:paraId="6DE7B848" w14:textId="77777777">
            <w:pPr>
              <w:jc w:val="center"/>
              <w:rPr>
                <w:rFonts w:ascii="Times New Roman" w:hAnsi="Times New Roman"/>
              </w:rPr>
            </w:pPr>
          </w:p>
        </w:tc>
      </w:tr>
    </w:tbl>
    <w:p w:rsidR="00BA04FD" w:rsidRPr="008E26C6" w14:paraId="3E62C557" w14:textId="77777777">
      <w:pPr>
        <w:rPr>
          <w:rFonts w:ascii="Times New Roman" w:hAnsi="Times New Roman"/>
        </w:rPr>
        <w:sectPr w:rsidSect="00377337">
          <w:headerReference w:type="default" r:id="rId6"/>
          <w:type w:val="continuous"/>
          <w:pgSz w:w="12240" w:h="15840"/>
          <w:pgMar w:top="1440" w:right="1440" w:bottom="1080" w:left="1440" w:header="1440" w:footer="1440" w:gutter="0"/>
          <w:cols w:space="360"/>
          <w:noEndnote/>
          <w:titlePg/>
          <w:docGrid w:linePitch="326"/>
        </w:sectPr>
      </w:pPr>
    </w:p>
    <w:p w:rsidR="007E2EEB" w:rsidRPr="008E26C6" w:rsidP="00341826" w14:paraId="00839235" w14:textId="77777777">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ESTIMATED TOTAL ANNUAL COST BURDEN TO RESPONDENTS</w:t>
      </w:r>
    </w:p>
    <w:p w:rsidR="007E2EEB" w:rsidRPr="008E26C6" w14:paraId="528CB4B9" w14:textId="77777777">
      <w:pPr>
        <w:rPr>
          <w:rFonts w:ascii="Times New Roman" w:hAnsi="Times New Roman"/>
          <w:b/>
        </w:rPr>
      </w:pPr>
    </w:p>
    <w:p w:rsidR="00F26675" w:rsidRPr="008E26C6" w:rsidP="00F26675" w14:paraId="7AFE0342" w14:textId="2843A222">
      <w:pPr>
        <w:ind w:left="720"/>
        <w:rPr>
          <w:rFonts w:ascii="Times New Roman" w:hAnsi="Times New Roman"/>
        </w:rPr>
      </w:pPr>
      <w:r w:rsidRPr="008E26C6">
        <w:rPr>
          <w:rFonts w:ascii="Times New Roman" w:hAnsi="Times New Roman"/>
        </w:rPr>
        <w:t xml:space="preserve">From our Federal Register notice dated March </w:t>
      </w:r>
      <w:r w:rsidR="0086123F">
        <w:rPr>
          <w:rFonts w:ascii="Times New Roman" w:hAnsi="Times New Roman"/>
        </w:rPr>
        <w:t>12</w:t>
      </w:r>
      <w:r w:rsidRPr="008E26C6">
        <w:rPr>
          <w:rFonts w:ascii="Times New Roman" w:hAnsi="Times New Roman"/>
        </w:rPr>
        <w:t>, 2025, no public comments were received on the estimates of cost burden that are not captured in the estimates of burden hours, i.e., estimates of capital or start-up costs and costs of operation, maintenance, and purchase of services to provide information.  As a result, estimates of these cost burdens are considered nominal</w:t>
      </w:r>
      <w:r w:rsidRPr="008E26C6" w:rsidR="00564D3E">
        <w:rPr>
          <w:rFonts w:ascii="Times New Roman" w:hAnsi="Times New Roman"/>
        </w:rPr>
        <w:t>.</w:t>
      </w:r>
    </w:p>
    <w:p w:rsidR="002113E1" w:rsidRPr="008E26C6" w:rsidP="00F26675" w14:paraId="7DCFEF69" w14:textId="77777777">
      <w:pPr>
        <w:ind w:left="720"/>
        <w:rPr>
          <w:rFonts w:ascii="Times New Roman" w:hAnsi="Times New Roman"/>
        </w:rPr>
      </w:pPr>
    </w:p>
    <w:p w:rsidR="007E2EEB" w:rsidRPr="008E26C6" w:rsidP="00341826" w14:paraId="2D2099D7" w14:textId="1EB61CF7">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ESTIMATED ANNUALIZED COST TO THE FEDERAL GOVERNMENT</w:t>
      </w:r>
    </w:p>
    <w:p w:rsidR="007E2EEB" w:rsidRPr="008E26C6" w14:paraId="56BA88F9" w14:textId="77777777">
      <w:pPr>
        <w:rPr>
          <w:rFonts w:ascii="Times New Roman" w:hAnsi="Times New Roman"/>
        </w:rPr>
      </w:pPr>
    </w:p>
    <w:p w:rsidR="007E36EA" w:rsidRPr="008E26C6" w:rsidP="008044D6" w14:paraId="0575B079" w14:textId="7FFA3C94">
      <w:pPr>
        <w:ind w:left="720"/>
        <w:rPr>
          <w:rFonts w:ascii="Times New Roman" w:hAnsi="Times New Roman"/>
        </w:rPr>
      </w:pPr>
      <w:bookmarkStart w:id="5" w:name="_Hlk523834409"/>
      <w:r w:rsidRPr="008E26C6">
        <w:rPr>
          <w:rFonts w:ascii="Times New Roman" w:hAnsi="Times New Roman"/>
        </w:rPr>
        <w:t xml:space="preserve">There is no annualized cost to the federal government as these are </w:t>
      </w:r>
      <w:r w:rsidR="002058E6">
        <w:rPr>
          <w:rFonts w:ascii="Times New Roman" w:hAnsi="Times New Roman"/>
        </w:rPr>
        <w:t xml:space="preserve">narrative statements and </w:t>
      </w:r>
      <w:r w:rsidRPr="008E26C6">
        <w:rPr>
          <w:rFonts w:ascii="Times New Roman" w:hAnsi="Times New Roman"/>
        </w:rPr>
        <w:t>recordkeeping requirements only. The government costs do not include any activities such as taxpayer assistance and enforcement</w:t>
      </w:r>
      <w:r w:rsidRPr="008E26C6" w:rsidR="007D3B38">
        <w:rPr>
          <w:rFonts w:ascii="Times New Roman" w:hAnsi="Times New Roman"/>
        </w:rPr>
        <w:t>.</w:t>
      </w:r>
    </w:p>
    <w:p w:rsidR="008044D6" w:rsidRPr="008E26C6" w:rsidP="008044D6" w14:paraId="75304BD5" w14:textId="18F42063">
      <w:pPr>
        <w:ind w:left="720"/>
        <w:rPr>
          <w:rFonts w:ascii="Times New Roman" w:hAnsi="Times New Roman"/>
        </w:rPr>
      </w:pPr>
    </w:p>
    <w:bookmarkEnd w:id="5"/>
    <w:p w:rsidR="007E2EEB" w:rsidRPr="008E26C6" w:rsidP="00341826" w14:paraId="30BB7F26" w14:textId="77777777">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REASONS FOR CHANGE IN BURDEN</w:t>
      </w:r>
    </w:p>
    <w:p w:rsidR="00FA3A49" w:rsidRPr="008E26C6" w:rsidP="008044D6" w14:paraId="2409B52A" w14:textId="77777777">
      <w:pPr>
        <w:ind w:left="720"/>
        <w:rPr>
          <w:rFonts w:ascii="Times New Roman" w:hAnsi="Times New Roman"/>
        </w:rPr>
      </w:pPr>
    </w:p>
    <w:p w:rsidR="00FA3A49" w:rsidRPr="008E26C6" w:rsidP="008044D6" w14:paraId="2377D65D" w14:textId="239A988A">
      <w:pPr>
        <w:ind w:left="720"/>
        <w:rPr>
          <w:rFonts w:ascii="Times New Roman" w:hAnsi="Times New Roman"/>
        </w:rPr>
      </w:pPr>
      <w:r w:rsidRPr="008E26C6">
        <w:rPr>
          <w:rFonts w:ascii="Times New Roman" w:hAnsi="Times New Roman"/>
        </w:rPr>
        <w:t>There is no change in the paperwork burden previously approved by OMB. The IRS is making this submission to renew the OMB approval.</w:t>
      </w:r>
    </w:p>
    <w:p w:rsidR="007B321B" w:rsidRPr="008E26C6" w:rsidP="008044D6" w14:paraId="61E411D9" w14:textId="77777777">
      <w:pPr>
        <w:ind w:left="720"/>
        <w:rPr>
          <w:rFonts w:ascii="Times New Roman" w:hAnsi="Times New Roman"/>
        </w:rPr>
      </w:pPr>
    </w:p>
    <w:p w:rsidR="007E2EEB" w:rsidRPr="008E26C6" w:rsidP="00341826" w14:paraId="555757D5" w14:textId="61581A85">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PLANS FOR TABULATION, STATISTICAL ANALYSIS AND PUBLICATION</w:t>
      </w:r>
    </w:p>
    <w:p w:rsidR="007E2EEB" w:rsidRPr="008E26C6" w14:paraId="12D17341" w14:textId="77777777">
      <w:pPr>
        <w:rPr>
          <w:rFonts w:ascii="Times New Roman" w:hAnsi="Times New Roman"/>
        </w:rPr>
      </w:pPr>
    </w:p>
    <w:p w:rsidR="00D46069" w:rsidRPr="008E26C6" w:rsidP="007B321B" w14:paraId="083F352C" w14:textId="377D7739">
      <w:pPr>
        <w:ind w:left="720"/>
        <w:rPr>
          <w:rFonts w:ascii="Times New Roman" w:hAnsi="Times New Roman"/>
        </w:rPr>
      </w:pPr>
      <w:r w:rsidRPr="008E26C6">
        <w:rPr>
          <w:rFonts w:ascii="Times New Roman" w:hAnsi="Times New Roman"/>
        </w:rPr>
        <w:t>There are no plans for tabulation, statistical analysis, and publication.</w:t>
      </w:r>
    </w:p>
    <w:p w:rsidR="006971E1" w:rsidRPr="008E26C6" w:rsidP="006971E1" w14:paraId="7BE78111" w14:textId="77777777">
      <w:pPr>
        <w:rPr>
          <w:rFonts w:ascii="Times New Roman" w:hAnsi="Times New Roman"/>
        </w:rPr>
      </w:pPr>
    </w:p>
    <w:p w:rsidR="006971E1" w:rsidRPr="008E26C6" w:rsidP="00341826" w14:paraId="7B4F7031" w14:textId="1AB208CF">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REASONS WHY DISPLAYING THE OMB EXPIRATION DATE IS INAPPROPRIATE</w:t>
      </w:r>
    </w:p>
    <w:p w:rsidR="006971E1" w:rsidRPr="008E26C6" w:rsidP="006971E1" w14:paraId="3190144B" w14:textId="77777777">
      <w:pPr>
        <w:rPr>
          <w:rFonts w:ascii="Times New Roman" w:hAnsi="Times New Roman"/>
        </w:rPr>
      </w:pPr>
    </w:p>
    <w:p w:rsidR="006971E1" w:rsidRPr="008E26C6" w:rsidP="007B321B" w14:paraId="651F46F9" w14:textId="3B1D4B63">
      <w:pPr>
        <w:ind w:left="720"/>
        <w:rPr>
          <w:rFonts w:ascii="Times New Roman" w:hAnsi="Times New Roman"/>
        </w:rPr>
      </w:pPr>
      <w:bookmarkStart w:id="6" w:name="_Hlk91075794"/>
      <w:r w:rsidRPr="008E26C6">
        <w:rPr>
          <w:rFonts w:ascii="Times New Roman" w:hAnsi="Times New Roman"/>
        </w:rPr>
        <w:t xml:space="preserve">The IRS believes that displaying the OMB expiration date is inappropriate because it could cause confusion by leading taxpayers to believe that the </w:t>
      </w:r>
      <w:r w:rsidRPr="008E26C6" w:rsidR="007D3B38">
        <w:rPr>
          <w:rFonts w:ascii="Times New Roman" w:hAnsi="Times New Roman"/>
        </w:rPr>
        <w:t>regulations</w:t>
      </w:r>
      <w:r w:rsidRPr="008E26C6">
        <w:rPr>
          <w:rFonts w:ascii="Times New Roman" w:hAnsi="Times New Roman"/>
        </w:rPr>
        <w:t xml:space="preserve"> sunsets as of the expiration date. Taxpayers are not likely to be aware that the IRS intends to request renewal of the OMB approval and obtain a new expiration date before the old one expires.</w:t>
      </w:r>
      <w:bookmarkEnd w:id="6"/>
    </w:p>
    <w:p w:rsidR="00D60DD4" w:rsidRPr="008E26C6" w:rsidP="006971E1" w14:paraId="7BF2A1BC" w14:textId="77777777">
      <w:pPr>
        <w:ind w:left="720"/>
        <w:rPr>
          <w:rFonts w:ascii="Times New Roman" w:hAnsi="Times New Roman"/>
        </w:rPr>
      </w:pPr>
    </w:p>
    <w:p w:rsidR="007E2EEB" w:rsidRPr="008E26C6" w:rsidP="00341826" w14:paraId="26339CFD" w14:textId="264BFFE1">
      <w:pPr>
        <w:pStyle w:val="Level1"/>
        <w:numPr>
          <w:ilvl w:val="0"/>
          <w:numId w:val="1"/>
        </w:numPr>
        <w:tabs>
          <w:tab w:val="left" w:pos="-1440"/>
          <w:tab w:val="num" w:pos="720"/>
        </w:tabs>
        <w:ind w:left="720" w:hanging="720"/>
        <w:rPr>
          <w:rFonts w:ascii="Times New Roman" w:hAnsi="Times New Roman"/>
          <w:bCs/>
          <w:u w:val="single"/>
        </w:rPr>
      </w:pPr>
      <w:r w:rsidRPr="008E26C6">
        <w:rPr>
          <w:rFonts w:ascii="Times New Roman" w:hAnsi="Times New Roman"/>
          <w:bCs/>
          <w:u w:val="single"/>
        </w:rPr>
        <w:t>EXCEPTIONS TO THE CERTIFICATION STATEMENT</w:t>
      </w:r>
    </w:p>
    <w:p w:rsidR="007E2EEB" w:rsidRPr="008E26C6" w14:paraId="251A5AC5" w14:textId="77777777">
      <w:pPr>
        <w:rPr>
          <w:rFonts w:ascii="Times New Roman" w:hAnsi="Times New Roman"/>
          <w:b/>
        </w:rPr>
      </w:pPr>
    </w:p>
    <w:p w:rsidR="007B321B" w:rsidRPr="008E26C6" w:rsidP="007B321B" w14:paraId="096BA0E1" w14:textId="77777777">
      <w:pPr>
        <w:ind w:left="720"/>
        <w:rPr>
          <w:rFonts w:ascii="Times New Roman" w:hAnsi="Times New Roman"/>
        </w:rPr>
      </w:pPr>
      <w:bookmarkStart w:id="7" w:name="_Hlk95714878"/>
      <w:r w:rsidRPr="008E26C6">
        <w:rPr>
          <w:rFonts w:ascii="Times New Roman" w:hAnsi="Times New Roman"/>
        </w:rPr>
        <w:t>There are no exceptions to the certification statement.</w:t>
      </w:r>
    </w:p>
    <w:bookmarkEnd w:id="7"/>
    <w:p w:rsidR="007B321B" w:rsidRPr="008E26C6" w:rsidP="007B321B" w14:paraId="0107987B" w14:textId="77777777">
      <w:pPr>
        <w:ind w:left="720"/>
        <w:rPr>
          <w:rFonts w:ascii="Times New Roman" w:hAnsi="Times New Roman"/>
        </w:rPr>
      </w:pPr>
    </w:p>
    <w:sectPr w:rsidSect="005C66C6">
      <w:type w:val="continuous"/>
      <w:pgSz w:w="12240" w:h="15840"/>
      <w:pgMar w:top="1440" w:right="1440" w:bottom="864"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or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C6" w14:paraId="15374918"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062CD2">
      <w:rPr>
        <w:rFonts w:cs="Courier"/>
        <w:b/>
        <w:bCs/>
        <w:noProof/>
      </w:rPr>
      <w:t>1</w:t>
    </w:r>
    <w:r>
      <w:rPr>
        <w:rFonts w:cs="Courier"/>
        <w:b/>
        <w:bCs/>
      </w:rPr>
      <w:fldChar w:fldCharType="end"/>
    </w:r>
  </w:p>
  <w:p w:rsidR="005C66C6" w14:paraId="04FBE3A1" w14:textId="77777777"/>
  <w:p w:rsidR="005C66C6" w14:paraId="4E585D05"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CF7698B"/>
    <w:multiLevelType w:val="hybridMultilevel"/>
    <w:tmpl w:val="2378F874"/>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CCE7852"/>
    <w:multiLevelType w:val="hybridMultilevel"/>
    <w:tmpl w:val="3FE23B06"/>
    <w:lvl w:ilvl="0">
      <w:start w:val="17"/>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120CAC"/>
    <w:multiLevelType w:val="hybridMultilevel"/>
    <w:tmpl w:val="F718F288"/>
    <w:lvl w:ilvl="0">
      <w:start w:val="17"/>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411059"/>
    <w:multiLevelType w:val="hybridMultilevel"/>
    <w:tmpl w:val="574EBB4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06F402E"/>
    <w:multiLevelType w:val="hybridMultilevel"/>
    <w:tmpl w:val="94B0A2EE"/>
    <w:lvl w:ilvl="0">
      <w:start w:val="17"/>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1C5AF6"/>
    <w:multiLevelType w:val="hybridMultilevel"/>
    <w:tmpl w:val="77DA41D2"/>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1913F5"/>
    <w:multiLevelType w:val="multilevel"/>
    <w:tmpl w:val="E6201D38"/>
    <w:name w:val="AutoList22"/>
    <w:lvl w:ilvl="0">
      <w:start w:val="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0"/>
      <w:numFmt w:val="decimal"/>
      <w:lvlJc w:val="left"/>
      <w:pPr>
        <w:ind w:left="0" w:firstLine="0"/>
      </w:pPr>
      <w:rPr>
        <w:rFonts w:hint="default"/>
      </w:rPr>
    </w:lvl>
  </w:abstractNum>
  <w:abstractNum w:abstractNumId="10">
    <w:nsid w:val="482272B8"/>
    <w:multiLevelType w:val="hybridMultilevel"/>
    <w:tmpl w:val="CAC44B88"/>
    <w:lvl w:ilvl="0">
      <w:start w:val="17"/>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82E568A"/>
    <w:multiLevelType w:val="hybridMultilevel"/>
    <w:tmpl w:val="F65E2F52"/>
    <w:lvl w:ilvl="0">
      <w:start w:val="17"/>
      <w:numFmt w:val="decimal"/>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A232C84"/>
    <w:multiLevelType w:val="hybridMultilevel"/>
    <w:tmpl w:val="76D06CDA"/>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DF506A1"/>
    <w:multiLevelType w:val="hybridMultilevel"/>
    <w:tmpl w:val="FC04AB9E"/>
    <w:lvl w:ilvl="0">
      <w:start w:val="17"/>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42131366">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88004318">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68773567">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542333320">
    <w:abstractNumId w:val="9"/>
  </w:num>
  <w:num w:numId="5" w16cid:durableId="863909139">
    <w:abstractNumId w:val="0"/>
  </w:num>
  <w:num w:numId="6" w16cid:durableId="249587592">
    <w:abstractNumId w:val="13"/>
  </w:num>
  <w:num w:numId="7" w16cid:durableId="1599676297">
    <w:abstractNumId w:val="7"/>
  </w:num>
  <w:num w:numId="8" w16cid:durableId="1678265160">
    <w:abstractNumId w:val="11"/>
  </w:num>
  <w:num w:numId="9" w16cid:durableId="233859809">
    <w:abstractNumId w:val="5"/>
  </w:num>
  <w:num w:numId="10" w16cid:durableId="1607927566">
    <w:abstractNumId w:val="12"/>
  </w:num>
  <w:num w:numId="11" w16cid:durableId="1394769155">
    <w:abstractNumId w:val="8"/>
  </w:num>
  <w:num w:numId="12" w16cid:durableId="1506362721">
    <w:abstractNumId w:val="10"/>
  </w:num>
  <w:num w:numId="13" w16cid:durableId="939920348">
    <w:abstractNumId w:val="4"/>
  </w:num>
  <w:num w:numId="14" w16cid:durableId="867989154">
    <w:abstractNumId w:val="6"/>
  </w:num>
  <w:num w:numId="15" w16cid:durableId="72943410">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650986263">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545291061">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59664373">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1014578164">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164395229">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894390022">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465737554">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623272440">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195776890">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974946036">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1279097075">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581571657">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857231790">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663359946">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1610506208">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16cid:durableId="1019812746">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EB"/>
    <w:rsid w:val="00000E33"/>
    <w:rsid w:val="0000220F"/>
    <w:rsid w:val="00006A19"/>
    <w:rsid w:val="00010B0A"/>
    <w:rsid w:val="000220F9"/>
    <w:rsid w:val="00043165"/>
    <w:rsid w:val="00044F37"/>
    <w:rsid w:val="00046F28"/>
    <w:rsid w:val="00055BDD"/>
    <w:rsid w:val="00062CD2"/>
    <w:rsid w:val="00066407"/>
    <w:rsid w:val="00097479"/>
    <w:rsid w:val="000A05E9"/>
    <w:rsid w:val="000A4339"/>
    <w:rsid w:val="000A7FC1"/>
    <w:rsid w:val="000C5932"/>
    <w:rsid w:val="000D28A3"/>
    <w:rsid w:val="000D56E5"/>
    <w:rsid w:val="000F6C31"/>
    <w:rsid w:val="00102DBB"/>
    <w:rsid w:val="001135E3"/>
    <w:rsid w:val="0012358F"/>
    <w:rsid w:val="001337C1"/>
    <w:rsid w:val="00135128"/>
    <w:rsid w:val="00156AE7"/>
    <w:rsid w:val="00161268"/>
    <w:rsid w:val="0016395D"/>
    <w:rsid w:val="00166349"/>
    <w:rsid w:val="001A0AD9"/>
    <w:rsid w:val="001A6F7B"/>
    <w:rsid w:val="001B24BC"/>
    <w:rsid w:val="001C3D05"/>
    <w:rsid w:val="001D1030"/>
    <w:rsid w:val="002058E6"/>
    <w:rsid w:val="002113E1"/>
    <w:rsid w:val="0023566C"/>
    <w:rsid w:val="00246391"/>
    <w:rsid w:val="00247560"/>
    <w:rsid w:val="00251ED2"/>
    <w:rsid w:val="00252BA6"/>
    <w:rsid w:val="0025404C"/>
    <w:rsid w:val="002542DC"/>
    <w:rsid w:val="00282B0F"/>
    <w:rsid w:val="00293354"/>
    <w:rsid w:val="002A243C"/>
    <w:rsid w:val="002A24DA"/>
    <w:rsid w:val="002B177C"/>
    <w:rsid w:val="002B190D"/>
    <w:rsid w:val="002B499E"/>
    <w:rsid w:val="002E56B9"/>
    <w:rsid w:val="002F1933"/>
    <w:rsid w:val="002F3136"/>
    <w:rsid w:val="002F5855"/>
    <w:rsid w:val="002F79AA"/>
    <w:rsid w:val="00305112"/>
    <w:rsid w:val="00305478"/>
    <w:rsid w:val="003127E4"/>
    <w:rsid w:val="003161EE"/>
    <w:rsid w:val="00341826"/>
    <w:rsid w:val="00353997"/>
    <w:rsid w:val="00377337"/>
    <w:rsid w:val="00397F62"/>
    <w:rsid w:val="003A5A1A"/>
    <w:rsid w:val="0040164F"/>
    <w:rsid w:val="00427C16"/>
    <w:rsid w:val="00435CFA"/>
    <w:rsid w:val="00443A77"/>
    <w:rsid w:val="004631BE"/>
    <w:rsid w:val="0047289C"/>
    <w:rsid w:val="00473D0D"/>
    <w:rsid w:val="004B6E0C"/>
    <w:rsid w:val="004D3707"/>
    <w:rsid w:val="004E2ABF"/>
    <w:rsid w:val="004E668F"/>
    <w:rsid w:val="004F12D2"/>
    <w:rsid w:val="005011E6"/>
    <w:rsid w:val="0051280C"/>
    <w:rsid w:val="00517DF7"/>
    <w:rsid w:val="00520AF6"/>
    <w:rsid w:val="005235D0"/>
    <w:rsid w:val="00525980"/>
    <w:rsid w:val="005649AE"/>
    <w:rsid w:val="00564D3E"/>
    <w:rsid w:val="00583F83"/>
    <w:rsid w:val="005B3EEF"/>
    <w:rsid w:val="005C66C6"/>
    <w:rsid w:val="005D3DAB"/>
    <w:rsid w:val="005D6094"/>
    <w:rsid w:val="005D7415"/>
    <w:rsid w:val="00606C8E"/>
    <w:rsid w:val="00622882"/>
    <w:rsid w:val="00630912"/>
    <w:rsid w:val="006368E6"/>
    <w:rsid w:val="00644338"/>
    <w:rsid w:val="00651559"/>
    <w:rsid w:val="006546B8"/>
    <w:rsid w:val="006726A1"/>
    <w:rsid w:val="00681206"/>
    <w:rsid w:val="00681569"/>
    <w:rsid w:val="00683A25"/>
    <w:rsid w:val="006971E1"/>
    <w:rsid w:val="006A21C2"/>
    <w:rsid w:val="006A4D50"/>
    <w:rsid w:val="006C2B4A"/>
    <w:rsid w:val="006D449A"/>
    <w:rsid w:val="006E0CBD"/>
    <w:rsid w:val="006E37E3"/>
    <w:rsid w:val="006E6E53"/>
    <w:rsid w:val="006E71BC"/>
    <w:rsid w:val="00710044"/>
    <w:rsid w:val="00715FFF"/>
    <w:rsid w:val="00720A3B"/>
    <w:rsid w:val="007229FF"/>
    <w:rsid w:val="007369BD"/>
    <w:rsid w:val="00763B45"/>
    <w:rsid w:val="00764B48"/>
    <w:rsid w:val="00776D7A"/>
    <w:rsid w:val="00780279"/>
    <w:rsid w:val="0079312F"/>
    <w:rsid w:val="007B041B"/>
    <w:rsid w:val="007B1B8F"/>
    <w:rsid w:val="007B321B"/>
    <w:rsid w:val="007B5BD7"/>
    <w:rsid w:val="007C51E1"/>
    <w:rsid w:val="007D3B38"/>
    <w:rsid w:val="007E0010"/>
    <w:rsid w:val="007E2EEB"/>
    <w:rsid w:val="007E36EA"/>
    <w:rsid w:val="007F12A5"/>
    <w:rsid w:val="00800AAD"/>
    <w:rsid w:val="00801A34"/>
    <w:rsid w:val="00802986"/>
    <w:rsid w:val="008044D6"/>
    <w:rsid w:val="00821550"/>
    <w:rsid w:val="00833904"/>
    <w:rsid w:val="00853C81"/>
    <w:rsid w:val="0086123F"/>
    <w:rsid w:val="008723DC"/>
    <w:rsid w:val="00876346"/>
    <w:rsid w:val="00876C56"/>
    <w:rsid w:val="00886D4B"/>
    <w:rsid w:val="00894004"/>
    <w:rsid w:val="008A1CD6"/>
    <w:rsid w:val="008A38A4"/>
    <w:rsid w:val="008A5F74"/>
    <w:rsid w:val="008B0A5D"/>
    <w:rsid w:val="008B4E8E"/>
    <w:rsid w:val="008D1E10"/>
    <w:rsid w:val="008E26C6"/>
    <w:rsid w:val="008F51BE"/>
    <w:rsid w:val="00902FB3"/>
    <w:rsid w:val="00933CA2"/>
    <w:rsid w:val="009501AC"/>
    <w:rsid w:val="00953B24"/>
    <w:rsid w:val="009545DF"/>
    <w:rsid w:val="00964B20"/>
    <w:rsid w:val="00972A93"/>
    <w:rsid w:val="0097432B"/>
    <w:rsid w:val="00974429"/>
    <w:rsid w:val="009846A4"/>
    <w:rsid w:val="00984A41"/>
    <w:rsid w:val="00995E2E"/>
    <w:rsid w:val="00997416"/>
    <w:rsid w:val="009978F9"/>
    <w:rsid w:val="009A340C"/>
    <w:rsid w:val="009B6400"/>
    <w:rsid w:val="009C0FAE"/>
    <w:rsid w:val="009E0FD6"/>
    <w:rsid w:val="009E5544"/>
    <w:rsid w:val="009F0039"/>
    <w:rsid w:val="009F31F3"/>
    <w:rsid w:val="00A0207E"/>
    <w:rsid w:val="00A14E91"/>
    <w:rsid w:val="00A24082"/>
    <w:rsid w:val="00A34166"/>
    <w:rsid w:val="00A64D3A"/>
    <w:rsid w:val="00A66296"/>
    <w:rsid w:val="00A70809"/>
    <w:rsid w:val="00A70A0A"/>
    <w:rsid w:val="00A7743D"/>
    <w:rsid w:val="00A91B43"/>
    <w:rsid w:val="00AA30FB"/>
    <w:rsid w:val="00AE0CA5"/>
    <w:rsid w:val="00AF1AEA"/>
    <w:rsid w:val="00B07E63"/>
    <w:rsid w:val="00B31F4E"/>
    <w:rsid w:val="00B33683"/>
    <w:rsid w:val="00B34FA0"/>
    <w:rsid w:val="00B50ECF"/>
    <w:rsid w:val="00B65514"/>
    <w:rsid w:val="00B8078E"/>
    <w:rsid w:val="00BA04FD"/>
    <w:rsid w:val="00BA436D"/>
    <w:rsid w:val="00BC0691"/>
    <w:rsid w:val="00BC73AA"/>
    <w:rsid w:val="00BE3658"/>
    <w:rsid w:val="00C329FD"/>
    <w:rsid w:val="00C40223"/>
    <w:rsid w:val="00C41772"/>
    <w:rsid w:val="00C47A0C"/>
    <w:rsid w:val="00C608BC"/>
    <w:rsid w:val="00C83276"/>
    <w:rsid w:val="00C86A03"/>
    <w:rsid w:val="00CA1998"/>
    <w:rsid w:val="00CA19B0"/>
    <w:rsid w:val="00CA721C"/>
    <w:rsid w:val="00CB0D14"/>
    <w:rsid w:val="00CB4537"/>
    <w:rsid w:val="00CD283E"/>
    <w:rsid w:val="00CD6429"/>
    <w:rsid w:val="00CD6F63"/>
    <w:rsid w:val="00D1793A"/>
    <w:rsid w:val="00D35256"/>
    <w:rsid w:val="00D357EB"/>
    <w:rsid w:val="00D46069"/>
    <w:rsid w:val="00D60DD4"/>
    <w:rsid w:val="00D71370"/>
    <w:rsid w:val="00D94B55"/>
    <w:rsid w:val="00D95EFF"/>
    <w:rsid w:val="00DB7E8E"/>
    <w:rsid w:val="00DC0C44"/>
    <w:rsid w:val="00DD12F9"/>
    <w:rsid w:val="00DD177B"/>
    <w:rsid w:val="00DE172E"/>
    <w:rsid w:val="00DE7F73"/>
    <w:rsid w:val="00E11D2D"/>
    <w:rsid w:val="00E1381A"/>
    <w:rsid w:val="00E6142C"/>
    <w:rsid w:val="00E6585A"/>
    <w:rsid w:val="00E67DB8"/>
    <w:rsid w:val="00E9076D"/>
    <w:rsid w:val="00E91636"/>
    <w:rsid w:val="00EB3C24"/>
    <w:rsid w:val="00EC045C"/>
    <w:rsid w:val="00EC668E"/>
    <w:rsid w:val="00EC775E"/>
    <w:rsid w:val="00ED51E5"/>
    <w:rsid w:val="00EF25C8"/>
    <w:rsid w:val="00F00DD1"/>
    <w:rsid w:val="00F10C03"/>
    <w:rsid w:val="00F2284A"/>
    <w:rsid w:val="00F23C20"/>
    <w:rsid w:val="00F26675"/>
    <w:rsid w:val="00F4647C"/>
    <w:rsid w:val="00F63BDE"/>
    <w:rsid w:val="00F669A8"/>
    <w:rsid w:val="00F820B4"/>
    <w:rsid w:val="00F97F80"/>
    <w:rsid w:val="00FA1F7C"/>
    <w:rsid w:val="00FA3A49"/>
    <w:rsid w:val="00FB13EB"/>
    <w:rsid w:val="00FB27AB"/>
    <w:rsid w:val="00FF03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5DA3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outlineLvl w:val="0"/>
    </w:pPr>
  </w:style>
  <w:style w:type="paragraph" w:styleId="BalloonText">
    <w:name w:val="Balloon Text"/>
    <w:basedOn w:val="Normal"/>
    <w:link w:val="BalloonTextChar"/>
    <w:rsid w:val="00AF1AEA"/>
    <w:rPr>
      <w:rFonts w:ascii="Tahoma" w:hAnsi="Tahoma" w:cs="Tahoma"/>
      <w:sz w:val="16"/>
      <w:szCs w:val="16"/>
    </w:rPr>
  </w:style>
  <w:style w:type="character" w:customStyle="1" w:styleId="BalloonTextChar">
    <w:name w:val="Balloon Text Char"/>
    <w:link w:val="BalloonText"/>
    <w:rsid w:val="00AF1AEA"/>
    <w:rPr>
      <w:rFonts w:ascii="Tahoma" w:hAnsi="Tahoma" w:cs="Tahoma"/>
      <w:sz w:val="16"/>
      <w:szCs w:val="16"/>
    </w:rPr>
  </w:style>
  <w:style w:type="paragraph" w:styleId="Header">
    <w:name w:val="header"/>
    <w:basedOn w:val="Normal"/>
    <w:link w:val="HeaderChar"/>
    <w:rsid w:val="00ED51E5"/>
    <w:pPr>
      <w:tabs>
        <w:tab w:val="center" w:pos="4680"/>
        <w:tab w:val="right" w:pos="9360"/>
      </w:tabs>
    </w:pPr>
  </w:style>
  <w:style w:type="character" w:customStyle="1" w:styleId="HeaderChar">
    <w:name w:val="Header Char"/>
    <w:link w:val="Header"/>
    <w:rsid w:val="00ED51E5"/>
    <w:rPr>
      <w:rFonts w:ascii="Courier" w:hAnsi="Courier"/>
      <w:sz w:val="24"/>
      <w:szCs w:val="24"/>
    </w:rPr>
  </w:style>
  <w:style w:type="paragraph" w:styleId="Footer">
    <w:name w:val="footer"/>
    <w:basedOn w:val="Normal"/>
    <w:link w:val="FooterChar"/>
    <w:rsid w:val="00ED51E5"/>
    <w:pPr>
      <w:tabs>
        <w:tab w:val="center" w:pos="4680"/>
        <w:tab w:val="right" w:pos="9360"/>
      </w:tabs>
    </w:pPr>
  </w:style>
  <w:style w:type="character" w:customStyle="1" w:styleId="FooterChar">
    <w:name w:val="Footer Char"/>
    <w:link w:val="Footer"/>
    <w:rsid w:val="00ED51E5"/>
    <w:rPr>
      <w:rFonts w:ascii="Courier" w:hAnsi="Courier"/>
      <w:sz w:val="24"/>
      <w:szCs w:val="24"/>
    </w:rPr>
  </w:style>
  <w:style w:type="character" w:styleId="Hyperlink">
    <w:name w:val="Hyperlink"/>
    <w:rsid w:val="00044F37"/>
    <w:rPr>
      <w:color w:val="0000FF"/>
      <w:u w:val="single"/>
    </w:rPr>
  </w:style>
  <w:style w:type="paragraph" w:customStyle="1" w:styleId="psection-2">
    <w:name w:val="psection-2"/>
    <w:basedOn w:val="Normal"/>
    <w:rsid w:val="00CA1998"/>
    <w:pPr>
      <w:widowControl/>
      <w:autoSpaceDE/>
      <w:autoSpaceDN/>
      <w:adjustRightInd/>
      <w:spacing w:after="150"/>
      <w:ind w:left="240"/>
    </w:pPr>
    <w:rPr>
      <w:rFonts w:ascii="Times New Roman" w:hAnsi="Times New Roman"/>
    </w:rPr>
  </w:style>
  <w:style w:type="paragraph" w:customStyle="1" w:styleId="Default">
    <w:name w:val="Default"/>
    <w:rsid w:val="004F12D2"/>
    <w:pPr>
      <w:autoSpaceDE w:val="0"/>
      <w:autoSpaceDN w:val="0"/>
      <w:adjustRightInd w:val="0"/>
    </w:pPr>
    <w:rPr>
      <w:rFonts w:ascii="Helvetica World" w:hAnsi="Helvetica World" w:cs="Helvetica World"/>
      <w:color w:val="000000"/>
      <w:sz w:val="24"/>
      <w:szCs w:val="24"/>
    </w:rPr>
  </w:style>
  <w:style w:type="table" w:styleId="TableGrid">
    <w:name w:val="Table Grid"/>
    <w:basedOn w:val="TableNormal"/>
    <w:rsid w:val="00BA0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58E6"/>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privacy-disclosure/privacy-impact-assessments-pia"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DD4FC-8A26-4A44-B847-68C2FB2D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2025-08-05T12:47:00Z</dcterms:created>
  <dcterms:modified xsi:type="dcterms:W3CDTF">2025-08-05T13:39:00Z</dcterms:modified>
</cp:coreProperties>
</file>