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936" w:rsidRPr="003573DA" w:rsidP="006A4EEE" w14:paraId="63979D68" w14:textId="3A9732DA">
      <w:pPr>
        <w:jc w:val="center"/>
        <w:rPr>
          <w:color w:val="000000" w:themeColor="text1"/>
        </w:rPr>
      </w:pPr>
      <w:r w:rsidRPr="003573DA">
        <w:rPr>
          <w:color w:val="000000" w:themeColor="text1"/>
        </w:rPr>
        <w:t>SUPPORTING STATEMENT FOR</w:t>
      </w:r>
    </w:p>
    <w:p w:rsidR="006A4EEE" w:rsidRPr="003573DA" w:rsidP="006A4EEE" w14:paraId="67E9FC5D" w14:textId="48A0498A">
      <w:pPr>
        <w:jc w:val="center"/>
        <w:rPr>
          <w:color w:val="000000" w:themeColor="text1"/>
        </w:rPr>
      </w:pPr>
      <w:r w:rsidRPr="003573DA">
        <w:rPr>
          <w:color w:val="000000" w:themeColor="text1"/>
        </w:rPr>
        <w:t>Office of Biometric Identity Management Biometric Data Collection</w:t>
      </w:r>
    </w:p>
    <w:p w:rsidR="006A4EEE" w:rsidRPr="003573DA" w:rsidP="006A4EEE" w14:paraId="49083AD2" w14:textId="78627A93">
      <w:pPr>
        <w:jc w:val="center"/>
        <w:rPr>
          <w:color w:val="000000" w:themeColor="text1"/>
        </w:rPr>
      </w:pPr>
      <w:r w:rsidRPr="003573DA">
        <w:rPr>
          <w:color w:val="000000" w:themeColor="text1"/>
        </w:rPr>
        <w:t xml:space="preserve">OMB Control No.: </w:t>
      </w:r>
      <w:r w:rsidR="005A0FC0">
        <w:rPr>
          <w:color w:val="000000" w:themeColor="text1"/>
        </w:rPr>
        <w:t>1601-NEW</w:t>
      </w:r>
      <w:r w:rsidRPr="003573DA" w:rsidR="007C0AA0">
        <w:rPr>
          <w:color w:val="000000" w:themeColor="text1"/>
        </w:rPr>
        <w:t xml:space="preserve"> </w:t>
      </w:r>
    </w:p>
    <w:p w:rsidR="006A4EEE" w:rsidRPr="003573DA" w:rsidP="006A4EEE" w14:paraId="665010CF" w14:textId="77777777">
      <w:pPr>
        <w:jc w:val="center"/>
        <w:rPr>
          <w:color w:val="000000" w:themeColor="text1"/>
        </w:rPr>
      </w:pPr>
      <w:r w:rsidRPr="003573DA">
        <w:rPr>
          <w:color w:val="000000" w:themeColor="text1"/>
        </w:rPr>
        <w:t xml:space="preserve">COLLECTION INSTRUMENT(S): </w:t>
      </w:r>
    </w:p>
    <w:p w:rsidR="008D4189" w:rsidRPr="003573DA" w:rsidP="139F972C" w14:paraId="486CF5B3" w14:textId="49CA94A8">
      <w:pPr>
        <w:rPr>
          <w:color w:val="000000" w:themeColor="text1"/>
        </w:rPr>
      </w:pPr>
      <w:r w:rsidRPr="003573DA">
        <w:rPr>
          <w:color w:val="000000" w:themeColor="text1"/>
        </w:rPr>
        <w:t xml:space="preserve">DHS OBIM will not </w:t>
      </w:r>
      <w:r w:rsidRPr="003573DA" w:rsidR="657172EA">
        <w:rPr>
          <w:color w:val="000000" w:themeColor="text1"/>
        </w:rPr>
        <w:t xml:space="preserve">conduct </w:t>
      </w:r>
      <w:r w:rsidRPr="003573DA">
        <w:rPr>
          <w:color w:val="000000" w:themeColor="text1"/>
        </w:rPr>
        <w:t xml:space="preserve">any of the </w:t>
      </w:r>
      <w:r w:rsidRPr="003573DA" w:rsidR="4072EAC5">
        <w:rPr>
          <w:color w:val="000000" w:themeColor="text1"/>
        </w:rPr>
        <w:t>biometric collection</w:t>
      </w:r>
      <w:r w:rsidRPr="003573DA" w:rsidR="300F1735">
        <w:rPr>
          <w:color w:val="000000" w:themeColor="text1"/>
        </w:rPr>
        <w:t>s</w:t>
      </w:r>
      <w:r w:rsidRPr="003573DA" w:rsidR="4072EAC5">
        <w:rPr>
          <w:color w:val="000000" w:themeColor="text1"/>
        </w:rPr>
        <w:t xml:space="preserve"> itself</w:t>
      </w:r>
      <w:r w:rsidRPr="003573DA">
        <w:rPr>
          <w:color w:val="000000" w:themeColor="text1"/>
        </w:rPr>
        <w:t xml:space="preserve">. OBIM </w:t>
      </w:r>
      <w:r w:rsidRPr="003573DA" w:rsidR="657172EA">
        <w:rPr>
          <w:color w:val="000000" w:themeColor="text1"/>
        </w:rPr>
        <w:t xml:space="preserve">has agreements with </w:t>
      </w:r>
      <w:r w:rsidRPr="003573DA" w:rsidR="4D87C40F">
        <w:rPr>
          <w:color w:val="000000" w:themeColor="text1"/>
        </w:rPr>
        <w:t>performers, like JHU</w:t>
      </w:r>
      <w:r w:rsidRPr="003573DA" w:rsidR="0011211F">
        <w:rPr>
          <w:color w:val="000000" w:themeColor="text1"/>
        </w:rPr>
        <w:t xml:space="preserve"> </w:t>
      </w:r>
      <w:r w:rsidRPr="003573DA" w:rsidR="4D87C40F">
        <w:rPr>
          <w:color w:val="000000" w:themeColor="text1"/>
        </w:rPr>
        <w:t>APL,</w:t>
      </w:r>
      <w:r w:rsidRPr="003573DA" w:rsidR="00E7446B">
        <w:rPr>
          <w:color w:val="000000" w:themeColor="text1"/>
        </w:rPr>
        <w:t xml:space="preserve"> NIST, and DHS S&amp;T,</w:t>
      </w:r>
      <w:r w:rsidRPr="003573DA" w:rsidR="4D87C40F">
        <w:rPr>
          <w:color w:val="000000" w:themeColor="text1"/>
        </w:rPr>
        <w:t xml:space="preserve"> and </w:t>
      </w:r>
      <w:r w:rsidRPr="003573DA" w:rsidR="657172EA">
        <w:rPr>
          <w:color w:val="000000" w:themeColor="text1"/>
        </w:rPr>
        <w:t xml:space="preserve">will be </w:t>
      </w:r>
      <w:r w:rsidRPr="003573DA" w:rsidR="17B9C448">
        <w:rPr>
          <w:color w:val="000000" w:themeColor="text1"/>
        </w:rPr>
        <w:t>responsible fo</w:t>
      </w:r>
      <w:r w:rsidRPr="003573DA" w:rsidR="00F04BA1">
        <w:rPr>
          <w:color w:val="000000" w:themeColor="text1"/>
        </w:rPr>
        <w:t xml:space="preserve">r </w:t>
      </w:r>
      <w:r w:rsidRPr="003573DA" w:rsidR="4072EAC5">
        <w:rPr>
          <w:color w:val="000000" w:themeColor="text1"/>
        </w:rPr>
        <w:t>collect</w:t>
      </w:r>
      <w:r w:rsidRPr="003573DA" w:rsidR="17B9C448">
        <w:rPr>
          <w:color w:val="000000" w:themeColor="text1"/>
        </w:rPr>
        <w:t>ing</w:t>
      </w:r>
      <w:r w:rsidRPr="003573DA" w:rsidR="4072EAC5">
        <w:rPr>
          <w:color w:val="000000" w:themeColor="text1"/>
        </w:rPr>
        <w:t xml:space="preserve"> relevant biometrics to answer questions about</w:t>
      </w:r>
      <w:r w:rsidRPr="003573DA">
        <w:rPr>
          <w:color w:val="000000" w:themeColor="text1"/>
        </w:rPr>
        <w:t xml:space="preserve"> biometri</w:t>
      </w:r>
      <w:r w:rsidRPr="003573DA" w:rsidR="4072EAC5">
        <w:rPr>
          <w:color w:val="000000" w:themeColor="text1"/>
        </w:rPr>
        <w:t>cs that OBIM has</w:t>
      </w:r>
      <w:r w:rsidRPr="003573DA" w:rsidR="657172EA">
        <w:rPr>
          <w:color w:val="000000" w:themeColor="text1"/>
        </w:rPr>
        <w:t xml:space="preserve">.  These groups </w:t>
      </w:r>
      <w:r w:rsidRPr="003573DA">
        <w:rPr>
          <w:color w:val="000000" w:themeColor="text1"/>
        </w:rPr>
        <w:t xml:space="preserve">will use </w:t>
      </w:r>
      <w:r w:rsidRPr="003573DA" w:rsidR="4072EAC5">
        <w:rPr>
          <w:color w:val="000000" w:themeColor="text1"/>
        </w:rPr>
        <w:t xml:space="preserve">collection </w:t>
      </w:r>
      <w:r w:rsidRPr="003573DA">
        <w:rPr>
          <w:color w:val="000000" w:themeColor="text1"/>
        </w:rPr>
        <w:t xml:space="preserve">devices that they have access to or that DHS </w:t>
      </w:r>
      <w:r w:rsidRPr="003573DA" w:rsidR="657172EA">
        <w:rPr>
          <w:color w:val="000000" w:themeColor="text1"/>
        </w:rPr>
        <w:t>components</w:t>
      </w:r>
      <w:r w:rsidRPr="003573DA">
        <w:rPr>
          <w:color w:val="000000" w:themeColor="text1"/>
        </w:rPr>
        <w:t xml:space="preserve"> use </w:t>
      </w:r>
      <w:r w:rsidRPr="003573DA" w:rsidR="657172EA">
        <w:rPr>
          <w:color w:val="000000" w:themeColor="text1"/>
        </w:rPr>
        <w:t xml:space="preserve">for </w:t>
      </w:r>
      <w:r w:rsidRPr="003573DA" w:rsidR="4072EAC5">
        <w:rPr>
          <w:color w:val="000000" w:themeColor="text1"/>
        </w:rPr>
        <w:t>biometric data</w:t>
      </w:r>
      <w:r w:rsidRPr="003573DA">
        <w:rPr>
          <w:color w:val="000000" w:themeColor="text1"/>
        </w:rPr>
        <w:t xml:space="preserve"> collection.  </w:t>
      </w:r>
      <w:r w:rsidRPr="003573DA" w:rsidR="17F5DBC8">
        <w:rPr>
          <w:color w:val="000000" w:themeColor="text1"/>
        </w:rPr>
        <w:t xml:space="preserve">In general, the biometric devices used in the studies produce images like those taken by cameras to produce images of </w:t>
      </w:r>
      <w:r w:rsidRPr="003573DA" w:rsidR="000A22D0">
        <w:rPr>
          <w:color w:val="000000" w:themeColor="text1"/>
        </w:rPr>
        <w:t>various biometric modalities</w:t>
      </w:r>
      <w:r w:rsidRPr="003573DA" w:rsidR="17F5DBC8">
        <w:rPr>
          <w:color w:val="000000" w:themeColor="text1"/>
        </w:rPr>
        <w:t xml:space="preserve">. </w:t>
      </w:r>
      <w:r w:rsidRPr="003573DA" w:rsidR="62FF3820">
        <w:rPr>
          <w:color w:val="000000" w:themeColor="text1"/>
        </w:rPr>
        <w:t>The</w:t>
      </w:r>
      <w:r w:rsidRPr="003573DA" w:rsidR="31C36CBE">
        <w:rPr>
          <w:color w:val="000000" w:themeColor="text1"/>
        </w:rPr>
        <w:t xml:space="preserve"> studies anticipate </w:t>
      </w:r>
      <w:r w:rsidRPr="003573DA" w:rsidR="39C5FC89">
        <w:rPr>
          <w:color w:val="000000" w:themeColor="text1"/>
        </w:rPr>
        <w:t xml:space="preserve">using different biometric equipment for the collection of contact fingerprints, palm, </w:t>
      </w:r>
      <w:r w:rsidRPr="003573DA" w:rsidR="69817106">
        <w:rPr>
          <w:color w:val="000000" w:themeColor="text1"/>
        </w:rPr>
        <w:t>face, and iris. Contact fingerprint and palm will be similar to ink collections, and voice collections will ut</w:t>
      </w:r>
      <w:r w:rsidRPr="003573DA" w:rsidR="31DDE7BA">
        <w:rPr>
          <w:color w:val="000000" w:themeColor="text1"/>
        </w:rPr>
        <w:t xml:space="preserve">ilize </w:t>
      </w:r>
      <w:r w:rsidRPr="003573DA" w:rsidR="69817106">
        <w:rPr>
          <w:color w:val="000000" w:themeColor="text1"/>
        </w:rPr>
        <w:t>microp</w:t>
      </w:r>
      <w:r w:rsidRPr="003573DA" w:rsidR="5DB1F3C6">
        <w:rPr>
          <w:color w:val="000000" w:themeColor="text1"/>
        </w:rPr>
        <w:t xml:space="preserve">hone/cellular </w:t>
      </w:r>
      <w:r w:rsidRPr="003573DA" w:rsidR="26306BEB">
        <w:rPr>
          <w:color w:val="000000" w:themeColor="text1"/>
        </w:rPr>
        <w:t xml:space="preserve">phone recording </w:t>
      </w:r>
      <w:r w:rsidRPr="003573DA" w:rsidR="5DB1F3C6">
        <w:rPr>
          <w:color w:val="000000" w:themeColor="text1"/>
        </w:rPr>
        <w:t xml:space="preserve">devices. </w:t>
      </w:r>
      <w:r w:rsidRPr="003573DA" w:rsidR="47DF07F7">
        <w:rPr>
          <w:color w:val="000000" w:themeColor="text1"/>
        </w:rPr>
        <w:t xml:space="preserve">There are no </w:t>
      </w:r>
      <w:r w:rsidRPr="003573DA" w:rsidR="2F033BBB">
        <w:rPr>
          <w:color w:val="000000" w:themeColor="text1"/>
        </w:rPr>
        <w:t>anticipate</w:t>
      </w:r>
      <w:r w:rsidRPr="003573DA" w:rsidR="2010B9CD">
        <w:rPr>
          <w:color w:val="000000" w:themeColor="text1"/>
        </w:rPr>
        <w:t>d</w:t>
      </w:r>
      <w:r w:rsidRPr="003573DA" w:rsidR="2F033BBB">
        <w:rPr>
          <w:color w:val="000000" w:themeColor="text1"/>
        </w:rPr>
        <w:t xml:space="preserve"> adverse outcomes from normal use of any of the fingerprint, face, </w:t>
      </w:r>
      <w:r w:rsidRPr="003573DA" w:rsidR="3FB9CA8D">
        <w:rPr>
          <w:color w:val="000000" w:themeColor="text1"/>
        </w:rPr>
        <w:t xml:space="preserve">palm, </w:t>
      </w:r>
      <w:r w:rsidRPr="003573DA" w:rsidR="004574E0">
        <w:rPr>
          <w:color w:val="000000" w:themeColor="text1"/>
        </w:rPr>
        <w:t>voice,</w:t>
      </w:r>
      <w:r w:rsidRPr="003573DA" w:rsidR="3FB9CA8D">
        <w:rPr>
          <w:color w:val="000000" w:themeColor="text1"/>
        </w:rPr>
        <w:t xml:space="preserve"> </w:t>
      </w:r>
      <w:r w:rsidRPr="003573DA" w:rsidR="2F033BBB">
        <w:rPr>
          <w:color w:val="000000" w:themeColor="text1"/>
        </w:rPr>
        <w:t xml:space="preserve">and iris biometric devices.  </w:t>
      </w:r>
    </w:p>
    <w:p w:rsidR="001A2ECB" w:rsidRPr="003573DA" w:rsidP="006A4EEE" w14:paraId="2A996243" w14:textId="72485681">
      <w:pPr>
        <w:rPr>
          <w:color w:val="000000" w:themeColor="text1"/>
        </w:rPr>
      </w:pPr>
      <w:r w:rsidRPr="003573DA">
        <w:rPr>
          <w:color w:val="000000" w:themeColor="text1"/>
        </w:rPr>
        <w:t xml:space="preserve">All commercial devices used in the study will have passed the usual tests for electronic devices offered for commercial sale and should not present any generic risks above those of any other electronic device (e.g., radio, TV, camera, etc.) that might be purchased by the general public. Any contactless prototype devices will be reviewed by </w:t>
      </w:r>
      <w:r w:rsidRPr="003573DA" w:rsidR="4FC1798E">
        <w:rPr>
          <w:color w:val="000000" w:themeColor="text1"/>
        </w:rPr>
        <w:t>a</w:t>
      </w:r>
      <w:r w:rsidRPr="003573DA">
        <w:rPr>
          <w:color w:val="000000" w:themeColor="text1"/>
        </w:rPr>
        <w:t xml:space="preserve"> device safety committee. The prototype devices will be evaluated to identify safety concerns related to their use. Safety assessments of the devices will consider the physical construction, mechanical operation, electrical system, and any other aspect with the potential to cause harm.  Optical components will be evaluated to verify that the devices are eye safe. Only the prototype devices approved by the device safety committee will be added to the study.</w:t>
      </w:r>
    </w:p>
    <w:p w:rsidR="4DA39220" w:rsidRPr="003573DA" w:rsidP="139F972C" w14:paraId="3A098A4A" w14:textId="6134558D">
      <w:pPr>
        <w:rPr>
          <w:color w:val="000000" w:themeColor="text1"/>
        </w:rPr>
      </w:pPr>
      <w:r w:rsidRPr="003573DA">
        <w:rPr>
          <w:color w:val="000000" w:themeColor="text1"/>
        </w:rPr>
        <w:t>Equipment/Devi</w:t>
      </w:r>
      <w:r w:rsidRPr="003573DA" w:rsidR="41E5F9FA">
        <w:rPr>
          <w:color w:val="000000" w:themeColor="text1"/>
        </w:rPr>
        <w:t>c</w:t>
      </w:r>
      <w:r w:rsidRPr="003573DA">
        <w:rPr>
          <w:color w:val="000000" w:themeColor="text1"/>
        </w:rPr>
        <w:t>e Details:</w:t>
      </w:r>
    </w:p>
    <w:p w:rsidR="006A4EEE" w:rsidRPr="003573DA" w:rsidP="006A4EEE" w14:paraId="3EF273E9" w14:textId="19D8858D">
      <w:pPr>
        <w:rPr>
          <w:color w:val="000000" w:themeColor="text1"/>
        </w:rPr>
      </w:pPr>
      <w:r w:rsidRPr="003573DA">
        <w:rPr>
          <w:color w:val="000000" w:themeColor="text1"/>
        </w:rPr>
        <w:t>Examples</w:t>
      </w:r>
      <w:r w:rsidRPr="003573DA" w:rsidR="5C433518">
        <w:rPr>
          <w:color w:val="000000" w:themeColor="text1"/>
        </w:rPr>
        <w:t xml:space="preserve"> of the </w:t>
      </w:r>
      <w:r w:rsidRPr="003573DA" w:rsidR="4C89AC01">
        <w:rPr>
          <w:color w:val="000000" w:themeColor="text1"/>
        </w:rPr>
        <w:t xml:space="preserve">Biometric </w:t>
      </w:r>
      <w:r w:rsidRPr="003573DA" w:rsidR="4072EAC5">
        <w:rPr>
          <w:color w:val="000000" w:themeColor="text1"/>
        </w:rPr>
        <w:t>data c</w:t>
      </w:r>
      <w:r w:rsidRPr="003573DA" w:rsidR="4C89AC01">
        <w:rPr>
          <w:color w:val="000000" w:themeColor="text1"/>
        </w:rPr>
        <w:t xml:space="preserve">ollection </w:t>
      </w:r>
      <w:r w:rsidRPr="003573DA" w:rsidR="4072EAC5">
        <w:rPr>
          <w:color w:val="000000" w:themeColor="text1"/>
        </w:rPr>
        <w:t>e</w:t>
      </w:r>
      <w:r w:rsidRPr="003573DA" w:rsidR="4C89AC01">
        <w:rPr>
          <w:color w:val="000000" w:themeColor="text1"/>
        </w:rPr>
        <w:t>quipment</w:t>
      </w:r>
      <w:r w:rsidRPr="003573DA" w:rsidR="5C433518">
        <w:rPr>
          <w:color w:val="000000" w:themeColor="text1"/>
        </w:rPr>
        <w:t xml:space="preserve"> are </w:t>
      </w:r>
      <w:r w:rsidRPr="003573DA">
        <w:rPr>
          <w:color w:val="000000" w:themeColor="text1"/>
        </w:rPr>
        <w:t>subsequently</w:t>
      </w:r>
      <w:r w:rsidRPr="003573DA" w:rsidR="5C433518">
        <w:rPr>
          <w:color w:val="000000" w:themeColor="text1"/>
        </w:rPr>
        <w:t xml:space="preserve"> </w:t>
      </w:r>
      <w:r w:rsidRPr="003573DA">
        <w:rPr>
          <w:color w:val="000000" w:themeColor="text1"/>
        </w:rPr>
        <w:t xml:space="preserve">listed </w:t>
      </w:r>
      <w:r w:rsidRPr="003573DA" w:rsidR="5C433518">
        <w:rPr>
          <w:color w:val="000000" w:themeColor="text1"/>
        </w:rPr>
        <w:t>and include</w:t>
      </w:r>
      <w:r w:rsidRPr="003573DA" w:rsidR="4072EAC5">
        <w:rPr>
          <w:color w:val="000000" w:themeColor="text1"/>
        </w:rPr>
        <w:t>,</w:t>
      </w:r>
      <w:r w:rsidRPr="003573DA" w:rsidR="5C433518">
        <w:rPr>
          <w:color w:val="000000" w:themeColor="text1"/>
        </w:rPr>
        <w:t xml:space="preserve"> but are not </w:t>
      </w:r>
      <w:r w:rsidRPr="003573DA" w:rsidR="4C89AC01">
        <w:rPr>
          <w:color w:val="000000" w:themeColor="text1"/>
        </w:rPr>
        <w:t>limited to</w:t>
      </w:r>
      <w:r w:rsidRPr="003573DA" w:rsidR="4072EAC5">
        <w:rPr>
          <w:color w:val="000000" w:themeColor="text1"/>
        </w:rPr>
        <w:t>,</w:t>
      </w:r>
      <w:r w:rsidRPr="003573DA" w:rsidR="46135A65">
        <w:rPr>
          <w:color w:val="000000" w:themeColor="text1"/>
        </w:rPr>
        <w:t xml:space="preserve"> the following vendor equipment</w:t>
      </w:r>
      <w:r w:rsidRPr="003573DA" w:rsidR="4C89AC01">
        <w:rPr>
          <w:color w:val="000000" w:themeColor="text1"/>
        </w:rPr>
        <w:t xml:space="preserve">: Contact Fingerprint collection equipment (e.g., </w:t>
      </w:r>
      <w:r w:rsidRPr="003573DA" w:rsidR="7E5ECB71">
        <w:rPr>
          <w:color w:val="000000" w:themeColor="text1"/>
        </w:rPr>
        <w:t>Crossmatch,</w:t>
      </w:r>
      <w:r w:rsidRPr="003573DA" w:rsidR="46135A65">
        <w:rPr>
          <w:color w:val="000000" w:themeColor="text1"/>
        </w:rPr>
        <w:t xml:space="preserve"> Kojak, </w:t>
      </w:r>
      <w:r w:rsidRPr="003573DA" w:rsidR="7E5ECB71">
        <w:rPr>
          <w:color w:val="000000" w:themeColor="text1"/>
        </w:rPr>
        <w:t>Grabba, Morpho, i3, NeoScan45</w:t>
      </w:r>
      <w:r w:rsidRPr="003573DA" w:rsidR="46135A65">
        <w:rPr>
          <w:color w:val="000000" w:themeColor="text1"/>
        </w:rPr>
        <w:t>,</w:t>
      </w:r>
      <w:r w:rsidRPr="003573DA" w:rsidR="7E5ECB71">
        <w:rPr>
          <w:color w:val="000000" w:themeColor="text1"/>
        </w:rPr>
        <w:t xml:space="preserve"> Ja</w:t>
      </w:r>
      <w:r w:rsidRPr="003573DA" w:rsidR="4072EAC5">
        <w:rPr>
          <w:color w:val="000000" w:themeColor="text1"/>
        </w:rPr>
        <w:t>v</w:t>
      </w:r>
      <w:r w:rsidRPr="003573DA" w:rsidR="7E5ECB71">
        <w:rPr>
          <w:color w:val="000000" w:themeColor="text1"/>
        </w:rPr>
        <w:t>elin XL, BioSled, Seek, Crossmatch SEEK II, MOSAIC</w:t>
      </w:r>
      <w:r w:rsidRPr="003573DA" w:rsidR="4072EAC5">
        <w:rPr>
          <w:color w:val="000000" w:themeColor="text1"/>
        </w:rPr>
        <w:t xml:space="preserve"> MCR</w:t>
      </w:r>
      <w:r w:rsidRPr="003573DA" w:rsidR="7E5ECB71">
        <w:rPr>
          <w:color w:val="000000" w:themeColor="text1"/>
        </w:rPr>
        <w:t xml:space="preserve">, U.are.U.5300), </w:t>
      </w:r>
      <w:r w:rsidRPr="003573DA" w:rsidR="4C89AC01">
        <w:rPr>
          <w:color w:val="000000" w:themeColor="text1"/>
        </w:rPr>
        <w:t>Contactless Fingerprint Collection Equipment (e.g.,</w:t>
      </w:r>
      <w:r w:rsidRPr="003573DA" w:rsidR="5F0E0256">
        <w:rPr>
          <w:color w:val="000000" w:themeColor="text1"/>
        </w:rPr>
        <w:t xml:space="preserve">  </w:t>
      </w:r>
      <w:r w:rsidRPr="003573DA" w:rsidR="11B1CA73">
        <w:rPr>
          <w:color w:val="000000" w:themeColor="text1"/>
        </w:rPr>
        <w:t>iPhone</w:t>
      </w:r>
      <w:r w:rsidRPr="003573DA" w:rsidR="4072EAC5">
        <w:rPr>
          <w:color w:val="000000" w:themeColor="text1"/>
        </w:rPr>
        <w:t xml:space="preserve"> camera</w:t>
      </w:r>
      <w:r w:rsidRPr="003573DA" w:rsidR="5F0E0256">
        <w:rPr>
          <w:color w:val="000000" w:themeColor="text1"/>
        </w:rPr>
        <w:t xml:space="preserve">, </w:t>
      </w:r>
      <w:r w:rsidRPr="003573DA" w:rsidR="005139EA">
        <w:rPr>
          <w:color w:val="000000" w:themeColor="text1"/>
        </w:rPr>
        <w:t>A</w:t>
      </w:r>
      <w:r w:rsidRPr="003573DA" w:rsidR="5F0E0256">
        <w:rPr>
          <w:color w:val="000000" w:themeColor="text1"/>
        </w:rPr>
        <w:t>ndroid</w:t>
      </w:r>
      <w:r w:rsidRPr="003573DA" w:rsidR="4072EAC5">
        <w:rPr>
          <w:color w:val="000000" w:themeColor="text1"/>
        </w:rPr>
        <w:t xml:space="preserve"> camera, Idemia</w:t>
      </w:r>
      <w:r w:rsidRPr="003573DA" w:rsidR="5C433518">
        <w:rPr>
          <w:color w:val="000000" w:themeColor="text1"/>
        </w:rPr>
        <w:t>)</w:t>
      </w:r>
      <w:r w:rsidRPr="003573DA" w:rsidR="5F0E0256">
        <w:rPr>
          <w:color w:val="000000" w:themeColor="text1"/>
        </w:rPr>
        <w:t xml:space="preserve">, </w:t>
      </w:r>
      <w:r w:rsidRPr="003573DA" w:rsidR="4C89AC01">
        <w:rPr>
          <w:color w:val="000000" w:themeColor="text1"/>
        </w:rPr>
        <w:t xml:space="preserve">Face Matching Collection software devices (e.g., </w:t>
      </w:r>
      <w:r w:rsidRPr="003573DA" w:rsidR="33DBEFC1">
        <w:rPr>
          <w:color w:val="000000" w:themeColor="text1"/>
        </w:rPr>
        <w:t>iPhone</w:t>
      </w:r>
      <w:r w:rsidRPr="003573DA" w:rsidR="4072EAC5">
        <w:rPr>
          <w:color w:val="000000" w:themeColor="text1"/>
        </w:rPr>
        <w:t xml:space="preserve"> camera</w:t>
      </w:r>
      <w:r w:rsidRPr="003573DA" w:rsidR="5C433518">
        <w:rPr>
          <w:color w:val="000000" w:themeColor="text1"/>
        </w:rPr>
        <w:t>, android</w:t>
      </w:r>
      <w:r w:rsidRPr="003573DA" w:rsidR="4072EAC5">
        <w:rPr>
          <w:color w:val="000000" w:themeColor="text1"/>
        </w:rPr>
        <w:t xml:space="preserve"> camera</w:t>
      </w:r>
      <w:r w:rsidRPr="003573DA" w:rsidR="5C433518">
        <w:rPr>
          <w:color w:val="000000" w:themeColor="text1"/>
        </w:rPr>
        <w:t xml:space="preserve">, </w:t>
      </w:r>
      <w:r w:rsidRPr="003573DA" w:rsidR="5527C894">
        <w:rPr>
          <w:color w:val="000000" w:themeColor="text1"/>
        </w:rPr>
        <w:t>Logitech, Axis, Iris ID, Idemia, Crossmatch SEEK II</w:t>
      </w:r>
      <w:r w:rsidRPr="003573DA" w:rsidR="4072EAC5">
        <w:rPr>
          <w:color w:val="000000" w:themeColor="text1"/>
        </w:rPr>
        <w:t>,</w:t>
      </w:r>
      <w:r w:rsidRPr="003573DA" w:rsidR="5527C894">
        <w:rPr>
          <w:color w:val="000000" w:themeColor="text1"/>
        </w:rPr>
        <w:t xml:space="preserve"> Canon EOS, Dell Ultrasharp</w:t>
      </w:r>
      <w:r w:rsidRPr="003573DA" w:rsidR="4C89AC01">
        <w:rPr>
          <w:color w:val="000000" w:themeColor="text1"/>
        </w:rPr>
        <w:t>), Iris Collection devices (e.g.,</w:t>
      </w:r>
      <w:r w:rsidRPr="003573DA" w:rsidR="5C433518">
        <w:rPr>
          <w:color w:val="000000" w:themeColor="text1"/>
        </w:rPr>
        <w:t xml:space="preserve"> </w:t>
      </w:r>
      <w:r w:rsidRPr="003573DA" w:rsidR="4072EAC5">
        <w:rPr>
          <w:color w:val="000000" w:themeColor="text1"/>
        </w:rPr>
        <w:t>Javelin XL</w:t>
      </w:r>
      <w:r w:rsidRPr="003573DA" w:rsidR="4C89AC01">
        <w:rPr>
          <w:color w:val="000000" w:themeColor="text1"/>
        </w:rPr>
        <w:t>)</w:t>
      </w:r>
      <w:r w:rsidRPr="003573DA" w:rsidR="79066091">
        <w:rPr>
          <w:color w:val="000000" w:themeColor="text1"/>
        </w:rPr>
        <w:t>, Voice collection devices (e.g., computer microphone, cellular phone microphone</w:t>
      </w:r>
      <w:r w:rsidRPr="003573DA" w:rsidR="2A6DEACD">
        <w:rPr>
          <w:color w:val="000000" w:themeColor="text1"/>
        </w:rPr>
        <w:t>)</w:t>
      </w:r>
      <w:r w:rsidRPr="003573DA" w:rsidR="4C89AC01">
        <w:rPr>
          <w:color w:val="000000" w:themeColor="text1"/>
        </w:rPr>
        <w:t>.</w:t>
      </w:r>
      <w:r w:rsidRPr="003573DA" w:rsidR="56A4BCBE">
        <w:rPr>
          <w:color w:val="000000" w:themeColor="text1"/>
        </w:rPr>
        <w:t xml:space="preserve"> </w:t>
      </w:r>
    </w:p>
    <w:p w:rsidR="009E5C35" w:rsidRPr="003573DA" w:rsidP="006A4EEE" w14:paraId="5B41C5F1" w14:textId="77777777">
      <w:pPr>
        <w:rPr>
          <w:color w:val="000000" w:themeColor="text1"/>
        </w:rPr>
      </w:pPr>
    </w:p>
    <w:p w:rsidR="00C975F6" w:rsidRPr="003573DA" w14:paraId="3D34F1A5" w14:textId="77777777">
      <w:pPr>
        <w:rPr>
          <w:b/>
          <w:bCs/>
          <w:color w:val="000000" w:themeColor="text1"/>
        </w:rPr>
      </w:pPr>
      <w:r w:rsidRPr="003573DA">
        <w:rPr>
          <w:b/>
          <w:bCs/>
          <w:color w:val="000000" w:themeColor="text1"/>
        </w:rPr>
        <w:t xml:space="preserve">B. Collection of Information Employment Statistical Methods </w:t>
      </w:r>
    </w:p>
    <w:p w:rsidR="006A4EEE" w:rsidRPr="003573DA" w14:paraId="649CBA6A" w14:textId="3B33619F">
      <w:pPr>
        <w:rPr>
          <w:color w:val="000000" w:themeColor="text1"/>
        </w:rPr>
      </w:pPr>
      <w:r w:rsidRPr="003573DA">
        <w:rPr>
          <w:color w:val="000000" w:themeColor="text1"/>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006A4EEE" w:rsidRPr="003573DA" w14:paraId="494D548E" w14:textId="29EE81A0">
      <w:pPr>
        <w:rPr>
          <w:color w:val="000000" w:themeColor="text1"/>
        </w:rPr>
      </w:pPr>
      <w:r w:rsidRPr="003573DA">
        <w:rPr>
          <w:color w:val="000000" w:themeColor="text1"/>
        </w:rPr>
        <w:t xml:space="preserve">1. Describe (including a numerical estimate) the potential respondent universe and any sampling or other respondent selection methods to be used. Data on the number of entities (e.g., establishments, </w:t>
      </w:r>
      <w:r w:rsidRPr="003573DA">
        <w:rPr>
          <w:color w:val="000000" w:themeColor="text1"/>
        </w:rPr>
        <w:t xml:space="preserve">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743DAD" w:rsidRPr="003573DA" w14:paraId="4E971ED3" w14:textId="6E005AEC">
      <w:pPr>
        <w:rPr>
          <w:color w:val="000000" w:themeColor="text1"/>
        </w:rPr>
      </w:pPr>
      <w:r w:rsidRPr="003573DA">
        <w:rPr>
          <w:color w:val="000000" w:themeColor="text1"/>
        </w:rPr>
        <w:t xml:space="preserve">Because biometrics are </w:t>
      </w:r>
      <w:r w:rsidRPr="003573DA" w:rsidR="00816E70">
        <w:rPr>
          <w:color w:val="000000" w:themeColor="text1"/>
        </w:rPr>
        <w:t>made up of a</w:t>
      </w:r>
      <w:r w:rsidRPr="003573DA">
        <w:rPr>
          <w:color w:val="000000" w:themeColor="text1"/>
        </w:rPr>
        <w:t xml:space="preserve"> variety of physical, behavioral, </w:t>
      </w:r>
      <w:r w:rsidRPr="003573DA" w:rsidR="00286F3C">
        <w:rPr>
          <w:color w:val="000000" w:themeColor="text1"/>
        </w:rPr>
        <w:t>and</w:t>
      </w:r>
      <w:r w:rsidRPr="003573DA">
        <w:rPr>
          <w:color w:val="000000" w:themeColor="text1"/>
        </w:rPr>
        <w:t xml:space="preserve"> physiological characteristics</w:t>
      </w:r>
      <w:r w:rsidRPr="003573DA" w:rsidR="00286F3C">
        <w:rPr>
          <w:color w:val="000000" w:themeColor="text1"/>
        </w:rPr>
        <w:t>,</w:t>
      </w:r>
      <w:r w:rsidRPr="003573DA">
        <w:rPr>
          <w:color w:val="000000" w:themeColor="text1"/>
        </w:rPr>
        <w:t xml:space="preserve"> the breadth of type</w:t>
      </w:r>
      <w:r w:rsidRPr="003573DA" w:rsidR="00286F3C">
        <w:rPr>
          <w:color w:val="000000" w:themeColor="text1"/>
        </w:rPr>
        <w:t>s</w:t>
      </w:r>
      <w:r w:rsidRPr="003573DA">
        <w:rPr>
          <w:color w:val="000000" w:themeColor="text1"/>
        </w:rPr>
        <w:t xml:space="preserve"> of biometric characteristics </w:t>
      </w:r>
      <w:r w:rsidRPr="003573DA" w:rsidR="00286F3C">
        <w:rPr>
          <w:color w:val="000000" w:themeColor="text1"/>
        </w:rPr>
        <w:t xml:space="preserve">that could be collected to answer relevant OBIM biometric questions </w:t>
      </w:r>
      <w:r w:rsidRPr="003573DA">
        <w:rPr>
          <w:color w:val="000000" w:themeColor="text1"/>
        </w:rPr>
        <w:t xml:space="preserve">is wide. </w:t>
      </w:r>
      <w:r w:rsidRPr="003573DA" w:rsidR="00286F3C">
        <w:rPr>
          <w:color w:val="000000" w:themeColor="text1"/>
        </w:rPr>
        <w:t>Thus,</w:t>
      </w:r>
      <w:r w:rsidRPr="003573DA">
        <w:rPr>
          <w:color w:val="000000" w:themeColor="text1"/>
        </w:rPr>
        <w:t xml:space="preserve"> the OBIM OMB</w:t>
      </w:r>
      <w:r w:rsidRPr="003573DA" w:rsidR="00286F3C">
        <w:rPr>
          <w:color w:val="000000" w:themeColor="text1"/>
        </w:rPr>
        <w:t xml:space="preserve"> generic</w:t>
      </w:r>
      <w:r w:rsidRPr="003573DA">
        <w:rPr>
          <w:color w:val="000000" w:themeColor="text1"/>
        </w:rPr>
        <w:t xml:space="preserve"> submission for approval to </w:t>
      </w:r>
      <w:r w:rsidRPr="003573DA" w:rsidR="00286F3C">
        <w:rPr>
          <w:color w:val="000000" w:themeColor="text1"/>
        </w:rPr>
        <w:t>collect</w:t>
      </w:r>
      <w:r w:rsidRPr="003573DA">
        <w:rPr>
          <w:color w:val="000000" w:themeColor="text1"/>
        </w:rPr>
        <w:t xml:space="preserve"> biometrics is </w:t>
      </w:r>
      <w:r w:rsidRPr="003573DA" w:rsidR="00286F3C">
        <w:rPr>
          <w:color w:val="000000" w:themeColor="text1"/>
        </w:rPr>
        <w:t>broad</w:t>
      </w:r>
      <w:r w:rsidRPr="003573DA">
        <w:rPr>
          <w:color w:val="000000" w:themeColor="text1"/>
        </w:rPr>
        <w:t xml:space="preserve"> </w:t>
      </w:r>
      <w:r w:rsidRPr="003573DA" w:rsidR="00286F3C">
        <w:rPr>
          <w:color w:val="000000" w:themeColor="text1"/>
        </w:rPr>
        <w:t xml:space="preserve">and will include different biometrics </w:t>
      </w:r>
      <w:r w:rsidRPr="003573DA">
        <w:rPr>
          <w:color w:val="000000" w:themeColor="text1"/>
        </w:rPr>
        <w:t xml:space="preserve">depending on the need of DHS components </w:t>
      </w:r>
      <w:r w:rsidRPr="003573DA" w:rsidR="00286F3C">
        <w:rPr>
          <w:color w:val="000000" w:themeColor="text1"/>
        </w:rPr>
        <w:t>and what current</w:t>
      </w:r>
      <w:r w:rsidRPr="003573DA">
        <w:rPr>
          <w:color w:val="000000" w:themeColor="text1"/>
        </w:rPr>
        <w:t xml:space="preserve"> threats to homeland security </w:t>
      </w:r>
      <w:r w:rsidRPr="003573DA" w:rsidR="00286F3C">
        <w:rPr>
          <w:color w:val="000000" w:themeColor="text1"/>
        </w:rPr>
        <w:t xml:space="preserve">are.  </w:t>
      </w:r>
      <w:r w:rsidRPr="003573DA" w:rsidR="001A2ECB">
        <w:rPr>
          <w:color w:val="000000" w:themeColor="text1"/>
        </w:rPr>
        <w:t>To</w:t>
      </w:r>
      <w:r w:rsidRPr="003573DA" w:rsidR="00286F3C">
        <w:rPr>
          <w:color w:val="000000" w:themeColor="text1"/>
        </w:rPr>
        <w:t xml:space="preserve"> speak to the possible data analysis that can happen as part of this generic submission, OBIM Futures Identity (FI) will lay out potential groups of people and types of biometric collection that could be sampled from </w:t>
      </w:r>
      <w:r w:rsidRPr="003573DA" w:rsidR="00FE2A18">
        <w:rPr>
          <w:color w:val="000000" w:themeColor="text1"/>
        </w:rPr>
        <w:t>to</w:t>
      </w:r>
      <w:r w:rsidRPr="003573DA" w:rsidR="00286F3C">
        <w:rPr>
          <w:color w:val="000000" w:themeColor="text1"/>
        </w:rPr>
        <w:t xml:space="preserve"> answer relevant DHS questions.  In OBIM FI’s generic OMB submission, OBIM FI listed </w:t>
      </w:r>
      <w:r w:rsidRPr="003573DA">
        <w:rPr>
          <w:color w:val="000000" w:themeColor="text1"/>
        </w:rPr>
        <w:t xml:space="preserve">1000 subjects </w:t>
      </w:r>
      <w:r w:rsidRPr="003573DA" w:rsidR="00286F3C">
        <w:rPr>
          <w:color w:val="000000" w:themeColor="text1"/>
        </w:rPr>
        <w:t>as</w:t>
      </w:r>
      <w:r w:rsidRPr="003573DA">
        <w:rPr>
          <w:color w:val="000000" w:themeColor="text1"/>
        </w:rPr>
        <w:t xml:space="preserve"> the average number of subjects per year OBIM plans to sample</w:t>
      </w:r>
      <w:r w:rsidRPr="003573DA" w:rsidR="00286F3C">
        <w:rPr>
          <w:color w:val="000000" w:themeColor="text1"/>
        </w:rPr>
        <w:t xml:space="preserve">.  With this number in mind, and the variety of groups and biometrics that may need to be sampled to answer relevant questions, OBIM FI has put together a table </w:t>
      </w:r>
      <w:r w:rsidRPr="003573DA">
        <w:rPr>
          <w:color w:val="000000" w:themeColor="text1"/>
        </w:rPr>
        <w:t xml:space="preserve">below </w:t>
      </w:r>
      <w:r w:rsidRPr="003573DA" w:rsidR="00286F3C">
        <w:rPr>
          <w:color w:val="000000" w:themeColor="text1"/>
        </w:rPr>
        <w:t xml:space="preserve">with the total </w:t>
      </w:r>
      <w:r w:rsidRPr="003573DA">
        <w:rPr>
          <w:color w:val="000000" w:themeColor="text1"/>
        </w:rPr>
        <w:t xml:space="preserve">of subjects and the number of subjects within each category based upon </w:t>
      </w:r>
      <w:r w:rsidRPr="003573DA" w:rsidR="00286F3C">
        <w:rPr>
          <w:color w:val="000000" w:themeColor="text1"/>
        </w:rPr>
        <w:t xml:space="preserve">potential projects that may be studied by performers. </w:t>
      </w:r>
      <w:r w:rsidRPr="003573DA">
        <w:rPr>
          <w:color w:val="000000" w:themeColor="text1"/>
        </w:rPr>
        <w:t xml:space="preserve"> </w:t>
      </w:r>
    </w:p>
    <w:p w:rsidR="00743DAD" w:rsidRPr="003573DA" w14:paraId="3C9BD12B" w14:textId="4CC63E25">
      <w:pPr>
        <w:rPr>
          <w:color w:val="000000" w:themeColor="text1"/>
        </w:rPr>
      </w:pPr>
      <w:r w:rsidRPr="003573DA">
        <w:rPr>
          <w:color w:val="000000" w:themeColor="text1"/>
        </w:rPr>
        <w:t>Without knowing the exact study design at this current time, the numbers of subjects in total as well as</w:t>
      </w:r>
      <w:r w:rsidRPr="003573DA" w:rsidR="00286F3C">
        <w:rPr>
          <w:color w:val="000000" w:themeColor="text1"/>
        </w:rPr>
        <w:t xml:space="preserve"> </w:t>
      </w:r>
      <w:r w:rsidRPr="003573DA">
        <w:rPr>
          <w:color w:val="000000" w:themeColor="text1"/>
        </w:rPr>
        <w:t>in each category below are rough estimates based on the idea that at baseline</w:t>
      </w:r>
      <w:r w:rsidRPr="003573DA" w:rsidR="00A65D60">
        <w:rPr>
          <w:color w:val="000000" w:themeColor="text1"/>
        </w:rPr>
        <w:t>. O</w:t>
      </w:r>
      <w:r w:rsidRPr="003573DA" w:rsidR="0B92F5CA">
        <w:rPr>
          <w:color w:val="000000" w:themeColor="text1"/>
        </w:rPr>
        <w:t xml:space="preserve">ne approach to </w:t>
      </w:r>
      <w:r w:rsidRPr="003573DA">
        <w:rPr>
          <w:color w:val="000000" w:themeColor="text1"/>
        </w:rPr>
        <w:t xml:space="preserve">the analyses will involve </w:t>
      </w:r>
      <w:r w:rsidRPr="003573DA" w:rsidR="00286F3C">
        <w:rPr>
          <w:color w:val="000000" w:themeColor="text1"/>
        </w:rPr>
        <w:t xml:space="preserve">a </w:t>
      </w:r>
      <w:r w:rsidRPr="003573DA">
        <w:rPr>
          <w:color w:val="000000" w:themeColor="text1"/>
        </w:rPr>
        <w:t>simple one</w:t>
      </w:r>
      <w:r w:rsidRPr="003573DA" w:rsidR="00286F3C">
        <w:rPr>
          <w:color w:val="000000" w:themeColor="text1"/>
        </w:rPr>
        <w:t>-</w:t>
      </w:r>
      <w:r w:rsidRPr="003573DA">
        <w:rPr>
          <w:color w:val="000000" w:themeColor="text1"/>
        </w:rPr>
        <w:t xml:space="preserve">way (1X5) ANOVA such that 5 groups </w:t>
      </w:r>
      <w:r w:rsidRPr="003573DA" w:rsidR="00286F3C">
        <w:rPr>
          <w:color w:val="000000" w:themeColor="text1"/>
        </w:rPr>
        <w:t xml:space="preserve">within one independent variable category </w:t>
      </w:r>
      <w:r w:rsidRPr="003573DA">
        <w:rPr>
          <w:color w:val="000000" w:themeColor="text1"/>
        </w:rPr>
        <w:t xml:space="preserve">(based on the below </w:t>
      </w:r>
      <w:r w:rsidRPr="003573DA" w:rsidR="00286F3C">
        <w:rPr>
          <w:color w:val="000000" w:themeColor="text1"/>
        </w:rPr>
        <w:t>categories</w:t>
      </w:r>
      <w:r w:rsidRPr="003573DA">
        <w:rPr>
          <w:color w:val="000000" w:themeColor="text1"/>
        </w:rPr>
        <w:t xml:space="preserve">) </w:t>
      </w:r>
      <w:r w:rsidRPr="003573DA" w:rsidR="00286F3C">
        <w:rPr>
          <w:color w:val="000000" w:themeColor="text1"/>
        </w:rPr>
        <w:t xml:space="preserve">and the average of these groups </w:t>
      </w:r>
      <w:r w:rsidRPr="003573DA">
        <w:rPr>
          <w:color w:val="000000" w:themeColor="text1"/>
        </w:rPr>
        <w:t xml:space="preserve">will be compared to each other </w:t>
      </w:r>
      <w:r w:rsidRPr="003573DA" w:rsidR="00562880">
        <w:rPr>
          <w:color w:val="000000" w:themeColor="text1"/>
        </w:rPr>
        <w:t xml:space="preserve">based upon </w:t>
      </w:r>
      <w:r w:rsidRPr="003573DA">
        <w:rPr>
          <w:color w:val="000000" w:themeColor="text1"/>
        </w:rPr>
        <w:t xml:space="preserve">one dependent measure/outcome </w:t>
      </w:r>
      <w:r w:rsidRPr="003573DA" w:rsidR="00562880">
        <w:rPr>
          <w:color w:val="000000" w:themeColor="text1"/>
        </w:rPr>
        <w:t>of interest</w:t>
      </w:r>
      <w:r w:rsidRPr="003573DA">
        <w:rPr>
          <w:color w:val="000000" w:themeColor="text1"/>
        </w:rPr>
        <w:t xml:space="preserve">. </w:t>
      </w:r>
      <w:r w:rsidRPr="003573DA" w:rsidR="00562880">
        <w:rPr>
          <w:color w:val="000000" w:themeColor="text1"/>
        </w:rPr>
        <w:t xml:space="preserve">Using a </w:t>
      </w:r>
      <w:r w:rsidRPr="003573DA">
        <w:rPr>
          <w:color w:val="000000" w:themeColor="text1"/>
        </w:rPr>
        <w:t xml:space="preserve">very simple independent sample ANOVA power table, </w:t>
      </w:r>
      <w:r w:rsidRPr="003573DA" w:rsidR="00562880">
        <w:rPr>
          <w:color w:val="000000" w:themeColor="text1"/>
        </w:rPr>
        <w:t xml:space="preserve">OBIM FI suggests that </w:t>
      </w:r>
      <w:r w:rsidRPr="003573DA">
        <w:rPr>
          <w:color w:val="000000" w:themeColor="text1"/>
        </w:rPr>
        <w:t>for an effect size of 0.1 with an alpha set at 0.01 and a power of 0.99 with 5 independent groups, the sample size</w:t>
      </w:r>
      <w:r w:rsidRPr="003573DA" w:rsidR="00562880">
        <w:rPr>
          <w:color w:val="000000" w:themeColor="text1"/>
        </w:rPr>
        <w:t xml:space="preserve"> of individuals for a biometric project</w:t>
      </w:r>
      <w:r w:rsidRPr="003573DA">
        <w:rPr>
          <w:color w:val="000000" w:themeColor="text1"/>
        </w:rPr>
        <w:t xml:space="preserve"> would </w:t>
      </w:r>
      <w:r w:rsidRPr="003573DA" w:rsidR="00562880">
        <w:rPr>
          <w:color w:val="000000" w:themeColor="text1"/>
        </w:rPr>
        <w:t>be, at</w:t>
      </w:r>
      <w:r w:rsidRPr="003573DA">
        <w:rPr>
          <w:color w:val="000000" w:themeColor="text1"/>
        </w:rPr>
        <w:t xml:space="preserve"> minimum</w:t>
      </w:r>
      <w:r w:rsidRPr="003573DA" w:rsidR="00562880">
        <w:rPr>
          <w:color w:val="000000" w:themeColor="text1"/>
        </w:rPr>
        <w:t>,</w:t>
      </w:r>
      <w:r w:rsidRPr="003573DA">
        <w:rPr>
          <w:color w:val="000000" w:themeColor="text1"/>
        </w:rPr>
        <w:t xml:space="preserve"> 700 participants</w:t>
      </w:r>
      <w:r w:rsidRPr="003573DA" w:rsidR="076D42A6">
        <w:rPr>
          <w:color w:val="000000" w:themeColor="text1"/>
        </w:rPr>
        <w:t>.</w:t>
      </w:r>
      <w:r w:rsidRPr="003573DA">
        <w:rPr>
          <w:color w:val="000000" w:themeColor="text1"/>
        </w:rPr>
        <w:t xml:space="preserve"> </w:t>
      </w:r>
      <w:r w:rsidRPr="003573DA" w:rsidR="00562880">
        <w:rPr>
          <w:color w:val="000000" w:themeColor="text1"/>
        </w:rPr>
        <w:t>If the complexity of the question a</w:t>
      </w:r>
      <w:r w:rsidRPr="003573DA" w:rsidR="7EDEA42C">
        <w:rPr>
          <w:color w:val="000000" w:themeColor="text1"/>
        </w:rPr>
        <w:t>n</w:t>
      </w:r>
      <w:r w:rsidRPr="003573DA" w:rsidR="00562880">
        <w:rPr>
          <w:color w:val="000000" w:themeColor="text1"/>
        </w:rPr>
        <w:t xml:space="preserve">d/or project increase, such that </w:t>
      </w:r>
      <w:r w:rsidRPr="003573DA">
        <w:rPr>
          <w:color w:val="000000" w:themeColor="text1"/>
        </w:rPr>
        <w:t>more groups</w:t>
      </w:r>
      <w:r w:rsidRPr="003573DA" w:rsidR="00562880">
        <w:rPr>
          <w:color w:val="000000" w:themeColor="text1"/>
        </w:rPr>
        <w:t xml:space="preserve"> are needed or more</w:t>
      </w:r>
      <w:r w:rsidRPr="003573DA">
        <w:rPr>
          <w:color w:val="000000" w:themeColor="text1"/>
        </w:rPr>
        <w:t xml:space="preserve"> complex analysis</w:t>
      </w:r>
      <w:r w:rsidRPr="003573DA" w:rsidR="00562880">
        <w:rPr>
          <w:color w:val="000000" w:themeColor="text1"/>
        </w:rPr>
        <w:t xml:space="preserve"> is desired,</w:t>
      </w:r>
      <w:r w:rsidRPr="003573DA">
        <w:rPr>
          <w:color w:val="000000" w:themeColor="text1"/>
        </w:rPr>
        <w:t xml:space="preserve"> the sample size would have to increase</w:t>
      </w:r>
      <w:r w:rsidRPr="003573DA" w:rsidR="00562880">
        <w:rPr>
          <w:color w:val="000000" w:themeColor="text1"/>
        </w:rPr>
        <w:t xml:space="preserve"> </w:t>
      </w:r>
      <w:r w:rsidRPr="003573DA" w:rsidR="008371C4">
        <w:rPr>
          <w:color w:val="000000" w:themeColor="text1"/>
        </w:rPr>
        <w:t>to</w:t>
      </w:r>
      <w:r w:rsidRPr="003573DA" w:rsidR="00562880">
        <w:rPr>
          <w:color w:val="000000" w:themeColor="text1"/>
        </w:rPr>
        <w:t xml:space="preserve"> have findings that are somewhat applicable to the public. </w:t>
      </w:r>
    </w:p>
    <w:p w:rsidR="00786B1F" w:rsidRPr="003573DA" w:rsidP="609D6B1D" w14:paraId="086BACBB" w14:textId="791CBFAC">
      <w:pPr>
        <w:rPr>
          <w:color w:val="000000" w:themeColor="text1"/>
        </w:rPr>
      </w:pPr>
      <w:r w:rsidRPr="003573DA">
        <w:rPr>
          <w:color w:val="000000" w:themeColor="text1"/>
        </w:rPr>
        <w:t xml:space="preserve">Participants, </w:t>
      </w:r>
      <w:r w:rsidRPr="003573DA" w:rsidR="00FE2A18">
        <w:rPr>
          <w:color w:val="000000" w:themeColor="text1"/>
        </w:rPr>
        <w:t>both staff</w:t>
      </w:r>
      <w:r w:rsidRPr="003573DA">
        <w:rPr>
          <w:color w:val="000000" w:themeColor="text1"/>
        </w:rPr>
        <w:t xml:space="preserve"> and the general public, will be recruited</w:t>
      </w:r>
      <w:r w:rsidRPr="003573DA" w:rsidR="6B0DBB73">
        <w:rPr>
          <w:color w:val="000000" w:themeColor="text1"/>
        </w:rPr>
        <w:t xml:space="preserve">. Participants will be recruited via email announcement. For staff, the email will be circulated from </w:t>
      </w:r>
      <w:r w:rsidRPr="003573DA" w:rsidR="00FE2A18">
        <w:rPr>
          <w:color w:val="000000" w:themeColor="text1"/>
        </w:rPr>
        <w:t>the Office</w:t>
      </w:r>
      <w:r w:rsidRPr="003573DA" w:rsidR="6B0DBB73">
        <w:rPr>
          <w:color w:val="000000" w:themeColor="text1"/>
        </w:rPr>
        <w:t xml:space="preserve"> of Human Research Protection.</w:t>
      </w:r>
      <w:r w:rsidRPr="003573DA" w:rsidR="20DB6C68">
        <w:rPr>
          <w:color w:val="000000" w:themeColor="text1"/>
        </w:rPr>
        <w:t xml:space="preserve"> Interested participants will be instructed to contact a member of the research team for additional information about the </w:t>
      </w:r>
      <w:r w:rsidRPr="003573DA" w:rsidR="0CE9AB7C">
        <w:rPr>
          <w:color w:val="000000" w:themeColor="text1"/>
        </w:rPr>
        <w:t>study and</w:t>
      </w:r>
      <w:r w:rsidRPr="003573DA" w:rsidR="20DB6C68">
        <w:rPr>
          <w:color w:val="000000" w:themeColor="text1"/>
        </w:rPr>
        <w:t xml:space="preserve"> will be given a copy of the consent form to review prior to the test date. </w:t>
      </w:r>
      <w:r w:rsidRPr="003573DA" w:rsidR="500C79C6">
        <w:rPr>
          <w:color w:val="000000" w:themeColor="text1"/>
        </w:rPr>
        <w:t xml:space="preserve">On the test date, an overview of the study will be </w:t>
      </w:r>
      <w:r w:rsidRPr="003573DA" w:rsidR="0CE9AB7C">
        <w:rPr>
          <w:color w:val="000000" w:themeColor="text1"/>
        </w:rPr>
        <w:t>provided,</w:t>
      </w:r>
      <w:r w:rsidRPr="003573DA" w:rsidR="500C79C6">
        <w:rPr>
          <w:color w:val="000000" w:themeColor="text1"/>
        </w:rPr>
        <w:t xml:space="preserve"> and participants will have the opportunity to have their questions answered. Once informed consent has been obtained, participants will be asked to provide basic demographic information (age, gender, and race)</w:t>
      </w:r>
      <w:r w:rsidRPr="003573DA" w:rsidR="00C01462">
        <w:rPr>
          <w:color w:val="000000" w:themeColor="text1"/>
        </w:rPr>
        <w:t xml:space="preserve">. </w:t>
      </w:r>
      <w:r w:rsidRPr="003573DA" w:rsidR="500C79C6">
        <w:rPr>
          <w:color w:val="000000" w:themeColor="text1"/>
        </w:rPr>
        <w:t xml:space="preserve">Each participant will be assigned a random study ID number under which their </w:t>
      </w:r>
      <w:r w:rsidRPr="003573DA" w:rsidR="412AF0F0">
        <w:rPr>
          <w:color w:val="000000" w:themeColor="text1"/>
        </w:rPr>
        <w:t xml:space="preserve">biometric and minimal biometric information will be associated. This will not include sensitive PII information, only age, gender, and race </w:t>
      </w:r>
      <w:r w:rsidRPr="003573DA" w:rsidR="500C79C6">
        <w:rPr>
          <w:color w:val="000000" w:themeColor="text1"/>
        </w:rPr>
        <w:t xml:space="preserve">will be stored. </w:t>
      </w:r>
      <w:r w:rsidRPr="003573DA" w:rsidR="3CEA8AD1">
        <w:rPr>
          <w:color w:val="000000" w:themeColor="text1"/>
        </w:rPr>
        <w:t xml:space="preserve"> </w:t>
      </w:r>
    </w:p>
    <w:p w:rsidR="00AA148F" w:rsidRPr="003573DA" w:rsidP="609D6B1D" w14:paraId="0FE08ED8" w14:textId="3510CE2E">
      <w:pPr>
        <w:rPr>
          <w:color w:val="000000" w:themeColor="text1"/>
        </w:rPr>
      </w:pPr>
      <w:r w:rsidRPr="003573DA">
        <w:rPr>
          <w:color w:val="000000" w:themeColor="text1"/>
        </w:rPr>
        <w:t>Participants will be asked the following questions:</w:t>
      </w:r>
    </w:p>
    <w:p w:rsidR="003466FA" w:rsidRPr="003573DA" w:rsidP="609D6B1D" w14:paraId="426E26E5" w14:textId="010AEC4F">
      <w:pPr>
        <w:pStyle w:val="ListParagraph"/>
        <w:numPr>
          <w:ilvl w:val="0"/>
          <w:numId w:val="1"/>
        </w:numPr>
        <w:rPr>
          <w:color w:val="000000" w:themeColor="text1"/>
        </w:rPr>
      </w:pPr>
      <w:r w:rsidRPr="003573DA">
        <w:rPr>
          <w:color w:val="000000" w:themeColor="text1"/>
        </w:rPr>
        <w:t>What is your age in years?</w:t>
      </w:r>
    </w:p>
    <w:p w:rsidR="00ED309D" w:rsidRPr="003573DA" w:rsidP="609D6B1D" w14:paraId="7B2DC09F" w14:textId="2F0C43DC">
      <w:pPr>
        <w:pStyle w:val="ListParagraph"/>
        <w:numPr>
          <w:ilvl w:val="0"/>
          <w:numId w:val="1"/>
        </w:numPr>
        <w:rPr>
          <w:color w:val="000000" w:themeColor="text1"/>
        </w:rPr>
      </w:pPr>
      <w:r w:rsidRPr="003573DA">
        <w:rPr>
          <w:color w:val="000000" w:themeColor="text1"/>
        </w:rPr>
        <w:t>What is your gender?</w:t>
      </w:r>
    </w:p>
    <w:p w:rsidR="00ED309D" w:rsidRPr="003573DA" w:rsidP="609D6B1D" w14:paraId="424CAA79" w14:textId="220ABDAC">
      <w:pPr>
        <w:pStyle w:val="ListParagraph"/>
        <w:numPr>
          <w:ilvl w:val="0"/>
          <w:numId w:val="1"/>
        </w:numPr>
        <w:rPr>
          <w:color w:val="000000" w:themeColor="text1"/>
        </w:rPr>
      </w:pPr>
      <w:r w:rsidRPr="003573DA">
        <w:rPr>
          <w:color w:val="000000" w:themeColor="text1"/>
        </w:rPr>
        <w:t>What is your race?</w:t>
      </w:r>
    </w:p>
    <w:p w:rsidR="00C651A6" w:rsidRPr="003573DA" w:rsidP="609D6B1D" w14:paraId="2A6DE7BB" w14:textId="7E694937">
      <w:pPr>
        <w:pStyle w:val="ListParagraph"/>
        <w:numPr>
          <w:ilvl w:val="0"/>
          <w:numId w:val="1"/>
        </w:numPr>
        <w:rPr>
          <w:color w:val="000000" w:themeColor="text1"/>
        </w:rPr>
      </w:pPr>
      <w:r w:rsidRPr="003573DA">
        <w:rPr>
          <w:color w:val="000000" w:themeColor="text1"/>
        </w:rPr>
        <w:t xml:space="preserve">Participants may be </w:t>
      </w:r>
      <w:r w:rsidRPr="003573DA" w:rsidR="59FBC017">
        <w:rPr>
          <w:color w:val="000000" w:themeColor="text1"/>
        </w:rPr>
        <w:t>asked to f</w:t>
      </w:r>
      <w:r w:rsidRPr="003573DA" w:rsidR="3F44EE4F">
        <w:rPr>
          <w:color w:val="000000" w:themeColor="text1"/>
        </w:rPr>
        <w:t>ill out any additional questionnaires/</w:t>
      </w:r>
      <w:r w:rsidRPr="003573DA" w:rsidR="004574E0">
        <w:rPr>
          <w:color w:val="000000" w:themeColor="text1"/>
        </w:rPr>
        <w:t>surveys.</w:t>
      </w:r>
    </w:p>
    <w:p w:rsidR="00E043BF" w:rsidRPr="003573DA" w:rsidP="609D6B1D" w14:paraId="58F16123" w14:textId="4C92B259">
      <w:pPr>
        <w:pStyle w:val="ListParagraph"/>
        <w:numPr>
          <w:ilvl w:val="1"/>
          <w:numId w:val="1"/>
        </w:numPr>
        <w:rPr>
          <w:color w:val="000000" w:themeColor="text1"/>
        </w:rPr>
      </w:pPr>
      <w:r w:rsidRPr="003573DA">
        <w:rPr>
          <w:color w:val="000000" w:themeColor="text1"/>
        </w:rPr>
        <w:t xml:space="preserve">Participants are not obligated to answer any questions they do not want to </w:t>
      </w:r>
      <w:r w:rsidRPr="003573DA" w:rsidR="5B85BAC9">
        <w:rPr>
          <w:color w:val="000000" w:themeColor="text1"/>
        </w:rPr>
        <w:t>answer.</w:t>
      </w:r>
    </w:p>
    <w:p w:rsidR="00EE74D6" w:rsidRPr="003573DA" w:rsidP="609D6B1D" w14:paraId="55E5EB38" w14:textId="6635F071">
      <w:pPr>
        <w:pStyle w:val="ListParagraph"/>
        <w:numPr>
          <w:ilvl w:val="1"/>
          <w:numId w:val="1"/>
        </w:numPr>
        <w:rPr>
          <w:color w:val="000000" w:themeColor="text1"/>
        </w:rPr>
      </w:pPr>
      <w:r w:rsidRPr="003573DA">
        <w:rPr>
          <w:color w:val="000000" w:themeColor="text1"/>
        </w:rPr>
        <w:t>Additional questions may involve specifics to the collection at hand. For example:</w:t>
      </w:r>
    </w:p>
    <w:p w:rsidR="00EE74D6" w:rsidRPr="003573DA" w:rsidP="609D6B1D" w14:paraId="16EAFEB6" w14:textId="252AAA45">
      <w:pPr>
        <w:pStyle w:val="ListParagraph"/>
        <w:numPr>
          <w:ilvl w:val="2"/>
          <w:numId w:val="1"/>
        </w:numPr>
        <w:rPr>
          <w:color w:val="000000" w:themeColor="text1"/>
        </w:rPr>
      </w:pPr>
      <w:r w:rsidRPr="003573DA">
        <w:rPr>
          <w:color w:val="000000" w:themeColor="text1"/>
        </w:rPr>
        <w:t>Voice biometric collections may require questions to be asked about how the individual is feeling and whether they feel their voice is being impact by</w:t>
      </w:r>
      <w:r w:rsidRPr="003573DA" w:rsidR="52FC82F4">
        <w:rPr>
          <w:color w:val="000000" w:themeColor="text1"/>
        </w:rPr>
        <w:t xml:space="preserve"> internal or external factors.</w:t>
      </w:r>
    </w:p>
    <w:p w:rsidR="00F83651" w:rsidRPr="003573DA" w:rsidP="609D6B1D" w14:paraId="5F9A16DA" w14:textId="06D53F5B">
      <w:pPr>
        <w:pStyle w:val="ListParagraph"/>
        <w:numPr>
          <w:ilvl w:val="2"/>
          <w:numId w:val="1"/>
        </w:numPr>
        <w:rPr>
          <w:color w:val="000000" w:themeColor="text1"/>
        </w:rPr>
      </w:pPr>
      <w:r w:rsidRPr="003573DA">
        <w:rPr>
          <w:color w:val="000000" w:themeColor="text1"/>
        </w:rPr>
        <w:t>Iris collections will require questions on whether the person wears glasses or contact lenses on a regular basis.</w:t>
      </w:r>
    </w:p>
    <w:p w:rsidR="00F83651" w:rsidRPr="003573DA" w:rsidP="609D6B1D" w14:paraId="79859AAB" w14:textId="2CC5D2AC">
      <w:pPr>
        <w:pStyle w:val="ListParagraph"/>
        <w:numPr>
          <w:ilvl w:val="2"/>
          <w:numId w:val="1"/>
        </w:numPr>
        <w:rPr>
          <w:color w:val="000000" w:themeColor="text1"/>
        </w:rPr>
      </w:pPr>
      <w:r w:rsidRPr="003573DA">
        <w:rPr>
          <w:color w:val="000000" w:themeColor="text1"/>
        </w:rPr>
        <w:t xml:space="preserve">Face collections will require discussions on </w:t>
      </w:r>
      <w:r w:rsidRPr="003573DA" w:rsidR="5FBD9275">
        <w:rPr>
          <w:color w:val="000000" w:themeColor="text1"/>
        </w:rPr>
        <w:t xml:space="preserve">the frequency of </w:t>
      </w:r>
      <w:r w:rsidRPr="003573DA">
        <w:rPr>
          <w:color w:val="000000" w:themeColor="text1"/>
        </w:rPr>
        <w:t xml:space="preserve">make-up </w:t>
      </w:r>
      <w:r w:rsidRPr="003573DA" w:rsidR="0CE9AB7C">
        <w:rPr>
          <w:color w:val="000000" w:themeColor="text1"/>
        </w:rPr>
        <w:t>use.</w:t>
      </w:r>
    </w:p>
    <w:p w:rsidR="00D84AA1" w:rsidRPr="003573DA" w:rsidP="609D6B1D" w14:paraId="60059192" w14:textId="77777777">
      <w:pPr>
        <w:pStyle w:val="ListParagraph"/>
        <w:numPr>
          <w:ilvl w:val="2"/>
          <w:numId w:val="1"/>
        </w:numPr>
        <w:rPr>
          <w:color w:val="000000" w:themeColor="text1"/>
        </w:rPr>
      </w:pPr>
      <w:r w:rsidRPr="003573DA">
        <w:rPr>
          <w:color w:val="000000" w:themeColor="text1"/>
        </w:rPr>
        <w:t>Finger</w:t>
      </w:r>
      <w:r w:rsidRPr="003573DA" w:rsidR="2D36B4B6">
        <w:rPr>
          <w:color w:val="000000" w:themeColor="text1"/>
        </w:rPr>
        <w:t xml:space="preserve">print and palm collections will involve questions associated with general work field information. </w:t>
      </w:r>
      <w:r w:rsidRPr="003573DA" w:rsidR="0681D0D5">
        <w:rPr>
          <w:color w:val="000000" w:themeColor="text1"/>
        </w:rPr>
        <w:t>This can include:</w:t>
      </w:r>
    </w:p>
    <w:p w:rsidR="00D84AA1" w:rsidRPr="003573DA" w:rsidP="609D6B1D" w14:paraId="79A69574" w14:textId="05D36CFC">
      <w:pPr>
        <w:pStyle w:val="ListParagraph"/>
        <w:numPr>
          <w:ilvl w:val="3"/>
          <w:numId w:val="1"/>
        </w:numPr>
        <w:rPr>
          <w:color w:val="000000" w:themeColor="text1"/>
        </w:rPr>
      </w:pPr>
      <w:r w:rsidRPr="003573DA">
        <w:rPr>
          <w:color w:val="000000" w:themeColor="text1"/>
        </w:rPr>
        <w:t xml:space="preserve">Have you ever had any </w:t>
      </w:r>
      <w:r w:rsidRPr="003573DA" w:rsidR="007528F3">
        <w:rPr>
          <w:color w:val="000000" w:themeColor="text1"/>
        </w:rPr>
        <w:t xml:space="preserve">previous </w:t>
      </w:r>
      <w:r w:rsidRPr="003573DA">
        <w:rPr>
          <w:color w:val="000000" w:themeColor="text1"/>
        </w:rPr>
        <w:t xml:space="preserve">injuries that </w:t>
      </w:r>
      <w:r w:rsidRPr="003573DA" w:rsidR="007528F3">
        <w:rPr>
          <w:color w:val="000000" w:themeColor="text1"/>
        </w:rPr>
        <w:t xml:space="preserve">may have </w:t>
      </w:r>
      <w:r w:rsidRPr="003573DA">
        <w:rPr>
          <w:color w:val="000000" w:themeColor="text1"/>
        </w:rPr>
        <w:t>impacted your fingerprints?</w:t>
      </w:r>
    </w:p>
    <w:p w:rsidR="0054783A" w:rsidRPr="003573DA" w:rsidP="609D6B1D" w14:paraId="367BA104" w14:textId="2A65AC08">
      <w:pPr>
        <w:pStyle w:val="ListParagraph"/>
        <w:numPr>
          <w:ilvl w:val="4"/>
          <w:numId w:val="1"/>
        </w:numPr>
        <w:rPr>
          <w:color w:val="000000" w:themeColor="text1"/>
        </w:rPr>
      </w:pPr>
      <w:r w:rsidRPr="003573DA">
        <w:rPr>
          <w:color w:val="000000" w:themeColor="text1"/>
        </w:rPr>
        <w:t>If yes, please identify (circle) which hand/which fingers</w:t>
      </w:r>
      <w:r w:rsidRPr="003573DA" w:rsidR="684B7401">
        <w:rPr>
          <w:color w:val="000000" w:themeColor="text1"/>
        </w:rPr>
        <w:t>.</w:t>
      </w:r>
    </w:p>
    <w:p w:rsidR="00C01462" w:rsidRPr="003573DA" w:rsidP="609D6B1D" w14:paraId="4676741C" w14:textId="2B31834E">
      <w:pPr>
        <w:pStyle w:val="ListParagraph"/>
        <w:numPr>
          <w:ilvl w:val="4"/>
          <w:numId w:val="1"/>
        </w:numPr>
        <w:rPr>
          <w:color w:val="000000" w:themeColor="text1"/>
        </w:rPr>
      </w:pPr>
      <w:r w:rsidRPr="003573DA">
        <w:rPr>
          <w:color w:val="000000" w:themeColor="text1"/>
        </w:rPr>
        <w:t xml:space="preserve">Do you </w:t>
      </w:r>
      <w:r w:rsidRPr="003573DA">
        <w:rPr>
          <w:color w:val="000000" w:themeColor="text1"/>
        </w:rPr>
        <w:t>have sensitivity to COTS hand lotion</w:t>
      </w:r>
      <w:r w:rsidRPr="003573DA">
        <w:rPr>
          <w:color w:val="000000" w:themeColor="text1"/>
        </w:rPr>
        <w:t>?</w:t>
      </w:r>
    </w:p>
    <w:p w:rsidR="00213DAE" w:rsidRPr="003573DA" w14:paraId="0F75AB68" w14:textId="77777777">
      <w:pPr>
        <w:rPr>
          <w:color w:val="000000" w:themeColor="text1"/>
        </w:rPr>
      </w:pPr>
    </w:p>
    <w:p w:rsidR="006A4EEE" w:rsidRPr="003573DA" w14:paraId="586ED4E8" w14:textId="5B011E64">
      <w:pPr>
        <w:rPr>
          <w:color w:val="000000" w:themeColor="text1"/>
        </w:rPr>
      </w:pPr>
      <w:r w:rsidRPr="003573DA">
        <w:rPr>
          <w:color w:val="000000" w:themeColor="text1"/>
        </w:rPr>
        <w:t xml:space="preserve"> 2. Describe the procedures for the collection of information including:</w:t>
      </w:r>
    </w:p>
    <w:p w:rsidR="006A4EEE" w:rsidRPr="003573DA" w14:paraId="7B79C3FF" w14:textId="77777777">
      <w:pPr>
        <w:rPr>
          <w:color w:val="000000" w:themeColor="text1"/>
        </w:rPr>
      </w:pPr>
      <w:r w:rsidRPr="003573DA">
        <w:rPr>
          <w:color w:val="000000" w:themeColor="text1"/>
        </w:rPr>
        <w:t xml:space="preserve"> • Statistical methodology for stratification and sample selection, </w:t>
      </w:r>
    </w:p>
    <w:p w:rsidR="00373DAC" w:rsidRPr="003573DA" w14:paraId="57A3F39A" w14:textId="6D728B47">
      <w:pPr>
        <w:rPr>
          <w:color w:val="000000" w:themeColor="text1"/>
        </w:rPr>
      </w:pPr>
      <w:r w:rsidRPr="003573DA">
        <w:rPr>
          <w:color w:val="000000" w:themeColor="text1"/>
        </w:rPr>
        <w:tab/>
        <w:t>Academic and national lab performers will be leading the charge in stratification and sample selection</w:t>
      </w:r>
      <w:r w:rsidRPr="003573DA" w:rsidR="00562880">
        <w:rPr>
          <w:color w:val="000000" w:themeColor="text1"/>
        </w:rPr>
        <w:t xml:space="preserve"> for individuals in the study as well as the appropriate data analysis that needs to be conducted to answer relevant OBIM questions</w:t>
      </w:r>
      <w:r w:rsidRPr="003573DA">
        <w:rPr>
          <w:color w:val="000000" w:themeColor="text1"/>
        </w:rPr>
        <w:t xml:space="preserve">.  These institutions have data scientists and statisticians with advanced mathematical degrees </w:t>
      </w:r>
      <w:r w:rsidRPr="003573DA" w:rsidR="00562880">
        <w:rPr>
          <w:color w:val="000000" w:themeColor="text1"/>
        </w:rPr>
        <w:t>that have years of experience understanding the appropriate sample sizes needed to answer large questions and the best</w:t>
      </w:r>
      <w:r w:rsidRPr="003573DA">
        <w:rPr>
          <w:color w:val="000000" w:themeColor="text1"/>
        </w:rPr>
        <w:t xml:space="preserve"> methods for stratification and sample selection </w:t>
      </w:r>
      <w:r w:rsidRPr="003573DA" w:rsidR="00562880">
        <w:rPr>
          <w:color w:val="000000" w:themeColor="text1"/>
        </w:rPr>
        <w:t xml:space="preserve">and ultimately data analysis that answers the question writ large. </w:t>
      </w:r>
      <w:r w:rsidRPr="003573DA">
        <w:rPr>
          <w:color w:val="000000" w:themeColor="text1"/>
        </w:rPr>
        <w:t>OBIM will not be directly involved in, nor will OBIM be responsible for</w:t>
      </w:r>
      <w:r w:rsidRPr="003573DA" w:rsidR="00562880">
        <w:rPr>
          <w:color w:val="000000" w:themeColor="text1"/>
        </w:rPr>
        <w:t>,</w:t>
      </w:r>
      <w:r w:rsidRPr="003573DA">
        <w:rPr>
          <w:color w:val="000000" w:themeColor="text1"/>
        </w:rPr>
        <w:t xml:space="preserve"> advising data scientists on</w:t>
      </w:r>
      <w:r w:rsidRPr="003573DA" w:rsidR="00562880">
        <w:rPr>
          <w:color w:val="000000" w:themeColor="text1"/>
        </w:rPr>
        <w:t xml:space="preserve"> sampling procedure or</w:t>
      </w:r>
      <w:r w:rsidRPr="003573DA">
        <w:rPr>
          <w:color w:val="000000" w:themeColor="text1"/>
        </w:rPr>
        <w:t xml:space="preserve"> statistical </w:t>
      </w:r>
      <w:r w:rsidRPr="003573DA" w:rsidR="00562880">
        <w:rPr>
          <w:color w:val="000000" w:themeColor="text1"/>
        </w:rPr>
        <w:t>methods</w:t>
      </w:r>
      <w:r w:rsidRPr="003573DA">
        <w:rPr>
          <w:color w:val="000000" w:themeColor="text1"/>
        </w:rPr>
        <w:t>.</w:t>
      </w:r>
    </w:p>
    <w:p w:rsidR="000D091D" w:rsidRPr="003573DA" w14:paraId="52909B35" w14:textId="18382A66">
      <w:pPr>
        <w:rPr>
          <w:color w:val="000000" w:themeColor="text1"/>
        </w:rPr>
      </w:pPr>
    </w:p>
    <w:p w:rsidR="006A4EEE" w:rsidRPr="003573DA" w14:paraId="6CC6F28E" w14:textId="429265E9">
      <w:pPr>
        <w:rPr>
          <w:color w:val="000000" w:themeColor="text1"/>
        </w:rPr>
      </w:pPr>
      <w:r w:rsidRPr="003573DA">
        <w:rPr>
          <w:color w:val="000000" w:themeColor="text1"/>
        </w:rPr>
        <w:t>• Estimation procedure</w:t>
      </w:r>
    </w:p>
    <w:p w:rsidR="00451D76" w:rsidRPr="003573DA" w14:paraId="1A8E84B2" w14:textId="77B1E6F4">
      <w:pPr>
        <w:rPr>
          <w:color w:val="000000" w:themeColor="text1"/>
        </w:rPr>
      </w:pPr>
      <w:r w:rsidRPr="003573DA">
        <w:rPr>
          <w:color w:val="000000" w:themeColor="text1"/>
        </w:rPr>
        <w:tab/>
        <w:t>OBIM</w:t>
      </w:r>
      <w:r w:rsidRPr="003573DA" w:rsidR="00562880">
        <w:rPr>
          <w:color w:val="000000" w:themeColor="text1"/>
        </w:rPr>
        <w:t>’s</w:t>
      </w:r>
      <w:r w:rsidRPr="003573DA">
        <w:rPr>
          <w:color w:val="000000" w:themeColor="text1"/>
        </w:rPr>
        <w:t xml:space="preserve"> National Lab and academic </w:t>
      </w:r>
      <w:r w:rsidRPr="003573DA" w:rsidR="00562880">
        <w:rPr>
          <w:color w:val="000000" w:themeColor="text1"/>
        </w:rPr>
        <w:t xml:space="preserve">university </w:t>
      </w:r>
      <w:r w:rsidRPr="003573DA">
        <w:rPr>
          <w:color w:val="000000" w:themeColor="text1"/>
        </w:rPr>
        <w:t>performers will be responsible for estimating sample</w:t>
      </w:r>
      <w:r w:rsidRPr="003573DA" w:rsidR="00562880">
        <w:rPr>
          <w:color w:val="000000" w:themeColor="text1"/>
        </w:rPr>
        <w:t xml:space="preserve"> sizes overall and within subgroups so that project will give the best numbers of data to gather information on </w:t>
      </w:r>
      <w:r w:rsidRPr="003573DA">
        <w:rPr>
          <w:color w:val="000000" w:themeColor="text1"/>
        </w:rPr>
        <w:t xml:space="preserve">the best possible analysis and scalable outcomes </w:t>
      </w:r>
      <w:r w:rsidRPr="003573DA" w:rsidR="00562880">
        <w:rPr>
          <w:color w:val="000000" w:themeColor="text1"/>
        </w:rPr>
        <w:t xml:space="preserve">to answer relevant questions, </w:t>
      </w:r>
      <w:r w:rsidRPr="003573DA">
        <w:rPr>
          <w:color w:val="000000" w:themeColor="text1"/>
        </w:rPr>
        <w:t xml:space="preserve">without </w:t>
      </w:r>
      <w:r w:rsidRPr="003573DA" w:rsidR="00562880">
        <w:rPr>
          <w:color w:val="000000" w:themeColor="text1"/>
        </w:rPr>
        <w:t xml:space="preserve">engaging in unnecessary </w:t>
      </w:r>
      <w:r w:rsidRPr="003573DA">
        <w:rPr>
          <w:color w:val="000000" w:themeColor="text1"/>
        </w:rPr>
        <w:t xml:space="preserve">over sampling or recruiting too many </w:t>
      </w:r>
      <w:r w:rsidRPr="003573DA" w:rsidR="00562880">
        <w:rPr>
          <w:color w:val="000000" w:themeColor="text1"/>
        </w:rPr>
        <w:t>participants</w:t>
      </w:r>
      <w:r w:rsidRPr="003573DA">
        <w:rPr>
          <w:color w:val="000000" w:themeColor="text1"/>
        </w:rPr>
        <w:t xml:space="preserve"> for what is needed. </w:t>
      </w:r>
    </w:p>
    <w:p w:rsidR="00461B63" w:rsidRPr="003573DA" w:rsidP="00836E33" w14:paraId="12D34003" w14:textId="2F1406FE">
      <w:pPr>
        <w:rPr>
          <w:color w:val="000000" w:themeColor="text1"/>
        </w:rPr>
      </w:pPr>
      <w:r w:rsidRPr="003573DA">
        <w:rPr>
          <w:color w:val="000000" w:themeColor="text1"/>
        </w:rPr>
        <w:t xml:space="preserve">There are two commonly used methods for determining the sample size: </w:t>
      </w:r>
      <w:r w:rsidRPr="003573DA">
        <w:rPr>
          <w:b/>
          <w:bCs/>
          <w:color w:val="000000" w:themeColor="text1"/>
        </w:rPr>
        <w:t>confidence intervals (CI)</w:t>
      </w:r>
      <w:r w:rsidRPr="003573DA" w:rsidR="05279E4D">
        <w:rPr>
          <w:b/>
          <w:bCs/>
          <w:color w:val="000000" w:themeColor="text1"/>
        </w:rPr>
        <w:t xml:space="preserve"> </w:t>
      </w:r>
      <w:r w:rsidRPr="003573DA">
        <w:rPr>
          <w:color w:val="000000" w:themeColor="text1"/>
        </w:rPr>
        <w:t xml:space="preserve">and </w:t>
      </w:r>
      <w:r w:rsidRPr="003573DA">
        <w:rPr>
          <w:b/>
          <w:bCs/>
          <w:color w:val="000000" w:themeColor="text1"/>
        </w:rPr>
        <w:t>statistical hypothesis tests</w:t>
      </w:r>
      <w:r w:rsidRPr="003573DA">
        <w:rPr>
          <w:color w:val="000000" w:themeColor="text1"/>
        </w:rPr>
        <w:t>. CIs are estimates of the true underlying population failure rate</w:t>
      </w:r>
      <w:r w:rsidRPr="003573DA" w:rsidR="51C6B98E">
        <w:rPr>
          <w:color w:val="000000" w:themeColor="text1"/>
        </w:rPr>
        <w:t xml:space="preserve"> </w:t>
      </w:r>
      <w:r w:rsidRPr="003573DA">
        <w:rPr>
          <w:color w:val="000000" w:themeColor="text1"/>
        </w:rPr>
        <w:t>that combine the test data with the binomial distribution to produce a range of values that are</w:t>
      </w:r>
      <w:r w:rsidRPr="003573DA" w:rsidR="49885133">
        <w:rPr>
          <w:color w:val="000000" w:themeColor="text1"/>
        </w:rPr>
        <w:t xml:space="preserve"> </w:t>
      </w:r>
      <w:r w:rsidRPr="003573DA">
        <w:rPr>
          <w:color w:val="000000" w:themeColor="text1"/>
        </w:rPr>
        <w:t xml:space="preserve">deemed to be plausible values for </w:t>
      </w:r>
      <w:r w:rsidRPr="003573DA" w:rsidR="4B150141">
        <w:rPr>
          <w:color w:val="000000" w:themeColor="text1"/>
        </w:rPr>
        <w:t>failure rate</w:t>
      </w:r>
      <w:r w:rsidRPr="003573DA">
        <w:rPr>
          <w:color w:val="000000" w:themeColor="text1"/>
        </w:rPr>
        <w:t>. Statistical hypothesis testing is a more formal method for</w:t>
      </w:r>
      <w:r w:rsidRPr="003573DA" w:rsidR="7DBC7A79">
        <w:rPr>
          <w:color w:val="000000" w:themeColor="text1"/>
        </w:rPr>
        <w:t xml:space="preserve"> </w:t>
      </w:r>
      <w:r w:rsidRPr="003573DA">
        <w:rPr>
          <w:color w:val="000000" w:themeColor="text1"/>
        </w:rPr>
        <w:t>evaluating</w:t>
      </w:r>
      <w:r w:rsidRPr="003573DA" w:rsidR="4B150141">
        <w:rPr>
          <w:color w:val="000000" w:themeColor="text1"/>
        </w:rPr>
        <w:t xml:space="preserve"> the failure rate</w:t>
      </w:r>
      <w:r w:rsidRPr="003573DA">
        <w:rPr>
          <w:color w:val="000000" w:themeColor="text1"/>
        </w:rPr>
        <w:t>. Two opposite and competing hypotheses are determined prior to data collection, and</w:t>
      </w:r>
      <w:r w:rsidRPr="003573DA" w:rsidR="4B150141">
        <w:rPr>
          <w:color w:val="000000" w:themeColor="text1"/>
        </w:rPr>
        <w:t xml:space="preserve"> </w:t>
      </w:r>
      <w:r w:rsidRPr="003573DA">
        <w:rPr>
          <w:color w:val="000000" w:themeColor="text1"/>
        </w:rPr>
        <w:t>the data are used to evaluate which hypothesis is more plausible. Both CIs and statistical hypothesis</w:t>
      </w:r>
      <w:r w:rsidRPr="003573DA" w:rsidR="4B150141">
        <w:rPr>
          <w:color w:val="000000" w:themeColor="text1"/>
        </w:rPr>
        <w:t xml:space="preserve"> </w:t>
      </w:r>
      <w:r w:rsidRPr="003573DA">
        <w:rPr>
          <w:color w:val="000000" w:themeColor="text1"/>
        </w:rPr>
        <w:t>tests can be used for sample (trial) size determination.</w:t>
      </w:r>
      <w:r w:rsidRPr="003573DA" w:rsidR="44C0A60E">
        <w:rPr>
          <w:color w:val="000000" w:themeColor="text1"/>
        </w:rPr>
        <w:t xml:space="preserve"> </w:t>
      </w:r>
      <w:r w:rsidRPr="003573DA" w:rsidR="0BEA5611">
        <w:rPr>
          <w:color w:val="000000" w:themeColor="text1"/>
        </w:rPr>
        <w:t xml:space="preserve">Table 1 shows the required elements for this determination. </w:t>
      </w:r>
      <w:r w:rsidRPr="003573DA" w:rsidR="44C0A60E">
        <w:rPr>
          <w:b/>
          <w:bCs/>
          <w:color w:val="000000" w:themeColor="text1"/>
        </w:rPr>
        <w:t xml:space="preserve">Sample size determination </w:t>
      </w:r>
      <w:r w:rsidRPr="003573DA" w:rsidR="44C0A60E">
        <w:rPr>
          <w:color w:val="000000" w:themeColor="text1"/>
        </w:rPr>
        <w:t xml:space="preserve">required for a test is often determined by weighting two competing factors – science-based criteria, juxtaposed with economic realities. The amount of data that can be collected in a </w:t>
      </w:r>
      <w:r w:rsidRPr="003573DA" w:rsidR="44C0A60E">
        <w:rPr>
          <w:color w:val="000000" w:themeColor="text1"/>
        </w:rPr>
        <w:t>specified amount of time must be weighted with the amount of precision and accuracy required for the test.</w:t>
      </w:r>
    </w:p>
    <w:p w:rsidR="165771B4" w:rsidRPr="003573DA" w:rsidP="6C43042C" w14:paraId="61CFF7FF" w14:textId="2C508EA9">
      <w:pPr>
        <w:rPr>
          <w:color w:val="000000" w:themeColor="text1"/>
        </w:rPr>
      </w:pPr>
      <w:r w:rsidRPr="003573DA">
        <w:rPr>
          <w:noProof/>
          <w:color w:val="000000" w:themeColor="text1"/>
        </w:rPr>
        <w:drawing>
          <wp:inline distT="0" distB="0" distL="0" distR="0">
            <wp:extent cx="5168714" cy="2196703"/>
            <wp:effectExtent l="0" t="0" r="0" b="0"/>
            <wp:docPr id="2090450037" name="Picture 209045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5003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168714" cy="2196703"/>
                    </a:xfrm>
                    <a:prstGeom prst="rect">
                      <a:avLst/>
                    </a:prstGeom>
                  </pic:spPr>
                </pic:pic>
              </a:graphicData>
            </a:graphic>
          </wp:inline>
        </w:drawing>
      </w:r>
    </w:p>
    <w:p w:rsidR="004C7570" w:rsidRPr="003573DA" w:rsidP="004C7570" w14:paraId="21752282" w14:textId="21C23435">
      <w:pPr>
        <w:rPr>
          <w:color w:val="000000" w:themeColor="text1"/>
        </w:rPr>
      </w:pPr>
      <w:r w:rsidRPr="003573DA">
        <w:rPr>
          <w:color w:val="000000" w:themeColor="text1"/>
        </w:rPr>
        <w:t>In statistical estimation, one typically defines a desired value for the parameter under a test</w:t>
      </w:r>
      <w:r w:rsidRPr="003573DA" w:rsidR="2C9811D1">
        <w:rPr>
          <w:color w:val="000000" w:themeColor="text1"/>
        </w:rPr>
        <w:t xml:space="preserve"> </w:t>
      </w:r>
      <w:r w:rsidRPr="003573DA">
        <w:rPr>
          <w:color w:val="000000" w:themeColor="text1"/>
        </w:rPr>
        <w:t xml:space="preserve">(i.e., detection of a test article at an acceptable quality). </w:t>
      </w:r>
      <w:r w:rsidRPr="003573DA" w:rsidR="302C6CC2">
        <w:rPr>
          <w:color w:val="000000" w:themeColor="text1"/>
        </w:rPr>
        <w:t>The performers</w:t>
      </w:r>
      <w:r w:rsidRPr="003573DA">
        <w:rPr>
          <w:b/>
          <w:bCs/>
          <w:color w:val="000000" w:themeColor="text1"/>
        </w:rPr>
        <w:t xml:space="preserve"> define the desired parameter</w:t>
      </w:r>
      <w:r w:rsidRPr="003573DA" w:rsidR="208DF8D1">
        <w:rPr>
          <w:b/>
          <w:bCs/>
          <w:color w:val="000000" w:themeColor="text1"/>
        </w:rPr>
        <w:t xml:space="preserve"> </w:t>
      </w:r>
      <w:r w:rsidRPr="003573DA">
        <w:rPr>
          <w:b/>
          <w:bCs/>
          <w:color w:val="000000" w:themeColor="text1"/>
        </w:rPr>
        <w:t xml:space="preserve">value as a specified objective failure rate </w:t>
      </w:r>
      <w:r w:rsidRPr="003573DA">
        <w:rPr>
          <w:b/>
          <w:bCs/>
          <w:i/>
          <w:iCs/>
          <w:color w:val="000000" w:themeColor="text1"/>
        </w:rPr>
        <w:t>p</w:t>
      </w:r>
      <w:r w:rsidRPr="003573DA">
        <w:rPr>
          <w:b/>
          <w:bCs/>
          <w:color w:val="000000" w:themeColor="text1"/>
          <w:vertAlign w:val="subscript"/>
        </w:rPr>
        <w:t>0</w:t>
      </w:r>
      <w:r w:rsidRPr="003573DA">
        <w:rPr>
          <w:color w:val="000000" w:themeColor="text1"/>
        </w:rPr>
        <w:t xml:space="preserve">. The </w:t>
      </w:r>
      <w:r w:rsidRPr="003573DA">
        <w:rPr>
          <w:b/>
          <w:bCs/>
          <w:color w:val="000000" w:themeColor="text1"/>
        </w:rPr>
        <w:t xml:space="preserve">objective rate </w:t>
      </w:r>
      <w:r w:rsidRPr="003573DA">
        <w:rPr>
          <w:color w:val="000000" w:themeColor="text1"/>
        </w:rPr>
        <w:t>is the goal for a new technology</w:t>
      </w:r>
      <w:r w:rsidRPr="003573DA" w:rsidR="13A87F9F">
        <w:rPr>
          <w:color w:val="000000" w:themeColor="text1"/>
        </w:rPr>
        <w:t xml:space="preserve"> </w:t>
      </w:r>
      <w:r w:rsidRPr="003573DA">
        <w:rPr>
          <w:color w:val="000000" w:themeColor="text1"/>
        </w:rPr>
        <w:t xml:space="preserve">and in the statistical framework, the </w:t>
      </w:r>
      <w:r w:rsidRPr="003573DA">
        <w:rPr>
          <w:b/>
          <w:bCs/>
          <w:color w:val="000000" w:themeColor="text1"/>
        </w:rPr>
        <w:t xml:space="preserve">true rate </w:t>
      </w:r>
      <w:r w:rsidRPr="003573DA">
        <w:rPr>
          <w:color w:val="000000" w:themeColor="text1"/>
        </w:rPr>
        <w:t xml:space="preserve">is assumed to be </w:t>
      </w:r>
      <w:r w:rsidRPr="003573DA">
        <w:rPr>
          <w:i/>
          <w:iCs/>
          <w:color w:val="000000" w:themeColor="text1"/>
        </w:rPr>
        <w:t>p</w:t>
      </w:r>
      <w:r w:rsidRPr="003573DA">
        <w:rPr>
          <w:color w:val="000000" w:themeColor="text1"/>
          <w:vertAlign w:val="subscript"/>
        </w:rPr>
        <w:t>0</w:t>
      </w:r>
      <w:r w:rsidRPr="003573DA">
        <w:rPr>
          <w:color w:val="000000" w:themeColor="text1"/>
        </w:rPr>
        <w:t xml:space="preserve"> until the data show otherwise.</w:t>
      </w:r>
      <w:r w:rsidRPr="003573DA" w:rsidR="25E619B8">
        <w:rPr>
          <w:color w:val="000000" w:themeColor="text1"/>
        </w:rPr>
        <w:t xml:space="preserve"> </w:t>
      </w:r>
      <w:r w:rsidRPr="003573DA">
        <w:rPr>
          <w:color w:val="000000" w:themeColor="text1"/>
        </w:rPr>
        <w:t xml:space="preserve">Once </w:t>
      </w:r>
      <w:r w:rsidRPr="003573DA">
        <w:rPr>
          <w:i/>
          <w:iCs/>
          <w:color w:val="000000" w:themeColor="text1"/>
        </w:rPr>
        <w:t>p</w:t>
      </w:r>
      <w:r w:rsidRPr="003573DA">
        <w:rPr>
          <w:i/>
          <w:iCs/>
          <w:color w:val="000000" w:themeColor="text1"/>
          <w:vertAlign w:val="subscript"/>
        </w:rPr>
        <w:t>0</w:t>
      </w:r>
      <w:r w:rsidRPr="003573DA">
        <w:rPr>
          <w:i/>
          <w:iCs/>
          <w:color w:val="000000" w:themeColor="text1"/>
        </w:rPr>
        <w:t xml:space="preserve"> </w:t>
      </w:r>
      <w:r w:rsidRPr="003573DA">
        <w:rPr>
          <w:color w:val="000000" w:themeColor="text1"/>
        </w:rPr>
        <w:t xml:space="preserve">is chosen, one then defines an </w:t>
      </w:r>
      <w:r w:rsidRPr="003573DA">
        <w:rPr>
          <w:b/>
          <w:bCs/>
          <w:color w:val="000000" w:themeColor="text1"/>
        </w:rPr>
        <w:t xml:space="preserve">acceptable range </w:t>
      </w:r>
      <w:r w:rsidRPr="003573DA">
        <w:rPr>
          <w:color w:val="000000" w:themeColor="text1"/>
        </w:rPr>
        <w:t>(</w:t>
      </w:r>
      <w:r w:rsidRPr="003573DA" w:rsidR="5FF0F28E">
        <w:rPr>
          <w:color w:val="000000" w:themeColor="text1"/>
        </w:rPr>
        <w:t>delta δ</w:t>
      </w:r>
      <w:r w:rsidRPr="003573DA" w:rsidR="415B4D67">
        <w:rPr>
          <w:color w:val="000000" w:themeColor="text1"/>
        </w:rPr>
        <w:t>)</w:t>
      </w:r>
      <w:r w:rsidRPr="003573DA">
        <w:rPr>
          <w:color w:val="000000" w:themeColor="text1"/>
        </w:rPr>
        <w:t xml:space="preserve"> for the value of that parameter</w:t>
      </w:r>
      <w:r w:rsidRPr="003573DA" w:rsidR="17064E53">
        <w:rPr>
          <w:color w:val="000000" w:themeColor="text1"/>
        </w:rPr>
        <w:t xml:space="preserve"> </w:t>
      </w:r>
      <w:r w:rsidRPr="003573DA">
        <w:rPr>
          <w:color w:val="000000" w:themeColor="text1"/>
        </w:rPr>
        <w:t xml:space="preserve">(e.g., </w:t>
      </w:r>
      <w:r w:rsidRPr="003573DA" w:rsidR="1D5AA986">
        <w:rPr>
          <w:color w:val="000000" w:themeColor="text1"/>
        </w:rPr>
        <w:t xml:space="preserve">± </w:t>
      </w:r>
      <w:r w:rsidRPr="003573DA">
        <w:rPr>
          <w:color w:val="000000" w:themeColor="text1"/>
        </w:rPr>
        <w:t>5 percentage points, half the desired value of the parameter). Ideally, there is a specified</w:t>
      </w:r>
      <w:r w:rsidRPr="003573DA" w:rsidR="3172CB25">
        <w:rPr>
          <w:color w:val="000000" w:themeColor="text1"/>
        </w:rPr>
        <w:t xml:space="preserve"> </w:t>
      </w:r>
      <w:r w:rsidRPr="003573DA">
        <w:rPr>
          <w:b/>
          <w:bCs/>
          <w:color w:val="000000" w:themeColor="text1"/>
        </w:rPr>
        <w:t xml:space="preserve">threshold failure rate </w:t>
      </w:r>
      <w:r w:rsidRPr="003573DA">
        <w:rPr>
          <w:i/>
          <w:iCs/>
          <w:color w:val="000000" w:themeColor="text1"/>
        </w:rPr>
        <w:t>p</w:t>
      </w:r>
      <w:r w:rsidRPr="003573DA">
        <w:rPr>
          <w:i/>
          <w:iCs/>
          <w:color w:val="000000" w:themeColor="text1"/>
          <w:vertAlign w:val="subscript"/>
        </w:rPr>
        <w:t>t</w:t>
      </w:r>
      <w:r w:rsidRPr="003573DA">
        <w:rPr>
          <w:i/>
          <w:iCs/>
          <w:color w:val="000000" w:themeColor="text1"/>
        </w:rPr>
        <w:t xml:space="preserve"> </w:t>
      </w:r>
      <w:r w:rsidRPr="003573DA">
        <w:rPr>
          <w:color w:val="000000" w:themeColor="text1"/>
        </w:rPr>
        <w:t>that meets the criteria for the maximal acceptable range for the value of</w:t>
      </w:r>
      <w:r w:rsidRPr="003573DA" w:rsidR="5828429D">
        <w:rPr>
          <w:color w:val="000000" w:themeColor="text1"/>
        </w:rPr>
        <w:t xml:space="preserve"> </w:t>
      </w:r>
      <w:r w:rsidRPr="003573DA">
        <w:rPr>
          <w:color w:val="000000" w:themeColor="text1"/>
        </w:rPr>
        <w:t xml:space="preserve">that parameter, such that </w:t>
      </w:r>
      <w:r w:rsidRPr="003573DA">
        <w:rPr>
          <w:i/>
          <w:iCs/>
          <w:color w:val="000000" w:themeColor="text1"/>
        </w:rPr>
        <w:t>p</w:t>
      </w:r>
      <w:r w:rsidRPr="003573DA">
        <w:rPr>
          <w:i/>
          <w:iCs/>
          <w:color w:val="000000" w:themeColor="text1"/>
          <w:vertAlign w:val="subscript"/>
        </w:rPr>
        <w:t>t</w:t>
      </w:r>
      <w:r w:rsidRPr="003573DA">
        <w:rPr>
          <w:i/>
          <w:iCs/>
          <w:color w:val="000000" w:themeColor="text1"/>
        </w:rPr>
        <w:t xml:space="preserve"> </w:t>
      </w:r>
      <w:r w:rsidRPr="003573DA">
        <w:rPr>
          <w:color w:val="000000" w:themeColor="text1"/>
        </w:rPr>
        <w:t xml:space="preserve">&gt; </w:t>
      </w:r>
      <w:r w:rsidRPr="003573DA">
        <w:rPr>
          <w:i/>
          <w:iCs/>
          <w:color w:val="000000" w:themeColor="text1"/>
        </w:rPr>
        <w:t>p</w:t>
      </w:r>
      <w:r w:rsidRPr="003573DA">
        <w:rPr>
          <w:color w:val="000000" w:themeColor="text1"/>
          <w:vertAlign w:val="subscript"/>
        </w:rPr>
        <w:t>0</w:t>
      </w:r>
      <w:r w:rsidRPr="003573DA">
        <w:rPr>
          <w:color w:val="000000" w:themeColor="text1"/>
        </w:rPr>
        <w:t xml:space="preserve"> and δ = </w:t>
      </w:r>
      <w:r w:rsidRPr="003573DA">
        <w:rPr>
          <w:i/>
          <w:iCs/>
          <w:color w:val="000000" w:themeColor="text1"/>
        </w:rPr>
        <w:t>p</w:t>
      </w:r>
      <w:r w:rsidRPr="003573DA">
        <w:rPr>
          <w:i/>
          <w:iCs/>
          <w:color w:val="000000" w:themeColor="text1"/>
          <w:vertAlign w:val="subscript"/>
        </w:rPr>
        <w:t>t</w:t>
      </w:r>
      <w:r w:rsidRPr="003573DA">
        <w:rPr>
          <w:i/>
          <w:iCs/>
          <w:color w:val="000000" w:themeColor="text1"/>
        </w:rPr>
        <w:t xml:space="preserve"> </w:t>
      </w:r>
      <w:r w:rsidRPr="003573DA">
        <w:rPr>
          <w:color w:val="000000" w:themeColor="text1"/>
        </w:rPr>
        <w:t xml:space="preserve">- </w:t>
      </w:r>
      <w:r w:rsidRPr="003573DA">
        <w:rPr>
          <w:i/>
          <w:iCs/>
          <w:color w:val="000000" w:themeColor="text1"/>
        </w:rPr>
        <w:t>p</w:t>
      </w:r>
      <w:r w:rsidRPr="003573DA">
        <w:rPr>
          <w:color w:val="000000" w:themeColor="text1"/>
          <w:vertAlign w:val="subscript"/>
        </w:rPr>
        <w:t>0</w:t>
      </w:r>
      <w:r w:rsidRPr="003573DA">
        <w:rPr>
          <w:color w:val="000000" w:themeColor="text1"/>
        </w:rPr>
        <w:t xml:space="preserve"> &gt; 0. The threshold rate </w:t>
      </w:r>
      <w:r w:rsidRPr="003573DA">
        <w:rPr>
          <w:i/>
          <w:iCs/>
          <w:color w:val="000000" w:themeColor="text1"/>
        </w:rPr>
        <w:t>p</w:t>
      </w:r>
      <w:r w:rsidRPr="003573DA">
        <w:rPr>
          <w:i/>
          <w:iCs/>
          <w:color w:val="000000" w:themeColor="text1"/>
          <w:vertAlign w:val="subscript"/>
        </w:rPr>
        <w:t>t</w:t>
      </w:r>
      <w:r w:rsidRPr="003573DA">
        <w:rPr>
          <w:i/>
          <w:iCs/>
          <w:color w:val="000000" w:themeColor="text1"/>
        </w:rPr>
        <w:t xml:space="preserve"> </w:t>
      </w:r>
      <w:r w:rsidRPr="003573DA">
        <w:rPr>
          <w:color w:val="000000" w:themeColor="text1"/>
        </w:rPr>
        <w:t>represents the largest</w:t>
      </w:r>
      <w:r w:rsidRPr="003573DA" w:rsidR="1FFB1F94">
        <w:rPr>
          <w:color w:val="000000" w:themeColor="text1"/>
        </w:rPr>
        <w:t xml:space="preserve"> </w:t>
      </w:r>
      <w:r w:rsidRPr="003573DA">
        <w:rPr>
          <w:color w:val="000000" w:themeColor="text1"/>
        </w:rPr>
        <w:t xml:space="preserve">acceptable failure rate. A new technology with a true rate higher than </w:t>
      </w:r>
      <w:r w:rsidRPr="003573DA">
        <w:rPr>
          <w:i/>
          <w:iCs/>
          <w:color w:val="000000" w:themeColor="text1"/>
        </w:rPr>
        <w:t>p</w:t>
      </w:r>
      <w:r w:rsidRPr="003573DA">
        <w:rPr>
          <w:i/>
          <w:iCs/>
          <w:color w:val="000000" w:themeColor="text1"/>
          <w:vertAlign w:val="subscript"/>
        </w:rPr>
        <w:t>t</w:t>
      </w:r>
      <w:r w:rsidRPr="003573DA">
        <w:rPr>
          <w:i/>
          <w:iCs/>
          <w:color w:val="000000" w:themeColor="text1"/>
        </w:rPr>
        <w:t xml:space="preserve"> </w:t>
      </w:r>
      <w:r w:rsidRPr="003573DA">
        <w:rPr>
          <w:color w:val="000000" w:themeColor="text1"/>
        </w:rPr>
        <w:t>will be deemed an</w:t>
      </w:r>
      <w:r w:rsidRPr="003573DA" w:rsidR="2E1FB12D">
        <w:rPr>
          <w:color w:val="000000" w:themeColor="text1"/>
        </w:rPr>
        <w:t xml:space="preserve"> </w:t>
      </w:r>
      <w:r w:rsidRPr="003573DA">
        <w:rPr>
          <w:color w:val="000000" w:themeColor="text1"/>
        </w:rPr>
        <w:t>unsatisfactory technology. For binary outcome failure data, the underlying statistical distribution</w:t>
      </w:r>
      <w:r w:rsidRPr="003573DA" w:rsidR="63B4F40A">
        <w:rPr>
          <w:color w:val="000000" w:themeColor="text1"/>
        </w:rPr>
        <w:t xml:space="preserve"> </w:t>
      </w:r>
      <w:r w:rsidRPr="003573DA">
        <w:rPr>
          <w:color w:val="000000" w:themeColor="text1"/>
        </w:rPr>
        <w:t xml:space="preserve">is assumed to be binomial with </w:t>
      </w:r>
      <w:r w:rsidRPr="003573DA">
        <w:rPr>
          <w:i/>
          <w:iCs/>
          <w:color w:val="000000" w:themeColor="text1"/>
        </w:rPr>
        <w:t xml:space="preserve">X </w:t>
      </w:r>
      <w:r w:rsidRPr="003573DA">
        <w:rPr>
          <w:color w:val="000000" w:themeColor="text1"/>
        </w:rPr>
        <w:t xml:space="preserve">~ </w:t>
      </w:r>
      <w:r w:rsidRPr="003573DA" w:rsidR="004574E0">
        <w:rPr>
          <w:color w:val="000000" w:themeColor="text1"/>
        </w:rPr>
        <w:t>Bin (</w:t>
      </w:r>
      <w:r w:rsidRPr="003573DA">
        <w:rPr>
          <w:i/>
          <w:iCs/>
          <w:color w:val="000000" w:themeColor="text1"/>
        </w:rPr>
        <w:t>n, p</w:t>
      </w:r>
      <w:r w:rsidRPr="003573DA">
        <w:rPr>
          <w:color w:val="000000" w:themeColor="text1"/>
        </w:rPr>
        <w:t xml:space="preserve">); where </w:t>
      </w:r>
      <w:r w:rsidRPr="003573DA">
        <w:rPr>
          <w:i/>
          <w:iCs/>
          <w:color w:val="000000" w:themeColor="text1"/>
        </w:rPr>
        <w:t xml:space="preserve">n </w:t>
      </w:r>
      <w:r w:rsidRPr="003573DA">
        <w:rPr>
          <w:color w:val="000000" w:themeColor="text1"/>
        </w:rPr>
        <w:t xml:space="preserve">is the number of trials, </w:t>
      </w:r>
      <w:r w:rsidRPr="003573DA">
        <w:rPr>
          <w:i/>
          <w:iCs/>
          <w:color w:val="000000" w:themeColor="text1"/>
        </w:rPr>
        <w:t xml:space="preserve">p </w:t>
      </w:r>
      <w:r w:rsidRPr="003573DA">
        <w:rPr>
          <w:color w:val="000000" w:themeColor="text1"/>
        </w:rPr>
        <w:t>is the true</w:t>
      </w:r>
      <w:r w:rsidRPr="003573DA" w:rsidR="6B896824">
        <w:rPr>
          <w:color w:val="000000" w:themeColor="text1"/>
        </w:rPr>
        <w:t xml:space="preserve"> </w:t>
      </w:r>
      <w:r w:rsidRPr="003573DA">
        <w:rPr>
          <w:color w:val="000000" w:themeColor="text1"/>
        </w:rPr>
        <w:t xml:space="preserve">underlying failure rate, and </w:t>
      </w:r>
      <w:r w:rsidRPr="003573DA">
        <w:rPr>
          <w:i/>
          <w:iCs/>
          <w:color w:val="000000" w:themeColor="text1"/>
        </w:rPr>
        <w:t xml:space="preserve">X </w:t>
      </w:r>
      <w:r w:rsidRPr="003573DA">
        <w:rPr>
          <w:color w:val="000000" w:themeColor="text1"/>
        </w:rPr>
        <w:t xml:space="preserve">is the number of failures out of the </w:t>
      </w:r>
      <w:r w:rsidRPr="003573DA">
        <w:rPr>
          <w:i/>
          <w:iCs/>
          <w:color w:val="000000" w:themeColor="text1"/>
        </w:rPr>
        <w:t xml:space="preserve">n </w:t>
      </w:r>
      <w:r w:rsidRPr="003573DA">
        <w:rPr>
          <w:color w:val="000000" w:themeColor="text1"/>
        </w:rPr>
        <w:t>trials. It is also assumed that</w:t>
      </w:r>
      <w:r w:rsidRPr="003573DA" w:rsidR="41DD642D">
        <w:rPr>
          <w:color w:val="000000" w:themeColor="text1"/>
        </w:rPr>
        <w:t xml:space="preserve"> </w:t>
      </w:r>
      <w:r w:rsidRPr="003573DA">
        <w:rPr>
          <w:color w:val="000000" w:themeColor="text1"/>
        </w:rPr>
        <w:t>the trials are statistically independent and unique, as defined above.</w:t>
      </w:r>
    </w:p>
    <w:p w:rsidR="00373DAC" w:rsidRPr="003573DA" w:rsidP="004C7570" w14:paraId="5C6960F0" w14:textId="77777777">
      <w:pPr>
        <w:rPr>
          <w:color w:val="000000" w:themeColor="text1"/>
        </w:rPr>
      </w:pPr>
    </w:p>
    <w:p w:rsidR="006A4EEE" w:rsidRPr="003573DA" w14:paraId="61ED5C3D" w14:textId="055C66A7">
      <w:pPr>
        <w:rPr>
          <w:color w:val="000000" w:themeColor="text1"/>
        </w:rPr>
      </w:pPr>
      <w:r w:rsidRPr="003573DA">
        <w:rPr>
          <w:color w:val="000000" w:themeColor="text1"/>
        </w:rPr>
        <w:t>• Degree of accuracy needed for the purpose described in the justification</w:t>
      </w:r>
    </w:p>
    <w:p w:rsidR="00451D76" w:rsidRPr="003573DA" w14:paraId="67B03496" w14:textId="23D2DF58">
      <w:pPr>
        <w:rPr>
          <w:color w:val="000000" w:themeColor="text1"/>
        </w:rPr>
      </w:pPr>
      <w:r w:rsidRPr="003573DA">
        <w:rPr>
          <w:color w:val="000000" w:themeColor="text1"/>
        </w:rPr>
        <w:tab/>
      </w:r>
      <w:r w:rsidRPr="003573DA" w:rsidR="00B238F9">
        <w:rPr>
          <w:color w:val="000000" w:themeColor="text1"/>
        </w:rPr>
        <w:t xml:space="preserve">Because OBIM’s biometric repository </w:t>
      </w:r>
      <w:r w:rsidRPr="003573DA" w:rsidR="00562880">
        <w:rPr>
          <w:color w:val="000000" w:themeColor="text1"/>
        </w:rPr>
        <w:t>houses</w:t>
      </w:r>
      <w:r w:rsidRPr="003573DA" w:rsidR="00B238F9">
        <w:rPr>
          <w:color w:val="000000" w:themeColor="text1"/>
        </w:rPr>
        <w:t xml:space="preserve"> hundreds of millions of unique identities, billions of biometric data points, and is </w:t>
      </w:r>
      <w:r w:rsidRPr="003573DA" w:rsidR="00562880">
        <w:rPr>
          <w:color w:val="000000" w:themeColor="text1"/>
        </w:rPr>
        <w:t>involved in</w:t>
      </w:r>
      <w:r w:rsidRPr="003573DA" w:rsidR="00B238F9">
        <w:rPr>
          <w:color w:val="000000" w:themeColor="text1"/>
        </w:rPr>
        <w:t xml:space="preserve"> 400,000 </w:t>
      </w:r>
      <w:r w:rsidRPr="003573DA" w:rsidR="00562880">
        <w:rPr>
          <w:color w:val="000000" w:themeColor="text1"/>
        </w:rPr>
        <w:t>identification/verification transactions</w:t>
      </w:r>
      <w:r w:rsidRPr="003573DA" w:rsidR="00B238F9">
        <w:rPr>
          <w:color w:val="000000" w:themeColor="text1"/>
        </w:rPr>
        <w:t xml:space="preserve"> a day, it is imperative that accuracy levels </w:t>
      </w:r>
      <w:r w:rsidRPr="003573DA" w:rsidR="00562880">
        <w:rPr>
          <w:color w:val="000000" w:themeColor="text1"/>
        </w:rPr>
        <w:t xml:space="preserve">of collection devices or matching software </w:t>
      </w:r>
      <w:r w:rsidRPr="003573DA" w:rsidR="00B238F9">
        <w:rPr>
          <w:color w:val="000000" w:themeColor="text1"/>
        </w:rPr>
        <w:t xml:space="preserve">are high.  Ideally, </w:t>
      </w:r>
      <w:r w:rsidRPr="003573DA" w:rsidR="00562880">
        <w:rPr>
          <w:color w:val="000000" w:themeColor="text1"/>
        </w:rPr>
        <w:t xml:space="preserve">OBIM would like no less than </w:t>
      </w:r>
      <w:r w:rsidRPr="003573DA" w:rsidR="00B238F9">
        <w:rPr>
          <w:color w:val="000000" w:themeColor="text1"/>
        </w:rPr>
        <w:t>99%</w:t>
      </w:r>
      <w:r w:rsidRPr="003573DA" w:rsidR="00562880">
        <w:rPr>
          <w:color w:val="000000" w:themeColor="text1"/>
        </w:rPr>
        <w:t xml:space="preserve"> accuracy when biometric systems are being utilized for comparison</w:t>
      </w:r>
      <w:r w:rsidRPr="003573DA" w:rsidR="00B238F9">
        <w:rPr>
          <w:color w:val="000000" w:themeColor="text1"/>
        </w:rPr>
        <w:t xml:space="preserve">.  Even </w:t>
      </w:r>
      <w:r w:rsidRPr="003573DA" w:rsidR="00562880">
        <w:rPr>
          <w:color w:val="000000" w:themeColor="text1"/>
        </w:rPr>
        <w:t xml:space="preserve">at this 99% accuracy level that leaves </w:t>
      </w:r>
      <w:r w:rsidRPr="003573DA" w:rsidR="00B238F9">
        <w:rPr>
          <w:color w:val="000000" w:themeColor="text1"/>
        </w:rPr>
        <w:t xml:space="preserve">1% </w:t>
      </w:r>
      <w:r w:rsidRPr="003573DA" w:rsidR="00562880">
        <w:rPr>
          <w:color w:val="000000" w:themeColor="text1"/>
        </w:rPr>
        <w:t xml:space="preserve">of </w:t>
      </w:r>
      <w:r w:rsidRPr="003573DA" w:rsidR="00B238F9">
        <w:rPr>
          <w:color w:val="000000" w:themeColor="text1"/>
        </w:rPr>
        <w:t xml:space="preserve">400,000 transactions a day </w:t>
      </w:r>
      <w:r w:rsidRPr="003573DA" w:rsidR="00562880">
        <w:rPr>
          <w:color w:val="000000" w:themeColor="text1"/>
        </w:rPr>
        <w:t>that result in inaccuracy matching and comparison.  This means that approximately 400 individuals crossing borders each day have</w:t>
      </w:r>
      <w:r w:rsidRPr="003573DA" w:rsidR="00B238F9">
        <w:rPr>
          <w:color w:val="000000" w:themeColor="text1"/>
        </w:rPr>
        <w:t xml:space="preserve"> missed identifications and </w:t>
      </w:r>
      <w:r w:rsidRPr="003573DA" w:rsidR="00562880">
        <w:rPr>
          <w:color w:val="000000" w:themeColor="text1"/>
        </w:rPr>
        <w:t xml:space="preserve">it is likely that </w:t>
      </w:r>
      <w:r w:rsidRPr="003573DA" w:rsidR="00B238F9">
        <w:rPr>
          <w:color w:val="000000" w:themeColor="text1"/>
        </w:rPr>
        <w:t>some of these</w:t>
      </w:r>
      <w:r w:rsidRPr="003573DA" w:rsidR="009321E1">
        <w:rPr>
          <w:color w:val="000000" w:themeColor="text1"/>
        </w:rPr>
        <w:t xml:space="preserve"> mismatches</w:t>
      </w:r>
      <w:r w:rsidRPr="003573DA" w:rsidR="00B238F9">
        <w:rPr>
          <w:color w:val="000000" w:themeColor="text1"/>
        </w:rPr>
        <w:t xml:space="preserve"> may be bad actors that pos</w:t>
      </w:r>
      <w:r w:rsidRPr="003573DA" w:rsidR="009321E1">
        <w:rPr>
          <w:color w:val="000000" w:themeColor="text1"/>
        </w:rPr>
        <w:t>e</w:t>
      </w:r>
      <w:r w:rsidRPr="003573DA" w:rsidR="00B238F9">
        <w:rPr>
          <w:color w:val="000000" w:themeColor="text1"/>
        </w:rPr>
        <w:t xml:space="preserve"> a threat to national security. Thus, high accuracy levels are </w:t>
      </w:r>
      <w:r w:rsidRPr="003573DA" w:rsidR="009321E1">
        <w:rPr>
          <w:color w:val="000000" w:themeColor="text1"/>
        </w:rPr>
        <w:t>a necessity</w:t>
      </w:r>
      <w:r w:rsidRPr="003573DA" w:rsidR="00B238F9">
        <w:rPr>
          <w:color w:val="000000" w:themeColor="text1"/>
        </w:rPr>
        <w:t xml:space="preserve"> and appropriate sample sizes must be collected that can scale up to the numbers of identities and transactions that OBIM is responsible for each day</w:t>
      </w:r>
      <w:r w:rsidRPr="003573DA" w:rsidR="009321E1">
        <w:rPr>
          <w:color w:val="000000" w:themeColor="text1"/>
        </w:rPr>
        <w:t xml:space="preserve"> so DHS components accessing OBIM data can keep borders safe and bad actors out</w:t>
      </w:r>
      <w:r w:rsidRPr="003573DA" w:rsidR="00B238F9">
        <w:rPr>
          <w:color w:val="000000" w:themeColor="text1"/>
        </w:rPr>
        <w:t>.</w:t>
      </w:r>
    </w:p>
    <w:p w:rsidR="00CC2EA5" w:rsidRPr="003573DA" w:rsidP="00CC2EA5" w14:paraId="3527DDAA" w14:textId="3E3EFAE8">
      <w:pPr>
        <w:rPr>
          <w:color w:val="000000" w:themeColor="text1"/>
        </w:rPr>
      </w:pPr>
      <w:r w:rsidRPr="003573DA">
        <w:rPr>
          <w:color w:val="000000" w:themeColor="text1"/>
        </w:rPr>
        <w:t xml:space="preserve">Based on previous studies, </w:t>
      </w:r>
      <w:r w:rsidRPr="003573DA" w:rsidR="2C2E3555">
        <w:rPr>
          <w:color w:val="000000" w:themeColor="text1"/>
        </w:rPr>
        <w:t>the performers</w:t>
      </w:r>
      <w:r w:rsidRPr="003573DA">
        <w:rPr>
          <w:color w:val="000000" w:themeColor="text1"/>
        </w:rPr>
        <w:t xml:space="preserve"> </w:t>
      </w:r>
      <w:r w:rsidRPr="003573DA" w:rsidR="005E0052">
        <w:rPr>
          <w:color w:val="000000" w:themeColor="text1"/>
        </w:rPr>
        <w:t>predict</w:t>
      </w:r>
      <w:r w:rsidRPr="003573DA" w:rsidR="00F27689">
        <w:rPr>
          <w:color w:val="000000" w:themeColor="text1"/>
        </w:rPr>
        <w:t xml:space="preserve"> </w:t>
      </w:r>
      <w:r w:rsidRPr="003573DA">
        <w:rPr>
          <w:color w:val="000000" w:themeColor="text1"/>
        </w:rPr>
        <w:t xml:space="preserve">the TMR </w:t>
      </w:r>
      <w:r w:rsidRPr="003573DA" w:rsidR="00F72BA7">
        <w:rPr>
          <w:color w:val="000000" w:themeColor="text1"/>
        </w:rPr>
        <w:t xml:space="preserve">(true match rate) </w:t>
      </w:r>
      <w:r w:rsidRPr="003573DA">
        <w:rPr>
          <w:color w:val="000000" w:themeColor="text1"/>
        </w:rPr>
        <w:t xml:space="preserve">for baseline sensors will be 99%. For a desired power of 0.70 and a Type I error rate of 0.10, we therefore need to collect a total of </w:t>
      </w:r>
      <w:r w:rsidRPr="003573DA">
        <w:rPr>
          <w:color w:val="000000" w:themeColor="text1"/>
        </w:rPr>
        <w:t xml:space="preserve">317 independent samples to detect a 1% difference in TMR between contactless and baseline sensors (e.g., contactless TMR &gt;= 98%). </w:t>
      </w:r>
    </w:p>
    <w:p w:rsidR="00CC2EA5" w:rsidRPr="003573DA" w14:paraId="2656674E" w14:textId="3C2F1C12">
      <w:pPr>
        <w:rPr>
          <w:color w:val="000000" w:themeColor="text1"/>
        </w:rPr>
      </w:pPr>
      <w:r w:rsidRPr="003573DA">
        <w:rPr>
          <w:color w:val="000000" w:themeColor="text1"/>
        </w:rPr>
        <w:t>To obtain this sample size, and to satisfy secondary aims to understand factors within OBIM’s collection practices that may affect TMR, participants may collect multiple times on sensors under a variety of conditions (e.g., lighting, distance from camera, skin barriers). Each individual collection under separate conditions will be treated as an independent sample for the purposes of this study.</w:t>
      </w:r>
    </w:p>
    <w:p w:rsidR="00373DAC" w:rsidRPr="003573DA" w14:paraId="2A85BAAC" w14:textId="77777777">
      <w:pPr>
        <w:rPr>
          <w:color w:val="000000" w:themeColor="text1"/>
        </w:rPr>
      </w:pPr>
    </w:p>
    <w:p w:rsidR="006A4EEE" w:rsidRPr="003573DA" w14:paraId="52DBE89C" w14:textId="78AEA2C5">
      <w:pPr>
        <w:rPr>
          <w:color w:val="000000" w:themeColor="text1"/>
        </w:rPr>
      </w:pPr>
      <w:r w:rsidRPr="003573DA">
        <w:rPr>
          <w:color w:val="000000" w:themeColor="text1"/>
        </w:rPr>
        <w:t>• Unusual problems requiring specialized sampling procedures</w:t>
      </w:r>
    </w:p>
    <w:p w:rsidR="00373DAC" w:rsidRPr="003573DA" w14:paraId="2F959043" w14:textId="3CA838C7">
      <w:pPr>
        <w:rPr>
          <w:color w:val="000000" w:themeColor="text1"/>
        </w:rPr>
      </w:pPr>
      <w:r w:rsidRPr="003573DA">
        <w:rPr>
          <w:color w:val="000000" w:themeColor="text1"/>
        </w:rPr>
        <w:tab/>
        <w:t>N/A</w:t>
      </w:r>
      <w:r w:rsidRPr="003573DA" w:rsidR="00A90448">
        <w:rPr>
          <w:color w:val="000000" w:themeColor="text1"/>
        </w:rPr>
        <w:t>.</w:t>
      </w:r>
    </w:p>
    <w:p w:rsidR="00A90448" w:rsidRPr="003573DA" w14:paraId="01769113" w14:textId="77777777">
      <w:pPr>
        <w:rPr>
          <w:color w:val="000000" w:themeColor="text1"/>
        </w:rPr>
      </w:pPr>
    </w:p>
    <w:p w:rsidR="006A4EEE" w:rsidRPr="003573DA" w14:paraId="5949A816" w14:textId="77777777">
      <w:pPr>
        <w:rPr>
          <w:color w:val="000000" w:themeColor="text1"/>
        </w:rPr>
      </w:pPr>
      <w:r w:rsidRPr="003573DA">
        <w:rPr>
          <w:color w:val="000000" w:themeColor="text1"/>
        </w:rPr>
        <w:t xml:space="preserve">• Any use of periodic (less frequently than annual) data collection cycles to reduce burden. </w:t>
      </w:r>
    </w:p>
    <w:p w:rsidR="00451D76" w:rsidRPr="003573DA" w14:paraId="49F04CAD" w14:textId="312FF546">
      <w:pPr>
        <w:rPr>
          <w:color w:val="000000" w:themeColor="text1"/>
        </w:rPr>
      </w:pPr>
      <w:r w:rsidRPr="003573DA">
        <w:rPr>
          <w:color w:val="000000" w:themeColor="text1"/>
        </w:rPr>
        <w:tab/>
        <w:t>Because of yearly funds and</w:t>
      </w:r>
      <w:r w:rsidRPr="003573DA" w:rsidR="00472F68">
        <w:rPr>
          <w:color w:val="000000" w:themeColor="text1"/>
        </w:rPr>
        <w:t xml:space="preserve"> annual</w:t>
      </w:r>
      <w:r w:rsidRPr="003573DA">
        <w:rPr>
          <w:color w:val="000000" w:themeColor="text1"/>
        </w:rPr>
        <w:t xml:space="preserve"> project </w:t>
      </w:r>
      <w:r w:rsidRPr="003573DA" w:rsidR="00472F68">
        <w:rPr>
          <w:color w:val="000000" w:themeColor="text1"/>
        </w:rPr>
        <w:t>timelines and goals</w:t>
      </w:r>
      <w:r w:rsidRPr="003573DA">
        <w:rPr>
          <w:color w:val="000000" w:themeColor="text1"/>
        </w:rPr>
        <w:t xml:space="preserve">, there should be no need to sample individuals more than one time per fiscal year. Thus, OBIM will work with performers to </w:t>
      </w:r>
      <w:r w:rsidRPr="003573DA" w:rsidR="00B238F9">
        <w:rPr>
          <w:color w:val="000000" w:themeColor="text1"/>
        </w:rPr>
        <w:t xml:space="preserve">understand appropriate sample sizes and what is needed for data analyses to be fruitful, </w:t>
      </w:r>
      <w:r w:rsidRPr="003573DA" w:rsidR="00373DAC">
        <w:rPr>
          <w:color w:val="000000" w:themeColor="text1"/>
        </w:rPr>
        <w:t>scalable,</w:t>
      </w:r>
      <w:r w:rsidRPr="003573DA" w:rsidR="00B238F9">
        <w:rPr>
          <w:color w:val="000000" w:themeColor="text1"/>
        </w:rPr>
        <w:t xml:space="preserve"> and valuable without placing undue burden on the American people. </w:t>
      </w:r>
    </w:p>
    <w:p w:rsidR="00373DAC" w:rsidRPr="003573DA" w14:paraId="21AFECDA" w14:textId="6E49FA1A">
      <w:pPr>
        <w:rPr>
          <w:color w:val="000000" w:themeColor="text1"/>
        </w:rPr>
      </w:pPr>
      <w:r w:rsidRPr="003573DA">
        <w:rPr>
          <w:color w:val="000000" w:themeColor="text1"/>
        </w:rPr>
        <w:t>Participants will be in th</w:t>
      </w:r>
      <w:r w:rsidRPr="003573DA" w:rsidR="00496469">
        <w:rPr>
          <w:color w:val="000000" w:themeColor="text1"/>
        </w:rPr>
        <w:t xml:space="preserve">is study for a minimum of a single test session lasting up to 2 hours. There is a possibility that multiple test sessions will be needed to fully answer all the research questions. </w:t>
      </w:r>
      <w:r w:rsidRPr="003573DA" w:rsidR="00CF6CDE">
        <w:rPr>
          <w:color w:val="000000" w:themeColor="text1"/>
        </w:rPr>
        <w:t>If the participant agrees to future contact in the consent forms, they will b</w:t>
      </w:r>
      <w:r w:rsidRPr="003573DA" w:rsidR="00244794">
        <w:rPr>
          <w:color w:val="000000" w:themeColor="text1"/>
        </w:rPr>
        <w:t xml:space="preserve">e contacted by </w:t>
      </w:r>
      <w:r w:rsidRPr="003573DA" w:rsidR="00246D59">
        <w:rPr>
          <w:color w:val="000000" w:themeColor="text1"/>
        </w:rPr>
        <w:t>the performers</w:t>
      </w:r>
      <w:r w:rsidRPr="003573DA" w:rsidR="00244794">
        <w:rPr>
          <w:color w:val="000000" w:themeColor="text1"/>
        </w:rPr>
        <w:t xml:space="preserve"> about participating in another test session. </w:t>
      </w:r>
    </w:p>
    <w:p w:rsidR="00721243" w:rsidRPr="003573DA" w:rsidP="00721243" w14:paraId="79ABA047" w14:textId="25E1B524">
      <w:pPr>
        <w:spacing w:after="240"/>
        <w:rPr>
          <w:color w:val="000000" w:themeColor="text1"/>
        </w:rPr>
      </w:pPr>
      <w:r w:rsidRPr="003573DA">
        <w:rPr>
          <w:color w:val="000000" w:themeColor="text1"/>
        </w:rPr>
        <w:t>Participants will be compensated after completing the full test session. Study participation is by appointment only. If staff do not agree to participate in this study, it will not affect their employment.</w:t>
      </w:r>
    </w:p>
    <w:p w:rsidR="00373DAC" w:rsidRPr="003573DA" w14:paraId="20AF961D" w14:textId="77777777">
      <w:pPr>
        <w:rPr>
          <w:color w:val="000000" w:themeColor="text1"/>
        </w:rPr>
      </w:pPr>
    </w:p>
    <w:p w:rsidR="006A4EEE" w:rsidRPr="003573DA" w14:paraId="136148BA" w14:textId="26F1F147">
      <w:pPr>
        <w:rPr>
          <w:color w:val="000000" w:themeColor="text1"/>
        </w:rPr>
      </w:pPr>
      <w:r w:rsidRPr="003573DA">
        <w:rPr>
          <w:color w:val="000000" w:themeColor="text1"/>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238F9" w:rsidRPr="003573DA" w14:paraId="75B02A17" w14:textId="1D46F210">
      <w:pPr>
        <w:rPr>
          <w:color w:val="000000" w:themeColor="text1"/>
        </w:rPr>
      </w:pPr>
      <w:r w:rsidRPr="003573DA">
        <w:rPr>
          <w:color w:val="000000" w:themeColor="text1"/>
        </w:rPr>
        <w:t xml:space="preserve">OBIM performers have groups of researchers and collaborations that work </w:t>
      </w:r>
      <w:r w:rsidRPr="003573DA" w:rsidR="00472F68">
        <w:rPr>
          <w:color w:val="000000" w:themeColor="text1"/>
        </w:rPr>
        <w:t xml:space="preserve">together to determine the appropriate sample sizes of </w:t>
      </w:r>
      <w:r w:rsidRPr="003573DA">
        <w:rPr>
          <w:color w:val="000000" w:themeColor="text1"/>
        </w:rPr>
        <w:t xml:space="preserve">people </w:t>
      </w:r>
      <w:r w:rsidRPr="003573DA" w:rsidR="00472F68">
        <w:rPr>
          <w:color w:val="000000" w:themeColor="text1"/>
        </w:rPr>
        <w:t>that must be sampled, and biometrics collected from to answer relevant questions</w:t>
      </w:r>
      <w:r w:rsidRPr="003573DA">
        <w:rPr>
          <w:color w:val="000000" w:themeColor="text1"/>
        </w:rPr>
        <w:t>.  Actions that help to meet the appropriate sample sizes as a whole and within each stratificatio</w:t>
      </w:r>
      <w:r w:rsidRPr="003573DA" w:rsidR="00472F68">
        <w:rPr>
          <w:color w:val="000000" w:themeColor="text1"/>
        </w:rPr>
        <w:t>n</w:t>
      </w:r>
      <w:r w:rsidRPr="003573DA">
        <w:rPr>
          <w:color w:val="000000" w:themeColor="text1"/>
        </w:rPr>
        <w:t>,</w:t>
      </w:r>
      <w:r w:rsidRPr="003573DA" w:rsidR="00472F68">
        <w:rPr>
          <w:color w:val="000000" w:themeColor="text1"/>
        </w:rPr>
        <w:t xml:space="preserve"> including oversampling of</w:t>
      </w:r>
      <w:r w:rsidRPr="003573DA">
        <w:rPr>
          <w:color w:val="000000" w:themeColor="text1"/>
        </w:rPr>
        <w:t xml:space="preserve"> specific</w:t>
      </w:r>
      <w:r w:rsidRPr="003573DA" w:rsidR="00472F68">
        <w:rPr>
          <w:color w:val="000000" w:themeColor="text1"/>
        </w:rPr>
        <w:t>, underrepresented</w:t>
      </w:r>
      <w:r w:rsidRPr="003573DA">
        <w:rPr>
          <w:color w:val="000000" w:themeColor="text1"/>
        </w:rPr>
        <w:t xml:space="preserve"> groups that </w:t>
      </w:r>
      <w:r w:rsidRPr="003573DA" w:rsidR="00472F68">
        <w:rPr>
          <w:color w:val="000000" w:themeColor="text1"/>
        </w:rPr>
        <w:t>may be less responsive than other groups</w:t>
      </w:r>
      <w:r w:rsidRPr="003573DA" w:rsidR="00AD3D16">
        <w:rPr>
          <w:color w:val="000000" w:themeColor="text1"/>
        </w:rPr>
        <w:t xml:space="preserve"> will be considered by performers</w:t>
      </w:r>
      <w:r w:rsidRPr="003573DA">
        <w:rPr>
          <w:color w:val="000000" w:themeColor="text1"/>
        </w:rPr>
        <w:t xml:space="preserve">.  Other strategies include reaching out to groups and </w:t>
      </w:r>
      <w:r w:rsidRPr="003573DA" w:rsidR="00472F68">
        <w:rPr>
          <w:color w:val="000000" w:themeColor="text1"/>
        </w:rPr>
        <w:t>communities</w:t>
      </w:r>
      <w:r w:rsidRPr="003573DA">
        <w:rPr>
          <w:color w:val="000000" w:themeColor="text1"/>
        </w:rPr>
        <w:t xml:space="preserve"> within certain areas (e.g., geographic regions, like recruitment companies located in the </w:t>
      </w:r>
      <w:r w:rsidRPr="003573DA" w:rsidR="00DF2008">
        <w:rPr>
          <w:color w:val="000000" w:themeColor="text1"/>
        </w:rPr>
        <w:t>Hawaiian Islands</w:t>
      </w:r>
      <w:r w:rsidRPr="003573DA">
        <w:rPr>
          <w:color w:val="000000" w:themeColor="text1"/>
        </w:rPr>
        <w:t xml:space="preserve">) to ensure that the appropriate groups and numbers from these groups are represented in the </w:t>
      </w:r>
      <w:r w:rsidRPr="003573DA" w:rsidR="00AD3D16">
        <w:rPr>
          <w:color w:val="000000" w:themeColor="text1"/>
        </w:rPr>
        <w:t xml:space="preserve">overall </w:t>
      </w:r>
      <w:r w:rsidRPr="003573DA">
        <w:rPr>
          <w:color w:val="000000" w:themeColor="text1"/>
        </w:rPr>
        <w:t xml:space="preserve">sample size. </w:t>
      </w:r>
    </w:p>
    <w:p w:rsidR="00AB4597" w:rsidRPr="003573DA" w14:paraId="3B887EC3" w14:textId="072810D1">
      <w:pPr>
        <w:rPr>
          <w:color w:val="000000" w:themeColor="text1"/>
        </w:rPr>
      </w:pPr>
      <w:r w:rsidRPr="003573DA">
        <w:rPr>
          <w:color w:val="000000" w:themeColor="text1"/>
        </w:rPr>
        <w:t>The performer’s</w:t>
      </w:r>
      <w:r w:rsidRPr="003573DA" w:rsidR="00DE74FE">
        <w:rPr>
          <w:color w:val="000000" w:themeColor="text1"/>
        </w:rPr>
        <w:t xml:space="preserve"> first step will include utilizing the existing data gathered from the study to see what answers can be obtained. </w:t>
      </w:r>
      <w:r w:rsidRPr="003573DA" w:rsidR="002519D8">
        <w:rPr>
          <w:color w:val="000000" w:themeColor="text1"/>
        </w:rPr>
        <w:t xml:space="preserve">The second step </w:t>
      </w:r>
      <w:r w:rsidRPr="003573DA" w:rsidR="00B37BF2">
        <w:rPr>
          <w:color w:val="000000" w:themeColor="text1"/>
        </w:rPr>
        <w:t xml:space="preserve">will be to design an initial test to answer the first round of gaps from previous data, analyze it, and identify next experiment parameters. </w:t>
      </w:r>
      <w:r w:rsidRPr="003573DA">
        <w:rPr>
          <w:color w:val="000000" w:themeColor="text1"/>
        </w:rPr>
        <w:t>To deal with issues of non-</w:t>
      </w:r>
      <w:r w:rsidRPr="003573DA">
        <w:rPr>
          <w:color w:val="000000" w:themeColor="text1"/>
        </w:rPr>
        <w:t xml:space="preserve">response, </w:t>
      </w:r>
      <w:r w:rsidRPr="003573DA" w:rsidR="379FBF98">
        <w:rPr>
          <w:color w:val="000000" w:themeColor="text1"/>
        </w:rPr>
        <w:t>the performer</w:t>
      </w:r>
      <w:r w:rsidRPr="003573DA">
        <w:rPr>
          <w:color w:val="000000" w:themeColor="text1"/>
        </w:rPr>
        <w:t xml:space="preserve"> </w:t>
      </w:r>
      <w:r w:rsidRPr="003573DA" w:rsidR="00373DAC">
        <w:rPr>
          <w:color w:val="000000" w:themeColor="text1"/>
        </w:rPr>
        <w:t>may incorporate</w:t>
      </w:r>
      <w:r w:rsidRPr="003573DA" w:rsidR="00660ABB">
        <w:rPr>
          <w:color w:val="000000" w:themeColor="text1"/>
        </w:rPr>
        <w:t xml:space="preserve"> biometric image collection and analysis</w:t>
      </w:r>
      <w:r w:rsidRPr="003573DA" w:rsidR="003B2538">
        <w:rPr>
          <w:color w:val="000000" w:themeColor="text1"/>
        </w:rPr>
        <w:t xml:space="preserve"> from </w:t>
      </w:r>
      <w:r w:rsidRPr="003573DA" w:rsidR="26A9AF04">
        <w:rPr>
          <w:color w:val="000000" w:themeColor="text1"/>
        </w:rPr>
        <w:t xml:space="preserve">datasets obtained during </w:t>
      </w:r>
      <w:r w:rsidRPr="003573DA" w:rsidR="00013559">
        <w:rPr>
          <w:color w:val="000000" w:themeColor="text1"/>
        </w:rPr>
        <w:t>previous</w:t>
      </w:r>
      <w:r w:rsidRPr="003573DA" w:rsidR="003B2538">
        <w:rPr>
          <w:color w:val="000000" w:themeColor="text1"/>
        </w:rPr>
        <w:t xml:space="preserve"> </w:t>
      </w:r>
      <w:r w:rsidRPr="003573DA" w:rsidR="00794B55">
        <w:rPr>
          <w:color w:val="000000" w:themeColor="text1"/>
        </w:rPr>
        <w:t>studies</w:t>
      </w:r>
      <w:r w:rsidRPr="003573DA" w:rsidR="00363C7D">
        <w:rPr>
          <w:color w:val="000000" w:themeColor="text1"/>
        </w:rPr>
        <w:t xml:space="preserve"> </w:t>
      </w:r>
      <w:r w:rsidRPr="003573DA" w:rsidR="10F3ED6F">
        <w:rPr>
          <w:color w:val="000000" w:themeColor="text1"/>
        </w:rPr>
        <w:t>they have participated in</w:t>
      </w:r>
      <w:r w:rsidRPr="003573DA" w:rsidR="001244A4">
        <w:rPr>
          <w:color w:val="000000" w:themeColor="text1"/>
        </w:rPr>
        <w:t xml:space="preserve">. These datasets include </w:t>
      </w:r>
      <w:r w:rsidRPr="003573DA" w:rsidR="007D1B71">
        <w:rPr>
          <w:color w:val="000000" w:themeColor="text1"/>
        </w:rPr>
        <w:t xml:space="preserve">algorithm development/training using </w:t>
      </w:r>
      <w:r w:rsidRPr="003573DA" w:rsidR="00CE5CC6">
        <w:rPr>
          <w:color w:val="000000" w:themeColor="text1"/>
        </w:rPr>
        <w:t>biometric</w:t>
      </w:r>
      <w:r w:rsidRPr="003573DA" w:rsidR="007D1B71">
        <w:rPr>
          <w:color w:val="000000" w:themeColor="text1"/>
        </w:rPr>
        <w:t xml:space="preserve"> image</w:t>
      </w:r>
      <w:r w:rsidRPr="003573DA" w:rsidR="00DB22ED">
        <w:rPr>
          <w:color w:val="000000" w:themeColor="text1"/>
        </w:rPr>
        <w:t xml:space="preserve"> data</w:t>
      </w:r>
      <w:r w:rsidRPr="003573DA" w:rsidR="004747BE">
        <w:rPr>
          <w:color w:val="000000" w:themeColor="text1"/>
        </w:rPr>
        <w:t>.</w:t>
      </w:r>
      <w:r w:rsidRPr="003573DA" w:rsidR="00782673">
        <w:rPr>
          <w:color w:val="000000" w:themeColor="text1"/>
        </w:rPr>
        <w:t xml:space="preserve"> </w:t>
      </w:r>
      <w:r w:rsidRPr="003573DA" w:rsidR="006A51A1">
        <w:rPr>
          <w:color w:val="000000" w:themeColor="text1"/>
        </w:rPr>
        <w:t>If</w:t>
      </w:r>
      <w:r w:rsidRPr="003573DA" w:rsidR="00DE58C2">
        <w:rPr>
          <w:color w:val="000000" w:themeColor="text1"/>
        </w:rPr>
        <w:t xml:space="preserve"> the </w:t>
      </w:r>
      <w:r w:rsidRPr="003573DA" w:rsidR="00F314D8">
        <w:rPr>
          <w:color w:val="000000" w:themeColor="text1"/>
        </w:rPr>
        <w:t xml:space="preserve">current study’s </w:t>
      </w:r>
      <w:r w:rsidRPr="003573DA" w:rsidR="00DE58C2">
        <w:rPr>
          <w:color w:val="000000" w:themeColor="text1"/>
        </w:rPr>
        <w:t xml:space="preserve">parameters are the same or </w:t>
      </w:r>
      <w:r w:rsidRPr="003573DA" w:rsidR="00962018">
        <w:rPr>
          <w:color w:val="000000" w:themeColor="text1"/>
        </w:rPr>
        <w:t xml:space="preserve">fit </w:t>
      </w:r>
      <w:r w:rsidRPr="003573DA" w:rsidR="00FB6DD1">
        <w:rPr>
          <w:color w:val="000000" w:themeColor="text1"/>
        </w:rPr>
        <w:t xml:space="preserve">under the same parameters </w:t>
      </w:r>
      <w:r w:rsidRPr="003573DA" w:rsidR="00F314D8">
        <w:rPr>
          <w:color w:val="000000" w:themeColor="text1"/>
        </w:rPr>
        <w:t xml:space="preserve">of </w:t>
      </w:r>
      <w:r w:rsidRPr="003573DA" w:rsidR="00AE1E0D">
        <w:rPr>
          <w:color w:val="000000" w:themeColor="text1"/>
        </w:rPr>
        <w:t xml:space="preserve">previous studies, </w:t>
      </w:r>
      <w:r w:rsidRPr="003573DA" w:rsidR="00AE5E40">
        <w:rPr>
          <w:color w:val="000000" w:themeColor="text1"/>
        </w:rPr>
        <w:t>the datasets obtained during previous studies may be levera</w:t>
      </w:r>
      <w:r w:rsidRPr="003573DA" w:rsidR="002519D8">
        <w:rPr>
          <w:color w:val="000000" w:themeColor="text1"/>
        </w:rPr>
        <w:t xml:space="preserve">ged to fill in gaps. </w:t>
      </w:r>
    </w:p>
    <w:p w:rsidR="00373DAC" w:rsidRPr="003573DA" w14:paraId="3207317E" w14:textId="77777777">
      <w:pPr>
        <w:rPr>
          <w:color w:val="000000" w:themeColor="text1"/>
        </w:rPr>
      </w:pPr>
    </w:p>
    <w:p w:rsidR="006A4EEE" w:rsidRPr="003573DA" w14:paraId="48F5E5DF" w14:textId="5D66F9CC">
      <w:pPr>
        <w:rPr>
          <w:color w:val="000000" w:themeColor="text1"/>
        </w:rPr>
      </w:pPr>
      <w:r w:rsidRPr="003573DA">
        <w:rPr>
          <w:color w:val="000000" w:themeColor="text1"/>
        </w:rPr>
        <w:t>4.</w:t>
      </w:r>
      <w:r w:rsidRPr="003573DA" w:rsidR="003C3936">
        <w:rPr>
          <w:color w:val="000000" w:themeColor="text1"/>
        </w:rPr>
        <w:t xml:space="preserve">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6A4EEE" w:rsidRPr="003573DA" w14:paraId="0583F166" w14:textId="151281CA">
      <w:pPr>
        <w:rPr>
          <w:color w:val="000000" w:themeColor="text1"/>
        </w:rPr>
      </w:pPr>
      <w:r w:rsidRPr="003573DA">
        <w:rPr>
          <w:color w:val="000000" w:themeColor="text1"/>
        </w:rPr>
        <w:t xml:space="preserve">Performers will conduct initial </w:t>
      </w:r>
      <w:r w:rsidRPr="003573DA" w:rsidR="00AD3D16">
        <w:rPr>
          <w:color w:val="000000" w:themeColor="text1"/>
        </w:rPr>
        <w:t>statistical tests</w:t>
      </w:r>
      <w:r w:rsidRPr="003573DA">
        <w:rPr>
          <w:color w:val="000000" w:themeColor="text1"/>
        </w:rPr>
        <w:t xml:space="preserve"> to understand </w:t>
      </w:r>
      <w:r w:rsidRPr="003573DA" w:rsidR="00AD3D16">
        <w:rPr>
          <w:color w:val="000000" w:themeColor="text1"/>
        </w:rPr>
        <w:t>whether the recruitment methods and samples from individuals that are being collected provide the appropriate</w:t>
      </w:r>
      <w:r w:rsidRPr="003573DA">
        <w:rPr>
          <w:color w:val="000000" w:themeColor="text1"/>
        </w:rPr>
        <w:t xml:space="preserve"> information from participants.  If there are issue with the way recruitment occurs or</w:t>
      </w:r>
      <w:r w:rsidRPr="003573DA" w:rsidR="00AD3D16">
        <w:rPr>
          <w:color w:val="000000" w:themeColor="text1"/>
        </w:rPr>
        <w:t xml:space="preserve"> problems with the</w:t>
      </w:r>
      <w:r w:rsidRPr="003573DA">
        <w:rPr>
          <w:color w:val="000000" w:themeColor="text1"/>
        </w:rPr>
        <w:t xml:space="preserve"> biometric collection</w:t>
      </w:r>
      <w:r w:rsidRPr="003573DA" w:rsidR="00AD3D16">
        <w:rPr>
          <w:color w:val="000000" w:themeColor="text1"/>
        </w:rPr>
        <w:t xml:space="preserve"> process</w:t>
      </w:r>
      <w:r w:rsidRPr="003573DA">
        <w:rPr>
          <w:color w:val="000000" w:themeColor="text1"/>
        </w:rPr>
        <w:t xml:space="preserve"> or </w:t>
      </w:r>
      <w:r w:rsidRPr="003573DA" w:rsidR="00AD3D16">
        <w:rPr>
          <w:color w:val="000000" w:themeColor="text1"/>
        </w:rPr>
        <w:t xml:space="preserve">statistical </w:t>
      </w:r>
      <w:r w:rsidRPr="003573DA">
        <w:rPr>
          <w:color w:val="000000" w:themeColor="text1"/>
        </w:rPr>
        <w:t>analysis</w:t>
      </w:r>
      <w:r w:rsidRPr="003573DA" w:rsidR="0030788B">
        <w:rPr>
          <w:color w:val="000000" w:themeColor="text1"/>
        </w:rPr>
        <w:t>,</w:t>
      </w:r>
      <w:r w:rsidRPr="003573DA">
        <w:rPr>
          <w:color w:val="000000" w:themeColor="text1"/>
        </w:rPr>
        <w:t xml:space="preserve"> these</w:t>
      </w:r>
      <w:r w:rsidRPr="003573DA" w:rsidR="00AD3D16">
        <w:rPr>
          <w:color w:val="000000" w:themeColor="text1"/>
        </w:rPr>
        <w:t xml:space="preserve"> problems</w:t>
      </w:r>
      <w:r w:rsidRPr="003573DA">
        <w:rPr>
          <w:color w:val="000000" w:themeColor="text1"/>
        </w:rPr>
        <w:t xml:space="preserve"> will be </w:t>
      </w:r>
      <w:r w:rsidRPr="003573DA" w:rsidR="00AD3D16">
        <w:rPr>
          <w:color w:val="000000" w:themeColor="text1"/>
        </w:rPr>
        <w:t xml:space="preserve">sussed out during the </w:t>
      </w:r>
      <w:r w:rsidRPr="003573DA">
        <w:rPr>
          <w:color w:val="000000" w:themeColor="text1"/>
        </w:rPr>
        <w:t xml:space="preserve">initial tests run on small samples of individuals that are initially collected.  Proper changes can then be made </w:t>
      </w:r>
      <w:r w:rsidRPr="003573DA" w:rsidR="00AD3D16">
        <w:rPr>
          <w:color w:val="000000" w:themeColor="text1"/>
        </w:rPr>
        <w:t xml:space="preserve">to the procedures </w:t>
      </w:r>
      <w:r w:rsidRPr="003573DA">
        <w:rPr>
          <w:color w:val="000000" w:themeColor="text1"/>
        </w:rPr>
        <w:t xml:space="preserve">before full scale recruitment, collection, and testing so that undue number of individuals are not </w:t>
      </w:r>
      <w:r w:rsidRPr="003573DA" w:rsidR="00AD3D16">
        <w:rPr>
          <w:color w:val="000000" w:themeColor="text1"/>
        </w:rPr>
        <w:t>sampled,</w:t>
      </w:r>
      <w:r w:rsidRPr="003573DA">
        <w:rPr>
          <w:color w:val="000000" w:themeColor="text1"/>
        </w:rPr>
        <w:t xml:space="preserve"> and </w:t>
      </w:r>
      <w:r w:rsidRPr="003573DA" w:rsidR="00AD3D16">
        <w:rPr>
          <w:color w:val="000000" w:themeColor="text1"/>
        </w:rPr>
        <w:t>participant</w:t>
      </w:r>
      <w:r w:rsidRPr="003573DA">
        <w:rPr>
          <w:color w:val="000000" w:themeColor="text1"/>
        </w:rPr>
        <w:t xml:space="preserve"> time and </w:t>
      </w:r>
      <w:r w:rsidRPr="003573DA" w:rsidR="00AD3D16">
        <w:rPr>
          <w:color w:val="000000" w:themeColor="text1"/>
        </w:rPr>
        <w:t>associated funding are</w:t>
      </w:r>
      <w:r w:rsidRPr="003573DA">
        <w:rPr>
          <w:color w:val="000000" w:themeColor="text1"/>
        </w:rPr>
        <w:t xml:space="preserve"> not wasted. </w:t>
      </w:r>
    </w:p>
    <w:p w:rsidR="007737F1" w:rsidRPr="003573DA" w:rsidP="007737F1" w14:paraId="7DCA3881" w14:textId="698D2013">
      <w:pPr>
        <w:rPr>
          <w:color w:val="000000" w:themeColor="text1"/>
        </w:rPr>
      </w:pPr>
      <w:r w:rsidRPr="003573DA">
        <w:rPr>
          <w:color w:val="000000" w:themeColor="text1"/>
        </w:rPr>
        <w:t xml:space="preserve">Initially, </w:t>
      </w:r>
      <w:r w:rsidRPr="003573DA" w:rsidR="722415D4">
        <w:rPr>
          <w:color w:val="000000" w:themeColor="text1"/>
        </w:rPr>
        <w:t>the performer</w:t>
      </w:r>
      <w:r w:rsidRPr="003573DA">
        <w:rPr>
          <w:color w:val="000000" w:themeColor="text1"/>
        </w:rPr>
        <w:t xml:space="preserve"> will focus on </w:t>
      </w:r>
      <w:r w:rsidRPr="003573DA" w:rsidR="44CB6FC1">
        <w:rPr>
          <w:color w:val="000000" w:themeColor="text1"/>
        </w:rPr>
        <w:t>the biometric</w:t>
      </w:r>
      <w:r w:rsidRPr="003573DA">
        <w:rPr>
          <w:color w:val="000000" w:themeColor="text1"/>
        </w:rPr>
        <w:t xml:space="preserve"> sensors. Specifically, evaluating the image quality and the impact on matching algorithms</w:t>
      </w:r>
      <w:r w:rsidRPr="003573DA" w:rsidR="577B00CB">
        <w:rPr>
          <w:color w:val="000000" w:themeColor="text1"/>
        </w:rPr>
        <w:t xml:space="preserve"> for the following biometrics in studies across the three years: fingerprint (contactless and contact), face, iris,</w:t>
      </w:r>
      <w:r w:rsidRPr="003573DA" w:rsidR="00D8680D">
        <w:rPr>
          <w:color w:val="000000" w:themeColor="text1"/>
        </w:rPr>
        <w:t xml:space="preserve"> </w:t>
      </w:r>
      <w:r w:rsidRPr="003573DA" w:rsidR="577B00CB">
        <w:rPr>
          <w:color w:val="000000" w:themeColor="text1"/>
        </w:rPr>
        <w:t>palm</w:t>
      </w:r>
      <w:r w:rsidRPr="003573DA" w:rsidR="00D8680D">
        <w:rPr>
          <w:color w:val="000000" w:themeColor="text1"/>
        </w:rPr>
        <w:t>, and voice</w:t>
      </w:r>
      <w:r w:rsidRPr="003573DA">
        <w:rPr>
          <w:color w:val="000000" w:themeColor="text1"/>
        </w:rPr>
        <w:t>. Research efforts include the following</w:t>
      </w:r>
      <w:r w:rsidRPr="003573DA" w:rsidR="274A10FF">
        <w:rPr>
          <w:color w:val="000000" w:themeColor="text1"/>
        </w:rPr>
        <w:t xml:space="preserve"> examples</w:t>
      </w:r>
      <w:r w:rsidRPr="003573DA">
        <w:rPr>
          <w:color w:val="000000" w:themeColor="text1"/>
        </w:rPr>
        <w:t xml:space="preserve">: </w:t>
      </w:r>
    </w:p>
    <w:p w:rsidR="007737F1" w:rsidRPr="003573DA" w:rsidP="4EBEC7C2" w14:paraId="51E6A7BF" w14:textId="6743329B">
      <w:pPr>
        <w:numPr>
          <w:ilvl w:val="0"/>
          <w:numId w:val="3"/>
        </w:numPr>
        <w:rPr>
          <w:color w:val="000000" w:themeColor="text1"/>
        </w:rPr>
      </w:pPr>
      <w:r w:rsidRPr="003573DA">
        <w:rPr>
          <w:color w:val="000000" w:themeColor="text1"/>
        </w:rPr>
        <w:t xml:space="preserve">Evaluation of image quality of fingerprint images from “contactless” fingerprint sensors. </w:t>
      </w:r>
      <w:r w:rsidRPr="003573DA" w:rsidR="3F8BD67E">
        <w:rPr>
          <w:color w:val="000000" w:themeColor="text1"/>
        </w:rPr>
        <w:t>The performer</w:t>
      </w:r>
      <w:r w:rsidRPr="003573DA">
        <w:rPr>
          <w:color w:val="000000" w:themeColor="text1"/>
        </w:rPr>
        <w:t xml:space="preserve"> will conduct a small-scale data collection to evaluate fingerprint images from contactless Automated Fingerprint Identification Systems (AFIS). The AFIS utilize digital imaging technology to capture and analyze fingerprints. The images from the AFIS will be compared against images collected from traditional fingerprint capture systems, i.e., those that require direct contact between an </w:t>
      </w:r>
      <w:r w:rsidRPr="003573DA" w:rsidR="72EAF699">
        <w:rPr>
          <w:color w:val="000000" w:themeColor="text1"/>
        </w:rPr>
        <w:t>in</w:t>
      </w:r>
      <w:r w:rsidRPr="003573DA">
        <w:rPr>
          <w:color w:val="000000" w:themeColor="text1"/>
        </w:rPr>
        <w:t xml:space="preserve">dividual’s finger/hand and the fingerprint capture device with or without assistance from a human operator. </w:t>
      </w:r>
    </w:p>
    <w:p w:rsidR="007737F1" w:rsidRPr="003573DA" w:rsidP="007737F1" w14:paraId="36D93340" w14:textId="109B8B53">
      <w:pPr>
        <w:numPr>
          <w:ilvl w:val="0"/>
          <w:numId w:val="3"/>
        </w:numPr>
        <w:rPr>
          <w:color w:val="000000" w:themeColor="text1"/>
        </w:rPr>
      </w:pPr>
      <w:r w:rsidRPr="003573DA">
        <w:rPr>
          <w:color w:val="000000" w:themeColor="text1"/>
        </w:rPr>
        <w:t>Evaluation of image quality of face and iris images collected simultaneous by the same sensor. The performer will conduct a small-scale data collection to evaluate the emerging technology that allows for simultaneous collection of face and iris</w:t>
      </w:r>
      <w:r w:rsidRPr="003573DA" w:rsidR="28C13DED">
        <w:rPr>
          <w:color w:val="000000" w:themeColor="text1"/>
        </w:rPr>
        <w:t xml:space="preserve"> images</w:t>
      </w:r>
      <w:r w:rsidRPr="003573DA">
        <w:rPr>
          <w:color w:val="000000" w:themeColor="text1"/>
        </w:rPr>
        <w:t xml:space="preserve">. </w:t>
      </w:r>
      <w:r w:rsidRPr="003573DA" w:rsidR="07127CA0">
        <w:rPr>
          <w:color w:val="000000" w:themeColor="text1"/>
        </w:rPr>
        <w:t>One</w:t>
      </w:r>
      <w:r w:rsidRPr="003573DA" w:rsidR="403A2293">
        <w:rPr>
          <w:color w:val="000000" w:themeColor="text1"/>
        </w:rPr>
        <w:t xml:space="preserve"> challenge previously associated with </w:t>
      </w:r>
      <w:r w:rsidRPr="003573DA" w:rsidR="741E9A07">
        <w:rPr>
          <w:color w:val="000000" w:themeColor="text1"/>
        </w:rPr>
        <w:t>simultaneous</w:t>
      </w:r>
      <w:r w:rsidRPr="003573DA" w:rsidR="403A2293">
        <w:rPr>
          <w:color w:val="000000" w:themeColor="text1"/>
        </w:rPr>
        <w:t xml:space="preserve"> collection of these biometrics is the </w:t>
      </w:r>
      <w:r w:rsidRPr="003573DA" w:rsidR="31E95BA0">
        <w:rPr>
          <w:color w:val="000000" w:themeColor="text1"/>
        </w:rPr>
        <w:t>differing</w:t>
      </w:r>
      <w:r w:rsidRPr="003573DA" w:rsidR="403A2293">
        <w:rPr>
          <w:color w:val="000000" w:themeColor="text1"/>
        </w:rPr>
        <w:t xml:space="preserve"> light sources needed for face (visible) and iris (near infrared) for optimal feature collection. </w:t>
      </w:r>
      <w:r w:rsidRPr="003573DA" w:rsidR="6637B842">
        <w:rPr>
          <w:color w:val="000000" w:themeColor="text1"/>
        </w:rPr>
        <w:t xml:space="preserve">A second challenge included ability of cameras to reach optimal focus for both biometrics simultaneously at longer distances. </w:t>
      </w:r>
      <w:r w:rsidRPr="003573DA" w:rsidR="403A2293">
        <w:rPr>
          <w:color w:val="000000" w:themeColor="text1"/>
        </w:rPr>
        <w:t>The evaluation will focus on advancements in the</w:t>
      </w:r>
      <w:r w:rsidRPr="003573DA" w:rsidR="2586D62E">
        <w:rPr>
          <w:color w:val="000000" w:themeColor="text1"/>
        </w:rPr>
        <w:t xml:space="preserve"> technology to leverage balance the lighting challenge and the focusing </w:t>
      </w:r>
      <w:r w:rsidRPr="003573DA" w:rsidR="00E519B7">
        <w:rPr>
          <w:color w:val="000000" w:themeColor="text1"/>
        </w:rPr>
        <w:t>on</w:t>
      </w:r>
      <w:r w:rsidRPr="003573DA" w:rsidR="2586D62E">
        <w:rPr>
          <w:color w:val="000000" w:themeColor="text1"/>
        </w:rPr>
        <w:t xml:space="preserve"> distance up to 2-3 ft.</w:t>
      </w:r>
      <w:r w:rsidRPr="003573DA" w:rsidR="0000597A">
        <w:rPr>
          <w:color w:val="000000" w:themeColor="text1"/>
        </w:rPr>
        <w:t xml:space="preserve"> Many capture systems in wide use today require the irises to be held in a quite narrow range of distance from the sensor in order to capture a good-quality image. </w:t>
      </w:r>
    </w:p>
    <w:p w:rsidR="007737F1" w:rsidRPr="003573DA" w:rsidP="007737F1" w14:paraId="2717D70B" w14:textId="53ABFCD3">
      <w:pPr>
        <w:numPr>
          <w:ilvl w:val="0"/>
          <w:numId w:val="3"/>
        </w:numPr>
        <w:rPr>
          <w:color w:val="000000" w:themeColor="text1"/>
        </w:rPr>
      </w:pPr>
      <w:r w:rsidRPr="003573DA">
        <w:rPr>
          <w:color w:val="000000" w:themeColor="text1"/>
        </w:rPr>
        <w:t xml:space="preserve">Evaluation of image quality of </w:t>
      </w:r>
      <w:r w:rsidRPr="003573DA" w:rsidR="3F8464CF">
        <w:rPr>
          <w:color w:val="000000" w:themeColor="text1"/>
        </w:rPr>
        <w:t>palm prints and</w:t>
      </w:r>
      <w:r w:rsidRPr="003573DA">
        <w:rPr>
          <w:color w:val="000000" w:themeColor="text1"/>
        </w:rPr>
        <w:t xml:space="preserve"> images from </w:t>
      </w:r>
      <w:r w:rsidRPr="003573DA" w:rsidR="1707E8A0">
        <w:rPr>
          <w:color w:val="000000" w:themeColor="text1"/>
        </w:rPr>
        <w:t xml:space="preserve">contact and </w:t>
      </w:r>
      <w:r w:rsidRPr="003573DA">
        <w:rPr>
          <w:color w:val="000000" w:themeColor="text1"/>
        </w:rPr>
        <w:t>“</w:t>
      </w:r>
      <w:r w:rsidRPr="003573DA" w:rsidR="00FE2A18">
        <w:rPr>
          <w:color w:val="000000" w:themeColor="text1"/>
        </w:rPr>
        <w:t>contactless” sensors</w:t>
      </w:r>
      <w:r w:rsidRPr="003573DA">
        <w:rPr>
          <w:color w:val="000000" w:themeColor="text1"/>
        </w:rPr>
        <w:t xml:space="preserve">. The performer will conduct a small-scale data collection </w:t>
      </w:r>
      <w:r w:rsidRPr="003573DA" w:rsidR="0F2894A6">
        <w:rPr>
          <w:color w:val="000000" w:themeColor="text1"/>
        </w:rPr>
        <w:t xml:space="preserve">to evaluate the emerging technology in palm print collection to </w:t>
      </w:r>
      <w:r w:rsidRPr="003573DA" w:rsidR="00E519B7">
        <w:rPr>
          <w:color w:val="000000" w:themeColor="text1"/>
        </w:rPr>
        <w:t>include</w:t>
      </w:r>
      <w:r w:rsidRPr="003573DA" w:rsidR="0F2894A6">
        <w:rPr>
          <w:color w:val="000000" w:themeColor="text1"/>
        </w:rPr>
        <w:t xml:space="preserve"> assessment of contact and contactless palm </w:t>
      </w:r>
      <w:r w:rsidRPr="003573DA" w:rsidR="00FE2A18">
        <w:rPr>
          <w:color w:val="000000" w:themeColor="text1"/>
        </w:rPr>
        <w:t>sensors; sensors</w:t>
      </w:r>
      <w:r w:rsidRPr="003573DA" w:rsidR="0F2894A6">
        <w:rPr>
          <w:color w:val="000000" w:themeColor="text1"/>
        </w:rPr>
        <w:t xml:space="preserve"> that capture the full hand and segment the fingerprint</w:t>
      </w:r>
      <w:r w:rsidRPr="003573DA" w:rsidR="10C46507">
        <w:rPr>
          <w:color w:val="000000" w:themeColor="text1"/>
        </w:rPr>
        <w:t>s</w:t>
      </w:r>
      <w:r w:rsidRPr="003573DA" w:rsidR="0F2894A6">
        <w:rPr>
          <w:color w:val="000000" w:themeColor="text1"/>
        </w:rPr>
        <w:t xml:space="preserve"> and palm</w:t>
      </w:r>
      <w:r w:rsidRPr="003573DA" w:rsidR="3D1AD885">
        <w:rPr>
          <w:color w:val="000000" w:themeColor="text1"/>
        </w:rPr>
        <w:t xml:space="preserve"> for analysis; and sensors that include liveness detection features for finger and palm vein collection. </w:t>
      </w:r>
      <w:r w:rsidRPr="003573DA" w:rsidR="00B225AB">
        <w:rPr>
          <w:color w:val="000000" w:themeColor="text1"/>
        </w:rPr>
        <w:t xml:space="preserve">Palm print matching systems may use both large features of the palm such as creases and overall shape, and the small features such as friction ridges similar in nature to fingerprints. </w:t>
      </w:r>
    </w:p>
    <w:p w:rsidR="007737F1" w:rsidRPr="003573DA" w14:paraId="30E93A5C" w14:textId="65A321D9">
      <w:pPr>
        <w:numPr>
          <w:ilvl w:val="0"/>
          <w:numId w:val="3"/>
        </w:numPr>
        <w:rPr>
          <w:color w:val="000000" w:themeColor="text1"/>
        </w:rPr>
      </w:pPr>
      <w:r w:rsidRPr="003573DA">
        <w:rPr>
          <w:color w:val="000000" w:themeColor="text1"/>
        </w:rPr>
        <w:t>Evaluation of audio quality of various voice sensors ranging from cellphone brand, video qualities, and m</w:t>
      </w:r>
      <w:r w:rsidRPr="003573DA" w:rsidR="2BE27469">
        <w:rPr>
          <w:color w:val="000000" w:themeColor="text1"/>
        </w:rPr>
        <w:t xml:space="preserve">icrophone technologies. An initial small-scale data collection will be conducted to understand the variances in voice quality based on various collection sensors and </w:t>
      </w:r>
      <w:r w:rsidRPr="003573DA" w:rsidR="119B7D66">
        <w:rPr>
          <w:color w:val="000000" w:themeColor="text1"/>
        </w:rPr>
        <w:t>human/environmental conditions (i.e., noise room, distance from collection sensor, sickness, loud or soft speaking).</w:t>
      </w:r>
      <w:r w:rsidRPr="003573DA" w:rsidR="005911EA">
        <w:rPr>
          <w:color w:val="000000" w:themeColor="text1"/>
        </w:rPr>
        <w:t xml:space="preserve"> Voice collections will be capture</w:t>
      </w:r>
      <w:r w:rsidRPr="003573DA" w:rsidR="00D22B95">
        <w:rPr>
          <w:color w:val="000000" w:themeColor="text1"/>
        </w:rPr>
        <w:t>d</w:t>
      </w:r>
      <w:r w:rsidRPr="003573DA" w:rsidR="16B5DC95">
        <w:rPr>
          <w:color w:val="000000" w:themeColor="text1"/>
        </w:rPr>
        <w:t xml:space="preserve"> to test the quality of the different devices to understand the speaker speaking directly into the microphone and at longer-range</w:t>
      </w:r>
      <w:r w:rsidRPr="003573DA" w:rsidR="005911EA">
        <w:rPr>
          <w:color w:val="000000" w:themeColor="text1"/>
        </w:rPr>
        <w:t xml:space="preserve"> </w:t>
      </w:r>
      <w:r w:rsidRPr="003573DA" w:rsidR="266EABB4">
        <w:rPr>
          <w:color w:val="000000" w:themeColor="text1"/>
        </w:rPr>
        <w:t xml:space="preserve">of capture.  </w:t>
      </w:r>
    </w:p>
    <w:p w:rsidR="007737F1" w:rsidRPr="003573DA" w:rsidP="072EBD98" w14:paraId="53120459" w14:textId="76D8C4ED">
      <w:pPr>
        <w:numPr>
          <w:ilvl w:val="0"/>
          <w:numId w:val="3"/>
        </w:numPr>
        <w:rPr>
          <w:color w:val="000000" w:themeColor="text1"/>
        </w:rPr>
      </w:pPr>
      <w:r w:rsidRPr="003573DA">
        <w:rPr>
          <w:color w:val="000000" w:themeColor="text1"/>
        </w:rPr>
        <w:t xml:space="preserve">Evaluation of facial features from birth to adulthood leveraging a </w:t>
      </w:r>
      <w:r w:rsidRPr="003573DA" w:rsidR="00FE2A18">
        <w:rPr>
          <w:color w:val="000000" w:themeColor="text1"/>
        </w:rPr>
        <w:t>one-time</w:t>
      </w:r>
      <w:r w:rsidRPr="003573DA">
        <w:rPr>
          <w:color w:val="000000" w:themeColor="text1"/>
        </w:rPr>
        <w:t xml:space="preserve"> collection of digital images from participants. Technology has advanced to the stage that early adults (mid-30s) have </w:t>
      </w:r>
      <w:r w:rsidRPr="003573DA" w:rsidR="2F92D530">
        <w:rPr>
          <w:color w:val="000000" w:themeColor="text1"/>
        </w:rPr>
        <w:t xml:space="preserve">benefited from having digital photography readily available throughout their lifetime. This advancement would allow participants to provide digital imagery for each year of </w:t>
      </w:r>
      <w:r w:rsidRPr="003573DA" w:rsidR="67D123FD">
        <w:rPr>
          <w:color w:val="000000" w:themeColor="text1"/>
        </w:rPr>
        <w:t xml:space="preserve">their life meeting key study criteria for evaluation of facial feature </w:t>
      </w:r>
      <w:r w:rsidRPr="003573DA" w:rsidR="00FE2A18">
        <w:rPr>
          <w:color w:val="000000" w:themeColor="text1"/>
        </w:rPr>
        <w:t>changes. This</w:t>
      </w:r>
      <w:r w:rsidRPr="003573DA" w:rsidR="200F72CB">
        <w:rPr>
          <w:color w:val="000000" w:themeColor="text1"/>
        </w:rPr>
        <w:t xml:space="preserve"> </w:t>
      </w:r>
      <w:r w:rsidRPr="003573DA" w:rsidR="00FE2A18">
        <w:rPr>
          <w:color w:val="000000" w:themeColor="text1"/>
        </w:rPr>
        <w:t>small-scale</w:t>
      </w:r>
      <w:r w:rsidRPr="003573DA" w:rsidR="200F72CB">
        <w:rPr>
          <w:color w:val="000000" w:themeColor="text1"/>
        </w:rPr>
        <w:t xml:space="preserve"> study will focus on variance over a demographically diverse dataset. </w:t>
      </w:r>
    </w:p>
    <w:p w:rsidR="007737F1" w:rsidRPr="003573DA" w:rsidP="072EBD98" w14:paraId="500632F3" w14:textId="3E565CA5">
      <w:pPr>
        <w:numPr>
          <w:ilvl w:val="0"/>
          <w:numId w:val="3"/>
        </w:numPr>
        <w:rPr>
          <w:color w:val="000000" w:themeColor="text1"/>
        </w:rPr>
      </w:pPr>
      <w:r w:rsidRPr="003573DA">
        <w:rPr>
          <w:color w:val="000000" w:themeColor="text1"/>
        </w:rPr>
        <w:t xml:space="preserve">Follow on collections will be conducted after the initial small-scale data collections to address specific parameters identified as impactful to collection during the small scall </w:t>
      </w:r>
      <w:r w:rsidRPr="003573DA" w:rsidR="4637A486">
        <w:rPr>
          <w:color w:val="000000" w:themeColor="text1"/>
        </w:rPr>
        <w:t>studies</w:t>
      </w:r>
      <w:r w:rsidRPr="003573DA" w:rsidR="2EAAA61E">
        <w:rPr>
          <w:color w:val="000000" w:themeColor="text1"/>
        </w:rPr>
        <w:t xml:space="preserve"> and increase the collection size for operational scalability relevance</w:t>
      </w:r>
      <w:r w:rsidRPr="003573DA" w:rsidR="00214C83">
        <w:rPr>
          <w:color w:val="000000" w:themeColor="text1"/>
        </w:rPr>
        <w:t>.</w:t>
      </w:r>
    </w:p>
    <w:p w:rsidR="007737F1" w:rsidRPr="003573DA" w:rsidP="072EBD98" w14:paraId="18BE2008" w14:textId="056249EC">
      <w:pPr>
        <w:numPr>
          <w:ilvl w:val="0"/>
          <w:numId w:val="3"/>
        </w:numPr>
        <w:rPr>
          <w:color w:val="000000" w:themeColor="text1"/>
        </w:rPr>
      </w:pPr>
      <w:r w:rsidRPr="003573DA">
        <w:rPr>
          <w:color w:val="000000" w:themeColor="text1"/>
        </w:rPr>
        <w:t>Algorithm development/training using fingerprint</w:t>
      </w:r>
      <w:r w:rsidRPr="003573DA" w:rsidR="5D4F2BF3">
        <w:rPr>
          <w:color w:val="000000" w:themeColor="text1"/>
        </w:rPr>
        <w:t>, face, iris, and palm</w:t>
      </w:r>
      <w:r w:rsidRPr="003573DA">
        <w:rPr>
          <w:color w:val="000000" w:themeColor="text1"/>
        </w:rPr>
        <w:t xml:space="preserve"> images from existing </w:t>
      </w:r>
      <w:r w:rsidRPr="003573DA" w:rsidR="27E24B12">
        <w:rPr>
          <w:color w:val="000000" w:themeColor="text1"/>
        </w:rPr>
        <w:t>datasets.</w:t>
      </w:r>
      <w:r w:rsidRPr="003573DA">
        <w:rPr>
          <w:color w:val="000000" w:themeColor="text1"/>
        </w:rPr>
        <w:t xml:space="preserve"> </w:t>
      </w:r>
      <w:r w:rsidRPr="003573DA" w:rsidR="587BDBE2">
        <w:rPr>
          <w:color w:val="000000" w:themeColor="text1"/>
        </w:rPr>
        <w:t>The performer</w:t>
      </w:r>
      <w:r w:rsidRPr="003573DA">
        <w:rPr>
          <w:color w:val="000000" w:themeColor="text1"/>
        </w:rPr>
        <w:t xml:space="preserve"> aims to understand features (segments) that aid in presentation attack detection (PAD), </w:t>
      </w:r>
      <w:r w:rsidRPr="003573DA" w:rsidR="7CE3A8C7">
        <w:rPr>
          <w:color w:val="000000" w:themeColor="text1"/>
        </w:rPr>
        <w:t>to</w:t>
      </w:r>
      <w:r w:rsidRPr="003573DA">
        <w:rPr>
          <w:color w:val="000000" w:themeColor="text1"/>
        </w:rPr>
        <w:t xml:space="preserve"> develop and train analysis algorithms to identify deviations from “</w:t>
      </w:r>
      <w:r w:rsidRPr="003573DA" w:rsidR="00FE2A18">
        <w:rPr>
          <w:color w:val="000000" w:themeColor="text1"/>
        </w:rPr>
        <w:t>normal” and</w:t>
      </w:r>
      <w:r w:rsidRPr="003573DA">
        <w:rPr>
          <w:color w:val="000000" w:themeColor="text1"/>
        </w:rPr>
        <w:t>/or “normal” versus “imposter”.</w:t>
      </w:r>
      <w:r w:rsidRPr="003573DA" w:rsidR="109ABFA8">
        <w:rPr>
          <w:color w:val="000000" w:themeColor="text1"/>
        </w:rPr>
        <w:t xml:space="preserve"> </w:t>
      </w:r>
      <w:r w:rsidRPr="003573DA" w:rsidR="1CCDAD91">
        <w:rPr>
          <w:color w:val="000000" w:themeColor="text1"/>
        </w:rPr>
        <w:t>One key feature of all existing biometric systems is the use of a biometric template, which is typically created right after the image post-processing steps. A biometric template is a mathematical representation of the original image. When biometric matchers perform a matching operation, they do not compare biometric images directly, but rather compare biometric templates to each other for similarity.</w:t>
      </w:r>
      <w:r w:rsidRPr="003573DA" w:rsidR="6FF7B441">
        <w:rPr>
          <w:color w:val="000000" w:themeColor="text1"/>
        </w:rPr>
        <w:t xml:space="preserve"> Algorithms will be trained and developed to address any differences in image quality and matching performance between the biometric image capture methods.</w:t>
      </w:r>
      <w:r w:rsidRPr="003573DA" w:rsidR="008F0603">
        <w:rPr>
          <w:color w:val="000000" w:themeColor="text1"/>
        </w:rPr>
        <w:t xml:space="preserve"> </w:t>
      </w:r>
    </w:p>
    <w:p w:rsidR="00B63452" w:rsidRPr="003573DA" w:rsidP="609D6B1D" w14:paraId="64706782" w14:textId="26BA8906">
      <w:pPr>
        <w:numPr>
          <w:ilvl w:val="0"/>
          <w:numId w:val="4"/>
        </w:numPr>
        <w:rPr>
          <w:b/>
          <w:bCs/>
          <w:color w:val="000000" w:themeColor="text1"/>
        </w:rPr>
      </w:pPr>
      <w:r w:rsidRPr="003573DA">
        <w:rPr>
          <w:color w:val="000000" w:themeColor="text1"/>
        </w:rPr>
        <w:t xml:space="preserve">Matching algorithm testing to determine optimization </w:t>
      </w:r>
      <w:r w:rsidRPr="003573DA" w:rsidR="3CFCBF01">
        <w:rPr>
          <w:color w:val="000000" w:themeColor="text1"/>
        </w:rPr>
        <w:t xml:space="preserve">of </w:t>
      </w:r>
      <w:r w:rsidRPr="003573DA">
        <w:rPr>
          <w:color w:val="000000" w:themeColor="text1"/>
        </w:rPr>
        <w:t>the quality scores and match scores of the emerging technology implemented in bullets I-</w:t>
      </w:r>
      <w:r w:rsidRPr="003573DA" w:rsidR="34A84825">
        <w:rPr>
          <w:color w:val="000000" w:themeColor="text1"/>
        </w:rPr>
        <w:t>V</w:t>
      </w:r>
      <w:r w:rsidRPr="003573DA">
        <w:rPr>
          <w:color w:val="000000" w:themeColor="text1"/>
        </w:rPr>
        <w:t xml:space="preserve">. </w:t>
      </w:r>
      <w:r w:rsidRPr="003573DA" w:rsidR="5D526CE4">
        <w:rPr>
          <w:color w:val="000000" w:themeColor="text1"/>
        </w:rPr>
        <w:t xml:space="preserve">Testing of the current operational matcher against emerging matchers that may be more advanced or tailored to the biometric use cases </w:t>
      </w:r>
      <w:r w:rsidRPr="003573DA" w:rsidR="40345FC3">
        <w:rPr>
          <w:color w:val="000000" w:themeColor="text1"/>
        </w:rPr>
        <w:t xml:space="preserve">(i.e., contactless/contactless, contactless/match, palm, voice) </w:t>
      </w:r>
      <w:r w:rsidRPr="003573DA" w:rsidR="5D526CE4">
        <w:rPr>
          <w:color w:val="000000" w:themeColor="text1"/>
        </w:rPr>
        <w:t xml:space="preserve">to determine the </w:t>
      </w:r>
      <w:r w:rsidRPr="003573DA" w:rsidR="3E988F62">
        <w:rPr>
          <w:color w:val="000000" w:themeColor="text1"/>
        </w:rPr>
        <w:t xml:space="preserve">best </w:t>
      </w:r>
      <w:r w:rsidRPr="003573DA" w:rsidR="2E6CB420">
        <w:rPr>
          <w:color w:val="000000" w:themeColor="text1"/>
        </w:rPr>
        <w:t>performing</w:t>
      </w:r>
      <w:r w:rsidRPr="003573DA" w:rsidR="3E988F62">
        <w:rPr>
          <w:color w:val="000000" w:themeColor="text1"/>
        </w:rPr>
        <w:t xml:space="preserve"> algorithm for future implementation in operations.</w:t>
      </w:r>
      <w:r w:rsidRPr="003573DA" w:rsidR="00F55648">
        <w:rPr>
          <w:color w:val="000000" w:themeColor="text1"/>
        </w:rPr>
        <w:t xml:space="preserve"> </w:t>
      </w:r>
      <w:r w:rsidRPr="003573DA" w:rsidR="0004231A">
        <w:rPr>
          <w:color w:val="000000" w:themeColor="text1"/>
        </w:rPr>
        <w:t xml:space="preserve">Most algorithm development aims to develop techniques to make contactless images more like contact </w:t>
      </w:r>
      <w:r w:rsidRPr="003573DA" w:rsidR="0004231A">
        <w:rPr>
          <w:color w:val="000000" w:themeColor="text1"/>
        </w:rPr>
        <w:t xml:space="preserve">images, so they can be handled by legacy matching algorithms. </w:t>
      </w:r>
      <w:r w:rsidRPr="003573DA" w:rsidR="5993BBC0">
        <w:rPr>
          <w:b/>
          <w:bCs/>
          <w:color w:val="000000" w:themeColor="text1"/>
        </w:rPr>
        <w:t>Biometric Profile</w:t>
      </w:r>
      <w:r w:rsidRPr="003573DA" w:rsidR="58E1464B">
        <w:rPr>
          <w:b/>
          <w:bCs/>
          <w:color w:val="000000" w:themeColor="text1"/>
        </w:rPr>
        <w:t xml:space="preserve"> Data Collection</w:t>
      </w:r>
    </w:p>
    <w:p w:rsidR="00B63452" w:rsidRPr="003573DA" w:rsidP="00B63452" w14:paraId="780DABED" w14:textId="47F34411">
      <w:pPr>
        <w:rPr>
          <w:color w:val="000000" w:themeColor="text1"/>
        </w:rPr>
      </w:pPr>
      <w:r w:rsidRPr="003573DA">
        <w:rPr>
          <w:color w:val="000000" w:themeColor="text1"/>
        </w:rPr>
        <w:t>The performer</w:t>
      </w:r>
      <w:r w:rsidRPr="003573DA" w:rsidR="58E1464B">
        <w:rPr>
          <w:color w:val="000000" w:themeColor="text1"/>
        </w:rPr>
        <w:t xml:space="preserve"> will compare the image matching performance of contactless fingerprint systems (AFIS) against the most used off-the-shelf (COTS) contact fingerprint capture systems.  </w:t>
      </w:r>
      <w:r w:rsidRPr="003573DA" w:rsidR="1B82D863">
        <w:rPr>
          <w:color w:val="000000" w:themeColor="text1"/>
        </w:rPr>
        <w:t xml:space="preserve">Face, iris, palm, and voice </w:t>
      </w:r>
      <w:r w:rsidRPr="003573DA" w:rsidR="6FD81582">
        <w:rPr>
          <w:color w:val="000000" w:themeColor="text1"/>
        </w:rPr>
        <w:t xml:space="preserve">will </w:t>
      </w:r>
      <w:r w:rsidRPr="003573DA" w:rsidR="00F989D4">
        <w:rPr>
          <w:color w:val="000000" w:themeColor="text1"/>
        </w:rPr>
        <w:t>undergo image capture for matching systems. These images will be digitized and then post-processes. The post-processing is done to make the image better suited to matching</w:t>
      </w:r>
      <w:r w:rsidRPr="003573DA" w:rsidR="7C485865">
        <w:rPr>
          <w:color w:val="000000" w:themeColor="text1"/>
        </w:rPr>
        <w:t xml:space="preserve"> the stored biometric data. </w:t>
      </w:r>
    </w:p>
    <w:p w:rsidR="00B63452" w:rsidRPr="003573DA" w:rsidP="00B63452" w14:paraId="1B8D3247" w14:textId="39B5F56A">
      <w:pPr>
        <w:rPr>
          <w:color w:val="000000" w:themeColor="text1"/>
        </w:rPr>
      </w:pPr>
      <w:r w:rsidRPr="003573DA">
        <w:rPr>
          <w:color w:val="000000" w:themeColor="text1"/>
        </w:rPr>
        <w:t xml:space="preserve">Participants, </w:t>
      </w:r>
      <w:r w:rsidRPr="003573DA" w:rsidR="005E0052">
        <w:rPr>
          <w:color w:val="000000" w:themeColor="text1"/>
        </w:rPr>
        <w:t>both staff</w:t>
      </w:r>
      <w:r w:rsidRPr="003573DA">
        <w:rPr>
          <w:color w:val="000000" w:themeColor="text1"/>
        </w:rPr>
        <w:t xml:space="preserve"> and the general public, will be recruited. Given the extensive amount of fingerprint image data collected under </w:t>
      </w:r>
      <w:r w:rsidRPr="003573DA" w:rsidR="2599E67F">
        <w:rPr>
          <w:color w:val="000000" w:themeColor="text1"/>
        </w:rPr>
        <w:t>previous studies</w:t>
      </w:r>
      <w:r w:rsidRPr="003573DA">
        <w:rPr>
          <w:color w:val="000000" w:themeColor="text1"/>
        </w:rPr>
        <w:t xml:space="preserve">, </w:t>
      </w:r>
      <w:r w:rsidRPr="003573DA" w:rsidR="56B6651C">
        <w:rPr>
          <w:color w:val="000000" w:themeColor="text1"/>
        </w:rPr>
        <w:t xml:space="preserve">the </w:t>
      </w:r>
      <w:r w:rsidRPr="003573DA" w:rsidR="005E0052">
        <w:rPr>
          <w:color w:val="000000" w:themeColor="text1"/>
        </w:rPr>
        <w:t>performer will</w:t>
      </w:r>
      <w:r w:rsidRPr="003573DA">
        <w:rPr>
          <w:color w:val="000000" w:themeColor="text1"/>
        </w:rPr>
        <w:t xml:space="preserve"> prioritize recruitment of those participants provided they consented to future contact. </w:t>
      </w:r>
    </w:p>
    <w:p w:rsidR="00B63452" w:rsidRPr="003573DA" w:rsidP="00B63452" w14:paraId="5433C17D" w14:textId="0D3C604C">
      <w:pPr>
        <w:rPr>
          <w:color w:val="000000" w:themeColor="text1"/>
        </w:rPr>
      </w:pPr>
      <w:r w:rsidRPr="003573DA">
        <w:rPr>
          <w:color w:val="000000" w:themeColor="text1"/>
        </w:rPr>
        <w:t xml:space="preserve">Participants will be recruited via email announcement. </w:t>
      </w:r>
      <w:r w:rsidRPr="003573DA" w:rsidR="005E0052">
        <w:rPr>
          <w:color w:val="000000" w:themeColor="text1"/>
        </w:rPr>
        <w:t>For staff</w:t>
      </w:r>
      <w:r w:rsidRPr="003573DA">
        <w:rPr>
          <w:color w:val="000000" w:themeColor="text1"/>
        </w:rPr>
        <w:t xml:space="preserve">, the email will be circulated from the </w:t>
      </w:r>
      <w:r w:rsidRPr="003573DA" w:rsidR="406A773F">
        <w:rPr>
          <w:color w:val="000000" w:themeColor="text1"/>
        </w:rPr>
        <w:t>performers’</w:t>
      </w:r>
      <w:r w:rsidRPr="003573DA">
        <w:rPr>
          <w:color w:val="000000" w:themeColor="text1"/>
        </w:rPr>
        <w:t xml:space="preserve"> Office of Human Research Protection. For recruitment of the general public, </w:t>
      </w:r>
      <w:r w:rsidRPr="003573DA" w:rsidR="071AD835">
        <w:rPr>
          <w:color w:val="000000" w:themeColor="text1"/>
        </w:rPr>
        <w:t>the performer</w:t>
      </w:r>
      <w:r w:rsidRPr="003573DA">
        <w:rPr>
          <w:color w:val="000000" w:themeColor="text1"/>
        </w:rPr>
        <w:t xml:space="preserve"> will once again seek assistance from Matthews Media Group (MMG).</w:t>
      </w:r>
      <w:r w:rsidRPr="003573DA" w:rsidR="005E2530">
        <w:rPr>
          <w:color w:val="000000" w:themeColor="text1"/>
        </w:rPr>
        <w:t xml:space="preserve"> </w:t>
      </w:r>
      <w:r w:rsidRPr="003573DA">
        <w:rPr>
          <w:color w:val="000000" w:themeColor="text1"/>
        </w:rPr>
        <w:t xml:space="preserve">Interested participants will be instructed to contact a member of the research team for additional information about the </w:t>
      </w:r>
      <w:r w:rsidRPr="003573DA" w:rsidR="00373DAC">
        <w:rPr>
          <w:color w:val="000000" w:themeColor="text1"/>
        </w:rPr>
        <w:t>study and</w:t>
      </w:r>
      <w:r w:rsidRPr="003573DA">
        <w:rPr>
          <w:color w:val="000000" w:themeColor="text1"/>
        </w:rPr>
        <w:t xml:space="preserve"> will be given a copy of the consent form to review prior to the test date. </w:t>
      </w:r>
    </w:p>
    <w:p w:rsidR="00B63452" w:rsidRPr="003573DA" w:rsidP="00B63452" w14:paraId="754344A3" w14:textId="2E3ABA3D">
      <w:pPr>
        <w:rPr>
          <w:color w:val="000000" w:themeColor="text1"/>
        </w:rPr>
      </w:pPr>
      <w:r w:rsidRPr="003573DA">
        <w:rPr>
          <w:color w:val="000000" w:themeColor="text1"/>
        </w:rPr>
        <w:t xml:space="preserve">On the test date, an overview of the study will be </w:t>
      </w:r>
      <w:r w:rsidRPr="003573DA" w:rsidR="7CE3A8C7">
        <w:rPr>
          <w:color w:val="000000" w:themeColor="text1"/>
        </w:rPr>
        <w:t>provided,</w:t>
      </w:r>
      <w:r w:rsidRPr="003573DA">
        <w:rPr>
          <w:color w:val="000000" w:themeColor="text1"/>
        </w:rPr>
        <w:t xml:space="preserve"> and participants will have the opportunity to have their questions answered. Once informed consent has been obtained, participants will be asked to provide basic demographic information (age, gender, and race) along with information on any previous injuries to their hands that may have impacted their fingerprints and if they have sensitivity to COTS hand lotion. Each participant will be assigned a random study ID number under which their fingerprint images will be stored. </w:t>
      </w:r>
    </w:p>
    <w:p w:rsidR="4B5AA87A" w:rsidRPr="003573DA" w:rsidP="609D6B1D" w14:paraId="725DDA46" w14:textId="6F3736F7">
      <w:pPr>
        <w:rPr>
          <w:color w:val="000000" w:themeColor="text1"/>
        </w:rPr>
      </w:pPr>
      <w:r w:rsidRPr="003573DA">
        <w:rPr>
          <w:color w:val="000000" w:themeColor="text1"/>
        </w:rPr>
        <w:t>The data collection is designed to determine the factors that impact image quality</w:t>
      </w:r>
      <w:r w:rsidRPr="003573DA" w:rsidR="29023C64">
        <w:rPr>
          <w:color w:val="000000" w:themeColor="text1"/>
        </w:rPr>
        <w:t xml:space="preserve"> on several biometric sensors</w:t>
      </w:r>
      <w:r w:rsidRPr="003573DA">
        <w:rPr>
          <w:color w:val="000000" w:themeColor="text1"/>
        </w:rPr>
        <w:t xml:space="preserve">. The participants will visit the sensor stations to present their biometrics multiple times. </w:t>
      </w:r>
      <w:r w:rsidRPr="003573DA" w:rsidR="540B4864">
        <w:rPr>
          <w:color w:val="000000" w:themeColor="text1"/>
        </w:rPr>
        <w:t xml:space="preserve">Each presentation will have a different variable, e.g., low lighting, </w:t>
      </w:r>
      <w:r w:rsidRPr="003573DA" w:rsidR="00041F7C">
        <w:rPr>
          <w:color w:val="000000" w:themeColor="text1"/>
        </w:rPr>
        <w:t>variable</w:t>
      </w:r>
      <w:r w:rsidRPr="003573DA" w:rsidR="540B4864">
        <w:rPr>
          <w:color w:val="000000" w:themeColor="text1"/>
        </w:rPr>
        <w:t xml:space="preserve"> distance from the sensor. These parameters will be detailed to the participants in advance</w:t>
      </w:r>
      <w:r w:rsidRPr="003573DA" w:rsidR="60C30BB4">
        <w:rPr>
          <w:color w:val="000000" w:themeColor="text1"/>
        </w:rPr>
        <w:t xml:space="preserve">, and they may choose to opt out of a presentation if they are uncomfortable. </w:t>
      </w:r>
    </w:p>
    <w:p w:rsidR="00DC42A3" w:rsidRPr="003573DA" w:rsidP="072EBD98" w14:paraId="0BDBA34D" w14:textId="77777777">
      <w:pPr>
        <w:rPr>
          <w:b/>
          <w:bCs/>
          <w:color w:val="000000" w:themeColor="text1"/>
        </w:rPr>
      </w:pPr>
      <w:r w:rsidRPr="003573DA">
        <w:rPr>
          <w:b/>
          <w:bCs/>
          <w:color w:val="000000" w:themeColor="text1"/>
        </w:rPr>
        <w:t xml:space="preserve">ii. </w:t>
      </w:r>
      <w:r w:rsidRPr="003573DA">
        <w:rPr>
          <w:color w:val="000000" w:themeColor="text1"/>
        </w:rPr>
        <w:tab/>
      </w:r>
      <w:r w:rsidRPr="003573DA">
        <w:rPr>
          <w:b/>
          <w:bCs/>
          <w:color w:val="000000" w:themeColor="text1"/>
        </w:rPr>
        <w:t>Algorithm Evaluation</w:t>
      </w:r>
    </w:p>
    <w:p w:rsidR="00DC42A3" w:rsidRPr="003573DA" w:rsidP="5F741119" w14:paraId="4A1928EB" w14:textId="47B3CCC4">
      <w:pPr>
        <w:rPr>
          <w:color w:val="000000" w:themeColor="text1"/>
        </w:rPr>
      </w:pPr>
      <w:r w:rsidRPr="003573DA">
        <w:rPr>
          <w:color w:val="000000" w:themeColor="text1"/>
        </w:rPr>
        <w:t>The performers</w:t>
      </w:r>
      <w:r w:rsidRPr="003573DA">
        <w:rPr>
          <w:color w:val="000000" w:themeColor="text1"/>
        </w:rPr>
        <w:t xml:space="preserve"> will utilize </w:t>
      </w:r>
      <w:r w:rsidRPr="003573DA">
        <w:rPr>
          <w:color w:val="000000" w:themeColor="text1"/>
        </w:rPr>
        <w:t xml:space="preserve">biometric </w:t>
      </w:r>
      <w:r w:rsidRPr="003573DA">
        <w:rPr>
          <w:color w:val="000000" w:themeColor="text1"/>
        </w:rPr>
        <w:t>images collected under</w:t>
      </w:r>
      <w:r w:rsidRPr="003573DA" w:rsidR="000F7662">
        <w:rPr>
          <w:color w:val="000000" w:themeColor="text1"/>
        </w:rPr>
        <w:t xml:space="preserve"> previous </w:t>
      </w:r>
      <w:r w:rsidRPr="003573DA" w:rsidR="004574E0">
        <w:rPr>
          <w:color w:val="000000" w:themeColor="text1"/>
        </w:rPr>
        <w:t>databases.</w:t>
      </w:r>
      <w:r w:rsidRPr="003573DA">
        <w:rPr>
          <w:color w:val="000000" w:themeColor="text1"/>
        </w:rPr>
        <w:t xml:space="preserve"> The sponsor may provide additional data under </w:t>
      </w:r>
      <w:r w:rsidRPr="003573DA" w:rsidR="00E60CC6">
        <w:rPr>
          <w:color w:val="000000" w:themeColor="text1"/>
        </w:rPr>
        <w:t xml:space="preserve">a </w:t>
      </w:r>
      <w:r w:rsidRPr="003573DA">
        <w:rPr>
          <w:color w:val="000000" w:themeColor="text1"/>
        </w:rPr>
        <w:t xml:space="preserve">and/or recommend other data sources (public or private). Data Use Agreements (DUAs) will be executed as warranted. </w:t>
      </w:r>
    </w:p>
    <w:p w:rsidR="00DC42A3" w:rsidRPr="003573DA" w:rsidP="5F741119" w14:paraId="6BB27A92" w14:textId="0645BAC9">
      <w:pPr>
        <w:rPr>
          <w:color w:val="000000" w:themeColor="text1"/>
        </w:rPr>
      </w:pPr>
      <w:r w:rsidRPr="003573DA">
        <w:rPr>
          <w:color w:val="000000" w:themeColor="text1"/>
        </w:rPr>
        <w:t>A biometric matching system uses a matching algorithm, or matcher, to compare two biometric templates, which are derived from the biometric images (or other biometric measurements). The details of how this is done vary dramatically across modalities</w:t>
      </w:r>
      <w:r w:rsidRPr="003573DA" w:rsidR="2970C0BF">
        <w:rPr>
          <w:color w:val="000000" w:themeColor="text1"/>
        </w:rPr>
        <w:t xml:space="preserve"> and can vary across matchers</w:t>
      </w:r>
      <w:r w:rsidRPr="003573DA">
        <w:rPr>
          <w:color w:val="000000" w:themeColor="text1"/>
        </w:rPr>
        <w:t xml:space="preserve"> For example, early face matchers identified locations on the face (i.e., eyebrows, eyes, nose, chin, corners of the mouth) and performed matching by comparing their relative positions; current face matchers almost exclusively use deep-neural-network algorithms (a machine-learning type of algorithm) to match one face image to another; iris algorithms use a handcrafted mathematical approach based on wavelet decomposition of the radial features of the iris pattern. Fingerprint algorithms use a combined approach. Fingerprint analysis for biometric identification predates computer algorithms, and the first computer algorithms simply coded the human approach of identifying minutiae points in the fingerprints and then comparing </w:t>
      </w:r>
      <w:r w:rsidRPr="003573DA">
        <w:rPr>
          <w:color w:val="000000" w:themeColor="text1"/>
        </w:rPr>
        <w:t>their relative positions in an (</w:t>
      </w:r>
      <w:r w:rsidRPr="003573DA" w:rsidR="004574E0">
        <w:rPr>
          <w:color w:val="000000" w:themeColor="text1"/>
        </w:rPr>
        <w:t>x, y</w:t>
      </w:r>
      <w:r w:rsidRPr="003573DA">
        <w:rPr>
          <w:color w:val="000000" w:themeColor="text1"/>
        </w:rPr>
        <w:t>) coordinate system. The advent of deep neural networks has improved the algorithmic identification of fingerprint minutiae, but many algorithms maintain the more engineered approach to comparing the locations of minutiae.</w:t>
      </w:r>
      <w:r w:rsidRPr="003573DA" w:rsidR="009C308C">
        <w:rPr>
          <w:color w:val="000000" w:themeColor="text1"/>
        </w:rPr>
        <w:t xml:space="preserve"> </w:t>
      </w:r>
    </w:p>
    <w:p w:rsidR="00DC42A3" w:rsidRPr="003573DA" w:rsidP="009C308C" w14:paraId="0414786C" w14:textId="072BBD04">
      <w:pPr>
        <w:rPr>
          <w:color w:val="000000" w:themeColor="text1"/>
        </w:rPr>
      </w:pPr>
      <w:r w:rsidRPr="003573DA">
        <w:rPr>
          <w:color w:val="000000" w:themeColor="text1"/>
        </w:rPr>
        <w:t>A general feature of all biometric matchers is that they produce a similarity score; this score is a measure of how similar the specific features of interest are between the two biometric template samples being compared. It is important to note that this similarity score will not likely be linearly related to the likelihood that two images are a match, but it will be monotonically related to that likelihood.</w:t>
      </w:r>
      <w:r w:rsidRPr="003573DA" w:rsidR="3EAC0DEA">
        <w:rPr>
          <w:color w:val="000000" w:themeColor="text1"/>
        </w:rPr>
        <w:t xml:space="preserve"> </w:t>
      </w:r>
    </w:p>
    <w:p w:rsidR="21CB21AC" w:rsidRPr="003573DA" w:rsidP="5F741119" w14:paraId="72F5D498" w14:textId="7E5BB31B">
      <w:pPr>
        <w:rPr>
          <w:color w:val="000000" w:themeColor="text1"/>
        </w:rPr>
      </w:pPr>
      <w:r w:rsidRPr="003573DA">
        <w:rPr>
          <w:color w:val="000000" w:themeColor="text1"/>
        </w:rPr>
        <w:t xml:space="preserve">The continued advancement of these matching systems has </w:t>
      </w:r>
      <w:r w:rsidRPr="003573DA" w:rsidR="00C54FA5">
        <w:rPr>
          <w:color w:val="000000" w:themeColor="text1"/>
        </w:rPr>
        <w:t>led</w:t>
      </w:r>
      <w:r w:rsidRPr="003573DA">
        <w:rPr>
          <w:color w:val="000000" w:themeColor="text1"/>
        </w:rPr>
        <w:t xml:space="preserve"> to many more black box or proprietary implementations where the user does not have full visibility of methodology implemented within the matching system. Evaluations of matching systems leveraging tests that implement the same parameters and allow for 1:1 performance </w:t>
      </w:r>
      <w:r w:rsidRPr="003573DA" w:rsidR="00C54FA5">
        <w:rPr>
          <w:color w:val="000000" w:themeColor="text1"/>
        </w:rPr>
        <w:t>comparison</w:t>
      </w:r>
      <w:r w:rsidRPr="003573DA">
        <w:rPr>
          <w:color w:val="000000" w:themeColor="text1"/>
        </w:rPr>
        <w:t xml:space="preserve"> allow for the user to have a true understanding of the variation in performance between the available matching systems.</w:t>
      </w:r>
    </w:p>
    <w:p w:rsidR="00C76E52" w:rsidRPr="003573DA" w:rsidP="00C76E52" w14:paraId="5EBE8F2C" w14:textId="3ABEBF52">
      <w:pPr>
        <w:rPr>
          <w:color w:val="000000" w:themeColor="text1"/>
        </w:rPr>
      </w:pPr>
      <w:r w:rsidRPr="003573DA">
        <w:rPr>
          <w:color w:val="000000" w:themeColor="text1"/>
        </w:rPr>
        <w:t>There are two key parameters used to evaluate any matching system, the false match rate (FMR) and the false non-match rate (FNMR). The FMR is the rate at which two images which are not of the same person are falsely declared to match, and the FNMR is the rate at which two images which are of the same person are declared not to match.</w:t>
      </w:r>
    </w:p>
    <w:p w:rsidR="00866FC2" w:rsidRPr="003573DA" w:rsidP="001A2ECB" w14:paraId="77D085FE" w14:textId="77777777">
      <w:pPr>
        <w:numPr>
          <w:ilvl w:val="0"/>
          <w:numId w:val="5"/>
        </w:numPr>
        <w:rPr>
          <w:b/>
          <w:bCs/>
          <w:color w:val="000000" w:themeColor="text1"/>
        </w:rPr>
      </w:pPr>
      <w:r w:rsidRPr="003573DA">
        <w:rPr>
          <w:b/>
          <w:bCs/>
          <w:color w:val="000000" w:themeColor="text1"/>
        </w:rPr>
        <w:t>Data Management</w:t>
      </w:r>
    </w:p>
    <w:p w:rsidR="002829BF" w:rsidRPr="003573DA" w:rsidP="002829BF" w14:paraId="65F78E7B" w14:textId="31BA462D">
      <w:pPr>
        <w:contextualSpacing/>
        <w:rPr>
          <w:color w:val="000000" w:themeColor="text1"/>
        </w:rPr>
      </w:pPr>
      <w:r w:rsidRPr="003573DA">
        <w:rPr>
          <w:color w:val="000000" w:themeColor="text1"/>
        </w:rPr>
        <w:t>Biometric image data will be stored in a separate database from the participant demographic data (i.e., contact information, PHI/PII). All data will be stored on controlled access computers, access to which will be limited to study team members and collaborators at NIST. While the biometric image data will not be shared with the Sponsors of this research, the aggregated results will be. NIST staff will not have access to participant contact information or additional PHI/PII beyond the biometric images.</w:t>
      </w:r>
      <w:r w:rsidRPr="003573DA">
        <w:rPr>
          <w:color w:val="000000" w:themeColor="text1"/>
        </w:rPr>
        <w:t xml:space="preserve"> The people who may request, receive, or use the information include the researchers and their staff who may be a part of JHU, NIST, </w:t>
      </w:r>
      <w:r w:rsidRPr="003573DA" w:rsidR="00A16B17">
        <w:rPr>
          <w:color w:val="000000" w:themeColor="text1"/>
        </w:rPr>
        <w:t>DHS S&amp;T</w:t>
      </w:r>
      <w:r w:rsidRPr="003573DA">
        <w:rPr>
          <w:color w:val="000000" w:themeColor="text1"/>
        </w:rPr>
        <w:t>, and OBIM FI.</w:t>
      </w:r>
    </w:p>
    <w:p w:rsidR="00866FC2" w:rsidRPr="003573DA" w:rsidP="00866FC2" w14:paraId="4EB950BA" w14:textId="6521F7EC">
      <w:pPr>
        <w:rPr>
          <w:color w:val="000000" w:themeColor="text1"/>
        </w:rPr>
      </w:pPr>
    </w:p>
    <w:p w:rsidR="00866FC2" w:rsidRPr="003573DA" w:rsidP="001A2ECB" w14:paraId="365AD76C" w14:textId="77777777">
      <w:pPr>
        <w:numPr>
          <w:ilvl w:val="0"/>
          <w:numId w:val="5"/>
        </w:numPr>
        <w:rPr>
          <w:b/>
          <w:bCs/>
          <w:color w:val="000000" w:themeColor="text1"/>
        </w:rPr>
      </w:pPr>
      <w:r w:rsidRPr="003573DA">
        <w:rPr>
          <w:b/>
          <w:bCs/>
          <w:color w:val="000000" w:themeColor="text1"/>
        </w:rPr>
        <w:t>Data Sharing</w:t>
      </w:r>
    </w:p>
    <w:p w:rsidR="00866FC2" w:rsidRPr="003573DA" w:rsidP="00866FC2" w14:paraId="1F42E104" w14:textId="0C58D96C">
      <w:pPr>
        <w:rPr>
          <w:color w:val="000000" w:themeColor="text1"/>
        </w:rPr>
      </w:pPr>
      <w:r w:rsidRPr="003573DA">
        <w:rPr>
          <w:color w:val="000000" w:themeColor="text1"/>
        </w:rPr>
        <w:t xml:space="preserve">Select research staff and the National Institute of Standards and Technology (NIST) may be provided the collected biometric image data and select demographic information (i.e., age, gender, race, ethnicity, and occupation). The demographic information will be identified only by the study ID#. No other PHI/PII will be provided to these </w:t>
      </w:r>
      <w:r w:rsidRPr="003573DA" w:rsidR="00373DAC">
        <w:rPr>
          <w:color w:val="000000" w:themeColor="text1"/>
        </w:rPr>
        <w:t>researchers,</w:t>
      </w:r>
      <w:r w:rsidRPr="003573DA">
        <w:rPr>
          <w:color w:val="000000" w:themeColor="text1"/>
        </w:rPr>
        <w:t xml:space="preserve"> and they will not otherwise have access to that </w:t>
      </w:r>
      <w:r w:rsidRPr="003573DA" w:rsidR="00373DAC">
        <w:rPr>
          <w:color w:val="000000" w:themeColor="text1"/>
        </w:rPr>
        <w:t>information.</w:t>
      </w:r>
      <w:r w:rsidRPr="003573DA" w:rsidR="00FC529D">
        <w:rPr>
          <w:color w:val="000000" w:themeColor="text1"/>
        </w:rPr>
        <w:t xml:space="preserve"> The data gathered may be shared with researchers at other institutions, for-profit companies, sponsors, government agencies, and other research partners</w:t>
      </w:r>
      <w:r w:rsidRPr="003573DA" w:rsidR="001727AA">
        <w:rPr>
          <w:color w:val="000000" w:themeColor="text1"/>
        </w:rPr>
        <w:t xml:space="preserve">. </w:t>
      </w:r>
      <w:r w:rsidRPr="003573DA" w:rsidR="00E407CB">
        <w:rPr>
          <w:color w:val="000000" w:themeColor="text1"/>
        </w:rPr>
        <w:t xml:space="preserve">The data may also be put in government or other databases/repositories. Any results produced will be leveraged as government products and not published as academic peer review journal articles. </w:t>
      </w:r>
    </w:p>
    <w:p w:rsidR="00721243" w:rsidRPr="003573DA" w:rsidP="00721243" w14:paraId="7651F140" w14:textId="77777777">
      <w:pPr>
        <w:spacing w:after="120"/>
        <w:rPr>
          <w:rFonts w:eastAsia="Lucida Sans"/>
          <w:color w:val="000000" w:themeColor="text1"/>
        </w:rPr>
      </w:pPr>
      <w:r w:rsidRPr="003573DA">
        <w:rPr>
          <w:b/>
          <w:bCs/>
          <w:color w:val="000000" w:themeColor="text1"/>
        </w:rPr>
        <w:t>Participants are eligible to</w:t>
      </w:r>
      <w:r w:rsidRPr="003573DA">
        <w:rPr>
          <w:b/>
          <w:bCs/>
          <w:color w:val="000000" w:themeColor="text1"/>
          <w:spacing w:val="-23"/>
        </w:rPr>
        <w:t xml:space="preserve"> </w:t>
      </w:r>
      <w:r w:rsidRPr="003573DA">
        <w:rPr>
          <w:b/>
          <w:bCs/>
          <w:color w:val="000000" w:themeColor="text1"/>
        </w:rPr>
        <w:t>participate</w:t>
      </w:r>
      <w:r w:rsidRPr="003573DA">
        <w:rPr>
          <w:b/>
          <w:bCs/>
          <w:color w:val="000000" w:themeColor="text1"/>
          <w:spacing w:val="-24"/>
        </w:rPr>
        <w:t xml:space="preserve"> </w:t>
      </w:r>
      <w:r w:rsidRPr="003573DA">
        <w:rPr>
          <w:b/>
          <w:bCs/>
          <w:color w:val="000000" w:themeColor="text1"/>
          <w:spacing w:val="-2"/>
        </w:rPr>
        <w:t>if</w:t>
      </w:r>
      <w:r w:rsidRPr="003573DA">
        <w:rPr>
          <w:b/>
          <w:bCs/>
          <w:color w:val="000000" w:themeColor="text1"/>
          <w:spacing w:val="-23"/>
        </w:rPr>
        <w:t xml:space="preserve"> </w:t>
      </w:r>
      <w:r w:rsidRPr="003573DA">
        <w:rPr>
          <w:b/>
          <w:bCs/>
          <w:color w:val="000000" w:themeColor="text1"/>
        </w:rPr>
        <w:t>they</w:t>
      </w:r>
      <w:r w:rsidRPr="003573DA">
        <w:rPr>
          <w:b/>
          <w:bCs/>
          <w:color w:val="000000" w:themeColor="text1"/>
          <w:spacing w:val="-23"/>
        </w:rPr>
        <w:t xml:space="preserve"> </w:t>
      </w:r>
      <w:r w:rsidRPr="003573DA">
        <w:rPr>
          <w:b/>
          <w:bCs/>
          <w:color w:val="000000" w:themeColor="text1"/>
        </w:rPr>
        <w:t>are:</w:t>
      </w:r>
    </w:p>
    <w:p w:rsidR="00721243" w:rsidRPr="003573DA" w:rsidP="00721243" w14:paraId="40A10A74" w14:textId="77777777">
      <w:pPr>
        <w:pStyle w:val="ListParagraph"/>
        <w:widowControl w:val="0"/>
        <w:numPr>
          <w:ilvl w:val="0"/>
          <w:numId w:val="2"/>
        </w:numPr>
        <w:spacing w:after="240" w:line="240" w:lineRule="auto"/>
        <w:contextualSpacing w:val="0"/>
        <w:rPr>
          <w:color w:val="000000" w:themeColor="text1"/>
        </w:rPr>
      </w:pPr>
      <w:r w:rsidRPr="003573DA">
        <w:rPr>
          <w:color w:val="000000" w:themeColor="text1"/>
        </w:rPr>
        <w:t>A U.S. citizen, between the ages of 18 and 75 able to provide proof of citizenship in the form of a valid government-issued ID, such as a state driver’s license, birth certificate, or passport.</w:t>
      </w:r>
    </w:p>
    <w:p w:rsidR="00721243" w:rsidRPr="003573DA" w:rsidP="00721243" w14:paraId="7D1AD4AF" w14:textId="77777777">
      <w:pPr>
        <w:pStyle w:val="ListParagraph"/>
        <w:widowControl w:val="0"/>
        <w:numPr>
          <w:ilvl w:val="0"/>
          <w:numId w:val="2"/>
        </w:numPr>
        <w:spacing w:after="240" w:line="240" w:lineRule="auto"/>
        <w:contextualSpacing w:val="0"/>
        <w:rPr>
          <w:color w:val="000000" w:themeColor="text1"/>
        </w:rPr>
      </w:pPr>
      <w:r w:rsidRPr="003573DA">
        <w:rPr>
          <w:color w:val="000000" w:themeColor="text1"/>
        </w:rPr>
        <w:t>Willing and able to provide written informed consent.</w:t>
      </w:r>
    </w:p>
    <w:p w:rsidR="007737F1" w:rsidRPr="003573DA" w:rsidP="003F1B2A" w14:paraId="64C54E02" w14:textId="204F8ABF">
      <w:pPr>
        <w:pStyle w:val="ListParagraph"/>
        <w:widowControl w:val="0"/>
        <w:numPr>
          <w:ilvl w:val="0"/>
          <w:numId w:val="2"/>
        </w:numPr>
        <w:spacing w:after="240" w:line="240" w:lineRule="auto"/>
        <w:contextualSpacing w:val="0"/>
        <w:rPr>
          <w:color w:val="000000" w:themeColor="text1"/>
        </w:rPr>
      </w:pPr>
      <w:r w:rsidRPr="003573DA">
        <w:rPr>
          <w:color w:val="000000" w:themeColor="text1"/>
        </w:rPr>
        <w:t>Available to attend a test appointment lasting approximately two and a half hours at the JHU test facility in Columbia, Maryland, on a weekday.</w:t>
      </w:r>
    </w:p>
    <w:p w:rsidR="00944BF5" w:rsidRPr="003573DA" w14:paraId="40C2D12F" w14:textId="1C806A8A">
      <w:pPr>
        <w:rPr>
          <w:color w:val="000000" w:themeColor="text1"/>
        </w:rPr>
      </w:pPr>
      <w:r w:rsidRPr="003573DA">
        <w:rPr>
          <w:color w:val="000000" w:themeColor="text1"/>
        </w:rPr>
        <w:t>5. Provide the name and telephone number of individuals consulted on statistical aspects of the design and the name of the agency unit, contractor(s), grantee(s), or other person(s) who will actually collect and/or analyze the information for the agency</w:t>
      </w:r>
    </w:p>
    <w:p w:rsidR="008755BC" w:rsidRPr="003573DA" w14:paraId="57D379F3" w14:textId="33709AF9">
      <w:pPr>
        <w:rPr>
          <w:color w:val="000000" w:themeColor="text1"/>
        </w:rPr>
      </w:pPr>
      <w:r w:rsidRPr="003573DA">
        <w:rPr>
          <w:color w:val="000000" w:themeColor="text1"/>
        </w:rPr>
        <w:t xml:space="preserve">OBIM performers will conduct official analyses </w:t>
      </w:r>
      <w:r w:rsidRPr="003573DA" w:rsidR="00AD3D16">
        <w:rPr>
          <w:color w:val="000000" w:themeColor="text1"/>
        </w:rPr>
        <w:t xml:space="preserve">via </w:t>
      </w:r>
      <w:r w:rsidRPr="003573DA">
        <w:rPr>
          <w:color w:val="000000" w:themeColor="text1"/>
        </w:rPr>
        <w:t xml:space="preserve">statistical teams from places like Johns </w:t>
      </w:r>
      <w:r w:rsidRPr="003573DA" w:rsidR="00AD3D16">
        <w:rPr>
          <w:color w:val="000000" w:themeColor="text1"/>
        </w:rPr>
        <w:t>Hopkins</w:t>
      </w:r>
      <w:r w:rsidRPr="003573DA">
        <w:rPr>
          <w:color w:val="000000" w:themeColor="text1"/>
        </w:rPr>
        <w:t xml:space="preserve"> University Applied Physics La</w:t>
      </w:r>
      <w:r w:rsidRPr="003573DA" w:rsidR="003474EB">
        <w:rPr>
          <w:color w:val="000000" w:themeColor="text1"/>
        </w:rPr>
        <w:t xml:space="preserve">b </w:t>
      </w:r>
      <w:r w:rsidRPr="003573DA" w:rsidR="00A4594C">
        <w:rPr>
          <w:color w:val="000000" w:themeColor="text1"/>
        </w:rPr>
        <w:t>and the Maryland testing facility</w:t>
      </w:r>
      <w:r w:rsidRPr="003573DA" w:rsidR="003F782D">
        <w:rPr>
          <w:color w:val="000000" w:themeColor="text1"/>
        </w:rPr>
        <w:t xml:space="preserve"> (MdTF)</w:t>
      </w:r>
      <w:r w:rsidRPr="003573DA">
        <w:rPr>
          <w:color w:val="000000" w:themeColor="text1"/>
        </w:rPr>
        <w:t xml:space="preserve">.  For OBIM analysis, </w:t>
      </w:r>
      <w:r w:rsidRPr="003573DA">
        <w:rPr>
          <w:color w:val="000000" w:themeColor="text1"/>
        </w:rPr>
        <w:t>OBIM Futures Identity will have individuals from our team conducting initial and in house evaluation of data for our own edification and discussion among our OBIM team writ large. For discussions on these matters</w:t>
      </w:r>
      <w:r w:rsidRPr="003573DA" w:rsidR="00003F82">
        <w:rPr>
          <w:color w:val="000000" w:themeColor="text1"/>
        </w:rPr>
        <w:t xml:space="preserve">, </w:t>
      </w:r>
      <w:r w:rsidRPr="003573DA" w:rsidR="009250A2">
        <w:rPr>
          <w:color w:val="000000" w:themeColor="text1"/>
        </w:rPr>
        <w:t>please look at the c</w:t>
      </w:r>
      <w:r w:rsidRPr="003573DA" w:rsidR="00003F82">
        <w:rPr>
          <w:color w:val="000000" w:themeColor="text1"/>
        </w:rPr>
        <w:t>ontact information</w:t>
      </w:r>
      <w:r w:rsidRPr="003573DA" w:rsidR="009250A2">
        <w:rPr>
          <w:color w:val="000000" w:themeColor="text1"/>
        </w:rPr>
        <w:t xml:space="preserve"> </w:t>
      </w:r>
      <w:r w:rsidRPr="003573DA" w:rsidR="00003F82">
        <w:rPr>
          <w:color w:val="000000" w:themeColor="text1"/>
        </w:rPr>
        <w:t xml:space="preserve">below. </w:t>
      </w:r>
    </w:p>
    <w:p w:rsidR="000E5FA4" w:rsidRPr="003573DA" w:rsidP="00946D6C" w14:paraId="39F4551E" w14:textId="77777777">
      <w:pPr>
        <w:rPr>
          <w:b/>
          <w:bCs/>
          <w:color w:val="000000" w:themeColor="text1"/>
        </w:rPr>
      </w:pPr>
      <w:r w:rsidRPr="003573DA">
        <w:rPr>
          <w:b/>
          <w:bCs/>
          <w:color w:val="000000" w:themeColor="text1"/>
        </w:rPr>
        <w:t>OBIM</w:t>
      </w:r>
      <w:r w:rsidRPr="003573DA">
        <w:rPr>
          <w:b/>
          <w:bCs/>
          <w:color w:val="000000" w:themeColor="text1"/>
        </w:rPr>
        <w:t xml:space="preserve"> Futures Identity:</w:t>
      </w:r>
    </w:p>
    <w:p w:rsidR="0018224C" w:rsidRPr="003573DA" w:rsidP="00946D6C" w14:paraId="001858E2" w14:textId="5C0CB3EC">
      <w:pPr>
        <w:pStyle w:val="ListParagraph"/>
        <w:numPr>
          <w:ilvl w:val="0"/>
          <w:numId w:val="11"/>
        </w:numPr>
        <w:rPr>
          <w:color w:val="000000" w:themeColor="text1"/>
        </w:rPr>
      </w:pPr>
      <w:r w:rsidRPr="003573DA">
        <w:rPr>
          <w:color w:val="000000" w:themeColor="text1"/>
        </w:rPr>
        <w:t>1</w:t>
      </w:r>
      <w:r w:rsidRPr="003573DA">
        <w:rPr>
          <w:color w:val="000000" w:themeColor="text1"/>
        </w:rPr>
        <w:t xml:space="preserve">. </w:t>
      </w:r>
      <w:r w:rsidRPr="003573DA" w:rsidR="00487902">
        <w:rPr>
          <w:color w:val="000000" w:themeColor="text1"/>
        </w:rPr>
        <w:t>Kneapler, Caitlin</w:t>
      </w:r>
      <w:r w:rsidRPr="003573DA" w:rsidR="00C94678">
        <w:rPr>
          <w:color w:val="000000" w:themeColor="text1"/>
        </w:rPr>
        <w:t xml:space="preserve"> </w:t>
      </w:r>
      <w:r w:rsidRPr="003573DA" w:rsidR="00487902">
        <w:rPr>
          <w:color w:val="000000" w:themeColor="text1"/>
        </w:rPr>
        <w:t>(</w:t>
      </w:r>
      <w:r w:rsidRPr="003573DA" w:rsidR="00C94678">
        <w:rPr>
          <w:color w:val="000000" w:themeColor="text1"/>
        </w:rPr>
        <w:t>Technical Integrator</w:t>
      </w:r>
      <w:r w:rsidRPr="003573DA" w:rsidR="00487902">
        <w:rPr>
          <w:color w:val="000000" w:themeColor="text1"/>
        </w:rPr>
        <w:t>)</w:t>
      </w:r>
    </w:p>
    <w:p w:rsidR="0018224C" w:rsidRPr="003573DA" w:rsidP="00946D6C" w14:paraId="42AB7D7F" w14:textId="77777777">
      <w:pPr>
        <w:pStyle w:val="ListParagraph"/>
        <w:numPr>
          <w:ilvl w:val="1"/>
          <w:numId w:val="11"/>
        </w:numPr>
        <w:rPr>
          <w:color w:val="000000" w:themeColor="text1"/>
        </w:rPr>
      </w:pPr>
      <w:hyperlink r:id="rId9" w:history="1">
        <w:r w:rsidRPr="003573DA">
          <w:rPr>
            <w:rStyle w:val="Hyperlink"/>
            <w:color w:val="000000" w:themeColor="text1"/>
          </w:rPr>
          <w:t>Caitlin.n.kneaper@hq.dhs.gov</w:t>
        </w:r>
      </w:hyperlink>
    </w:p>
    <w:p w:rsidR="005A4605" w:rsidRPr="003573DA" w:rsidP="00946D6C" w14:paraId="1E636734" w14:textId="6542AA6D">
      <w:pPr>
        <w:pStyle w:val="ListParagraph"/>
        <w:numPr>
          <w:ilvl w:val="0"/>
          <w:numId w:val="11"/>
        </w:numPr>
        <w:rPr>
          <w:color w:val="000000" w:themeColor="text1"/>
        </w:rPr>
      </w:pPr>
      <w:r w:rsidRPr="003573DA">
        <w:rPr>
          <w:rFonts w:ascii="Calibri" w:hAnsi="Calibri" w:cs="Calibri"/>
          <w:color w:val="000000" w:themeColor="text1"/>
        </w:rPr>
        <w:t xml:space="preserve">2. Conde Puertas, </w:t>
      </w:r>
      <w:r w:rsidRPr="003573DA" w:rsidR="00D02795">
        <w:rPr>
          <w:rFonts w:ascii="Calibri" w:hAnsi="Calibri" w:cs="Calibri"/>
          <w:color w:val="000000" w:themeColor="text1"/>
        </w:rPr>
        <w:t>Alex</w:t>
      </w:r>
      <w:r w:rsidRPr="003573DA" w:rsidR="00487902">
        <w:rPr>
          <w:rFonts w:ascii="Calibri" w:hAnsi="Calibri" w:cs="Calibri"/>
          <w:color w:val="000000" w:themeColor="text1"/>
        </w:rPr>
        <w:t>andra (</w:t>
      </w:r>
      <w:r w:rsidRPr="003573DA">
        <w:rPr>
          <w:rFonts w:ascii="Calibri" w:hAnsi="Calibri" w:cs="Calibri"/>
          <w:color w:val="000000" w:themeColor="text1"/>
        </w:rPr>
        <w:t>Student Trainee</w:t>
      </w:r>
      <w:r w:rsidRPr="003573DA" w:rsidR="00487902">
        <w:rPr>
          <w:rFonts w:ascii="Calibri" w:hAnsi="Calibri" w:cs="Calibri"/>
          <w:color w:val="000000" w:themeColor="text1"/>
        </w:rPr>
        <w:t>)</w:t>
      </w:r>
    </w:p>
    <w:p w:rsidR="005A4605" w:rsidRPr="003573DA" w:rsidP="00946D6C" w14:paraId="5EE95CC4" w14:textId="2154B9C6">
      <w:pPr>
        <w:pStyle w:val="ListParagraph"/>
        <w:numPr>
          <w:ilvl w:val="1"/>
          <w:numId w:val="11"/>
        </w:numPr>
        <w:rPr>
          <w:color w:val="000000" w:themeColor="text1"/>
        </w:rPr>
      </w:pPr>
      <w:hyperlink r:id="rId10" w:history="1">
        <w:r w:rsidRPr="003573DA">
          <w:rPr>
            <w:rStyle w:val="Hyperlink"/>
            <w:rFonts w:ascii="Calibri" w:hAnsi="Calibri" w:cs="Calibri"/>
            <w:color w:val="000000" w:themeColor="text1"/>
          </w:rPr>
          <w:t>Alexandra.puertas@hq.dhs.gov</w:t>
        </w:r>
      </w:hyperlink>
    </w:p>
    <w:p w:rsidR="00D22C1E" w:rsidRPr="003573DA" w:rsidP="00946D6C" w14:paraId="7E1DA945" w14:textId="18C7B045">
      <w:pPr>
        <w:rPr>
          <w:b/>
          <w:bCs/>
          <w:color w:val="000000" w:themeColor="text1"/>
        </w:rPr>
      </w:pPr>
      <w:r w:rsidRPr="003573DA">
        <w:rPr>
          <w:b/>
          <w:bCs/>
          <w:color w:val="000000" w:themeColor="text1"/>
        </w:rPr>
        <w:t>John Hopkins University Applied Physics Labs (JHU APL):</w:t>
      </w:r>
    </w:p>
    <w:p w:rsidR="00946D6C" w:rsidRPr="003573DA" w:rsidP="00946D6C" w14:paraId="133C0F90" w14:textId="3BDB66EF">
      <w:pPr>
        <w:pStyle w:val="ListParagraph"/>
        <w:numPr>
          <w:ilvl w:val="0"/>
          <w:numId w:val="14"/>
        </w:numPr>
        <w:rPr>
          <w:b/>
          <w:bCs/>
          <w:color w:val="000000" w:themeColor="text1"/>
        </w:rPr>
      </w:pPr>
      <w:r w:rsidRPr="003573DA">
        <w:rPr>
          <w:color w:val="000000" w:themeColor="text1"/>
        </w:rPr>
        <w:t>1. Engel, Marianne O.</w:t>
      </w:r>
    </w:p>
    <w:p w:rsidR="00946D6C" w:rsidRPr="003573DA" w:rsidP="00946D6C" w14:paraId="493C5C72" w14:textId="765505DA">
      <w:pPr>
        <w:pStyle w:val="ListParagraph"/>
        <w:numPr>
          <w:ilvl w:val="1"/>
          <w:numId w:val="14"/>
        </w:numPr>
        <w:rPr>
          <w:b/>
          <w:bCs/>
          <w:color w:val="000000" w:themeColor="text1"/>
        </w:rPr>
      </w:pPr>
      <w:hyperlink r:id="rId11" w:history="1">
        <w:r w:rsidRPr="003573DA" w:rsidR="00016DDC">
          <w:rPr>
            <w:rStyle w:val="Hyperlink"/>
            <w:color w:val="000000" w:themeColor="text1"/>
          </w:rPr>
          <w:t>Marianne.Engel@jhuapl.edu</w:t>
        </w:r>
      </w:hyperlink>
    </w:p>
    <w:p w:rsidR="00016DDC" w:rsidRPr="003573DA" w:rsidP="00016DDC" w14:paraId="2684C0CF" w14:textId="73EF2651">
      <w:pPr>
        <w:pStyle w:val="ListParagraph"/>
        <w:numPr>
          <w:ilvl w:val="0"/>
          <w:numId w:val="14"/>
        </w:numPr>
        <w:rPr>
          <w:b/>
          <w:bCs/>
          <w:color w:val="000000" w:themeColor="text1"/>
        </w:rPr>
      </w:pPr>
      <w:r w:rsidRPr="003573DA">
        <w:rPr>
          <w:color w:val="000000" w:themeColor="text1"/>
        </w:rPr>
        <w:t>2. Mirabito, Peter V.</w:t>
      </w:r>
    </w:p>
    <w:p w:rsidR="00016DDC" w:rsidRPr="003573DA" w:rsidP="00016DDC" w14:paraId="6A7CF819" w14:textId="69CA63C8">
      <w:pPr>
        <w:pStyle w:val="ListParagraph"/>
        <w:numPr>
          <w:ilvl w:val="1"/>
          <w:numId w:val="14"/>
        </w:numPr>
        <w:rPr>
          <w:b/>
          <w:bCs/>
          <w:color w:val="000000" w:themeColor="text1"/>
        </w:rPr>
      </w:pPr>
      <w:hyperlink r:id="rId12" w:history="1">
        <w:r w:rsidRPr="003573DA">
          <w:rPr>
            <w:rStyle w:val="Hyperlink"/>
            <w:color w:val="000000" w:themeColor="text1"/>
          </w:rPr>
          <w:t>Pete.Mirabito@jhuapl.edu</w:t>
        </w:r>
      </w:hyperlink>
    </w:p>
    <w:p w:rsidR="00C3448C" w:rsidRPr="003573DA" w14:paraId="30494577" w14:textId="09096551">
      <w:pPr>
        <w:rPr>
          <w:b/>
          <w:bCs/>
          <w:color w:val="000000" w:themeColor="text1"/>
        </w:rPr>
      </w:pPr>
      <w:r w:rsidRPr="003573DA">
        <w:rPr>
          <w:b/>
          <w:bCs/>
          <w:color w:val="000000" w:themeColor="text1"/>
        </w:rPr>
        <w:t>DHS Science and Technology Directorate (DHS S&amp;T</w:t>
      </w:r>
      <w:r w:rsidRPr="003573DA" w:rsidR="00D22C1E">
        <w:rPr>
          <w:b/>
          <w:bCs/>
          <w:color w:val="000000" w:themeColor="text1"/>
        </w:rPr>
        <w:t>):</w:t>
      </w:r>
    </w:p>
    <w:p w:rsidR="00C1658F" w:rsidRPr="003573DA" w:rsidP="00C1658F" w14:paraId="079CA171" w14:textId="2D10AD43">
      <w:pPr>
        <w:pStyle w:val="ListParagraph"/>
        <w:numPr>
          <w:ilvl w:val="0"/>
          <w:numId w:val="15"/>
        </w:numPr>
        <w:rPr>
          <w:b/>
          <w:bCs/>
          <w:color w:val="000000" w:themeColor="text1"/>
        </w:rPr>
      </w:pPr>
      <w:r w:rsidRPr="003573DA">
        <w:rPr>
          <w:color w:val="000000" w:themeColor="text1"/>
        </w:rPr>
        <w:t xml:space="preserve">1. Vemury, Arun </w:t>
      </w:r>
    </w:p>
    <w:p w:rsidR="00C1658F" w:rsidRPr="003573DA" w:rsidP="00C1658F" w14:paraId="19A386B3" w14:textId="349BAB84">
      <w:pPr>
        <w:pStyle w:val="ListParagraph"/>
        <w:numPr>
          <w:ilvl w:val="1"/>
          <w:numId w:val="15"/>
        </w:numPr>
        <w:rPr>
          <w:b/>
          <w:bCs/>
          <w:color w:val="000000" w:themeColor="text1"/>
        </w:rPr>
      </w:pPr>
      <w:hyperlink r:id="rId13" w:history="1">
        <w:r w:rsidRPr="003573DA">
          <w:rPr>
            <w:rStyle w:val="Hyperlink"/>
            <w:color w:val="000000" w:themeColor="text1"/>
          </w:rPr>
          <w:t>Arun.vemury@hq.dhs.gov</w:t>
        </w:r>
      </w:hyperlink>
    </w:p>
    <w:p w:rsidR="00C1658F" w:rsidRPr="003573DA" w:rsidP="00C1658F" w14:paraId="265A52D3" w14:textId="341D875C">
      <w:pPr>
        <w:rPr>
          <w:b/>
          <w:bCs/>
          <w:color w:val="000000" w:themeColor="text1"/>
        </w:rPr>
      </w:pPr>
      <w:r w:rsidRPr="003573DA">
        <w:rPr>
          <w:b/>
          <w:bCs/>
          <w:color w:val="000000" w:themeColor="text1"/>
        </w:rPr>
        <w:t>NIST</w:t>
      </w:r>
    </w:p>
    <w:p w:rsidR="00C1658F" w:rsidRPr="003573DA" w:rsidP="00C1658F" w14:paraId="577FC124" w14:textId="379A367A">
      <w:pPr>
        <w:pStyle w:val="ListParagraph"/>
        <w:numPr>
          <w:ilvl w:val="0"/>
          <w:numId w:val="15"/>
        </w:numPr>
        <w:rPr>
          <w:b/>
          <w:bCs/>
          <w:color w:val="000000" w:themeColor="text1"/>
        </w:rPr>
      </w:pPr>
      <w:r w:rsidRPr="003573DA">
        <w:rPr>
          <w:color w:val="000000" w:themeColor="text1"/>
        </w:rPr>
        <w:t>1. Watson, Craig I.</w:t>
      </w:r>
      <w:r w:rsidRPr="003573DA" w:rsidR="0057030F">
        <w:rPr>
          <w:color w:val="000000" w:themeColor="text1"/>
        </w:rPr>
        <w:t xml:space="preserve"> (Fed)</w:t>
      </w:r>
    </w:p>
    <w:p w:rsidR="00C1658F" w:rsidRPr="003573DA" w:rsidP="0057030F" w14:paraId="56AD6C01" w14:textId="1E034424">
      <w:pPr>
        <w:pStyle w:val="ListParagraph"/>
        <w:numPr>
          <w:ilvl w:val="1"/>
          <w:numId w:val="15"/>
        </w:numPr>
        <w:rPr>
          <w:b/>
          <w:bCs/>
          <w:color w:val="000000" w:themeColor="text1"/>
        </w:rPr>
      </w:pPr>
      <w:hyperlink r:id="rId14" w:history="1">
        <w:r w:rsidRPr="003573DA" w:rsidR="0057030F">
          <w:rPr>
            <w:rStyle w:val="Hyperlink"/>
            <w:color w:val="000000" w:themeColor="text1"/>
          </w:rPr>
          <w:t>Craig.watson@nist.gov</w:t>
        </w:r>
      </w:hyperlink>
    </w:p>
    <w:p w:rsidR="0057030F" w:rsidRPr="003573DA" w:rsidP="0057030F" w14:paraId="412E3E4C" w14:textId="77777777">
      <w:pPr>
        <w:pStyle w:val="ListParagraph"/>
        <w:ind w:left="1440"/>
        <w:rPr>
          <w:b/>
          <w:bCs/>
          <w:color w:val="000000" w:themeColor="text1"/>
        </w:rPr>
      </w:pPr>
    </w:p>
    <w:p w:rsidR="009250A2" w:rsidRPr="003573DA" w14:paraId="4C08CA30" w14:textId="77777777">
      <w:pPr>
        <w:rPr>
          <w:color w:val="000000" w:themeColor="text1"/>
        </w:rPr>
      </w:pPr>
    </w:p>
    <w:p w:rsidR="009250A2" w:rsidRPr="003573DA" w14:paraId="4C56C6AC" w14:textId="77777777">
      <w:pPr>
        <w:rPr>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620E1"/>
    <w:multiLevelType w:val="hybridMultilevel"/>
    <w:tmpl w:val="34FC2E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D23EB7"/>
    <w:multiLevelType w:val="hybridMultilevel"/>
    <w:tmpl w:val="67E2A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073B3"/>
    <w:multiLevelType w:val="hybridMultilevel"/>
    <w:tmpl w:val="674AE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C37742"/>
    <w:multiLevelType w:val="hybridMultilevel"/>
    <w:tmpl w:val="51D4B3C8"/>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220FB4"/>
    <w:multiLevelType w:val="hybridMultilevel"/>
    <w:tmpl w:val="C2908CB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90D46"/>
    <w:multiLevelType w:val="hybridMultilevel"/>
    <w:tmpl w:val="ECEE1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DD3EDA"/>
    <w:multiLevelType w:val="hybridMultilevel"/>
    <w:tmpl w:val="01C6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7E94E04"/>
    <w:multiLevelType w:val="hybridMultilevel"/>
    <w:tmpl w:val="AFEED7E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C325A64"/>
    <w:multiLevelType w:val="hybridMultilevel"/>
    <w:tmpl w:val="FD265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AD62D6"/>
    <w:multiLevelType w:val="hybridMultilevel"/>
    <w:tmpl w:val="808017A6"/>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D8531F"/>
    <w:multiLevelType w:val="hybridMultilevel"/>
    <w:tmpl w:val="045A38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2E313B"/>
    <w:multiLevelType w:val="hybridMultilevel"/>
    <w:tmpl w:val="CEAE7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BD5B09"/>
    <w:multiLevelType w:val="hybridMultilevel"/>
    <w:tmpl w:val="70FE5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C22985"/>
    <w:multiLevelType w:val="hybridMultilevel"/>
    <w:tmpl w:val="8B0E2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946D3F"/>
    <w:multiLevelType w:val="hybridMultilevel"/>
    <w:tmpl w:val="7E1A4B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2319903">
    <w:abstractNumId w:val="5"/>
  </w:num>
  <w:num w:numId="2" w16cid:durableId="2022002609">
    <w:abstractNumId w:val="6"/>
  </w:num>
  <w:num w:numId="3" w16cid:durableId="1611087047">
    <w:abstractNumId w:val="7"/>
  </w:num>
  <w:num w:numId="4" w16cid:durableId="1039161757">
    <w:abstractNumId w:val="4"/>
  </w:num>
  <w:num w:numId="5" w16cid:durableId="816341416">
    <w:abstractNumId w:val="0"/>
  </w:num>
  <w:num w:numId="6" w16cid:durableId="1619137795">
    <w:abstractNumId w:val="13"/>
  </w:num>
  <w:num w:numId="7" w16cid:durableId="2134328296">
    <w:abstractNumId w:val="11"/>
  </w:num>
  <w:num w:numId="8" w16cid:durableId="2000301632">
    <w:abstractNumId w:val="9"/>
  </w:num>
  <w:num w:numId="9" w16cid:durableId="24714242">
    <w:abstractNumId w:val="2"/>
  </w:num>
  <w:num w:numId="10" w16cid:durableId="1708600290">
    <w:abstractNumId w:val="3"/>
  </w:num>
  <w:num w:numId="11" w16cid:durableId="786310866">
    <w:abstractNumId w:val="1"/>
  </w:num>
  <w:num w:numId="12" w16cid:durableId="1018391210">
    <w:abstractNumId w:val="10"/>
  </w:num>
  <w:num w:numId="13" w16cid:durableId="390857542">
    <w:abstractNumId w:val="14"/>
  </w:num>
  <w:num w:numId="14" w16cid:durableId="1759865060">
    <w:abstractNumId w:val="8"/>
  </w:num>
  <w:num w:numId="15" w16cid:durableId="1210533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36"/>
    <w:rsid w:val="00000F78"/>
    <w:rsid w:val="00003F82"/>
    <w:rsid w:val="0000597A"/>
    <w:rsid w:val="00011358"/>
    <w:rsid w:val="00013559"/>
    <w:rsid w:val="000148FC"/>
    <w:rsid w:val="00016DDC"/>
    <w:rsid w:val="0002524C"/>
    <w:rsid w:val="000255FD"/>
    <w:rsid w:val="000276B7"/>
    <w:rsid w:val="00030AED"/>
    <w:rsid w:val="00030E23"/>
    <w:rsid w:val="000414C9"/>
    <w:rsid w:val="00041F7C"/>
    <w:rsid w:val="0004231A"/>
    <w:rsid w:val="00043CDE"/>
    <w:rsid w:val="0004701D"/>
    <w:rsid w:val="000546B1"/>
    <w:rsid w:val="00076B72"/>
    <w:rsid w:val="00082886"/>
    <w:rsid w:val="00085F28"/>
    <w:rsid w:val="000A22D0"/>
    <w:rsid w:val="000A53D6"/>
    <w:rsid w:val="000C0D5C"/>
    <w:rsid w:val="000C3D0E"/>
    <w:rsid w:val="000C57B5"/>
    <w:rsid w:val="000C5C2C"/>
    <w:rsid w:val="000D091D"/>
    <w:rsid w:val="000D1916"/>
    <w:rsid w:val="000D55AB"/>
    <w:rsid w:val="000D753C"/>
    <w:rsid w:val="000E5FA4"/>
    <w:rsid w:val="000F035B"/>
    <w:rsid w:val="000F1141"/>
    <w:rsid w:val="000F7662"/>
    <w:rsid w:val="001066F5"/>
    <w:rsid w:val="00106D81"/>
    <w:rsid w:val="0011211F"/>
    <w:rsid w:val="00114855"/>
    <w:rsid w:val="001155A0"/>
    <w:rsid w:val="001244A4"/>
    <w:rsid w:val="0013391D"/>
    <w:rsid w:val="001659D3"/>
    <w:rsid w:val="001727AA"/>
    <w:rsid w:val="001802A7"/>
    <w:rsid w:val="0018224C"/>
    <w:rsid w:val="00184AFC"/>
    <w:rsid w:val="001871E4"/>
    <w:rsid w:val="00190865"/>
    <w:rsid w:val="0019098D"/>
    <w:rsid w:val="00193A6C"/>
    <w:rsid w:val="001A2ECB"/>
    <w:rsid w:val="001B05D5"/>
    <w:rsid w:val="001B05E8"/>
    <w:rsid w:val="001B5BF5"/>
    <w:rsid w:val="001B603F"/>
    <w:rsid w:val="001B66E6"/>
    <w:rsid w:val="001B71CD"/>
    <w:rsid w:val="001C27D5"/>
    <w:rsid w:val="001D6570"/>
    <w:rsid w:val="001E198A"/>
    <w:rsid w:val="001E2FA7"/>
    <w:rsid w:val="001E519E"/>
    <w:rsid w:val="001E66F3"/>
    <w:rsid w:val="001F2FF0"/>
    <w:rsid w:val="002000DF"/>
    <w:rsid w:val="002027FB"/>
    <w:rsid w:val="00203710"/>
    <w:rsid w:val="0021354E"/>
    <w:rsid w:val="00213DAE"/>
    <w:rsid w:val="00214C83"/>
    <w:rsid w:val="00214E29"/>
    <w:rsid w:val="0022521C"/>
    <w:rsid w:val="00230F09"/>
    <w:rsid w:val="00244794"/>
    <w:rsid w:val="00246D59"/>
    <w:rsid w:val="002519D8"/>
    <w:rsid w:val="00255153"/>
    <w:rsid w:val="0027343F"/>
    <w:rsid w:val="0028296E"/>
    <w:rsid w:val="002829BF"/>
    <w:rsid w:val="002860B2"/>
    <w:rsid w:val="00286F3C"/>
    <w:rsid w:val="002A144E"/>
    <w:rsid w:val="002A233A"/>
    <w:rsid w:val="002A76E7"/>
    <w:rsid w:val="002B561E"/>
    <w:rsid w:val="002C338C"/>
    <w:rsid w:val="002E4804"/>
    <w:rsid w:val="002F2D3D"/>
    <w:rsid w:val="002F3DDF"/>
    <w:rsid w:val="0030788B"/>
    <w:rsid w:val="00320EA9"/>
    <w:rsid w:val="003308EC"/>
    <w:rsid w:val="00336AC8"/>
    <w:rsid w:val="00343AA3"/>
    <w:rsid w:val="003466FA"/>
    <w:rsid w:val="003474EB"/>
    <w:rsid w:val="003527C1"/>
    <w:rsid w:val="003573DA"/>
    <w:rsid w:val="00363C7D"/>
    <w:rsid w:val="0036554E"/>
    <w:rsid w:val="00373DAC"/>
    <w:rsid w:val="003863D1"/>
    <w:rsid w:val="00395D97"/>
    <w:rsid w:val="003B2538"/>
    <w:rsid w:val="003B2B94"/>
    <w:rsid w:val="003B57C5"/>
    <w:rsid w:val="003C3936"/>
    <w:rsid w:val="003D0B15"/>
    <w:rsid w:val="003D4777"/>
    <w:rsid w:val="003E70B5"/>
    <w:rsid w:val="003F0782"/>
    <w:rsid w:val="003F1506"/>
    <w:rsid w:val="003F1B2A"/>
    <w:rsid w:val="003F52A8"/>
    <w:rsid w:val="003F782D"/>
    <w:rsid w:val="0040580B"/>
    <w:rsid w:val="00414AFB"/>
    <w:rsid w:val="00430EFE"/>
    <w:rsid w:val="00441ECC"/>
    <w:rsid w:val="00443E85"/>
    <w:rsid w:val="004505AF"/>
    <w:rsid w:val="00451D76"/>
    <w:rsid w:val="00453F0D"/>
    <w:rsid w:val="004574E0"/>
    <w:rsid w:val="00461B63"/>
    <w:rsid w:val="00472ADA"/>
    <w:rsid w:val="00472F68"/>
    <w:rsid w:val="004747BE"/>
    <w:rsid w:val="00487902"/>
    <w:rsid w:val="0049330C"/>
    <w:rsid w:val="00495C80"/>
    <w:rsid w:val="00496469"/>
    <w:rsid w:val="00497713"/>
    <w:rsid w:val="004A04DC"/>
    <w:rsid w:val="004A1F79"/>
    <w:rsid w:val="004A77DC"/>
    <w:rsid w:val="004C33EC"/>
    <w:rsid w:val="004C72A4"/>
    <w:rsid w:val="004C7570"/>
    <w:rsid w:val="004D0DF8"/>
    <w:rsid w:val="004E34E6"/>
    <w:rsid w:val="004F0670"/>
    <w:rsid w:val="00500CFB"/>
    <w:rsid w:val="005043B0"/>
    <w:rsid w:val="00507893"/>
    <w:rsid w:val="00507A07"/>
    <w:rsid w:val="005139EA"/>
    <w:rsid w:val="005208C6"/>
    <w:rsid w:val="005224D8"/>
    <w:rsid w:val="00526AC2"/>
    <w:rsid w:val="005308D0"/>
    <w:rsid w:val="00531017"/>
    <w:rsid w:val="0054783A"/>
    <w:rsid w:val="00551008"/>
    <w:rsid w:val="00562880"/>
    <w:rsid w:val="00563179"/>
    <w:rsid w:val="00566C31"/>
    <w:rsid w:val="0057030F"/>
    <w:rsid w:val="00591027"/>
    <w:rsid w:val="005911EA"/>
    <w:rsid w:val="005A0FC0"/>
    <w:rsid w:val="005A164E"/>
    <w:rsid w:val="005A4605"/>
    <w:rsid w:val="005A661E"/>
    <w:rsid w:val="005A7A19"/>
    <w:rsid w:val="005B2381"/>
    <w:rsid w:val="005B7C3E"/>
    <w:rsid w:val="005C6EA0"/>
    <w:rsid w:val="005E0052"/>
    <w:rsid w:val="005E2530"/>
    <w:rsid w:val="005F0340"/>
    <w:rsid w:val="005F2267"/>
    <w:rsid w:val="005F3360"/>
    <w:rsid w:val="005F636D"/>
    <w:rsid w:val="0060248C"/>
    <w:rsid w:val="006244AB"/>
    <w:rsid w:val="00625358"/>
    <w:rsid w:val="00636E85"/>
    <w:rsid w:val="00637566"/>
    <w:rsid w:val="00647C7D"/>
    <w:rsid w:val="00654280"/>
    <w:rsid w:val="00660ABB"/>
    <w:rsid w:val="00664289"/>
    <w:rsid w:val="0069332B"/>
    <w:rsid w:val="006A4EEE"/>
    <w:rsid w:val="006A51A1"/>
    <w:rsid w:val="006C0D47"/>
    <w:rsid w:val="006E1872"/>
    <w:rsid w:val="006E43D2"/>
    <w:rsid w:val="006E7FA6"/>
    <w:rsid w:val="006F6F33"/>
    <w:rsid w:val="00701553"/>
    <w:rsid w:val="00705E1D"/>
    <w:rsid w:val="0071293A"/>
    <w:rsid w:val="00714A4C"/>
    <w:rsid w:val="00721243"/>
    <w:rsid w:val="007245CE"/>
    <w:rsid w:val="0072526D"/>
    <w:rsid w:val="0073155B"/>
    <w:rsid w:val="00735C04"/>
    <w:rsid w:val="007375E1"/>
    <w:rsid w:val="0074079A"/>
    <w:rsid w:val="00743DAD"/>
    <w:rsid w:val="007528F3"/>
    <w:rsid w:val="007737F1"/>
    <w:rsid w:val="007809FD"/>
    <w:rsid w:val="00782673"/>
    <w:rsid w:val="00786B1F"/>
    <w:rsid w:val="00792976"/>
    <w:rsid w:val="00794B55"/>
    <w:rsid w:val="007C0AA0"/>
    <w:rsid w:val="007C59BF"/>
    <w:rsid w:val="007C714A"/>
    <w:rsid w:val="007D1B71"/>
    <w:rsid w:val="007D4A93"/>
    <w:rsid w:val="007E225A"/>
    <w:rsid w:val="007E2A9D"/>
    <w:rsid w:val="007F0D41"/>
    <w:rsid w:val="008017F3"/>
    <w:rsid w:val="008052EB"/>
    <w:rsid w:val="008071D0"/>
    <w:rsid w:val="00807E29"/>
    <w:rsid w:val="008133D7"/>
    <w:rsid w:val="00816E70"/>
    <w:rsid w:val="00833AA7"/>
    <w:rsid w:val="00836843"/>
    <w:rsid w:val="00836E33"/>
    <w:rsid w:val="008371C4"/>
    <w:rsid w:val="00854C86"/>
    <w:rsid w:val="00857062"/>
    <w:rsid w:val="00862184"/>
    <w:rsid w:val="008663C2"/>
    <w:rsid w:val="00866FC2"/>
    <w:rsid w:val="008755BC"/>
    <w:rsid w:val="00886F3A"/>
    <w:rsid w:val="008A1198"/>
    <w:rsid w:val="008A3BB7"/>
    <w:rsid w:val="008B71B0"/>
    <w:rsid w:val="008D4189"/>
    <w:rsid w:val="008D7FD5"/>
    <w:rsid w:val="008E0D8D"/>
    <w:rsid w:val="008E2051"/>
    <w:rsid w:val="008E5FFB"/>
    <w:rsid w:val="008E7035"/>
    <w:rsid w:val="008F0603"/>
    <w:rsid w:val="008F0C33"/>
    <w:rsid w:val="008F4D03"/>
    <w:rsid w:val="00903FAD"/>
    <w:rsid w:val="00905B32"/>
    <w:rsid w:val="009145CD"/>
    <w:rsid w:val="0091650A"/>
    <w:rsid w:val="009250A2"/>
    <w:rsid w:val="009321E1"/>
    <w:rsid w:val="0094157C"/>
    <w:rsid w:val="00944BF5"/>
    <w:rsid w:val="00946D6C"/>
    <w:rsid w:val="00956984"/>
    <w:rsid w:val="00957BA9"/>
    <w:rsid w:val="00962018"/>
    <w:rsid w:val="009626FD"/>
    <w:rsid w:val="0096766D"/>
    <w:rsid w:val="00972974"/>
    <w:rsid w:val="00977830"/>
    <w:rsid w:val="0098480A"/>
    <w:rsid w:val="00984D63"/>
    <w:rsid w:val="00994451"/>
    <w:rsid w:val="009977AC"/>
    <w:rsid w:val="009B73AC"/>
    <w:rsid w:val="009C308C"/>
    <w:rsid w:val="009E2F49"/>
    <w:rsid w:val="009E30D2"/>
    <w:rsid w:val="009E3979"/>
    <w:rsid w:val="009E48D3"/>
    <w:rsid w:val="009E5C35"/>
    <w:rsid w:val="009E70FB"/>
    <w:rsid w:val="009F10E5"/>
    <w:rsid w:val="009F27C8"/>
    <w:rsid w:val="009F28A0"/>
    <w:rsid w:val="009F59A8"/>
    <w:rsid w:val="009F6F48"/>
    <w:rsid w:val="00A0452C"/>
    <w:rsid w:val="00A16B17"/>
    <w:rsid w:val="00A25922"/>
    <w:rsid w:val="00A4078E"/>
    <w:rsid w:val="00A4594C"/>
    <w:rsid w:val="00A471BD"/>
    <w:rsid w:val="00A5045D"/>
    <w:rsid w:val="00A521C8"/>
    <w:rsid w:val="00A537BC"/>
    <w:rsid w:val="00A560F9"/>
    <w:rsid w:val="00A609E4"/>
    <w:rsid w:val="00A6525B"/>
    <w:rsid w:val="00A65D60"/>
    <w:rsid w:val="00A66C3F"/>
    <w:rsid w:val="00A90448"/>
    <w:rsid w:val="00AA148F"/>
    <w:rsid w:val="00AA6101"/>
    <w:rsid w:val="00AA6F0C"/>
    <w:rsid w:val="00AB305C"/>
    <w:rsid w:val="00AB4597"/>
    <w:rsid w:val="00AD3D16"/>
    <w:rsid w:val="00AE0B42"/>
    <w:rsid w:val="00AE1E0D"/>
    <w:rsid w:val="00AE5E40"/>
    <w:rsid w:val="00B17DE1"/>
    <w:rsid w:val="00B225AB"/>
    <w:rsid w:val="00B238F9"/>
    <w:rsid w:val="00B37697"/>
    <w:rsid w:val="00B37BF2"/>
    <w:rsid w:val="00B4365A"/>
    <w:rsid w:val="00B43AA7"/>
    <w:rsid w:val="00B611ED"/>
    <w:rsid w:val="00B63452"/>
    <w:rsid w:val="00B66649"/>
    <w:rsid w:val="00B66E33"/>
    <w:rsid w:val="00B73A71"/>
    <w:rsid w:val="00B815D3"/>
    <w:rsid w:val="00B847FD"/>
    <w:rsid w:val="00B90F64"/>
    <w:rsid w:val="00B93E28"/>
    <w:rsid w:val="00B94B05"/>
    <w:rsid w:val="00B96772"/>
    <w:rsid w:val="00BA10BE"/>
    <w:rsid w:val="00BA614C"/>
    <w:rsid w:val="00BC1D49"/>
    <w:rsid w:val="00BC25A0"/>
    <w:rsid w:val="00BE1780"/>
    <w:rsid w:val="00BE7205"/>
    <w:rsid w:val="00BE7435"/>
    <w:rsid w:val="00BF3664"/>
    <w:rsid w:val="00BF7C14"/>
    <w:rsid w:val="00C01462"/>
    <w:rsid w:val="00C01680"/>
    <w:rsid w:val="00C1256F"/>
    <w:rsid w:val="00C161E7"/>
    <w:rsid w:val="00C1658F"/>
    <w:rsid w:val="00C30DBE"/>
    <w:rsid w:val="00C30F76"/>
    <w:rsid w:val="00C3448C"/>
    <w:rsid w:val="00C42164"/>
    <w:rsid w:val="00C42610"/>
    <w:rsid w:val="00C428B8"/>
    <w:rsid w:val="00C44AEB"/>
    <w:rsid w:val="00C54FA5"/>
    <w:rsid w:val="00C55F31"/>
    <w:rsid w:val="00C651A6"/>
    <w:rsid w:val="00C76AB6"/>
    <w:rsid w:val="00C76E52"/>
    <w:rsid w:val="00C81B7B"/>
    <w:rsid w:val="00C83FCE"/>
    <w:rsid w:val="00C8617B"/>
    <w:rsid w:val="00C94678"/>
    <w:rsid w:val="00C96197"/>
    <w:rsid w:val="00C975F6"/>
    <w:rsid w:val="00CA04A6"/>
    <w:rsid w:val="00CA1CBC"/>
    <w:rsid w:val="00CA3E78"/>
    <w:rsid w:val="00CB30AF"/>
    <w:rsid w:val="00CC2EA5"/>
    <w:rsid w:val="00CD2CBE"/>
    <w:rsid w:val="00CE5CC6"/>
    <w:rsid w:val="00CF1670"/>
    <w:rsid w:val="00CF493D"/>
    <w:rsid w:val="00CF4D92"/>
    <w:rsid w:val="00CF6CDE"/>
    <w:rsid w:val="00D011A3"/>
    <w:rsid w:val="00D02795"/>
    <w:rsid w:val="00D1376F"/>
    <w:rsid w:val="00D22B95"/>
    <w:rsid w:val="00D22C1E"/>
    <w:rsid w:val="00D24904"/>
    <w:rsid w:val="00D27EB7"/>
    <w:rsid w:val="00D368C3"/>
    <w:rsid w:val="00D37C6A"/>
    <w:rsid w:val="00D50318"/>
    <w:rsid w:val="00D570C3"/>
    <w:rsid w:val="00D60255"/>
    <w:rsid w:val="00D64538"/>
    <w:rsid w:val="00D65235"/>
    <w:rsid w:val="00D65C97"/>
    <w:rsid w:val="00D66B1D"/>
    <w:rsid w:val="00D749BB"/>
    <w:rsid w:val="00D74B02"/>
    <w:rsid w:val="00D84AA1"/>
    <w:rsid w:val="00D8680D"/>
    <w:rsid w:val="00D93904"/>
    <w:rsid w:val="00DA09AB"/>
    <w:rsid w:val="00DA1DA5"/>
    <w:rsid w:val="00DA7698"/>
    <w:rsid w:val="00DB22ED"/>
    <w:rsid w:val="00DB3E20"/>
    <w:rsid w:val="00DB51F1"/>
    <w:rsid w:val="00DB60B4"/>
    <w:rsid w:val="00DC0773"/>
    <w:rsid w:val="00DC1B09"/>
    <w:rsid w:val="00DC42A3"/>
    <w:rsid w:val="00DC6539"/>
    <w:rsid w:val="00DC7314"/>
    <w:rsid w:val="00DC7669"/>
    <w:rsid w:val="00DE0FD7"/>
    <w:rsid w:val="00DE3B83"/>
    <w:rsid w:val="00DE58C2"/>
    <w:rsid w:val="00DE74FE"/>
    <w:rsid w:val="00DF2008"/>
    <w:rsid w:val="00DF294F"/>
    <w:rsid w:val="00DF60C8"/>
    <w:rsid w:val="00DF782A"/>
    <w:rsid w:val="00E00D75"/>
    <w:rsid w:val="00E043BF"/>
    <w:rsid w:val="00E0635A"/>
    <w:rsid w:val="00E1749C"/>
    <w:rsid w:val="00E407CB"/>
    <w:rsid w:val="00E519B7"/>
    <w:rsid w:val="00E52F0E"/>
    <w:rsid w:val="00E60CC6"/>
    <w:rsid w:val="00E6292D"/>
    <w:rsid w:val="00E631FB"/>
    <w:rsid w:val="00E709CC"/>
    <w:rsid w:val="00E726CB"/>
    <w:rsid w:val="00E7322E"/>
    <w:rsid w:val="00E7446B"/>
    <w:rsid w:val="00E85384"/>
    <w:rsid w:val="00E85BB9"/>
    <w:rsid w:val="00E90A65"/>
    <w:rsid w:val="00EA1C63"/>
    <w:rsid w:val="00EB3DCE"/>
    <w:rsid w:val="00EB50C3"/>
    <w:rsid w:val="00EB5F5A"/>
    <w:rsid w:val="00EC6B8A"/>
    <w:rsid w:val="00EC7C3F"/>
    <w:rsid w:val="00ED0954"/>
    <w:rsid w:val="00ED24C5"/>
    <w:rsid w:val="00ED309D"/>
    <w:rsid w:val="00ED5E39"/>
    <w:rsid w:val="00ED7FCC"/>
    <w:rsid w:val="00EE4FE7"/>
    <w:rsid w:val="00EE74D6"/>
    <w:rsid w:val="00EF5222"/>
    <w:rsid w:val="00F04BA1"/>
    <w:rsid w:val="00F05220"/>
    <w:rsid w:val="00F054C0"/>
    <w:rsid w:val="00F067F0"/>
    <w:rsid w:val="00F06F6C"/>
    <w:rsid w:val="00F1792A"/>
    <w:rsid w:val="00F215F8"/>
    <w:rsid w:val="00F27689"/>
    <w:rsid w:val="00F3128A"/>
    <w:rsid w:val="00F312B8"/>
    <w:rsid w:val="00F314D8"/>
    <w:rsid w:val="00F365B9"/>
    <w:rsid w:val="00F46AA8"/>
    <w:rsid w:val="00F554A0"/>
    <w:rsid w:val="00F55648"/>
    <w:rsid w:val="00F71498"/>
    <w:rsid w:val="00F7261A"/>
    <w:rsid w:val="00F72BA7"/>
    <w:rsid w:val="00F74545"/>
    <w:rsid w:val="00F83651"/>
    <w:rsid w:val="00F90365"/>
    <w:rsid w:val="00F90B10"/>
    <w:rsid w:val="00F989D4"/>
    <w:rsid w:val="00FA010D"/>
    <w:rsid w:val="00FA0A1D"/>
    <w:rsid w:val="00FA340F"/>
    <w:rsid w:val="00FB1DE8"/>
    <w:rsid w:val="00FB6DD1"/>
    <w:rsid w:val="00FC529D"/>
    <w:rsid w:val="00FC643F"/>
    <w:rsid w:val="00FC6BA8"/>
    <w:rsid w:val="00FD18F0"/>
    <w:rsid w:val="00FD221B"/>
    <w:rsid w:val="00FD3D25"/>
    <w:rsid w:val="00FD617A"/>
    <w:rsid w:val="00FD75BC"/>
    <w:rsid w:val="00FE2A18"/>
    <w:rsid w:val="00FE58F0"/>
    <w:rsid w:val="00FE5CEE"/>
    <w:rsid w:val="00FF2649"/>
    <w:rsid w:val="00FF4B64"/>
    <w:rsid w:val="01DF055F"/>
    <w:rsid w:val="025A2634"/>
    <w:rsid w:val="02E90B45"/>
    <w:rsid w:val="031F08C1"/>
    <w:rsid w:val="035A0397"/>
    <w:rsid w:val="039AD021"/>
    <w:rsid w:val="03F71CD6"/>
    <w:rsid w:val="0403C684"/>
    <w:rsid w:val="04AB8112"/>
    <w:rsid w:val="05279E4D"/>
    <w:rsid w:val="0561D41C"/>
    <w:rsid w:val="0681D0D5"/>
    <w:rsid w:val="06833172"/>
    <w:rsid w:val="069D7E0E"/>
    <w:rsid w:val="07127CA0"/>
    <w:rsid w:val="0718984F"/>
    <w:rsid w:val="071AD835"/>
    <w:rsid w:val="072EBD98"/>
    <w:rsid w:val="076D42A6"/>
    <w:rsid w:val="0808B85D"/>
    <w:rsid w:val="0874E625"/>
    <w:rsid w:val="09080DC6"/>
    <w:rsid w:val="09CC6387"/>
    <w:rsid w:val="0AC88169"/>
    <w:rsid w:val="0AC93890"/>
    <w:rsid w:val="0B20406C"/>
    <w:rsid w:val="0B339D82"/>
    <w:rsid w:val="0B92F5CA"/>
    <w:rsid w:val="0BEA5611"/>
    <w:rsid w:val="0C25CA24"/>
    <w:rsid w:val="0C6C2BE2"/>
    <w:rsid w:val="0C97DB11"/>
    <w:rsid w:val="0CE9AB7C"/>
    <w:rsid w:val="0E0D6510"/>
    <w:rsid w:val="0E28F827"/>
    <w:rsid w:val="0E327C82"/>
    <w:rsid w:val="0E5D850A"/>
    <w:rsid w:val="0E84FA41"/>
    <w:rsid w:val="0EDC2C0B"/>
    <w:rsid w:val="0EE40BD6"/>
    <w:rsid w:val="0F2894A6"/>
    <w:rsid w:val="0F565EA2"/>
    <w:rsid w:val="0FFBCAC3"/>
    <w:rsid w:val="1014E557"/>
    <w:rsid w:val="109ABFA8"/>
    <w:rsid w:val="10A541A9"/>
    <w:rsid w:val="10C46507"/>
    <w:rsid w:val="10F3ED6F"/>
    <w:rsid w:val="119B7D66"/>
    <w:rsid w:val="11A9363B"/>
    <w:rsid w:val="11B1CA73"/>
    <w:rsid w:val="12603568"/>
    <w:rsid w:val="127B272B"/>
    <w:rsid w:val="1369B060"/>
    <w:rsid w:val="139CBBAC"/>
    <w:rsid w:val="139F972C"/>
    <w:rsid w:val="13A87F9F"/>
    <w:rsid w:val="143F70B0"/>
    <w:rsid w:val="147C5EBD"/>
    <w:rsid w:val="155E1C95"/>
    <w:rsid w:val="15A61DDD"/>
    <w:rsid w:val="165081A9"/>
    <w:rsid w:val="165771B4"/>
    <w:rsid w:val="16B5DC95"/>
    <w:rsid w:val="16E30C90"/>
    <w:rsid w:val="17064E53"/>
    <w:rsid w:val="1707E8A0"/>
    <w:rsid w:val="17B9C448"/>
    <w:rsid w:val="17F5DBC8"/>
    <w:rsid w:val="18385CA3"/>
    <w:rsid w:val="18997391"/>
    <w:rsid w:val="18A549AD"/>
    <w:rsid w:val="18CE61BC"/>
    <w:rsid w:val="191C8E70"/>
    <w:rsid w:val="19201B6A"/>
    <w:rsid w:val="1A5E595F"/>
    <w:rsid w:val="1B82D863"/>
    <w:rsid w:val="1B8326CC"/>
    <w:rsid w:val="1B93E080"/>
    <w:rsid w:val="1BF75216"/>
    <w:rsid w:val="1C024A3F"/>
    <w:rsid w:val="1CCDAD91"/>
    <w:rsid w:val="1D5AA986"/>
    <w:rsid w:val="1D5C8725"/>
    <w:rsid w:val="1D6CE4B4"/>
    <w:rsid w:val="1E8EBD7C"/>
    <w:rsid w:val="1F06DA44"/>
    <w:rsid w:val="1FFB1F94"/>
    <w:rsid w:val="200F72CB"/>
    <w:rsid w:val="2010B9CD"/>
    <w:rsid w:val="208DF8D1"/>
    <w:rsid w:val="20DB6C68"/>
    <w:rsid w:val="20F85951"/>
    <w:rsid w:val="21CB21AC"/>
    <w:rsid w:val="21CDC0F6"/>
    <w:rsid w:val="2200EA71"/>
    <w:rsid w:val="2208A526"/>
    <w:rsid w:val="22C1BFB2"/>
    <w:rsid w:val="2336A4E0"/>
    <w:rsid w:val="2350F3C8"/>
    <w:rsid w:val="237A02B2"/>
    <w:rsid w:val="244858F0"/>
    <w:rsid w:val="24590E9A"/>
    <w:rsid w:val="24FCD8BF"/>
    <w:rsid w:val="2586D62E"/>
    <w:rsid w:val="2599E67F"/>
    <w:rsid w:val="25C2CD6C"/>
    <w:rsid w:val="25E619B8"/>
    <w:rsid w:val="26306BEB"/>
    <w:rsid w:val="26440BBA"/>
    <w:rsid w:val="266EABB4"/>
    <w:rsid w:val="26A9AF04"/>
    <w:rsid w:val="274A10FF"/>
    <w:rsid w:val="2791D2B9"/>
    <w:rsid w:val="27E24B12"/>
    <w:rsid w:val="27EB8365"/>
    <w:rsid w:val="2885ACC8"/>
    <w:rsid w:val="28C13DED"/>
    <w:rsid w:val="29023C64"/>
    <w:rsid w:val="2970C0BF"/>
    <w:rsid w:val="29D049E2"/>
    <w:rsid w:val="2A1DEAE8"/>
    <w:rsid w:val="2A671C79"/>
    <w:rsid w:val="2A6DEACD"/>
    <w:rsid w:val="2A8044D6"/>
    <w:rsid w:val="2A93194C"/>
    <w:rsid w:val="2AAC85FD"/>
    <w:rsid w:val="2AFC2E49"/>
    <w:rsid w:val="2B752E0A"/>
    <w:rsid w:val="2B88EF62"/>
    <w:rsid w:val="2BE27469"/>
    <w:rsid w:val="2BF3C866"/>
    <w:rsid w:val="2C2E3555"/>
    <w:rsid w:val="2C9811D1"/>
    <w:rsid w:val="2CEEC247"/>
    <w:rsid w:val="2CF7D60E"/>
    <w:rsid w:val="2D2DF13F"/>
    <w:rsid w:val="2D36B4B6"/>
    <w:rsid w:val="2DB7E598"/>
    <w:rsid w:val="2E0701AC"/>
    <w:rsid w:val="2E1FB12D"/>
    <w:rsid w:val="2E6CB420"/>
    <w:rsid w:val="2EAAA61E"/>
    <w:rsid w:val="2F033BBB"/>
    <w:rsid w:val="2F3664C4"/>
    <w:rsid w:val="2F3A8D9C"/>
    <w:rsid w:val="2F53B5F9"/>
    <w:rsid w:val="2F7877A3"/>
    <w:rsid w:val="2F92D530"/>
    <w:rsid w:val="300F1735"/>
    <w:rsid w:val="302C6CC2"/>
    <w:rsid w:val="30489F2D"/>
    <w:rsid w:val="3172CB25"/>
    <w:rsid w:val="31C36CBE"/>
    <w:rsid w:val="31DDE7BA"/>
    <w:rsid w:val="31E95BA0"/>
    <w:rsid w:val="323AD588"/>
    <w:rsid w:val="32DCF917"/>
    <w:rsid w:val="33DBEFC1"/>
    <w:rsid w:val="34A84825"/>
    <w:rsid w:val="34DC60BA"/>
    <w:rsid w:val="362B2CDC"/>
    <w:rsid w:val="365EEE92"/>
    <w:rsid w:val="368EEAB3"/>
    <w:rsid w:val="373E036C"/>
    <w:rsid w:val="37457539"/>
    <w:rsid w:val="374AFC56"/>
    <w:rsid w:val="374DF277"/>
    <w:rsid w:val="377803A9"/>
    <w:rsid w:val="379FBF98"/>
    <w:rsid w:val="3851B83E"/>
    <w:rsid w:val="3863E57D"/>
    <w:rsid w:val="38D74BD8"/>
    <w:rsid w:val="39728EEB"/>
    <w:rsid w:val="39C5FC89"/>
    <w:rsid w:val="3A9A1562"/>
    <w:rsid w:val="3B157564"/>
    <w:rsid w:val="3BCA9DA9"/>
    <w:rsid w:val="3C6667AE"/>
    <w:rsid w:val="3CA4DF7D"/>
    <w:rsid w:val="3CEA8AD1"/>
    <w:rsid w:val="3CFCBF01"/>
    <w:rsid w:val="3D1AD885"/>
    <w:rsid w:val="3E0CB0FA"/>
    <w:rsid w:val="3E988F62"/>
    <w:rsid w:val="3EAC0DEA"/>
    <w:rsid w:val="3F44EE4F"/>
    <w:rsid w:val="3F5CE291"/>
    <w:rsid w:val="3F658D76"/>
    <w:rsid w:val="3F8464CF"/>
    <w:rsid w:val="3F8BD67E"/>
    <w:rsid w:val="3F94F84E"/>
    <w:rsid w:val="3F995642"/>
    <w:rsid w:val="3FB9CA8D"/>
    <w:rsid w:val="40345FC3"/>
    <w:rsid w:val="403A2293"/>
    <w:rsid w:val="404C0D50"/>
    <w:rsid w:val="406A773F"/>
    <w:rsid w:val="4072EAC5"/>
    <w:rsid w:val="40EC117B"/>
    <w:rsid w:val="40F2D538"/>
    <w:rsid w:val="412AF0F0"/>
    <w:rsid w:val="414451BC"/>
    <w:rsid w:val="415B4D67"/>
    <w:rsid w:val="41C71C5D"/>
    <w:rsid w:val="41DD642D"/>
    <w:rsid w:val="41E5F9FA"/>
    <w:rsid w:val="437E2DF8"/>
    <w:rsid w:val="44C0A60E"/>
    <w:rsid w:val="44CB6FC1"/>
    <w:rsid w:val="44D94106"/>
    <w:rsid w:val="451CD13A"/>
    <w:rsid w:val="46135A65"/>
    <w:rsid w:val="4637A486"/>
    <w:rsid w:val="474AEDE4"/>
    <w:rsid w:val="47DF07F7"/>
    <w:rsid w:val="47FE94E3"/>
    <w:rsid w:val="482296AA"/>
    <w:rsid w:val="482B5F39"/>
    <w:rsid w:val="48C1A86E"/>
    <w:rsid w:val="49885133"/>
    <w:rsid w:val="49BE670B"/>
    <w:rsid w:val="4B150141"/>
    <w:rsid w:val="4B4C73ED"/>
    <w:rsid w:val="4B5AA87A"/>
    <w:rsid w:val="4B872700"/>
    <w:rsid w:val="4BD3C2A3"/>
    <w:rsid w:val="4BE384F1"/>
    <w:rsid w:val="4C1A08C8"/>
    <w:rsid w:val="4C41B29E"/>
    <w:rsid w:val="4C62E7D7"/>
    <w:rsid w:val="4C89AC01"/>
    <w:rsid w:val="4CAC234D"/>
    <w:rsid w:val="4D22F761"/>
    <w:rsid w:val="4D75322D"/>
    <w:rsid w:val="4D87C40F"/>
    <w:rsid w:val="4DA39220"/>
    <w:rsid w:val="4EBEC7C2"/>
    <w:rsid w:val="4EE1BBC2"/>
    <w:rsid w:val="4F94F6A1"/>
    <w:rsid w:val="4F999EFA"/>
    <w:rsid w:val="4FC1798E"/>
    <w:rsid w:val="500C79C6"/>
    <w:rsid w:val="50BADA78"/>
    <w:rsid w:val="50BDA433"/>
    <w:rsid w:val="50E14257"/>
    <w:rsid w:val="50F9BDB0"/>
    <w:rsid w:val="512F07F3"/>
    <w:rsid w:val="513658FA"/>
    <w:rsid w:val="51C6B98E"/>
    <w:rsid w:val="51F07F7A"/>
    <w:rsid w:val="527E0795"/>
    <w:rsid w:val="52FC82F4"/>
    <w:rsid w:val="53DDB51E"/>
    <w:rsid w:val="540B4864"/>
    <w:rsid w:val="5527C894"/>
    <w:rsid w:val="562F0F1E"/>
    <w:rsid w:val="566EFF54"/>
    <w:rsid w:val="56A4BCBE"/>
    <w:rsid w:val="56B6651C"/>
    <w:rsid w:val="56B90440"/>
    <w:rsid w:val="56CB2984"/>
    <w:rsid w:val="577B00CB"/>
    <w:rsid w:val="582442D2"/>
    <w:rsid w:val="5828429D"/>
    <w:rsid w:val="5847541C"/>
    <w:rsid w:val="587BDBE2"/>
    <w:rsid w:val="58BE0B24"/>
    <w:rsid w:val="58D19943"/>
    <w:rsid w:val="58E1464B"/>
    <w:rsid w:val="594DAFE6"/>
    <w:rsid w:val="5993BBC0"/>
    <w:rsid w:val="59F03F92"/>
    <w:rsid w:val="59FBC017"/>
    <w:rsid w:val="5AA09FF6"/>
    <w:rsid w:val="5ACC0069"/>
    <w:rsid w:val="5B85BAC9"/>
    <w:rsid w:val="5C00CBF8"/>
    <w:rsid w:val="5C433518"/>
    <w:rsid w:val="5C51A35A"/>
    <w:rsid w:val="5CA48D87"/>
    <w:rsid w:val="5CE96D8F"/>
    <w:rsid w:val="5CE9752A"/>
    <w:rsid w:val="5D0F1D67"/>
    <w:rsid w:val="5D4F2BF3"/>
    <w:rsid w:val="5D526CE4"/>
    <w:rsid w:val="5DB1F3C6"/>
    <w:rsid w:val="5DC865EC"/>
    <w:rsid w:val="5E03A12B"/>
    <w:rsid w:val="5F019ABC"/>
    <w:rsid w:val="5F0E0256"/>
    <w:rsid w:val="5F288F00"/>
    <w:rsid w:val="5F307C88"/>
    <w:rsid w:val="5F741119"/>
    <w:rsid w:val="5F77CB2A"/>
    <w:rsid w:val="5FBD9275"/>
    <w:rsid w:val="5FBF6033"/>
    <w:rsid w:val="5FF0F28E"/>
    <w:rsid w:val="602EAF29"/>
    <w:rsid w:val="609D6B1D"/>
    <w:rsid w:val="60C30BB4"/>
    <w:rsid w:val="616BB26A"/>
    <w:rsid w:val="61AEFCD9"/>
    <w:rsid w:val="623341AE"/>
    <w:rsid w:val="62558D64"/>
    <w:rsid w:val="62E2A047"/>
    <w:rsid w:val="62F03AAB"/>
    <w:rsid w:val="62FF3820"/>
    <w:rsid w:val="63A5784B"/>
    <w:rsid w:val="63B4F40A"/>
    <w:rsid w:val="641AC093"/>
    <w:rsid w:val="646EC286"/>
    <w:rsid w:val="655F7053"/>
    <w:rsid w:val="657172EA"/>
    <w:rsid w:val="6592AF82"/>
    <w:rsid w:val="661E7370"/>
    <w:rsid w:val="6637B842"/>
    <w:rsid w:val="6779596D"/>
    <w:rsid w:val="67D123FD"/>
    <w:rsid w:val="684B7401"/>
    <w:rsid w:val="685F3F21"/>
    <w:rsid w:val="689DF75F"/>
    <w:rsid w:val="69817106"/>
    <w:rsid w:val="6A32B1CD"/>
    <w:rsid w:val="6AE46014"/>
    <w:rsid w:val="6B0DBB73"/>
    <w:rsid w:val="6B896824"/>
    <w:rsid w:val="6C12781B"/>
    <w:rsid w:val="6C43042C"/>
    <w:rsid w:val="6C60A17E"/>
    <w:rsid w:val="6C92895E"/>
    <w:rsid w:val="6CE416F1"/>
    <w:rsid w:val="6CF1A6B1"/>
    <w:rsid w:val="6D5B1FDB"/>
    <w:rsid w:val="6EFF43A2"/>
    <w:rsid w:val="6F51CB2B"/>
    <w:rsid w:val="6FD81582"/>
    <w:rsid w:val="6FF7B441"/>
    <w:rsid w:val="70ED9B8C"/>
    <w:rsid w:val="710FCF9E"/>
    <w:rsid w:val="71A3D9EB"/>
    <w:rsid w:val="722415D4"/>
    <w:rsid w:val="72EAF699"/>
    <w:rsid w:val="736939E9"/>
    <w:rsid w:val="7398718B"/>
    <w:rsid w:val="741E9A07"/>
    <w:rsid w:val="7499050A"/>
    <w:rsid w:val="75050A4A"/>
    <w:rsid w:val="7548C90F"/>
    <w:rsid w:val="754EDF11"/>
    <w:rsid w:val="757CC96C"/>
    <w:rsid w:val="75893EBE"/>
    <w:rsid w:val="76392DE7"/>
    <w:rsid w:val="764C49AC"/>
    <w:rsid w:val="76BAE8A0"/>
    <w:rsid w:val="771899CD"/>
    <w:rsid w:val="77B24B7E"/>
    <w:rsid w:val="780F015D"/>
    <w:rsid w:val="7848E873"/>
    <w:rsid w:val="78B46A2E"/>
    <w:rsid w:val="79066091"/>
    <w:rsid w:val="794228FE"/>
    <w:rsid w:val="795B515B"/>
    <w:rsid w:val="79B5AA8B"/>
    <w:rsid w:val="7BC2D709"/>
    <w:rsid w:val="7C1A06C5"/>
    <w:rsid w:val="7C3BF563"/>
    <w:rsid w:val="7C485865"/>
    <w:rsid w:val="7C81B746"/>
    <w:rsid w:val="7CA05D65"/>
    <w:rsid w:val="7CE3A8C7"/>
    <w:rsid w:val="7CE84494"/>
    <w:rsid w:val="7D1C5ED8"/>
    <w:rsid w:val="7D45C2B0"/>
    <w:rsid w:val="7DBC7A79"/>
    <w:rsid w:val="7E5ECB71"/>
    <w:rsid w:val="7EDEA42C"/>
    <w:rsid w:val="7F8F4E92"/>
    <w:rsid w:val="7FBD4E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4AFB40"/>
  <w15:chartTrackingRefBased/>
  <w15:docId w15:val="{566748EF-AF52-45F1-B365-9A8C08DF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C33"/>
    <w:rPr>
      <w:color w:val="0563C1" w:themeColor="hyperlink"/>
      <w:u w:val="single"/>
    </w:rPr>
  </w:style>
  <w:style w:type="character" w:styleId="UnresolvedMention">
    <w:name w:val="Unresolved Mention"/>
    <w:basedOn w:val="DefaultParagraphFont"/>
    <w:uiPriority w:val="99"/>
    <w:semiHidden/>
    <w:unhideWhenUsed/>
    <w:rsid w:val="008F0C33"/>
    <w:rPr>
      <w:color w:val="605E5C"/>
      <w:shd w:val="clear" w:color="auto" w:fill="E1DFDD"/>
    </w:rPr>
  </w:style>
  <w:style w:type="table" w:styleId="TableGrid">
    <w:name w:val="Table Grid"/>
    <w:basedOn w:val="TableNormal"/>
    <w:uiPriority w:val="39"/>
    <w:rsid w:val="0074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7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3AC"/>
    <w:rPr>
      <w:sz w:val="20"/>
      <w:szCs w:val="20"/>
    </w:rPr>
  </w:style>
  <w:style w:type="character" w:styleId="FootnoteReference">
    <w:name w:val="footnote reference"/>
    <w:basedOn w:val="DefaultParagraphFont"/>
    <w:uiPriority w:val="99"/>
    <w:semiHidden/>
    <w:unhideWhenUsed/>
    <w:rsid w:val="009B73AC"/>
    <w:rPr>
      <w:vertAlign w:val="superscript"/>
    </w:rPr>
  </w:style>
  <w:style w:type="character" w:styleId="CommentReference">
    <w:name w:val="annotation reference"/>
    <w:basedOn w:val="DefaultParagraphFont"/>
    <w:uiPriority w:val="99"/>
    <w:unhideWhenUsed/>
    <w:rsid w:val="0073155B"/>
    <w:rPr>
      <w:sz w:val="16"/>
      <w:szCs w:val="16"/>
    </w:rPr>
  </w:style>
  <w:style w:type="paragraph" w:styleId="CommentText">
    <w:name w:val="annotation text"/>
    <w:basedOn w:val="Normal"/>
    <w:link w:val="CommentTextChar"/>
    <w:uiPriority w:val="99"/>
    <w:unhideWhenUsed/>
    <w:rsid w:val="0073155B"/>
    <w:pPr>
      <w:spacing w:line="240" w:lineRule="auto"/>
    </w:pPr>
    <w:rPr>
      <w:sz w:val="20"/>
      <w:szCs w:val="20"/>
    </w:rPr>
  </w:style>
  <w:style w:type="character" w:customStyle="1" w:styleId="CommentTextChar">
    <w:name w:val="Comment Text Char"/>
    <w:basedOn w:val="DefaultParagraphFont"/>
    <w:link w:val="CommentText"/>
    <w:uiPriority w:val="99"/>
    <w:rsid w:val="0073155B"/>
    <w:rPr>
      <w:sz w:val="20"/>
      <w:szCs w:val="20"/>
    </w:rPr>
  </w:style>
  <w:style w:type="paragraph" w:styleId="CommentSubject">
    <w:name w:val="annotation subject"/>
    <w:basedOn w:val="CommentText"/>
    <w:next w:val="CommentText"/>
    <w:link w:val="CommentSubjectChar"/>
    <w:uiPriority w:val="99"/>
    <w:semiHidden/>
    <w:unhideWhenUsed/>
    <w:rsid w:val="0073155B"/>
    <w:rPr>
      <w:b/>
      <w:bCs/>
    </w:rPr>
  </w:style>
  <w:style w:type="character" w:customStyle="1" w:styleId="CommentSubjectChar">
    <w:name w:val="Comment Subject Char"/>
    <w:basedOn w:val="CommentTextChar"/>
    <w:link w:val="CommentSubject"/>
    <w:uiPriority w:val="99"/>
    <w:semiHidden/>
    <w:rsid w:val="0073155B"/>
    <w:rPr>
      <w:b/>
      <w:bCs/>
      <w:sz w:val="20"/>
      <w:szCs w:val="20"/>
    </w:rPr>
  </w:style>
  <w:style w:type="paragraph" w:styleId="Revision">
    <w:name w:val="Revision"/>
    <w:hidden/>
    <w:uiPriority w:val="99"/>
    <w:semiHidden/>
    <w:rsid w:val="00A521C8"/>
    <w:pPr>
      <w:spacing w:after="0" w:line="240" w:lineRule="auto"/>
    </w:pPr>
  </w:style>
  <w:style w:type="paragraph" w:styleId="ListParagraph">
    <w:name w:val="List Paragraph"/>
    <w:basedOn w:val="Normal"/>
    <w:uiPriority w:val="34"/>
    <w:qFormat/>
    <w:rsid w:val="003466FA"/>
    <w:pPr>
      <w:ind w:left="720"/>
      <w:contextualSpacing/>
    </w:pPr>
  </w:style>
  <w:style w:type="paragraph" w:styleId="Title">
    <w:name w:val="Title"/>
    <w:basedOn w:val="Normal"/>
    <w:link w:val="TitleChar"/>
    <w:qFormat/>
    <w:rsid w:val="00B63452"/>
    <w:pPr>
      <w:spacing w:after="0" w:line="240" w:lineRule="auto"/>
      <w:jc w:val="center"/>
    </w:pPr>
    <w:rPr>
      <w:rFonts w:ascii="Times New Roman" w:eastAsia="Times New Roman" w:hAnsi="Times New Roman" w:cs="Times New Roman"/>
      <w:b/>
      <w:kern w:val="0"/>
      <w:sz w:val="24"/>
      <w:szCs w:val="20"/>
      <w14:ligatures w14:val="none"/>
    </w:rPr>
  </w:style>
  <w:style w:type="character" w:customStyle="1" w:styleId="TitleChar">
    <w:name w:val="Title Char"/>
    <w:basedOn w:val="DefaultParagraphFont"/>
    <w:link w:val="Title"/>
    <w:rsid w:val="00B63452"/>
    <w:rPr>
      <w:rFonts w:ascii="Times New Roman" w:eastAsia="Times New Roman" w:hAnsi="Times New Roman" w:cs="Times New Roman"/>
      <w:b/>
      <w:kern w:val="0"/>
      <w:sz w:val="24"/>
      <w:szCs w:val="20"/>
      <w14:ligatures w14:val="none"/>
    </w:rPr>
  </w:style>
  <w:style w:type="character" w:styleId="Mention">
    <w:name w:val="Mention"/>
    <w:basedOn w:val="DefaultParagraphFont"/>
    <w:uiPriority w:val="99"/>
    <w:unhideWhenUsed/>
    <w:rsid w:val="002A233A"/>
    <w:rPr>
      <w:color w:val="2B579A"/>
      <w:shd w:val="clear" w:color="auto" w:fill="E1DFDD"/>
    </w:rPr>
  </w:style>
  <w:style w:type="paragraph" w:styleId="Header">
    <w:name w:val="header"/>
    <w:basedOn w:val="Normal"/>
    <w:link w:val="HeaderChar"/>
    <w:uiPriority w:val="99"/>
    <w:semiHidden/>
    <w:unhideWhenUsed/>
    <w:rsid w:val="000C57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7B5"/>
  </w:style>
  <w:style w:type="paragraph" w:styleId="Footer">
    <w:name w:val="footer"/>
    <w:basedOn w:val="Normal"/>
    <w:link w:val="FooterChar"/>
    <w:uiPriority w:val="99"/>
    <w:semiHidden/>
    <w:unhideWhenUsed/>
    <w:rsid w:val="000C57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xandra.puertas@hq.dhs.gov" TargetMode="External" /><Relationship Id="rId11" Type="http://schemas.openxmlformats.org/officeDocument/2006/relationships/hyperlink" Target="mailto:Marianne.Engel@jhuapl.edu" TargetMode="External" /><Relationship Id="rId12" Type="http://schemas.openxmlformats.org/officeDocument/2006/relationships/hyperlink" Target="mailto:Pete.Mirabito@jhuapl.edu" TargetMode="External" /><Relationship Id="rId13" Type="http://schemas.openxmlformats.org/officeDocument/2006/relationships/hyperlink" Target="mailto:Arun.vemury@hq.dhs.gov" TargetMode="External" /><Relationship Id="rId14" Type="http://schemas.openxmlformats.org/officeDocument/2006/relationships/hyperlink" Target="mailto:Craig.watson@nist.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aitlin.n.kneaper@hq.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orAuthor xmlns="55bec62e-d050-46d9-afa0-e4d97c07b564" xsi:nil="true"/>
    <WorkingFiles xmlns="55bec62e-d050-46d9-afa0-e4d97c07b564" xsi:nil="true"/>
    <Audience xmlns="55bec62e-d050-46d9-afa0-e4d97c07b564" xsi:nil="true"/>
    <PublicationDate_x0028_Month_x002c_Year_x0029_ xmlns="55bec62e-d050-46d9-afa0-e4d97c07b564" xsi:nil="true"/>
    <Year xmlns="55bec62e-d050-46d9-afa0-e4d97c07b564" xsi:nil="true"/>
    <Voice xmlns="55bec62e-d050-46d9-afa0-e4d97c07b564" xsi:nil="true"/>
    <lcf76f155ced4ddcb4097134ff3c332f xmlns="45ef6173-db25-40b0-97e0-d9990a59fde3">
      <Terms xmlns="http://schemas.microsoft.com/office/infopath/2007/PartnerControls"/>
    </lcf76f155ced4ddcb4097134ff3c332f>
    <DocumentType xmlns="55bec62e-d050-46d9-afa0-e4d97c07b564" xsi:nil="true"/>
    <Stakeholders xmlns="55bec62e-d050-46d9-afa0-e4d97c07b564" xsi:nil="true"/>
    <TaxCatchAll xmlns="b3e4ae31-5277-47ba-8976-03733b5407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0164D7B7BF3E4A86DF398E090A26F1" ma:contentTypeVersion="22" ma:contentTypeDescription="Create a new document." ma:contentTypeScope="" ma:versionID="a72e7b73522f59d0094d12dd9494f169">
  <xsd:schema xmlns:xsd="http://www.w3.org/2001/XMLSchema" xmlns:xs="http://www.w3.org/2001/XMLSchema" xmlns:p="http://schemas.microsoft.com/office/2006/metadata/properties" xmlns:ns2="55bec62e-d050-46d9-afa0-e4d97c07b564" xmlns:ns3="22fe0bd8-67db-49ff-b932-d57086d9c553" xmlns:ns4="45ef6173-db25-40b0-97e0-d9990a59fde3" xmlns:ns5="b3e4ae31-5277-47ba-8976-03733b5407ae" targetNamespace="http://schemas.microsoft.com/office/2006/metadata/properties" ma:root="true" ma:fieldsID="4124542a5c415171da7f1b205c7c0b5b" ns2:_="" ns3:_="" ns4:_="" ns5:_="">
    <xsd:import namespace="55bec62e-d050-46d9-afa0-e4d97c07b564"/>
    <xsd:import namespace="22fe0bd8-67db-49ff-b932-d57086d9c553"/>
    <xsd:import namespace="45ef6173-db25-40b0-97e0-d9990a59fde3"/>
    <xsd:import namespace="b3e4ae31-5277-47ba-8976-03733b5407ae"/>
    <xsd:element name="properties">
      <xsd:complexType>
        <xsd:sequence>
          <xsd:element name="documentManagement">
            <xsd:complexType>
              <xsd:all>
                <xsd:element ref="ns2:Voice" minOccurs="0"/>
                <xsd:element ref="ns2:WorkingFiles" minOccurs="0"/>
                <xsd:element ref="ns2:Audience" minOccurs="0"/>
                <xsd:element ref="ns2:DocumentType" minOccurs="0"/>
                <xsd:element ref="ns2:Year" minOccurs="0"/>
                <xsd:element ref="ns2:MediaServiceMetadata" minOccurs="0"/>
                <xsd:element ref="ns2:MediaServiceFastMetadata" minOccurs="0"/>
                <xsd:element ref="ns3:SharedWithUsers" minOccurs="0"/>
                <xsd:element ref="ns3:SharedWithDetails" minOccurs="0"/>
                <xsd:element ref="ns2:ContractorAuthor" minOccurs="0"/>
                <xsd:element ref="ns2:PublicationDate_x0028_Month_x002c_Year_x0029_" minOccurs="0"/>
                <xsd:element ref="ns2:Stakeholders" minOccurs="0"/>
                <xsd:element ref="ns4:MediaServiceSearchProperties" minOccurs="0"/>
                <xsd:element ref="ns4:MediaServiceObjectDetectorVersions" minOccurs="0"/>
                <xsd:element ref="ns4:lcf76f155ced4ddcb4097134ff3c332f" minOccurs="0"/>
                <xsd:element ref="ns5:TaxCatchAll"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c62e-d050-46d9-afa0-e4d97c07b564" elementFormDefault="qualified">
    <xsd:import namespace="http://schemas.microsoft.com/office/2006/documentManagement/types"/>
    <xsd:import namespace="http://schemas.microsoft.com/office/infopath/2007/PartnerControls"/>
    <xsd:element name="Voice" ma:index="8" nillable="true" ma:displayName="Modality/Topic Area" ma:format="Dropdown" ma:internalName="Voice">
      <xsd:simpleType>
        <xsd:union memberTypes="dms:Text">
          <xsd:simpleType>
            <xsd:restriction base="dms:Choice">
              <xsd:enumeration value="Fingerprint"/>
              <xsd:enumeration value="Iris"/>
              <xsd:enumeration value="Face"/>
              <xsd:enumeration value="HLT/Voice"/>
              <xsd:enumeration value="DNA"/>
              <xsd:enumeration value="Contactless Fingerprints"/>
              <xsd:enumeration value="Ear"/>
              <xsd:enumeration value="Periocular"/>
              <xsd:enumeration value="Vein Patter"/>
              <xsd:enumeration value="Gait"/>
              <xsd:enumeration value="Juvenile"/>
              <xsd:enumeration value="Multi-Modal"/>
              <xsd:enumeration value="General"/>
            </xsd:restriction>
          </xsd:simpleType>
        </xsd:union>
      </xsd:simpleType>
    </xsd:element>
    <xsd:element name="WorkingFiles" ma:index="9" nillable="true" ma:displayName="Status" ma:format="Dropdown" ma:internalName="WorkingFiles">
      <xsd:simpleType>
        <xsd:union memberTypes="dms:Text">
          <xsd:simpleType>
            <xsd:restriction base="dms:Choice">
              <xsd:enumeration value="Draft"/>
              <xsd:enumeration value="Peer Review"/>
              <xsd:enumeration value="Managerial Review"/>
              <xsd:enumeration value="Final"/>
            </xsd:restriction>
          </xsd:simpleType>
        </xsd:union>
      </xsd:simpleType>
    </xsd:element>
    <xsd:element name="Audience" ma:index="10" nillable="true" ma:displayName="Audience" ma:format="Dropdown" ma:internalName="Audience">
      <xsd:simpleType>
        <xsd:union memberTypes="dms:Text">
          <xsd:simpleType>
            <xsd:restriction base="dms:Choice">
              <xsd:enumeration value="Internal Engagement"/>
              <xsd:enumeration value="External Engagement"/>
              <xsd:enumeration value="ICMD"/>
              <xsd:enumeration value="IDENT/HART"/>
              <xsd:enumeration value="IOD"/>
              <xsd:enumeration value="ITD"/>
              <xsd:enumeration value="MD"/>
              <xsd:enumeration value="OOD"/>
              <xsd:enumeration value="Internal/External Engagement"/>
            </xsd:restriction>
          </xsd:simpleType>
        </xsd:union>
      </xsd:simpleType>
    </xsd:element>
    <xsd:element name="DocumentType" ma:index="11" nillable="true" ma:displayName="Content" ma:format="Dropdown" ma:internalName="DocumentType">
      <xsd:simpleType>
        <xsd:union memberTypes="dms:Text">
          <xsd:simpleType>
            <xsd:restriction base="dms:Choice">
              <xsd:enumeration value="Agenda"/>
              <xsd:enumeration value="Brief"/>
              <xsd:enumeration value="Briefing Deck"/>
              <xsd:enumeration value="Communication Plan"/>
              <xsd:enumeration value="Criteria"/>
              <xsd:enumeration value="Email"/>
              <xsd:enumeration value="Guides"/>
              <xsd:enumeration value="Informatino Paper"/>
              <xsd:enumeration value="IPEG"/>
              <xsd:enumeration value="Manual"/>
              <xsd:enumeration value="Meeting Minutes"/>
              <xsd:enumeration value="NDA"/>
              <xsd:enumeration value="Organization Chart"/>
              <xsd:enumeration value="Performance Plan"/>
              <xsd:enumeration value="PTA"/>
              <xsd:enumeration value="Publication"/>
              <xsd:enumeration value="Report"/>
              <xsd:enumeration value="ROM"/>
              <xsd:enumeration value="SOP"/>
              <xsd:enumeration value="SOW"/>
              <xsd:enumeration value="Strategic Plan"/>
              <xsd:enumeration value="Studies and Analyses"/>
              <xsd:enumeration value="Template"/>
              <xsd:enumeration value="TOR"/>
              <xsd:enumeration value="Pilot"/>
              <xsd:enumeration value="Presentation"/>
              <xsd:enumeration value="Summary"/>
              <xsd:enumeration value="Illustrations"/>
              <xsd:enumeration value="User Guide"/>
            </xsd:restriction>
          </xsd:simpleType>
        </xsd:union>
      </xsd:simpleType>
    </xsd:element>
    <xsd:element name="Year" ma:index="12" nillable="true" ma:displayName="Fiscal Year" ma:description="Include the Year/Time Period of the Report" ma:format="Dropdown" ma:internalName="Year">
      <xsd:complexType>
        <xsd:complexContent>
          <xsd:extension base="dms:MultiChoiceFillIn">
            <xsd:sequence>
              <xsd:element name="Value" maxOccurs="unbounded" minOccurs="0" nillable="true">
                <xsd:simpleType>
                  <xsd:union memberTypes="dms:Text">
                    <xsd:simpleType>
                      <xsd:restriction base="dms:Choice">
                        <xsd:enumeration value="FY 18"/>
                        <xsd:enumeration value="FY 19"/>
                        <xsd:enumeration value="FY 20"/>
                        <xsd:enumeration value="FY 21"/>
                        <xsd:enumeration value="FY 22"/>
                      </xsd:restriction>
                    </xsd:simpleType>
                  </xsd:un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ContractorAuthor" ma:index="17" nillable="true" ma:displayName="Contractor Author" ma:format="Dropdown" ma:internalName="ContractorAuthor">
      <xsd:simpleType>
        <xsd:restriction base="dms:Choice">
          <xsd:enumeration value="AVER"/>
          <xsd:enumeration value="CNA"/>
          <xsd:enumeration value="CWS"/>
          <xsd:enumeration value="Dynamis"/>
          <xsd:enumeration value="HSOAC/RAND"/>
          <xsd:enumeration value="HSSED/MITRE"/>
          <xsd:enumeration value="PLSE"/>
        </xsd:restriction>
      </xsd:simpleType>
    </xsd:element>
    <xsd:element name="PublicationDate_x0028_Month_x002c_Year_x0029_" ma:index="18" nillable="true" ma:displayName="Publication Date (Month, Year)" ma:format="Dropdown" ma:internalName="PublicationDate_x0028_Month_x002c_Year_x0029_">
      <xsd:simpleType>
        <xsd:restriction base="dms:Text">
          <xsd:maxLength value="255"/>
        </xsd:restriction>
      </xsd:simpleType>
    </xsd:element>
    <xsd:element name="Stakeholders" ma:index="19" nillable="true" ma:displayName="Stakeholders" ma:format="Dropdown" ma:internalName="Stakeholders">
      <xsd:simpleType>
        <xsd:restriction base="dms:Choice">
          <xsd:enumeration value="CBP"/>
          <xsd:enumeration value="CIS"/>
          <xsd:enumeration value="FEMA"/>
          <xsd:enumeration value="ICE"/>
          <xsd:enumeration value="OCSO"/>
          <xsd:enumeration value="TSA"/>
          <xsd:enumeration value="USCG"/>
        </xsd:restriction>
      </xsd:simpleType>
    </xsd:element>
  </xsd:schema>
  <xsd:schema xmlns:xsd="http://www.w3.org/2001/XMLSchema" xmlns:xs="http://www.w3.org/2001/XMLSchema" xmlns:dms="http://schemas.microsoft.com/office/2006/documentManagement/types" xmlns:pc="http://schemas.microsoft.com/office/infopath/2007/PartnerControls" targetNamespace="22fe0bd8-67db-49ff-b932-d57086d9c5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f6173-db25-40b0-97e0-d9990a59fde3"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4ae31-5277-47ba-8976-03733b5407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3a98260-f2ae-4375-bbde-826342355801}" ma:internalName="TaxCatchAll" ma:showField="CatchAllData" ma:web="b3e4ae31-5277-47ba-8976-03733b54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D1452-5EB2-4499-9B24-0CEF7F8FBC7D}">
  <ds:schemaRefs>
    <ds:schemaRef ds:uri="http://schemas.microsoft.com/sharepoint/v3/contenttype/forms"/>
  </ds:schemaRefs>
</ds:datastoreItem>
</file>

<file path=customXml/itemProps2.xml><?xml version="1.0" encoding="utf-8"?>
<ds:datastoreItem xmlns:ds="http://schemas.openxmlformats.org/officeDocument/2006/customXml" ds:itemID="{56B1193F-EE32-4FA4-8F0B-AB04212ECE2C}">
  <ds:schemaRefs>
    <ds:schemaRef ds:uri="http://schemas.microsoft.com/office/2006/metadata/properties"/>
    <ds:schemaRef ds:uri="http://schemas.microsoft.com/office/infopath/2007/PartnerControls"/>
    <ds:schemaRef ds:uri="55bec62e-d050-46d9-afa0-e4d97c07b564"/>
    <ds:schemaRef ds:uri="45ef6173-db25-40b0-97e0-d9990a59fde3"/>
    <ds:schemaRef ds:uri="b3e4ae31-5277-47ba-8976-03733b5407ae"/>
  </ds:schemaRefs>
</ds:datastoreItem>
</file>

<file path=customXml/itemProps3.xml><?xml version="1.0" encoding="utf-8"?>
<ds:datastoreItem xmlns:ds="http://schemas.openxmlformats.org/officeDocument/2006/customXml" ds:itemID="{A1D1F004-7204-4F8A-A9AD-970213C69867}">
  <ds:schemaRefs>
    <ds:schemaRef ds:uri="http://schemas.openxmlformats.org/officeDocument/2006/bibliography"/>
  </ds:schemaRefs>
</ds:datastoreItem>
</file>

<file path=customXml/itemProps4.xml><?xml version="1.0" encoding="utf-8"?>
<ds:datastoreItem xmlns:ds="http://schemas.openxmlformats.org/officeDocument/2006/customXml" ds:itemID="{823229FD-3C53-4D74-8DDC-0C43FA95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c62e-d050-46d9-afa0-e4d97c07b564"/>
    <ds:schemaRef ds:uri="22fe0bd8-67db-49ff-b932-d57086d9c553"/>
    <ds:schemaRef ds:uri="45ef6173-db25-40b0-97e0-d9990a59fde3"/>
    <ds:schemaRef ds:uri="b3e4ae31-5277-47ba-8976-03733b54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4581</Words>
  <Characters>26115</Characters>
  <Application>Microsoft Office Word</Application>
  <DocSecurity>0</DocSecurity>
  <Lines>217</Lines>
  <Paragraphs>61</Paragraphs>
  <ScaleCrop>false</ScaleCrop>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Locker, Alicia R</dc:creator>
  <cp:lastModifiedBy>Oden, Charmaine</cp:lastModifiedBy>
  <cp:revision>4</cp:revision>
  <dcterms:created xsi:type="dcterms:W3CDTF">2025-05-14T18:37:00Z</dcterms:created>
  <dcterms:modified xsi:type="dcterms:W3CDTF">2025-05-15T14:55:00Z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0x010100D60164D7B7BF3E4A86DF398E090A26F1</vt:lpwstr>
  </property>
  <property fmtid="{D5CDD505-2E9C-101B-9397-08002B2CF9AE}" pid="3" name="MediaServiceImageTags">
    <vt:lpwstr/>
  </property>
  <property fmtid="{D5CDD505-2E9C-101B-9397-08002B2CF9AE}" pid="4" name="MSIP_Label_a2eef23d-2e95-4428-9a3c-2526d95b164a_ActionId">
    <vt:lpwstr>b03b7616-6909-498f-a481-3fc3c3525598</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2023-10-03T20:06:35Z</vt:lpwstr>
  </property>
  <property fmtid="{D5CDD505-2E9C-101B-9397-08002B2CF9AE}" pid="10" name="MSIP_Label_a2eef23d-2e95-4428-9a3c-2526d95b164a_SiteId">
    <vt:lpwstr>3ccde76c-946d-4a12-bb7a-fc9d0842354a</vt:lpwstr>
  </property>
</Properties>
</file>