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3210" w14:textId="3BBF85A8" w:rsidR="743320B8" w:rsidRDefault="67B4A412" w:rsidP="67B4A412">
      <w:pPr>
        <w:spacing w:line="276" w:lineRule="auto"/>
        <w:ind w:left="7200"/>
        <w:rPr>
          <w:rFonts w:ascii="Times New Roman" w:eastAsia="Times New Roman" w:hAnsi="Times New Roman" w:cs="Times New Roman"/>
          <w:color w:val="000000" w:themeColor="text1"/>
        </w:rPr>
      </w:pPr>
      <w:r w:rsidRPr="67B4A412">
        <w:rPr>
          <w:rFonts w:ascii="Times New Roman" w:eastAsia="Times New Roman" w:hAnsi="Times New Roman" w:cs="Times New Roman"/>
          <w:color w:val="000000" w:themeColor="text1"/>
        </w:rPr>
        <w:t>June 4, 2025</w:t>
      </w:r>
    </w:p>
    <w:p w14:paraId="4207C4DE" w14:textId="7C8CACD7" w:rsidR="743320B8" w:rsidRDefault="028ED969" w:rsidP="028ED969">
      <w:pPr>
        <w:spacing w:line="276" w:lineRule="auto"/>
        <w:rPr>
          <w:rFonts w:ascii="Times New Roman" w:eastAsia="Times New Roman" w:hAnsi="Times New Roman" w:cs="Times New Roman"/>
          <w:color w:val="000000" w:themeColor="text1"/>
        </w:rPr>
      </w:pPr>
      <w:r w:rsidRPr="028ED969">
        <w:rPr>
          <w:rFonts w:ascii="Times New Roman" w:eastAsia="Times New Roman" w:hAnsi="Times New Roman" w:cs="Times New Roman"/>
          <w:color w:val="000000" w:themeColor="text1"/>
        </w:rPr>
        <w:t xml:space="preserve">Office of </w:t>
      </w:r>
      <w:r w:rsidR="00B01811">
        <w:rPr>
          <w:rFonts w:ascii="Times New Roman" w:eastAsia="Times New Roman" w:hAnsi="Times New Roman" w:cs="Times New Roman"/>
          <w:color w:val="000000" w:themeColor="text1"/>
        </w:rPr>
        <w:t>Biometric Identity Management</w:t>
      </w:r>
    </w:p>
    <w:p w14:paraId="19D9CA65" w14:textId="28D874BD" w:rsidR="743320B8" w:rsidRDefault="00B01811" w:rsidP="67B4A412">
      <w:pPr>
        <w:spacing w:line="276" w:lineRule="auto"/>
        <w:rPr>
          <w:rFonts w:ascii="Times New Roman" w:eastAsia="Times New Roman" w:hAnsi="Times New Roman" w:cs="Times New Roman"/>
          <w:color w:val="000000" w:themeColor="text1"/>
        </w:rPr>
      </w:pPr>
      <w:r w:rsidRPr="00B01811">
        <w:rPr>
          <w:rFonts w:ascii="Times New Roman" w:eastAsia="Times New Roman" w:hAnsi="Times New Roman" w:cs="Times New Roman"/>
          <w:color w:val="000000" w:themeColor="text1"/>
        </w:rPr>
        <w:t>Department of Homeland Security</w:t>
      </w:r>
      <w:r w:rsidRPr="00B01811">
        <w:rPr>
          <w:rFonts w:ascii="Times New Roman" w:eastAsia="Times New Roman" w:hAnsi="Times New Roman" w:cs="Times New Roman"/>
          <w:color w:val="000000" w:themeColor="text1"/>
        </w:rPr>
        <w:br/>
        <w:t>2707 Martin Luther King Jr Ave SE</w:t>
      </w:r>
      <w:r w:rsidRPr="00B01811">
        <w:rPr>
          <w:rFonts w:ascii="Times New Roman" w:eastAsia="Times New Roman" w:hAnsi="Times New Roman" w:cs="Times New Roman"/>
          <w:color w:val="000000" w:themeColor="text1"/>
        </w:rPr>
        <w:br/>
        <w:t>Washington, DC 20528-0525</w:t>
      </w:r>
    </w:p>
    <w:p w14:paraId="06CB5EBE" w14:textId="77777777" w:rsidR="00B01811" w:rsidRDefault="00B01811" w:rsidP="67B4A412">
      <w:pPr>
        <w:spacing w:line="276" w:lineRule="auto"/>
        <w:rPr>
          <w:rFonts w:ascii="Times New Roman" w:eastAsia="Times New Roman" w:hAnsi="Times New Roman" w:cs="Times New Roman"/>
          <w:color w:val="000000" w:themeColor="text1"/>
        </w:rPr>
      </w:pPr>
    </w:p>
    <w:p w14:paraId="26EDC5CA" w14:textId="283E96DA" w:rsidR="743320B8" w:rsidRDefault="028ED969" w:rsidP="028ED969">
      <w:pPr>
        <w:spacing w:line="276" w:lineRule="auto"/>
        <w:rPr>
          <w:rFonts w:ascii="Times New Roman" w:eastAsia="Times New Roman" w:hAnsi="Times New Roman" w:cs="Times New Roman"/>
          <w:color w:val="000000" w:themeColor="text1"/>
        </w:rPr>
      </w:pPr>
      <w:r w:rsidRPr="028ED969">
        <w:rPr>
          <w:rFonts w:ascii="Times New Roman" w:eastAsia="Times New Roman" w:hAnsi="Times New Roman" w:cs="Times New Roman"/>
          <w:i/>
          <w:iCs/>
          <w:color w:val="000000" w:themeColor="text1"/>
        </w:rPr>
        <w:t xml:space="preserve">Submitted via </w:t>
      </w:r>
      <w:hyperlink r:id="rId7">
        <w:r w:rsidRPr="028ED969">
          <w:rPr>
            <w:rStyle w:val="Hyperlink"/>
            <w:rFonts w:ascii="Times New Roman" w:eastAsia="Times New Roman" w:hAnsi="Times New Roman" w:cs="Times New Roman"/>
          </w:rPr>
          <w:t>http://www.regulations.gov</w:t>
        </w:r>
      </w:hyperlink>
      <w:r w:rsidRPr="028ED969">
        <w:rPr>
          <w:rFonts w:ascii="Times New Roman" w:eastAsia="Times New Roman" w:hAnsi="Times New Roman" w:cs="Times New Roman"/>
          <w:color w:val="0563C1"/>
          <w:u w:val="single"/>
        </w:rPr>
        <w:t xml:space="preserve">/public/do/ </w:t>
      </w:r>
      <w:proofErr w:type="spellStart"/>
      <w:r w:rsidRPr="028ED969">
        <w:rPr>
          <w:rFonts w:ascii="Times New Roman" w:eastAsia="Times New Roman" w:hAnsi="Times New Roman" w:cs="Times New Roman"/>
          <w:color w:val="0563C1"/>
          <w:u w:val="single"/>
        </w:rPr>
        <w:t>PRAMain</w:t>
      </w:r>
      <w:proofErr w:type="spellEnd"/>
      <w:r w:rsidRPr="028ED969">
        <w:rPr>
          <w:rFonts w:ascii="Times New Roman" w:eastAsia="Times New Roman" w:hAnsi="Times New Roman" w:cs="Times New Roman"/>
          <w:color w:val="000000" w:themeColor="text1"/>
        </w:rPr>
        <w:t xml:space="preserve"> </w:t>
      </w:r>
    </w:p>
    <w:p w14:paraId="73EADB13" w14:textId="027BDFB0" w:rsidR="743320B8" w:rsidRDefault="743320B8" w:rsidP="67B4A412">
      <w:pPr>
        <w:spacing w:line="276" w:lineRule="auto"/>
        <w:rPr>
          <w:rFonts w:ascii="Times New Roman" w:eastAsia="Times New Roman" w:hAnsi="Times New Roman" w:cs="Times New Roman"/>
          <w:color w:val="000000" w:themeColor="text1"/>
        </w:rPr>
      </w:pPr>
    </w:p>
    <w:p w14:paraId="5794A02C" w14:textId="0915DDD5" w:rsidR="743320B8" w:rsidRDefault="67B4A412" w:rsidP="67B4A412">
      <w:pPr>
        <w:spacing w:after="243"/>
        <w:rPr>
          <w:rFonts w:ascii="Times New Roman" w:eastAsia="Times New Roman" w:hAnsi="Times New Roman" w:cs="Times New Roman"/>
          <w:b/>
          <w:bCs/>
        </w:rPr>
      </w:pPr>
      <w:r w:rsidRPr="67B4A412">
        <w:rPr>
          <w:rFonts w:ascii="Times New Roman" w:eastAsia="Times New Roman" w:hAnsi="Times New Roman" w:cs="Times New Roman"/>
          <w:b/>
          <w:bCs/>
          <w:color w:val="000000" w:themeColor="text1"/>
        </w:rPr>
        <w:t>Re</w:t>
      </w:r>
      <w:r w:rsidRPr="67B4A412">
        <w:rPr>
          <w:rFonts w:ascii="Times New Roman" w:eastAsia="Times New Roman" w:hAnsi="Times New Roman" w:cs="Times New Roman"/>
          <w:color w:val="000000" w:themeColor="text1"/>
        </w:rPr>
        <w:t>:</w:t>
      </w:r>
      <w:r w:rsidRPr="67B4A412">
        <w:rPr>
          <w:rFonts w:ascii="Times New Roman" w:eastAsia="Times New Roman" w:hAnsi="Times New Roman" w:cs="Times New Roman"/>
          <w:b/>
          <w:bCs/>
          <w:color w:val="000000" w:themeColor="text1"/>
        </w:rPr>
        <w:t xml:space="preserve"> Department of Homeland Security, U.S. Citizenship and Immigration Services, </w:t>
      </w:r>
      <w:r w:rsidRPr="67B4A412">
        <w:rPr>
          <w:rFonts w:ascii="Times New Roman" w:eastAsia="Times New Roman" w:hAnsi="Times New Roman" w:cs="Times New Roman"/>
          <w:b/>
          <w:bCs/>
        </w:rPr>
        <w:t>Agency Information Collection Activities: DHS OBIM Biometric Technology Assessments, OMB Control No. 1601-NEW</w:t>
      </w:r>
    </w:p>
    <w:p w14:paraId="257F396F" w14:textId="47DAAF31" w:rsidR="1D47393A" w:rsidRPr="00B01811" w:rsidRDefault="3E39B702" w:rsidP="67B4A412">
      <w:pPr>
        <w:contextualSpacing/>
        <w:rPr>
          <w:rFonts w:ascii="Times New Roman" w:eastAsia="Times New Roman" w:hAnsi="Times New Roman" w:cs="Times New Roman"/>
          <w:color w:val="000000" w:themeColor="text1"/>
        </w:rPr>
      </w:pPr>
      <w:r w:rsidRPr="00B01811">
        <w:rPr>
          <w:rFonts w:ascii="Times New Roman" w:eastAsia="Times New Roman" w:hAnsi="Times New Roman" w:cs="Times New Roman"/>
          <w:color w:val="000000" w:themeColor="text1"/>
        </w:rPr>
        <w:t xml:space="preserve">Dear </w:t>
      </w:r>
      <w:r w:rsidR="00B01811" w:rsidRPr="00B01811">
        <w:rPr>
          <w:rFonts w:ascii="Times New Roman" w:eastAsia="Times New Roman" w:hAnsi="Times New Roman" w:cs="Times New Roman"/>
          <w:color w:val="000000" w:themeColor="text1"/>
        </w:rPr>
        <w:t xml:space="preserve">Sir or Madam: </w:t>
      </w:r>
    </w:p>
    <w:p w14:paraId="473ACB76" w14:textId="56B2D4BD" w:rsidR="1D47393A" w:rsidRDefault="1D47393A" w:rsidP="67B4A412">
      <w:pPr>
        <w:contextualSpacing/>
        <w:rPr>
          <w:rFonts w:ascii="Times New Roman" w:eastAsia="Times New Roman" w:hAnsi="Times New Roman" w:cs="Times New Roman"/>
          <w:color w:val="000000" w:themeColor="text1"/>
        </w:rPr>
      </w:pPr>
    </w:p>
    <w:p w14:paraId="579D0945" w14:textId="1414F420" w:rsidR="1D47393A" w:rsidRDefault="0A65420F" w:rsidP="16F4706C">
      <w:pPr>
        <w:contextualSpacing/>
        <w:jc w:val="both"/>
        <w:rPr>
          <w:rFonts w:ascii="Times New Roman" w:eastAsia="Times New Roman" w:hAnsi="Times New Roman" w:cs="Times New Roman"/>
          <w:color w:val="000000" w:themeColor="text1"/>
        </w:rPr>
      </w:pPr>
      <w:r w:rsidRPr="16F4706C">
        <w:rPr>
          <w:rFonts w:ascii="Times New Roman" w:eastAsia="Times New Roman" w:hAnsi="Times New Roman" w:cs="Times New Roman"/>
          <w:color w:val="000000" w:themeColor="text1"/>
        </w:rPr>
        <w:t>The American Immigration Lawyers Association (AILA) respectfully submit</w:t>
      </w:r>
      <w:r w:rsidRPr="16F4706C">
        <w:rPr>
          <w:rFonts w:ascii="Times New Roman" w:eastAsia="Times New Roman" w:hAnsi="Times New Roman" w:cs="Times New Roman"/>
          <w:color w:val="000000" w:themeColor="text1"/>
        </w:rPr>
        <w:t>s</w:t>
      </w:r>
      <w:r w:rsidRPr="16F4706C">
        <w:rPr>
          <w:rFonts w:ascii="Times New Roman" w:eastAsia="Times New Roman" w:hAnsi="Times New Roman" w:cs="Times New Roman"/>
          <w:color w:val="000000" w:themeColor="text1"/>
        </w:rPr>
        <w:t xml:space="preserve"> the following comments in response to the above-referenced Department of Homeland Security (DHS) Information Collection Request (ICR), published in the Federal Register on May 5, 2025</w:t>
      </w:r>
      <w:r w:rsidRPr="16F4706C">
        <w:rPr>
          <w:rFonts w:ascii="Times New Roman" w:eastAsia="Times New Roman" w:hAnsi="Times New Roman" w:cs="Times New Roman"/>
          <w:color w:val="000000" w:themeColor="text1"/>
        </w:rPr>
        <w:t>.</w:t>
      </w:r>
      <w:r w:rsidR="1D47393A" w:rsidRPr="16F4706C">
        <w:rPr>
          <w:rStyle w:val="FootnoteReference"/>
          <w:rFonts w:ascii="Times New Roman" w:eastAsia="Times New Roman" w:hAnsi="Times New Roman" w:cs="Times New Roman"/>
          <w:color w:val="000000" w:themeColor="text1"/>
        </w:rPr>
        <w:footnoteReference w:id="1"/>
      </w:r>
      <w:r w:rsidRPr="16F4706C">
        <w:rPr>
          <w:rFonts w:ascii="Times New Roman" w:eastAsia="Times New Roman" w:hAnsi="Times New Roman" w:cs="Times New Roman"/>
          <w:color w:val="000000" w:themeColor="text1"/>
        </w:rPr>
        <w:t xml:space="preserve">  </w:t>
      </w:r>
    </w:p>
    <w:p w14:paraId="146CF012" w14:textId="6A05B5E2" w:rsidR="1D47393A" w:rsidRDefault="1D47393A" w:rsidP="67B4A412">
      <w:pPr>
        <w:contextualSpacing/>
        <w:rPr>
          <w:rFonts w:ascii="Times New Roman" w:eastAsia="Times New Roman" w:hAnsi="Times New Roman" w:cs="Times New Roman"/>
          <w:color w:val="000000" w:themeColor="text1"/>
        </w:rPr>
      </w:pPr>
    </w:p>
    <w:p w14:paraId="4C040197" w14:textId="149755A2" w:rsidR="1D47393A" w:rsidRDefault="67B4A412" w:rsidP="67B4A412">
      <w:pPr>
        <w:contextualSpacing/>
        <w:jc w:val="both"/>
        <w:rPr>
          <w:rFonts w:ascii="Times New Roman" w:eastAsia="Times New Roman" w:hAnsi="Times New Roman" w:cs="Times New Roman"/>
          <w:color w:val="000000" w:themeColor="text1"/>
        </w:rPr>
      </w:pPr>
      <w:r w:rsidRPr="67B4A412">
        <w:rPr>
          <w:rFonts w:ascii="Times New Roman" w:eastAsia="Times New Roman" w:hAnsi="Times New Roman" w:cs="Times New Roman"/>
          <w:color w:val="000000" w:themeColor="text1"/>
        </w:rPr>
        <w:t>Established in 1946, AILA is a voluntary bar association of more than 17,000 attorneys and law professors practicing, researching, and teaching in the field of immigration and nationality law. AILA’s mission includes the advancement of the law pertaining to immigration and naturalization and the facilitation of justice in the field. AILA members regularly advise and represent businesses, U.S. citizens, U.S. lawful permanent residents, and foreign nationals regarding the application and interpretation of U.S. immigration laws.</w:t>
      </w:r>
    </w:p>
    <w:p w14:paraId="1D4B14D0" w14:textId="72E21C82" w:rsidR="1D47393A" w:rsidRDefault="1D47393A" w:rsidP="7314A83C">
      <w:pPr>
        <w:contextualSpacing/>
        <w:jc w:val="both"/>
        <w:rPr>
          <w:rFonts w:ascii="Times New Roman" w:eastAsia="Times New Roman" w:hAnsi="Times New Roman" w:cs="Times New Roman"/>
          <w:b/>
          <w:bCs/>
          <w:color w:val="000000" w:themeColor="text1"/>
        </w:rPr>
      </w:pPr>
    </w:p>
    <w:p w14:paraId="0DE29CDE" w14:textId="18EE04A7" w:rsidR="1D47393A" w:rsidRDefault="75313D17" w:rsidP="13F7D2AE">
      <w:pPr>
        <w:contextualSpacing/>
        <w:jc w:val="both"/>
        <w:rPr>
          <w:rFonts w:ascii="Times New Roman" w:eastAsia="Times New Roman" w:hAnsi="Times New Roman" w:cs="Times New Roman"/>
        </w:rPr>
      </w:pPr>
      <w:r w:rsidRPr="75313D17">
        <w:rPr>
          <w:rFonts w:ascii="Times New Roman" w:eastAsia="Times New Roman" w:hAnsi="Times New Roman" w:cs="Times New Roman"/>
        </w:rPr>
        <w:t>AILA recognizes the importance of biometric technology assessments in enhancing national security and the integrity of the immigration system. We commend the OBIM in its efforts to stay abreast of the latest technology and biometrics collection methodologies. AILA, however, would like to submit the following concerns the published ICR raises and encourages OBIM to move forward with these in mind.</w:t>
      </w:r>
    </w:p>
    <w:p w14:paraId="341859EE" w14:textId="7900CEAD" w:rsidR="684B180A" w:rsidRDefault="684B180A" w:rsidP="0C2012EC">
      <w:pPr>
        <w:spacing w:line="276" w:lineRule="auto"/>
        <w:rPr>
          <w:rFonts w:ascii="Times New Roman" w:eastAsia="Times New Roman" w:hAnsi="Times New Roman" w:cs="Times New Roman"/>
          <w:b/>
          <w:bCs/>
        </w:rPr>
      </w:pPr>
    </w:p>
    <w:p w14:paraId="1730E354" w14:textId="66346C3A" w:rsidR="0A65420F" w:rsidRDefault="4E2EA703" w:rsidP="4E2EA703">
      <w:pPr>
        <w:pStyle w:val="ListParagraph"/>
        <w:numPr>
          <w:ilvl w:val="0"/>
          <w:numId w:val="2"/>
        </w:numPr>
        <w:spacing w:line="276" w:lineRule="auto"/>
        <w:rPr>
          <w:rFonts w:ascii="Times New Roman" w:eastAsia="Times New Roman" w:hAnsi="Times New Roman" w:cs="Times New Roman"/>
          <w:b/>
          <w:bCs/>
        </w:rPr>
      </w:pPr>
      <w:r w:rsidRPr="4E2EA703">
        <w:rPr>
          <w:rFonts w:ascii="Times New Roman" w:eastAsia="Times New Roman" w:hAnsi="Times New Roman" w:cs="Times New Roman"/>
          <w:b/>
          <w:bCs/>
        </w:rPr>
        <w:t>What is the Purpose and Scope of the Information Collection?</w:t>
      </w:r>
    </w:p>
    <w:p w14:paraId="43B4687C" w14:textId="012A281A" w:rsidR="0A65420F" w:rsidRDefault="0A65420F" w:rsidP="4E2EA703">
      <w:pPr>
        <w:spacing w:line="276" w:lineRule="auto"/>
        <w:rPr>
          <w:rFonts w:ascii="Times New Roman" w:eastAsia="Times New Roman" w:hAnsi="Times New Roman" w:cs="Times New Roman"/>
        </w:rPr>
      </w:pPr>
    </w:p>
    <w:p w14:paraId="6D1E9780" w14:textId="7EB61CFF" w:rsidR="0A65420F" w:rsidRDefault="4E2EA703" w:rsidP="4E2EA703">
      <w:pPr>
        <w:spacing w:line="276" w:lineRule="auto"/>
        <w:rPr>
          <w:rFonts w:ascii="Times New Roman" w:eastAsia="Times New Roman" w:hAnsi="Times New Roman" w:cs="Times New Roman"/>
        </w:rPr>
      </w:pPr>
      <w:r w:rsidRPr="4E2EA703">
        <w:rPr>
          <w:rFonts w:ascii="Times New Roman" w:eastAsia="Times New Roman" w:hAnsi="Times New Roman" w:cs="Times New Roman"/>
        </w:rPr>
        <w:t>While AILA agrees that biometrics collection is essential to national security, DHS has not clearly articulated how the information collection described in the ICR serves a defined and lawful purpose. This ambiguity raises concerns about statutory compliance, accountability, and potential misuse. Further, the lack of specificity regarding the purpose of this information collection raises serious concerns about transparency, statutory compliance, and potential overreach.</w:t>
      </w:r>
    </w:p>
    <w:p w14:paraId="6C0DEAD2" w14:textId="11A00A11" w:rsidR="0A65420F" w:rsidRDefault="4E2EA703" w:rsidP="4E2EA703">
      <w:pPr>
        <w:pStyle w:val="ListParagraph"/>
        <w:numPr>
          <w:ilvl w:val="1"/>
          <w:numId w:val="2"/>
        </w:numPr>
        <w:spacing w:after="160" w:line="276" w:lineRule="auto"/>
        <w:rPr>
          <w:rFonts w:ascii="Times New Roman" w:eastAsia="Times New Roman" w:hAnsi="Times New Roman" w:cs="Times New Roman"/>
          <w:b/>
          <w:bCs/>
        </w:rPr>
      </w:pPr>
      <w:r w:rsidRPr="4E2EA703">
        <w:rPr>
          <w:rFonts w:ascii="Times New Roman" w:eastAsia="Times New Roman" w:hAnsi="Times New Roman" w:cs="Times New Roman"/>
          <w:b/>
          <w:bCs/>
        </w:rPr>
        <w:t>Unclear Operational Objectives</w:t>
      </w:r>
    </w:p>
    <w:p w14:paraId="693CED36" w14:textId="02E61EFC" w:rsidR="0A65420F" w:rsidRDefault="4E2EA703" w:rsidP="4E2EA703">
      <w:pPr>
        <w:spacing w:after="160" w:line="276" w:lineRule="auto"/>
        <w:rPr>
          <w:rFonts w:ascii="Times New Roman" w:eastAsia="Times New Roman" w:hAnsi="Times New Roman" w:cs="Times New Roman"/>
        </w:rPr>
      </w:pPr>
      <w:r w:rsidRPr="4E2EA703">
        <w:rPr>
          <w:rFonts w:ascii="Times New Roman" w:eastAsia="Times New Roman" w:hAnsi="Times New Roman" w:cs="Times New Roman"/>
        </w:rPr>
        <w:lastRenderedPageBreak/>
        <w:t xml:space="preserve">The ICR states that its purpose is to “understand the performance of new sensors” and assess “the current state of the art in biometrics,” yet the ICR does not specify how the findings will be used in practice. It is unclear whether the results will inform procurement decisions, establish policy guidance, define technical standards, </w:t>
      </w:r>
      <w:r w:rsidRPr="4E2EA703">
        <w:rPr>
          <w:rFonts w:ascii="Times New Roman" w:eastAsia="Times New Roman" w:hAnsi="Times New Roman" w:cs="Times New Roman"/>
        </w:rPr>
        <w:t xml:space="preserve">protect personally identifiable information, </w:t>
      </w:r>
      <w:r w:rsidRPr="4E2EA703">
        <w:rPr>
          <w:rFonts w:ascii="Times New Roman" w:eastAsia="Times New Roman" w:hAnsi="Times New Roman" w:cs="Times New Roman"/>
        </w:rPr>
        <w:t>or support operational deployments such as the Homeland Advanced Recognition Technology (HART) system</w:t>
      </w:r>
      <w:r w:rsidRPr="4E2EA703">
        <w:rPr>
          <w:rFonts w:ascii="Times New Roman" w:eastAsia="Times New Roman" w:hAnsi="Times New Roman" w:cs="Times New Roman"/>
        </w:rPr>
        <w:t>.</w:t>
      </w:r>
      <w:r w:rsidR="0A65420F" w:rsidRPr="4E2EA703">
        <w:rPr>
          <w:rStyle w:val="FootnoteReference"/>
          <w:rFonts w:ascii="Times New Roman" w:eastAsia="Times New Roman" w:hAnsi="Times New Roman" w:cs="Times New Roman"/>
        </w:rPr>
        <w:footnoteReference w:id="2"/>
      </w:r>
      <w:r w:rsidRPr="4E2EA703">
        <w:rPr>
          <w:rFonts w:ascii="Times New Roman" w:eastAsia="Times New Roman" w:hAnsi="Times New Roman" w:cs="Times New Roman"/>
        </w:rPr>
        <w:t xml:space="preserve"> The absence of clear goals makes it difficult to assess the collection’s necessity, scope, or effectiveness.</w:t>
      </w:r>
    </w:p>
    <w:p w14:paraId="48003424" w14:textId="5C7ED8AB" w:rsidR="0A65420F" w:rsidRDefault="4E2EA703" w:rsidP="4E2EA703">
      <w:pPr>
        <w:spacing w:after="160" w:line="276" w:lineRule="auto"/>
        <w:rPr>
          <w:rFonts w:ascii="Times New Roman" w:eastAsia="Times New Roman" w:hAnsi="Times New Roman" w:cs="Times New Roman"/>
        </w:rPr>
      </w:pPr>
      <w:r w:rsidRPr="4E2EA703">
        <w:rPr>
          <w:rFonts w:ascii="Times New Roman" w:eastAsia="Times New Roman" w:hAnsi="Times New Roman" w:cs="Times New Roman"/>
          <w:b/>
          <w:bCs/>
        </w:rPr>
        <w:t>Recommendation:</w:t>
      </w:r>
      <w:r w:rsidRPr="4E2EA703">
        <w:rPr>
          <w:rFonts w:ascii="Times New Roman" w:eastAsia="Times New Roman" w:hAnsi="Times New Roman" w:cs="Times New Roman"/>
        </w:rPr>
        <w:t xml:space="preserve"> DHS should clarify the operational objectives of the ICR, including how the data and results will influence biometric system development, particularly in relation to IDENT, HART, or entry-exit tracking systems mandated by statute.</w:t>
      </w:r>
    </w:p>
    <w:p w14:paraId="15BB6434" w14:textId="43C7085C" w:rsidR="0A65420F" w:rsidRDefault="4E2EA703" w:rsidP="4E2EA703">
      <w:pPr>
        <w:pStyle w:val="ListParagraph"/>
        <w:numPr>
          <w:ilvl w:val="1"/>
          <w:numId w:val="2"/>
        </w:numPr>
        <w:spacing w:line="276" w:lineRule="auto"/>
        <w:rPr>
          <w:rFonts w:ascii="Times New Roman" w:eastAsia="Times New Roman" w:hAnsi="Times New Roman" w:cs="Times New Roman"/>
          <w:b/>
          <w:bCs/>
          <w:color w:val="000000" w:themeColor="text1"/>
        </w:rPr>
      </w:pPr>
      <w:r w:rsidRPr="4E2EA703">
        <w:rPr>
          <w:rFonts w:ascii="Times New Roman" w:eastAsia="Times New Roman" w:hAnsi="Times New Roman" w:cs="Times New Roman"/>
          <w:b/>
          <w:bCs/>
          <w:color w:val="000000" w:themeColor="text1"/>
        </w:rPr>
        <w:t>Insufficient Details regarding Research Studies, including Human Subjects</w:t>
      </w:r>
    </w:p>
    <w:p w14:paraId="213C1487" w14:textId="0D50AACF" w:rsidR="0A65420F" w:rsidRDefault="0A65420F" w:rsidP="4E2EA703">
      <w:pPr>
        <w:pStyle w:val="ListParagraph"/>
        <w:spacing w:line="276" w:lineRule="auto"/>
        <w:rPr>
          <w:rFonts w:ascii="Times New Roman" w:eastAsia="Times New Roman" w:hAnsi="Times New Roman" w:cs="Times New Roman"/>
          <w:b/>
          <w:bCs/>
          <w:color w:val="000000" w:themeColor="text1"/>
        </w:rPr>
      </w:pPr>
    </w:p>
    <w:p w14:paraId="61B45172" w14:textId="5CD4E4C2" w:rsidR="0A65420F" w:rsidRDefault="623301DF" w:rsidP="144D6457">
      <w:pPr>
        <w:spacing w:line="276" w:lineRule="auto"/>
        <w:rPr>
          <w:rFonts w:ascii="Times New Roman" w:eastAsia="Times New Roman" w:hAnsi="Times New Roman" w:cs="Times New Roman"/>
          <w:color w:val="000000" w:themeColor="text1"/>
        </w:rPr>
      </w:pPr>
      <w:r w:rsidRPr="61143518">
        <w:rPr>
          <w:rFonts w:ascii="Times New Roman" w:eastAsia="Times New Roman" w:hAnsi="Times New Roman" w:cs="Times New Roman"/>
          <w:color w:val="000000" w:themeColor="text1"/>
        </w:rPr>
        <w:t>The ICR states that that OBIM proposes to conduct “several small-scale human research studies” of “emerging biometric technology.” Yet, while the ICR addresses the anticipated performers of those studies and the types of biometric sensing technologies sought to be studied, it makes no mention of the specific human participants in those studies. For example, it is not clear who will be the subjects of these research studies.</w:t>
      </w:r>
      <w:r w:rsidR="61143518" w:rsidRPr="61143518">
        <w:rPr>
          <w:rFonts w:ascii="Times New Roman" w:eastAsia="Times New Roman" w:hAnsi="Times New Roman" w:cs="Times New Roman"/>
          <w:color w:val="000000" w:themeColor="text1"/>
        </w:rPr>
        <w:t xml:space="preserve"> Research has already revealed discrepancies in the classification accuracies of facial recognition technology for different skin tones, particularly for darker skin</w:t>
      </w:r>
      <w:r w:rsidR="0A65420F" w:rsidRPr="61143518">
        <w:rPr>
          <w:rStyle w:val="FootnoteReference"/>
          <w:rFonts w:ascii="Times New Roman" w:eastAsia="Times New Roman" w:hAnsi="Times New Roman" w:cs="Times New Roman"/>
          <w:color w:val="000000" w:themeColor="text1"/>
        </w:rPr>
        <w:footnoteReference w:id="3"/>
      </w:r>
      <w:r w:rsidRPr="61143518">
        <w:rPr>
          <w:rFonts w:ascii="Times New Roman" w:eastAsia="Times New Roman" w:hAnsi="Times New Roman" w:cs="Times New Roman"/>
          <w:color w:val="000000" w:themeColor="text1"/>
        </w:rPr>
        <w:t xml:space="preserve">. One concern is whether there exists a sufficiently diverse set of subjects to test the robust nature of any adopted technology to ensure different biometric features are properly distinguished. </w:t>
      </w:r>
    </w:p>
    <w:p w14:paraId="11E82949" w14:textId="05D82DF5" w:rsidR="61143518" w:rsidRDefault="61143518" w:rsidP="61143518">
      <w:pPr>
        <w:spacing w:line="276" w:lineRule="auto"/>
        <w:rPr>
          <w:rFonts w:ascii="Times New Roman" w:eastAsia="Times New Roman" w:hAnsi="Times New Roman" w:cs="Times New Roman"/>
          <w:color w:val="000000" w:themeColor="text1"/>
        </w:rPr>
      </w:pPr>
    </w:p>
    <w:p w14:paraId="2FBEBCD5" w14:textId="6EC870A6" w:rsidR="0A65420F" w:rsidRDefault="78F4133E" w:rsidP="78F4133E">
      <w:pPr>
        <w:spacing w:line="276" w:lineRule="auto"/>
        <w:rPr>
          <w:rFonts w:ascii="Times New Roman" w:eastAsia="Times New Roman" w:hAnsi="Times New Roman" w:cs="Times New Roman"/>
          <w:color w:val="000000" w:themeColor="text1"/>
        </w:rPr>
      </w:pPr>
      <w:r w:rsidRPr="78F4133E">
        <w:rPr>
          <w:rFonts w:ascii="Times New Roman" w:eastAsia="Times New Roman" w:hAnsi="Times New Roman" w:cs="Times New Roman"/>
          <w:color w:val="000000" w:themeColor="text1"/>
        </w:rPr>
        <w:t xml:space="preserve">It is also unclear whether the studies will be conducted in an academic setting using recruited participants or be conducted using actual travelers at ports of entry. If actual travelers are involved, how will test subjects be advised that they are participating in a study and will they have a choice to opt out? Without a clear identification of the intended subjects whose biometric data will be captured and analyzed in these studies, it is difficult to assess the scope of information to be collected and the impact on the individual study participants. </w:t>
      </w:r>
    </w:p>
    <w:p w14:paraId="0BB96352" w14:textId="41E50F2F" w:rsidR="0A65420F" w:rsidRDefault="0A65420F" w:rsidP="4E2EA703">
      <w:pPr>
        <w:spacing w:line="276" w:lineRule="auto"/>
        <w:rPr>
          <w:rFonts w:ascii="Times New Roman" w:eastAsia="Times New Roman" w:hAnsi="Times New Roman" w:cs="Times New Roman"/>
          <w:b/>
          <w:bCs/>
          <w:color w:val="000000" w:themeColor="text1"/>
        </w:rPr>
      </w:pPr>
    </w:p>
    <w:p w14:paraId="6A84D8B9" w14:textId="57F6F358" w:rsidR="0A65420F" w:rsidRDefault="4E2EA703" w:rsidP="4E2EA703">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b/>
          <w:bCs/>
          <w:color w:val="000000" w:themeColor="text1"/>
        </w:rPr>
        <w:t>Recommendation:</w:t>
      </w:r>
      <w:r w:rsidRPr="4E2EA703">
        <w:rPr>
          <w:rFonts w:ascii="Times New Roman" w:eastAsia="Times New Roman" w:hAnsi="Times New Roman" w:cs="Times New Roman"/>
          <w:color w:val="000000" w:themeColor="text1"/>
        </w:rPr>
        <w:t xml:space="preserve"> DHS should provide details describing the planned research studies, including defining the study participants, the method of selection of the participants, and the types of data collected, </w:t>
      </w:r>
      <w:proofErr w:type="gramStart"/>
      <w:r w:rsidRPr="4E2EA703">
        <w:rPr>
          <w:rFonts w:ascii="Times New Roman" w:eastAsia="Times New Roman" w:hAnsi="Times New Roman" w:cs="Times New Roman"/>
          <w:color w:val="000000" w:themeColor="text1"/>
        </w:rPr>
        <w:t>in order to</w:t>
      </w:r>
      <w:proofErr w:type="gramEnd"/>
      <w:r w:rsidRPr="4E2EA703">
        <w:rPr>
          <w:rFonts w:ascii="Times New Roman" w:eastAsia="Times New Roman" w:hAnsi="Times New Roman" w:cs="Times New Roman"/>
          <w:color w:val="000000" w:themeColor="text1"/>
        </w:rPr>
        <w:t xml:space="preserve"> clarify the scope of data to be collected in the research studies proposed in the ICR. AILA urges careful consideration of both proportionality and necessity in the actual data collection to avoid undue burdens and privacy intrusions to both study </w:t>
      </w:r>
      <w:r w:rsidRPr="4E2EA703">
        <w:rPr>
          <w:rFonts w:ascii="Times New Roman" w:eastAsia="Times New Roman" w:hAnsi="Times New Roman" w:cs="Times New Roman"/>
          <w:color w:val="000000" w:themeColor="text1"/>
        </w:rPr>
        <w:lastRenderedPageBreak/>
        <w:t xml:space="preserve">participants and the travelers who will eventually be subject to the biometrics capture technology ultimately implemented </w:t>
      </w:r>
      <w:proofErr w:type="gramStart"/>
      <w:r w:rsidRPr="4E2EA703">
        <w:rPr>
          <w:rFonts w:ascii="Times New Roman" w:eastAsia="Times New Roman" w:hAnsi="Times New Roman" w:cs="Times New Roman"/>
          <w:color w:val="000000" w:themeColor="text1"/>
        </w:rPr>
        <w:t>as a result of</w:t>
      </w:r>
      <w:proofErr w:type="gramEnd"/>
      <w:r w:rsidRPr="4E2EA703">
        <w:rPr>
          <w:rFonts w:ascii="Times New Roman" w:eastAsia="Times New Roman" w:hAnsi="Times New Roman" w:cs="Times New Roman"/>
          <w:color w:val="000000" w:themeColor="text1"/>
        </w:rPr>
        <w:t xml:space="preserve"> these studies.</w:t>
      </w:r>
    </w:p>
    <w:p w14:paraId="3E6F1F18" w14:textId="3BA9011D" w:rsidR="0A65420F" w:rsidRDefault="0A65420F" w:rsidP="4E2EA703">
      <w:pPr>
        <w:spacing w:line="276" w:lineRule="auto"/>
        <w:rPr>
          <w:rFonts w:ascii="Times New Roman" w:eastAsia="Times New Roman" w:hAnsi="Times New Roman" w:cs="Times New Roman"/>
          <w:color w:val="000000" w:themeColor="text1"/>
        </w:rPr>
      </w:pPr>
    </w:p>
    <w:p w14:paraId="401BEA39" w14:textId="6E57F753" w:rsidR="0A65420F" w:rsidRDefault="4E2EA703" w:rsidP="4E2EA703">
      <w:pPr>
        <w:pStyle w:val="ListParagraph"/>
        <w:numPr>
          <w:ilvl w:val="1"/>
          <w:numId w:val="2"/>
        </w:numPr>
        <w:spacing w:after="160" w:line="276" w:lineRule="auto"/>
        <w:rPr>
          <w:rFonts w:ascii="Times New Roman" w:eastAsia="Times New Roman" w:hAnsi="Times New Roman" w:cs="Times New Roman"/>
          <w:b/>
          <w:bCs/>
        </w:rPr>
      </w:pPr>
      <w:r w:rsidRPr="4E2EA703">
        <w:rPr>
          <w:rFonts w:ascii="Times New Roman" w:eastAsia="Times New Roman" w:hAnsi="Times New Roman" w:cs="Times New Roman"/>
          <w:b/>
          <w:bCs/>
        </w:rPr>
        <w:t>Insufficient Linkage to Statutory Authority</w:t>
      </w:r>
    </w:p>
    <w:p w14:paraId="4273BB5C" w14:textId="7937A946" w:rsidR="0A65420F" w:rsidRDefault="4E2EA703" w:rsidP="4E2EA703">
      <w:pPr>
        <w:spacing w:after="160" w:line="276" w:lineRule="auto"/>
        <w:rPr>
          <w:rFonts w:ascii="Times New Roman" w:eastAsia="Times New Roman" w:hAnsi="Times New Roman" w:cs="Times New Roman"/>
        </w:rPr>
      </w:pPr>
      <w:r w:rsidRPr="4E2EA703">
        <w:rPr>
          <w:rFonts w:ascii="Times New Roman" w:eastAsia="Times New Roman" w:hAnsi="Times New Roman" w:cs="Times New Roman"/>
        </w:rPr>
        <w:t>The ICR cites 8 U.S.C. § 1365b as its legal basis, yet the statute focuses on implementing a biometric entry-exit system to track the arrival and departure of foreign nationals.</w:t>
      </w:r>
      <w:r w:rsidR="0A65420F" w:rsidRPr="4E2EA703">
        <w:rPr>
          <w:rStyle w:val="FootnoteReference"/>
          <w:rFonts w:ascii="Times New Roman" w:eastAsia="Times New Roman" w:hAnsi="Times New Roman" w:cs="Times New Roman"/>
        </w:rPr>
        <w:footnoteReference w:id="4"/>
      </w:r>
      <w:r w:rsidRPr="4E2EA703">
        <w:rPr>
          <w:rFonts w:ascii="Times New Roman" w:eastAsia="Times New Roman" w:hAnsi="Times New Roman" w:cs="Times New Roman"/>
        </w:rPr>
        <w:t xml:space="preserve"> The ICR, by contrast, appears to function as a basic research effort lacking clear applicability to border operations, visa issuance, or immigration benefit adjudication. Without a stronger connection to statutory requirements, the collection risks drifting into exploratory initiatives without defined public value.</w:t>
      </w:r>
    </w:p>
    <w:p w14:paraId="132D5D50" w14:textId="0E58E90C" w:rsidR="0A65420F" w:rsidRDefault="4E2EA703" w:rsidP="4E2EA703">
      <w:pPr>
        <w:spacing w:line="276" w:lineRule="auto"/>
        <w:rPr>
          <w:rFonts w:ascii="Times New Roman" w:eastAsia="Times New Roman" w:hAnsi="Times New Roman" w:cs="Times New Roman"/>
        </w:rPr>
      </w:pPr>
      <w:r w:rsidRPr="4E2EA703">
        <w:rPr>
          <w:rFonts w:ascii="Times New Roman" w:eastAsia="Times New Roman" w:hAnsi="Times New Roman" w:cs="Times New Roman"/>
          <w:b/>
          <w:bCs/>
        </w:rPr>
        <w:t>Recommendation:</w:t>
      </w:r>
      <w:r w:rsidRPr="4E2EA703">
        <w:rPr>
          <w:rFonts w:ascii="Times New Roman" w:eastAsia="Times New Roman" w:hAnsi="Times New Roman" w:cs="Times New Roman"/>
        </w:rPr>
        <w:t xml:space="preserve"> DHS should explain how this information collection advances the objectives of the biometric entry-exit system as required by 8 U.S.C. § 1365b, including the improvement of tracking, identity verification, and data-sharing functions central to immigration enforcement and adjudication.</w:t>
      </w:r>
    </w:p>
    <w:p w14:paraId="736EA01D" w14:textId="334F4014" w:rsidR="0A65420F" w:rsidRDefault="0A65420F" w:rsidP="4E2EA703">
      <w:pPr>
        <w:spacing w:line="276" w:lineRule="auto"/>
        <w:rPr>
          <w:rFonts w:ascii="Times New Roman" w:eastAsia="Times New Roman" w:hAnsi="Times New Roman" w:cs="Times New Roman"/>
        </w:rPr>
      </w:pPr>
    </w:p>
    <w:p w14:paraId="7EF1EDA4" w14:textId="3F6DECC6" w:rsidR="0A65420F" w:rsidRDefault="4E2EA703" w:rsidP="4E2EA703">
      <w:pPr>
        <w:pStyle w:val="ListParagraph"/>
        <w:numPr>
          <w:ilvl w:val="1"/>
          <w:numId w:val="2"/>
        </w:numPr>
        <w:spacing w:line="276" w:lineRule="auto"/>
        <w:rPr>
          <w:rFonts w:ascii="Times New Roman" w:eastAsia="Times New Roman" w:hAnsi="Times New Roman" w:cs="Times New Roman"/>
          <w:b/>
          <w:bCs/>
        </w:rPr>
      </w:pPr>
      <w:r w:rsidRPr="4E2EA703">
        <w:rPr>
          <w:rFonts w:ascii="Times New Roman" w:eastAsia="Times New Roman" w:hAnsi="Times New Roman" w:cs="Times New Roman"/>
          <w:b/>
          <w:bCs/>
        </w:rPr>
        <w:t>Risk of Function Creep and Mission Expansion</w:t>
      </w:r>
    </w:p>
    <w:p w14:paraId="661F6C79" w14:textId="26DA2084" w:rsidR="0A65420F" w:rsidRDefault="0A65420F" w:rsidP="4E2EA703">
      <w:pPr>
        <w:pStyle w:val="ListParagraph"/>
        <w:spacing w:line="276" w:lineRule="auto"/>
        <w:ind w:left="1440"/>
        <w:rPr>
          <w:rFonts w:ascii="Times New Roman" w:eastAsia="Times New Roman" w:hAnsi="Times New Roman" w:cs="Times New Roman"/>
          <w:b/>
          <w:bCs/>
        </w:rPr>
      </w:pPr>
    </w:p>
    <w:p w14:paraId="6A079F30" w14:textId="1D1132AF" w:rsidR="0A65420F" w:rsidRDefault="4E2EA703" w:rsidP="4E2EA703">
      <w:pPr>
        <w:spacing w:after="160" w:line="276" w:lineRule="auto"/>
        <w:rPr>
          <w:rFonts w:ascii="Times New Roman" w:eastAsia="Times New Roman" w:hAnsi="Times New Roman" w:cs="Times New Roman"/>
        </w:rPr>
      </w:pPr>
      <w:r w:rsidRPr="4E2EA703">
        <w:rPr>
          <w:rFonts w:ascii="Times New Roman" w:eastAsia="Times New Roman" w:hAnsi="Times New Roman" w:cs="Times New Roman"/>
        </w:rPr>
        <w:t>Although the ICR is described as a research initiative, it permits the collection of highly sensitive biometric and biographic data—face, iris, palm print, voice—without restrictions on downstream use.</w:t>
      </w:r>
      <w:r w:rsidR="0A65420F" w:rsidRPr="4E2EA703">
        <w:rPr>
          <w:rStyle w:val="FootnoteReference"/>
          <w:rFonts w:ascii="Times New Roman" w:eastAsia="Times New Roman" w:hAnsi="Times New Roman" w:cs="Times New Roman"/>
        </w:rPr>
        <w:footnoteReference w:id="5"/>
      </w:r>
      <w:r w:rsidRPr="4E2EA703">
        <w:rPr>
          <w:rFonts w:ascii="Times New Roman" w:eastAsia="Times New Roman" w:hAnsi="Times New Roman" w:cs="Times New Roman"/>
        </w:rPr>
        <w:t xml:space="preserve"> In the absence of explicit limits, these data could be incorporated into DHS databases, shared across agencies, or used in enforcement contexts unrelated to the stated evaluation purpose.</w:t>
      </w:r>
    </w:p>
    <w:p w14:paraId="51C3C774" w14:textId="4D7EF159" w:rsidR="0A65420F" w:rsidRDefault="4E2EA703" w:rsidP="4E2EA703">
      <w:pPr>
        <w:spacing w:after="160" w:line="276" w:lineRule="auto"/>
        <w:rPr>
          <w:rFonts w:ascii="Times New Roman" w:eastAsia="Times New Roman" w:hAnsi="Times New Roman" w:cs="Times New Roman"/>
        </w:rPr>
      </w:pPr>
      <w:r w:rsidRPr="4E2EA703">
        <w:rPr>
          <w:rFonts w:ascii="Times New Roman" w:eastAsia="Times New Roman" w:hAnsi="Times New Roman" w:cs="Times New Roman"/>
          <w:b/>
          <w:bCs/>
        </w:rPr>
        <w:t>Recommendation:</w:t>
      </w:r>
      <w:r w:rsidRPr="4E2EA703">
        <w:rPr>
          <w:rFonts w:ascii="Times New Roman" w:eastAsia="Times New Roman" w:hAnsi="Times New Roman" w:cs="Times New Roman"/>
        </w:rPr>
        <w:t xml:space="preserve"> DHS should adopt and publicly disclose restrictions that prohibit the use of data collected under this ICR for operational, enforcement, or intelligence purposes unless expressly authorized and consented to by participants.</w:t>
      </w:r>
    </w:p>
    <w:p w14:paraId="3B73672E" w14:textId="1E32B218" w:rsidR="0A65420F" w:rsidRDefault="4E2EA703" w:rsidP="4E2EA703">
      <w:pPr>
        <w:pStyle w:val="ListParagraph"/>
        <w:numPr>
          <w:ilvl w:val="1"/>
          <w:numId w:val="2"/>
        </w:numPr>
        <w:spacing w:after="160" w:line="276" w:lineRule="auto"/>
        <w:rPr>
          <w:rFonts w:ascii="Times New Roman" w:eastAsia="Times New Roman" w:hAnsi="Times New Roman" w:cs="Times New Roman"/>
          <w:b/>
          <w:bCs/>
        </w:rPr>
      </w:pPr>
      <w:r w:rsidRPr="4E2EA703">
        <w:rPr>
          <w:rFonts w:ascii="Times New Roman" w:eastAsia="Times New Roman" w:hAnsi="Times New Roman" w:cs="Times New Roman"/>
          <w:b/>
          <w:bCs/>
        </w:rPr>
        <w:t>Lack of Transparency, Oversight, and Outcome Reporting</w:t>
      </w:r>
    </w:p>
    <w:p w14:paraId="5A5FA3B6" w14:textId="42EF1A39" w:rsidR="0A65420F" w:rsidRDefault="4E2EA703" w:rsidP="144D6457">
      <w:pPr>
        <w:spacing w:line="276" w:lineRule="auto"/>
        <w:rPr>
          <w:rFonts w:ascii="Times New Roman" w:eastAsia="Times New Roman" w:hAnsi="Times New Roman" w:cs="Times New Roman"/>
        </w:rPr>
      </w:pPr>
      <w:r w:rsidRPr="4E2EA703">
        <w:rPr>
          <w:rFonts w:ascii="Times New Roman" w:eastAsia="Times New Roman" w:hAnsi="Times New Roman" w:cs="Times New Roman"/>
        </w:rPr>
        <w:t>The ICR provides no mechanism for public reporting, independent review, or stakeholder engagement related to study outcomes. The biometric technologies under evaluation may have significant implications for accuracy, fairness, and due process in immigration proceedings, yet there is no assurance that the public or affected communities will have visibility into the results</w:t>
      </w:r>
      <w:r w:rsidRPr="144D6457">
        <w:rPr>
          <w:rFonts w:ascii="Times New Roman" w:eastAsia="Times New Roman" w:hAnsi="Times New Roman" w:cs="Times New Roman"/>
        </w:rPr>
        <w:t>.</w:t>
      </w:r>
      <w:r w:rsidR="0A65420F" w:rsidRPr="144D6457">
        <w:rPr>
          <w:rStyle w:val="FootnoteReference"/>
          <w:rFonts w:ascii="Times New Roman" w:eastAsia="Times New Roman" w:hAnsi="Times New Roman" w:cs="Times New Roman"/>
        </w:rPr>
        <w:footnoteReference w:id="6"/>
      </w:r>
    </w:p>
    <w:p w14:paraId="7E1DF41A" w14:textId="77777777" w:rsidR="006766DB" w:rsidRDefault="006766DB" w:rsidP="4E2EA703">
      <w:pPr>
        <w:spacing w:line="276" w:lineRule="auto"/>
        <w:rPr>
          <w:rFonts w:ascii="Times New Roman" w:eastAsia="Times New Roman" w:hAnsi="Times New Roman" w:cs="Times New Roman"/>
          <w:b/>
          <w:bCs/>
        </w:rPr>
      </w:pPr>
    </w:p>
    <w:p w14:paraId="564D1ECB" w14:textId="364131BD" w:rsidR="0A65420F" w:rsidRDefault="4E2EA703" w:rsidP="4E2EA703">
      <w:pPr>
        <w:spacing w:line="276" w:lineRule="auto"/>
        <w:rPr>
          <w:rFonts w:ascii="Times New Roman" w:eastAsia="Times New Roman" w:hAnsi="Times New Roman" w:cs="Times New Roman"/>
        </w:rPr>
      </w:pPr>
      <w:r w:rsidRPr="4E2EA703">
        <w:rPr>
          <w:rFonts w:ascii="Times New Roman" w:eastAsia="Times New Roman" w:hAnsi="Times New Roman" w:cs="Times New Roman"/>
          <w:b/>
          <w:bCs/>
        </w:rPr>
        <w:lastRenderedPageBreak/>
        <w:t>Recommendation:</w:t>
      </w:r>
      <w:r w:rsidRPr="4E2EA703">
        <w:rPr>
          <w:rFonts w:ascii="Times New Roman" w:eastAsia="Times New Roman" w:hAnsi="Times New Roman" w:cs="Times New Roman"/>
        </w:rPr>
        <w:t xml:space="preserve"> DHS should commit to publicly releasing summaries of study findings, disaggregated performance data, including by race, gender, and age, and any resulting policy implications. Independent expert review and civil society input should be incorporated into the assessment process.</w:t>
      </w:r>
    </w:p>
    <w:p w14:paraId="6BF6CE17" w14:textId="136913B7" w:rsidR="0A65420F" w:rsidRDefault="0A65420F" w:rsidP="4E2EA703">
      <w:pPr>
        <w:spacing w:line="276" w:lineRule="auto"/>
        <w:rPr>
          <w:rFonts w:ascii="Times New Roman" w:eastAsia="Times New Roman" w:hAnsi="Times New Roman" w:cs="Times New Roman"/>
        </w:rPr>
      </w:pPr>
    </w:p>
    <w:p w14:paraId="70F3CC61" w14:textId="7E5EA186" w:rsidR="0A65420F" w:rsidRDefault="4E2EA703" w:rsidP="4E2EA703">
      <w:pPr>
        <w:pStyle w:val="ListParagraph"/>
        <w:numPr>
          <w:ilvl w:val="1"/>
          <w:numId w:val="2"/>
        </w:numPr>
        <w:spacing w:line="276" w:lineRule="auto"/>
        <w:rPr>
          <w:rFonts w:ascii="Times New Roman" w:eastAsia="Times New Roman" w:hAnsi="Times New Roman" w:cs="Times New Roman"/>
          <w:b/>
          <w:bCs/>
        </w:rPr>
      </w:pPr>
      <w:r w:rsidRPr="4E2EA703">
        <w:rPr>
          <w:rFonts w:ascii="Times New Roman" w:eastAsia="Times New Roman" w:hAnsi="Times New Roman" w:cs="Times New Roman"/>
          <w:b/>
          <w:bCs/>
        </w:rPr>
        <w:t>Relevance to HART and DOGE Involvement</w:t>
      </w:r>
    </w:p>
    <w:p w14:paraId="383CD445" w14:textId="65F585C4" w:rsidR="0A65420F" w:rsidRDefault="4E2EA703" w:rsidP="4E2EA703">
      <w:pPr>
        <w:spacing w:line="276" w:lineRule="auto"/>
        <w:rPr>
          <w:rFonts w:ascii="Times New Roman" w:eastAsia="Times New Roman" w:hAnsi="Times New Roman" w:cs="Times New Roman"/>
        </w:rPr>
      </w:pPr>
      <w:r w:rsidRPr="4E2EA703">
        <w:rPr>
          <w:rFonts w:ascii="Times New Roman" w:eastAsia="Times New Roman" w:hAnsi="Times New Roman" w:cs="Times New Roman"/>
        </w:rPr>
        <w:t>Recent reporting indicates that the Department of Government Efficiency (DOGE) is now involved with OBIM and may influence the development or direction of the HART system</w:t>
      </w:r>
      <w:r w:rsidR="0A65420F" w:rsidRPr="4E2EA703">
        <w:rPr>
          <w:rStyle w:val="FootnoteReference"/>
          <w:rFonts w:ascii="Times New Roman" w:eastAsia="Times New Roman" w:hAnsi="Times New Roman" w:cs="Times New Roman"/>
        </w:rPr>
        <w:footnoteReference w:id="7"/>
      </w:r>
      <w:r w:rsidRPr="4E2EA703">
        <w:rPr>
          <w:rFonts w:ascii="Times New Roman" w:eastAsia="Times New Roman" w:hAnsi="Times New Roman" w:cs="Times New Roman"/>
        </w:rPr>
        <w:t>. If the ICR informs decisions about biometric infrastructure modernization, its purpose extends beyond sensor evaluation and must be scrutinized accordingly.</w:t>
      </w:r>
    </w:p>
    <w:p w14:paraId="7F420370" w14:textId="4DF2CBB0" w:rsidR="0A65420F" w:rsidRDefault="0A65420F" w:rsidP="4E2EA703">
      <w:pPr>
        <w:spacing w:line="276" w:lineRule="auto"/>
        <w:rPr>
          <w:rFonts w:ascii="Times New Roman" w:eastAsia="Times New Roman" w:hAnsi="Times New Roman" w:cs="Times New Roman"/>
          <w:b/>
          <w:bCs/>
        </w:rPr>
      </w:pPr>
    </w:p>
    <w:p w14:paraId="27D32C42" w14:textId="3B8F3832" w:rsidR="0A65420F" w:rsidRDefault="4E2EA703" w:rsidP="4E2EA703">
      <w:pPr>
        <w:spacing w:line="276" w:lineRule="auto"/>
        <w:rPr>
          <w:rFonts w:ascii="Times New Roman" w:eastAsia="Times New Roman" w:hAnsi="Times New Roman" w:cs="Times New Roman"/>
        </w:rPr>
      </w:pPr>
      <w:r w:rsidRPr="4E2EA703">
        <w:rPr>
          <w:rFonts w:ascii="Times New Roman" w:eastAsia="Times New Roman" w:hAnsi="Times New Roman" w:cs="Times New Roman"/>
          <w:b/>
          <w:bCs/>
        </w:rPr>
        <w:t>Recommendation:</w:t>
      </w:r>
      <w:r w:rsidRPr="4E2EA703">
        <w:rPr>
          <w:rFonts w:ascii="Times New Roman" w:eastAsia="Times New Roman" w:hAnsi="Times New Roman" w:cs="Times New Roman"/>
        </w:rPr>
        <w:t xml:space="preserve"> DHS should confirm whether data collected under this ICR will be used to inform DOGE-led initiatives or HART implementation. If so, the ICR should be updated to reflect its broader strategic purpose and subject to appropriate review.</w:t>
      </w:r>
    </w:p>
    <w:p w14:paraId="75014367" w14:textId="5AC503AB" w:rsidR="0A65420F" w:rsidRDefault="0A65420F" w:rsidP="4E2EA703">
      <w:pPr>
        <w:spacing w:line="276" w:lineRule="auto"/>
        <w:rPr>
          <w:rFonts w:ascii="Times New Roman" w:eastAsia="Times New Roman" w:hAnsi="Times New Roman" w:cs="Times New Roman"/>
        </w:rPr>
      </w:pPr>
    </w:p>
    <w:p w14:paraId="616F208F" w14:textId="65DE35DD" w:rsidR="0A65420F" w:rsidRDefault="4E2EA703" w:rsidP="4E2EA703">
      <w:pPr>
        <w:pStyle w:val="ListParagraph"/>
        <w:numPr>
          <w:ilvl w:val="0"/>
          <w:numId w:val="2"/>
        </w:numPr>
        <w:spacing w:line="276" w:lineRule="auto"/>
        <w:rPr>
          <w:rFonts w:ascii="Times New Roman" w:eastAsia="Times New Roman" w:hAnsi="Times New Roman" w:cs="Times New Roman"/>
          <w:b/>
          <w:bCs/>
        </w:rPr>
      </w:pPr>
      <w:r w:rsidRPr="4E2EA703">
        <w:rPr>
          <w:rFonts w:ascii="Times New Roman" w:eastAsia="Times New Roman" w:hAnsi="Times New Roman" w:cs="Times New Roman"/>
          <w:b/>
          <w:bCs/>
        </w:rPr>
        <w:t>What Assurances Exist to Review and Appeal the Accuracy of Data?</w:t>
      </w:r>
    </w:p>
    <w:p w14:paraId="49F9CE50" w14:textId="2B195908" w:rsidR="0A65420F" w:rsidRDefault="0A65420F" w:rsidP="4E2EA703">
      <w:pPr>
        <w:spacing w:line="276" w:lineRule="auto"/>
        <w:rPr>
          <w:rFonts w:ascii="Times New Roman" w:eastAsia="Times New Roman" w:hAnsi="Times New Roman" w:cs="Times New Roman"/>
          <w:color w:val="000000" w:themeColor="text1"/>
        </w:rPr>
      </w:pPr>
    </w:p>
    <w:p w14:paraId="067C9385" w14:textId="0D7A9FEE" w:rsidR="0A65420F" w:rsidRDefault="4E2EA703" w:rsidP="4E2EA703">
      <w:pPr>
        <w:spacing w:line="276" w:lineRule="auto"/>
        <w:rPr>
          <w:rFonts w:ascii="Times New Roman" w:eastAsia="Times New Roman" w:hAnsi="Times New Roman" w:cs="Times New Roman"/>
          <w:color w:val="000000" w:themeColor="text1"/>
        </w:rPr>
      </w:pPr>
      <w:r w:rsidRPr="623301DF">
        <w:rPr>
          <w:rFonts w:ascii="Times New Roman" w:eastAsia="Times New Roman" w:hAnsi="Times New Roman" w:cs="Times New Roman"/>
          <w:color w:val="000000" w:themeColor="text1"/>
        </w:rPr>
        <w:t>By statute, DHS must provide individuals whose biometric data has been collected with a procedure to seek corrections of such data maintained by DHS and to appeal the outcome of requests to correct the same.</w:t>
      </w:r>
      <w:r w:rsidR="0A65420F" w:rsidRPr="623301DF">
        <w:rPr>
          <w:rStyle w:val="FootnoteReference"/>
          <w:rFonts w:ascii="Times New Roman" w:eastAsia="Times New Roman" w:hAnsi="Times New Roman" w:cs="Times New Roman"/>
          <w:color w:val="000000" w:themeColor="text1"/>
        </w:rPr>
        <w:footnoteReference w:id="8"/>
      </w:r>
      <w:r w:rsidRPr="623301DF">
        <w:rPr>
          <w:rFonts w:ascii="Times New Roman" w:eastAsia="Times New Roman" w:hAnsi="Times New Roman" w:cs="Times New Roman"/>
          <w:color w:val="000000" w:themeColor="text1"/>
        </w:rPr>
        <w:t xml:space="preserve"> Further, DHS is required to operate a clearinghouse to centralize and streamline the process for individuals to seek such corrections.</w:t>
      </w:r>
      <w:r w:rsidR="0A65420F" w:rsidRPr="623301DF">
        <w:rPr>
          <w:rStyle w:val="FootnoteReference"/>
          <w:rFonts w:ascii="Times New Roman" w:eastAsia="Times New Roman" w:hAnsi="Times New Roman" w:cs="Times New Roman"/>
          <w:color w:val="000000" w:themeColor="text1"/>
        </w:rPr>
        <w:footnoteReference w:id="9"/>
      </w:r>
      <w:r w:rsidRPr="623301DF">
        <w:rPr>
          <w:rFonts w:ascii="Times New Roman" w:eastAsia="Times New Roman" w:hAnsi="Times New Roman" w:cs="Times New Roman"/>
          <w:color w:val="000000" w:themeColor="text1"/>
        </w:rPr>
        <w:t xml:space="preserve">  The ICR, however, makes no mention of these data correction and appeals processes. In fact, there are no references at all for how the data collected by OBIM and study performers from such research studies will be stored, who will have access to it, or even whether it would be segregated from or integrated into existing DHS biometrics systems that are already operational. Without a clear description in the ICR of the DHS’ proposed use of the data collected in the planned studies, it is impossible to determine which statutory data correction and appeal rights would apply. It is critical that subjects of the study have clear information in advance of their participation regarding how their data will be both stored and used, and just as important, how they can review the data to ensure accuracy, and where necessary, to make any corrections.</w:t>
      </w:r>
    </w:p>
    <w:p w14:paraId="2FF69ED9" w14:textId="49AAEA9B" w:rsidR="0A65420F" w:rsidRDefault="0A65420F" w:rsidP="4E2EA703">
      <w:pPr>
        <w:spacing w:line="276" w:lineRule="auto"/>
        <w:rPr>
          <w:rFonts w:ascii="Times New Roman" w:eastAsia="Times New Roman" w:hAnsi="Times New Roman" w:cs="Times New Roman"/>
          <w:b/>
          <w:bCs/>
          <w:color w:val="000000" w:themeColor="text1"/>
        </w:rPr>
      </w:pPr>
    </w:p>
    <w:p w14:paraId="0032103B" w14:textId="69376399" w:rsidR="0A65420F" w:rsidRDefault="4E2EA703" w:rsidP="4E2EA703">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b/>
          <w:bCs/>
          <w:color w:val="000000" w:themeColor="text1"/>
        </w:rPr>
        <w:t>Recommendation</w:t>
      </w:r>
      <w:r w:rsidRPr="4E2EA703">
        <w:rPr>
          <w:rFonts w:ascii="Times New Roman" w:eastAsia="Times New Roman" w:hAnsi="Times New Roman" w:cs="Times New Roman"/>
          <w:color w:val="000000" w:themeColor="text1"/>
        </w:rPr>
        <w:t xml:space="preserve">: DHS should provide a well-defined description of the plans for storage and use of the biometric data collected from these research studies and, if the data is ever to be used in “live” systems, provide participants with clear instructions to access, seek correction of, and appeal any of their data collected by the studies per the statutory mandate at 8 USC 1365b(f)(4) and (5). AILA advocates for clear descriptions of the proposed study data collection, access and </w:t>
      </w:r>
      <w:r w:rsidRPr="4E2EA703">
        <w:rPr>
          <w:rFonts w:ascii="Times New Roman" w:eastAsia="Times New Roman" w:hAnsi="Times New Roman" w:cs="Times New Roman"/>
          <w:color w:val="000000" w:themeColor="text1"/>
        </w:rPr>
        <w:lastRenderedPageBreak/>
        <w:t xml:space="preserve">storage rubrics so that study participants </w:t>
      </w:r>
      <w:proofErr w:type="gramStart"/>
      <w:r w:rsidRPr="4E2EA703">
        <w:rPr>
          <w:rFonts w:ascii="Times New Roman" w:eastAsia="Times New Roman" w:hAnsi="Times New Roman" w:cs="Times New Roman"/>
          <w:color w:val="000000" w:themeColor="text1"/>
        </w:rPr>
        <w:t xml:space="preserve">are able </w:t>
      </w:r>
      <w:r w:rsidRPr="4E2EA703">
        <w:rPr>
          <w:rFonts w:ascii="Times New Roman" w:eastAsia="Times New Roman" w:hAnsi="Times New Roman" w:cs="Times New Roman"/>
          <w:color w:val="000000" w:themeColor="text1"/>
        </w:rPr>
        <w:t>to</w:t>
      </w:r>
      <w:proofErr w:type="gramEnd"/>
      <w:r w:rsidRPr="4E2EA703">
        <w:rPr>
          <w:rFonts w:ascii="Times New Roman" w:eastAsia="Times New Roman" w:hAnsi="Times New Roman" w:cs="Times New Roman"/>
          <w:color w:val="000000" w:themeColor="text1"/>
        </w:rPr>
        <w:t xml:space="preserve"> </w:t>
      </w:r>
      <w:r w:rsidRPr="4E2EA703">
        <w:rPr>
          <w:rFonts w:ascii="Times New Roman" w:eastAsia="Times New Roman" w:hAnsi="Times New Roman" w:cs="Times New Roman"/>
          <w:color w:val="000000" w:themeColor="text1"/>
        </w:rPr>
        <w:t>participate with informed consent and clear, fair, and timely processes for individuals to access their data and request necessary corrections.</w:t>
      </w:r>
    </w:p>
    <w:p w14:paraId="0F52E1B4" w14:textId="58070DBB" w:rsidR="0A65420F" w:rsidRDefault="0A65420F" w:rsidP="4E2EA703">
      <w:pPr>
        <w:spacing w:line="276" w:lineRule="auto"/>
        <w:rPr>
          <w:rFonts w:ascii="Times New Roman" w:eastAsia="Times New Roman" w:hAnsi="Times New Roman" w:cs="Times New Roman"/>
          <w:color w:val="000000" w:themeColor="text1"/>
        </w:rPr>
      </w:pPr>
    </w:p>
    <w:p w14:paraId="10F9A666" w14:textId="16ECCF08" w:rsidR="0A65420F" w:rsidRDefault="4E2EA703" w:rsidP="4E2EA703">
      <w:pPr>
        <w:pStyle w:val="ListParagraph"/>
        <w:numPr>
          <w:ilvl w:val="0"/>
          <w:numId w:val="2"/>
        </w:numPr>
        <w:spacing w:line="276" w:lineRule="auto"/>
        <w:rPr>
          <w:rFonts w:ascii="Times New Roman" w:eastAsia="Times New Roman" w:hAnsi="Times New Roman" w:cs="Times New Roman"/>
          <w:b/>
          <w:bCs/>
          <w:color w:val="000000" w:themeColor="text1"/>
        </w:rPr>
      </w:pPr>
      <w:r w:rsidRPr="4E2EA703">
        <w:rPr>
          <w:rFonts w:ascii="Times New Roman" w:eastAsia="Times New Roman" w:hAnsi="Times New Roman" w:cs="Times New Roman"/>
          <w:b/>
          <w:bCs/>
          <w:color w:val="000000" w:themeColor="text1"/>
        </w:rPr>
        <w:t>What Privacy Compliance Measures Will Be Taken?</w:t>
      </w:r>
    </w:p>
    <w:p w14:paraId="54A74748" w14:textId="15ADA508" w:rsidR="0A65420F" w:rsidRDefault="0A65420F" w:rsidP="4E2EA703">
      <w:pPr>
        <w:spacing w:line="276" w:lineRule="auto"/>
        <w:rPr>
          <w:rFonts w:ascii="Times New Roman" w:eastAsia="Times New Roman" w:hAnsi="Times New Roman" w:cs="Times New Roman"/>
          <w:color w:val="000000" w:themeColor="text1"/>
        </w:rPr>
      </w:pPr>
    </w:p>
    <w:p w14:paraId="79201F84" w14:textId="345628A8" w:rsidR="0A65420F" w:rsidRDefault="4E2EA703" w:rsidP="4E2EA703">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AILA urges DHS to ensure that all resources acquired pursuant to this notice undergo rigorous vetting processes to guarantee robust safeguards for the personal data and biometrics of data subjects. Given the sensitive nature of biometric information, it is imperative that OBIM take comprehensive security measures to prevent inadvertent or unauthorized disclosure, misuse, or access by unauthorized parties.</w:t>
      </w:r>
    </w:p>
    <w:p w14:paraId="05EB952D" w14:textId="776AC048" w:rsidR="0A65420F" w:rsidRDefault="0A65420F" w:rsidP="4E2EA703">
      <w:pPr>
        <w:spacing w:line="276" w:lineRule="auto"/>
        <w:rPr>
          <w:rFonts w:ascii="Times New Roman" w:eastAsia="Times New Roman" w:hAnsi="Times New Roman" w:cs="Times New Roman"/>
          <w:color w:val="000000" w:themeColor="text1"/>
        </w:rPr>
      </w:pPr>
    </w:p>
    <w:p w14:paraId="0C15C1F5" w14:textId="54FAF2BD" w:rsidR="0A65420F" w:rsidRDefault="4E2EA703" w:rsidP="4E2EA703">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We emphasize the necessity for DHS to maintain transparency in these efforts, providing clear communication about the policies, procedures, and technological protections employed to secure biometric data, to the extent such disclosure does not compromise national security. Transparency fosters public trust and accountability, which are essential when handling such critical personal information.</w:t>
      </w:r>
    </w:p>
    <w:p w14:paraId="5C1B91E1" w14:textId="43E38C01" w:rsidR="0A65420F" w:rsidRDefault="0A65420F" w:rsidP="4E2EA703">
      <w:pPr>
        <w:spacing w:line="276" w:lineRule="auto"/>
        <w:rPr>
          <w:rFonts w:ascii="Times New Roman" w:eastAsia="Times New Roman" w:hAnsi="Times New Roman" w:cs="Times New Roman"/>
          <w:color w:val="000000" w:themeColor="text1"/>
        </w:rPr>
      </w:pPr>
    </w:p>
    <w:p w14:paraId="2941B3F2" w14:textId="2DAAECCA" w:rsidR="0A65420F" w:rsidRDefault="4E2EA703" w:rsidP="4E2EA703">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In this ICR, OBIM noted performers with whom it would be cooperating, such as John Hopkins University of Applied Physic Laboratory (JHU APL), National Institute of Standards Technology (NIST), and DHS Science and Technology (S&amp;T). AILA appreciates the collaboration that OBIM would be taking to ensure use of the latest technological data collection methods but cautions that all performers should be properly screened to ensure maximum data security and to avoid data breaches.</w:t>
      </w:r>
    </w:p>
    <w:p w14:paraId="34CDF4BB" w14:textId="36EAF66F" w:rsidR="0A65420F" w:rsidRDefault="0A65420F" w:rsidP="4E2EA703">
      <w:pPr>
        <w:spacing w:line="276" w:lineRule="auto"/>
        <w:rPr>
          <w:rFonts w:ascii="Times New Roman" w:eastAsia="Times New Roman" w:hAnsi="Times New Roman" w:cs="Times New Roman"/>
          <w:color w:val="000000" w:themeColor="text1"/>
        </w:rPr>
      </w:pPr>
    </w:p>
    <w:p w14:paraId="18A1B7B2" w14:textId="7C37B88B" w:rsidR="0A65420F" w:rsidRDefault="4E2EA703" w:rsidP="00B01811">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Furthermore, AILA highlights the importance of compliance not only with U.S. laws</w:t>
      </w:r>
      <w:r w:rsidRPr="4E2EA703">
        <w:rPr>
          <w:rFonts w:ascii="Times New Roman" w:eastAsia="Times New Roman" w:hAnsi="Times New Roman" w:cs="Times New Roman"/>
          <w:color w:val="000000" w:themeColor="text1"/>
        </w:rPr>
        <w:t>,</w:t>
      </w:r>
      <w:r w:rsidRPr="4E2EA703">
        <w:rPr>
          <w:rFonts w:ascii="Times New Roman" w:eastAsia="Times New Roman" w:hAnsi="Times New Roman" w:cs="Times New Roman"/>
          <w:color w:val="000000" w:themeColor="text1"/>
        </w:rPr>
        <w:t xml:space="preserve"> including the Privacy Act of 1974, the E-Government Act of 2002, the Homeland Security Act of 2002, and the DHS ISE Privacy Protection Policy, but also with a broad range of global data privacy laws. There are over 100 jurisdictions worldwide with data protection regulations, covering principles such as lawful, fair, and transparent processing; data minimization; purpose limitation; accuracy; and security and confidentiality of personal data. These laws vary in scope but share the common goal of protecting individual rights and controlling the use of personal data. Notably, beyond the European Union’s General Data Protection Regulation (GDPR), countries including Brazil, India, Japan, Singapore, South Africa, Kenya, and China have enacted or proposed comprehensive data privacy frameworks. These laws address various aspects of data collection, storage, processing, and transfer, often imposing strict consent requirements and enforcement mechanisms.</w:t>
      </w:r>
    </w:p>
    <w:p w14:paraId="754CEEE4" w14:textId="01A0449E" w:rsidR="0A65420F" w:rsidRDefault="0A65420F" w:rsidP="00B01811">
      <w:pPr>
        <w:spacing w:line="276" w:lineRule="auto"/>
        <w:rPr>
          <w:rFonts w:ascii="Times New Roman" w:eastAsia="Times New Roman" w:hAnsi="Times New Roman" w:cs="Times New Roman"/>
          <w:b/>
          <w:bCs/>
          <w:color w:val="000000" w:themeColor="text1"/>
        </w:rPr>
      </w:pPr>
    </w:p>
    <w:p w14:paraId="3F970EF7" w14:textId="0C205432" w:rsidR="0A65420F" w:rsidRDefault="4E2EA703" w:rsidP="00B01811">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b/>
          <w:bCs/>
          <w:color w:val="000000" w:themeColor="text1"/>
        </w:rPr>
        <w:t xml:space="preserve">Recommendation: </w:t>
      </w:r>
      <w:r w:rsidRPr="4E2EA703">
        <w:rPr>
          <w:rFonts w:ascii="Times New Roman" w:eastAsia="Times New Roman" w:hAnsi="Times New Roman" w:cs="Times New Roman"/>
          <w:color w:val="000000" w:themeColor="text1"/>
        </w:rPr>
        <w:t>DHS should align its practices accordingly to uphold the highest standards of data protection and respect for individual rights globally, recognizing the extraterritorial impact of many of these laws. AILA recommends that DHS:</w:t>
      </w:r>
    </w:p>
    <w:p w14:paraId="6EB71C0B" w14:textId="27541F68" w:rsidR="0A65420F" w:rsidRDefault="4E2EA703" w:rsidP="4E2EA703">
      <w:pPr>
        <w:pStyle w:val="ListParagraph"/>
        <w:numPr>
          <w:ilvl w:val="0"/>
          <w:numId w:val="1"/>
        </w:num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lastRenderedPageBreak/>
        <w:t>Vet all biometric technology acquisitions thoroughly to ensure they incorporate state-of-the-art data security safeguards.</w:t>
      </w:r>
    </w:p>
    <w:p w14:paraId="6364DFE5" w14:textId="6C624C2F" w:rsidR="0A65420F" w:rsidRDefault="4E2EA703" w:rsidP="4E2EA703">
      <w:pPr>
        <w:pStyle w:val="ListParagraph"/>
        <w:numPr>
          <w:ilvl w:val="0"/>
          <w:numId w:val="1"/>
        </w:num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Implement and enforce strict controls to prevent unauthorized or inadvertent disclosure and misuse of personal and biometric data.</w:t>
      </w:r>
    </w:p>
    <w:p w14:paraId="733D97E9" w14:textId="267C8DB7" w:rsidR="0A65420F" w:rsidRDefault="4E2EA703" w:rsidP="4E2EA703">
      <w:pPr>
        <w:pStyle w:val="ListParagraph"/>
        <w:numPr>
          <w:ilvl w:val="0"/>
          <w:numId w:val="1"/>
        </w:num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Ensure transparency through regular reporting and clear communication regarding data protection measures.</w:t>
      </w:r>
    </w:p>
    <w:p w14:paraId="32267851" w14:textId="0EDF973B" w:rsidR="0A65420F" w:rsidRDefault="4E2EA703" w:rsidP="4E2EA703">
      <w:pPr>
        <w:pStyle w:val="ListParagraph"/>
        <w:numPr>
          <w:ilvl w:val="0"/>
          <w:numId w:val="1"/>
        </w:num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Align data handling and privacy practices with both U.S. legal requirements and internationally recognized standards, including GDPR and other major global data privacy laws.</w:t>
      </w:r>
    </w:p>
    <w:p w14:paraId="56DA57F8" w14:textId="08EFE01A" w:rsidR="0A65420F" w:rsidRDefault="4E2EA703" w:rsidP="4E2EA703">
      <w:pPr>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These steps are vital to protect the privacy and civil liberties of individuals whose biometric data DHS collects and manages, thereby supporting the integrity and legitimacy of DHS’s biometric identity management programs.</w:t>
      </w:r>
    </w:p>
    <w:p w14:paraId="7F8FFABB" w14:textId="2A39C50D" w:rsidR="0A65420F" w:rsidRDefault="0A65420F" w:rsidP="4E2EA703">
      <w:pPr>
        <w:pStyle w:val="ListParagraph"/>
        <w:spacing w:line="276" w:lineRule="auto"/>
        <w:rPr>
          <w:rFonts w:ascii="Times New Roman" w:eastAsia="Times New Roman" w:hAnsi="Times New Roman" w:cs="Times New Roman"/>
          <w:color w:val="000000" w:themeColor="text1"/>
        </w:rPr>
      </w:pPr>
    </w:p>
    <w:p w14:paraId="7CA19152" w14:textId="236DB621" w:rsidR="0A65420F" w:rsidRDefault="4E2EA703" w:rsidP="4E2EA703">
      <w:pPr>
        <w:pStyle w:val="ListParagraph"/>
        <w:numPr>
          <w:ilvl w:val="0"/>
          <w:numId w:val="2"/>
        </w:numPr>
        <w:spacing w:line="276" w:lineRule="auto"/>
        <w:rPr>
          <w:rFonts w:ascii="Times New Roman" w:eastAsia="Times New Roman" w:hAnsi="Times New Roman" w:cs="Times New Roman"/>
          <w:b/>
          <w:bCs/>
          <w:color w:val="000000" w:themeColor="text1"/>
        </w:rPr>
      </w:pPr>
      <w:r w:rsidRPr="4E2EA703">
        <w:rPr>
          <w:rFonts w:ascii="Times New Roman" w:eastAsia="Times New Roman" w:hAnsi="Times New Roman" w:cs="Times New Roman"/>
          <w:b/>
          <w:bCs/>
          <w:color w:val="000000" w:themeColor="text1"/>
        </w:rPr>
        <w:t>Conclusion</w:t>
      </w:r>
    </w:p>
    <w:p w14:paraId="4B851EA5" w14:textId="1FFAE5D4" w:rsidR="0A65420F" w:rsidRDefault="0A65420F" w:rsidP="4E2EA703">
      <w:pPr>
        <w:pStyle w:val="ListParagraph"/>
        <w:spacing w:line="276" w:lineRule="auto"/>
        <w:rPr>
          <w:rFonts w:ascii="Times New Roman" w:eastAsia="Times New Roman" w:hAnsi="Times New Roman" w:cs="Times New Roman"/>
          <w:color w:val="000000" w:themeColor="text1"/>
        </w:rPr>
      </w:pPr>
    </w:p>
    <w:p w14:paraId="2F26E59B" w14:textId="64B25AAE" w:rsidR="0A65420F" w:rsidRDefault="75313D17" w:rsidP="75313D17">
      <w:pPr>
        <w:spacing w:line="276" w:lineRule="auto"/>
        <w:rPr>
          <w:rFonts w:ascii="Times New Roman" w:eastAsia="Times New Roman" w:hAnsi="Times New Roman" w:cs="Times New Roman"/>
          <w:color w:val="000000" w:themeColor="text1"/>
        </w:rPr>
      </w:pPr>
      <w:r w:rsidRPr="75313D17">
        <w:rPr>
          <w:rFonts w:ascii="Times New Roman" w:eastAsia="Times New Roman" w:hAnsi="Times New Roman" w:cs="Times New Roman"/>
          <w:color w:val="000000" w:themeColor="text1"/>
        </w:rPr>
        <w:t>AILA agrees that the collection of biometric information, to the extent supported by statutory requirements and privacy compliance, is necessary and commends the OBIM for engaging in research of advanced and update methods to achieve their goals. AILA encourages OBIM however to be clear about the scope of their activities and to ensure privacy and due process rights of the individual subjects.</w:t>
      </w:r>
    </w:p>
    <w:p w14:paraId="7FBF8996" w14:textId="7FCA239B" w:rsidR="0A65420F" w:rsidRDefault="0A65420F" w:rsidP="4E2EA703">
      <w:pPr>
        <w:pStyle w:val="ListParagraph"/>
        <w:spacing w:line="276" w:lineRule="auto"/>
        <w:rPr>
          <w:rFonts w:ascii="Times New Roman" w:eastAsia="Times New Roman" w:hAnsi="Times New Roman" w:cs="Times New Roman"/>
          <w:color w:val="000000" w:themeColor="text1"/>
        </w:rPr>
      </w:pPr>
    </w:p>
    <w:p w14:paraId="0FF52FD1" w14:textId="77362CA2" w:rsidR="0A65420F" w:rsidRDefault="4E2EA703" w:rsidP="4E2EA703">
      <w:pPr>
        <w:pStyle w:val="ListParagraph"/>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Respectfully submitted,</w:t>
      </w:r>
    </w:p>
    <w:p w14:paraId="70105C3F" w14:textId="6BEA1D2F" w:rsidR="0A65420F" w:rsidRDefault="0A65420F" w:rsidP="4E2EA703">
      <w:pPr>
        <w:pStyle w:val="ListParagraph"/>
        <w:spacing w:line="276" w:lineRule="auto"/>
        <w:rPr>
          <w:rFonts w:ascii="Times New Roman" w:eastAsia="Times New Roman" w:hAnsi="Times New Roman" w:cs="Times New Roman"/>
          <w:color w:val="000000" w:themeColor="text1"/>
        </w:rPr>
      </w:pPr>
    </w:p>
    <w:p w14:paraId="5BC3CB82" w14:textId="5DD9AB18" w:rsidR="0A65420F" w:rsidRDefault="4E2EA703" w:rsidP="4E2EA703">
      <w:pPr>
        <w:pStyle w:val="ListParagraph"/>
        <w:spacing w:line="276" w:lineRule="auto"/>
        <w:rPr>
          <w:rFonts w:ascii="Times New Roman" w:eastAsia="Times New Roman" w:hAnsi="Times New Roman" w:cs="Times New Roman"/>
          <w:color w:val="000000" w:themeColor="text1"/>
        </w:rPr>
      </w:pPr>
      <w:r w:rsidRPr="4E2EA703">
        <w:rPr>
          <w:rFonts w:ascii="Times New Roman" w:eastAsia="Times New Roman" w:hAnsi="Times New Roman" w:cs="Times New Roman"/>
          <w:color w:val="000000" w:themeColor="text1"/>
        </w:rPr>
        <w:t>American Immigration Lawyers Association</w:t>
      </w:r>
    </w:p>
    <w:sectPr w:rsidR="0A65420F" w:rsidSect="00EE6E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CF80" w14:textId="77777777" w:rsidR="00493716" w:rsidRDefault="00493716">
      <w:r>
        <w:separator/>
      </w:r>
    </w:p>
  </w:endnote>
  <w:endnote w:type="continuationSeparator" w:id="0">
    <w:p w14:paraId="4FBFB926" w14:textId="77777777" w:rsidR="00493716" w:rsidRDefault="0049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1678" w14:textId="77777777" w:rsidR="00493716" w:rsidRDefault="00493716">
      <w:r>
        <w:separator/>
      </w:r>
    </w:p>
  </w:footnote>
  <w:footnote w:type="continuationSeparator" w:id="0">
    <w:p w14:paraId="574D1819" w14:textId="77777777" w:rsidR="00493716" w:rsidRDefault="00493716">
      <w:r>
        <w:continuationSeparator/>
      </w:r>
    </w:p>
  </w:footnote>
  <w:footnote w:id="1">
    <w:p w14:paraId="42942AD4" w14:textId="6E3EC402" w:rsidR="0A65420F" w:rsidRDefault="0A65420F" w:rsidP="0A65420F">
      <w:pPr>
        <w:pStyle w:val="FootnoteText"/>
      </w:pPr>
      <w:r w:rsidRPr="0A65420F">
        <w:rPr>
          <w:rStyle w:val="FootnoteReference"/>
        </w:rPr>
        <w:footnoteRef/>
      </w:r>
      <w:r>
        <w:t xml:space="preserve"> </w:t>
      </w:r>
      <w:r w:rsidRPr="0A65420F">
        <w:rPr>
          <w:rFonts w:ascii="Times New Roman" w:eastAsia="Times New Roman" w:hAnsi="Times New Roman" w:cs="Times New Roman"/>
        </w:rPr>
        <w:t>90 FR 18989</w:t>
      </w:r>
      <w:r w:rsidRPr="0A65420F">
        <w:rPr>
          <w:rFonts w:ascii="Times New Roman" w:eastAsia="Times New Roman" w:hAnsi="Times New Roman" w:cs="Times New Roman"/>
        </w:rPr>
        <w:t xml:space="preserve"> (May 5, 2925</w:t>
      </w:r>
      <w:r w:rsidR="00B01811">
        <w:rPr>
          <w:rFonts w:ascii="Times New Roman" w:eastAsia="Times New Roman" w:hAnsi="Times New Roman" w:cs="Times New Roman"/>
        </w:rPr>
        <w:t>)</w:t>
      </w:r>
      <w:r w:rsidRPr="0A65420F">
        <w:rPr>
          <w:rFonts w:ascii="Times New Roman" w:eastAsia="Times New Roman" w:hAnsi="Times New Roman" w:cs="Times New Roman"/>
        </w:rPr>
        <w:t>.</w:t>
      </w:r>
    </w:p>
  </w:footnote>
  <w:footnote w:id="2">
    <w:p w14:paraId="662CE649" w14:textId="07F35A42" w:rsidR="4E2EA703" w:rsidRDefault="4E2EA703" w:rsidP="4E2EA703">
      <w:pPr>
        <w:pStyle w:val="FootnoteText"/>
      </w:pPr>
      <w:r w:rsidRPr="4E2EA703">
        <w:rPr>
          <w:rStyle w:val="FootnoteReference"/>
        </w:rPr>
        <w:footnoteRef/>
      </w:r>
      <w:r>
        <w:t xml:space="preserve"> </w:t>
      </w:r>
      <w:r w:rsidRPr="4E2EA703">
        <w:rPr>
          <w:rFonts w:ascii="Times New Roman" w:eastAsia="Times New Roman" w:hAnsi="Times New Roman" w:cs="Times New Roman"/>
        </w:rPr>
        <w:t xml:space="preserve">Department of Homeland Security, </w:t>
      </w:r>
      <w:r w:rsidRPr="4E2EA703">
        <w:rPr>
          <w:rFonts w:ascii="Times New Roman" w:eastAsia="Times New Roman" w:hAnsi="Times New Roman" w:cs="Times New Roman"/>
          <w:i/>
          <w:iCs/>
        </w:rPr>
        <w:t>Privacy Impact Assessment Update for the Homeland Advanced Recognition Technology (HART) System</w:t>
      </w:r>
      <w:r w:rsidRPr="4E2EA703">
        <w:rPr>
          <w:rFonts w:ascii="Times New Roman" w:eastAsia="Times New Roman" w:hAnsi="Times New Roman" w:cs="Times New Roman"/>
        </w:rPr>
        <w:t xml:space="preserve">, DHS/OBIM/PIA-004(a) (Aug. 14, 2024), </w:t>
      </w:r>
      <w:hyperlink r:id="rId1">
        <w:r w:rsidRPr="4E2EA703">
          <w:rPr>
            <w:rStyle w:val="Hyperlink"/>
            <w:rFonts w:ascii="Times New Roman" w:eastAsia="Times New Roman" w:hAnsi="Times New Roman" w:cs="Times New Roman"/>
            <w:color w:val="467886"/>
          </w:rPr>
          <w:t>https://www.dhs.gov/privacy-documents-office-biometric-identity-management-obim</w:t>
        </w:r>
      </w:hyperlink>
      <w:r w:rsidRPr="4E2EA703">
        <w:rPr>
          <w:rFonts w:ascii="Times New Roman" w:eastAsia="Times New Roman" w:hAnsi="Times New Roman" w:cs="Times New Roman"/>
        </w:rPr>
        <w:t>.</w:t>
      </w:r>
    </w:p>
  </w:footnote>
  <w:footnote w:id="3">
    <w:p w14:paraId="065A272A" w14:textId="15413BFE" w:rsidR="623301DF" w:rsidRDefault="623301DF" w:rsidP="00B01811">
      <w:pPr>
        <w:pStyle w:val="FootnoteText"/>
      </w:pPr>
      <w:r w:rsidRPr="623301DF">
        <w:rPr>
          <w:rStyle w:val="FootnoteReference"/>
        </w:rPr>
        <w:footnoteRef/>
      </w:r>
      <w:r>
        <w:t xml:space="preserve"> </w:t>
      </w:r>
      <w:r w:rsidRPr="00B01811">
        <w:rPr>
          <w:rFonts w:ascii="Times New Roman" w:hAnsi="Times New Roman" w:cs="Times New Roman"/>
          <w:i/>
          <w:iCs/>
        </w:rPr>
        <w:t xml:space="preserve">See </w:t>
      </w:r>
      <w:r w:rsidRPr="00B01811">
        <w:rPr>
          <w:rFonts w:ascii="Times New Roman" w:hAnsi="Times New Roman" w:cs="Times New Roman"/>
        </w:rPr>
        <w:t xml:space="preserve">the Harvard Griffin GSAS Science Policy Group’s article on </w:t>
      </w:r>
      <w:hyperlink r:id="rId2" w:history="1">
        <w:r w:rsidRPr="00B01811">
          <w:rPr>
            <w:rStyle w:val="Hyperlink"/>
            <w:rFonts w:ascii="Times New Roman" w:hAnsi="Times New Roman" w:cs="Times New Roman"/>
          </w:rPr>
          <w:t>“Racial Discrimination in Face Recognition Technology,”</w:t>
        </w:r>
      </w:hyperlink>
      <w:r w:rsidRPr="00B01811">
        <w:rPr>
          <w:rFonts w:ascii="Times New Roman" w:hAnsi="Times New Roman" w:cs="Times New Roman"/>
        </w:rPr>
        <w:t xml:space="preserve"> which includes various studies on the topic.</w:t>
      </w:r>
      <w:r w:rsidRPr="623301DF">
        <w:t xml:space="preserve"> </w:t>
      </w:r>
    </w:p>
  </w:footnote>
  <w:footnote w:id="4">
    <w:p w14:paraId="50756E7E" w14:textId="068BC884" w:rsidR="4E2EA703" w:rsidRDefault="4E2EA703" w:rsidP="4E2EA703">
      <w:pPr>
        <w:pStyle w:val="FootnoteText"/>
      </w:pPr>
      <w:r w:rsidRPr="4E2EA703">
        <w:rPr>
          <w:rStyle w:val="FootnoteReference"/>
        </w:rPr>
        <w:footnoteRef/>
      </w:r>
      <w:r>
        <w:t xml:space="preserve"> </w:t>
      </w:r>
      <w:r w:rsidRPr="4E2EA703">
        <w:rPr>
          <w:rFonts w:ascii="Times New Roman" w:eastAsia="Times New Roman" w:hAnsi="Times New Roman" w:cs="Times New Roman"/>
        </w:rPr>
        <w:t>8 U.S.C. § 1365b(d)-(f) (requiring DHS to implement a biometric entry and exit system and establish procedures for accurate, interoperable identification systems).</w:t>
      </w:r>
    </w:p>
  </w:footnote>
  <w:footnote w:id="5">
    <w:p w14:paraId="4CF4A59E" w14:textId="30631484" w:rsidR="4E2EA703" w:rsidRDefault="4E2EA703" w:rsidP="4E2EA703">
      <w:pPr>
        <w:pStyle w:val="FootnoteText"/>
      </w:pPr>
      <w:r w:rsidRPr="4E2EA703">
        <w:rPr>
          <w:rStyle w:val="FootnoteReference"/>
        </w:rPr>
        <w:footnoteRef/>
      </w:r>
      <w:r>
        <w:t xml:space="preserve"> </w:t>
      </w:r>
      <w:r w:rsidRPr="4E2EA703">
        <w:rPr>
          <w:rFonts w:ascii="Times New Roman" w:eastAsia="Times New Roman" w:hAnsi="Times New Roman" w:cs="Times New Roman"/>
        </w:rPr>
        <w:t xml:space="preserve">DHS, </w:t>
      </w:r>
      <w:r w:rsidRPr="4E2EA703">
        <w:rPr>
          <w:rFonts w:ascii="Times New Roman" w:eastAsia="Times New Roman" w:hAnsi="Times New Roman" w:cs="Times New Roman"/>
          <w:i/>
          <w:iCs/>
        </w:rPr>
        <w:t>Biometric Technology Assessments ICR</w:t>
      </w:r>
      <w:r w:rsidRPr="4E2EA703">
        <w:rPr>
          <w:rFonts w:ascii="Times New Roman" w:eastAsia="Times New Roman" w:hAnsi="Times New Roman" w:cs="Times New Roman"/>
        </w:rPr>
        <w:t>, OMB Control No. 1601-NEW, 89 Fed. Reg. 27777 (May 5, 2025) (noting that there are “no confidentiality assurances” and that data includes facial, iris, palm print, and voice biometrics).</w:t>
      </w:r>
    </w:p>
  </w:footnote>
  <w:footnote w:id="6">
    <w:p w14:paraId="2137C4D1" w14:textId="5FC1AA75" w:rsidR="144D6457" w:rsidRDefault="144D6457" w:rsidP="144D6457">
      <w:pPr>
        <w:pStyle w:val="FootnoteText"/>
      </w:pPr>
      <w:r w:rsidRPr="144D6457">
        <w:rPr>
          <w:rStyle w:val="FootnoteReference"/>
        </w:rPr>
        <w:footnoteRef/>
      </w:r>
      <w:r>
        <w:t xml:space="preserve"> </w:t>
      </w:r>
      <w:r w:rsidRPr="144D6457">
        <w:rPr>
          <w:rFonts w:ascii="Times New Roman" w:eastAsia="Times New Roman" w:hAnsi="Times New Roman" w:cs="Times New Roman"/>
        </w:rPr>
        <w:t>Id. (no mechanisms described for public reporting, oversight, or error rate transparency in the collection or study results).</w:t>
      </w:r>
    </w:p>
  </w:footnote>
  <w:footnote w:id="7">
    <w:p w14:paraId="4A90CC88" w14:textId="0B3BD598" w:rsidR="4E2EA703" w:rsidRDefault="4E2EA703" w:rsidP="4E2EA703">
      <w:pPr>
        <w:pStyle w:val="FootnoteText"/>
      </w:pPr>
      <w:r w:rsidRPr="4E2EA703">
        <w:rPr>
          <w:rStyle w:val="FootnoteReference"/>
        </w:rPr>
        <w:footnoteRef/>
      </w:r>
      <w:r>
        <w:t xml:space="preserve"> </w:t>
      </w:r>
      <w:r w:rsidRPr="4E2EA703">
        <w:rPr>
          <w:rFonts w:ascii="Times New Roman" w:eastAsia="Times New Roman" w:hAnsi="Times New Roman" w:cs="Times New Roman"/>
        </w:rPr>
        <w:t xml:space="preserve">Jackson Barnett, “DOGE has arrived at the heart of Homeland Security’s biometrics operations,” </w:t>
      </w:r>
      <w:proofErr w:type="spellStart"/>
      <w:r w:rsidRPr="4E2EA703">
        <w:rPr>
          <w:rFonts w:ascii="Times New Roman" w:eastAsia="Times New Roman" w:hAnsi="Times New Roman" w:cs="Times New Roman"/>
          <w:i/>
          <w:iCs/>
        </w:rPr>
        <w:t>FedScoop</w:t>
      </w:r>
      <w:proofErr w:type="spellEnd"/>
      <w:r w:rsidRPr="4E2EA703">
        <w:rPr>
          <w:rFonts w:ascii="Times New Roman" w:eastAsia="Times New Roman" w:hAnsi="Times New Roman" w:cs="Times New Roman"/>
        </w:rPr>
        <w:t xml:space="preserve"> (Apr. 30, 2025), </w:t>
      </w:r>
      <w:hyperlink r:id="rId3">
        <w:r w:rsidRPr="4E2EA703">
          <w:rPr>
            <w:rStyle w:val="Hyperlink"/>
            <w:rFonts w:ascii="Times New Roman" w:eastAsia="Times New Roman" w:hAnsi="Times New Roman" w:cs="Times New Roman"/>
            <w:color w:val="467886"/>
          </w:rPr>
          <w:t>https://fedscoop.com/doge-arrives-at-homeland-security-biometrics-operations/</w:t>
        </w:r>
      </w:hyperlink>
      <w:r w:rsidRPr="4E2EA703">
        <w:rPr>
          <w:rFonts w:ascii="Times New Roman" w:eastAsia="Times New Roman" w:hAnsi="Times New Roman" w:cs="Times New Roman"/>
        </w:rPr>
        <w:t>.</w:t>
      </w:r>
    </w:p>
  </w:footnote>
  <w:footnote w:id="8">
    <w:p w14:paraId="76107DEF" w14:textId="7503DF48" w:rsidR="4E2EA703" w:rsidRDefault="4E2EA703" w:rsidP="00B01811">
      <w:pPr>
        <w:pStyle w:val="FootnoteText"/>
        <w:rPr>
          <w:rFonts w:ascii="Times New Roman" w:eastAsia="Times New Roman" w:hAnsi="Times New Roman" w:cs="Times New Roman"/>
          <w:color w:val="000000" w:themeColor="text1"/>
        </w:rPr>
      </w:pPr>
      <w:r w:rsidRPr="4E2EA703">
        <w:rPr>
          <w:rStyle w:val="FootnoteReference"/>
        </w:rPr>
        <w:footnoteRef/>
      </w:r>
      <w:r>
        <w:t xml:space="preserve"> </w:t>
      </w:r>
      <w:r w:rsidRPr="006071C3">
        <w:rPr>
          <w:rFonts w:ascii="Times New Roman" w:eastAsia="Times New Roman" w:hAnsi="Times New Roman" w:cs="Times New Roman"/>
          <w:color w:val="000000" w:themeColor="text1"/>
        </w:rPr>
        <w:t>8 USC 1365b(f)(4)(B)</w:t>
      </w:r>
    </w:p>
  </w:footnote>
  <w:footnote w:id="9">
    <w:p w14:paraId="22855559" w14:textId="405A655B" w:rsidR="4E2EA703" w:rsidRDefault="4E2EA703" w:rsidP="00B01811">
      <w:pPr>
        <w:pStyle w:val="FootnoteText"/>
        <w:rPr>
          <w:rFonts w:ascii="Times New Roman" w:eastAsia="Times New Roman" w:hAnsi="Times New Roman" w:cs="Times New Roman"/>
          <w:color w:val="000000" w:themeColor="text1"/>
        </w:rPr>
      </w:pPr>
      <w:r w:rsidRPr="4E2EA703">
        <w:rPr>
          <w:rStyle w:val="FootnoteReference"/>
        </w:rPr>
        <w:footnoteRef/>
      </w:r>
      <w:r>
        <w:t xml:space="preserve"> </w:t>
      </w:r>
      <w:r w:rsidRPr="006071C3">
        <w:rPr>
          <w:rFonts w:ascii="Times New Roman" w:eastAsia="Times New Roman" w:hAnsi="Times New Roman" w:cs="Times New Roman"/>
          <w:color w:val="000000" w:themeColor="text1"/>
        </w:rPr>
        <w:t>8 USC 1365b(f)(5)(A)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9593"/>
    <w:multiLevelType w:val="hybridMultilevel"/>
    <w:tmpl w:val="023AA832"/>
    <w:lvl w:ilvl="0" w:tplc="109C870C">
      <w:start w:val="1"/>
      <w:numFmt w:val="decimal"/>
      <w:lvlText w:val="%1."/>
      <w:lvlJc w:val="left"/>
      <w:pPr>
        <w:ind w:left="720" w:hanging="360"/>
      </w:pPr>
    </w:lvl>
    <w:lvl w:ilvl="1" w:tplc="3A6EEB88">
      <w:start w:val="1"/>
      <w:numFmt w:val="lowerLetter"/>
      <w:lvlText w:val="%2."/>
      <w:lvlJc w:val="left"/>
      <w:pPr>
        <w:ind w:left="1440" w:hanging="360"/>
      </w:pPr>
    </w:lvl>
    <w:lvl w:ilvl="2" w:tplc="6B2E4748">
      <w:start w:val="1"/>
      <w:numFmt w:val="lowerRoman"/>
      <w:lvlText w:val="%3."/>
      <w:lvlJc w:val="right"/>
      <w:pPr>
        <w:ind w:left="2160" w:hanging="180"/>
      </w:pPr>
    </w:lvl>
    <w:lvl w:ilvl="3" w:tplc="29B215EE">
      <w:start w:val="1"/>
      <w:numFmt w:val="decimal"/>
      <w:lvlText w:val="%4."/>
      <w:lvlJc w:val="left"/>
      <w:pPr>
        <w:ind w:left="2880" w:hanging="360"/>
      </w:pPr>
    </w:lvl>
    <w:lvl w:ilvl="4" w:tplc="8CECBE66">
      <w:start w:val="1"/>
      <w:numFmt w:val="lowerLetter"/>
      <w:lvlText w:val="%5."/>
      <w:lvlJc w:val="left"/>
      <w:pPr>
        <w:ind w:left="3600" w:hanging="360"/>
      </w:pPr>
    </w:lvl>
    <w:lvl w:ilvl="5" w:tplc="DB54AD58">
      <w:start w:val="1"/>
      <w:numFmt w:val="lowerRoman"/>
      <w:lvlText w:val="%6."/>
      <w:lvlJc w:val="right"/>
      <w:pPr>
        <w:ind w:left="4320" w:hanging="180"/>
      </w:pPr>
    </w:lvl>
    <w:lvl w:ilvl="6" w:tplc="BF42BDB4">
      <w:start w:val="1"/>
      <w:numFmt w:val="decimal"/>
      <w:lvlText w:val="%7."/>
      <w:lvlJc w:val="left"/>
      <w:pPr>
        <w:ind w:left="5040" w:hanging="360"/>
      </w:pPr>
    </w:lvl>
    <w:lvl w:ilvl="7" w:tplc="3A869DEE">
      <w:start w:val="1"/>
      <w:numFmt w:val="lowerLetter"/>
      <w:lvlText w:val="%8."/>
      <w:lvlJc w:val="left"/>
      <w:pPr>
        <w:ind w:left="5760" w:hanging="360"/>
      </w:pPr>
    </w:lvl>
    <w:lvl w:ilvl="8" w:tplc="51BE5AFA">
      <w:start w:val="1"/>
      <w:numFmt w:val="lowerRoman"/>
      <w:lvlText w:val="%9."/>
      <w:lvlJc w:val="right"/>
      <w:pPr>
        <w:ind w:left="6480" w:hanging="180"/>
      </w:pPr>
    </w:lvl>
  </w:abstractNum>
  <w:abstractNum w:abstractNumId="1" w15:restartNumberingAfterBreak="0">
    <w:nsid w:val="34532B13"/>
    <w:multiLevelType w:val="hybridMultilevel"/>
    <w:tmpl w:val="AE0818A8"/>
    <w:lvl w:ilvl="0" w:tplc="33BC0CCA">
      <w:start w:val="1"/>
      <w:numFmt w:val="lowerLetter"/>
      <w:lvlText w:val="%1."/>
      <w:lvlJc w:val="left"/>
      <w:pPr>
        <w:ind w:left="1080" w:hanging="360"/>
      </w:pPr>
    </w:lvl>
    <w:lvl w:ilvl="1" w:tplc="09ECF340">
      <w:start w:val="1"/>
      <w:numFmt w:val="lowerLetter"/>
      <w:lvlText w:val="%2."/>
      <w:lvlJc w:val="left"/>
      <w:pPr>
        <w:ind w:left="1800" w:hanging="360"/>
      </w:pPr>
    </w:lvl>
    <w:lvl w:ilvl="2" w:tplc="9A0C5F1A">
      <w:start w:val="1"/>
      <w:numFmt w:val="lowerRoman"/>
      <w:lvlText w:val="%3."/>
      <w:lvlJc w:val="right"/>
      <w:pPr>
        <w:ind w:left="2520" w:hanging="180"/>
      </w:pPr>
    </w:lvl>
    <w:lvl w:ilvl="3" w:tplc="D890B34E">
      <w:start w:val="1"/>
      <w:numFmt w:val="decimal"/>
      <w:lvlText w:val="%4."/>
      <w:lvlJc w:val="left"/>
      <w:pPr>
        <w:ind w:left="3240" w:hanging="360"/>
      </w:pPr>
    </w:lvl>
    <w:lvl w:ilvl="4" w:tplc="5D367408">
      <w:start w:val="1"/>
      <w:numFmt w:val="lowerLetter"/>
      <w:lvlText w:val="%5."/>
      <w:lvlJc w:val="left"/>
      <w:pPr>
        <w:ind w:left="3960" w:hanging="360"/>
      </w:pPr>
    </w:lvl>
    <w:lvl w:ilvl="5" w:tplc="D5C807A4">
      <w:start w:val="1"/>
      <w:numFmt w:val="lowerRoman"/>
      <w:lvlText w:val="%6."/>
      <w:lvlJc w:val="right"/>
      <w:pPr>
        <w:ind w:left="4680" w:hanging="180"/>
      </w:pPr>
    </w:lvl>
    <w:lvl w:ilvl="6" w:tplc="695C8E02">
      <w:start w:val="1"/>
      <w:numFmt w:val="decimal"/>
      <w:lvlText w:val="%7."/>
      <w:lvlJc w:val="left"/>
      <w:pPr>
        <w:ind w:left="5400" w:hanging="360"/>
      </w:pPr>
    </w:lvl>
    <w:lvl w:ilvl="7" w:tplc="67DE118E">
      <w:start w:val="1"/>
      <w:numFmt w:val="lowerLetter"/>
      <w:lvlText w:val="%8."/>
      <w:lvlJc w:val="left"/>
      <w:pPr>
        <w:ind w:left="6120" w:hanging="360"/>
      </w:pPr>
    </w:lvl>
    <w:lvl w:ilvl="8" w:tplc="F614EA84">
      <w:start w:val="1"/>
      <w:numFmt w:val="lowerRoman"/>
      <w:lvlText w:val="%9."/>
      <w:lvlJc w:val="right"/>
      <w:pPr>
        <w:ind w:left="6840" w:hanging="180"/>
      </w:pPr>
    </w:lvl>
  </w:abstractNum>
  <w:abstractNum w:abstractNumId="2" w15:restartNumberingAfterBreak="0">
    <w:nsid w:val="3EBD6F89"/>
    <w:multiLevelType w:val="hybridMultilevel"/>
    <w:tmpl w:val="1852618E"/>
    <w:lvl w:ilvl="0" w:tplc="FF982CB0">
      <w:start w:val="1"/>
      <w:numFmt w:val="upperRoman"/>
      <w:lvlText w:val="%1."/>
      <w:lvlJc w:val="left"/>
      <w:pPr>
        <w:ind w:left="720" w:hanging="360"/>
      </w:pPr>
    </w:lvl>
    <w:lvl w:ilvl="1" w:tplc="A92A509C">
      <w:start w:val="1"/>
      <w:numFmt w:val="lowerLetter"/>
      <w:lvlText w:val="%2."/>
      <w:lvlJc w:val="left"/>
      <w:pPr>
        <w:ind w:left="1440" w:hanging="360"/>
      </w:pPr>
    </w:lvl>
    <w:lvl w:ilvl="2" w:tplc="F5847FF2">
      <w:start w:val="1"/>
      <w:numFmt w:val="lowerRoman"/>
      <w:lvlText w:val="%3."/>
      <w:lvlJc w:val="right"/>
      <w:pPr>
        <w:ind w:left="2160" w:hanging="180"/>
      </w:pPr>
    </w:lvl>
    <w:lvl w:ilvl="3" w:tplc="E28E1A5C">
      <w:start w:val="1"/>
      <w:numFmt w:val="decimal"/>
      <w:lvlText w:val="%4."/>
      <w:lvlJc w:val="left"/>
      <w:pPr>
        <w:ind w:left="2880" w:hanging="360"/>
      </w:pPr>
    </w:lvl>
    <w:lvl w:ilvl="4" w:tplc="9EB4F36A">
      <w:start w:val="1"/>
      <w:numFmt w:val="lowerLetter"/>
      <w:lvlText w:val="%5."/>
      <w:lvlJc w:val="left"/>
      <w:pPr>
        <w:ind w:left="3600" w:hanging="360"/>
      </w:pPr>
    </w:lvl>
    <w:lvl w:ilvl="5" w:tplc="D7FA1D6A">
      <w:start w:val="1"/>
      <w:numFmt w:val="lowerRoman"/>
      <w:lvlText w:val="%6."/>
      <w:lvlJc w:val="right"/>
      <w:pPr>
        <w:ind w:left="4320" w:hanging="180"/>
      </w:pPr>
    </w:lvl>
    <w:lvl w:ilvl="6" w:tplc="CA46592A">
      <w:start w:val="1"/>
      <w:numFmt w:val="decimal"/>
      <w:lvlText w:val="%7."/>
      <w:lvlJc w:val="left"/>
      <w:pPr>
        <w:ind w:left="5040" w:hanging="360"/>
      </w:pPr>
    </w:lvl>
    <w:lvl w:ilvl="7" w:tplc="FF74B7AA">
      <w:start w:val="1"/>
      <w:numFmt w:val="lowerLetter"/>
      <w:lvlText w:val="%8."/>
      <w:lvlJc w:val="left"/>
      <w:pPr>
        <w:ind w:left="5760" w:hanging="360"/>
      </w:pPr>
    </w:lvl>
    <w:lvl w:ilvl="8" w:tplc="7D98C086">
      <w:start w:val="1"/>
      <w:numFmt w:val="lowerRoman"/>
      <w:lvlText w:val="%9."/>
      <w:lvlJc w:val="right"/>
      <w:pPr>
        <w:ind w:left="6480" w:hanging="180"/>
      </w:pPr>
    </w:lvl>
  </w:abstractNum>
  <w:abstractNum w:abstractNumId="3" w15:restartNumberingAfterBreak="0">
    <w:nsid w:val="4EF02F06"/>
    <w:multiLevelType w:val="multilevel"/>
    <w:tmpl w:val="AF96C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DC69FD"/>
    <w:multiLevelType w:val="hybridMultilevel"/>
    <w:tmpl w:val="3EA0EA92"/>
    <w:lvl w:ilvl="0" w:tplc="8F0AF8AA">
      <w:start w:val="1"/>
      <w:numFmt w:val="decimal"/>
      <w:lvlText w:val="%1."/>
      <w:lvlJc w:val="left"/>
      <w:pPr>
        <w:ind w:left="720" w:hanging="360"/>
      </w:pPr>
    </w:lvl>
    <w:lvl w:ilvl="1" w:tplc="49D868A2">
      <w:start w:val="1"/>
      <w:numFmt w:val="lowerLetter"/>
      <w:lvlText w:val="%2."/>
      <w:lvlJc w:val="left"/>
      <w:pPr>
        <w:ind w:left="1440" w:hanging="360"/>
      </w:pPr>
    </w:lvl>
    <w:lvl w:ilvl="2" w:tplc="AC801724">
      <w:start w:val="1"/>
      <w:numFmt w:val="lowerRoman"/>
      <w:lvlText w:val="%3."/>
      <w:lvlJc w:val="right"/>
      <w:pPr>
        <w:ind w:left="2160" w:hanging="180"/>
      </w:pPr>
    </w:lvl>
    <w:lvl w:ilvl="3" w:tplc="03261D6C">
      <w:start w:val="1"/>
      <w:numFmt w:val="decimal"/>
      <w:lvlText w:val="%4."/>
      <w:lvlJc w:val="left"/>
      <w:pPr>
        <w:ind w:left="2880" w:hanging="360"/>
      </w:pPr>
    </w:lvl>
    <w:lvl w:ilvl="4" w:tplc="2022285E">
      <w:start w:val="1"/>
      <w:numFmt w:val="lowerLetter"/>
      <w:lvlText w:val="%5."/>
      <w:lvlJc w:val="left"/>
      <w:pPr>
        <w:ind w:left="3600" w:hanging="360"/>
      </w:pPr>
    </w:lvl>
    <w:lvl w:ilvl="5" w:tplc="F984C25A">
      <w:start w:val="1"/>
      <w:numFmt w:val="lowerRoman"/>
      <w:lvlText w:val="%6."/>
      <w:lvlJc w:val="right"/>
      <w:pPr>
        <w:ind w:left="4320" w:hanging="180"/>
      </w:pPr>
    </w:lvl>
    <w:lvl w:ilvl="6" w:tplc="8E22283E">
      <w:start w:val="1"/>
      <w:numFmt w:val="decimal"/>
      <w:lvlText w:val="%7."/>
      <w:lvlJc w:val="left"/>
      <w:pPr>
        <w:ind w:left="5040" w:hanging="360"/>
      </w:pPr>
    </w:lvl>
    <w:lvl w:ilvl="7" w:tplc="4E9AFC46">
      <w:start w:val="1"/>
      <w:numFmt w:val="lowerLetter"/>
      <w:lvlText w:val="%8."/>
      <w:lvlJc w:val="left"/>
      <w:pPr>
        <w:ind w:left="5760" w:hanging="360"/>
      </w:pPr>
    </w:lvl>
    <w:lvl w:ilvl="8" w:tplc="B64AB336">
      <w:start w:val="1"/>
      <w:numFmt w:val="lowerRoman"/>
      <w:lvlText w:val="%9."/>
      <w:lvlJc w:val="right"/>
      <w:pPr>
        <w:ind w:left="6480" w:hanging="180"/>
      </w:pPr>
    </w:lvl>
  </w:abstractNum>
  <w:abstractNum w:abstractNumId="5" w15:restartNumberingAfterBreak="0">
    <w:nsid w:val="4FEC4DC5"/>
    <w:multiLevelType w:val="hybridMultilevel"/>
    <w:tmpl w:val="8E0A8D34"/>
    <w:lvl w:ilvl="0" w:tplc="A3EE6EF0">
      <w:start w:val="1"/>
      <w:numFmt w:val="upperRoman"/>
      <w:lvlText w:val="%1."/>
      <w:lvlJc w:val="left"/>
      <w:pPr>
        <w:ind w:left="720" w:hanging="360"/>
      </w:pPr>
    </w:lvl>
    <w:lvl w:ilvl="1" w:tplc="4BA0A2EA">
      <w:start w:val="1"/>
      <w:numFmt w:val="lowerLetter"/>
      <w:lvlText w:val="%2."/>
      <w:lvlJc w:val="left"/>
      <w:pPr>
        <w:ind w:left="1440" w:hanging="360"/>
      </w:pPr>
    </w:lvl>
    <w:lvl w:ilvl="2" w:tplc="81DC7E32">
      <w:start w:val="1"/>
      <w:numFmt w:val="lowerRoman"/>
      <w:lvlText w:val="%3."/>
      <w:lvlJc w:val="right"/>
      <w:pPr>
        <w:ind w:left="2160" w:hanging="180"/>
      </w:pPr>
    </w:lvl>
    <w:lvl w:ilvl="3" w:tplc="D4181D2A">
      <w:start w:val="1"/>
      <w:numFmt w:val="decimal"/>
      <w:lvlText w:val="%4."/>
      <w:lvlJc w:val="left"/>
      <w:pPr>
        <w:ind w:left="2880" w:hanging="360"/>
      </w:pPr>
    </w:lvl>
    <w:lvl w:ilvl="4" w:tplc="5C8A988E">
      <w:start w:val="1"/>
      <w:numFmt w:val="lowerLetter"/>
      <w:lvlText w:val="%5."/>
      <w:lvlJc w:val="left"/>
      <w:pPr>
        <w:ind w:left="3600" w:hanging="360"/>
      </w:pPr>
    </w:lvl>
    <w:lvl w:ilvl="5" w:tplc="E4F40EA6">
      <w:start w:val="1"/>
      <w:numFmt w:val="lowerRoman"/>
      <w:lvlText w:val="%6."/>
      <w:lvlJc w:val="right"/>
      <w:pPr>
        <w:ind w:left="4320" w:hanging="180"/>
      </w:pPr>
    </w:lvl>
    <w:lvl w:ilvl="6" w:tplc="6E4A6A74">
      <w:start w:val="1"/>
      <w:numFmt w:val="decimal"/>
      <w:lvlText w:val="%7."/>
      <w:lvlJc w:val="left"/>
      <w:pPr>
        <w:ind w:left="5040" w:hanging="360"/>
      </w:pPr>
    </w:lvl>
    <w:lvl w:ilvl="7" w:tplc="72F491B2">
      <w:start w:val="1"/>
      <w:numFmt w:val="lowerLetter"/>
      <w:lvlText w:val="%8."/>
      <w:lvlJc w:val="left"/>
      <w:pPr>
        <w:ind w:left="5760" w:hanging="360"/>
      </w:pPr>
    </w:lvl>
    <w:lvl w:ilvl="8" w:tplc="F00A302A">
      <w:start w:val="1"/>
      <w:numFmt w:val="lowerRoman"/>
      <w:lvlText w:val="%9."/>
      <w:lvlJc w:val="right"/>
      <w:pPr>
        <w:ind w:left="6480" w:hanging="180"/>
      </w:pPr>
    </w:lvl>
  </w:abstractNum>
  <w:abstractNum w:abstractNumId="6" w15:restartNumberingAfterBreak="0">
    <w:nsid w:val="6FFBDF51"/>
    <w:multiLevelType w:val="hybridMultilevel"/>
    <w:tmpl w:val="45227550"/>
    <w:lvl w:ilvl="0" w:tplc="0B6CAC72">
      <w:start w:val="1"/>
      <w:numFmt w:val="upperRoman"/>
      <w:lvlText w:val="%1."/>
      <w:lvlJc w:val="left"/>
      <w:pPr>
        <w:ind w:left="1080" w:hanging="360"/>
      </w:pPr>
    </w:lvl>
    <w:lvl w:ilvl="1" w:tplc="1BD4D5F6">
      <w:start w:val="1"/>
      <w:numFmt w:val="lowerLetter"/>
      <w:lvlText w:val="%2."/>
      <w:lvlJc w:val="left"/>
      <w:pPr>
        <w:ind w:left="1800" w:hanging="360"/>
      </w:pPr>
    </w:lvl>
    <w:lvl w:ilvl="2" w:tplc="B9E2C170">
      <w:start w:val="1"/>
      <w:numFmt w:val="lowerRoman"/>
      <w:lvlText w:val="%3."/>
      <w:lvlJc w:val="right"/>
      <w:pPr>
        <w:ind w:left="2520" w:hanging="180"/>
      </w:pPr>
    </w:lvl>
    <w:lvl w:ilvl="3" w:tplc="9D6E24D2">
      <w:start w:val="1"/>
      <w:numFmt w:val="decimal"/>
      <w:lvlText w:val="%4."/>
      <w:lvlJc w:val="left"/>
      <w:pPr>
        <w:ind w:left="3240" w:hanging="360"/>
      </w:pPr>
    </w:lvl>
    <w:lvl w:ilvl="4" w:tplc="E4541796">
      <w:start w:val="1"/>
      <w:numFmt w:val="lowerLetter"/>
      <w:lvlText w:val="%5."/>
      <w:lvlJc w:val="left"/>
      <w:pPr>
        <w:ind w:left="3960" w:hanging="360"/>
      </w:pPr>
    </w:lvl>
    <w:lvl w:ilvl="5" w:tplc="2584AE36">
      <w:start w:val="1"/>
      <w:numFmt w:val="lowerRoman"/>
      <w:lvlText w:val="%6."/>
      <w:lvlJc w:val="right"/>
      <w:pPr>
        <w:ind w:left="4680" w:hanging="180"/>
      </w:pPr>
    </w:lvl>
    <w:lvl w:ilvl="6" w:tplc="D74E5A88">
      <w:start w:val="1"/>
      <w:numFmt w:val="decimal"/>
      <w:lvlText w:val="%7."/>
      <w:lvlJc w:val="left"/>
      <w:pPr>
        <w:ind w:left="5400" w:hanging="360"/>
      </w:pPr>
    </w:lvl>
    <w:lvl w:ilvl="7" w:tplc="7E089336">
      <w:start w:val="1"/>
      <w:numFmt w:val="lowerLetter"/>
      <w:lvlText w:val="%8."/>
      <w:lvlJc w:val="left"/>
      <w:pPr>
        <w:ind w:left="6120" w:hanging="360"/>
      </w:pPr>
    </w:lvl>
    <w:lvl w:ilvl="8" w:tplc="2730E2D8">
      <w:start w:val="1"/>
      <w:numFmt w:val="lowerRoman"/>
      <w:lvlText w:val="%9."/>
      <w:lvlJc w:val="right"/>
      <w:pPr>
        <w:ind w:left="6840" w:hanging="180"/>
      </w:pPr>
    </w:lvl>
  </w:abstractNum>
  <w:abstractNum w:abstractNumId="7" w15:restartNumberingAfterBreak="0">
    <w:nsid w:val="7BAAE9E1"/>
    <w:multiLevelType w:val="hybridMultilevel"/>
    <w:tmpl w:val="50BA5698"/>
    <w:lvl w:ilvl="0" w:tplc="6AC69308">
      <w:start w:val="1"/>
      <w:numFmt w:val="lowerLetter"/>
      <w:lvlText w:val="%1."/>
      <w:lvlJc w:val="left"/>
      <w:pPr>
        <w:ind w:left="720" w:hanging="360"/>
      </w:pPr>
    </w:lvl>
    <w:lvl w:ilvl="1" w:tplc="0864547A">
      <w:start w:val="1"/>
      <w:numFmt w:val="lowerLetter"/>
      <w:lvlText w:val="%2."/>
      <w:lvlJc w:val="left"/>
      <w:pPr>
        <w:ind w:left="1440" w:hanging="360"/>
      </w:pPr>
    </w:lvl>
    <w:lvl w:ilvl="2" w:tplc="22F0AC94">
      <w:start w:val="1"/>
      <w:numFmt w:val="lowerRoman"/>
      <w:lvlText w:val="%3."/>
      <w:lvlJc w:val="right"/>
      <w:pPr>
        <w:ind w:left="2160" w:hanging="180"/>
      </w:pPr>
    </w:lvl>
    <w:lvl w:ilvl="3" w:tplc="574461CA">
      <w:start w:val="1"/>
      <w:numFmt w:val="decimal"/>
      <w:lvlText w:val="%4."/>
      <w:lvlJc w:val="left"/>
      <w:pPr>
        <w:ind w:left="2880" w:hanging="360"/>
      </w:pPr>
    </w:lvl>
    <w:lvl w:ilvl="4" w:tplc="13F2726C">
      <w:start w:val="1"/>
      <w:numFmt w:val="lowerLetter"/>
      <w:lvlText w:val="%5."/>
      <w:lvlJc w:val="left"/>
      <w:pPr>
        <w:ind w:left="3600" w:hanging="360"/>
      </w:pPr>
    </w:lvl>
    <w:lvl w:ilvl="5" w:tplc="12023A82">
      <w:start w:val="1"/>
      <w:numFmt w:val="lowerRoman"/>
      <w:lvlText w:val="%6."/>
      <w:lvlJc w:val="right"/>
      <w:pPr>
        <w:ind w:left="4320" w:hanging="180"/>
      </w:pPr>
    </w:lvl>
    <w:lvl w:ilvl="6" w:tplc="EEC230FA">
      <w:start w:val="1"/>
      <w:numFmt w:val="decimal"/>
      <w:lvlText w:val="%7."/>
      <w:lvlJc w:val="left"/>
      <w:pPr>
        <w:ind w:left="5040" w:hanging="360"/>
      </w:pPr>
    </w:lvl>
    <w:lvl w:ilvl="7" w:tplc="4B72A2D8">
      <w:start w:val="1"/>
      <w:numFmt w:val="lowerLetter"/>
      <w:lvlText w:val="%8."/>
      <w:lvlJc w:val="left"/>
      <w:pPr>
        <w:ind w:left="5760" w:hanging="360"/>
      </w:pPr>
    </w:lvl>
    <w:lvl w:ilvl="8" w:tplc="A9220D4A">
      <w:start w:val="1"/>
      <w:numFmt w:val="lowerRoman"/>
      <w:lvlText w:val="%9."/>
      <w:lvlJc w:val="right"/>
      <w:pPr>
        <w:ind w:left="6480" w:hanging="180"/>
      </w:pPr>
    </w:lvl>
  </w:abstractNum>
  <w:num w:numId="1" w16cid:durableId="558632528">
    <w:abstractNumId w:val="4"/>
  </w:num>
  <w:num w:numId="2" w16cid:durableId="2009093013">
    <w:abstractNumId w:val="2"/>
  </w:num>
  <w:num w:numId="3" w16cid:durableId="571427522">
    <w:abstractNumId w:val="6"/>
  </w:num>
  <w:num w:numId="4" w16cid:durableId="1950813771">
    <w:abstractNumId w:val="3"/>
  </w:num>
  <w:num w:numId="5" w16cid:durableId="1398627128">
    <w:abstractNumId w:val="7"/>
  </w:num>
  <w:num w:numId="6" w16cid:durableId="596838049">
    <w:abstractNumId w:val="1"/>
  </w:num>
  <w:num w:numId="7" w16cid:durableId="607740848">
    <w:abstractNumId w:val="5"/>
  </w:num>
  <w:num w:numId="8" w16cid:durableId="50443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220E42"/>
    <w:rsid w:val="00290733"/>
    <w:rsid w:val="00493716"/>
    <w:rsid w:val="006071C3"/>
    <w:rsid w:val="006766DB"/>
    <w:rsid w:val="00A02381"/>
    <w:rsid w:val="00A71034"/>
    <w:rsid w:val="00B01811"/>
    <w:rsid w:val="00D1010D"/>
    <w:rsid w:val="00DE03D8"/>
    <w:rsid w:val="00EB7985"/>
    <w:rsid w:val="00EE6E42"/>
    <w:rsid w:val="00F97052"/>
    <w:rsid w:val="02760C31"/>
    <w:rsid w:val="028ED969"/>
    <w:rsid w:val="0A65420F"/>
    <w:rsid w:val="0C2012EC"/>
    <w:rsid w:val="11B5D1E9"/>
    <w:rsid w:val="13F7D2AE"/>
    <w:rsid w:val="144D6457"/>
    <w:rsid w:val="16F4706C"/>
    <w:rsid w:val="1B4117D8"/>
    <w:rsid w:val="1D47393A"/>
    <w:rsid w:val="26B887F4"/>
    <w:rsid w:val="283130F3"/>
    <w:rsid w:val="399ABE76"/>
    <w:rsid w:val="3BBBBC7F"/>
    <w:rsid w:val="3E39B702"/>
    <w:rsid w:val="41FC9FE3"/>
    <w:rsid w:val="43AFD482"/>
    <w:rsid w:val="44D3E1BC"/>
    <w:rsid w:val="4870A1EF"/>
    <w:rsid w:val="4E2EA703"/>
    <w:rsid w:val="4EFF9E6D"/>
    <w:rsid w:val="527F6B6F"/>
    <w:rsid w:val="530C5458"/>
    <w:rsid w:val="543D7A9C"/>
    <w:rsid w:val="5C5042C5"/>
    <w:rsid w:val="5F837875"/>
    <w:rsid w:val="61022909"/>
    <w:rsid w:val="61143518"/>
    <w:rsid w:val="61DAACF5"/>
    <w:rsid w:val="623301DF"/>
    <w:rsid w:val="67B4A412"/>
    <w:rsid w:val="684B180A"/>
    <w:rsid w:val="7314A83C"/>
    <w:rsid w:val="743320B8"/>
    <w:rsid w:val="75313D17"/>
    <w:rsid w:val="78F4133E"/>
    <w:rsid w:val="79D82585"/>
    <w:rsid w:val="7A10E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BBBBC7F"/>
    <w:pPr>
      <w:ind w:left="720"/>
      <w:contextualSpacing/>
    </w:pPr>
  </w:style>
  <w:style w:type="character" w:styleId="Hyperlink">
    <w:name w:val="Hyperlink"/>
    <w:basedOn w:val="DefaultParagraphFont"/>
    <w:uiPriority w:val="99"/>
    <w:unhideWhenUsed/>
    <w:rsid w:val="743320B8"/>
    <w:rPr>
      <w:color w:val="0563C1"/>
      <w:u w:val="single"/>
    </w:rPr>
  </w:style>
  <w:style w:type="paragraph" w:styleId="FootnoteText">
    <w:name w:val="footnote text"/>
    <w:basedOn w:val="Normal"/>
    <w:uiPriority w:val="99"/>
    <w:semiHidden/>
    <w:unhideWhenUsed/>
    <w:rsid w:val="5F837875"/>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71C3"/>
  </w:style>
  <w:style w:type="paragraph" w:styleId="CommentSubject">
    <w:name w:val="annotation subject"/>
    <w:basedOn w:val="CommentText"/>
    <w:next w:val="CommentText"/>
    <w:link w:val="CommentSubjectChar"/>
    <w:uiPriority w:val="99"/>
    <w:semiHidden/>
    <w:unhideWhenUsed/>
    <w:rsid w:val="006071C3"/>
    <w:rPr>
      <w:b/>
      <w:bCs/>
    </w:rPr>
  </w:style>
  <w:style w:type="character" w:customStyle="1" w:styleId="CommentSubjectChar">
    <w:name w:val="Comment Subject Char"/>
    <w:basedOn w:val="CommentTextChar"/>
    <w:link w:val="CommentSubject"/>
    <w:uiPriority w:val="99"/>
    <w:semiHidden/>
    <w:rsid w:val="006071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edscoop.com/doge-arrives-at-homeland-security-biometrics-operations/" TargetMode="External"/><Relationship Id="rId2" Type="http://schemas.openxmlformats.org/officeDocument/2006/relationships/hyperlink" Target="https://sciencepolicy.hsites.harvard.edu/blog/racial-discrimination-face-recognition-technology" TargetMode="External"/><Relationship Id="rId1" Type="http://schemas.openxmlformats.org/officeDocument/2006/relationships/hyperlink" Target="https://www.dhs.gov/privacy-documents-office-biometric-identity-management-ob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Cristina Rodriguez</cp:lastModifiedBy>
  <cp:revision>2</cp:revision>
  <dcterms:created xsi:type="dcterms:W3CDTF">2025-06-04T21:05:00Z</dcterms:created>
  <dcterms:modified xsi:type="dcterms:W3CDTF">2025-06-04T21:05:00Z</dcterms:modified>
</cp:coreProperties>
</file>