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4403" w:rsidRPr="00D34403" w:rsidP="00D34403" w14:paraId="2B2039C1" w14:textId="77777777">
      <w:pPr>
        <w:tabs>
          <w:tab w:val="left" w:pos="0"/>
          <w:tab w:val="left" w:pos="360"/>
          <w:tab w:val="right" w:pos="9000"/>
          <w:tab w:val="left" w:pos="9360"/>
        </w:tabs>
        <w:suppressAutoHyphens/>
        <w:spacing w:after="0" w:line="240" w:lineRule="auto"/>
        <w:rPr>
          <w:rFonts w:ascii="Times New Roman" w:eastAsia="Times New Roman" w:hAnsi="Times New Roman" w:cs="Times New Roman"/>
          <w:color w:val="FFFFFF"/>
          <w:sz w:val="24"/>
          <w:szCs w:val="24"/>
        </w:rPr>
      </w:pPr>
      <w:r w:rsidRPr="00D34403">
        <w:rPr>
          <w:rFonts w:ascii="Times New Roman" w:eastAsia="Times New Roman" w:hAnsi="Times New Roman" w:cs="Times New Roman"/>
          <w:sz w:val="24"/>
          <w:szCs w:val="24"/>
        </w:rPr>
        <w:t>Tracking and OMB Number: (7-OB) 1820-0608</w:t>
      </w:r>
    </w:p>
    <w:p w:rsidR="00D34403" w:rsidRPr="00D34403" w:rsidP="00D34403" w14:paraId="0E545E8F" w14:textId="439B0F77">
      <w:pPr>
        <w:tabs>
          <w:tab w:val="left" w:pos="0"/>
          <w:tab w:val="left" w:pos="360"/>
          <w:tab w:val="right" w:pos="9000"/>
          <w:tab w:val="left" w:pos="9360"/>
        </w:tabs>
        <w:suppressAutoHyphens/>
        <w:spacing w:after="0" w:line="240" w:lineRule="auto"/>
        <w:rPr>
          <w:rFonts w:ascii="Times New Roman" w:eastAsia="Times New Roman" w:hAnsi="Times New Roman" w:cs="Times New Roman"/>
          <w:color w:val="FFFFFF"/>
          <w:sz w:val="24"/>
          <w:szCs w:val="24"/>
        </w:rPr>
      </w:pPr>
      <w:r w:rsidRPr="00D34403">
        <w:rPr>
          <w:rFonts w:ascii="Times New Roman" w:eastAsia="Times New Roman" w:hAnsi="Times New Roman" w:cs="Times New Roman"/>
          <w:sz w:val="24"/>
          <w:szCs w:val="24"/>
        </w:rPr>
        <w:t xml:space="preserve">Revised: </w:t>
      </w:r>
      <w:r w:rsidR="004012D0">
        <w:rPr>
          <w:rFonts w:ascii="Times New Roman" w:eastAsia="Times New Roman" w:hAnsi="Times New Roman" w:cs="Times New Roman"/>
          <w:sz w:val="24"/>
          <w:szCs w:val="24"/>
        </w:rPr>
        <w:t>12</w:t>
      </w:r>
      <w:r w:rsidRPr="00D34403">
        <w:rPr>
          <w:rFonts w:ascii="Times New Roman" w:eastAsia="Times New Roman" w:hAnsi="Times New Roman" w:cs="Times New Roman"/>
          <w:sz w:val="24"/>
          <w:szCs w:val="24"/>
        </w:rPr>
        <w:t>/</w:t>
      </w:r>
      <w:r w:rsidR="004012D0">
        <w:rPr>
          <w:rFonts w:ascii="Times New Roman" w:eastAsia="Times New Roman" w:hAnsi="Times New Roman" w:cs="Times New Roman"/>
          <w:sz w:val="24"/>
          <w:szCs w:val="24"/>
        </w:rPr>
        <w:t>28</w:t>
      </w:r>
      <w:r w:rsidRPr="00D34403">
        <w:rPr>
          <w:rFonts w:ascii="Times New Roman" w:eastAsia="Times New Roman" w:hAnsi="Times New Roman" w:cs="Times New Roman"/>
          <w:sz w:val="24"/>
          <w:szCs w:val="24"/>
        </w:rPr>
        <w:t>/2022</w:t>
      </w:r>
    </w:p>
    <w:p w:rsidR="00D34403" w:rsidRPr="00D34403" w:rsidP="00D34403" w14:paraId="55BC4553" w14:textId="77777777">
      <w:pPr>
        <w:spacing w:after="0" w:line="240" w:lineRule="auto"/>
        <w:jc w:val="center"/>
        <w:outlineLvl w:val="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SUPPORTING STATEMENT</w:t>
      </w:r>
    </w:p>
    <w:p w:rsidR="00D34403" w:rsidRPr="00D34403" w:rsidP="00D34403" w14:paraId="32BC75E4" w14:textId="77777777">
      <w:pPr>
        <w:spacing w:after="0" w:line="240" w:lineRule="auto"/>
        <w:jc w:val="center"/>
        <w:outlineLvl w:val="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FOR PAPERWORK REDUCTION ACT SUBMISSION</w:t>
      </w:r>
    </w:p>
    <w:p w:rsidR="00D34403" w:rsidRPr="00D34403" w:rsidP="00D34403" w14:paraId="03038585" w14:textId="77777777">
      <w:pPr>
        <w:tabs>
          <w:tab w:val="left" w:pos="0"/>
        </w:tabs>
        <w:suppressAutoHyphens/>
        <w:spacing w:after="0" w:line="240" w:lineRule="auto"/>
        <w:rPr>
          <w:rFonts w:ascii="Times New Roman" w:eastAsia="Times New Roman" w:hAnsi="Times New Roman" w:cs="Times New Roman"/>
          <w:sz w:val="24"/>
          <w:szCs w:val="24"/>
        </w:rPr>
      </w:pPr>
    </w:p>
    <w:p w:rsidR="00D34403" w:rsidRPr="00D34403" w:rsidP="00D34403" w14:paraId="3926030D" w14:textId="77777777">
      <w:pPr>
        <w:numPr>
          <w:ilvl w:val="0"/>
          <w:numId w:val="4"/>
        </w:numPr>
        <w:suppressAutoHyphens/>
        <w:spacing w:after="0" w:line="240" w:lineRule="exact"/>
        <w:rPr>
          <w:rFonts w:ascii="Times New Roman" w:eastAsia="Times New Roman" w:hAnsi="Times New Roman" w:cs="Times New Roman"/>
          <w:b/>
          <w:sz w:val="24"/>
          <w:szCs w:val="24"/>
        </w:rPr>
      </w:pPr>
      <w:r w:rsidRPr="00D34403">
        <w:rPr>
          <w:rFonts w:ascii="Times New Roman" w:eastAsia="Times New Roman" w:hAnsi="Times New Roman" w:cs="Times New Roman"/>
          <w:b/>
          <w:bCs/>
          <w:sz w:val="24"/>
          <w:szCs w:val="24"/>
        </w:rPr>
        <w:t>Explain the circumstances</w:t>
      </w:r>
      <w:r w:rsidRPr="00D34403">
        <w:rPr>
          <w:rFonts w:ascii="Times New Roman" w:eastAsia="Times New Roman" w:hAnsi="Times New Roman" w:cs="Times New Roman"/>
          <w:b/>
          <w:sz w:val="24"/>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D34403" w:rsidRPr="00D34403" w:rsidP="00D34403" w14:paraId="024FEB5C" w14:textId="77777777">
      <w:pPr>
        <w:suppressAutoHyphens/>
        <w:spacing w:after="0" w:line="240" w:lineRule="exact"/>
        <w:ind w:left="720"/>
        <w:rPr>
          <w:rFonts w:ascii="Times New Roman" w:eastAsia="Times New Roman" w:hAnsi="Times New Roman" w:cs="Times New Roman"/>
          <w:b/>
          <w:sz w:val="24"/>
          <w:szCs w:val="24"/>
        </w:rPr>
      </w:pPr>
    </w:p>
    <w:p w:rsidR="00D34403" w:rsidRPr="00D34403" w:rsidP="00D34403" w14:paraId="4F04E689" w14:textId="270D7A29">
      <w:pPr>
        <w:suppressAutoHyphens/>
        <w:spacing w:after="0" w:line="240" w:lineRule="exact"/>
        <w:ind w:left="720"/>
        <w:contextualSpacing/>
        <w:rPr>
          <w:rFonts w:ascii="Times New Roman" w:eastAsia="Times New Roman" w:hAnsi="Times New Roman" w:cs="Times New Roman"/>
          <w:sz w:val="24"/>
          <w:szCs w:val="24"/>
        </w:rPr>
      </w:pPr>
      <w:r w:rsidRPr="00373092">
        <w:rPr>
          <w:rFonts w:ascii="Times New Roman" w:eastAsia="Times New Roman" w:hAnsi="Times New Roman" w:cs="Times New Roman"/>
          <w:sz w:val="24"/>
          <w:szCs w:val="24"/>
        </w:rPr>
        <w:t>This is a</w:t>
      </w:r>
      <w:r w:rsidR="00BE3C8F">
        <w:rPr>
          <w:rFonts w:ascii="Times New Roman" w:eastAsia="Times New Roman" w:hAnsi="Times New Roman" w:cs="Times New Roman"/>
          <w:sz w:val="24"/>
          <w:szCs w:val="24"/>
        </w:rPr>
        <w:t xml:space="preserve"> revision </w:t>
      </w:r>
      <w:r w:rsidRPr="00373092">
        <w:rPr>
          <w:rFonts w:ascii="Times New Roman" w:eastAsia="Times New Roman" w:hAnsi="Times New Roman" w:cs="Times New Roman"/>
          <w:sz w:val="24"/>
          <w:szCs w:val="24"/>
        </w:rPr>
        <w:t>request for RSA-1820-0608, Independent Living Services for Older Individuals Who are Blind Annual Report (7-OB).</w:t>
      </w:r>
      <w:r w:rsidR="003B2BCD">
        <w:rPr>
          <w:rFonts w:ascii="Times New Roman" w:eastAsia="Times New Roman" w:hAnsi="Times New Roman" w:cs="Times New Roman"/>
          <w:sz w:val="24"/>
          <w:szCs w:val="24"/>
        </w:rPr>
        <w:t xml:space="preserve"> Section 7</w:t>
      </w:r>
      <w:r w:rsidRPr="00D34403">
        <w:rPr>
          <w:rFonts w:ascii="Times New Roman" w:eastAsia="Times New Roman" w:hAnsi="Times New Roman" w:cs="Times New Roman"/>
          <w:sz w:val="24"/>
          <w:szCs w:val="24"/>
        </w:rPr>
        <w:t xml:space="preserve">52(h)(2) of the Rehabilitation Act of 1973, as amended by Title IV of the Workforce Innovation and Opportunity Act (Rehabilitation Act), and the implementing regulations in 34 C.F.R. § 367.31(c) require each grantee under the Independent Living Services for Older Individuals Who Are Blind (IL-OIB) program to submit an annual report to the Commissioner of the Rehabilitation Services Administration (RSA) on essential demographic, service, and outcome information.  </w:t>
      </w:r>
    </w:p>
    <w:p w:rsidR="00D34403" w:rsidRPr="00D34403" w:rsidP="00D34403" w14:paraId="0A0D05DE" w14:textId="77777777">
      <w:pPr>
        <w:suppressAutoHyphens/>
        <w:spacing w:after="0" w:line="240" w:lineRule="exact"/>
        <w:ind w:left="720"/>
        <w:contextualSpacing/>
        <w:rPr>
          <w:rFonts w:ascii="Times New Roman" w:eastAsia="Times New Roman" w:hAnsi="Times New Roman" w:cs="Times New Roman"/>
          <w:sz w:val="24"/>
          <w:szCs w:val="24"/>
        </w:rPr>
      </w:pPr>
    </w:p>
    <w:p w:rsidR="00D34403" w:rsidRPr="00D34403" w:rsidP="00D34403" w14:paraId="30A6D5F0" w14:textId="77777777">
      <w:pPr>
        <w:suppressAutoHyphens/>
        <w:spacing w:after="0" w:line="240" w:lineRule="exact"/>
        <w:ind w:left="720"/>
        <w:contextualSpacing/>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revisions to the currently approved form and instructions include the removal of duplicative and confusing data elements as well as those not specifically required by statute or used for statutorily required activities. RSA is proposing numerous edits in an effort to streamline this data collection and to clarify instructions for grantees.</w:t>
      </w:r>
    </w:p>
    <w:p w:rsidR="00D34403" w:rsidRPr="00D34403" w:rsidP="00D34403" w14:paraId="0B6A2C30" w14:textId="77777777">
      <w:pPr>
        <w:suppressAutoHyphens/>
        <w:spacing w:after="0" w:line="240" w:lineRule="exact"/>
        <w:ind w:left="720"/>
        <w:rPr>
          <w:rFonts w:ascii="Times New Roman" w:eastAsia="Times New Roman" w:hAnsi="Times New Roman" w:cs="Times New Roman"/>
          <w:sz w:val="24"/>
          <w:szCs w:val="24"/>
        </w:rPr>
      </w:pPr>
    </w:p>
    <w:p w:rsidR="00D34403" w:rsidRPr="00D34403" w:rsidP="00D34403" w14:paraId="032DD24E" w14:textId="77777777">
      <w:pPr>
        <w:numPr>
          <w:ilvl w:val="0"/>
          <w:numId w:val="4"/>
        </w:numPr>
        <w:suppressAutoHyphens/>
        <w:spacing w:after="0" w:line="240" w:lineRule="exact"/>
        <w:rPr>
          <w:rFonts w:ascii="Times New Roman" w:eastAsia="Times New Roman" w:hAnsi="Times New Roman" w:cs="Times New Roman"/>
          <w:sz w:val="24"/>
          <w:szCs w:val="24"/>
        </w:rPr>
      </w:pPr>
      <w:r w:rsidRPr="00D34403">
        <w:rPr>
          <w:rFonts w:ascii="Times New Roman" w:eastAsia="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D34403" w:rsidRPr="00D34403" w:rsidP="00D34403" w14:paraId="0FE9BBE7" w14:textId="77777777">
      <w:pPr>
        <w:suppressAutoHyphens/>
        <w:spacing w:after="0" w:line="240" w:lineRule="exact"/>
        <w:ind w:left="720"/>
        <w:rPr>
          <w:rFonts w:ascii="Times New Roman" w:eastAsia="Times New Roman" w:hAnsi="Times New Roman" w:cs="Times New Roman"/>
          <w:sz w:val="24"/>
          <w:szCs w:val="24"/>
        </w:rPr>
      </w:pPr>
    </w:p>
    <w:p w:rsidR="00D34403" w:rsidRPr="00D34403" w:rsidP="00D34403" w14:paraId="14DA3DED" w14:textId="77777777">
      <w:pPr>
        <w:suppressAutoHyphens/>
        <w:spacing w:after="0" w:line="240" w:lineRule="exact"/>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information RSA collects is used to evaluate the effectiveness of the IL-OIB program, including calculating the Government Performance and Results Act (GPRA) measures. The information also provides RSA with a uniform and efficient method of monitoring the program for compliance with statutory and regulatory requirements. Information gathered by this data collection is also used in RSA’s annual report to Congress and in Congressional budget justifications.</w:t>
      </w:r>
    </w:p>
    <w:p w:rsidR="00D34403" w:rsidRPr="00D34403" w:rsidP="00D34403" w14:paraId="13866FA3" w14:textId="77777777">
      <w:pPr>
        <w:suppressAutoHyphens/>
        <w:spacing w:after="0" w:line="240" w:lineRule="exact"/>
        <w:rPr>
          <w:rFonts w:ascii="Times New Roman" w:eastAsia="Times New Roman" w:hAnsi="Times New Roman" w:cs="Times New Roman"/>
          <w:sz w:val="24"/>
          <w:szCs w:val="24"/>
        </w:rPr>
      </w:pPr>
    </w:p>
    <w:p w:rsidR="00D34403" w:rsidRPr="00D34403" w:rsidP="00D34403" w14:paraId="27757F15" w14:textId="77777777">
      <w:pPr>
        <w:numPr>
          <w:ilvl w:val="0"/>
          <w:numId w:val="4"/>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D34403" w:rsidRPr="00D34403" w:rsidP="00D34403" w14:paraId="61990B50" w14:textId="77777777">
      <w:pPr>
        <w:tabs>
          <w:tab w:val="left" w:pos="-720"/>
        </w:tabs>
        <w:suppressAutoHyphens/>
        <w:spacing w:after="0" w:line="240" w:lineRule="auto"/>
        <w:ind w:left="720"/>
        <w:rPr>
          <w:rFonts w:ascii="Times New Roman" w:eastAsia="Times New Roman" w:hAnsi="Times New Roman" w:cs="Times New Roman"/>
          <w:sz w:val="24"/>
          <w:szCs w:val="24"/>
        </w:rPr>
      </w:pPr>
    </w:p>
    <w:p w:rsidR="00D34403" w:rsidRPr="00D34403" w:rsidP="00D34403" w14:paraId="4753EF3A" w14:textId="77777777">
      <w:pPr>
        <w:tabs>
          <w:tab w:val="left" w:pos="-720"/>
        </w:tabs>
        <w:suppressAutoHyphens/>
        <w:spacing w:after="0" w:line="240" w:lineRule="auto"/>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 xml:space="preserve">This collection uses the online reporting system through the RSA Management Information System (MIS), enabling all States to submit their information electronically. This system provides respondents a mechanism for submitting required information more quickly and easily. MIS also auto-calculates numbers and identifies errors before reports can be submitted, which reduces both State and Federal Government burden by allowing States to correct errors quickly and easily before the reports are submitted to the Federal Government for review.  </w:t>
      </w:r>
    </w:p>
    <w:p w:rsidR="00D34403" w:rsidRPr="00D34403" w:rsidP="00D34403" w14:paraId="7A0D64E0" w14:textId="77777777">
      <w:pPr>
        <w:tabs>
          <w:tab w:val="left" w:pos="-720"/>
        </w:tabs>
        <w:suppressAutoHyphens/>
        <w:spacing w:after="0" w:line="240" w:lineRule="auto"/>
        <w:ind w:left="720"/>
        <w:rPr>
          <w:rFonts w:ascii="Times New Roman" w:eastAsia="Times New Roman" w:hAnsi="Times New Roman" w:cs="Times New Roman"/>
          <w:sz w:val="24"/>
          <w:szCs w:val="24"/>
        </w:rPr>
      </w:pPr>
    </w:p>
    <w:p w:rsidR="00D34403" w:rsidRPr="00D34403" w:rsidP="00D34403" w14:paraId="6EE3D949" w14:textId="77777777">
      <w:pPr>
        <w:numPr>
          <w:ilvl w:val="0"/>
          <w:numId w:val="4"/>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D34403" w:rsidRPr="00D34403" w:rsidP="00D34403" w14:paraId="3613C5B9" w14:textId="77777777">
      <w:pPr>
        <w:tabs>
          <w:tab w:val="left" w:pos="-720"/>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2F951BF5" w14:textId="77777777">
      <w:pPr>
        <w:tabs>
          <w:tab w:val="left" w:pos="-720"/>
        </w:tabs>
        <w:suppressAutoHyphens/>
        <w:spacing w:after="0" w:line="240" w:lineRule="auto"/>
        <w:ind w:left="720"/>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This is the only data collection instrument used for this purpose. There is no duplication of the data collected here with any other information collection.</w:t>
      </w:r>
    </w:p>
    <w:p w:rsidR="00D34403" w:rsidRPr="00D34403" w:rsidP="00D34403" w14:paraId="065E4001" w14:textId="77777777">
      <w:pPr>
        <w:numPr>
          <w:ilvl w:val="0"/>
          <w:numId w:val="4"/>
        </w:numPr>
        <w:spacing w:before="240"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34403" w:rsidRPr="00D34403" w:rsidP="00D34403" w14:paraId="68CA0A1A" w14:textId="77777777">
      <w:pPr>
        <w:spacing w:after="0" w:line="240" w:lineRule="auto"/>
        <w:ind w:left="720"/>
        <w:rPr>
          <w:rFonts w:ascii="Times New Roman" w:eastAsia="Times New Roman" w:hAnsi="Times New Roman" w:cs="Times New Roman"/>
          <w:sz w:val="24"/>
          <w:szCs w:val="24"/>
        </w:rPr>
      </w:pPr>
    </w:p>
    <w:p w:rsidR="00D34403" w:rsidRPr="00D34403" w:rsidP="00D34403" w14:paraId="29F279F0" w14:textId="77777777">
      <w:pPr>
        <w:spacing w:after="0" w:line="240" w:lineRule="auto"/>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This collection does not impact small businesses or other small entities.</w:t>
      </w:r>
    </w:p>
    <w:p w:rsidR="00D34403" w:rsidRPr="00D34403" w:rsidP="00D34403" w14:paraId="563CB4A4" w14:textId="77777777">
      <w:pPr>
        <w:spacing w:after="0" w:line="240" w:lineRule="auto"/>
        <w:ind w:left="720"/>
        <w:rPr>
          <w:rFonts w:ascii="Times New Roman" w:eastAsia="Times New Roman" w:hAnsi="Times New Roman" w:cs="Times New Roman"/>
          <w:sz w:val="24"/>
          <w:szCs w:val="24"/>
        </w:rPr>
      </w:pPr>
    </w:p>
    <w:p w:rsidR="00D34403" w:rsidRPr="00D34403" w:rsidP="00D34403" w14:paraId="71EAEA37" w14:textId="77777777">
      <w:pPr>
        <w:numPr>
          <w:ilvl w:val="0"/>
          <w:numId w:val="4"/>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D34403" w:rsidRPr="00D34403" w:rsidP="00D34403" w14:paraId="5C283CBC"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0EAEE2C6" w14:textId="77777777">
      <w:pPr>
        <w:tabs>
          <w:tab w:val="left" w:pos="-720"/>
        </w:tabs>
        <w:suppressAutoHyphens/>
        <w:spacing w:after="0" w:line="240" w:lineRule="auto"/>
        <w:ind w:left="720"/>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An annual collection is required under Section 752(h)(2) of the Rehabilitation Act and is necessary for the RSA Commissioner to respond to the legislative requirement for an annual report to the President and to Congress as mandated by Section 13 of the Rehabilitation Act. These data must also be collected annually for RSA to determine whether grantees are making substantial progress toward achieving their goals and objectives.</w:t>
      </w:r>
    </w:p>
    <w:p w:rsidR="00D34403" w:rsidRPr="00D34403" w:rsidP="00D34403" w14:paraId="663E7DAD"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06683516" w14:textId="77777777">
      <w:pPr>
        <w:numPr>
          <w:ilvl w:val="0"/>
          <w:numId w:val="4"/>
        </w:numPr>
        <w:tabs>
          <w:tab w:val="left" w:pos="-720"/>
        </w:tabs>
        <w:suppressAutoHyphens/>
        <w:spacing w:after="0" w:line="240" w:lineRule="auto"/>
        <w:contextualSpacing/>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Explain any special circumstances that would cause an information collection to be conducted in a manner:</w:t>
      </w:r>
    </w:p>
    <w:p w:rsidR="00D34403" w:rsidRPr="00D34403" w:rsidP="00D34403" w14:paraId="66C93B4C"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50F4B630"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report information to the agency more often than quarterly;</w:t>
      </w:r>
    </w:p>
    <w:p w:rsidR="00D34403" w:rsidRPr="00D34403" w:rsidP="00D34403" w14:paraId="56FE38A3" w14:textId="77777777">
      <w:pPr>
        <w:numPr>
          <w:ilvl w:val="12"/>
          <w:numId w:val="0"/>
        </w:numPr>
        <w:tabs>
          <w:tab w:val="left" w:pos="-720"/>
        </w:tabs>
        <w:suppressAutoHyphens/>
        <w:spacing w:after="0" w:line="240" w:lineRule="auto"/>
        <w:ind w:left="340"/>
        <w:rPr>
          <w:rFonts w:ascii="Times New Roman" w:eastAsia="Times New Roman" w:hAnsi="Times New Roman" w:cs="Times New Roman"/>
          <w:b/>
          <w:sz w:val="24"/>
          <w:szCs w:val="24"/>
        </w:rPr>
      </w:pPr>
    </w:p>
    <w:p w:rsidR="00D34403" w:rsidRPr="00D34403" w:rsidP="00D34403" w14:paraId="71CF9FF3"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prepare a written response to a collection of information in fewer than 30 days after receipt of it;</w:t>
      </w:r>
    </w:p>
    <w:p w:rsidR="00D34403" w:rsidRPr="00D34403" w:rsidP="00D34403" w14:paraId="45382C35"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1704BBB5"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submit more than an original and two copies of any document;</w:t>
      </w:r>
    </w:p>
    <w:p w:rsidR="00D34403" w:rsidRPr="00D34403" w:rsidP="00D34403" w14:paraId="2BA1C90D"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78AAB755"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rsidR="00D34403" w:rsidRPr="00D34403" w:rsidP="00D34403" w14:paraId="48484040"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16D5A135"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in connection with a statistical survey, that is not designed to produce valid and reliable results than can be generalized to the universe of study;</w:t>
      </w:r>
    </w:p>
    <w:p w:rsidR="00D34403" w:rsidRPr="00D34403" w:rsidP="00D34403" w14:paraId="1C962C72"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4833E21D"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the use of a statistical data classification that has not been reviewed and approved by OMB;</w:t>
      </w:r>
    </w:p>
    <w:p w:rsidR="00D34403" w:rsidRPr="00D34403" w:rsidP="00D34403" w14:paraId="09763E11"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1837C940"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D34403" w:rsidRPr="00D34403" w:rsidP="00D34403" w14:paraId="2F306322" w14:textId="77777777">
      <w:pPr>
        <w:numPr>
          <w:ilvl w:val="12"/>
          <w:numId w:val="0"/>
        </w:num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6E57E2BF" w14:textId="77777777">
      <w:pPr>
        <w:numPr>
          <w:ilvl w:val="0"/>
          <w:numId w:val="3"/>
        </w:num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34403" w:rsidRPr="00D34403" w:rsidP="00D34403" w14:paraId="3CA29998" w14:textId="77777777">
      <w:pPr>
        <w:spacing w:after="0" w:line="240" w:lineRule="auto"/>
        <w:ind w:left="720"/>
        <w:contextualSpacing/>
        <w:rPr>
          <w:rFonts w:ascii="Times New Roman" w:eastAsia="Times New Roman" w:hAnsi="Times New Roman" w:cs="Times New Roman"/>
          <w:b/>
          <w:sz w:val="24"/>
          <w:szCs w:val="24"/>
        </w:rPr>
      </w:pPr>
    </w:p>
    <w:p w:rsidR="00D34403" w:rsidRPr="00D34403" w:rsidP="00D34403" w14:paraId="44EB3EC0" w14:textId="77777777">
      <w:pPr>
        <w:tabs>
          <w:tab w:val="left" w:pos="-720"/>
        </w:tabs>
        <w:suppressAutoHyphens/>
        <w:spacing w:after="0" w:line="240" w:lineRule="auto"/>
        <w:ind w:left="108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There are no special circumstances that would require this information to be collected in a manner as described in the eight bullets in this question.</w:t>
      </w:r>
    </w:p>
    <w:p w:rsidR="00D34403" w:rsidRPr="00D34403" w:rsidP="00D34403" w14:paraId="0FD3201F"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31840CF8" w14:textId="77777777">
      <w:pPr>
        <w:numPr>
          <w:ilvl w:val="0"/>
          <w:numId w:val="5"/>
        </w:numPr>
        <w:tabs>
          <w:tab w:val="left" w:pos="-720"/>
          <w:tab w:val="left" w:pos="375"/>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As applicable, state that the Department has published the 60 and 30 Federal Register notices as required by 5 CFR 1320.8(d), soliciting comments on the information collection prior to submission to OMB.</w:t>
      </w:r>
    </w:p>
    <w:p w:rsidR="00D34403" w:rsidRPr="00D34403" w:rsidP="00D34403" w14:paraId="31F2596A" w14:textId="77777777">
      <w:pPr>
        <w:tabs>
          <w:tab w:val="left" w:pos="-720"/>
          <w:tab w:val="left" w:pos="375"/>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395D10C0" w14:textId="77777777">
      <w:pPr>
        <w:tabs>
          <w:tab w:val="left" w:pos="-720"/>
          <w:tab w:val="left" w:pos="375"/>
        </w:tabs>
        <w:suppressAutoHyphens/>
        <w:spacing w:after="0" w:line="240" w:lineRule="auto"/>
        <w:ind w:left="72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D34403" w:rsidRPr="00D34403" w:rsidP="00D34403" w14:paraId="4258560A" w14:textId="77777777">
      <w:pPr>
        <w:tabs>
          <w:tab w:val="left" w:pos="-720"/>
          <w:tab w:val="left" w:pos="375"/>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51E991A0" w14:textId="77777777">
      <w:pPr>
        <w:tabs>
          <w:tab w:val="left" w:pos="-720"/>
          <w:tab w:val="left" w:pos="375"/>
        </w:tabs>
        <w:suppressAutoHyphens/>
        <w:spacing w:after="0" w:line="240" w:lineRule="auto"/>
        <w:ind w:left="72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For the 30 day notice, indicate that a notice will be published.</w:t>
      </w:r>
    </w:p>
    <w:p w:rsidR="00D34403" w:rsidRPr="00D34403" w:rsidP="00D34403" w14:paraId="088498B8" w14:textId="77777777">
      <w:pPr>
        <w:tabs>
          <w:tab w:val="left" w:pos="-720"/>
        </w:tabs>
        <w:suppressAutoHyphens/>
        <w:spacing w:after="0" w:line="240" w:lineRule="auto"/>
        <w:ind w:left="72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4403" w:rsidRPr="00D34403" w:rsidP="00D34403" w14:paraId="61E38C67"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718E4925" w14:textId="77777777">
      <w:pPr>
        <w:tabs>
          <w:tab w:val="left" w:pos="-720"/>
        </w:tabs>
        <w:suppressAutoHyphens/>
        <w:spacing w:after="0" w:line="240" w:lineRule="auto"/>
        <w:ind w:left="72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34403" w:rsidRPr="00D34403" w:rsidP="00D34403" w14:paraId="7A9908B3" w14:textId="77777777">
      <w:pPr>
        <w:tabs>
          <w:tab w:val="left" w:pos="-720"/>
        </w:tabs>
        <w:suppressAutoHyphens/>
        <w:spacing w:after="0" w:line="240" w:lineRule="auto"/>
        <w:ind w:left="720"/>
        <w:rPr>
          <w:rFonts w:ascii="Times New Roman" w:eastAsia="Times New Roman" w:hAnsi="Times New Roman" w:cs="Times New Roman"/>
          <w:b/>
          <w:sz w:val="24"/>
          <w:szCs w:val="24"/>
        </w:rPr>
      </w:pPr>
    </w:p>
    <w:p w:rsidR="00D34403" w:rsidP="00D34403" w14:paraId="5BEFA965" w14:textId="77777777">
      <w:pPr>
        <w:tabs>
          <w:tab w:val="left" w:pos="-720"/>
        </w:tabs>
        <w:suppressAutoHyphens/>
        <w:spacing w:after="0" w:line="240" w:lineRule="auto"/>
        <w:ind w:left="720"/>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 xml:space="preserve">During initial development, the National Council of State Agencies for the Blind and nearly 90 percent of the IL-OIB project directors reviewed the collection instrument and instructions. RSA considered all comments and suggestions and adopted several recommendations. In the spring of each year, RSA meets with the IL-OIB directors, and one of the topics always addressed is a review of any questions or concerns about this information collection. The proposed changes in this form and instructions were made in response to questions about the need for greater clarity and streamlining.   </w:t>
      </w:r>
    </w:p>
    <w:p w:rsidR="001D5242" w:rsidP="00D34403" w14:paraId="144276F7" w14:textId="77777777">
      <w:pPr>
        <w:tabs>
          <w:tab w:val="left" w:pos="-720"/>
        </w:tabs>
        <w:suppressAutoHyphens/>
        <w:spacing w:after="0" w:line="240" w:lineRule="auto"/>
        <w:ind w:left="720"/>
        <w:rPr>
          <w:rFonts w:ascii="Times New Roman" w:eastAsia="Times New Roman" w:hAnsi="Times New Roman" w:cs="Times New Roman"/>
          <w:bCs/>
          <w:sz w:val="24"/>
          <w:szCs w:val="24"/>
        </w:rPr>
      </w:pPr>
    </w:p>
    <w:p w:rsidR="007174CB" w:rsidP="007174CB" w14:paraId="518C7E4F" w14:textId="77777777">
      <w:pPr>
        <w:tabs>
          <w:tab w:val="left" w:pos="-720"/>
        </w:tabs>
        <w:suppressAutoHyphens/>
        <w:spacing w:after="0" w:line="240" w:lineRule="auto"/>
        <w:ind w:left="720"/>
        <w:rPr>
          <w:rFonts w:ascii="Times New Roman" w:eastAsia="Times New Roman" w:hAnsi="Times New Roman" w:cs="Times New Roman"/>
          <w:bCs/>
          <w:sz w:val="24"/>
          <w:szCs w:val="24"/>
        </w:rPr>
      </w:pPr>
      <w:r w:rsidRPr="00484145">
        <w:rPr>
          <w:rFonts w:ascii="Times New Roman" w:eastAsia="Times New Roman" w:hAnsi="Times New Roman" w:cs="Times New Roman"/>
          <w:bCs/>
          <w:sz w:val="24"/>
          <w:szCs w:val="24"/>
        </w:rPr>
        <w:t xml:space="preserve">A 60-day Federal Register Notice was published on October </w:t>
      </w:r>
      <w:r w:rsidRPr="00484145" w:rsidR="00484145">
        <w:rPr>
          <w:rFonts w:ascii="Times New Roman" w:eastAsia="Times New Roman" w:hAnsi="Times New Roman" w:cs="Times New Roman"/>
          <w:bCs/>
          <w:sz w:val="24"/>
          <w:szCs w:val="24"/>
        </w:rPr>
        <w:t>19</w:t>
      </w:r>
      <w:r w:rsidRPr="00484145">
        <w:rPr>
          <w:rFonts w:ascii="Times New Roman" w:eastAsia="Times New Roman" w:hAnsi="Times New Roman" w:cs="Times New Roman"/>
          <w:bCs/>
          <w:sz w:val="24"/>
          <w:szCs w:val="24"/>
        </w:rPr>
        <w:t>, 2022</w:t>
      </w:r>
      <w:r w:rsidRPr="00484145" w:rsidR="00A93AF1">
        <w:rPr>
          <w:rFonts w:ascii="Times New Roman" w:eastAsia="Times New Roman" w:hAnsi="Times New Roman" w:cs="Times New Roman"/>
          <w:bCs/>
          <w:sz w:val="24"/>
          <w:szCs w:val="24"/>
        </w:rPr>
        <w:t>, for which no comments were received</w:t>
      </w:r>
      <w:r w:rsidRPr="00484145">
        <w:rPr>
          <w:rFonts w:ascii="Times New Roman" w:eastAsia="Times New Roman" w:hAnsi="Times New Roman" w:cs="Times New Roman"/>
          <w:bCs/>
          <w:sz w:val="24"/>
          <w:szCs w:val="24"/>
        </w:rPr>
        <w:t xml:space="preserve">. A 30-day Federal Register Notice </w:t>
      </w:r>
      <w:r w:rsidR="00FF6C24">
        <w:rPr>
          <w:rFonts w:ascii="Times New Roman" w:eastAsia="Times New Roman" w:hAnsi="Times New Roman" w:cs="Times New Roman"/>
          <w:bCs/>
          <w:sz w:val="24"/>
          <w:szCs w:val="24"/>
        </w:rPr>
        <w:t>was</w:t>
      </w:r>
      <w:r w:rsidRPr="00484145">
        <w:rPr>
          <w:rFonts w:ascii="Times New Roman" w:eastAsia="Times New Roman" w:hAnsi="Times New Roman" w:cs="Times New Roman"/>
          <w:bCs/>
          <w:sz w:val="24"/>
          <w:szCs w:val="24"/>
        </w:rPr>
        <w:t xml:space="preserve"> publish</w:t>
      </w:r>
      <w:r w:rsidR="00FF6C24">
        <w:rPr>
          <w:rFonts w:ascii="Times New Roman" w:eastAsia="Times New Roman" w:hAnsi="Times New Roman" w:cs="Times New Roman"/>
          <w:bCs/>
          <w:sz w:val="24"/>
          <w:szCs w:val="24"/>
        </w:rPr>
        <w:t xml:space="preserve">ed on December </w:t>
      </w:r>
      <w:r>
        <w:rPr>
          <w:rFonts w:ascii="Times New Roman" w:eastAsia="Times New Roman" w:hAnsi="Times New Roman" w:cs="Times New Roman"/>
          <w:bCs/>
          <w:sz w:val="24"/>
          <w:szCs w:val="24"/>
        </w:rPr>
        <w:t>20</w:t>
      </w:r>
      <w:r w:rsidR="00FF6C24">
        <w:rPr>
          <w:rFonts w:ascii="Times New Roman" w:eastAsia="Times New Roman" w:hAnsi="Times New Roman" w:cs="Times New Roman"/>
          <w:bCs/>
          <w:sz w:val="24"/>
          <w:szCs w:val="24"/>
        </w:rPr>
        <w:t xml:space="preserve">, 2022. </w:t>
      </w:r>
    </w:p>
    <w:p w:rsidR="007174CB" w:rsidP="007174CB" w14:paraId="5E9FC88A" w14:textId="77777777">
      <w:pPr>
        <w:tabs>
          <w:tab w:val="left" w:pos="-720"/>
        </w:tabs>
        <w:suppressAutoHyphens/>
        <w:spacing w:after="0" w:line="240" w:lineRule="auto"/>
        <w:ind w:left="720"/>
        <w:rPr>
          <w:rFonts w:ascii="Times New Roman" w:eastAsia="Times New Roman" w:hAnsi="Times New Roman" w:cs="Times New Roman"/>
          <w:bCs/>
          <w:sz w:val="24"/>
          <w:szCs w:val="24"/>
        </w:rPr>
      </w:pPr>
    </w:p>
    <w:p w:rsidR="00D34403" w:rsidRPr="00D34403" w:rsidP="007174CB" w14:paraId="0A04FD40" w14:textId="15D67052">
      <w:pPr>
        <w:tabs>
          <w:tab w:val="left" w:pos="-720"/>
        </w:tabs>
        <w:suppressAutoHyphens/>
        <w:spacing w:after="0" w:line="240" w:lineRule="auto"/>
        <w:ind w:left="72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Explain any decision to provide any payment or gift to respondents, other than remuneration of contractors or grantees with meaningful justification.</w:t>
      </w:r>
    </w:p>
    <w:p w:rsidR="00D34403" w:rsidRPr="00D34403" w:rsidP="00D34403" w14:paraId="7C744242" w14:textId="77777777">
      <w:pPr>
        <w:tabs>
          <w:tab w:val="left" w:pos="-720"/>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131EDF28" w14:textId="77777777">
      <w:pPr>
        <w:tabs>
          <w:tab w:val="left" w:pos="-720"/>
        </w:tabs>
        <w:suppressAutoHyphens/>
        <w:spacing w:after="0" w:line="240" w:lineRule="auto"/>
        <w:ind w:left="720"/>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No payment or gift has been provided to respondents.</w:t>
      </w:r>
    </w:p>
    <w:p w:rsidR="00D34403" w:rsidRPr="00D34403" w:rsidP="00D34403" w14:paraId="2263BAB4" w14:textId="77777777">
      <w:pPr>
        <w:tabs>
          <w:tab w:val="left" w:pos="-720"/>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66FE5591" w14:textId="77777777">
      <w:pPr>
        <w:numPr>
          <w:ilvl w:val="0"/>
          <w:numId w:val="5"/>
        </w:numPr>
        <w:tabs>
          <w:tab w:val="left" w:pos="-720"/>
        </w:tabs>
        <w:suppressAutoHyphens/>
        <w:spacing w:after="0" w:line="240" w:lineRule="auto"/>
        <w:ind w:hanging="547"/>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Fonts w:ascii="Times New Roman" w:eastAsia="Times New Roman" w:hAnsi="Times New Roman" w:cs="Times New Roman"/>
          <w:b/>
          <w:sz w:val="24"/>
          <w:szCs w:val="24"/>
          <w:vertAlign w:val="superscript"/>
        </w:rPr>
        <w:footnoteReference w:id="2"/>
      </w:r>
      <w:r w:rsidRPr="00D34403">
        <w:rPr>
          <w:rFonts w:ascii="Times New Roman" w:eastAsia="Times New Roman" w:hAnsi="Times New Roman" w:cs="Times New Roman"/>
          <w:b/>
          <w:sz w:val="24"/>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34403" w:rsidRPr="00D34403" w:rsidP="00D34403" w14:paraId="46259522"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2AD7240D" w14:textId="77777777">
      <w:pPr>
        <w:tabs>
          <w:tab w:val="left" w:pos="-720"/>
        </w:tabs>
        <w:suppressAutoHyphens/>
        <w:spacing w:after="0" w:line="240" w:lineRule="auto"/>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information collection does not contain specific or personal information.</w:t>
      </w:r>
    </w:p>
    <w:p w:rsidR="00D34403" w:rsidRPr="00D34403" w:rsidP="00D34403" w14:paraId="1A8ED360"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744FDCBE" w14:textId="77777777">
      <w:pPr>
        <w:numPr>
          <w:ilvl w:val="0"/>
          <w:numId w:val="5"/>
        </w:numPr>
        <w:tabs>
          <w:tab w:val="left" w:pos="-720"/>
        </w:tabs>
        <w:suppressAutoHyphens/>
        <w:spacing w:after="0" w:line="240" w:lineRule="auto"/>
        <w:ind w:hanging="54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4403" w:rsidRPr="00D34403" w:rsidP="00D34403" w14:paraId="36D4612E"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0CA0FACE" w14:textId="77777777">
      <w:pPr>
        <w:tabs>
          <w:tab w:val="left" w:pos="-720"/>
        </w:tabs>
        <w:suppressAutoHyphens/>
        <w:spacing w:after="0" w:line="240" w:lineRule="auto"/>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information collection does not contain any questions of a sensitive nature.</w:t>
      </w:r>
    </w:p>
    <w:p w:rsidR="00D34403" w:rsidRPr="00D34403" w:rsidP="00D34403" w14:paraId="16C26331" w14:textId="77777777">
      <w:pPr>
        <w:tabs>
          <w:tab w:val="left" w:pos="-720"/>
        </w:tabs>
        <w:suppressAutoHyphens/>
        <w:spacing w:after="0" w:line="240" w:lineRule="auto"/>
        <w:ind w:left="180"/>
        <w:rPr>
          <w:rFonts w:ascii="Times New Roman" w:eastAsia="Times New Roman" w:hAnsi="Times New Roman" w:cs="Times New Roman"/>
          <w:sz w:val="24"/>
          <w:szCs w:val="24"/>
        </w:rPr>
      </w:pPr>
    </w:p>
    <w:p w:rsidR="00D34403" w:rsidRPr="00D34403" w:rsidP="00D34403" w14:paraId="3A6404AD" w14:textId="77777777">
      <w:pPr>
        <w:numPr>
          <w:ilvl w:val="0"/>
          <w:numId w:val="5"/>
        </w:numPr>
        <w:tabs>
          <w:tab w:val="left" w:pos="-720"/>
        </w:tabs>
        <w:suppressAutoHyphens/>
        <w:spacing w:after="0" w:line="240" w:lineRule="auto"/>
        <w:ind w:hanging="540"/>
        <w:contextualSpacing/>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Provide estimates of the hour burden for this current information collection request.  The statement should:</w:t>
      </w:r>
    </w:p>
    <w:p w:rsidR="00D34403" w:rsidRPr="00D34403" w:rsidP="00D34403" w14:paraId="2A142B54"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62CEFE1F"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D34403" w:rsidRPr="00D34403" w:rsidP="00D34403" w14:paraId="39F7C57A"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Please do not include increases in burden and respondents numerically in this table. Explain these changes in number 15.</w:t>
      </w:r>
    </w:p>
    <w:p w:rsidR="00D34403" w:rsidRPr="00D34403" w:rsidP="00D34403" w14:paraId="715FA778"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sz w:val="24"/>
          <w:szCs w:val="24"/>
        </w:rPr>
      </w:pPr>
      <w:r w:rsidRPr="00D34403">
        <w:rPr>
          <w:rFonts w:ascii="Times New Roman" w:eastAsia="Times New Roman" w:hAnsi="Times New Roman" w:cs="Times New Roman"/>
          <w:b/>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D34403" w:rsidRPr="00D34403" w:rsidP="00D34403" w14:paraId="7DA891BD"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If this request for approval covers more than one form, provide separate hour burden estimates for each form and aggregate the hour burden in the table below.</w:t>
      </w:r>
    </w:p>
    <w:p w:rsidR="00D34403" w:rsidRPr="00D34403" w:rsidP="00D34403" w14:paraId="46EBF646" w14:textId="77777777">
      <w:pPr>
        <w:numPr>
          <w:ilvl w:val="0"/>
          <w:numId w:val="2"/>
        </w:numPr>
        <w:tabs>
          <w:tab w:val="left" w:pos="-720"/>
          <w:tab w:val="left" w:pos="1247"/>
        </w:tabs>
        <w:suppressAutoHyphens/>
        <w:spacing w:after="0" w:line="240" w:lineRule="auto"/>
        <w:ind w:left="1166"/>
        <w:rPr>
          <w:rFonts w:ascii="Times New Roman" w:eastAsia="Times New Roman" w:hAnsi="Times New Roman" w:cs="Times New Roman"/>
          <w:sz w:val="24"/>
          <w:szCs w:val="24"/>
        </w:rPr>
      </w:pPr>
      <w:r w:rsidRPr="00D34403">
        <w:rPr>
          <w:rFonts w:ascii="Times New Roman" w:eastAsia="Times New Roman" w:hAnsi="Times New Roman" w:cs="Times New Roman"/>
          <w:b/>
          <w:sz w:val="24"/>
          <w:szCs w:val="24"/>
        </w:rPr>
        <w:t xml:space="preserve">Provide estimates of annualized cost to respondents of the hour burdens for collections of information, identifying and using appropriate wage rate categories. </w:t>
      </w:r>
      <w:hyperlink r:id="rId5" w:history="1">
        <w:r w:rsidRPr="00D34403">
          <w:rPr>
            <w:rFonts w:ascii="Times New Roman" w:eastAsia="Times New Roman" w:hAnsi="Times New Roman" w:cs="Times New Roman"/>
            <w:b/>
            <w:color w:val="0000FF"/>
            <w:sz w:val="24"/>
            <w:szCs w:val="24"/>
            <w:u w:val="single"/>
          </w:rPr>
          <w:t>Use this site</w:t>
        </w:r>
      </w:hyperlink>
      <w:r w:rsidRPr="00D34403">
        <w:rPr>
          <w:rFonts w:ascii="Times New Roman" w:eastAsia="Times New Roman" w:hAnsi="Times New Roman" w:cs="Times New Roman"/>
          <w:b/>
          <w:sz w:val="24"/>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D34403" w:rsidP="00D34403" w14:paraId="6553A395" w14:textId="77777777">
      <w:pPr>
        <w:tabs>
          <w:tab w:val="left" w:pos="-720"/>
          <w:tab w:val="left" w:pos="1247"/>
        </w:tabs>
        <w:suppressAutoHyphens/>
        <w:spacing w:after="0" w:line="240" w:lineRule="auto"/>
        <w:rPr>
          <w:rFonts w:ascii="Times New Roman" w:eastAsia="Times New Roman" w:hAnsi="Times New Roman" w:cs="Times New Roman"/>
          <w:b/>
          <w:sz w:val="24"/>
          <w:szCs w:val="24"/>
        </w:rPr>
      </w:pPr>
    </w:p>
    <w:p w:rsidR="00C57A64" w:rsidP="00D34403" w14:paraId="54B78842" w14:textId="77777777">
      <w:pPr>
        <w:tabs>
          <w:tab w:val="left" w:pos="-720"/>
          <w:tab w:val="left" w:pos="1247"/>
        </w:tabs>
        <w:suppressAutoHyphens/>
        <w:spacing w:after="0" w:line="240" w:lineRule="auto"/>
        <w:rPr>
          <w:rFonts w:ascii="Times New Roman" w:eastAsia="Times New Roman" w:hAnsi="Times New Roman" w:cs="Times New Roman"/>
          <w:b/>
          <w:sz w:val="24"/>
          <w:szCs w:val="24"/>
        </w:rPr>
      </w:pPr>
    </w:p>
    <w:p w:rsidR="00C57A64" w:rsidP="00D34403" w14:paraId="1FF332DB" w14:textId="77777777">
      <w:pPr>
        <w:tabs>
          <w:tab w:val="left" w:pos="-720"/>
          <w:tab w:val="left" w:pos="1247"/>
        </w:tabs>
        <w:suppressAutoHyphens/>
        <w:spacing w:after="0" w:line="240" w:lineRule="auto"/>
        <w:rPr>
          <w:rFonts w:ascii="Times New Roman" w:eastAsia="Times New Roman" w:hAnsi="Times New Roman" w:cs="Times New Roman"/>
          <w:b/>
          <w:sz w:val="24"/>
          <w:szCs w:val="24"/>
        </w:rPr>
      </w:pPr>
    </w:p>
    <w:p w:rsidR="00C57A64" w:rsidP="00D34403" w14:paraId="4FF2BE18" w14:textId="77777777">
      <w:pPr>
        <w:tabs>
          <w:tab w:val="left" w:pos="-720"/>
          <w:tab w:val="left" w:pos="1247"/>
        </w:tabs>
        <w:suppressAutoHyphens/>
        <w:spacing w:after="0" w:line="240" w:lineRule="auto"/>
        <w:rPr>
          <w:rFonts w:ascii="Times New Roman" w:eastAsia="Times New Roman" w:hAnsi="Times New Roman" w:cs="Times New Roman"/>
          <w:b/>
          <w:sz w:val="24"/>
          <w:szCs w:val="24"/>
        </w:rPr>
      </w:pPr>
    </w:p>
    <w:p w:rsidR="00C57A64" w:rsidP="00D34403" w14:paraId="2E7383F3" w14:textId="77777777">
      <w:pPr>
        <w:tabs>
          <w:tab w:val="left" w:pos="-720"/>
          <w:tab w:val="left" w:pos="1247"/>
        </w:tabs>
        <w:suppressAutoHyphens/>
        <w:spacing w:after="0" w:line="240" w:lineRule="auto"/>
        <w:rPr>
          <w:rFonts w:ascii="Times New Roman" w:eastAsia="Times New Roman" w:hAnsi="Times New Roman" w:cs="Times New Roman"/>
          <w:b/>
          <w:sz w:val="24"/>
          <w:szCs w:val="24"/>
        </w:rPr>
      </w:pPr>
    </w:p>
    <w:p w:rsidR="00C57A64" w:rsidP="00D34403" w14:paraId="2099C3F7" w14:textId="77777777">
      <w:pPr>
        <w:tabs>
          <w:tab w:val="left" w:pos="-720"/>
          <w:tab w:val="left" w:pos="1247"/>
        </w:tabs>
        <w:suppressAutoHyphens/>
        <w:spacing w:after="0" w:line="240" w:lineRule="auto"/>
        <w:rPr>
          <w:rFonts w:ascii="Times New Roman" w:eastAsia="Times New Roman" w:hAnsi="Times New Roman" w:cs="Times New Roman"/>
          <w:b/>
          <w:sz w:val="24"/>
          <w:szCs w:val="24"/>
        </w:rPr>
      </w:pPr>
    </w:p>
    <w:p w:rsidR="00C57A64" w:rsidRPr="00D34403" w:rsidP="00D34403" w14:paraId="45FFA788" w14:textId="77777777">
      <w:pPr>
        <w:tabs>
          <w:tab w:val="left" w:pos="-720"/>
          <w:tab w:val="left" w:pos="1247"/>
        </w:tabs>
        <w:suppressAutoHyphens/>
        <w:spacing w:after="0" w:line="240" w:lineRule="auto"/>
        <w:rPr>
          <w:rFonts w:ascii="Times New Roman" w:eastAsia="Times New Roman" w:hAnsi="Times New Roman" w:cs="Times New Roman"/>
          <w:b/>
          <w:sz w:val="24"/>
          <w:szCs w:val="24"/>
        </w:rPr>
      </w:pPr>
    </w:p>
    <w:p w:rsidR="00D34403" w:rsidRPr="00D34403" w:rsidP="00D34403" w14:paraId="7BCAED36" w14:textId="3AEE2A3B">
      <w:pPr>
        <w:tabs>
          <w:tab w:val="left" w:pos="-720"/>
        </w:tabs>
        <w:suppressAutoHyphens/>
        <w:spacing w:after="0" w:line="24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Based on previous iterations, the 56 respondents will take approximately 5 hours to complete the 7-OB Report</w:t>
      </w:r>
      <w:r w:rsidRPr="00D34403" w:rsidR="00FB2F94">
        <w:rPr>
          <w:rFonts w:ascii="Times New Roman" w:eastAsia="Times New Roman" w:hAnsi="Times New Roman" w:cs="Times New Roman"/>
          <w:b/>
          <w:sz w:val="26"/>
          <w:szCs w:val="26"/>
        </w:rPr>
        <w:t>.</w:t>
      </w:r>
    </w:p>
    <w:p w:rsidR="00D34403" w:rsidRPr="00D34403" w:rsidP="00D34403" w14:paraId="32FB2488" w14:textId="77777777">
      <w:pPr>
        <w:tabs>
          <w:tab w:val="left" w:pos="-720"/>
        </w:tabs>
        <w:suppressAutoHyphens/>
        <w:spacing w:after="0" w:line="240" w:lineRule="auto"/>
        <w:ind w:left="720"/>
        <w:contextualSpacing/>
        <w:rPr>
          <w:rFonts w:ascii="Times New Roman" w:eastAsia="Times New Roman" w:hAnsi="Times New Roman" w:cs="Times New Roman"/>
          <w:sz w:val="24"/>
          <w:szCs w:val="24"/>
        </w:rPr>
      </w:pPr>
    </w:p>
    <w:p w:rsidR="00D34403" w:rsidRPr="00D34403" w:rsidP="00D34403" w14:paraId="67B54F3E" w14:textId="77777777">
      <w:pPr>
        <w:spacing w:after="200" w:line="240" w:lineRule="auto"/>
        <w:jc w:val="center"/>
        <w:rPr>
          <w:rFonts w:ascii="Times New Roman" w:eastAsia="Times New Roman" w:hAnsi="Times New Roman" w:cs="Times New Roman"/>
          <w:b/>
          <w:bCs/>
          <w:color w:val="000000"/>
          <w:sz w:val="24"/>
          <w:szCs w:val="24"/>
        </w:rPr>
      </w:pPr>
      <w:r w:rsidRPr="00D34403">
        <w:rPr>
          <w:rFonts w:ascii="Times New Roman" w:eastAsia="Times New Roman" w:hAnsi="Times New Roman" w:cs="Times New Roman"/>
          <w:b/>
          <w:bCs/>
          <w:color w:val="000000"/>
          <w:sz w:val="24"/>
          <w:szCs w:val="24"/>
        </w:rPr>
        <w:t xml:space="preserve">Estimated </w:t>
      </w:r>
      <w:r w:rsidR="00D83F84">
        <w:rPr>
          <w:rFonts w:ascii="Times New Roman" w:eastAsia="Times New Roman" w:hAnsi="Times New Roman" w:cs="Times New Roman"/>
          <w:b/>
          <w:bCs/>
          <w:color w:val="000000"/>
          <w:sz w:val="24"/>
          <w:szCs w:val="24"/>
        </w:rPr>
        <w:t>A</w:t>
      </w:r>
      <w:r w:rsidRPr="00D34403">
        <w:rPr>
          <w:rFonts w:ascii="Times New Roman" w:eastAsia="Times New Roman" w:hAnsi="Times New Roman" w:cs="Times New Roman"/>
          <w:b/>
          <w:bCs/>
          <w:color w:val="000000"/>
          <w:sz w:val="24"/>
          <w:szCs w:val="24"/>
        </w:rPr>
        <w:t>nnual Burden and Respondent Cos</w:t>
      </w:r>
      <w:r w:rsidR="00D83F84">
        <w:rPr>
          <w:rFonts w:ascii="Times New Roman" w:eastAsia="Times New Roman" w:hAnsi="Times New Roman" w:cs="Times New Roman"/>
          <w:b/>
          <w:bCs/>
          <w:color w:val="000000"/>
          <w:sz w:val="24"/>
          <w:szCs w:val="24"/>
        </w:rPr>
        <w:t>t</w:t>
      </w:r>
      <w:r w:rsidRPr="00D34403">
        <w:rPr>
          <w:rFonts w:ascii="Times New Roman" w:eastAsia="Times New Roman" w:hAnsi="Times New Roman" w:cs="Times New Roman"/>
          <w:b/>
          <w:bCs/>
          <w:color w:val="000000"/>
          <w:sz w:val="24"/>
          <w:szCs w:val="24"/>
        </w:rPr>
        <w:t>s Table</w:t>
      </w:r>
      <w:r w:rsidR="00036418">
        <w:rPr>
          <w:rFonts w:ascii="Times New Roman" w:eastAsia="Times New Roman" w:hAnsi="Times New Roman" w:cs="Times New Roman"/>
          <w:b/>
          <w:bCs/>
          <w:color w:val="000000"/>
          <w:sz w:val="24"/>
          <w:szCs w:val="24"/>
        </w:rPr>
        <w:t xml:space="preserve">. </w:t>
      </w:r>
    </w:p>
    <w:tbl>
      <w:tblPr>
        <w:tblStyle w:val="TableGridLight1"/>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67E9C275" w14:textId="77777777" w:rsidTr="007369F7">
        <w:tblPrEx>
          <w:tblW w:w="11335" w:type="dxa"/>
          <w:tblLayout w:type="fixed"/>
          <w:tblLook w:val="0020"/>
        </w:tblPrEx>
        <w:trPr>
          <w:tblHeader/>
        </w:trPr>
        <w:tc>
          <w:tcPr>
            <w:tcW w:w="1345" w:type="dxa"/>
          </w:tcPr>
          <w:p w:rsidR="00D34403" w:rsidRPr="00D34403" w:rsidP="00D34403" w14:paraId="31ADF58F" w14:textId="77777777">
            <w:pPr>
              <w:jc w:val="center"/>
            </w:pPr>
          </w:p>
          <w:p w:rsidR="00D34403" w:rsidRPr="00D34403" w:rsidP="00D34403" w14:paraId="79B24856" w14:textId="77777777">
            <w:pPr>
              <w:jc w:val="center"/>
            </w:pPr>
          </w:p>
          <w:p w:rsidR="00D34403" w:rsidRPr="00D34403" w:rsidP="00D34403" w14:paraId="478DFFD5" w14:textId="77777777">
            <w:pPr>
              <w:jc w:val="center"/>
            </w:pPr>
            <w:r w:rsidRPr="00D34403">
              <w:t>Information Activity or IC (with type of respondent)</w:t>
            </w:r>
          </w:p>
        </w:tc>
        <w:tc>
          <w:tcPr>
            <w:tcW w:w="1265" w:type="dxa"/>
          </w:tcPr>
          <w:p w:rsidR="00D34403" w:rsidRPr="00D34403" w:rsidP="00D34403" w14:paraId="2D9C5A22" w14:textId="77777777">
            <w:pPr>
              <w:jc w:val="center"/>
            </w:pPr>
          </w:p>
          <w:p w:rsidR="00D34403" w:rsidRPr="00D34403" w:rsidP="00D34403" w14:paraId="623A9654" w14:textId="77777777">
            <w:pPr>
              <w:jc w:val="center"/>
            </w:pPr>
          </w:p>
          <w:p w:rsidR="00D34403" w:rsidRPr="00D34403" w:rsidP="00D34403" w14:paraId="7CA5F565" w14:textId="77777777">
            <w:pPr>
              <w:jc w:val="center"/>
            </w:pPr>
            <w:r w:rsidRPr="00D34403">
              <w:t xml:space="preserve">Sample Size </w:t>
            </w:r>
          </w:p>
        </w:tc>
        <w:tc>
          <w:tcPr>
            <w:tcW w:w="1255" w:type="dxa"/>
          </w:tcPr>
          <w:p w:rsidR="00D34403" w:rsidRPr="00D34403" w:rsidP="00D34403" w14:paraId="05C41E94" w14:textId="77777777">
            <w:pPr>
              <w:jc w:val="center"/>
            </w:pPr>
          </w:p>
          <w:p w:rsidR="00D34403" w:rsidRPr="00D34403" w:rsidP="00D34403" w14:paraId="4FD5C30B" w14:textId="77777777">
            <w:pPr>
              <w:shd w:val="clear" w:color="auto" w:fill="F2F2F2"/>
              <w:jc w:val="center"/>
            </w:pPr>
          </w:p>
          <w:p w:rsidR="00D34403" w:rsidRPr="00D34403" w:rsidP="00D34403" w14:paraId="56A86E70" w14:textId="77777777">
            <w:pPr>
              <w:shd w:val="clear" w:color="auto" w:fill="F2F2F2"/>
              <w:jc w:val="center"/>
            </w:pPr>
            <w:r w:rsidRPr="00D34403">
              <w:rPr>
                <w:shd w:val="clear" w:color="auto" w:fill="F2F2F2"/>
              </w:rPr>
              <w:t>Respondent Response Rate</w:t>
            </w:r>
          </w:p>
        </w:tc>
        <w:tc>
          <w:tcPr>
            <w:tcW w:w="1275" w:type="dxa"/>
          </w:tcPr>
          <w:p w:rsidR="00C57A64" w:rsidP="00D34403" w14:paraId="16A198AE" w14:textId="77777777">
            <w:pPr>
              <w:jc w:val="center"/>
            </w:pPr>
          </w:p>
          <w:p w:rsidR="00C57A64" w:rsidP="00D34403" w14:paraId="506B0475" w14:textId="77777777">
            <w:pPr>
              <w:jc w:val="center"/>
            </w:pPr>
          </w:p>
          <w:p w:rsidR="00D34403" w:rsidRPr="00D34403" w:rsidP="00D34403" w14:paraId="3496CDA7" w14:textId="77777777">
            <w:pPr>
              <w:jc w:val="center"/>
            </w:pPr>
            <w:r w:rsidRPr="00D34403">
              <w:t>Number of Respondents</w:t>
            </w:r>
          </w:p>
        </w:tc>
        <w:tc>
          <w:tcPr>
            <w:tcW w:w="1080" w:type="dxa"/>
          </w:tcPr>
          <w:p w:rsidR="00D34403" w:rsidRPr="00D34403" w:rsidP="00D34403" w14:paraId="185C4EA5" w14:textId="77777777">
            <w:pPr>
              <w:jc w:val="center"/>
            </w:pPr>
          </w:p>
          <w:p w:rsidR="00D34403" w:rsidRPr="00D34403" w:rsidP="00D34403" w14:paraId="2841D4A7" w14:textId="77777777">
            <w:pPr>
              <w:jc w:val="center"/>
            </w:pPr>
          </w:p>
          <w:p w:rsidR="00D34403" w:rsidRPr="00D34403" w:rsidP="00D34403" w14:paraId="0087D3CD" w14:textId="77777777">
            <w:pPr>
              <w:jc w:val="center"/>
            </w:pPr>
            <w:r w:rsidRPr="00D34403">
              <w:t>Number of Responses</w:t>
            </w:r>
          </w:p>
        </w:tc>
        <w:tc>
          <w:tcPr>
            <w:tcW w:w="1335" w:type="dxa"/>
          </w:tcPr>
          <w:p w:rsidR="00D34403" w:rsidRPr="00D34403" w:rsidP="00D34403" w14:paraId="75D51DBC" w14:textId="77777777">
            <w:pPr>
              <w:jc w:val="center"/>
            </w:pPr>
          </w:p>
          <w:p w:rsidR="00D34403" w:rsidRPr="00D34403" w:rsidP="00D34403" w14:paraId="0BE2B355" w14:textId="77777777">
            <w:pPr>
              <w:jc w:val="center"/>
            </w:pPr>
            <w:r w:rsidRPr="00D34403">
              <w:t>Average Burden Hours per Response</w:t>
            </w:r>
          </w:p>
        </w:tc>
        <w:tc>
          <w:tcPr>
            <w:tcW w:w="900" w:type="dxa"/>
          </w:tcPr>
          <w:p w:rsidR="00D34403" w:rsidRPr="00D34403" w:rsidP="00D34403" w14:paraId="13067077" w14:textId="77777777">
            <w:pPr>
              <w:jc w:val="center"/>
            </w:pPr>
          </w:p>
          <w:p w:rsidR="00D34403" w:rsidRPr="00D34403" w:rsidP="00D34403" w14:paraId="79153BA0" w14:textId="77777777">
            <w:r w:rsidRPr="00D34403">
              <w:t>Total Annual Burden Hours</w:t>
            </w:r>
          </w:p>
        </w:tc>
        <w:tc>
          <w:tcPr>
            <w:tcW w:w="1530" w:type="dxa"/>
          </w:tcPr>
          <w:p w:rsidR="00D34403" w:rsidRPr="00D34403" w:rsidP="00D34403" w14:paraId="3E9D6462" w14:textId="77777777">
            <w:pPr>
              <w:jc w:val="center"/>
            </w:pPr>
          </w:p>
          <w:p w:rsidR="00D34403" w:rsidRPr="00D34403" w:rsidP="00D34403" w14:paraId="3720D5CC" w14:textId="77777777">
            <w:pPr>
              <w:jc w:val="center"/>
            </w:pPr>
          </w:p>
          <w:p w:rsidR="00D34403" w:rsidRPr="00D34403" w:rsidP="00D34403" w14:paraId="01B6D6EB" w14:textId="77777777">
            <w:pPr>
              <w:jc w:val="center"/>
            </w:pPr>
            <w:r w:rsidRPr="00D34403">
              <w:t>Estimated Respondent Average Hourly Wage</w:t>
            </w:r>
          </w:p>
        </w:tc>
        <w:tc>
          <w:tcPr>
            <w:tcW w:w="1350" w:type="dxa"/>
          </w:tcPr>
          <w:p w:rsidR="00D34403" w:rsidRPr="00D34403" w:rsidP="00D34403" w14:paraId="5E5FA6BF" w14:textId="77777777">
            <w:pPr>
              <w:jc w:val="center"/>
            </w:pPr>
          </w:p>
          <w:p w:rsidR="00D34403" w:rsidRPr="00D34403" w:rsidP="00D34403" w14:paraId="168CE221" w14:textId="77777777">
            <w:pPr>
              <w:jc w:val="center"/>
            </w:pPr>
          </w:p>
          <w:p w:rsidR="00D34403" w:rsidRPr="00D34403" w:rsidP="00D34403" w14:paraId="35CBD651" w14:textId="77777777">
            <w:pPr>
              <w:jc w:val="center"/>
            </w:pPr>
            <w:r w:rsidRPr="00D34403">
              <w:t>Total Annual Costs (hourly wage x total burden hours)</w:t>
            </w:r>
          </w:p>
        </w:tc>
      </w:tr>
      <w:tr w14:paraId="57E40677" w14:textId="77777777" w:rsidTr="007369F7">
        <w:tblPrEx>
          <w:tblW w:w="11335" w:type="dxa"/>
          <w:tblLayout w:type="fixed"/>
          <w:tblLook w:val="0020"/>
        </w:tblPrEx>
        <w:tc>
          <w:tcPr>
            <w:tcW w:w="1345" w:type="dxa"/>
          </w:tcPr>
          <w:p w:rsidR="00D34403" w:rsidRPr="00D34403" w:rsidP="00D34403" w14:paraId="0DD5E4F7" w14:textId="77777777">
            <w:pPr>
              <w:rPr>
                <w:sz w:val="24"/>
                <w:szCs w:val="24"/>
              </w:rPr>
            </w:pPr>
            <w:r>
              <w:rPr>
                <w:sz w:val="24"/>
                <w:szCs w:val="24"/>
              </w:rPr>
              <w:t>(7-OB)</w:t>
            </w:r>
          </w:p>
        </w:tc>
        <w:tc>
          <w:tcPr>
            <w:tcW w:w="1265" w:type="dxa"/>
          </w:tcPr>
          <w:p w:rsidR="00D34403" w:rsidRPr="00D34403" w:rsidP="00D34403" w14:paraId="61BD7EC4" w14:textId="77777777">
            <w:pPr>
              <w:rPr>
                <w:sz w:val="24"/>
                <w:szCs w:val="24"/>
              </w:rPr>
            </w:pPr>
            <w:r>
              <w:rPr>
                <w:sz w:val="24"/>
                <w:szCs w:val="24"/>
              </w:rPr>
              <w:t>56</w:t>
            </w:r>
          </w:p>
        </w:tc>
        <w:tc>
          <w:tcPr>
            <w:tcW w:w="1255" w:type="dxa"/>
          </w:tcPr>
          <w:p w:rsidR="00D34403" w:rsidRPr="00D34403" w:rsidP="00D34403" w14:paraId="3DB51765" w14:textId="77777777">
            <w:pPr>
              <w:rPr>
                <w:sz w:val="24"/>
                <w:szCs w:val="24"/>
              </w:rPr>
            </w:pPr>
            <w:r>
              <w:rPr>
                <w:sz w:val="24"/>
                <w:szCs w:val="24"/>
              </w:rPr>
              <w:t>100%</w:t>
            </w:r>
          </w:p>
        </w:tc>
        <w:tc>
          <w:tcPr>
            <w:tcW w:w="1275" w:type="dxa"/>
          </w:tcPr>
          <w:p w:rsidR="00D34403" w:rsidRPr="00516E10" w:rsidP="00D34403" w14:paraId="674F50A3" w14:textId="77777777">
            <w:pPr>
              <w:rPr>
                <w:sz w:val="24"/>
                <w:szCs w:val="24"/>
              </w:rPr>
            </w:pPr>
            <w:r w:rsidRPr="00516E10">
              <w:rPr>
                <w:sz w:val="24"/>
                <w:szCs w:val="24"/>
              </w:rPr>
              <w:t>56</w:t>
            </w:r>
          </w:p>
        </w:tc>
        <w:tc>
          <w:tcPr>
            <w:tcW w:w="1080" w:type="dxa"/>
          </w:tcPr>
          <w:p w:rsidR="00D34403" w:rsidRPr="00516E10" w:rsidP="00A23792" w14:paraId="68D559F9" w14:textId="77777777">
            <w:pPr>
              <w:rPr>
                <w:b/>
                <w:bCs/>
                <w:sz w:val="24"/>
                <w:szCs w:val="24"/>
              </w:rPr>
            </w:pPr>
            <w:r w:rsidRPr="00516E10">
              <w:rPr>
                <w:b/>
                <w:bCs/>
                <w:sz w:val="24"/>
                <w:szCs w:val="24"/>
              </w:rPr>
              <w:t>56</w:t>
            </w:r>
          </w:p>
        </w:tc>
        <w:tc>
          <w:tcPr>
            <w:tcW w:w="1335" w:type="dxa"/>
          </w:tcPr>
          <w:p w:rsidR="00D34403" w:rsidRPr="00D34403" w:rsidP="00A23792" w14:paraId="5BE9A0B6" w14:textId="77777777">
            <w:pPr>
              <w:rPr>
                <w:sz w:val="24"/>
                <w:szCs w:val="24"/>
              </w:rPr>
            </w:pPr>
            <w:r>
              <w:rPr>
                <w:sz w:val="24"/>
                <w:szCs w:val="24"/>
              </w:rPr>
              <w:t>5</w:t>
            </w:r>
          </w:p>
        </w:tc>
        <w:tc>
          <w:tcPr>
            <w:tcW w:w="900" w:type="dxa"/>
          </w:tcPr>
          <w:p w:rsidR="00D34403" w:rsidRPr="001D02A7" w:rsidP="00D34403" w14:paraId="2CC75E9A" w14:textId="77777777">
            <w:pPr>
              <w:rPr>
                <w:b/>
                <w:bCs/>
                <w:sz w:val="24"/>
                <w:szCs w:val="24"/>
              </w:rPr>
            </w:pPr>
            <w:r w:rsidRPr="001D02A7">
              <w:rPr>
                <w:b/>
                <w:bCs/>
                <w:sz w:val="24"/>
                <w:szCs w:val="24"/>
              </w:rPr>
              <w:t>280</w:t>
            </w:r>
          </w:p>
        </w:tc>
        <w:tc>
          <w:tcPr>
            <w:tcW w:w="1530" w:type="dxa"/>
          </w:tcPr>
          <w:p w:rsidR="00D34403" w:rsidRPr="00D34403" w:rsidP="00D34403" w14:paraId="778516C7" w14:textId="77777777">
            <w:pPr>
              <w:rPr>
                <w:sz w:val="24"/>
                <w:szCs w:val="24"/>
              </w:rPr>
            </w:pPr>
            <w:r>
              <w:rPr>
                <w:sz w:val="24"/>
                <w:szCs w:val="24"/>
              </w:rPr>
              <w:t>36</w:t>
            </w:r>
          </w:p>
        </w:tc>
        <w:tc>
          <w:tcPr>
            <w:tcW w:w="1350" w:type="dxa"/>
          </w:tcPr>
          <w:p w:rsidR="00D34403" w:rsidRPr="00D34403" w:rsidP="00D34403" w14:paraId="47C7D285" w14:textId="77777777">
            <w:pPr>
              <w:rPr>
                <w:sz w:val="24"/>
                <w:szCs w:val="24"/>
              </w:rPr>
            </w:pPr>
            <w:r>
              <w:rPr>
                <w:sz w:val="24"/>
                <w:szCs w:val="24"/>
              </w:rPr>
              <w:t>10080.00</w:t>
            </w:r>
          </w:p>
        </w:tc>
      </w:tr>
      <w:tr w14:paraId="62E0786F" w14:textId="77777777" w:rsidTr="007369F7">
        <w:tblPrEx>
          <w:tblW w:w="11335" w:type="dxa"/>
          <w:tblLayout w:type="fixed"/>
          <w:tblLook w:val="0020"/>
        </w:tblPrEx>
        <w:tc>
          <w:tcPr>
            <w:tcW w:w="1345" w:type="dxa"/>
          </w:tcPr>
          <w:p w:rsidR="00D34403" w:rsidRPr="00D34403" w:rsidP="00D34403" w14:paraId="61D8EE60" w14:textId="77777777">
            <w:pPr>
              <w:rPr>
                <w:sz w:val="24"/>
                <w:szCs w:val="24"/>
              </w:rPr>
            </w:pPr>
          </w:p>
        </w:tc>
        <w:tc>
          <w:tcPr>
            <w:tcW w:w="1265" w:type="dxa"/>
          </w:tcPr>
          <w:p w:rsidR="00D34403" w:rsidRPr="00D34403" w:rsidP="00D34403" w14:paraId="5A3DCF56" w14:textId="77777777">
            <w:pPr>
              <w:rPr>
                <w:sz w:val="24"/>
                <w:szCs w:val="24"/>
              </w:rPr>
            </w:pPr>
          </w:p>
        </w:tc>
        <w:tc>
          <w:tcPr>
            <w:tcW w:w="1255" w:type="dxa"/>
          </w:tcPr>
          <w:p w:rsidR="00D34403" w:rsidRPr="00D34403" w:rsidP="00D34403" w14:paraId="1047F6C1" w14:textId="77777777">
            <w:pPr>
              <w:rPr>
                <w:sz w:val="24"/>
                <w:szCs w:val="24"/>
              </w:rPr>
            </w:pPr>
          </w:p>
        </w:tc>
        <w:tc>
          <w:tcPr>
            <w:tcW w:w="1275" w:type="dxa"/>
          </w:tcPr>
          <w:p w:rsidR="00D34403" w:rsidRPr="00D34403" w:rsidP="00D34403" w14:paraId="33D1FBCB" w14:textId="77777777">
            <w:pPr>
              <w:rPr>
                <w:sz w:val="24"/>
                <w:szCs w:val="24"/>
              </w:rPr>
            </w:pPr>
          </w:p>
        </w:tc>
        <w:tc>
          <w:tcPr>
            <w:tcW w:w="1080" w:type="dxa"/>
          </w:tcPr>
          <w:p w:rsidR="00D34403" w:rsidRPr="00D34403" w:rsidP="00D34403" w14:paraId="19B55EA2" w14:textId="77777777">
            <w:pPr>
              <w:jc w:val="center"/>
              <w:rPr>
                <w:sz w:val="24"/>
                <w:szCs w:val="24"/>
              </w:rPr>
            </w:pPr>
          </w:p>
        </w:tc>
        <w:tc>
          <w:tcPr>
            <w:tcW w:w="1335" w:type="dxa"/>
          </w:tcPr>
          <w:p w:rsidR="00D34403" w:rsidRPr="00D34403" w:rsidP="00D34403" w14:paraId="5DFC360E" w14:textId="77777777">
            <w:pPr>
              <w:jc w:val="center"/>
              <w:rPr>
                <w:sz w:val="24"/>
                <w:szCs w:val="24"/>
              </w:rPr>
            </w:pPr>
          </w:p>
        </w:tc>
        <w:tc>
          <w:tcPr>
            <w:tcW w:w="900" w:type="dxa"/>
          </w:tcPr>
          <w:p w:rsidR="00D34403" w:rsidRPr="00D34403" w:rsidP="00D34403" w14:paraId="2FB2A2AF" w14:textId="77777777">
            <w:pPr>
              <w:rPr>
                <w:sz w:val="24"/>
                <w:szCs w:val="24"/>
              </w:rPr>
            </w:pPr>
          </w:p>
        </w:tc>
        <w:tc>
          <w:tcPr>
            <w:tcW w:w="1530" w:type="dxa"/>
          </w:tcPr>
          <w:p w:rsidR="00D34403" w:rsidRPr="00D34403" w:rsidP="00D34403" w14:paraId="7317E71E" w14:textId="77777777">
            <w:pPr>
              <w:rPr>
                <w:sz w:val="24"/>
                <w:szCs w:val="24"/>
              </w:rPr>
            </w:pPr>
          </w:p>
        </w:tc>
        <w:tc>
          <w:tcPr>
            <w:tcW w:w="1350" w:type="dxa"/>
          </w:tcPr>
          <w:p w:rsidR="00D34403" w:rsidRPr="00D34403" w:rsidP="00D34403" w14:paraId="770A580A" w14:textId="77777777">
            <w:pPr>
              <w:rPr>
                <w:sz w:val="24"/>
                <w:szCs w:val="24"/>
              </w:rPr>
            </w:pPr>
          </w:p>
        </w:tc>
      </w:tr>
      <w:tr w14:paraId="7AFB2822" w14:textId="77777777" w:rsidTr="007369F7">
        <w:tblPrEx>
          <w:tblW w:w="11335" w:type="dxa"/>
          <w:tblLayout w:type="fixed"/>
          <w:tblLook w:val="0020"/>
        </w:tblPrEx>
        <w:tc>
          <w:tcPr>
            <w:tcW w:w="1345" w:type="dxa"/>
          </w:tcPr>
          <w:p w:rsidR="00D34403" w:rsidRPr="00D34403" w:rsidP="00D34403" w14:paraId="58791D74" w14:textId="77777777">
            <w:pPr>
              <w:rPr>
                <w:sz w:val="24"/>
                <w:szCs w:val="24"/>
              </w:rPr>
            </w:pPr>
          </w:p>
        </w:tc>
        <w:tc>
          <w:tcPr>
            <w:tcW w:w="1265" w:type="dxa"/>
          </w:tcPr>
          <w:p w:rsidR="00D34403" w:rsidRPr="00D34403" w:rsidP="00D34403" w14:paraId="396BD0E5" w14:textId="77777777">
            <w:pPr>
              <w:rPr>
                <w:sz w:val="24"/>
                <w:szCs w:val="24"/>
              </w:rPr>
            </w:pPr>
          </w:p>
        </w:tc>
        <w:tc>
          <w:tcPr>
            <w:tcW w:w="1255" w:type="dxa"/>
          </w:tcPr>
          <w:p w:rsidR="00D34403" w:rsidRPr="00D34403" w:rsidP="00D34403" w14:paraId="7839AE4A" w14:textId="77777777">
            <w:pPr>
              <w:rPr>
                <w:sz w:val="24"/>
                <w:szCs w:val="24"/>
              </w:rPr>
            </w:pPr>
          </w:p>
        </w:tc>
        <w:tc>
          <w:tcPr>
            <w:tcW w:w="1275" w:type="dxa"/>
          </w:tcPr>
          <w:p w:rsidR="00D34403" w:rsidRPr="00D34403" w:rsidP="00D34403" w14:paraId="57E04990" w14:textId="77777777">
            <w:pPr>
              <w:rPr>
                <w:sz w:val="24"/>
                <w:szCs w:val="24"/>
              </w:rPr>
            </w:pPr>
          </w:p>
        </w:tc>
        <w:tc>
          <w:tcPr>
            <w:tcW w:w="1080" w:type="dxa"/>
          </w:tcPr>
          <w:p w:rsidR="00D34403" w:rsidRPr="00D34403" w:rsidP="00D34403" w14:paraId="5272FCBE" w14:textId="77777777">
            <w:pPr>
              <w:jc w:val="center"/>
              <w:rPr>
                <w:sz w:val="24"/>
                <w:szCs w:val="24"/>
              </w:rPr>
            </w:pPr>
          </w:p>
        </w:tc>
        <w:tc>
          <w:tcPr>
            <w:tcW w:w="1335" w:type="dxa"/>
          </w:tcPr>
          <w:p w:rsidR="00D34403" w:rsidRPr="00D34403" w:rsidP="00D34403" w14:paraId="2056E04A" w14:textId="77777777">
            <w:pPr>
              <w:jc w:val="center"/>
              <w:rPr>
                <w:sz w:val="24"/>
                <w:szCs w:val="24"/>
              </w:rPr>
            </w:pPr>
          </w:p>
        </w:tc>
        <w:tc>
          <w:tcPr>
            <w:tcW w:w="900" w:type="dxa"/>
          </w:tcPr>
          <w:p w:rsidR="00D34403" w:rsidRPr="00D34403" w:rsidP="00D34403" w14:paraId="3FE73380" w14:textId="77777777">
            <w:pPr>
              <w:rPr>
                <w:sz w:val="24"/>
                <w:szCs w:val="24"/>
              </w:rPr>
            </w:pPr>
          </w:p>
        </w:tc>
        <w:tc>
          <w:tcPr>
            <w:tcW w:w="1530" w:type="dxa"/>
          </w:tcPr>
          <w:p w:rsidR="00D34403" w:rsidRPr="00D34403" w:rsidP="00D34403" w14:paraId="23AF8D51" w14:textId="77777777">
            <w:pPr>
              <w:rPr>
                <w:sz w:val="24"/>
                <w:szCs w:val="24"/>
              </w:rPr>
            </w:pPr>
          </w:p>
        </w:tc>
        <w:tc>
          <w:tcPr>
            <w:tcW w:w="1350" w:type="dxa"/>
          </w:tcPr>
          <w:p w:rsidR="00D34403" w:rsidRPr="00D34403" w:rsidP="00D34403" w14:paraId="20CD31C5" w14:textId="77777777">
            <w:pPr>
              <w:rPr>
                <w:sz w:val="24"/>
                <w:szCs w:val="24"/>
              </w:rPr>
            </w:pPr>
          </w:p>
        </w:tc>
      </w:tr>
      <w:tr w14:paraId="4C7D4DF1" w14:textId="77777777" w:rsidTr="007369F7">
        <w:tblPrEx>
          <w:tblW w:w="11335" w:type="dxa"/>
          <w:tblLayout w:type="fixed"/>
          <w:tblLook w:val="0020"/>
        </w:tblPrEx>
        <w:tc>
          <w:tcPr>
            <w:tcW w:w="1345" w:type="dxa"/>
          </w:tcPr>
          <w:p w:rsidR="00D34403" w:rsidRPr="00D34403" w:rsidP="00D34403" w14:paraId="103F8AD4" w14:textId="77777777">
            <w:pPr>
              <w:rPr>
                <w:sz w:val="24"/>
                <w:szCs w:val="24"/>
              </w:rPr>
            </w:pPr>
          </w:p>
        </w:tc>
        <w:tc>
          <w:tcPr>
            <w:tcW w:w="1265" w:type="dxa"/>
          </w:tcPr>
          <w:p w:rsidR="00D34403" w:rsidRPr="00D34403" w:rsidP="00D34403" w14:paraId="70BD9ED6" w14:textId="77777777">
            <w:pPr>
              <w:rPr>
                <w:sz w:val="24"/>
                <w:szCs w:val="24"/>
              </w:rPr>
            </w:pPr>
          </w:p>
        </w:tc>
        <w:tc>
          <w:tcPr>
            <w:tcW w:w="1255" w:type="dxa"/>
          </w:tcPr>
          <w:p w:rsidR="00D34403" w:rsidRPr="00D34403" w:rsidP="00D34403" w14:paraId="35835DF2" w14:textId="77777777">
            <w:pPr>
              <w:rPr>
                <w:sz w:val="24"/>
                <w:szCs w:val="24"/>
              </w:rPr>
            </w:pPr>
          </w:p>
        </w:tc>
        <w:tc>
          <w:tcPr>
            <w:tcW w:w="1275" w:type="dxa"/>
          </w:tcPr>
          <w:p w:rsidR="00D34403" w:rsidRPr="00D34403" w:rsidP="00D34403" w14:paraId="0BB7DD77" w14:textId="77777777">
            <w:pPr>
              <w:rPr>
                <w:sz w:val="24"/>
                <w:szCs w:val="24"/>
              </w:rPr>
            </w:pPr>
          </w:p>
        </w:tc>
        <w:tc>
          <w:tcPr>
            <w:tcW w:w="1080" w:type="dxa"/>
          </w:tcPr>
          <w:p w:rsidR="00D34403" w:rsidRPr="00D34403" w:rsidP="00D34403" w14:paraId="27B7DBD3" w14:textId="77777777">
            <w:pPr>
              <w:rPr>
                <w:sz w:val="24"/>
                <w:szCs w:val="24"/>
              </w:rPr>
            </w:pPr>
          </w:p>
        </w:tc>
        <w:tc>
          <w:tcPr>
            <w:tcW w:w="1335" w:type="dxa"/>
          </w:tcPr>
          <w:p w:rsidR="00D34403" w:rsidRPr="00D34403" w:rsidP="00D34403" w14:paraId="5378ECF7" w14:textId="77777777">
            <w:pPr>
              <w:rPr>
                <w:sz w:val="24"/>
                <w:szCs w:val="24"/>
              </w:rPr>
            </w:pPr>
          </w:p>
        </w:tc>
        <w:tc>
          <w:tcPr>
            <w:tcW w:w="900" w:type="dxa"/>
          </w:tcPr>
          <w:p w:rsidR="00D34403" w:rsidRPr="00D34403" w:rsidP="00D34403" w14:paraId="6127AC3A" w14:textId="77777777">
            <w:pPr>
              <w:rPr>
                <w:sz w:val="24"/>
                <w:szCs w:val="24"/>
              </w:rPr>
            </w:pPr>
          </w:p>
        </w:tc>
        <w:tc>
          <w:tcPr>
            <w:tcW w:w="1530" w:type="dxa"/>
          </w:tcPr>
          <w:p w:rsidR="00D34403" w:rsidRPr="00D34403" w:rsidP="00D34403" w14:paraId="4A070782" w14:textId="77777777">
            <w:pPr>
              <w:rPr>
                <w:sz w:val="24"/>
                <w:szCs w:val="24"/>
              </w:rPr>
            </w:pPr>
          </w:p>
        </w:tc>
        <w:tc>
          <w:tcPr>
            <w:tcW w:w="1350" w:type="dxa"/>
          </w:tcPr>
          <w:p w:rsidR="00D34403" w:rsidRPr="00D34403" w:rsidP="00D34403" w14:paraId="0AB7E949" w14:textId="77777777">
            <w:pPr>
              <w:rPr>
                <w:sz w:val="24"/>
                <w:szCs w:val="24"/>
              </w:rPr>
            </w:pPr>
          </w:p>
        </w:tc>
      </w:tr>
      <w:tr w14:paraId="2F04F342" w14:textId="77777777" w:rsidTr="007369F7">
        <w:tblPrEx>
          <w:tblW w:w="11335" w:type="dxa"/>
          <w:tblLayout w:type="fixed"/>
          <w:tblLook w:val="0020"/>
        </w:tblPrEx>
        <w:tc>
          <w:tcPr>
            <w:tcW w:w="1345" w:type="dxa"/>
          </w:tcPr>
          <w:p w:rsidR="00D34403" w:rsidRPr="00D34403" w:rsidP="00D34403" w14:paraId="7E23E7C5" w14:textId="77777777">
            <w:pPr>
              <w:rPr>
                <w:sz w:val="24"/>
                <w:szCs w:val="24"/>
              </w:rPr>
            </w:pPr>
            <w:r w:rsidRPr="00D34403">
              <w:rPr>
                <w:sz w:val="24"/>
                <w:szCs w:val="24"/>
              </w:rPr>
              <w:t>Annualized Totals</w:t>
            </w:r>
          </w:p>
        </w:tc>
        <w:tc>
          <w:tcPr>
            <w:tcW w:w="1265" w:type="dxa"/>
          </w:tcPr>
          <w:p w:rsidR="00D34403" w:rsidRPr="00D34403" w:rsidP="00D34403" w14:paraId="427F6CDF" w14:textId="77777777">
            <w:pPr>
              <w:rPr>
                <w:sz w:val="24"/>
                <w:szCs w:val="24"/>
              </w:rPr>
            </w:pPr>
            <w:r>
              <w:rPr>
                <w:sz w:val="24"/>
                <w:szCs w:val="24"/>
              </w:rPr>
              <w:t>56</w:t>
            </w:r>
          </w:p>
        </w:tc>
        <w:tc>
          <w:tcPr>
            <w:tcW w:w="1255" w:type="dxa"/>
          </w:tcPr>
          <w:p w:rsidR="00D34403" w:rsidRPr="00D34403" w:rsidP="00D34403" w14:paraId="2D808E0A" w14:textId="77777777">
            <w:pPr>
              <w:rPr>
                <w:sz w:val="24"/>
                <w:szCs w:val="24"/>
              </w:rPr>
            </w:pPr>
            <w:r>
              <w:rPr>
                <w:sz w:val="24"/>
                <w:szCs w:val="24"/>
              </w:rPr>
              <w:t>100%</w:t>
            </w:r>
          </w:p>
        </w:tc>
        <w:tc>
          <w:tcPr>
            <w:tcW w:w="1275" w:type="dxa"/>
          </w:tcPr>
          <w:p w:rsidR="00D34403" w:rsidRPr="00516E10" w:rsidP="00D34403" w14:paraId="37D5E61B" w14:textId="77777777">
            <w:pPr>
              <w:rPr>
                <w:sz w:val="24"/>
                <w:szCs w:val="24"/>
              </w:rPr>
            </w:pPr>
            <w:r w:rsidRPr="00516E10">
              <w:rPr>
                <w:sz w:val="24"/>
                <w:szCs w:val="24"/>
              </w:rPr>
              <w:t>56</w:t>
            </w:r>
          </w:p>
        </w:tc>
        <w:tc>
          <w:tcPr>
            <w:tcW w:w="1080" w:type="dxa"/>
          </w:tcPr>
          <w:p w:rsidR="00D34403" w:rsidRPr="00516E10" w:rsidP="00D34403" w14:paraId="23E976CC" w14:textId="77777777">
            <w:pPr>
              <w:rPr>
                <w:b/>
                <w:bCs/>
                <w:sz w:val="24"/>
                <w:szCs w:val="24"/>
              </w:rPr>
            </w:pPr>
            <w:r w:rsidRPr="00516E10">
              <w:rPr>
                <w:b/>
                <w:bCs/>
                <w:sz w:val="24"/>
                <w:szCs w:val="24"/>
              </w:rPr>
              <w:t>56</w:t>
            </w:r>
          </w:p>
        </w:tc>
        <w:tc>
          <w:tcPr>
            <w:tcW w:w="1335" w:type="dxa"/>
          </w:tcPr>
          <w:p w:rsidR="00D34403" w:rsidRPr="00D34403" w:rsidP="00D34403" w14:paraId="4E7F338B" w14:textId="77777777">
            <w:pPr>
              <w:rPr>
                <w:sz w:val="24"/>
                <w:szCs w:val="24"/>
              </w:rPr>
            </w:pPr>
            <w:r w:rsidRPr="00D34403">
              <w:rPr>
                <w:sz w:val="24"/>
                <w:szCs w:val="24"/>
              </w:rPr>
              <w:t>5</w:t>
            </w:r>
          </w:p>
        </w:tc>
        <w:tc>
          <w:tcPr>
            <w:tcW w:w="900" w:type="dxa"/>
          </w:tcPr>
          <w:p w:rsidR="00D34403" w:rsidRPr="001D02A7" w:rsidP="00D34403" w14:paraId="00E9479F" w14:textId="77777777">
            <w:pPr>
              <w:rPr>
                <w:b/>
                <w:bCs/>
                <w:sz w:val="24"/>
                <w:szCs w:val="24"/>
              </w:rPr>
            </w:pPr>
            <w:r w:rsidRPr="001D02A7">
              <w:rPr>
                <w:b/>
                <w:bCs/>
                <w:sz w:val="24"/>
                <w:szCs w:val="24"/>
              </w:rPr>
              <w:t>280</w:t>
            </w:r>
          </w:p>
        </w:tc>
        <w:tc>
          <w:tcPr>
            <w:tcW w:w="1530" w:type="dxa"/>
          </w:tcPr>
          <w:p w:rsidR="00D34403" w:rsidRPr="00D34403" w:rsidP="00D34403" w14:paraId="106D565D" w14:textId="77777777">
            <w:pPr>
              <w:rPr>
                <w:sz w:val="24"/>
                <w:szCs w:val="24"/>
              </w:rPr>
            </w:pPr>
            <w:r>
              <w:rPr>
                <w:sz w:val="24"/>
                <w:szCs w:val="24"/>
              </w:rPr>
              <w:t>36</w:t>
            </w:r>
          </w:p>
        </w:tc>
        <w:tc>
          <w:tcPr>
            <w:tcW w:w="1350" w:type="dxa"/>
          </w:tcPr>
          <w:p w:rsidR="00D34403" w:rsidRPr="00D34403" w:rsidP="00D34403" w14:paraId="4D96D8B8" w14:textId="77777777">
            <w:pPr>
              <w:rPr>
                <w:sz w:val="24"/>
                <w:szCs w:val="24"/>
              </w:rPr>
            </w:pPr>
            <w:r w:rsidRPr="00D34403">
              <w:rPr>
                <w:sz w:val="24"/>
                <w:szCs w:val="24"/>
              </w:rPr>
              <w:t>10080.00</w:t>
            </w:r>
          </w:p>
        </w:tc>
      </w:tr>
    </w:tbl>
    <w:p w:rsidR="00D34403" w:rsidRPr="00D34403" w:rsidP="00D34403" w14:paraId="6BF4F60D" w14:textId="77777777">
      <w:pPr>
        <w:tabs>
          <w:tab w:val="left" w:pos="-720"/>
        </w:tabs>
        <w:suppressAutoHyphens/>
        <w:spacing w:after="0" w:line="240" w:lineRule="auto"/>
        <w:ind w:left="-864" w:right="-864"/>
        <w:contextualSpacing/>
        <w:rPr>
          <w:rFonts w:ascii="Times New Roman" w:eastAsia="Times New Roman" w:hAnsi="Times New Roman" w:cs="Times New Roman"/>
          <w:b/>
          <w:bCs/>
          <w:i/>
          <w:iCs/>
          <w:sz w:val="24"/>
          <w:szCs w:val="24"/>
        </w:rPr>
      </w:pPr>
    </w:p>
    <w:p w:rsidR="00D34403" w:rsidRPr="00D34403" w:rsidP="00D34403" w14:paraId="2F905113" w14:textId="77777777">
      <w:pPr>
        <w:tabs>
          <w:tab w:val="left" w:pos="-720"/>
        </w:tabs>
        <w:suppressAutoHyphens/>
        <w:spacing w:after="0" w:line="240" w:lineRule="auto"/>
        <w:ind w:left="-864" w:right="-864"/>
        <w:contextualSpacing/>
        <w:rPr>
          <w:rFonts w:ascii="Times New Roman" w:eastAsia="Times New Roman" w:hAnsi="Times New Roman" w:cs="Times New Roman"/>
          <w:b/>
          <w:bCs/>
          <w:i/>
          <w:iCs/>
        </w:rPr>
      </w:pPr>
      <w:r w:rsidRPr="00D34403">
        <w:rPr>
          <w:rFonts w:ascii="Times New Roman" w:eastAsia="Times New Roman" w:hAnsi="Times New Roman" w:cs="Times New Roman"/>
          <w:b/>
          <w:bCs/>
          <w:i/>
          <w:iCs/>
        </w:rPr>
        <w:t>Please ensure the annual total burden, respondents and response match those entered in IC Data Parts 1 and 2, and the response per respondent matches the Paperwork Burden Statement that must be included on all forms.</w:t>
      </w:r>
    </w:p>
    <w:p w:rsidR="00D34403" w:rsidRPr="00D34403" w:rsidP="00D34403" w14:paraId="4E832596" w14:textId="77777777">
      <w:pPr>
        <w:tabs>
          <w:tab w:val="left" w:pos="-720"/>
        </w:tabs>
        <w:suppressAutoHyphens/>
        <w:spacing w:after="0" w:line="240" w:lineRule="auto"/>
        <w:ind w:left="720"/>
        <w:contextualSpacing/>
        <w:rPr>
          <w:rFonts w:ascii="Times New Roman" w:eastAsia="Times New Roman" w:hAnsi="Times New Roman" w:cs="Times New Roman"/>
          <w:sz w:val="24"/>
          <w:szCs w:val="24"/>
        </w:rPr>
      </w:pPr>
    </w:p>
    <w:p w:rsidR="00D34403" w:rsidRPr="00D34403" w:rsidP="00D34403" w14:paraId="1845C39C" w14:textId="77777777">
      <w:pPr>
        <w:numPr>
          <w:ilvl w:val="0"/>
          <w:numId w:val="5"/>
        </w:numPr>
        <w:tabs>
          <w:tab w:val="left" w:pos="-720"/>
        </w:tabs>
        <w:suppressAutoHyphens/>
        <w:spacing w:after="0" w:line="240" w:lineRule="auto"/>
        <w:ind w:hanging="540"/>
        <w:contextualSpacing/>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Provide an estimate of the total annual cost burden to respondents or record keepers resulting from the collection of information.  (Do not include the cost of any hour burden shown in Items 12 and 14.)</w:t>
      </w:r>
    </w:p>
    <w:p w:rsidR="00D34403" w:rsidRPr="00D34403" w:rsidP="00D34403" w14:paraId="476E0286"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6263BA20" w14:textId="77777777">
      <w:pPr>
        <w:numPr>
          <w:ilvl w:val="0"/>
          <w:numId w:val="1"/>
        </w:numPr>
        <w:tabs>
          <w:tab w:val="left" w:pos="-720"/>
        </w:tabs>
        <w:suppressAutoHyphens/>
        <w:spacing w:after="0" w:line="240" w:lineRule="auto"/>
        <w:ind w:left="1350" w:hanging="45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D34403" w:rsidRPr="00D34403" w:rsidP="00D34403" w14:paraId="26E84999" w14:textId="77777777">
      <w:pPr>
        <w:numPr>
          <w:ilvl w:val="12"/>
          <w:numId w:val="0"/>
        </w:numPr>
        <w:tabs>
          <w:tab w:val="left" w:pos="-720"/>
        </w:tabs>
        <w:suppressAutoHyphens/>
        <w:spacing w:after="0" w:line="240" w:lineRule="auto"/>
        <w:ind w:left="340"/>
        <w:rPr>
          <w:rFonts w:ascii="Times New Roman" w:eastAsia="Times New Roman" w:hAnsi="Times New Roman" w:cs="Times New Roman"/>
          <w:sz w:val="24"/>
          <w:szCs w:val="24"/>
        </w:rPr>
      </w:pPr>
    </w:p>
    <w:p w:rsidR="00D34403" w:rsidRPr="00D34403" w:rsidP="00D34403" w14:paraId="385C429B" w14:textId="77777777">
      <w:pPr>
        <w:numPr>
          <w:ilvl w:val="0"/>
          <w:numId w:val="1"/>
        </w:numPr>
        <w:tabs>
          <w:tab w:val="left" w:pos="-720"/>
          <w:tab w:val="left" w:pos="1247"/>
        </w:tabs>
        <w:suppressAutoHyphens/>
        <w:spacing w:after="0" w:line="240" w:lineRule="auto"/>
        <w:ind w:left="126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D34403">
        <w:rPr>
          <w:rFonts w:ascii="Times New Roman" w:eastAsia="Times New Roman" w:hAnsi="Times New Roman" w:cs="Times New Roman"/>
          <w:b/>
          <w:sz w:val="24"/>
          <w:szCs w:val="24"/>
        </w:rPr>
        <w:t>public comment process and use existing economic or regulatory impact analysis associated with the rulemaking containing the information collection, as appropriate.</w:t>
      </w:r>
    </w:p>
    <w:p w:rsidR="00D34403" w:rsidRPr="00D34403" w:rsidP="00D34403" w14:paraId="46740DD9" w14:textId="77777777">
      <w:pPr>
        <w:tabs>
          <w:tab w:val="left" w:pos="-720"/>
          <w:tab w:val="left" w:pos="1247"/>
        </w:tabs>
        <w:suppressAutoHyphens/>
        <w:spacing w:after="0" w:line="240" w:lineRule="auto"/>
        <w:ind w:left="340"/>
        <w:rPr>
          <w:rFonts w:ascii="Times New Roman" w:eastAsia="Times New Roman" w:hAnsi="Times New Roman" w:cs="Times New Roman"/>
          <w:b/>
          <w:sz w:val="24"/>
          <w:szCs w:val="24"/>
        </w:rPr>
      </w:pPr>
    </w:p>
    <w:p w:rsidR="00D34403" w:rsidRPr="00D34403" w:rsidP="00D34403" w14:paraId="6D4419FE" w14:textId="77777777">
      <w:pPr>
        <w:numPr>
          <w:ilvl w:val="0"/>
          <w:numId w:val="1"/>
        </w:numPr>
        <w:tabs>
          <w:tab w:val="left" w:pos="-720"/>
          <w:tab w:val="left" w:pos="1247"/>
        </w:tabs>
        <w:suppressAutoHyphens/>
        <w:spacing w:after="0" w:line="240" w:lineRule="auto"/>
        <w:ind w:left="126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D34403" w:rsidRPr="00D34403" w:rsidP="00D34403" w14:paraId="68A60F25"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459FF19B" w14:textId="77777777">
      <w:p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ab/>
        <w:t>Total Annualized Capital/Startup Cost</w:t>
      </w:r>
      <w:r w:rsidRPr="00D34403">
        <w:rPr>
          <w:rFonts w:ascii="Times New Roman" w:eastAsia="Times New Roman" w:hAnsi="Times New Roman" w:cs="Times New Roman"/>
          <w:b/>
          <w:sz w:val="24"/>
          <w:szCs w:val="24"/>
        </w:rPr>
        <w:tab/>
        <w:t xml:space="preserve">: </w:t>
      </w:r>
      <w:r w:rsidRPr="00D34403">
        <w:rPr>
          <w:rFonts w:ascii="Times New Roman" w:eastAsia="Times New Roman" w:hAnsi="Times New Roman" w:cs="Times New Roman"/>
          <w:bCs/>
          <w:sz w:val="24"/>
          <w:szCs w:val="24"/>
        </w:rPr>
        <w:t>0.00</w:t>
      </w:r>
    </w:p>
    <w:p w:rsidR="00D34403" w:rsidRPr="00D34403" w:rsidP="00D34403" w14:paraId="2404A81E" w14:textId="77777777">
      <w:pPr>
        <w:tabs>
          <w:tab w:val="left" w:pos="-720"/>
        </w:tabs>
        <w:suppressAutoHyphens/>
        <w:spacing w:after="0" w:line="240" w:lineRule="auto"/>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ab/>
        <w:t>Total Annual Costs (O&amp;M)</w:t>
      </w:r>
      <w:r w:rsidRPr="00D34403">
        <w:rPr>
          <w:rFonts w:ascii="Times New Roman" w:eastAsia="Times New Roman" w:hAnsi="Times New Roman" w:cs="Times New Roman"/>
          <w:b/>
          <w:sz w:val="24"/>
          <w:szCs w:val="24"/>
        </w:rPr>
        <w:tab/>
      </w:r>
      <w:r w:rsidRPr="00D34403">
        <w:rPr>
          <w:rFonts w:ascii="Times New Roman" w:eastAsia="Times New Roman" w:hAnsi="Times New Roman" w:cs="Times New Roman"/>
          <w:b/>
          <w:sz w:val="24"/>
          <w:szCs w:val="24"/>
        </w:rPr>
        <w:tab/>
      </w:r>
      <w:r w:rsidRPr="00D34403">
        <w:rPr>
          <w:rFonts w:ascii="Times New Roman" w:eastAsia="Times New Roman" w:hAnsi="Times New Roman" w:cs="Times New Roman"/>
          <w:b/>
          <w:sz w:val="24"/>
          <w:szCs w:val="24"/>
        </w:rPr>
        <w:tab/>
        <w:t xml:space="preserve">: </w:t>
      </w:r>
      <w:r w:rsidRPr="00D34403">
        <w:rPr>
          <w:rFonts w:ascii="Times New Roman" w:eastAsia="Times New Roman" w:hAnsi="Times New Roman" w:cs="Times New Roman"/>
          <w:bCs/>
          <w:sz w:val="24"/>
          <w:szCs w:val="24"/>
        </w:rPr>
        <w:t>0.00</w:t>
      </w:r>
    </w:p>
    <w:p w:rsidR="00D34403" w:rsidRPr="00D34403" w:rsidP="00D34403" w14:paraId="61B25473" w14:textId="77777777">
      <w:pPr>
        <w:tabs>
          <w:tab w:val="left" w:pos="-720"/>
        </w:tabs>
        <w:suppressAutoHyphens/>
        <w:spacing w:after="0" w:line="240" w:lineRule="auto"/>
        <w:rPr>
          <w:rFonts w:ascii="Times New Roman" w:eastAsia="Times New Roman" w:hAnsi="Times New Roman" w:cs="Times New Roman"/>
          <w:bCs/>
          <w:sz w:val="24"/>
          <w:szCs w:val="24"/>
        </w:rPr>
      </w:pPr>
      <w:r w:rsidRPr="00D34403">
        <w:rPr>
          <w:rFonts w:ascii="Times New Roman" w:eastAsia="Times New Roman" w:hAnsi="Times New Roman" w:cs="Times New Roman"/>
          <w:b/>
          <w:sz w:val="24"/>
          <w:szCs w:val="24"/>
        </w:rPr>
        <w:tab/>
        <w:t>Total Annualized Costs Requested</w:t>
      </w:r>
      <w:r w:rsidRPr="00D34403">
        <w:rPr>
          <w:rFonts w:ascii="Times New Roman" w:eastAsia="Times New Roman" w:hAnsi="Times New Roman" w:cs="Times New Roman"/>
          <w:b/>
          <w:sz w:val="24"/>
          <w:szCs w:val="24"/>
        </w:rPr>
        <w:tab/>
      </w:r>
      <w:r w:rsidRPr="00D34403">
        <w:rPr>
          <w:rFonts w:ascii="Times New Roman" w:eastAsia="Times New Roman" w:hAnsi="Times New Roman" w:cs="Times New Roman"/>
          <w:b/>
          <w:sz w:val="24"/>
          <w:szCs w:val="24"/>
        </w:rPr>
        <w:tab/>
        <w:t xml:space="preserve">: </w:t>
      </w:r>
      <w:r w:rsidRPr="00D34403">
        <w:rPr>
          <w:rFonts w:ascii="Times New Roman" w:eastAsia="Times New Roman" w:hAnsi="Times New Roman" w:cs="Times New Roman"/>
          <w:bCs/>
          <w:sz w:val="24"/>
          <w:szCs w:val="24"/>
        </w:rPr>
        <w:t>0.00</w:t>
      </w:r>
    </w:p>
    <w:p w:rsidR="00D34403" w:rsidRPr="00D34403" w:rsidP="00D34403" w14:paraId="115E998B" w14:textId="77777777">
      <w:pPr>
        <w:tabs>
          <w:tab w:val="left" w:pos="-720"/>
        </w:tabs>
        <w:suppressAutoHyphens/>
        <w:spacing w:after="0" w:line="240" w:lineRule="auto"/>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ab/>
      </w:r>
    </w:p>
    <w:p w:rsidR="00D34403" w:rsidRPr="00D34403" w:rsidP="00D34403" w14:paraId="75353432" w14:textId="77777777">
      <w:pPr>
        <w:tabs>
          <w:tab w:val="left" w:pos="-720"/>
        </w:tabs>
        <w:suppressAutoHyphens/>
        <w:spacing w:after="0" w:line="240" w:lineRule="auto"/>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ab/>
        <w:t>No additional operational expenses are required.</w:t>
      </w:r>
    </w:p>
    <w:p w:rsidR="00D34403" w:rsidRPr="00D34403" w:rsidP="00D34403" w14:paraId="1520660A"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16F75B7C" w14:textId="77777777">
      <w:pPr>
        <w:numPr>
          <w:ilvl w:val="0"/>
          <w:numId w:val="5"/>
        </w:numPr>
        <w:tabs>
          <w:tab w:val="left" w:pos="-720"/>
        </w:tabs>
        <w:suppressAutoHyphens/>
        <w:spacing w:after="0" w:line="240" w:lineRule="auto"/>
        <w:ind w:left="900" w:hanging="540"/>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4403" w:rsidRPr="00D34403" w:rsidP="00D34403" w14:paraId="2A7D7353"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29BDF160" w14:textId="77777777">
      <w:pPr>
        <w:tabs>
          <w:tab w:val="left" w:pos="-720"/>
        </w:tabs>
        <w:suppressAutoHyphens/>
        <w:spacing w:after="0" w:line="240" w:lineRule="auto"/>
        <w:ind w:left="1440"/>
        <w:contextualSpacing/>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a.</w:t>
      </w:r>
      <w:r w:rsidRPr="00D34403">
        <w:rPr>
          <w:rFonts w:ascii="Times New Roman" w:eastAsia="Times New Roman" w:hAnsi="Times New Roman" w:cs="Times New Roman"/>
          <w:sz w:val="24"/>
          <w:szCs w:val="24"/>
        </w:rPr>
        <w:tab/>
        <w:t xml:space="preserve">Review of each written request </w:t>
      </w:r>
      <w:r w:rsidRPr="00D34403">
        <w:rPr>
          <w:rFonts w:ascii="Times New Roman" w:eastAsia="Times New Roman" w:hAnsi="Times New Roman" w:cs="Times New Roman"/>
          <w:sz w:val="24"/>
          <w:szCs w:val="24"/>
        </w:rPr>
        <w:tab/>
      </w:r>
      <w:r w:rsidRPr="00D34403">
        <w:rPr>
          <w:rFonts w:ascii="Times New Roman" w:eastAsia="Times New Roman" w:hAnsi="Times New Roman" w:cs="Times New Roman"/>
          <w:sz w:val="24"/>
          <w:szCs w:val="24"/>
        </w:rPr>
        <w:tab/>
        <w:t>- - 2.0 hours</w:t>
      </w:r>
    </w:p>
    <w:p w:rsidR="00D34403" w:rsidRPr="00D34403" w:rsidP="00D34403" w14:paraId="76E1A885"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ab/>
        <w:t>b.</w:t>
      </w:r>
      <w:r w:rsidRPr="00D34403">
        <w:rPr>
          <w:rFonts w:ascii="Times New Roman" w:eastAsia="Times New Roman" w:hAnsi="Times New Roman" w:cs="Times New Roman"/>
          <w:sz w:val="24"/>
          <w:szCs w:val="24"/>
        </w:rPr>
        <w:tab/>
        <w:t xml:space="preserve">Number of written requests to review </w:t>
      </w:r>
      <w:r w:rsidRPr="00D34403">
        <w:rPr>
          <w:rFonts w:ascii="Times New Roman" w:eastAsia="Times New Roman" w:hAnsi="Times New Roman" w:cs="Times New Roman"/>
          <w:sz w:val="24"/>
          <w:szCs w:val="24"/>
        </w:rPr>
        <w:tab/>
        <w:t>- - 56</w:t>
      </w:r>
    </w:p>
    <w:p w:rsidR="00D34403" w:rsidRPr="00D34403" w:rsidP="00D34403" w14:paraId="4A0ADC72"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ab/>
        <w:t>c.</w:t>
      </w:r>
      <w:r w:rsidRPr="00D34403">
        <w:rPr>
          <w:rFonts w:ascii="Times New Roman" w:eastAsia="Times New Roman" w:hAnsi="Times New Roman" w:cs="Times New Roman"/>
          <w:sz w:val="24"/>
          <w:szCs w:val="24"/>
        </w:rPr>
        <w:tab/>
        <w:t>Total time to review written requests</w:t>
      </w:r>
      <w:r w:rsidRPr="00D34403">
        <w:rPr>
          <w:rFonts w:ascii="Times New Roman" w:eastAsia="Times New Roman" w:hAnsi="Times New Roman" w:cs="Times New Roman"/>
          <w:sz w:val="24"/>
          <w:szCs w:val="24"/>
        </w:rPr>
        <w:tab/>
      </w:r>
      <w:r w:rsidRPr="00D34403">
        <w:rPr>
          <w:rFonts w:ascii="Times New Roman" w:eastAsia="Times New Roman" w:hAnsi="Times New Roman" w:cs="Times New Roman"/>
          <w:sz w:val="24"/>
          <w:szCs w:val="24"/>
        </w:rPr>
        <w:tab/>
        <w:t>- - 112 hours</w:t>
      </w:r>
    </w:p>
    <w:p w:rsidR="00D34403" w:rsidRPr="00D34403" w:rsidP="00D34403" w14:paraId="1DB7CB12"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ab/>
        <w:t>d.</w:t>
      </w:r>
      <w:r w:rsidRPr="00D34403">
        <w:rPr>
          <w:rFonts w:ascii="Times New Roman" w:eastAsia="Times New Roman" w:hAnsi="Times New Roman" w:cs="Times New Roman"/>
          <w:sz w:val="24"/>
          <w:szCs w:val="24"/>
        </w:rPr>
        <w:tab/>
        <w:t>Federal hourly rate of salary</w:t>
      </w:r>
      <w:r w:rsidRPr="00D34403">
        <w:rPr>
          <w:rFonts w:ascii="Times New Roman" w:eastAsia="Times New Roman" w:hAnsi="Times New Roman" w:cs="Times New Roman"/>
          <w:sz w:val="24"/>
          <w:szCs w:val="24"/>
        </w:rPr>
        <w:tab/>
      </w:r>
      <w:r w:rsidRPr="00D34403">
        <w:rPr>
          <w:rFonts w:ascii="Times New Roman" w:eastAsia="Times New Roman" w:hAnsi="Times New Roman" w:cs="Times New Roman"/>
          <w:sz w:val="24"/>
          <w:szCs w:val="24"/>
        </w:rPr>
        <w:tab/>
      </w:r>
      <w:r w:rsidRPr="00D34403">
        <w:rPr>
          <w:rFonts w:ascii="Times New Roman" w:eastAsia="Times New Roman" w:hAnsi="Times New Roman" w:cs="Times New Roman"/>
          <w:sz w:val="24"/>
          <w:szCs w:val="24"/>
        </w:rPr>
        <w:tab/>
        <w:t>- - $71</w:t>
      </w:r>
    </w:p>
    <w:p w:rsidR="00D34403" w:rsidRPr="00D34403" w:rsidP="00D34403" w14:paraId="2EF63A39"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ab/>
        <w:t>e.</w:t>
      </w:r>
      <w:r w:rsidRPr="00D34403">
        <w:rPr>
          <w:rFonts w:ascii="Times New Roman" w:eastAsia="Times New Roman" w:hAnsi="Times New Roman" w:cs="Times New Roman"/>
          <w:sz w:val="24"/>
          <w:szCs w:val="24"/>
        </w:rPr>
        <w:tab/>
        <w:t>Total cost</w:t>
      </w:r>
      <w:r w:rsidRPr="00D34403">
        <w:rPr>
          <w:rFonts w:ascii="Times New Roman" w:eastAsia="Times New Roman" w:hAnsi="Times New Roman" w:cs="Times New Roman"/>
          <w:sz w:val="24"/>
          <w:szCs w:val="24"/>
        </w:rPr>
        <w:tab/>
      </w:r>
      <w:r w:rsidRPr="00D34403">
        <w:rPr>
          <w:rFonts w:ascii="Times New Roman" w:eastAsia="Times New Roman" w:hAnsi="Times New Roman" w:cs="Times New Roman"/>
          <w:sz w:val="24"/>
          <w:szCs w:val="24"/>
        </w:rPr>
        <w:tab/>
      </w:r>
      <w:r w:rsidRPr="00D34403">
        <w:rPr>
          <w:rFonts w:ascii="Times New Roman" w:eastAsia="Times New Roman" w:hAnsi="Times New Roman" w:cs="Times New Roman"/>
          <w:sz w:val="24"/>
          <w:szCs w:val="24"/>
        </w:rPr>
        <w:tab/>
      </w:r>
      <w:r w:rsidRPr="00D34403">
        <w:rPr>
          <w:rFonts w:ascii="Times New Roman" w:eastAsia="Times New Roman" w:hAnsi="Times New Roman" w:cs="Times New Roman"/>
          <w:sz w:val="24"/>
          <w:szCs w:val="24"/>
        </w:rPr>
        <w:tab/>
      </w:r>
      <w:r w:rsidRPr="00D34403">
        <w:rPr>
          <w:rFonts w:ascii="Times New Roman" w:eastAsia="Times New Roman" w:hAnsi="Times New Roman" w:cs="Times New Roman"/>
          <w:sz w:val="24"/>
          <w:szCs w:val="24"/>
        </w:rPr>
        <w:tab/>
        <w:t>- - $7,952</w:t>
      </w:r>
    </w:p>
    <w:p w:rsidR="00D34403" w:rsidRPr="00D34403" w:rsidP="00D34403" w14:paraId="37245787" w14:textId="77777777">
      <w:pPr>
        <w:tabs>
          <w:tab w:val="left" w:pos="-720"/>
        </w:tabs>
        <w:suppressAutoHyphens/>
        <w:spacing w:after="0" w:line="240" w:lineRule="auto"/>
        <w:ind w:left="907"/>
        <w:contextualSpacing/>
        <w:rPr>
          <w:rFonts w:ascii="Times New Roman" w:eastAsia="Times New Roman" w:hAnsi="Times New Roman" w:cs="Times New Roman"/>
          <w:sz w:val="24"/>
          <w:szCs w:val="24"/>
        </w:rPr>
      </w:pPr>
    </w:p>
    <w:p w:rsidR="00D34403" w:rsidRPr="00D34403" w:rsidP="00D34403" w14:paraId="083EA013" w14:textId="77777777">
      <w:pPr>
        <w:tabs>
          <w:tab w:val="left" w:pos="-720"/>
        </w:tabs>
        <w:suppressAutoHyphens/>
        <w:spacing w:after="0" w:line="240" w:lineRule="auto"/>
        <w:ind w:left="907"/>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average review and approval of an ED RSA-7-OB form takes two hours. The RSA staff person who reviews the completed forms is paid at an average rate of $71 per hour. The cost of the review and approval process is 2 hours x $71/hour x 56 reports = $7,952, annual Federal cost.</w:t>
      </w:r>
    </w:p>
    <w:p w:rsidR="00D34403" w:rsidRPr="00D34403" w:rsidP="00D34403" w14:paraId="658FBE0F" w14:textId="77777777">
      <w:pPr>
        <w:tabs>
          <w:tab w:val="left" w:pos="-720"/>
        </w:tabs>
        <w:suppressAutoHyphens/>
        <w:spacing w:after="0" w:line="240" w:lineRule="auto"/>
        <w:ind w:left="907"/>
        <w:rPr>
          <w:rFonts w:ascii="Times New Roman" w:eastAsia="Times New Roman" w:hAnsi="Times New Roman" w:cs="Times New Roman"/>
          <w:sz w:val="24"/>
          <w:szCs w:val="24"/>
        </w:rPr>
      </w:pPr>
    </w:p>
    <w:p w:rsidR="00D34403" w:rsidRPr="00D34403" w:rsidP="00D34403" w14:paraId="567B3863" w14:textId="77777777">
      <w:pPr>
        <w:numPr>
          <w:ilvl w:val="0"/>
          <w:numId w:val="5"/>
        </w:numPr>
        <w:tabs>
          <w:tab w:val="left" w:pos="-720"/>
        </w:tabs>
        <w:suppressAutoHyphens/>
        <w:spacing w:after="0" w:line="240" w:lineRule="auto"/>
        <w:ind w:hanging="547"/>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D34403">
        <w:rPr>
          <w:rFonts w:ascii="Times New Roman" w:eastAsia="Times New Roman" w:hAnsi="Times New Roman" w:cs="Times New Roman"/>
          <w:b/>
          <w:sz w:val="24"/>
          <w:szCs w:val="24"/>
        </w:rPr>
        <w:t xml:space="preserve">statute, and/or program change due to agency discretion), type of collection (new, revision, extension, reinstatement with change, reinstatement without change) and include totals for changes in burden hours, responses and costs (if applicable). </w:t>
      </w:r>
    </w:p>
    <w:p w:rsidR="00D34403" w:rsidRPr="00D34403" w:rsidP="00D34403" w14:paraId="502F203B" w14:textId="77777777">
      <w:pPr>
        <w:tabs>
          <w:tab w:val="left" w:pos="-720"/>
        </w:tabs>
        <w:suppressAutoHyphens/>
        <w:spacing w:after="0" w:line="240" w:lineRule="auto"/>
        <w:ind w:left="720"/>
        <w:rPr>
          <w:rFonts w:ascii="Times New Roman" w:eastAsia="Times New Roman" w:hAnsi="Times New Roman" w:cs="Times New Roman"/>
          <w:b/>
          <w:sz w:val="24"/>
          <w:szCs w:val="24"/>
        </w:rPr>
      </w:pPr>
    </w:p>
    <w:p w:rsidR="00D34403" w:rsidRPr="00D34403" w:rsidP="00D34403" w14:paraId="3AF45159" w14:textId="77777777">
      <w:pPr>
        <w:tabs>
          <w:tab w:val="left" w:pos="-720"/>
        </w:tabs>
        <w:suppressAutoHyphens/>
        <w:spacing w:after="0" w:line="240" w:lineRule="auto"/>
        <w:ind w:left="720"/>
        <w:rPr>
          <w:rFonts w:ascii="Times New Roman" w:eastAsia="Times New Roman" w:hAnsi="Times New Roman" w:cs="Times New Roman"/>
          <w:b/>
          <w:sz w:val="26"/>
          <w:szCs w:val="26"/>
        </w:rPr>
      </w:pPr>
      <w:r w:rsidRPr="00D34403">
        <w:rPr>
          <w:rFonts w:ascii="Times New Roman" w:eastAsia="Times New Roman" w:hAnsi="Times New Roman" w:cs="Times New Roman"/>
          <w:b/>
          <w:sz w:val="26"/>
          <w:szCs w:val="26"/>
        </w:rPr>
        <w:t xml:space="preserve">Provide a descriptive narrative for the reasons of any change in addition </w:t>
      </w:r>
      <w:r w:rsidR="00B9462F">
        <w:rPr>
          <w:rFonts w:ascii="Times New Roman" w:eastAsia="Times New Roman" w:hAnsi="Times New Roman" w:cs="Times New Roman"/>
          <w:b/>
          <w:sz w:val="26"/>
          <w:szCs w:val="26"/>
        </w:rPr>
        <w:t xml:space="preserve">to </w:t>
      </w:r>
      <w:r w:rsidRPr="00D34403">
        <w:rPr>
          <w:rFonts w:ascii="Times New Roman" w:eastAsia="Times New Roman" w:hAnsi="Times New Roman" w:cs="Times New Roman"/>
          <w:b/>
          <w:sz w:val="26"/>
          <w:szCs w:val="26"/>
        </w:rPr>
        <w:t>completing the table with the burden hour change(s) here.</w:t>
      </w:r>
    </w:p>
    <w:p w:rsidR="00D34403" w:rsidRPr="00D34403" w:rsidP="00D34403" w14:paraId="49E19BF9" w14:textId="77777777">
      <w:pPr>
        <w:tabs>
          <w:tab w:val="left" w:pos="-720"/>
        </w:tabs>
        <w:suppressAutoHyphens/>
        <w:spacing w:after="0" w:line="240" w:lineRule="auto"/>
        <w:rPr>
          <w:rFonts w:ascii="Times New Roman" w:eastAsia="Times New Roman" w:hAnsi="Times New Roman" w:cs="Times New Roman"/>
          <w:b/>
          <w:sz w:val="24"/>
          <w:szCs w:val="24"/>
        </w:rPr>
      </w:pPr>
    </w:p>
    <w:tbl>
      <w:tblPr>
        <w:tblStyle w:val="TableGrid"/>
        <w:tblW w:w="9445" w:type="dxa"/>
        <w:tblLook w:val="04A0"/>
      </w:tblPr>
      <w:tblGrid>
        <w:gridCol w:w="2048"/>
        <w:gridCol w:w="2048"/>
        <w:gridCol w:w="2829"/>
        <w:gridCol w:w="2520"/>
      </w:tblGrid>
      <w:tr w14:paraId="5A710220" w14:textId="77777777" w:rsidTr="00D34403">
        <w:tblPrEx>
          <w:tblW w:w="9445" w:type="dxa"/>
          <w:tblLook w:val="04A0"/>
        </w:tblPrEx>
        <w:tc>
          <w:tcPr>
            <w:tcW w:w="2048" w:type="dxa"/>
            <w:shd w:val="clear" w:color="auto" w:fill="D9D9D9"/>
          </w:tcPr>
          <w:p w:rsidR="00D34403" w:rsidRPr="00D34403" w:rsidP="00D34403" w14:paraId="6F2974B9" w14:textId="77777777">
            <w:pPr>
              <w:tabs>
                <w:tab w:val="left" w:pos="-720"/>
              </w:tabs>
              <w:suppressAutoHyphens/>
              <w:rPr>
                <w:b/>
                <w:sz w:val="24"/>
                <w:szCs w:val="24"/>
              </w:rPr>
            </w:pPr>
          </w:p>
        </w:tc>
        <w:tc>
          <w:tcPr>
            <w:tcW w:w="2048" w:type="dxa"/>
          </w:tcPr>
          <w:p w:rsidR="00D34403" w:rsidRPr="00D34403" w:rsidP="00D34403" w14:paraId="246FD22C" w14:textId="77777777">
            <w:pPr>
              <w:tabs>
                <w:tab w:val="left" w:pos="-720"/>
              </w:tabs>
              <w:suppressAutoHyphens/>
              <w:rPr>
                <w:b/>
                <w:sz w:val="24"/>
                <w:szCs w:val="24"/>
              </w:rPr>
            </w:pPr>
            <w:r w:rsidRPr="00D34403">
              <w:rPr>
                <w:b/>
                <w:sz w:val="24"/>
                <w:szCs w:val="24"/>
              </w:rPr>
              <w:t>Program Change Due to New Statute</w:t>
            </w:r>
          </w:p>
        </w:tc>
        <w:tc>
          <w:tcPr>
            <w:tcW w:w="2829" w:type="dxa"/>
          </w:tcPr>
          <w:p w:rsidR="00D34403" w:rsidRPr="00D34403" w:rsidP="00D34403" w14:paraId="70DEAA4A" w14:textId="77777777">
            <w:pPr>
              <w:tabs>
                <w:tab w:val="left" w:pos="-720"/>
              </w:tabs>
              <w:suppressAutoHyphens/>
              <w:rPr>
                <w:b/>
                <w:sz w:val="24"/>
                <w:szCs w:val="24"/>
              </w:rPr>
            </w:pPr>
            <w:r w:rsidRPr="00D34403">
              <w:rPr>
                <w:b/>
                <w:sz w:val="24"/>
                <w:szCs w:val="24"/>
              </w:rPr>
              <w:t>Program Change Due to Agency Discretion</w:t>
            </w:r>
          </w:p>
        </w:tc>
        <w:tc>
          <w:tcPr>
            <w:tcW w:w="2520" w:type="dxa"/>
          </w:tcPr>
          <w:p w:rsidR="00D34403" w:rsidRPr="00D34403" w:rsidP="00D34403" w14:paraId="2937BD97" w14:textId="77777777">
            <w:pPr>
              <w:tabs>
                <w:tab w:val="left" w:pos="-720"/>
              </w:tabs>
              <w:suppressAutoHyphens/>
              <w:rPr>
                <w:b/>
                <w:sz w:val="24"/>
                <w:szCs w:val="24"/>
              </w:rPr>
            </w:pPr>
            <w:r w:rsidRPr="00D34403">
              <w:rPr>
                <w:b/>
                <w:sz w:val="24"/>
                <w:szCs w:val="24"/>
              </w:rPr>
              <w:t>Change Due to Adjustment in Agency Estimate</w:t>
            </w:r>
          </w:p>
        </w:tc>
      </w:tr>
      <w:tr w14:paraId="7057AE52" w14:textId="77777777" w:rsidTr="007369F7">
        <w:tblPrEx>
          <w:tblW w:w="9445" w:type="dxa"/>
          <w:tblLook w:val="04A0"/>
        </w:tblPrEx>
        <w:tc>
          <w:tcPr>
            <w:tcW w:w="2048" w:type="dxa"/>
          </w:tcPr>
          <w:p w:rsidR="00D34403" w:rsidRPr="00D34403" w:rsidP="00D34403" w14:paraId="3C6B6F46" w14:textId="77777777">
            <w:pPr>
              <w:tabs>
                <w:tab w:val="left" w:pos="-720"/>
              </w:tabs>
              <w:suppressAutoHyphens/>
              <w:rPr>
                <w:b/>
                <w:sz w:val="24"/>
                <w:szCs w:val="24"/>
              </w:rPr>
            </w:pPr>
            <w:r w:rsidRPr="00D34403">
              <w:rPr>
                <w:b/>
                <w:sz w:val="24"/>
                <w:szCs w:val="24"/>
              </w:rPr>
              <w:t>Total Burden</w:t>
            </w:r>
          </w:p>
        </w:tc>
        <w:tc>
          <w:tcPr>
            <w:tcW w:w="2048" w:type="dxa"/>
          </w:tcPr>
          <w:p w:rsidR="00D34403" w:rsidRPr="00D34403" w:rsidP="00D34403" w14:paraId="0098AE9E" w14:textId="77777777">
            <w:pPr>
              <w:tabs>
                <w:tab w:val="left" w:pos="-720"/>
              </w:tabs>
              <w:suppressAutoHyphens/>
              <w:rPr>
                <w:b/>
                <w:sz w:val="24"/>
                <w:szCs w:val="24"/>
              </w:rPr>
            </w:pPr>
          </w:p>
        </w:tc>
        <w:tc>
          <w:tcPr>
            <w:tcW w:w="2829" w:type="dxa"/>
          </w:tcPr>
          <w:p w:rsidR="00D34403" w:rsidRPr="00D34403" w:rsidP="00D34403" w14:paraId="7C6FA33C" w14:textId="77777777">
            <w:pPr>
              <w:tabs>
                <w:tab w:val="left" w:pos="-720"/>
              </w:tabs>
              <w:suppressAutoHyphens/>
              <w:rPr>
                <w:b/>
                <w:sz w:val="24"/>
                <w:szCs w:val="24"/>
              </w:rPr>
            </w:pPr>
          </w:p>
        </w:tc>
        <w:tc>
          <w:tcPr>
            <w:tcW w:w="2520" w:type="dxa"/>
          </w:tcPr>
          <w:p w:rsidR="00D34403" w:rsidRPr="00D34403" w:rsidP="00D34403" w14:paraId="61D62BB5" w14:textId="77777777">
            <w:pPr>
              <w:tabs>
                <w:tab w:val="left" w:pos="-720"/>
              </w:tabs>
              <w:suppressAutoHyphens/>
              <w:rPr>
                <w:b/>
                <w:sz w:val="24"/>
                <w:szCs w:val="24"/>
              </w:rPr>
            </w:pPr>
          </w:p>
        </w:tc>
      </w:tr>
      <w:tr w14:paraId="73F4EE5A" w14:textId="77777777" w:rsidTr="007369F7">
        <w:tblPrEx>
          <w:tblW w:w="9445" w:type="dxa"/>
          <w:tblLook w:val="04A0"/>
        </w:tblPrEx>
        <w:tc>
          <w:tcPr>
            <w:tcW w:w="2048" w:type="dxa"/>
          </w:tcPr>
          <w:p w:rsidR="00D34403" w:rsidRPr="00D34403" w:rsidP="00D34403" w14:paraId="6EC76B62" w14:textId="43D0508E">
            <w:pPr>
              <w:tabs>
                <w:tab w:val="left" w:pos="-720"/>
              </w:tabs>
              <w:suppressAutoHyphens/>
              <w:rPr>
                <w:b/>
                <w:sz w:val="24"/>
                <w:szCs w:val="24"/>
              </w:rPr>
            </w:pPr>
            <w:r w:rsidRPr="00D34403">
              <w:rPr>
                <w:b/>
                <w:sz w:val="24"/>
                <w:szCs w:val="24"/>
              </w:rPr>
              <w:t>Total Responses</w:t>
            </w:r>
          </w:p>
        </w:tc>
        <w:tc>
          <w:tcPr>
            <w:tcW w:w="2048" w:type="dxa"/>
          </w:tcPr>
          <w:p w:rsidR="00D34403" w:rsidRPr="00D34403" w:rsidP="00D34403" w14:paraId="736F8882" w14:textId="77777777">
            <w:pPr>
              <w:tabs>
                <w:tab w:val="left" w:pos="-720"/>
              </w:tabs>
              <w:suppressAutoHyphens/>
              <w:rPr>
                <w:b/>
                <w:sz w:val="24"/>
                <w:szCs w:val="24"/>
              </w:rPr>
            </w:pPr>
          </w:p>
        </w:tc>
        <w:tc>
          <w:tcPr>
            <w:tcW w:w="2829" w:type="dxa"/>
          </w:tcPr>
          <w:p w:rsidR="00D34403" w:rsidRPr="00D34403" w:rsidP="00D34403" w14:paraId="18D4D173" w14:textId="77777777">
            <w:pPr>
              <w:tabs>
                <w:tab w:val="left" w:pos="-720"/>
              </w:tabs>
              <w:suppressAutoHyphens/>
              <w:rPr>
                <w:b/>
                <w:sz w:val="24"/>
                <w:szCs w:val="24"/>
              </w:rPr>
            </w:pPr>
          </w:p>
        </w:tc>
        <w:tc>
          <w:tcPr>
            <w:tcW w:w="2520" w:type="dxa"/>
          </w:tcPr>
          <w:p w:rsidR="00D34403" w:rsidRPr="00D34403" w:rsidP="00D34403" w14:paraId="3773E3BF" w14:textId="77777777">
            <w:pPr>
              <w:tabs>
                <w:tab w:val="left" w:pos="-720"/>
              </w:tabs>
              <w:suppressAutoHyphens/>
              <w:rPr>
                <w:b/>
                <w:sz w:val="24"/>
                <w:szCs w:val="24"/>
              </w:rPr>
            </w:pPr>
          </w:p>
        </w:tc>
      </w:tr>
      <w:tr w14:paraId="0A44BA3F" w14:textId="77777777" w:rsidTr="007369F7">
        <w:tblPrEx>
          <w:tblW w:w="9445" w:type="dxa"/>
          <w:tblLook w:val="04A0"/>
        </w:tblPrEx>
        <w:tc>
          <w:tcPr>
            <w:tcW w:w="2048" w:type="dxa"/>
          </w:tcPr>
          <w:p w:rsidR="00D34403" w:rsidRPr="00D34403" w:rsidP="00D34403" w14:paraId="1668D5FA" w14:textId="77777777">
            <w:pPr>
              <w:tabs>
                <w:tab w:val="left" w:pos="-720"/>
              </w:tabs>
              <w:suppressAutoHyphens/>
              <w:rPr>
                <w:b/>
                <w:sz w:val="24"/>
                <w:szCs w:val="24"/>
              </w:rPr>
            </w:pPr>
            <w:r w:rsidRPr="00D34403">
              <w:rPr>
                <w:b/>
                <w:sz w:val="24"/>
                <w:szCs w:val="24"/>
              </w:rPr>
              <w:t>Total Costs (if applicable)</w:t>
            </w:r>
          </w:p>
        </w:tc>
        <w:tc>
          <w:tcPr>
            <w:tcW w:w="2048" w:type="dxa"/>
          </w:tcPr>
          <w:p w:rsidR="00D34403" w:rsidRPr="00D34403" w:rsidP="00D34403" w14:paraId="4EE5A538" w14:textId="77777777">
            <w:pPr>
              <w:tabs>
                <w:tab w:val="left" w:pos="-720"/>
              </w:tabs>
              <w:suppressAutoHyphens/>
              <w:rPr>
                <w:b/>
                <w:sz w:val="24"/>
                <w:szCs w:val="24"/>
              </w:rPr>
            </w:pPr>
          </w:p>
        </w:tc>
        <w:tc>
          <w:tcPr>
            <w:tcW w:w="2829" w:type="dxa"/>
          </w:tcPr>
          <w:p w:rsidR="00D34403" w:rsidRPr="00D34403" w:rsidP="00D34403" w14:paraId="5B004788" w14:textId="77777777">
            <w:pPr>
              <w:tabs>
                <w:tab w:val="left" w:pos="-720"/>
              </w:tabs>
              <w:suppressAutoHyphens/>
              <w:rPr>
                <w:b/>
                <w:sz w:val="24"/>
                <w:szCs w:val="24"/>
              </w:rPr>
            </w:pPr>
          </w:p>
        </w:tc>
        <w:tc>
          <w:tcPr>
            <w:tcW w:w="2520" w:type="dxa"/>
          </w:tcPr>
          <w:p w:rsidR="00D34403" w:rsidRPr="00D34403" w:rsidP="00D34403" w14:paraId="34C525B7" w14:textId="77777777">
            <w:pPr>
              <w:tabs>
                <w:tab w:val="left" w:pos="-720"/>
              </w:tabs>
              <w:suppressAutoHyphens/>
              <w:rPr>
                <w:b/>
                <w:sz w:val="24"/>
                <w:szCs w:val="24"/>
              </w:rPr>
            </w:pPr>
          </w:p>
        </w:tc>
      </w:tr>
    </w:tbl>
    <w:p w:rsidR="00D34403" w:rsidRPr="00D34403" w:rsidP="00D34403" w14:paraId="09A9B16C" w14:textId="77777777">
      <w:pPr>
        <w:tabs>
          <w:tab w:val="left" w:pos="-720"/>
        </w:tabs>
        <w:suppressAutoHyphens/>
        <w:spacing w:after="0" w:line="240" w:lineRule="auto"/>
        <w:rPr>
          <w:rFonts w:ascii="Times New Roman" w:eastAsia="Times New Roman" w:hAnsi="Times New Roman" w:cs="Times New Roman"/>
          <w:b/>
          <w:sz w:val="24"/>
          <w:szCs w:val="24"/>
        </w:rPr>
      </w:pPr>
    </w:p>
    <w:p w:rsidR="00D34403" w:rsidRPr="00D34403" w:rsidP="00D34403" w14:paraId="4E0827FE" w14:textId="46360892">
      <w:pPr>
        <w:tabs>
          <w:tab w:val="left" w:pos="-720"/>
        </w:tabs>
        <w:suppressAutoHyphens/>
        <w:spacing w:after="0" w:line="240" w:lineRule="auto"/>
        <w:ind w:left="720"/>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 xml:space="preserve">This information collection has been revised at the Department’s discretion. The data collection has been streamlined to collect only what is necessary to meet statutory requirements and to eliminate duplication and unclear items and instructions. </w:t>
      </w:r>
      <w:r w:rsidR="00084FFE">
        <w:rPr>
          <w:rFonts w:ascii="Times New Roman" w:eastAsia="Times New Roman" w:hAnsi="Times New Roman" w:cs="Times New Roman"/>
          <w:sz w:val="24"/>
          <w:szCs w:val="24"/>
        </w:rPr>
        <w:t xml:space="preserve">There is no change in burden </w:t>
      </w:r>
      <w:r w:rsidR="00EA2FF0">
        <w:rPr>
          <w:rFonts w:ascii="Times New Roman" w:eastAsia="Times New Roman" w:hAnsi="Times New Roman" w:cs="Times New Roman"/>
          <w:sz w:val="24"/>
          <w:szCs w:val="24"/>
        </w:rPr>
        <w:t>for</w:t>
      </w:r>
      <w:r w:rsidR="00084FFE">
        <w:rPr>
          <w:rFonts w:ascii="Times New Roman" w:eastAsia="Times New Roman" w:hAnsi="Times New Roman" w:cs="Times New Roman"/>
          <w:sz w:val="24"/>
          <w:szCs w:val="24"/>
        </w:rPr>
        <w:t xml:space="preserve"> the collection. </w:t>
      </w:r>
    </w:p>
    <w:p w:rsidR="00D34403" w:rsidRPr="00D34403" w:rsidP="00D34403" w14:paraId="29F3181C" w14:textId="77777777">
      <w:pPr>
        <w:tabs>
          <w:tab w:val="left" w:pos="-720"/>
        </w:tabs>
        <w:suppressAutoHyphens/>
        <w:spacing w:after="0" w:line="240" w:lineRule="auto"/>
        <w:ind w:left="720"/>
        <w:rPr>
          <w:rFonts w:ascii="Times New Roman" w:eastAsia="Times New Roman" w:hAnsi="Times New Roman" w:cs="Times New Roman"/>
          <w:sz w:val="24"/>
          <w:szCs w:val="24"/>
        </w:rPr>
      </w:pPr>
    </w:p>
    <w:p w:rsidR="00D34403" w:rsidRPr="00D34403" w:rsidP="00D34403" w14:paraId="6DF0C608" w14:textId="77777777">
      <w:pPr>
        <w:numPr>
          <w:ilvl w:val="0"/>
          <w:numId w:val="5"/>
        </w:numPr>
        <w:tabs>
          <w:tab w:val="left" w:pos="-720"/>
        </w:tabs>
        <w:suppressAutoHyphens/>
        <w:spacing w:after="0" w:line="240" w:lineRule="auto"/>
        <w:ind w:left="806" w:hanging="446"/>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4403" w:rsidRPr="00D34403" w:rsidP="00D34403" w14:paraId="48EA1545"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573ED55A" w14:textId="77777777">
      <w:pPr>
        <w:tabs>
          <w:tab w:val="left" w:pos="-720"/>
        </w:tabs>
        <w:suppressAutoHyphens/>
        <w:spacing w:after="0" w:line="240" w:lineRule="auto"/>
        <w:ind w:left="806"/>
        <w:rPr>
          <w:rFonts w:ascii="Times New Roman" w:eastAsia="Times New Roman" w:hAnsi="Times New Roman" w:cs="Times New Roman"/>
          <w:sz w:val="24"/>
          <w:szCs w:val="24"/>
        </w:rPr>
      </w:pPr>
      <w:r w:rsidRPr="00D34403">
        <w:rPr>
          <w:rFonts w:ascii="Times New Roman" w:eastAsia="Times New Roman" w:hAnsi="Times New Roman" w:cs="Times New Roman"/>
          <w:sz w:val="24"/>
          <w:szCs w:val="24"/>
        </w:rPr>
        <w:t>The information collected will not be published for statistical use.</w:t>
      </w:r>
    </w:p>
    <w:p w:rsidR="00D34403" w:rsidRPr="00D34403" w:rsidP="00D34403" w14:paraId="208BBD02" w14:textId="77777777">
      <w:pPr>
        <w:tabs>
          <w:tab w:val="left" w:pos="-720"/>
        </w:tabs>
        <w:suppressAutoHyphens/>
        <w:spacing w:after="0" w:line="240" w:lineRule="auto"/>
        <w:rPr>
          <w:rFonts w:ascii="Times New Roman" w:eastAsia="Times New Roman" w:hAnsi="Times New Roman" w:cs="Times New Roman"/>
          <w:sz w:val="24"/>
          <w:szCs w:val="24"/>
        </w:rPr>
      </w:pPr>
    </w:p>
    <w:p w:rsidR="00D34403" w:rsidRPr="00D34403" w:rsidP="00D34403" w14:paraId="2BDEAB01" w14:textId="77777777">
      <w:pPr>
        <w:numPr>
          <w:ilvl w:val="0"/>
          <w:numId w:val="5"/>
        </w:numPr>
        <w:tabs>
          <w:tab w:val="left" w:pos="-720"/>
        </w:tabs>
        <w:suppressAutoHyphens/>
        <w:spacing w:after="0" w:line="240" w:lineRule="auto"/>
        <w:ind w:left="907" w:hanging="547"/>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D34403" w:rsidRPr="00D34403" w:rsidP="00D34403" w14:paraId="1852FE76" w14:textId="77777777">
      <w:pPr>
        <w:tabs>
          <w:tab w:val="left" w:pos="-720"/>
        </w:tabs>
        <w:suppressAutoHyphens/>
        <w:spacing w:after="0" w:line="240" w:lineRule="auto"/>
        <w:ind w:left="360"/>
        <w:rPr>
          <w:rFonts w:ascii="Times New Roman" w:eastAsia="Times New Roman" w:hAnsi="Times New Roman" w:cs="Times New Roman"/>
          <w:b/>
          <w:sz w:val="24"/>
          <w:szCs w:val="24"/>
        </w:rPr>
      </w:pPr>
    </w:p>
    <w:p w:rsidR="00D34403" w:rsidRPr="00D34403" w:rsidP="00D34403" w14:paraId="42F8B814" w14:textId="77777777">
      <w:pPr>
        <w:tabs>
          <w:tab w:val="left" w:pos="-720"/>
        </w:tabs>
        <w:suppressAutoHyphens/>
        <w:spacing w:after="0" w:line="240" w:lineRule="auto"/>
        <w:ind w:left="360"/>
        <w:rPr>
          <w:rFonts w:ascii="Times New Roman" w:eastAsia="Times New Roman" w:hAnsi="Times New Roman" w:cs="Times New Roman"/>
          <w:bCs/>
          <w:sz w:val="24"/>
          <w:szCs w:val="24"/>
        </w:rPr>
      </w:pPr>
      <w:r w:rsidRPr="00D34403">
        <w:rPr>
          <w:rFonts w:ascii="Times New Roman" w:eastAsia="Times New Roman" w:hAnsi="Times New Roman" w:cs="Times New Roman"/>
          <w:b/>
          <w:sz w:val="24"/>
          <w:szCs w:val="24"/>
        </w:rPr>
        <w:tab/>
        <w:t xml:space="preserve">   </w:t>
      </w:r>
      <w:r w:rsidRPr="00D34403">
        <w:rPr>
          <w:rFonts w:ascii="Times New Roman" w:eastAsia="Times New Roman" w:hAnsi="Times New Roman" w:cs="Times New Roman"/>
          <w:bCs/>
          <w:sz w:val="24"/>
          <w:szCs w:val="24"/>
        </w:rPr>
        <w:t>This document is not seeking OMB approval to not display the expiration date.</w:t>
      </w:r>
    </w:p>
    <w:p w:rsidR="00D34403" w:rsidRPr="00D34403" w:rsidP="00D34403" w14:paraId="5ABAAE7B" w14:textId="77777777">
      <w:pPr>
        <w:tabs>
          <w:tab w:val="left" w:pos="-720"/>
        </w:tabs>
        <w:suppressAutoHyphens/>
        <w:spacing w:after="0" w:line="240" w:lineRule="auto"/>
        <w:ind w:left="360"/>
        <w:rPr>
          <w:rFonts w:ascii="Times New Roman" w:eastAsia="Times New Roman" w:hAnsi="Times New Roman" w:cs="Times New Roman"/>
          <w:sz w:val="24"/>
          <w:szCs w:val="24"/>
        </w:rPr>
      </w:pPr>
    </w:p>
    <w:p w:rsidR="00D34403" w:rsidRPr="00D34403" w:rsidP="00D34403" w14:paraId="46C48F02" w14:textId="77777777">
      <w:pPr>
        <w:numPr>
          <w:ilvl w:val="0"/>
          <w:numId w:val="5"/>
        </w:numPr>
        <w:tabs>
          <w:tab w:val="left" w:pos="-720"/>
        </w:tabs>
        <w:suppressAutoHyphens/>
        <w:spacing w:after="0" w:line="240" w:lineRule="auto"/>
        <w:ind w:left="900" w:hanging="540"/>
        <w:contextualSpacing/>
        <w:rPr>
          <w:rFonts w:ascii="Times New Roman" w:eastAsia="Times New Roman" w:hAnsi="Times New Roman" w:cs="Times New Roman"/>
          <w:b/>
          <w:sz w:val="24"/>
          <w:szCs w:val="24"/>
        </w:rPr>
      </w:pPr>
      <w:r w:rsidRPr="00D34403">
        <w:rPr>
          <w:rFonts w:ascii="Times New Roman" w:eastAsia="Times New Roman" w:hAnsi="Times New Roman" w:cs="Times New Roman"/>
          <w:b/>
          <w:sz w:val="24"/>
          <w:szCs w:val="24"/>
        </w:rPr>
        <w:t>Explain each exception to the certification statement identified in the Certification of Paperwork Reduction Act.</w:t>
      </w:r>
    </w:p>
    <w:p w:rsidR="00D34403" w:rsidRPr="00D34403" w:rsidP="00D34403" w14:paraId="7DAF0FE5" w14:textId="77777777">
      <w:pPr>
        <w:tabs>
          <w:tab w:val="left" w:pos="-720"/>
        </w:tabs>
        <w:suppressAutoHyphens/>
        <w:spacing w:after="0" w:line="240" w:lineRule="auto"/>
        <w:ind w:left="900"/>
        <w:contextualSpacing/>
        <w:rPr>
          <w:rFonts w:ascii="Times New Roman" w:eastAsia="Times New Roman" w:hAnsi="Times New Roman" w:cs="Times New Roman"/>
          <w:b/>
          <w:sz w:val="24"/>
          <w:szCs w:val="24"/>
        </w:rPr>
      </w:pPr>
    </w:p>
    <w:p w:rsidR="00D34403" w:rsidRPr="00D34403" w:rsidP="00D34403" w14:paraId="4001D208" w14:textId="77777777">
      <w:pPr>
        <w:tabs>
          <w:tab w:val="left" w:pos="-720"/>
        </w:tabs>
        <w:suppressAutoHyphens/>
        <w:spacing w:after="0" w:line="240" w:lineRule="auto"/>
        <w:ind w:left="900"/>
        <w:contextualSpacing/>
        <w:rPr>
          <w:rFonts w:ascii="Times New Roman" w:eastAsia="Times New Roman" w:hAnsi="Times New Roman" w:cs="Times New Roman"/>
          <w:bCs/>
          <w:sz w:val="24"/>
          <w:szCs w:val="24"/>
        </w:rPr>
      </w:pPr>
      <w:r w:rsidRPr="00D34403">
        <w:rPr>
          <w:rFonts w:ascii="Times New Roman" w:eastAsia="Times New Roman" w:hAnsi="Times New Roman" w:cs="Times New Roman"/>
          <w:bCs/>
          <w:sz w:val="24"/>
          <w:szCs w:val="24"/>
        </w:rPr>
        <w:t xml:space="preserve">This document meets each of the criteria outlined in the "Certification for Paperwork </w:t>
      </w:r>
    </w:p>
    <w:p w:rsidR="00D34403" w:rsidRPr="00D34403" w:rsidP="00D34403" w14:paraId="20E350E7" w14:textId="77777777">
      <w:pPr>
        <w:tabs>
          <w:tab w:val="left" w:pos="-720"/>
        </w:tabs>
        <w:suppressAutoHyphens/>
        <w:spacing w:after="0" w:line="240" w:lineRule="auto"/>
        <w:ind w:left="900"/>
        <w:contextualSpacing/>
        <w:rPr>
          <w:rFonts w:ascii="Times New Roman" w:eastAsia="Times New Roman" w:hAnsi="Times New Roman" w:cs="Times New Roman"/>
          <w:b/>
          <w:sz w:val="24"/>
          <w:szCs w:val="24"/>
        </w:rPr>
      </w:pPr>
      <w:r w:rsidRPr="00D34403">
        <w:rPr>
          <w:rFonts w:ascii="Times New Roman" w:eastAsia="Times New Roman" w:hAnsi="Times New Roman" w:cs="Times New Roman"/>
          <w:bCs/>
          <w:sz w:val="24"/>
          <w:szCs w:val="24"/>
        </w:rPr>
        <w:t>Reduction Act Submissions."</w:t>
      </w:r>
    </w:p>
    <w:p w:rsidR="00017FCF" w14:paraId="4BA37925" w14:textId="77777777"/>
    <w:sectPr w:rsidSect="00043C32">
      <w:footerReference w:type="default" r:id="rId6"/>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C8F" w14:paraId="3DFC0DB3" w14:textId="77777777">
    <w:pPr>
      <w:spacing w:before="140" w:line="100" w:lineRule="exact"/>
      <w:rPr>
        <w:sz w:val="10"/>
      </w:rPr>
    </w:pPr>
  </w:p>
  <w:p w:rsidR="00B84C8F" w14:paraId="09A65336" w14:textId="77777777">
    <w:pPr>
      <w:tabs>
        <w:tab w:val="left" w:pos="0"/>
      </w:tabs>
      <w:suppressAutoHyphens/>
    </w:pPr>
  </w:p>
  <w:p w:rsidR="00B84C8F" w14:paraId="4CD30786" w14:textId="77777777">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wps:spPr>
                    <wps:txbx>
                      <w:txbxContent>
                        <w:p w:rsidR="00B84C8F"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B84C8F" w:rsidRPr="00534B4A" w14:paraId="6DBD0B45"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4403" w:rsidP="00D34403" w14:paraId="596B685E" w14:textId="77777777">
      <w:pPr>
        <w:spacing w:after="0" w:line="240" w:lineRule="auto"/>
      </w:pPr>
      <w:r>
        <w:separator/>
      </w:r>
    </w:p>
  </w:footnote>
  <w:footnote w:type="continuationSeparator" w:id="1">
    <w:p w:rsidR="00D34403" w:rsidP="00D34403" w14:paraId="0C335ADA" w14:textId="77777777">
      <w:pPr>
        <w:spacing w:after="0" w:line="240" w:lineRule="auto"/>
      </w:pPr>
      <w:r>
        <w:continuationSeparator/>
      </w:r>
    </w:p>
  </w:footnote>
  <w:footnote w:id="2">
    <w:p w:rsidR="00D34403" w:rsidP="00D34403" w14:paraId="6CFE748A" w14:textId="77777777">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1048133">
    <w:abstractNumId w:val="0"/>
  </w:num>
  <w:num w:numId="2" w16cid:durableId="224100251">
    <w:abstractNumId w:val="2"/>
  </w:num>
  <w:num w:numId="3" w16cid:durableId="1534922446">
    <w:abstractNumId w:val="1"/>
  </w:num>
  <w:num w:numId="4" w16cid:durableId="1149052708">
    <w:abstractNumId w:val="3"/>
  </w:num>
  <w:num w:numId="5" w16cid:durableId="1649020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03"/>
    <w:rsid w:val="00013EDF"/>
    <w:rsid w:val="00017FCF"/>
    <w:rsid w:val="000236DC"/>
    <w:rsid w:val="00036418"/>
    <w:rsid w:val="00084FFE"/>
    <w:rsid w:val="000C0E11"/>
    <w:rsid w:val="001D02A7"/>
    <w:rsid w:val="001D5242"/>
    <w:rsid w:val="00213EF6"/>
    <w:rsid w:val="003533D8"/>
    <w:rsid w:val="00373092"/>
    <w:rsid w:val="003B2BCD"/>
    <w:rsid w:val="003C001D"/>
    <w:rsid w:val="004012D0"/>
    <w:rsid w:val="00484145"/>
    <w:rsid w:val="004C2EFA"/>
    <w:rsid w:val="00516E10"/>
    <w:rsid w:val="00534B4A"/>
    <w:rsid w:val="007174CB"/>
    <w:rsid w:val="0080281D"/>
    <w:rsid w:val="009B7C9B"/>
    <w:rsid w:val="00A04DAD"/>
    <w:rsid w:val="00A23792"/>
    <w:rsid w:val="00A93AF1"/>
    <w:rsid w:val="00B4136D"/>
    <w:rsid w:val="00B66BB9"/>
    <w:rsid w:val="00B84C8F"/>
    <w:rsid w:val="00B9462F"/>
    <w:rsid w:val="00BB4DA1"/>
    <w:rsid w:val="00BE3C8F"/>
    <w:rsid w:val="00BE7FFB"/>
    <w:rsid w:val="00C57A64"/>
    <w:rsid w:val="00CF6672"/>
    <w:rsid w:val="00D34403"/>
    <w:rsid w:val="00D83F84"/>
    <w:rsid w:val="00DF7D51"/>
    <w:rsid w:val="00E078A9"/>
    <w:rsid w:val="00E8036D"/>
    <w:rsid w:val="00EA2FF0"/>
    <w:rsid w:val="00F13E7B"/>
    <w:rsid w:val="00F643FA"/>
    <w:rsid w:val="00F66734"/>
    <w:rsid w:val="00F85E49"/>
    <w:rsid w:val="00F958F0"/>
    <w:rsid w:val="00FB2F94"/>
    <w:rsid w:val="00FF6C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ADEBCF"/>
  <w15:chartTrackingRefBased/>
  <w15:docId w15:val="{711A75A8-2506-45DF-BEA9-031F4247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4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403"/>
    <w:rPr>
      <w:sz w:val="20"/>
      <w:szCs w:val="20"/>
    </w:rPr>
  </w:style>
  <w:style w:type="character" w:styleId="FootnoteReference">
    <w:name w:val="footnote reference"/>
    <w:uiPriority w:val="99"/>
    <w:rsid w:val="00D34403"/>
    <w:rPr>
      <w:rFonts w:ascii="Courier" w:hAnsi="Courier" w:cs="Times New Roman"/>
      <w:sz w:val="24"/>
      <w:vertAlign w:val="superscript"/>
      <w:lang w:val="en-US"/>
    </w:rPr>
  </w:style>
  <w:style w:type="table" w:styleId="TableGrid">
    <w:name w:val="Table Grid"/>
    <w:basedOn w:val="TableNormal"/>
    <w:uiPriority w:val="59"/>
    <w:rsid w:val="00D344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4403"/>
    <w:rPr>
      <w:sz w:val="16"/>
      <w:szCs w:val="16"/>
    </w:rPr>
  </w:style>
  <w:style w:type="paragraph" w:styleId="CommentText">
    <w:name w:val="annotation text"/>
    <w:basedOn w:val="Normal"/>
    <w:link w:val="CommentTextChar"/>
    <w:uiPriority w:val="99"/>
    <w:semiHidden/>
    <w:unhideWhenUsed/>
    <w:rsid w:val="00D34403"/>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D34403"/>
    <w:rPr>
      <w:rFonts w:ascii="Courier" w:eastAsia="Times New Roman" w:hAnsi="Courier" w:cs="Times New Roman"/>
      <w:sz w:val="20"/>
      <w:szCs w:val="20"/>
    </w:rPr>
  </w:style>
  <w:style w:type="table" w:customStyle="1" w:styleId="TableGridLight1">
    <w:name w:val="Table Grid Light1"/>
    <w:basedOn w:val="TableNormal"/>
    <w:next w:val="GridTableLight"/>
    <w:uiPriority w:val="40"/>
    <w:rsid w:val="00D34403"/>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D34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BE7FF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7FFB"/>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current/oes_nat.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Jeffords</dc:creator>
  <cp:lastModifiedBy>Pearson, Juliana</cp:lastModifiedBy>
  <cp:revision>11</cp:revision>
  <dcterms:created xsi:type="dcterms:W3CDTF">2022-12-29T13:27:00Z</dcterms:created>
  <dcterms:modified xsi:type="dcterms:W3CDTF">2022-12-29T14:37:00Z</dcterms:modified>
</cp:coreProperties>
</file>