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B24919" w:rsidP="00A2604E" w14:paraId="1502CB1A" w14:textId="77777777">
      <w:pPr>
        <w:jc w:val="center"/>
        <w:rPr>
          <w:b/>
          <w:bCs/>
        </w:rPr>
      </w:pPr>
      <w:r w:rsidRPr="00B24919">
        <w:rPr>
          <w:b/>
          <w:bCs/>
        </w:rPr>
        <w:t>UNITED STATES OF AMERICA</w:t>
      </w:r>
    </w:p>
    <w:p w:rsidR="00A2604E" w:rsidRPr="00B24919" w:rsidP="00A2604E" w14:paraId="273661E3" w14:textId="77777777">
      <w:pPr>
        <w:jc w:val="center"/>
        <w:rPr>
          <w:b/>
          <w:bCs/>
        </w:rPr>
      </w:pPr>
      <w:r w:rsidRPr="00B24919">
        <w:rPr>
          <w:b/>
          <w:bCs/>
        </w:rPr>
        <w:t>FEDERAL ENERGY REGULATORY COMMISSION</w:t>
      </w:r>
    </w:p>
    <w:p w:rsidR="00A2604E" w:rsidRPr="00B24919" w:rsidP="00A2604E" w14:paraId="6C561934" w14:textId="77777777">
      <w:pPr>
        <w:rPr>
          <w:b/>
          <w:bCs/>
        </w:rPr>
      </w:pPr>
    </w:p>
    <w:p w:rsidR="00A2604E" w:rsidRPr="00B24919" w:rsidP="00A2604E" w14:paraId="3E11D4A1" w14:textId="4D333222">
      <w:pPr>
        <w:jc w:val="center"/>
        <w:rPr>
          <w:b/>
          <w:bCs/>
        </w:rPr>
      </w:pPr>
      <w:r w:rsidRPr="00B24919">
        <w:rPr>
          <w:b/>
          <w:bCs/>
        </w:rPr>
        <w:t xml:space="preserve">[Docket No. </w:t>
      </w:r>
      <w:r w:rsidRPr="00B24919" w:rsidR="00613169">
        <w:rPr>
          <w:b/>
          <w:bCs/>
        </w:rPr>
        <w:t>IC</w:t>
      </w:r>
      <w:r w:rsidRPr="00B24919" w:rsidR="00FB078F">
        <w:rPr>
          <w:b/>
          <w:bCs/>
        </w:rPr>
        <w:t>2</w:t>
      </w:r>
      <w:r w:rsidR="00EA07AC">
        <w:rPr>
          <w:b/>
          <w:bCs/>
        </w:rPr>
        <w:t>5</w:t>
      </w:r>
      <w:r w:rsidRPr="00B24919" w:rsidR="00613169">
        <w:rPr>
          <w:b/>
          <w:bCs/>
        </w:rPr>
        <w:t>-</w:t>
      </w:r>
      <w:r w:rsidR="0084181C">
        <w:rPr>
          <w:b/>
          <w:bCs/>
        </w:rPr>
        <w:t>10</w:t>
      </w:r>
      <w:r w:rsidRPr="00B24919" w:rsidR="00613169">
        <w:rPr>
          <w:b/>
          <w:bCs/>
        </w:rPr>
        <w:t>-000</w:t>
      </w:r>
      <w:r w:rsidRPr="00B24919">
        <w:rPr>
          <w:b/>
          <w:bCs/>
        </w:rPr>
        <w:t>]</w:t>
      </w:r>
    </w:p>
    <w:p w:rsidR="00A2604E" w:rsidRPr="00B24919" w:rsidP="00A2604E" w14:paraId="4D16FE54" w14:textId="77777777">
      <w:pPr>
        <w:rPr>
          <w:b/>
          <w:bCs/>
        </w:rPr>
      </w:pPr>
    </w:p>
    <w:p w:rsidR="00A2604E" w:rsidRPr="00B24919" w:rsidP="00A2604E" w14:paraId="0627AE31" w14:textId="1D3B192A">
      <w:pPr>
        <w:jc w:val="center"/>
        <w:rPr>
          <w:b/>
          <w:bCs/>
        </w:rPr>
      </w:pPr>
      <w:r w:rsidRPr="00B24919">
        <w:rPr>
          <w:b/>
          <w:bCs/>
        </w:rPr>
        <w:t>COMMISSION INFORMATION COLLECTION ACTIVITIES (FERC-</w:t>
      </w:r>
      <w:r w:rsidRPr="00B24919" w:rsidR="00491543">
        <w:rPr>
          <w:b/>
          <w:bCs/>
        </w:rPr>
        <w:t>7</w:t>
      </w:r>
      <w:r w:rsidR="00EA07AC">
        <w:rPr>
          <w:b/>
          <w:bCs/>
        </w:rPr>
        <w:t>15</w:t>
      </w:r>
      <w:r w:rsidRPr="00B24919">
        <w:rPr>
          <w:b/>
          <w:bCs/>
        </w:rPr>
        <w:t>);</w:t>
      </w:r>
    </w:p>
    <w:p w:rsidR="00A2604E" w:rsidRPr="00B24919" w:rsidP="00A2604E" w14:paraId="3B5240D4" w14:textId="77777777">
      <w:pPr>
        <w:jc w:val="center"/>
        <w:rPr>
          <w:b/>
          <w:bCs/>
        </w:rPr>
      </w:pPr>
      <w:r w:rsidRPr="00B24919">
        <w:rPr>
          <w:b/>
          <w:bCs/>
        </w:rPr>
        <w:t>COMMENT REQUEST; EXTENSION</w:t>
      </w:r>
    </w:p>
    <w:p w:rsidR="00881405" w:rsidRPr="00B24919" w:rsidP="00A2604E" w14:paraId="5D8DD33D" w14:textId="77777777">
      <w:pPr>
        <w:jc w:val="center"/>
        <w:rPr>
          <w:b/>
          <w:bCs/>
        </w:rPr>
      </w:pPr>
    </w:p>
    <w:p w:rsidR="00E50227" w:rsidP="00521148" w14:paraId="79D7394B" w14:textId="4ACC9BFE">
      <w:pPr>
        <w:jc w:val="center"/>
        <w:rPr>
          <w:b/>
          <w:bCs/>
        </w:rPr>
      </w:pPr>
      <w:r w:rsidRPr="00521148">
        <w:rPr>
          <w:b/>
          <w:bCs/>
        </w:rPr>
        <w:t>(June 25, 2025)</w:t>
      </w:r>
    </w:p>
    <w:p w:rsidR="00521148" w:rsidRPr="00521148" w:rsidP="00521148" w14:paraId="3E4D895A"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RPr="00C0408A" w:rsidP="00A2604E" w14:paraId="59F663B1" w14:textId="500927EC">
      <w:pPr>
        <w:spacing w:line="480" w:lineRule="auto"/>
        <w:rPr>
          <w:szCs w:val="26"/>
        </w:rPr>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C0408A" w:rsidR="00C0408A">
        <w:rPr>
          <w:i/>
          <w:szCs w:val="26"/>
        </w:rPr>
        <w:t xml:space="preserve"> </w:t>
      </w:r>
      <w:r w:rsidRPr="002C66FC" w:rsidR="002C66FC">
        <w:rPr>
          <w:szCs w:val="26"/>
        </w:rPr>
        <w:t xml:space="preserve">FERC-715 </w:t>
      </w:r>
      <w:bookmarkStart w:id="1" w:name="_Hlk194399529"/>
      <w:r w:rsidRPr="002C66FC" w:rsidR="002C66FC">
        <w:rPr>
          <w:szCs w:val="26"/>
        </w:rPr>
        <w:t>(Annual Transmission Planning and Evaluation Report)</w:t>
      </w:r>
      <w:bookmarkEnd w:id="1"/>
      <w:r w:rsidR="00CC5692">
        <w:t>.</w:t>
      </w:r>
      <w:r w:rsidR="00EE248C">
        <w:t xml:space="preserve"> There are no changes to the reporting requirements with this information collection.</w:t>
      </w:r>
      <w:r w:rsidR="000048DC">
        <w:t xml:space="preserve"> No comments were received on the 60-day notice that ended on June </w:t>
      </w:r>
      <w:r w:rsidR="00CC5BBB">
        <w:t>23</w:t>
      </w:r>
      <w:r w:rsidR="000048DC">
        <w:t>, 2025.</w:t>
      </w:r>
    </w:p>
    <w:p w:rsidR="006D65AB" w:rsidRPr="006D65AB" w:rsidP="006D65AB" w14:paraId="2462C68D" w14:textId="77777777">
      <w:pPr>
        <w:spacing w:line="480" w:lineRule="auto"/>
      </w:pPr>
      <w:r w:rsidRPr="006D65AB">
        <w:rPr>
          <w:b/>
          <w:bCs/>
        </w:rPr>
        <w:t>DATES:</w:t>
      </w:r>
      <w:r w:rsidRPr="006D65AB">
        <w:t xml:space="preserve">  Comments on the collection of information are due </w:t>
      </w:r>
      <w:r w:rsidRPr="006D65AB">
        <w:rPr>
          <w:b/>
          <w:bCs/>
        </w:rPr>
        <w:t>[INSERT DATE 30 DAYS AFTER DATE OF PUBLICATION IN THE FEDERAL REGISTER]</w:t>
      </w:r>
      <w:r w:rsidRPr="006D65AB">
        <w:t>.  </w:t>
      </w:r>
    </w:p>
    <w:p w:rsidR="006D65AB" w:rsidRPr="006D65AB" w:rsidP="006D65AB" w14:paraId="7C67D1E8" w14:textId="4DB1E05C">
      <w:pPr>
        <w:spacing w:line="480" w:lineRule="auto"/>
      </w:pPr>
      <w:r w:rsidRPr="006D65AB">
        <w:rPr>
          <w:b/>
          <w:bCs/>
        </w:rPr>
        <w:t>ADDRESSES:</w:t>
      </w:r>
      <w:r w:rsidRPr="006D65AB">
        <w:t xml:space="preserve"> Send written comments on FERC-</w:t>
      </w:r>
      <w:r>
        <w:t>715</w:t>
      </w:r>
      <w:r w:rsidRPr="006D65AB">
        <w:t xml:space="preserve"> to OMB through https://www.reginfo.gov/public/do/PRA/icrPublicCommentRequest?ref_nbr=20250</w:t>
      </w:r>
      <w:r w:rsidR="00E12A89">
        <w:t>5</w:t>
      </w:r>
      <w:r w:rsidRPr="006D65AB">
        <w:t>-1902-00</w:t>
      </w:r>
      <w:r w:rsidR="00E12A89">
        <w:t>1</w:t>
      </w:r>
      <w:r w:rsidRPr="006D65AB">
        <w:t xml:space="preserve">.  You can also visit </w:t>
      </w:r>
      <w:hyperlink r:id="rId10" w:tgtFrame="_blank" w:history="1">
        <w:r w:rsidRPr="006D65AB">
          <w:rPr>
            <w:rStyle w:val="Hyperlink"/>
          </w:rPr>
          <w:t>https://www.reginfo.gov/public/do/PRAMain</w:t>
        </w:r>
      </w:hyperlink>
      <w:r w:rsidRPr="006D65AB">
        <w:t xml:space="preserve"> and use the drop-down under “Currently under Review” to select the “Federal Energy Regulatory Commission” where you can see the open opportunities to provide comments. Comments should be sent within 30 days of publication of this notice. </w:t>
      </w:r>
    </w:p>
    <w:p w:rsidR="006D65AB" w:rsidRPr="006D65AB" w:rsidP="006D65AB" w14:paraId="35ECA472" w14:textId="2201AFBA">
      <w:pPr>
        <w:spacing w:line="480" w:lineRule="auto"/>
      </w:pPr>
      <w:r w:rsidRPr="006D65AB">
        <w:t xml:space="preserve">Please submit a copy of your comments to the Commission via email to </w:t>
      </w:r>
      <w:hyperlink r:id="rId11" w:tgtFrame="_blank" w:history="1">
        <w:r w:rsidRPr="006D65AB">
          <w:rPr>
            <w:rStyle w:val="Hyperlink"/>
          </w:rPr>
          <w:t>DataClearance@FERC.gov</w:t>
        </w:r>
      </w:hyperlink>
      <w:r w:rsidRPr="006D65AB">
        <w:t>. You must specify the Docket No. (IC25-</w:t>
      </w:r>
      <w:r>
        <w:t>10</w:t>
      </w:r>
      <w:r w:rsidRPr="006D65AB">
        <w:t>-000) and the FERC Information Collection number (FERC-</w:t>
      </w:r>
      <w:r>
        <w:t>715</w:t>
      </w:r>
      <w:r w:rsidRPr="006D65AB">
        <w:t>) in your email. If you are unable to file electronically, comments may be filed by USPS mail or by hand (including courier) delivery: </w:t>
      </w:r>
    </w:p>
    <w:p w:rsidR="006D65AB" w:rsidRPr="006D65AB" w:rsidP="006D65AB" w14:paraId="526D8A4C" w14:textId="77777777">
      <w:pPr>
        <w:numPr>
          <w:ilvl w:val="0"/>
          <w:numId w:val="10"/>
        </w:numPr>
        <w:spacing w:line="480" w:lineRule="auto"/>
      </w:pPr>
      <w:r w:rsidRPr="006D65AB">
        <w:t>Mail via U.S. Postal Service Only: Federal Energy Regulatory Commission, Secretary of the Commission, 888 First Street, N.E., Washington, DC 20426. </w:t>
      </w:r>
    </w:p>
    <w:p w:rsidR="006D65AB" w:rsidRPr="006D65AB" w:rsidP="006D65AB" w14:paraId="4F5F5A21" w14:textId="77777777">
      <w:pPr>
        <w:numPr>
          <w:ilvl w:val="0"/>
          <w:numId w:val="11"/>
        </w:numPr>
        <w:spacing w:line="480" w:lineRule="auto"/>
      </w:pPr>
      <w:r w:rsidRPr="006D65AB">
        <w:t>All other delivery methods: Federal Energy Regulatory Commission, Secretary of the Commission, 12225 Wilkins Avenue, Rockville, MD 20852. </w:t>
      </w:r>
    </w:p>
    <w:p w:rsidR="006D65AB" w:rsidRPr="006D65AB" w:rsidP="006D65AB" w14:paraId="717406ED" w14:textId="166DE580">
      <w:pPr>
        <w:spacing w:line="480" w:lineRule="auto"/>
      </w:pPr>
      <w:r w:rsidRPr="006D65AB">
        <w:rPr>
          <w:i/>
          <w:iCs/>
        </w:rPr>
        <w:t>Docket</w:t>
      </w:r>
      <w:r w:rsidRPr="006D65AB">
        <w:t xml:space="preserve">:  To view comments and issuances in this docket, please visit </w:t>
      </w:r>
      <w:hyperlink r:id="rId12" w:tgtFrame="_blank" w:history="1">
        <w:r w:rsidRPr="006D65AB">
          <w:rPr>
            <w:rStyle w:val="Hyperlink"/>
          </w:rPr>
          <w:t>https://elibrary.ferc.gov/eLibrary/search</w:t>
        </w:r>
      </w:hyperlink>
      <w:r w:rsidRPr="006D65AB">
        <w:t>. Once there, you can also sign-up for automatic notification of activity in this docket.  </w:t>
      </w:r>
    </w:p>
    <w:p w:rsidR="000048DC" w:rsidP="008212DA" w14:paraId="404B24A9" w14:textId="3608A742">
      <w:pPr>
        <w:spacing w:line="480" w:lineRule="auto"/>
        <w:rPr>
          <w:b/>
        </w:rPr>
      </w:pPr>
      <w:r w:rsidRPr="006D65AB">
        <w:rPr>
          <w:b/>
          <w:bCs/>
        </w:rPr>
        <w:t>FOR FURTHER INFORMATION CONTACT:</w:t>
      </w:r>
      <w:r w:rsidRPr="006D65AB">
        <w:t xml:space="preserve">  Kayla Williams, (202) 502-6468. </w:t>
      </w:r>
      <w:hyperlink r:id="rId11" w:tgtFrame="_blank" w:history="1">
        <w:r w:rsidRPr="006D65AB">
          <w:rPr>
            <w:rStyle w:val="Hyperlink"/>
          </w:rPr>
          <w:t>DataClearance@FERC.gov</w:t>
        </w:r>
      </w:hyperlink>
      <w:r w:rsidRPr="006D65AB">
        <w:rPr>
          <w:b/>
        </w:rPr>
        <w:t> </w:t>
      </w:r>
    </w:p>
    <w:p w:rsidR="008212DA" w:rsidRPr="008212DA" w:rsidP="008212DA" w14:paraId="4891BEC5" w14:textId="5E42B5F3">
      <w:pPr>
        <w:spacing w:line="480" w:lineRule="auto"/>
      </w:pPr>
      <w:r w:rsidRPr="008212DA">
        <w:rPr>
          <w:b/>
        </w:rPr>
        <w:t>SUPPLEMENTARY INFORMATION:</w:t>
      </w:r>
      <w:r w:rsidRPr="008212DA">
        <w:t xml:space="preserve">  </w:t>
      </w:r>
    </w:p>
    <w:p w:rsidR="00C0408A" w:rsidRPr="00C0408A" w:rsidP="00C0408A" w14:paraId="4A225339" w14:textId="3744268A">
      <w:pPr>
        <w:spacing w:line="480" w:lineRule="auto"/>
        <w:rPr>
          <w:szCs w:val="26"/>
        </w:rPr>
      </w:pPr>
      <w:bookmarkStart w:id="2" w:name="_Hlk173308440"/>
      <w:r w:rsidRPr="00C0408A">
        <w:rPr>
          <w:i/>
          <w:szCs w:val="26"/>
        </w:rPr>
        <w:t xml:space="preserve">Title: </w:t>
      </w:r>
      <w:r w:rsidRPr="00C0408A">
        <w:rPr>
          <w:szCs w:val="26"/>
        </w:rPr>
        <w:t>FERC-7</w:t>
      </w:r>
      <w:r w:rsidR="002C66FC">
        <w:rPr>
          <w:szCs w:val="26"/>
        </w:rPr>
        <w:t>15</w:t>
      </w:r>
      <w:r w:rsidRPr="00C0408A">
        <w:rPr>
          <w:szCs w:val="26"/>
        </w:rPr>
        <w:t>,</w:t>
      </w:r>
      <w:r w:rsidRPr="00931DA8" w:rsidR="00931DA8">
        <w:rPr>
          <w:szCs w:val="26"/>
        </w:rPr>
        <w:t xml:space="preserve"> (Annual Transmission Planning and Evaluation Report)</w:t>
      </w:r>
      <w:r w:rsidRPr="00C0408A">
        <w:rPr>
          <w:szCs w:val="26"/>
        </w:rPr>
        <w:t xml:space="preserve"> </w:t>
      </w:r>
    </w:p>
    <w:bookmarkEnd w:id="2"/>
    <w:p w:rsidR="00C0408A" w:rsidRPr="00C0408A" w:rsidP="00C0408A" w14:paraId="21DF86AE" w14:textId="297B6146">
      <w:pPr>
        <w:spacing w:line="480" w:lineRule="auto"/>
        <w:rPr>
          <w:szCs w:val="26"/>
        </w:rPr>
      </w:pPr>
      <w:r w:rsidRPr="00C0408A">
        <w:rPr>
          <w:i/>
          <w:szCs w:val="26"/>
        </w:rPr>
        <w:t>OMB Control No.:</w:t>
      </w:r>
      <w:r w:rsidRPr="00C0408A">
        <w:rPr>
          <w:szCs w:val="26"/>
        </w:rPr>
        <w:t xml:space="preserve"> 1902-0</w:t>
      </w:r>
      <w:r w:rsidR="002C66FC">
        <w:rPr>
          <w:szCs w:val="26"/>
        </w:rPr>
        <w:t>171</w:t>
      </w:r>
    </w:p>
    <w:p w:rsidR="00C0408A" w:rsidRPr="00C0408A" w:rsidP="00C0408A" w14:paraId="173E73F1" w14:textId="36DE9E5F">
      <w:pPr>
        <w:spacing w:line="480" w:lineRule="auto"/>
        <w:rPr>
          <w:szCs w:val="26"/>
        </w:rPr>
      </w:pPr>
      <w:r w:rsidRPr="00C0408A">
        <w:rPr>
          <w:i/>
          <w:szCs w:val="26"/>
        </w:rPr>
        <w:t>Type of Request:</w:t>
      </w:r>
      <w:r w:rsidRPr="00C0408A">
        <w:rPr>
          <w:szCs w:val="26"/>
        </w:rPr>
        <w:t xml:space="preserve"> Three-year extension of the FERC-7</w:t>
      </w:r>
      <w:r w:rsidR="00931DA8">
        <w:rPr>
          <w:szCs w:val="26"/>
        </w:rPr>
        <w:t>15</w:t>
      </w:r>
      <w:r w:rsidRPr="00C0408A">
        <w:rPr>
          <w:szCs w:val="26"/>
        </w:rPr>
        <w:t xml:space="preserve"> information collection requirements with no changes to the current reporting requirements. </w:t>
      </w:r>
    </w:p>
    <w:p w:rsidR="00B53097" w:rsidRPr="00B53097" w:rsidP="00B53097" w14:paraId="33E4489D" w14:textId="77777777">
      <w:pPr>
        <w:spacing w:line="480" w:lineRule="auto"/>
        <w:rPr>
          <w:rFonts w:eastAsia="Calibri"/>
          <w:szCs w:val="26"/>
        </w:rPr>
      </w:pPr>
      <w:r w:rsidRPr="00B53097">
        <w:rPr>
          <w:rFonts w:eastAsia="Calibri"/>
          <w:szCs w:val="26"/>
        </w:rPr>
        <w:t>Acting under section 213 of the Federal Power Act</w:t>
      </w:r>
      <w:r>
        <w:rPr>
          <w:rFonts w:eastAsia="Calibri"/>
          <w:b/>
          <w:szCs w:val="26"/>
          <w:vertAlign w:val="superscript"/>
        </w:rPr>
        <w:footnoteReference w:id="3"/>
      </w:r>
      <w:r w:rsidRPr="00B53097">
        <w:rPr>
          <w:rFonts w:eastAsia="Calibri"/>
          <w:szCs w:val="26"/>
        </w:rPr>
        <w:t xml:space="preserve"> and 18 CFR 141.300, FERC requires each transmitting utility that operates integrated transmission system facilities rated above 100 kilovolts (kV) to submit annually:</w:t>
      </w:r>
    </w:p>
    <w:p w:rsidR="00B53097" w:rsidRPr="00B53097" w:rsidP="00B53097" w14:paraId="57C26B5A" w14:textId="77777777">
      <w:pPr>
        <w:spacing w:line="480" w:lineRule="auto"/>
        <w:rPr>
          <w:rFonts w:eastAsia="Calibri"/>
          <w:szCs w:val="26"/>
        </w:rPr>
      </w:pPr>
      <w:r w:rsidRPr="00B53097">
        <w:rPr>
          <w:rFonts w:eastAsia="Calibri"/>
          <w:szCs w:val="26"/>
        </w:rPr>
        <w:t>•</w:t>
      </w:r>
      <w:r w:rsidRPr="00B53097">
        <w:rPr>
          <w:rFonts w:eastAsia="Calibri"/>
          <w:szCs w:val="26"/>
        </w:rPr>
        <w:tab/>
        <w:t xml:space="preserve">Contact </w:t>
      </w:r>
      <w:r w:rsidRPr="00B53097">
        <w:rPr>
          <w:rFonts w:eastAsia="Calibri"/>
          <w:szCs w:val="26"/>
        </w:rPr>
        <w:t>information;</w:t>
      </w:r>
    </w:p>
    <w:p w:rsidR="00B53097" w:rsidRPr="00B53097" w:rsidP="00B53097" w14:paraId="589D3E00" w14:textId="77777777">
      <w:pPr>
        <w:spacing w:line="480" w:lineRule="auto"/>
        <w:rPr>
          <w:rFonts w:eastAsia="Calibri"/>
          <w:szCs w:val="26"/>
        </w:rPr>
      </w:pPr>
      <w:r w:rsidRPr="00B53097">
        <w:rPr>
          <w:rFonts w:eastAsia="Calibri"/>
          <w:szCs w:val="26"/>
        </w:rPr>
        <w:t>•</w:t>
      </w:r>
      <w:r w:rsidRPr="00B53097">
        <w:rPr>
          <w:rFonts w:eastAsia="Calibri"/>
          <w:szCs w:val="26"/>
        </w:rPr>
        <w:tab/>
        <w:t>Base case power flow data (if the respondent does not participate in the development and use of regional power flow data</w:t>
      </w:r>
      <w:r w:rsidRPr="00B53097">
        <w:rPr>
          <w:rFonts w:eastAsia="Calibri"/>
          <w:szCs w:val="26"/>
        </w:rPr>
        <w:t>);</w:t>
      </w:r>
    </w:p>
    <w:p w:rsidR="00B53097" w:rsidRPr="00B53097" w:rsidP="00B53097" w14:paraId="23606BD4" w14:textId="77777777">
      <w:pPr>
        <w:spacing w:line="480" w:lineRule="auto"/>
        <w:rPr>
          <w:rFonts w:eastAsia="Calibri"/>
          <w:szCs w:val="26"/>
        </w:rPr>
      </w:pPr>
      <w:r w:rsidRPr="00B53097">
        <w:rPr>
          <w:rFonts w:eastAsia="Calibri"/>
          <w:szCs w:val="26"/>
        </w:rPr>
        <w:t>•</w:t>
      </w:r>
      <w:r w:rsidRPr="00B53097">
        <w:rPr>
          <w:rFonts w:eastAsia="Calibri"/>
          <w:szCs w:val="26"/>
        </w:rPr>
        <w:tab/>
        <w:t xml:space="preserve">Transmission system maps and diagrams used by the respondent for transmission </w:t>
      </w:r>
      <w:r w:rsidRPr="00B53097">
        <w:rPr>
          <w:rFonts w:eastAsia="Calibri"/>
          <w:szCs w:val="26"/>
        </w:rPr>
        <w:t>planning;</w:t>
      </w:r>
    </w:p>
    <w:p w:rsidR="00B53097" w:rsidRPr="00B53097" w:rsidP="00B53097" w14:paraId="45157816" w14:textId="77777777">
      <w:pPr>
        <w:spacing w:line="480" w:lineRule="auto"/>
        <w:rPr>
          <w:rFonts w:eastAsia="Calibri"/>
          <w:szCs w:val="26"/>
        </w:rPr>
      </w:pPr>
      <w:r w:rsidRPr="00B53097">
        <w:rPr>
          <w:rFonts w:eastAsia="Calibri"/>
          <w:szCs w:val="26"/>
        </w:rPr>
        <w:t>•</w:t>
      </w:r>
      <w:r w:rsidRPr="00B53097">
        <w:rPr>
          <w:rFonts w:eastAsia="Calibri"/>
          <w:szCs w:val="26"/>
        </w:rPr>
        <w:tab/>
        <w:t xml:space="preserve">A detailed description of the transmission planning reliability criteria used to evaluate system performance for time frames and planning horizons used in regional and corporate </w:t>
      </w:r>
      <w:r w:rsidRPr="00B53097">
        <w:rPr>
          <w:rFonts w:eastAsia="Calibri"/>
          <w:szCs w:val="26"/>
        </w:rPr>
        <w:t>planning;</w:t>
      </w:r>
    </w:p>
    <w:p w:rsidR="00B53097" w:rsidRPr="00B53097" w:rsidP="00B53097" w14:paraId="63ACB630" w14:textId="77777777">
      <w:pPr>
        <w:spacing w:line="480" w:lineRule="auto"/>
        <w:rPr>
          <w:rFonts w:eastAsia="Calibri"/>
          <w:szCs w:val="26"/>
        </w:rPr>
      </w:pPr>
      <w:r w:rsidRPr="00B53097">
        <w:rPr>
          <w:rFonts w:eastAsia="Calibri"/>
          <w:szCs w:val="26"/>
        </w:rPr>
        <w:t>•</w:t>
      </w:r>
      <w:r w:rsidRPr="00B53097">
        <w:rPr>
          <w:rFonts w:eastAsia="Calibri"/>
          <w:szCs w:val="26"/>
        </w:rPr>
        <w:tab/>
        <w:t>A detailed description of the respondent’s transmission planning assessment practices (including, but not limited to, how reliability criteria are applied and the steps taken in performing transmission planning studies); and</w:t>
      </w:r>
    </w:p>
    <w:p w:rsidR="00B53097" w:rsidRPr="00B53097" w:rsidP="00B53097" w14:paraId="73D6333D" w14:textId="77777777">
      <w:pPr>
        <w:spacing w:line="480" w:lineRule="auto"/>
        <w:rPr>
          <w:rFonts w:eastAsia="Calibri"/>
          <w:szCs w:val="26"/>
        </w:rPr>
      </w:pPr>
      <w:r w:rsidRPr="00B53097">
        <w:rPr>
          <w:rFonts w:eastAsia="Calibri"/>
          <w:szCs w:val="26"/>
        </w:rPr>
        <w:t>•</w:t>
      </w:r>
      <w:r w:rsidRPr="00B53097">
        <w:rPr>
          <w:rFonts w:eastAsia="Calibri"/>
          <w:szCs w:val="26"/>
        </w:rPr>
        <w:tab/>
        <w:t>A detailed evaluation of the respondent’s anticipated system performance as measured against its stated reliability criteria using its stated assessment practices.</w:t>
      </w:r>
    </w:p>
    <w:p w:rsidR="00B53097" w:rsidRPr="00B53097" w:rsidP="00B53097" w14:paraId="7B78A943" w14:textId="77777777">
      <w:pPr>
        <w:spacing w:line="480" w:lineRule="auto"/>
        <w:rPr>
          <w:rFonts w:eastAsia="Calibri"/>
          <w:szCs w:val="26"/>
        </w:rPr>
      </w:pPr>
      <w:r w:rsidRPr="00B53097">
        <w:rPr>
          <w:rFonts w:eastAsia="Calibri"/>
          <w:szCs w:val="26"/>
        </w:rPr>
        <w:t>FERC-715 enables the Commission to use the information as part of their regulatory oversight functions which includes:</w:t>
      </w:r>
    </w:p>
    <w:p w:rsidR="00B53097" w:rsidRPr="00B53097" w:rsidP="00B53097" w14:paraId="5F026427" w14:textId="77777777">
      <w:pPr>
        <w:spacing w:line="480" w:lineRule="auto"/>
        <w:rPr>
          <w:rFonts w:eastAsia="Calibri"/>
          <w:szCs w:val="26"/>
        </w:rPr>
      </w:pPr>
      <w:r w:rsidRPr="00B53097">
        <w:rPr>
          <w:rFonts w:eastAsia="Calibri"/>
          <w:szCs w:val="26"/>
        </w:rPr>
        <w:t>•</w:t>
      </w:r>
      <w:r w:rsidRPr="00B53097">
        <w:rPr>
          <w:rFonts w:eastAsia="Calibri"/>
          <w:szCs w:val="26"/>
        </w:rPr>
        <w:tab/>
        <w:t xml:space="preserve">The review of rates and </w:t>
      </w:r>
      <w:r w:rsidRPr="00B53097">
        <w:rPr>
          <w:rFonts w:eastAsia="Calibri"/>
          <w:szCs w:val="26"/>
        </w:rPr>
        <w:t>charges;</w:t>
      </w:r>
    </w:p>
    <w:p w:rsidR="00B53097" w:rsidRPr="00B53097" w:rsidP="00B53097" w14:paraId="79C90CE6" w14:textId="77777777">
      <w:pPr>
        <w:spacing w:line="480" w:lineRule="auto"/>
        <w:rPr>
          <w:rFonts w:eastAsia="Calibri"/>
          <w:szCs w:val="26"/>
        </w:rPr>
      </w:pPr>
      <w:r w:rsidRPr="00B53097">
        <w:rPr>
          <w:rFonts w:eastAsia="Calibri"/>
          <w:szCs w:val="26"/>
        </w:rPr>
        <w:t>•</w:t>
      </w:r>
      <w:r w:rsidRPr="00B53097">
        <w:rPr>
          <w:rFonts w:eastAsia="Calibri"/>
          <w:szCs w:val="26"/>
        </w:rPr>
        <w:tab/>
        <w:t xml:space="preserve">The disposition of jurisdictional </w:t>
      </w:r>
      <w:r w:rsidRPr="00B53097">
        <w:rPr>
          <w:rFonts w:eastAsia="Calibri"/>
          <w:szCs w:val="26"/>
        </w:rPr>
        <w:t>facilities;</w:t>
      </w:r>
    </w:p>
    <w:p w:rsidR="00B53097" w:rsidRPr="00B53097" w:rsidP="00B53097" w14:paraId="3100C080" w14:textId="77777777">
      <w:pPr>
        <w:spacing w:line="480" w:lineRule="auto"/>
        <w:rPr>
          <w:rFonts w:eastAsia="Calibri"/>
          <w:szCs w:val="26"/>
        </w:rPr>
      </w:pPr>
      <w:r w:rsidRPr="00B53097">
        <w:rPr>
          <w:rFonts w:eastAsia="Calibri"/>
          <w:szCs w:val="26"/>
        </w:rPr>
        <w:t>•</w:t>
      </w:r>
      <w:r w:rsidRPr="00B53097">
        <w:rPr>
          <w:rFonts w:eastAsia="Calibri"/>
          <w:szCs w:val="26"/>
        </w:rPr>
        <w:tab/>
        <w:t xml:space="preserve">The consolidation and </w:t>
      </w:r>
      <w:r w:rsidRPr="00B53097">
        <w:rPr>
          <w:rFonts w:eastAsia="Calibri"/>
          <w:szCs w:val="26"/>
        </w:rPr>
        <w:t>mergers;</w:t>
      </w:r>
    </w:p>
    <w:p w:rsidR="00B53097" w:rsidRPr="00B53097" w:rsidP="00B53097" w14:paraId="04E5CC8A" w14:textId="77777777">
      <w:pPr>
        <w:spacing w:line="480" w:lineRule="auto"/>
        <w:rPr>
          <w:rFonts w:eastAsia="Calibri"/>
          <w:szCs w:val="26"/>
        </w:rPr>
      </w:pPr>
      <w:r w:rsidRPr="00B53097">
        <w:rPr>
          <w:rFonts w:eastAsia="Calibri"/>
          <w:szCs w:val="26"/>
        </w:rPr>
        <w:t>•</w:t>
      </w:r>
      <w:r w:rsidRPr="00B53097">
        <w:rPr>
          <w:rFonts w:eastAsia="Calibri"/>
          <w:szCs w:val="26"/>
        </w:rPr>
        <w:tab/>
        <w:t xml:space="preserve">The adequacy of supply </w:t>
      </w:r>
      <w:r w:rsidRPr="00B53097">
        <w:rPr>
          <w:rFonts w:eastAsia="Calibri"/>
          <w:szCs w:val="26"/>
        </w:rPr>
        <w:t>and;</w:t>
      </w:r>
    </w:p>
    <w:p w:rsidR="00B53097" w:rsidRPr="00B53097" w:rsidP="00B53097" w14:paraId="7EE47C08" w14:textId="77777777">
      <w:pPr>
        <w:spacing w:line="480" w:lineRule="auto"/>
        <w:rPr>
          <w:rFonts w:eastAsia="Calibri"/>
          <w:szCs w:val="26"/>
        </w:rPr>
      </w:pPr>
      <w:r w:rsidRPr="00B53097">
        <w:rPr>
          <w:rFonts w:eastAsia="Calibri"/>
          <w:szCs w:val="26"/>
        </w:rPr>
        <w:t>•</w:t>
      </w:r>
      <w:r w:rsidRPr="00B53097">
        <w:rPr>
          <w:rFonts w:eastAsia="Calibri"/>
          <w:szCs w:val="26"/>
        </w:rPr>
        <w:tab/>
        <w:t>Reliability of the nation’s transmission grid.</w:t>
      </w:r>
    </w:p>
    <w:p w:rsidR="00B53097" w:rsidRPr="00B53097" w:rsidP="00B53097" w14:paraId="1E773E10" w14:textId="77777777">
      <w:pPr>
        <w:spacing w:line="480" w:lineRule="auto"/>
        <w:rPr>
          <w:rFonts w:eastAsia="Calibri"/>
          <w:szCs w:val="26"/>
        </w:rPr>
      </w:pPr>
      <w:r w:rsidRPr="00B53097">
        <w:rPr>
          <w:rFonts w:eastAsia="Calibri"/>
          <w:szCs w:val="26"/>
        </w:rPr>
        <w:t xml:space="preserve">FERC-715 also helps the Commission resolve transmission disputes.  Additionally, the Office of Electric Reliability (OER) uses the FERC-715 data to help protect and improve the reliability and security of the nation’s bulk power system. OER oversees the development and review of mandatory reliability and security standards and ensures compliance with the approved standards by the users, owners, and operators of the bulk power system.  OER also monitors and addresses issues concerning the nation’s bulk power system including assessments of resource adequacy and reliability.  </w:t>
      </w:r>
    </w:p>
    <w:p w:rsidR="00B53097" w:rsidRPr="00B53097" w:rsidP="00B53097" w14:paraId="5F94A8BA" w14:textId="77777777">
      <w:pPr>
        <w:spacing w:line="480" w:lineRule="auto"/>
        <w:rPr>
          <w:rFonts w:eastAsia="Calibri"/>
          <w:i/>
          <w:iCs/>
          <w:szCs w:val="26"/>
        </w:rPr>
      </w:pPr>
      <w:r w:rsidRPr="00B53097">
        <w:rPr>
          <w:rFonts w:eastAsia="Calibri"/>
          <w:szCs w:val="26"/>
        </w:rPr>
        <w:t>Without the FERC-715 data, the Commission would be unable to evaluate planned projects or requests related to transmission.</w:t>
      </w:r>
    </w:p>
    <w:p w:rsidR="00B53097" w:rsidRPr="00B53097" w:rsidP="00B53097" w14:paraId="6519DB42" w14:textId="77777777">
      <w:pPr>
        <w:spacing w:line="480" w:lineRule="auto"/>
        <w:rPr>
          <w:rFonts w:eastAsia="Calibri"/>
          <w:i/>
          <w:iCs/>
          <w:szCs w:val="26"/>
        </w:rPr>
      </w:pPr>
      <w:r w:rsidRPr="00B53097">
        <w:rPr>
          <w:rFonts w:eastAsia="Calibri"/>
          <w:i/>
          <w:iCs/>
          <w:szCs w:val="26"/>
        </w:rPr>
        <w:t>Type of Respondent</w:t>
      </w:r>
      <w:r w:rsidRPr="00B53097">
        <w:rPr>
          <w:rFonts w:eastAsia="Calibri"/>
          <w:szCs w:val="26"/>
        </w:rPr>
        <w:t>: Integrated transmission system facilities rated at or above 100 kilovolts (kV).</w:t>
      </w:r>
    </w:p>
    <w:p w:rsidR="00B53097" w:rsidRPr="00B53097" w:rsidP="00B53097" w14:paraId="2BFD5E33" w14:textId="77777777">
      <w:pPr>
        <w:spacing w:line="480" w:lineRule="auto"/>
        <w:rPr>
          <w:rFonts w:eastAsia="Calibri"/>
          <w:szCs w:val="26"/>
        </w:rPr>
      </w:pPr>
      <w:r w:rsidRPr="00B53097">
        <w:rPr>
          <w:rFonts w:eastAsia="Calibri"/>
          <w:i/>
          <w:iCs/>
          <w:szCs w:val="26"/>
        </w:rPr>
        <w:t>Estimate of Annual Burden</w:t>
      </w:r>
      <w:r>
        <w:rPr>
          <w:rFonts w:eastAsia="Calibri"/>
          <w:b/>
          <w:i/>
          <w:iCs/>
          <w:szCs w:val="26"/>
          <w:vertAlign w:val="superscript"/>
        </w:rPr>
        <w:footnoteReference w:id="4"/>
      </w:r>
      <w:r w:rsidRPr="00B53097">
        <w:rPr>
          <w:rFonts w:eastAsia="Calibri"/>
          <w:szCs w:val="26"/>
        </w:rPr>
        <w:t>: The Commission estimates the total annual burden and cost</w:t>
      </w:r>
      <w:r>
        <w:rPr>
          <w:rFonts w:eastAsia="Calibri"/>
          <w:b/>
          <w:szCs w:val="26"/>
          <w:vertAlign w:val="superscript"/>
        </w:rPr>
        <w:footnoteReference w:id="5"/>
      </w:r>
      <w:r w:rsidRPr="00B53097">
        <w:rPr>
          <w:rFonts w:eastAsia="Calibri"/>
          <w:szCs w:val="26"/>
        </w:rPr>
        <w:t xml:space="preserve"> for this information collection as follows.</w:t>
      </w:r>
    </w:p>
    <w:tbl>
      <w:tblPr>
        <w:tblW w:w="52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539"/>
        <w:gridCol w:w="1444"/>
        <w:gridCol w:w="1324"/>
        <w:gridCol w:w="1186"/>
        <w:gridCol w:w="1324"/>
        <w:gridCol w:w="1445"/>
      </w:tblGrid>
      <w:tr w14:paraId="362B209B" w14:textId="77777777" w:rsidTr="00B53097">
        <w:tblPrEx>
          <w:tblW w:w="52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B53097" w:rsidRPr="00B53097" w:rsidP="00B53097" w14:paraId="3213A198" w14:textId="77777777">
            <w:pPr>
              <w:spacing w:line="480" w:lineRule="auto"/>
              <w:rPr>
                <w:rFonts w:eastAsia="Calibri"/>
                <w:b/>
                <w:szCs w:val="26"/>
              </w:rPr>
            </w:pPr>
            <w:r w:rsidRPr="00B53097">
              <w:rPr>
                <w:rFonts w:eastAsia="Calibri"/>
                <w:b/>
                <w:szCs w:val="26"/>
              </w:rPr>
              <w:t>FERC-715,</w:t>
            </w:r>
            <w:r w:rsidRPr="00B53097">
              <w:rPr>
                <w:rFonts w:eastAsia="Calibri"/>
                <w:szCs w:val="26"/>
              </w:rPr>
              <w:t xml:space="preserve"> </w:t>
            </w:r>
            <w:r w:rsidRPr="00B53097">
              <w:rPr>
                <w:rFonts w:eastAsia="Calibri"/>
                <w:b/>
                <w:szCs w:val="26"/>
              </w:rPr>
              <w:t>Annual Transmission Planning and Evaluation Report</w:t>
            </w:r>
          </w:p>
        </w:tc>
      </w:tr>
      <w:tr w14:paraId="65860130" w14:textId="77777777" w:rsidTr="00B53097">
        <w:tblPrEx>
          <w:tblW w:w="5234" w:type="pct"/>
          <w:tblInd w:w="-72" w:type="dxa"/>
          <w:tblLook w:val="01E0"/>
        </w:tblPrEx>
        <w:trPr>
          <w:cantSplit/>
        </w:trPr>
        <w:tc>
          <w:tcPr>
            <w:tcW w:w="83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2F8EB2BA" w14:textId="77777777">
            <w:pPr>
              <w:jc w:val="center"/>
              <w:rPr>
                <w:rFonts w:eastAsia="Calibri"/>
                <w:b/>
                <w:szCs w:val="26"/>
              </w:rPr>
            </w:pPr>
            <w:r w:rsidRPr="00B53097">
              <w:rPr>
                <w:rFonts w:eastAsia="Calibri"/>
                <w:b/>
                <w:szCs w:val="26"/>
              </w:rPr>
              <w:t>Type of Response</w:t>
            </w:r>
          </w:p>
        </w:tc>
        <w:tc>
          <w:tcPr>
            <w:tcW w:w="83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106B49F0" w14:textId="77777777">
            <w:pPr>
              <w:jc w:val="center"/>
              <w:rPr>
                <w:rFonts w:eastAsia="Calibri"/>
                <w:b/>
                <w:szCs w:val="26"/>
              </w:rPr>
            </w:pPr>
            <w:r w:rsidRPr="00B53097">
              <w:rPr>
                <w:rFonts w:eastAsia="Calibri"/>
                <w:b/>
                <w:szCs w:val="26"/>
              </w:rPr>
              <w:t>Number of Respondents</w:t>
            </w:r>
            <w:r w:rsidRPr="00B53097">
              <w:rPr>
                <w:rFonts w:eastAsia="Calibri"/>
                <w:b/>
                <w:szCs w:val="26"/>
              </w:rPr>
              <w:br/>
              <w:t>(1)</w:t>
            </w:r>
          </w:p>
        </w:tc>
        <w:tc>
          <w:tcPr>
            <w:tcW w:w="78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7F0030C9" w14:textId="77777777">
            <w:pPr>
              <w:jc w:val="center"/>
              <w:rPr>
                <w:rFonts w:eastAsia="Calibri"/>
                <w:b/>
                <w:szCs w:val="26"/>
              </w:rPr>
            </w:pPr>
            <w:r w:rsidRPr="00B53097">
              <w:rPr>
                <w:rFonts w:eastAsia="Calibri"/>
                <w:b/>
                <w:szCs w:val="26"/>
              </w:rPr>
              <w:t>Annual Number of Responses per Respondent</w:t>
            </w:r>
          </w:p>
          <w:p w:rsidR="00B53097" w:rsidRPr="00B53097" w:rsidP="00B53097" w14:paraId="455C7C7D" w14:textId="77777777">
            <w:pPr>
              <w:jc w:val="center"/>
              <w:rPr>
                <w:rFonts w:eastAsia="Calibri"/>
                <w:b/>
                <w:szCs w:val="26"/>
              </w:rPr>
            </w:pPr>
            <w:r w:rsidRPr="00B53097">
              <w:rPr>
                <w:rFonts w:eastAsia="Calibri"/>
                <w:b/>
                <w:szCs w:val="26"/>
              </w:rPr>
              <w:t>(2)</w:t>
            </w:r>
          </w:p>
        </w:tc>
        <w:tc>
          <w:tcPr>
            <w:tcW w:w="71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0820AFCA" w14:textId="77777777">
            <w:pPr>
              <w:jc w:val="center"/>
              <w:rPr>
                <w:rFonts w:eastAsia="Calibri"/>
                <w:b/>
                <w:szCs w:val="26"/>
              </w:rPr>
            </w:pPr>
            <w:r w:rsidRPr="00B53097">
              <w:rPr>
                <w:rFonts w:eastAsia="Calibri"/>
                <w:b/>
                <w:szCs w:val="26"/>
              </w:rPr>
              <w:t>Total Number of Responses (1)*(2)=(3)</w:t>
            </w:r>
          </w:p>
        </w:tc>
        <w:tc>
          <w:tcPr>
            <w:tcW w:w="70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69048CD5" w14:textId="77777777">
            <w:pPr>
              <w:jc w:val="center"/>
              <w:rPr>
                <w:rFonts w:eastAsia="Calibri"/>
                <w:b/>
                <w:szCs w:val="26"/>
                <w:vertAlign w:val="superscript"/>
              </w:rPr>
            </w:pPr>
            <w:r w:rsidRPr="00B53097">
              <w:rPr>
                <w:rFonts w:eastAsia="Calibri"/>
                <w:b/>
                <w:szCs w:val="26"/>
              </w:rPr>
              <w:t>Average Burden &amp; Cost Per Response</w:t>
            </w:r>
          </w:p>
          <w:p w:rsidR="00B53097" w:rsidRPr="00B53097" w:rsidP="00B53097" w14:paraId="6E9BA6E9" w14:textId="77777777">
            <w:pPr>
              <w:jc w:val="center"/>
              <w:rPr>
                <w:rFonts w:eastAsia="Calibri"/>
                <w:b/>
                <w:szCs w:val="26"/>
              </w:rPr>
            </w:pPr>
            <w:r w:rsidRPr="00B53097">
              <w:rPr>
                <w:rFonts w:eastAsia="Calibri"/>
                <w:b/>
                <w:szCs w:val="26"/>
              </w:rPr>
              <w:t>(4)</w:t>
            </w:r>
          </w:p>
        </w:tc>
        <w:tc>
          <w:tcPr>
            <w:tcW w:w="87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645F292F" w14:textId="77777777">
            <w:pPr>
              <w:jc w:val="center"/>
              <w:rPr>
                <w:rFonts w:eastAsia="Calibri"/>
                <w:b/>
                <w:szCs w:val="26"/>
              </w:rPr>
            </w:pPr>
            <w:r w:rsidRPr="00B53097">
              <w:rPr>
                <w:rFonts w:eastAsia="Calibri"/>
                <w:b/>
                <w:szCs w:val="26"/>
              </w:rPr>
              <w:t>Total Annual Burden Hours &amp; Total Annual Cost</w:t>
            </w:r>
          </w:p>
          <w:p w:rsidR="00B53097" w:rsidRPr="00B53097" w:rsidP="00B53097" w14:paraId="31BBE9AF" w14:textId="77777777">
            <w:pPr>
              <w:jc w:val="center"/>
              <w:rPr>
                <w:rFonts w:eastAsia="Calibri"/>
                <w:b/>
                <w:szCs w:val="26"/>
              </w:rPr>
            </w:pPr>
            <w:r w:rsidRPr="00B53097">
              <w:rPr>
                <w:rFonts w:eastAsia="Calibri"/>
                <w:b/>
                <w:szCs w:val="26"/>
              </w:rPr>
              <w:t>(3)*(4)=(5)</w:t>
            </w:r>
          </w:p>
        </w:tc>
        <w:tc>
          <w:tcPr>
            <w:tcW w:w="25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53097" w:rsidRPr="00B53097" w:rsidP="00B53097" w14:paraId="1100B0D9" w14:textId="77777777">
            <w:pPr>
              <w:jc w:val="center"/>
              <w:rPr>
                <w:rFonts w:eastAsia="Calibri"/>
                <w:b/>
                <w:szCs w:val="26"/>
              </w:rPr>
            </w:pPr>
            <w:r w:rsidRPr="00B53097">
              <w:rPr>
                <w:rFonts w:eastAsia="Calibri"/>
                <w:b/>
                <w:szCs w:val="26"/>
              </w:rPr>
              <w:t>Cost per Respondent</w:t>
            </w:r>
          </w:p>
          <w:p w:rsidR="00B53097" w:rsidRPr="00B53097" w:rsidP="00B53097" w14:paraId="628D393D" w14:textId="77777777">
            <w:pPr>
              <w:jc w:val="center"/>
              <w:rPr>
                <w:rFonts w:eastAsia="Calibri"/>
                <w:b/>
                <w:szCs w:val="26"/>
              </w:rPr>
            </w:pPr>
            <w:r w:rsidRPr="00B53097">
              <w:rPr>
                <w:rFonts w:eastAsia="Calibri"/>
                <w:b/>
                <w:szCs w:val="26"/>
              </w:rPr>
              <w:t>($)</w:t>
            </w:r>
          </w:p>
          <w:p w:rsidR="00B53097" w:rsidRPr="00B53097" w:rsidP="00B53097" w14:paraId="5ED9D324" w14:textId="77777777">
            <w:pPr>
              <w:jc w:val="center"/>
              <w:rPr>
                <w:rFonts w:eastAsia="Calibri"/>
                <w:b/>
                <w:szCs w:val="26"/>
              </w:rPr>
            </w:pPr>
            <w:r w:rsidRPr="00B53097">
              <w:rPr>
                <w:rFonts w:eastAsia="Calibri"/>
                <w:b/>
                <w:szCs w:val="26"/>
              </w:rPr>
              <w:t>(5)÷(1)</w:t>
            </w:r>
          </w:p>
        </w:tc>
      </w:tr>
      <w:tr w14:paraId="57573775" w14:textId="77777777" w:rsidTr="00B53097">
        <w:tblPrEx>
          <w:tblW w:w="5234" w:type="pct"/>
          <w:tblInd w:w="-72" w:type="dxa"/>
          <w:tblLook w:val="01E0"/>
        </w:tblPrEx>
        <w:trPr>
          <w:cantSplit/>
        </w:trPr>
        <w:tc>
          <w:tcPr>
            <w:tcW w:w="832" w:type="pct"/>
            <w:tcBorders>
              <w:top w:val="single" w:sz="4" w:space="0" w:color="auto"/>
              <w:left w:val="single" w:sz="4" w:space="0" w:color="auto"/>
              <w:bottom w:val="single" w:sz="4" w:space="0" w:color="auto"/>
              <w:right w:val="single" w:sz="4" w:space="0" w:color="auto"/>
            </w:tcBorders>
            <w:hideMark/>
          </w:tcPr>
          <w:p w:rsidR="00B53097" w:rsidRPr="00B53097" w:rsidP="00B53097" w14:paraId="60E88AF7" w14:textId="77777777">
            <w:pPr>
              <w:rPr>
                <w:rFonts w:eastAsia="Calibri"/>
                <w:szCs w:val="26"/>
              </w:rPr>
            </w:pPr>
            <w:r w:rsidRPr="00B53097">
              <w:rPr>
                <w:rFonts w:eastAsia="Calibri"/>
                <w:szCs w:val="26"/>
              </w:rPr>
              <w:t>Annual Transmission Planning and Evaluation Report</w:t>
            </w:r>
          </w:p>
        </w:tc>
        <w:tc>
          <w:tcPr>
            <w:tcW w:w="834" w:type="pct"/>
            <w:tcBorders>
              <w:top w:val="single" w:sz="4" w:space="0" w:color="auto"/>
              <w:left w:val="single" w:sz="4" w:space="0" w:color="auto"/>
              <w:bottom w:val="single" w:sz="4" w:space="0" w:color="auto"/>
              <w:right w:val="single" w:sz="4" w:space="0" w:color="auto"/>
            </w:tcBorders>
            <w:vAlign w:val="bottom"/>
            <w:hideMark/>
          </w:tcPr>
          <w:p w:rsidR="008A4573" w:rsidP="00B53097" w14:paraId="4379B624" w14:textId="1C0DE6F5">
            <w:pPr>
              <w:jc w:val="right"/>
              <w:rPr>
                <w:rFonts w:eastAsia="Calibri"/>
                <w:szCs w:val="26"/>
              </w:rPr>
            </w:pPr>
          </w:p>
          <w:p w:rsidR="00B53097" w:rsidRPr="00B53097" w:rsidP="00B53097" w14:paraId="54282196" w14:textId="185D0446">
            <w:pPr>
              <w:jc w:val="right"/>
              <w:rPr>
                <w:rFonts w:eastAsia="Calibri"/>
                <w:szCs w:val="26"/>
              </w:rPr>
            </w:pPr>
            <w:r w:rsidRPr="00B53097">
              <w:rPr>
                <w:rFonts w:eastAsia="Calibri"/>
                <w:szCs w:val="26"/>
              </w:rPr>
              <w:t>1</w:t>
            </w:r>
            <w:r>
              <w:rPr>
                <w:rFonts w:eastAsia="Calibri"/>
                <w:szCs w:val="26"/>
              </w:rPr>
              <w:t>0</w:t>
            </w:r>
            <w:r w:rsidR="008A4573">
              <w:rPr>
                <w:rFonts w:eastAsia="Calibri"/>
                <w:szCs w:val="26"/>
              </w:rPr>
              <w:t>6</w:t>
            </w:r>
          </w:p>
        </w:tc>
        <w:tc>
          <w:tcPr>
            <w:tcW w:w="782" w:type="pct"/>
            <w:tcBorders>
              <w:top w:val="single" w:sz="4" w:space="0" w:color="auto"/>
              <w:left w:val="single" w:sz="4" w:space="0" w:color="auto"/>
              <w:bottom w:val="single" w:sz="4" w:space="0" w:color="auto"/>
              <w:right w:val="single" w:sz="4" w:space="0" w:color="auto"/>
            </w:tcBorders>
            <w:vAlign w:val="bottom"/>
            <w:hideMark/>
          </w:tcPr>
          <w:p w:rsidR="00B53097" w:rsidRPr="00B53097" w:rsidP="00B53097" w14:paraId="229D5B00" w14:textId="77777777">
            <w:pPr>
              <w:jc w:val="right"/>
              <w:rPr>
                <w:rFonts w:eastAsia="Calibri"/>
                <w:szCs w:val="26"/>
              </w:rPr>
            </w:pPr>
            <w:r w:rsidRPr="00B53097">
              <w:rPr>
                <w:rFonts w:eastAsia="Calibri"/>
                <w:szCs w:val="26"/>
              </w:rPr>
              <w:t>1</w:t>
            </w:r>
          </w:p>
        </w:tc>
        <w:tc>
          <w:tcPr>
            <w:tcW w:w="718" w:type="pct"/>
            <w:tcBorders>
              <w:top w:val="single" w:sz="4" w:space="0" w:color="auto"/>
              <w:left w:val="single" w:sz="4" w:space="0" w:color="auto"/>
              <w:bottom w:val="single" w:sz="4" w:space="0" w:color="auto"/>
              <w:right w:val="single" w:sz="4" w:space="0" w:color="auto"/>
            </w:tcBorders>
            <w:vAlign w:val="bottom"/>
            <w:hideMark/>
          </w:tcPr>
          <w:p w:rsidR="008A4573" w:rsidP="00B53097" w14:paraId="5EF45AC8" w14:textId="5C61F901">
            <w:pPr>
              <w:jc w:val="right"/>
              <w:rPr>
                <w:rFonts w:eastAsia="Calibri"/>
                <w:szCs w:val="26"/>
              </w:rPr>
            </w:pPr>
          </w:p>
          <w:p w:rsidR="00B53097" w:rsidRPr="00B53097" w:rsidP="00B53097" w14:paraId="09B8CADF" w14:textId="5E0ACA00">
            <w:pPr>
              <w:jc w:val="right"/>
              <w:rPr>
                <w:rFonts w:eastAsia="Calibri"/>
                <w:szCs w:val="26"/>
              </w:rPr>
            </w:pPr>
            <w:r>
              <w:rPr>
                <w:rFonts w:eastAsia="Calibri"/>
                <w:szCs w:val="26"/>
              </w:rPr>
              <w:t>106</w:t>
            </w:r>
          </w:p>
        </w:tc>
        <w:tc>
          <w:tcPr>
            <w:tcW w:w="708" w:type="pct"/>
            <w:tcBorders>
              <w:top w:val="single" w:sz="4" w:space="0" w:color="auto"/>
              <w:left w:val="single" w:sz="4" w:space="0" w:color="auto"/>
              <w:bottom w:val="single" w:sz="4" w:space="0" w:color="auto"/>
              <w:right w:val="single" w:sz="4" w:space="0" w:color="auto"/>
            </w:tcBorders>
            <w:vAlign w:val="bottom"/>
            <w:hideMark/>
          </w:tcPr>
          <w:p w:rsidR="00B53097" w:rsidRPr="00B53097" w:rsidP="00B53097" w14:paraId="114B8583" w14:textId="359A7773">
            <w:pPr>
              <w:jc w:val="right"/>
              <w:rPr>
                <w:rFonts w:eastAsia="Calibri"/>
                <w:szCs w:val="26"/>
              </w:rPr>
            </w:pPr>
            <w:r>
              <w:rPr>
                <w:rFonts w:eastAsia="Calibri"/>
                <w:szCs w:val="26"/>
              </w:rPr>
              <w:t xml:space="preserve">80 </w:t>
            </w:r>
            <w:r w:rsidRPr="00B53097">
              <w:rPr>
                <w:rFonts w:eastAsia="Calibri"/>
                <w:szCs w:val="26"/>
              </w:rPr>
              <w:t>hrs.;</w:t>
            </w:r>
          </w:p>
          <w:p w:rsidR="006270F7" w:rsidRPr="00B53097" w:rsidP="00DD1CF7" w14:paraId="194DA46B" w14:textId="344162F9">
            <w:pPr>
              <w:rPr>
                <w:rFonts w:eastAsia="Calibri"/>
                <w:szCs w:val="26"/>
              </w:rPr>
            </w:pPr>
            <w:r>
              <w:rPr>
                <w:rFonts w:eastAsia="Calibri"/>
                <w:szCs w:val="26"/>
              </w:rPr>
              <w:t>$8,240</w:t>
            </w:r>
          </w:p>
        </w:tc>
        <w:tc>
          <w:tcPr>
            <w:tcW w:w="875" w:type="pct"/>
            <w:tcBorders>
              <w:top w:val="single" w:sz="4" w:space="0" w:color="auto"/>
              <w:left w:val="single" w:sz="4" w:space="0" w:color="auto"/>
              <w:bottom w:val="single" w:sz="4" w:space="0" w:color="auto"/>
              <w:right w:val="single" w:sz="4" w:space="0" w:color="auto"/>
            </w:tcBorders>
            <w:vAlign w:val="bottom"/>
            <w:hideMark/>
          </w:tcPr>
          <w:p w:rsidR="00D05DF0" w:rsidP="00B53097" w14:paraId="378A7180" w14:textId="6FEF3E39">
            <w:pPr>
              <w:jc w:val="right"/>
              <w:rPr>
                <w:rFonts w:eastAsia="Calibri"/>
                <w:szCs w:val="26"/>
              </w:rPr>
            </w:pPr>
          </w:p>
          <w:p w:rsidR="00B53097" w:rsidRPr="00B53097" w:rsidP="00B53097" w14:paraId="52A96EB1" w14:textId="1D098533">
            <w:pPr>
              <w:jc w:val="right"/>
              <w:rPr>
                <w:rFonts w:eastAsia="Calibri"/>
                <w:szCs w:val="26"/>
              </w:rPr>
            </w:pPr>
            <w:r>
              <w:rPr>
                <w:rFonts w:eastAsia="Calibri"/>
                <w:szCs w:val="26"/>
              </w:rPr>
              <w:t>8,</w:t>
            </w:r>
            <w:r w:rsidR="006C42FC">
              <w:rPr>
                <w:rFonts w:eastAsia="Calibri"/>
                <w:szCs w:val="26"/>
              </w:rPr>
              <w:t>4</w:t>
            </w:r>
            <w:r>
              <w:rPr>
                <w:rFonts w:eastAsia="Calibri"/>
                <w:szCs w:val="26"/>
              </w:rPr>
              <w:t xml:space="preserve">80 </w:t>
            </w:r>
            <w:r w:rsidRPr="00B53097">
              <w:rPr>
                <w:rFonts w:eastAsia="Calibri"/>
                <w:szCs w:val="26"/>
              </w:rPr>
              <w:t>hrs.;</w:t>
            </w:r>
          </w:p>
          <w:p w:rsidR="00B53097" w:rsidRPr="00B53097" w:rsidP="00DD1CF7" w14:paraId="490863A0" w14:textId="4977B8B7">
            <w:pPr>
              <w:rPr>
                <w:rFonts w:eastAsia="Calibri"/>
                <w:szCs w:val="26"/>
              </w:rPr>
            </w:pPr>
            <w:r>
              <w:rPr>
                <w:rFonts w:eastAsia="Calibri"/>
                <w:szCs w:val="26"/>
              </w:rPr>
              <w:t>$</w:t>
            </w:r>
            <w:r w:rsidR="00CE3C72">
              <w:rPr>
                <w:rFonts w:eastAsia="Calibri"/>
                <w:szCs w:val="26"/>
              </w:rPr>
              <w:t>8</w:t>
            </w:r>
            <w:r>
              <w:rPr>
                <w:rFonts w:eastAsia="Calibri"/>
                <w:szCs w:val="26"/>
              </w:rPr>
              <w:t>9</w:t>
            </w:r>
            <w:r w:rsidR="00CE3C72">
              <w:rPr>
                <w:rFonts w:eastAsia="Calibri"/>
                <w:szCs w:val="26"/>
              </w:rPr>
              <w:t>8,</w:t>
            </w:r>
            <w:r>
              <w:rPr>
                <w:rFonts w:eastAsia="Calibri"/>
                <w:szCs w:val="26"/>
              </w:rPr>
              <w:t>88</w:t>
            </w:r>
            <w:r w:rsidR="00CE3C72">
              <w:rPr>
                <w:rFonts w:eastAsia="Calibri"/>
                <w:szCs w:val="26"/>
              </w:rPr>
              <w:t>0</w:t>
            </w:r>
          </w:p>
        </w:tc>
        <w:tc>
          <w:tcPr>
            <w:tcW w:w="252" w:type="pct"/>
            <w:tcBorders>
              <w:top w:val="single" w:sz="4" w:space="0" w:color="auto"/>
              <w:left w:val="single" w:sz="4" w:space="0" w:color="auto"/>
              <w:bottom w:val="single" w:sz="4" w:space="0" w:color="auto"/>
              <w:right w:val="single" w:sz="4" w:space="0" w:color="auto"/>
            </w:tcBorders>
            <w:vAlign w:val="bottom"/>
            <w:hideMark/>
          </w:tcPr>
          <w:p w:rsidR="00B53097" w:rsidRPr="00B53097" w:rsidP="00DD1CF7" w14:paraId="61E2DD78" w14:textId="2A28C15D">
            <w:pPr>
              <w:jc w:val="right"/>
              <w:rPr>
                <w:rFonts w:eastAsia="Calibri"/>
                <w:szCs w:val="26"/>
              </w:rPr>
            </w:pPr>
            <w:r w:rsidRPr="00B53097">
              <w:rPr>
                <w:rFonts w:eastAsia="Calibri"/>
                <w:szCs w:val="26"/>
              </w:rPr>
              <w:t>$</w:t>
            </w:r>
            <w:r w:rsidR="00571D7A">
              <w:rPr>
                <w:rFonts w:eastAsia="Calibri"/>
                <w:szCs w:val="26"/>
              </w:rPr>
              <w:t>8,4</w:t>
            </w:r>
            <w:r w:rsidR="002749EB">
              <w:rPr>
                <w:rFonts w:eastAsia="Calibri"/>
                <w:szCs w:val="26"/>
              </w:rPr>
              <w:t>8</w:t>
            </w:r>
            <w:r w:rsidR="00571D7A">
              <w:rPr>
                <w:rFonts w:eastAsia="Calibri"/>
                <w:szCs w:val="26"/>
              </w:rPr>
              <w:t>0</w:t>
            </w:r>
          </w:p>
        </w:tc>
      </w:tr>
    </w:tbl>
    <w:p w:rsidR="00B53097" w:rsidRPr="006D65AB" w:rsidP="006D65AB" w14:paraId="7EB247A2" w14:textId="660E9D53">
      <w:pPr>
        <w:spacing w:after="160" w:line="256" w:lineRule="auto"/>
        <w:rPr>
          <w:rFonts w:eastAsia="Calibri"/>
          <w:szCs w:val="26"/>
        </w:rPr>
      </w:pPr>
    </w:p>
    <w:p w:rsidR="000F36DF" w:rsidP="00AE1F12" w14:paraId="2D6683BE" w14:textId="5CC0E275">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pPr>
    </w:p>
    <w:p w:rsidR="00E52385" w:rsidRPr="00E52385" w:rsidP="00E52385" w14:paraId="50126961" w14:textId="7933B0FD">
      <w:pPr>
        <w:ind w:firstLine="2606"/>
        <w:jc w:val="center"/>
      </w:pPr>
      <w:r w:rsidRPr="00E52385">
        <w:t>Debbie-Anne A. Reese,</w:t>
      </w:r>
    </w:p>
    <w:p w:rsidR="00E52385" w:rsidRPr="00E52385" w:rsidP="00E52385" w14:paraId="53352759" w14:textId="4B40E844">
      <w:pPr>
        <w:ind w:firstLine="2606"/>
        <w:jc w:val="center"/>
      </w:pPr>
      <w:r w:rsidRPr="00E52385">
        <w:t>Secretary.</w:t>
      </w:r>
    </w:p>
    <w:p w:rsidR="00E52385" w14:paraId="0470DF50" w14:textId="77777777">
      <w:pPr>
        <w:spacing w:after="160" w:line="259" w:lineRule="auto"/>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10AB" w:rsidP="00B01B16" w14:paraId="29007766" w14:textId="77777777">
      <w:r>
        <w:separator/>
      </w:r>
    </w:p>
  </w:footnote>
  <w:footnote w:type="continuationSeparator" w:id="1">
    <w:p w:rsidR="00BC10AB" w:rsidP="00B01B16" w14:paraId="6E876718" w14:textId="77777777">
      <w:r>
        <w:continuationSeparator/>
      </w:r>
    </w:p>
  </w:footnote>
  <w:footnote w:type="continuationNotice" w:id="2">
    <w:p w:rsidR="00BC10AB" w14:paraId="7A767C47" w14:textId="77777777"/>
  </w:footnote>
  <w:footnote w:id="3">
    <w:p w:rsidR="00B53097" w:rsidP="00521148" w14:paraId="0EEBCDB7" w14:textId="77777777">
      <w:pPr>
        <w:pStyle w:val="FootnoteText"/>
        <w:ind w:firstLine="720"/>
        <w:rPr>
          <w:sz w:val="26"/>
          <w:szCs w:val="26"/>
        </w:rPr>
      </w:pPr>
      <w:r>
        <w:rPr>
          <w:rStyle w:val="FootnoteReference"/>
        </w:rPr>
        <w:footnoteRef/>
      </w:r>
      <w:r>
        <w:rPr>
          <w:sz w:val="26"/>
          <w:szCs w:val="26"/>
        </w:rPr>
        <w:t xml:space="preserve"> 16 USC 824</w:t>
      </w:r>
      <w:r>
        <w:rPr>
          <w:i/>
          <w:iCs/>
          <w:sz w:val="26"/>
          <w:szCs w:val="26"/>
        </w:rPr>
        <w:t>l</w:t>
      </w:r>
    </w:p>
  </w:footnote>
  <w:footnote w:id="4">
    <w:p w:rsidR="00B53097" w:rsidP="00521148" w14:paraId="073FB043" w14:textId="020634B7">
      <w:pPr>
        <w:pStyle w:val="FootnoteText"/>
        <w:ind w:firstLine="720"/>
        <w:rPr>
          <w:sz w:val="26"/>
          <w:szCs w:val="26"/>
        </w:rPr>
      </w:pPr>
      <w:r>
        <w:rPr>
          <w:rStyle w:val="FootnoteReference"/>
        </w:rPr>
        <w:footnoteRef/>
      </w:r>
      <w:r>
        <w:rPr>
          <w:sz w:val="26"/>
          <w:szCs w:val="26"/>
        </w:rPr>
        <w:t xml:space="preserve"> “Burden” is the total time, effort, or financial resources expended by persons to generate, maintain, retain, or disclose or provide information to or for a </w:t>
      </w:r>
      <w:r w:rsidR="00633A24">
        <w:rPr>
          <w:sz w:val="26"/>
          <w:szCs w:val="26"/>
        </w:rPr>
        <w:t>federal</w:t>
      </w:r>
      <w:r>
        <w:rPr>
          <w:sz w:val="26"/>
          <w:szCs w:val="26"/>
        </w:rPr>
        <w:t xml:space="preserve"> agency. For further explanation of what is included in the information collection burden, refer to Title 5 Code of Federal Regulations 1320.3.</w:t>
      </w:r>
    </w:p>
  </w:footnote>
  <w:footnote w:id="5">
    <w:p w:rsidR="00B53097" w:rsidP="00521148" w14:paraId="3159B875" w14:textId="6ACDF8FD">
      <w:pPr>
        <w:pStyle w:val="FootnoteText"/>
        <w:ind w:firstLine="720"/>
        <w:rPr>
          <w:rFonts w:ascii="Calibri" w:hAnsi="Calibri"/>
          <w:sz w:val="26"/>
          <w:szCs w:val="26"/>
        </w:rPr>
      </w:pPr>
      <w:r>
        <w:rPr>
          <w:rStyle w:val="FootnoteReference"/>
        </w:rPr>
        <w:footnoteRef/>
      </w:r>
      <w:r>
        <w:rPr>
          <w:sz w:val="26"/>
          <w:szCs w:val="26"/>
        </w:rPr>
        <w:t xml:space="preserve"> The Commission staff estimates that the industry’s hourly cost for wages plus benefits is similar to the Commission’s </w:t>
      </w:r>
      <w:r w:rsidR="00C0528F">
        <w:rPr>
          <w:sz w:val="26"/>
          <w:szCs w:val="26"/>
        </w:rPr>
        <w:t>$103</w:t>
      </w:r>
      <w:r>
        <w:rPr>
          <w:sz w:val="26"/>
          <w:szCs w:val="26"/>
        </w:rPr>
        <w:t>.00 FY 202</w:t>
      </w:r>
      <w:r w:rsidR="00C0528F">
        <w:rPr>
          <w:sz w:val="26"/>
          <w:szCs w:val="26"/>
        </w:rPr>
        <w:t>5</w:t>
      </w:r>
      <w:r>
        <w:rPr>
          <w:sz w:val="26"/>
          <w:szCs w:val="26"/>
        </w:rPr>
        <w:t xml:space="preserve"> average hourly cost for wages and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238A4F44">
        <w:pPr>
          <w:pStyle w:val="Header"/>
        </w:pPr>
        <w:r w:rsidRPr="00980E58">
          <w:t xml:space="preserve">Docket No. </w:t>
        </w:r>
        <w:r w:rsidRPr="00974530">
          <w:t>I</w:t>
        </w:r>
        <w:r>
          <w:t>C2</w:t>
        </w:r>
        <w:r w:rsidR="008D1DB6">
          <w:t>5</w:t>
        </w:r>
        <w:r w:rsidRPr="00974530">
          <w:t>-</w:t>
        </w:r>
        <w:r w:rsidR="00AF1BF5">
          <w:t>10</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16F19"/>
    <w:multiLevelType w:val="multilevel"/>
    <w:tmpl w:val="DAD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2AEC4B1E"/>
    <w:multiLevelType w:val="multilevel"/>
    <w:tmpl w:val="22CC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3"/>
  </w:num>
  <w:num w:numId="3" w16cid:durableId="1552577333">
    <w:abstractNumId w:val="8"/>
  </w:num>
  <w:num w:numId="4" w16cid:durableId="619460549">
    <w:abstractNumId w:val="7"/>
  </w:num>
  <w:num w:numId="5" w16cid:durableId="580872380">
    <w:abstractNumId w:val="10"/>
  </w:num>
  <w:num w:numId="6" w16cid:durableId="1239292177">
    <w:abstractNumId w:val="1"/>
  </w:num>
  <w:num w:numId="7" w16cid:durableId="1703675782">
    <w:abstractNumId w:val="9"/>
  </w:num>
  <w:num w:numId="8" w16cid:durableId="1502355616">
    <w:abstractNumId w:val="4"/>
  </w:num>
  <w:num w:numId="9" w16cid:durableId="245696345">
    <w:abstractNumId w:val="0"/>
  </w:num>
  <w:num w:numId="10" w16cid:durableId="38208452">
    <w:abstractNumId w:val="6"/>
  </w:num>
  <w:num w:numId="11" w16cid:durableId="123971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48DC"/>
    <w:rsid w:val="0000758F"/>
    <w:rsid w:val="0001045C"/>
    <w:rsid w:val="00014343"/>
    <w:rsid w:val="00015B93"/>
    <w:rsid w:val="00024462"/>
    <w:rsid w:val="00026C2D"/>
    <w:rsid w:val="00033DD8"/>
    <w:rsid w:val="000459B6"/>
    <w:rsid w:val="00057E6A"/>
    <w:rsid w:val="00061D59"/>
    <w:rsid w:val="00062427"/>
    <w:rsid w:val="00063B25"/>
    <w:rsid w:val="00066918"/>
    <w:rsid w:val="00082444"/>
    <w:rsid w:val="00084A11"/>
    <w:rsid w:val="00085A2B"/>
    <w:rsid w:val="0008692A"/>
    <w:rsid w:val="0009446C"/>
    <w:rsid w:val="000A0250"/>
    <w:rsid w:val="000A1FE3"/>
    <w:rsid w:val="000A6F37"/>
    <w:rsid w:val="000A7E68"/>
    <w:rsid w:val="000B32CE"/>
    <w:rsid w:val="000B5607"/>
    <w:rsid w:val="000B5C78"/>
    <w:rsid w:val="000D318C"/>
    <w:rsid w:val="000E2568"/>
    <w:rsid w:val="000F36DF"/>
    <w:rsid w:val="000F45EC"/>
    <w:rsid w:val="000F606E"/>
    <w:rsid w:val="00113520"/>
    <w:rsid w:val="00114D0E"/>
    <w:rsid w:val="00116326"/>
    <w:rsid w:val="00117E0B"/>
    <w:rsid w:val="00121178"/>
    <w:rsid w:val="00121D48"/>
    <w:rsid w:val="001258C6"/>
    <w:rsid w:val="00125991"/>
    <w:rsid w:val="00134E93"/>
    <w:rsid w:val="001408C4"/>
    <w:rsid w:val="0015445B"/>
    <w:rsid w:val="00156BBB"/>
    <w:rsid w:val="001600DF"/>
    <w:rsid w:val="00164215"/>
    <w:rsid w:val="001642F6"/>
    <w:rsid w:val="00171725"/>
    <w:rsid w:val="0017684C"/>
    <w:rsid w:val="00177704"/>
    <w:rsid w:val="00180822"/>
    <w:rsid w:val="00181BF7"/>
    <w:rsid w:val="0018255E"/>
    <w:rsid w:val="00184A26"/>
    <w:rsid w:val="00184B43"/>
    <w:rsid w:val="0018593A"/>
    <w:rsid w:val="00191B74"/>
    <w:rsid w:val="0019402A"/>
    <w:rsid w:val="00197435"/>
    <w:rsid w:val="001A1CAD"/>
    <w:rsid w:val="001A6645"/>
    <w:rsid w:val="001A6AD6"/>
    <w:rsid w:val="001B151A"/>
    <w:rsid w:val="001B16B8"/>
    <w:rsid w:val="001B78B8"/>
    <w:rsid w:val="001C0B75"/>
    <w:rsid w:val="001C3340"/>
    <w:rsid w:val="001C7064"/>
    <w:rsid w:val="001F1CDF"/>
    <w:rsid w:val="00202E41"/>
    <w:rsid w:val="00210715"/>
    <w:rsid w:val="002131D0"/>
    <w:rsid w:val="00224BF8"/>
    <w:rsid w:val="002347B9"/>
    <w:rsid w:val="0024309C"/>
    <w:rsid w:val="002445BA"/>
    <w:rsid w:val="00247214"/>
    <w:rsid w:val="00253F98"/>
    <w:rsid w:val="00257CC2"/>
    <w:rsid w:val="002662C7"/>
    <w:rsid w:val="00266431"/>
    <w:rsid w:val="00266CF0"/>
    <w:rsid w:val="002749EB"/>
    <w:rsid w:val="00281F64"/>
    <w:rsid w:val="00297211"/>
    <w:rsid w:val="002A0531"/>
    <w:rsid w:val="002A4B87"/>
    <w:rsid w:val="002B1694"/>
    <w:rsid w:val="002C03F1"/>
    <w:rsid w:val="002C3223"/>
    <w:rsid w:val="002C3579"/>
    <w:rsid w:val="002C556B"/>
    <w:rsid w:val="002C66FC"/>
    <w:rsid w:val="002D17E5"/>
    <w:rsid w:val="002D19D9"/>
    <w:rsid w:val="002E06A0"/>
    <w:rsid w:val="002E5D67"/>
    <w:rsid w:val="002E6DAA"/>
    <w:rsid w:val="002E7120"/>
    <w:rsid w:val="002F1008"/>
    <w:rsid w:val="002F4401"/>
    <w:rsid w:val="002F505F"/>
    <w:rsid w:val="00301ED5"/>
    <w:rsid w:val="00301F62"/>
    <w:rsid w:val="00303516"/>
    <w:rsid w:val="00305D2F"/>
    <w:rsid w:val="00306318"/>
    <w:rsid w:val="00311D90"/>
    <w:rsid w:val="00314219"/>
    <w:rsid w:val="003149BC"/>
    <w:rsid w:val="00314D59"/>
    <w:rsid w:val="00320CB8"/>
    <w:rsid w:val="003270F2"/>
    <w:rsid w:val="00332D75"/>
    <w:rsid w:val="00333661"/>
    <w:rsid w:val="00336AD9"/>
    <w:rsid w:val="00353B9A"/>
    <w:rsid w:val="003645C8"/>
    <w:rsid w:val="00365468"/>
    <w:rsid w:val="003658A2"/>
    <w:rsid w:val="003673EC"/>
    <w:rsid w:val="00372200"/>
    <w:rsid w:val="00373A2E"/>
    <w:rsid w:val="00374D2A"/>
    <w:rsid w:val="00376525"/>
    <w:rsid w:val="00397ABE"/>
    <w:rsid w:val="003A2C3F"/>
    <w:rsid w:val="003A6035"/>
    <w:rsid w:val="003B435C"/>
    <w:rsid w:val="003B5B0B"/>
    <w:rsid w:val="003C08DE"/>
    <w:rsid w:val="003C370E"/>
    <w:rsid w:val="003C3E7A"/>
    <w:rsid w:val="003C467C"/>
    <w:rsid w:val="003D28D2"/>
    <w:rsid w:val="003E074A"/>
    <w:rsid w:val="003E1657"/>
    <w:rsid w:val="003E1B5A"/>
    <w:rsid w:val="003E2CB3"/>
    <w:rsid w:val="003E40B2"/>
    <w:rsid w:val="003E44AD"/>
    <w:rsid w:val="003E5EA3"/>
    <w:rsid w:val="003F0FE7"/>
    <w:rsid w:val="003F2E32"/>
    <w:rsid w:val="003F452F"/>
    <w:rsid w:val="003F570B"/>
    <w:rsid w:val="003F6B3B"/>
    <w:rsid w:val="003F7567"/>
    <w:rsid w:val="003F7EA6"/>
    <w:rsid w:val="00405154"/>
    <w:rsid w:val="00411B62"/>
    <w:rsid w:val="004177CD"/>
    <w:rsid w:val="004207F2"/>
    <w:rsid w:val="004222A9"/>
    <w:rsid w:val="0042688C"/>
    <w:rsid w:val="0042765E"/>
    <w:rsid w:val="00427AE5"/>
    <w:rsid w:val="00443282"/>
    <w:rsid w:val="004471A9"/>
    <w:rsid w:val="004562F1"/>
    <w:rsid w:val="004609ED"/>
    <w:rsid w:val="004618D7"/>
    <w:rsid w:val="004628F2"/>
    <w:rsid w:val="00471921"/>
    <w:rsid w:val="00491543"/>
    <w:rsid w:val="0049612F"/>
    <w:rsid w:val="004962D9"/>
    <w:rsid w:val="004A47C0"/>
    <w:rsid w:val="004A661D"/>
    <w:rsid w:val="004B239D"/>
    <w:rsid w:val="004B472A"/>
    <w:rsid w:val="004C0BC3"/>
    <w:rsid w:val="004C2800"/>
    <w:rsid w:val="004C4524"/>
    <w:rsid w:val="004C70C8"/>
    <w:rsid w:val="004E0525"/>
    <w:rsid w:val="004E683E"/>
    <w:rsid w:val="00501035"/>
    <w:rsid w:val="005148FA"/>
    <w:rsid w:val="00521148"/>
    <w:rsid w:val="00524164"/>
    <w:rsid w:val="00527733"/>
    <w:rsid w:val="00531000"/>
    <w:rsid w:val="0053689B"/>
    <w:rsid w:val="00537A68"/>
    <w:rsid w:val="005401E0"/>
    <w:rsid w:val="00544424"/>
    <w:rsid w:val="0054746C"/>
    <w:rsid w:val="00552978"/>
    <w:rsid w:val="005652D0"/>
    <w:rsid w:val="00565830"/>
    <w:rsid w:val="00565B5E"/>
    <w:rsid w:val="00566B5F"/>
    <w:rsid w:val="00567907"/>
    <w:rsid w:val="00571D7A"/>
    <w:rsid w:val="00583C83"/>
    <w:rsid w:val="00586A8F"/>
    <w:rsid w:val="00587D1F"/>
    <w:rsid w:val="00592148"/>
    <w:rsid w:val="005953A1"/>
    <w:rsid w:val="005A2F24"/>
    <w:rsid w:val="005B4DA4"/>
    <w:rsid w:val="005B6468"/>
    <w:rsid w:val="005B7EAB"/>
    <w:rsid w:val="005C180F"/>
    <w:rsid w:val="005C36C0"/>
    <w:rsid w:val="005C77BE"/>
    <w:rsid w:val="005D238D"/>
    <w:rsid w:val="005E0B1A"/>
    <w:rsid w:val="005E45C6"/>
    <w:rsid w:val="005F33D1"/>
    <w:rsid w:val="006003E8"/>
    <w:rsid w:val="00606C85"/>
    <w:rsid w:val="006128A5"/>
    <w:rsid w:val="00613169"/>
    <w:rsid w:val="00615AF5"/>
    <w:rsid w:val="0062572C"/>
    <w:rsid w:val="006270F7"/>
    <w:rsid w:val="00630E07"/>
    <w:rsid w:val="00633A24"/>
    <w:rsid w:val="0063784F"/>
    <w:rsid w:val="00637F43"/>
    <w:rsid w:val="00644A1B"/>
    <w:rsid w:val="00645C5B"/>
    <w:rsid w:val="00646D5F"/>
    <w:rsid w:val="006536D8"/>
    <w:rsid w:val="00654399"/>
    <w:rsid w:val="00654BA4"/>
    <w:rsid w:val="0066195A"/>
    <w:rsid w:val="00664931"/>
    <w:rsid w:val="006670C8"/>
    <w:rsid w:val="006841A7"/>
    <w:rsid w:val="00693721"/>
    <w:rsid w:val="00694C22"/>
    <w:rsid w:val="006963BC"/>
    <w:rsid w:val="006970F4"/>
    <w:rsid w:val="006A2ACA"/>
    <w:rsid w:val="006A2E15"/>
    <w:rsid w:val="006B0632"/>
    <w:rsid w:val="006C0377"/>
    <w:rsid w:val="006C1D12"/>
    <w:rsid w:val="006C42FC"/>
    <w:rsid w:val="006C5ECD"/>
    <w:rsid w:val="006D1CE0"/>
    <w:rsid w:val="006D65AB"/>
    <w:rsid w:val="006E7CBB"/>
    <w:rsid w:val="006F173F"/>
    <w:rsid w:val="006F7028"/>
    <w:rsid w:val="006F749E"/>
    <w:rsid w:val="006F7BE7"/>
    <w:rsid w:val="007024F1"/>
    <w:rsid w:val="00713417"/>
    <w:rsid w:val="00714EDD"/>
    <w:rsid w:val="0071543E"/>
    <w:rsid w:val="0071670A"/>
    <w:rsid w:val="00723505"/>
    <w:rsid w:val="007263B9"/>
    <w:rsid w:val="00734426"/>
    <w:rsid w:val="0074136F"/>
    <w:rsid w:val="00747173"/>
    <w:rsid w:val="0075004D"/>
    <w:rsid w:val="0075009F"/>
    <w:rsid w:val="00756FAF"/>
    <w:rsid w:val="00760B62"/>
    <w:rsid w:val="00767177"/>
    <w:rsid w:val="00775681"/>
    <w:rsid w:val="00781E6A"/>
    <w:rsid w:val="00782ECC"/>
    <w:rsid w:val="0078743D"/>
    <w:rsid w:val="007901CE"/>
    <w:rsid w:val="007905DE"/>
    <w:rsid w:val="00795C55"/>
    <w:rsid w:val="007A23CA"/>
    <w:rsid w:val="007A4202"/>
    <w:rsid w:val="007A50D7"/>
    <w:rsid w:val="007B1F57"/>
    <w:rsid w:val="007B4938"/>
    <w:rsid w:val="007B6CD5"/>
    <w:rsid w:val="007B7391"/>
    <w:rsid w:val="007E3706"/>
    <w:rsid w:val="007F4CD3"/>
    <w:rsid w:val="007F61C2"/>
    <w:rsid w:val="008018DB"/>
    <w:rsid w:val="00803CA2"/>
    <w:rsid w:val="00807CAC"/>
    <w:rsid w:val="00807EF5"/>
    <w:rsid w:val="008115BF"/>
    <w:rsid w:val="00816942"/>
    <w:rsid w:val="008212DA"/>
    <w:rsid w:val="00824D81"/>
    <w:rsid w:val="0083151E"/>
    <w:rsid w:val="00835322"/>
    <w:rsid w:val="0084181C"/>
    <w:rsid w:val="00843568"/>
    <w:rsid w:val="00853ABC"/>
    <w:rsid w:val="00855FE8"/>
    <w:rsid w:val="0086175B"/>
    <w:rsid w:val="00871D53"/>
    <w:rsid w:val="00871DCE"/>
    <w:rsid w:val="00881405"/>
    <w:rsid w:val="00886713"/>
    <w:rsid w:val="00890224"/>
    <w:rsid w:val="0089069F"/>
    <w:rsid w:val="00895B40"/>
    <w:rsid w:val="00895DA2"/>
    <w:rsid w:val="00897359"/>
    <w:rsid w:val="008A4573"/>
    <w:rsid w:val="008A6A02"/>
    <w:rsid w:val="008A7371"/>
    <w:rsid w:val="008B7C2C"/>
    <w:rsid w:val="008B7EC5"/>
    <w:rsid w:val="008C59C7"/>
    <w:rsid w:val="008D1DB6"/>
    <w:rsid w:val="008D25B7"/>
    <w:rsid w:val="008D399B"/>
    <w:rsid w:val="008D5479"/>
    <w:rsid w:val="008E0DC0"/>
    <w:rsid w:val="008E0DF5"/>
    <w:rsid w:val="008E3273"/>
    <w:rsid w:val="008E4932"/>
    <w:rsid w:val="008E72C5"/>
    <w:rsid w:val="008E7781"/>
    <w:rsid w:val="008E7D0A"/>
    <w:rsid w:val="008F0C45"/>
    <w:rsid w:val="00904B00"/>
    <w:rsid w:val="009053DE"/>
    <w:rsid w:val="00907770"/>
    <w:rsid w:val="00914A1B"/>
    <w:rsid w:val="0092024A"/>
    <w:rsid w:val="0092205A"/>
    <w:rsid w:val="009314F0"/>
    <w:rsid w:val="00931DA8"/>
    <w:rsid w:val="00940C0F"/>
    <w:rsid w:val="00951DC3"/>
    <w:rsid w:val="00952710"/>
    <w:rsid w:val="0095548F"/>
    <w:rsid w:val="009603F5"/>
    <w:rsid w:val="009744C8"/>
    <w:rsid w:val="00974530"/>
    <w:rsid w:val="00977A6A"/>
    <w:rsid w:val="00980E58"/>
    <w:rsid w:val="009815BD"/>
    <w:rsid w:val="00981886"/>
    <w:rsid w:val="009820CB"/>
    <w:rsid w:val="00982934"/>
    <w:rsid w:val="00990102"/>
    <w:rsid w:val="00990FEC"/>
    <w:rsid w:val="00991995"/>
    <w:rsid w:val="00992257"/>
    <w:rsid w:val="00996B86"/>
    <w:rsid w:val="009A1B08"/>
    <w:rsid w:val="009A430C"/>
    <w:rsid w:val="009B57B8"/>
    <w:rsid w:val="009C3CB9"/>
    <w:rsid w:val="009C4A13"/>
    <w:rsid w:val="009C745D"/>
    <w:rsid w:val="009D13E8"/>
    <w:rsid w:val="009D3DC6"/>
    <w:rsid w:val="009D61BE"/>
    <w:rsid w:val="009E1900"/>
    <w:rsid w:val="009E281E"/>
    <w:rsid w:val="009F4BA5"/>
    <w:rsid w:val="009F5460"/>
    <w:rsid w:val="009F6D8A"/>
    <w:rsid w:val="009F7DE3"/>
    <w:rsid w:val="00A07154"/>
    <w:rsid w:val="00A11868"/>
    <w:rsid w:val="00A11900"/>
    <w:rsid w:val="00A127D3"/>
    <w:rsid w:val="00A1386C"/>
    <w:rsid w:val="00A14335"/>
    <w:rsid w:val="00A14528"/>
    <w:rsid w:val="00A14B43"/>
    <w:rsid w:val="00A23612"/>
    <w:rsid w:val="00A2604E"/>
    <w:rsid w:val="00A32860"/>
    <w:rsid w:val="00A417A2"/>
    <w:rsid w:val="00A52189"/>
    <w:rsid w:val="00A57463"/>
    <w:rsid w:val="00A664DF"/>
    <w:rsid w:val="00A71219"/>
    <w:rsid w:val="00A713D0"/>
    <w:rsid w:val="00A722D4"/>
    <w:rsid w:val="00A72496"/>
    <w:rsid w:val="00A75AAA"/>
    <w:rsid w:val="00A7635A"/>
    <w:rsid w:val="00A82A29"/>
    <w:rsid w:val="00AA516A"/>
    <w:rsid w:val="00AA5B0E"/>
    <w:rsid w:val="00AB4DBF"/>
    <w:rsid w:val="00AB520B"/>
    <w:rsid w:val="00AC0504"/>
    <w:rsid w:val="00AC1DB7"/>
    <w:rsid w:val="00AC4CCB"/>
    <w:rsid w:val="00AC664F"/>
    <w:rsid w:val="00AC750B"/>
    <w:rsid w:val="00AC7E81"/>
    <w:rsid w:val="00AD4726"/>
    <w:rsid w:val="00AD6937"/>
    <w:rsid w:val="00AE1F12"/>
    <w:rsid w:val="00AE24CC"/>
    <w:rsid w:val="00AE4155"/>
    <w:rsid w:val="00AE4B7C"/>
    <w:rsid w:val="00AE66F6"/>
    <w:rsid w:val="00AF17CE"/>
    <w:rsid w:val="00AF1BF5"/>
    <w:rsid w:val="00AF349B"/>
    <w:rsid w:val="00B009E9"/>
    <w:rsid w:val="00B01B16"/>
    <w:rsid w:val="00B04130"/>
    <w:rsid w:val="00B11D16"/>
    <w:rsid w:val="00B129E0"/>
    <w:rsid w:val="00B13678"/>
    <w:rsid w:val="00B15B2D"/>
    <w:rsid w:val="00B24588"/>
    <w:rsid w:val="00B24919"/>
    <w:rsid w:val="00B271C4"/>
    <w:rsid w:val="00B447D7"/>
    <w:rsid w:val="00B53097"/>
    <w:rsid w:val="00B61016"/>
    <w:rsid w:val="00B625C5"/>
    <w:rsid w:val="00B66413"/>
    <w:rsid w:val="00B71BAA"/>
    <w:rsid w:val="00B76A1F"/>
    <w:rsid w:val="00B82F8C"/>
    <w:rsid w:val="00B8460F"/>
    <w:rsid w:val="00B95477"/>
    <w:rsid w:val="00BA13EE"/>
    <w:rsid w:val="00BA1D81"/>
    <w:rsid w:val="00BA5A3C"/>
    <w:rsid w:val="00BA7130"/>
    <w:rsid w:val="00BB0C97"/>
    <w:rsid w:val="00BB1262"/>
    <w:rsid w:val="00BB28BF"/>
    <w:rsid w:val="00BC10AB"/>
    <w:rsid w:val="00BC1E57"/>
    <w:rsid w:val="00BD1C24"/>
    <w:rsid w:val="00BD2445"/>
    <w:rsid w:val="00BD523B"/>
    <w:rsid w:val="00BD74AE"/>
    <w:rsid w:val="00BE15E5"/>
    <w:rsid w:val="00BE16BC"/>
    <w:rsid w:val="00BE3FE7"/>
    <w:rsid w:val="00BF2547"/>
    <w:rsid w:val="00BF2D74"/>
    <w:rsid w:val="00BF4CC8"/>
    <w:rsid w:val="00BF71B5"/>
    <w:rsid w:val="00BF75B6"/>
    <w:rsid w:val="00C02547"/>
    <w:rsid w:val="00C0408A"/>
    <w:rsid w:val="00C04839"/>
    <w:rsid w:val="00C0528F"/>
    <w:rsid w:val="00C058D5"/>
    <w:rsid w:val="00C1124F"/>
    <w:rsid w:val="00C1686C"/>
    <w:rsid w:val="00C16D22"/>
    <w:rsid w:val="00C3045A"/>
    <w:rsid w:val="00C30DED"/>
    <w:rsid w:val="00C37BFF"/>
    <w:rsid w:val="00C418AE"/>
    <w:rsid w:val="00C45F17"/>
    <w:rsid w:val="00C51458"/>
    <w:rsid w:val="00C53580"/>
    <w:rsid w:val="00C55838"/>
    <w:rsid w:val="00C56745"/>
    <w:rsid w:val="00C643C8"/>
    <w:rsid w:val="00C70729"/>
    <w:rsid w:val="00C71475"/>
    <w:rsid w:val="00C716B2"/>
    <w:rsid w:val="00C77EF7"/>
    <w:rsid w:val="00C77F0F"/>
    <w:rsid w:val="00C820F1"/>
    <w:rsid w:val="00C85A38"/>
    <w:rsid w:val="00C91512"/>
    <w:rsid w:val="00C94A53"/>
    <w:rsid w:val="00CA2DE2"/>
    <w:rsid w:val="00CA3A85"/>
    <w:rsid w:val="00CA6636"/>
    <w:rsid w:val="00CA6D76"/>
    <w:rsid w:val="00CB0696"/>
    <w:rsid w:val="00CB51CC"/>
    <w:rsid w:val="00CC1A72"/>
    <w:rsid w:val="00CC5692"/>
    <w:rsid w:val="00CC5BBB"/>
    <w:rsid w:val="00CC5D1A"/>
    <w:rsid w:val="00CC65F3"/>
    <w:rsid w:val="00CC6AF0"/>
    <w:rsid w:val="00CD56E5"/>
    <w:rsid w:val="00CD6D41"/>
    <w:rsid w:val="00CE0C1B"/>
    <w:rsid w:val="00CE3C72"/>
    <w:rsid w:val="00CE4C34"/>
    <w:rsid w:val="00CE64F2"/>
    <w:rsid w:val="00CF0118"/>
    <w:rsid w:val="00CF0C67"/>
    <w:rsid w:val="00CF0F40"/>
    <w:rsid w:val="00CF4753"/>
    <w:rsid w:val="00D0083B"/>
    <w:rsid w:val="00D05DF0"/>
    <w:rsid w:val="00D172D8"/>
    <w:rsid w:val="00D33B17"/>
    <w:rsid w:val="00D35B2D"/>
    <w:rsid w:val="00D41A90"/>
    <w:rsid w:val="00D44183"/>
    <w:rsid w:val="00D5276C"/>
    <w:rsid w:val="00D6384D"/>
    <w:rsid w:val="00D653F3"/>
    <w:rsid w:val="00D66B24"/>
    <w:rsid w:val="00D8288F"/>
    <w:rsid w:val="00D82D9B"/>
    <w:rsid w:val="00D852DA"/>
    <w:rsid w:val="00D872BC"/>
    <w:rsid w:val="00DA529F"/>
    <w:rsid w:val="00DB5AAE"/>
    <w:rsid w:val="00DB6882"/>
    <w:rsid w:val="00DC5017"/>
    <w:rsid w:val="00DC5129"/>
    <w:rsid w:val="00DC783F"/>
    <w:rsid w:val="00DD1CF7"/>
    <w:rsid w:val="00DD7EC8"/>
    <w:rsid w:val="00DD7F1B"/>
    <w:rsid w:val="00DE0E7F"/>
    <w:rsid w:val="00DE63B7"/>
    <w:rsid w:val="00DF5F20"/>
    <w:rsid w:val="00E059B8"/>
    <w:rsid w:val="00E1100C"/>
    <w:rsid w:val="00E12A7A"/>
    <w:rsid w:val="00E12A89"/>
    <w:rsid w:val="00E13F3A"/>
    <w:rsid w:val="00E27FD6"/>
    <w:rsid w:val="00E41DB9"/>
    <w:rsid w:val="00E50227"/>
    <w:rsid w:val="00E52385"/>
    <w:rsid w:val="00E53509"/>
    <w:rsid w:val="00E6029D"/>
    <w:rsid w:val="00E676B3"/>
    <w:rsid w:val="00E762BB"/>
    <w:rsid w:val="00E77026"/>
    <w:rsid w:val="00E81A2D"/>
    <w:rsid w:val="00E8661B"/>
    <w:rsid w:val="00E9084E"/>
    <w:rsid w:val="00E908BD"/>
    <w:rsid w:val="00E962E6"/>
    <w:rsid w:val="00EA07AC"/>
    <w:rsid w:val="00EA689F"/>
    <w:rsid w:val="00EC1434"/>
    <w:rsid w:val="00EC72B0"/>
    <w:rsid w:val="00EC77DB"/>
    <w:rsid w:val="00ED1AD3"/>
    <w:rsid w:val="00EE248C"/>
    <w:rsid w:val="00EF25D8"/>
    <w:rsid w:val="00EF33BE"/>
    <w:rsid w:val="00EF4F97"/>
    <w:rsid w:val="00F02165"/>
    <w:rsid w:val="00F126FC"/>
    <w:rsid w:val="00F12983"/>
    <w:rsid w:val="00F15359"/>
    <w:rsid w:val="00F17455"/>
    <w:rsid w:val="00F245A2"/>
    <w:rsid w:val="00F309CB"/>
    <w:rsid w:val="00F33EEE"/>
    <w:rsid w:val="00F44A0E"/>
    <w:rsid w:val="00F4501D"/>
    <w:rsid w:val="00F4763C"/>
    <w:rsid w:val="00F540BA"/>
    <w:rsid w:val="00F64069"/>
    <w:rsid w:val="00F64D6D"/>
    <w:rsid w:val="00F7710F"/>
    <w:rsid w:val="00F82EE1"/>
    <w:rsid w:val="00F91CB3"/>
    <w:rsid w:val="00F92F6B"/>
    <w:rsid w:val="00F93134"/>
    <w:rsid w:val="00FA415A"/>
    <w:rsid w:val="00FA471D"/>
    <w:rsid w:val="00FB078F"/>
    <w:rsid w:val="00FC3F00"/>
    <w:rsid w:val="00FE12E0"/>
    <w:rsid w:val="00FF1D71"/>
    <w:rsid w:val="00FF24A8"/>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paragraph" w:customStyle="1" w:styleId="paragraph">
    <w:name w:val="paragraph"/>
    <w:basedOn w:val="Normal"/>
    <w:rsid w:val="00E53509"/>
    <w:pPr>
      <w:spacing w:before="100" w:beforeAutospacing="1" w:after="100" w:afterAutospacing="1"/>
    </w:pPr>
    <w:rPr>
      <w:sz w:val="24"/>
    </w:rPr>
  </w:style>
  <w:style w:type="character" w:customStyle="1" w:styleId="normaltextrun">
    <w:name w:val="normaltextrun"/>
    <w:basedOn w:val="DefaultParagraphFont"/>
    <w:rsid w:val="00E53509"/>
  </w:style>
  <w:style w:type="character" w:customStyle="1" w:styleId="eop">
    <w:name w:val="eop"/>
    <w:basedOn w:val="DefaultParagraphFont"/>
    <w:rsid w:val="00E5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5C40BB6-6DD2-45F7-A26F-34467A7E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7C634-C3E1-4B7B-9279-482CE236C3AE}">
  <ds:schemaRefs>
    <ds:schemaRef ds:uri="Microsoft.SharePoint.Taxonomy.ContentTypeSync"/>
  </ds:schemaRefs>
</ds:datastoreItem>
</file>

<file path=customXml/itemProps4.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2025-07-01T17:48:00Z</dcterms:created>
  <dcterms:modified xsi:type="dcterms:W3CDTF">2025-07-01T17:48:00Z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ede21655-cb41-4b8b-9b49-20cf967f8a02</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2025-07-01T17:47:25Z</vt:lpwstr>
  </property>
  <property fmtid="{D5CDD505-2E9C-101B-9397-08002B2CF9AE}" pid="8" name="MSIP_Label_bd24d06a-0e85-4d57-b1e0-ba34b1abc708_SiteId">
    <vt:lpwstr>19caa9e9-04ff-43fa-885f-d77fac387903</vt:lpwstr>
  </property>
</Properties>
</file>