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0AF1ECD5">
      <w:pPr>
        <w:jc w:val="center"/>
        <w:rPr>
          <w:b/>
          <w:bCs/>
        </w:rPr>
      </w:pPr>
      <w:r w:rsidRPr="00B24919">
        <w:rPr>
          <w:b/>
          <w:bCs/>
        </w:rPr>
        <w:t xml:space="preserve">[Docket No. </w:t>
      </w:r>
      <w:r w:rsidRPr="00B24919" w:rsidR="00613169">
        <w:rPr>
          <w:b/>
          <w:bCs/>
        </w:rPr>
        <w:t>IC</w:t>
      </w:r>
      <w:r w:rsidRPr="00B24919" w:rsidR="00FB078F">
        <w:rPr>
          <w:b/>
          <w:bCs/>
        </w:rPr>
        <w:t>2</w:t>
      </w:r>
      <w:r w:rsidR="00EA07AC">
        <w:rPr>
          <w:b/>
          <w:bCs/>
        </w:rPr>
        <w:t>5</w:t>
      </w:r>
      <w:r w:rsidRPr="00B24919" w:rsidR="00613169">
        <w:rPr>
          <w:b/>
          <w:bCs/>
        </w:rPr>
        <w:t>-</w:t>
      </w:r>
      <w:r w:rsidR="0084181C">
        <w:rPr>
          <w:b/>
          <w:bCs/>
        </w:rPr>
        <w:t>1</w:t>
      </w:r>
      <w:r w:rsidR="00E80A20">
        <w:rPr>
          <w:b/>
          <w:bCs/>
        </w:rPr>
        <w:t>1</w:t>
      </w:r>
      <w:r w:rsidRPr="00B24919" w:rsidR="00613169">
        <w:rPr>
          <w:b/>
          <w:bCs/>
        </w:rPr>
        <w:t>-000</w:t>
      </w:r>
      <w:r w:rsidRPr="00B24919">
        <w:rPr>
          <w:b/>
          <w:bCs/>
        </w:rPr>
        <w:t>]</w:t>
      </w:r>
    </w:p>
    <w:p w:rsidR="00A2604E" w:rsidRPr="00B24919" w:rsidP="00A2604E" w14:paraId="4D16FE54" w14:textId="77777777">
      <w:pPr>
        <w:rPr>
          <w:b/>
          <w:bCs/>
        </w:rPr>
      </w:pPr>
    </w:p>
    <w:p w:rsidR="00A2604E" w:rsidRPr="00B24919" w:rsidP="00A2604E" w14:paraId="0627AE31" w14:textId="7CEFD012">
      <w:pPr>
        <w:jc w:val="center"/>
        <w:rPr>
          <w:b/>
          <w:bCs/>
        </w:rPr>
      </w:pPr>
      <w:r w:rsidRPr="00B24919">
        <w:rPr>
          <w:b/>
          <w:bCs/>
        </w:rPr>
        <w:t>COMMISSION INFORMATION COLLECTION ACTIVITIES (FERC-</w:t>
      </w:r>
      <w:r w:rsidRPr="00B24919" w:rsidR="00491543">
        <w:rPr>
          <w:b/>
          <w:bCs/>
        </w:rPr>
        <w:t>7</w:t>
      </w:r>
      <w:r w:rsidR="00E80A20">
        <w:rPr>
          <w:b/>
          <w:bCs/>
        </w:rPr>
        <w:t>25K</w:t>
      </w:r>
      <w:r w:rsidRPr="00B24919">
        <w:rPr>
          <w:b/>
          <w:bCs/>
        </w:rPr>
        <w:t>);</w:t>
      </w:r>
    </w:p>
    <w:p w:rsidR="00A2604E" w:rsidRPr="00B24919" w:rsidP="00A2604E" w14:paraId="3B5240D4" w14:textId="77777777">
      <w:pPr>
        <w:jc w:val="center"/>
        <w:rPr>
          <w:b/>
          <w:bCs/>
        </w:rPr>
      </w:pPr>
      <w:r w:rsidRPr="00B24919">
        <w:rPr>
          <w:b/>
          <w:bCs/>
        </w:rPr>
        <w:t>COMMENT REQUEST; EXTENSION</w:t>
      </w:r>
    </w:p>
    <w:p w:rsidR="00881405" w:rsidRPr="00B24919" w:rsidP="00A2604E" w14:paraId="5D8DD33D" w14:textId="77777777">
      <w:pPr>
        <w:jc w:val="center"/>
        <w:rPr>
          <w:b/>
          <w:bCs/>
        </w:rPr>
      </w:pPr>
    </w:p>
    <w:p w:rsidR="00E52385" w:rsidP="00082EC9" w14:paraId="0E069ADB" w14:textId="7FD5B206">
      <w:pPr>
        <w:jc w:val="center"/>
        <w:rPr>
          <w:b/>
          <w:bCs/>
        </w:rPr>
      </w:pPr>
      <w:r w:rsidRPr="00082EC9">
        <w:rPr>
          <w:b/>
          <w:bCs/>
        </w:rPr>
        <w:t>(April 18, 2025)</w:t>
      </w:r>
    </w:p>
    <w:p w:rsidR="00082EC9" w:rsidRPr="00082EC9" w:rsidP="00082EC9" w14:paraId="04B5CD29"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36775E05">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E73872" w:rsidR="00E73872">
        <w:t xml:space="preserve"> </w:t>
      </w:r>
      <w:bookmarkStart w:id="1" w:name="_Hlk194401715"/>
      <w:r w:rsidRPr="00E73872" w:rsidR="00E73872">
        <w:t>FERC-725K (Mandatory Reliability Standards for the SERC Region)</w:t>
      </w:r>
      <w:bookmarkEnd w:id="1"/>
      <w:r w:rsidR="00CC5692">
        <w:t>.</w:t>
      </w:r>
      <w:r w:rsidR="00EE248C">
        <w:t xml:space="preserve"> There are no changes to the reporting requirements with this information collection.</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0B2E5E" w:rsidP="000B2E5E" w14:paraId="59377417" w14:textId="1F1E3F5C">
      <w:pPr>
        <w:pStyle w:val="paragraph"/>
        <w:spacing w:before="0" w:beforeAutospacing="0" w:after="0" w:afterAutospacing="0" w:line="480" w:lineRule="auto"/>
        <w:textAlignment w:val="baseline"/>
        <w:rPr>
          <w:rFonts w:ascii="Segoe UI" w:hAnsi="Segoe UI" w:cs="Segoe UI"/>
          <w:sz w:val="18"/>
          <w:szCs w:val="18"/>
        </w:rPr>
      </w:pPr>
      <w:r>
        <w:rPr>
          <w:rStyle w:val="normaltextrun"/>
          <w:b/>
          <w:bCs/>
          <w:sz w:val="26"/>
          <w:szCs w:val="26"/>
        </w:rPr>
        <w:t>ADDRESSES:</w:t>
      </w:r>
      <w:r>
        <w:rPr>
          <w:rStyle w:val="normaltextrun"/>
          <w:sz w:val="26"/>
          <w:szCs w:val="26"/>
        </w:rPr>
        <w:t xml:space="preserve">  </w:t>
      </w:r>
      <w:r>
        <w:rPr>
          <w:rStyle w:val="normaltextrun"/>
        </w:rPr>
        <w:t xml:space="preserve">Please submit comments via email to </w:t>
      </w:r>
      <w:hyperlink r:id="rId10" w:tgtFrame="_blank" w:history="1">
        <w:r>
          <w:rPr>
            <w:rStyle w:val="normaltextrun"/>
            <w:color w:val="0000FF"/>
            <w:sz w:val="26"/>
            <w:szCs w:val="26"/>
          </w:rPr>
          <w:t>DataClearance@FERC.gov</w:t>
        </w:r>
      </w:hyperlink>
      <w:r>
        <w:rPr>
          <w:rStyle w:val="normaltextrun"/>
          <w:sz w:val="26"/>
          <w:szCs w:val="26"/>
        </w:rPr>
        <w:t xml:space="preserve">. You must </w:t>
      </w:r>
      <w:r>
        <w:rPr>
          <w:rStyle w:val="normaltextrun"/>
        </w:rPr>
        <w:t>specify the Docket No. (IC25-1</w:t>
      </w:r>
      <w:r w:rsidR="00A71D93">
        <w:rPr>
          <w:rStyle w:val="normaltextrun"/>
        </w:rPr>
        <w:t>1</w:t>
      </w:r>
      <w:r>
        <w:rPr>
          <w:rStyle w:val="normaltextrun"/>
        </w:rPr>
        <w:t>-000) and the FERC Information Collection</w:t>
      </w:r>
      <w:r>
        <w:rPr>
          <w:b/>
          <w:bCs/>
        </w:rPr>
        <w:t xml:space="preserve"> </w:t>
      </w:r>
      <w:r>
        <w:t>number (FERC-7</w:t>
      </w:r>
      <w:r w:rsidR="00A71D93">
        <w:t>25K</w:t>
      </w:r>
      <w:r>
        <w:t>) in your email. If you are unable to file electronically, comments may be filed by USPS mail or by hand (including courier) delivery:</w:t>
      </w:r>
      <w:r>
        <w:rPr>
          <w:rStyle w:val="eop"/>
          <w:sz w:val="26"/>
          <w:szCs w:val="26"/>
        </w:rPr>
        <w:t> </w:t>
      </w:r>
    </w:p>
    <w:p w:rsidR="000B2E5E" w:rsidP="000B2E5E" w14:paraId="3F6D69C0" w14:textId="77777777">
      <w:pPr>
        <w:pStyle w:val="paragraph"/>
        <w:numPr>
          <w:ilvl w:val="0"/>
          <w:numId w:val="8"/>
        </w:numPr>
        <w:spacing w:before="0" w:beforeAutospacing="0" w:after="0" w:afterAutospacing="0" w:line="480" w:lineRule="auto"/>
        <w:ind w:left="1080" w:firstLine="0"/>
        <w:textAlignment w:val="baseline"/>
        <w:rPr>
          <w:sz w:val="26"/>
          <w:szCs w:val="26"/>
        </w:rPr>
      </w:pPr>
      <w:r>
        <w:rPr>
          <w:rStyle w:val="normaltextrun"/>
          <w:sz w:val="26"/>
          <w:szCs w:val="26"/>
        </w:rPr>
        <w:t>Mail via U.S. Postal Service only, addressed to: Federal Energy Regulatory Commission, Secretary of the Commission, 888 First Street, N.E., Washington, DC 20426.</w:t>
      </w:r>
      <w:r>
        <w:rPr>
          <w:rStyle w:val="eop"/>
          <w:sz w:val="26"/>
          <w:szCs w:val="26"/>
        </w:rPr>
        <w:t> </w:t>
      </w:r>
    </w:p>
    <w:p w:rsidR="000B2E5E" w:rsidP="000B2E5E" w14:paraId="637ECAF5" w14:textId="77777777">
      <w:pPr>
        <w:pStyle w:val="paragraph"/>
        <w:numPr>
          <w:ilvl w:val="0"/>
          <w:numId w:val="9"/>
        </w:numPr>
        <w:spacing w:before="0" w:beforeAutospacing="0" w:after="0" w:afterAutospacing="0" w:line="480" w:lineRule="auto"/>
        <w:ind w:left="1080" w:firstLine="0"/>
        <w:textAlignment w:val="baseline"/>
        <w:rPr>
          <w:sz w:val="26"/>
          <w:szCs w:val="26"/>
        </w:rPr>
      </w:pPr>
      <w:r>
        <w:rPr>
          <w:rStyle w:val="normaltextrun"/>
          <w:sz w:val="26"/>
          <w:szCs w:val="26"/>
        </w:rPr>
        <w:t>Hand (including courier) delivery to: Federal Energy Regulatory Commission, 12225 Wilkins Avenue, Rockville, MD 20852.</w:t>
      </w:r>
      <w:r>
        <w:rPr>
          <w:rStyle w:val="eop"/>
          <w:sz w:val="26"/>
          <w:szCs w:val="26"/>
        </w:rPr>
        <w:t> </w:t>
      </w:r>
    </w:p>
    <w:p w:rsidR="000B2E5E" w:rsidP="000B2E5E" w14:paraId="123CFB8A" w14:textId="77777777">
      <w:pPr>
        <w:pStyle w:val="paragraph"/>
        <w:spacing w:before="0" w:beforeAutospacing="0" w:after="0" w:afterAutospacing="0" w:line="480" w:lineRule="auto"/>
        <w:textAlignment w:val="baseline"/>
        <w:rPr>
          <w:sz w:val="26"/>
          <w:szCs w:val="26"/>
        </w:rPr>
      </w:pPr>
      <w:r>
        <w:rPr>
          <w:rStyle w:val="normaltextrun"/>
          <w:i/>
          <w:iCs/>
          <w:sz w:val="26"/>
          <w:szCs w:val="26"/>
        </w:rPr>
        <w:t>Docket:</w:t>
      </w:r>
      <w:r>
        <w:rPr>
          <w:rStyle w:val="normaltextrun"/>
          <w:sz w:val="26"/>
          <w:szCs w:val="26"/>
        </w:rPr>
        <w:t xml:space="preserve"> </w:t>
      </w:r>
      <w:r>
        <w:rPr>
          <w:rStyle w:val="normaltextrun"/>
        </w:rPr>
        <w:t xml:space="preserve">To view comments and issuances in this docket, please visit </w:t>
      </w:r>
      <w:hyperlink r:id="rId11" w:tgtFrame="_blank" w:history="1">
        <w:r>
          <w:rPr>
            <w:rStyle w:val="normaltextrun"/>
            <w:color w:val="0000FF"/>
            <w:sz w:val="26"/>
            <w:szCs w:val="26"/>
          </w:rPr>
          <w:t>https://elibrary.ferc.gov/eLibrary/search</w:t>
        </w:r>
      </w:hyperlink>
      <w:r>
        <w:rPr>
          <w:rStyle w:val="normaltextrun"/>
          <w:sz w:val="26"/>
          <w:szCs w:val="26"/>
        </w:rPr>
        <w:t xml:space="preserve">. Once there, you can also sign-up for </w:t>
      </w:r>
      <w:r>
        <w:rPr>
          <w:rStyle w:val="normaltextrun"/>
        </w:rPr>
        <w:t>automatic notification of activity in this docket.</w:t>
      </w:r>
      <w:r>
        <w:rPr>
          <w:rStyle w:val="eop"/>
          <w:sz w:val="26"/>
          <w:szCs w:val="26"/>
        </w:rPr>
        <w:t> </w:t>
      </w:r>
    </w:p>
    <w:p w:rsidR="000B2E5E" w:rsidP="00B8073F" w14:paraId="1F3413DA" w14:textId="786FCCD2">
      <w:pPr>
        <w:pStyle w:val="paragraph"/>
        <w:rPr>
          <w:b/>
        </w:rPr>
      </w:pPr>
      <w:r>
        <w:rPr>
          <w:rStyle w:val="normaltextrun"/>
          <w:b/>
          <w:bCs/>
          <w:sz w:val="26"/>
          <w:szCs w:val="26"/>
        </w:rPr>
        <w:t>FOR FURTHER INFORMATION:</w:t>
      </w:r>
      <w:r>
        <w:rPr>
          <w:rStyle w:val="normaltextrun"/>
          <w:sz w:val="26"/>
          <w:szCs w:val="26"/>
        </w:rPr>
        <w:t xml:space="preserve">  </w:t>
      </w:r>
      <w:r>
        <w:rPr>
          <w:rStyle w:val="normaltextrun"/>
        </w:rPr>
        <w:t xml:space="preserve">The FERC Information Collection team may be reached by e-mail at </w:t>
      </w:r>
      <w:hyperlink r:id="rId10" w:tgtFrame="_blank" w:history="1">
        <w:r>
          <w:rPr>
            <w:rStyle w:val="normaltextrun"/>
            <w:color w:val="0000FF"/>
            <w:sz w:val="26"/>
            <w:szCs w:val="26"/>
          </w:rPr>
          <w:t>DataClearance@FERC.gov</w:t>
        </w:r>
      </w:hyperlink>
      <w:r>
        <w:rPr>
          <w:rStyle w:val="normaltextrun"/>
          <w:sz w:val="26"/>
          <w:szCs w:val="26"/>
        </w:rPr>
        <w:t>.</w:t>
      </w:r>
      <w:r>
        <w:rPr>
          <w:rStyle w:val="eop"/>
          <w:sz w:val="26"/>
          <w:szCs w:val="26"/>
        </w:rPr>
        <w:t> </w:t>
      </w:r>
    </w:p>
    <w:p w:rsidR="008212DA" w:rsidRPr="008212DA" w:rsidP="008212DA" w14:paraId="4891BEC5" w14:textId="3BB80F69">
      <w:pPr>
        <w:spacing w:line="480" w:lineRule="auto"/>
      </w:pPr>
      <w:r w:rsidRPr="008212DA">
        <w:rPr>
          <w:b/>
        </w:rPr>
        <w:t>SUPPLEMENTARY INFORMATION:</w:t>
      </w:r>
      <w:r w:rsidRPr="008212DA">
        <w:t xml:space="preserve">  </w:t>
      </w:r>
    </w:p>
    <w:p w:rsidR="00C0408A" w:rsidRPr="00C0408A" w:rsidP="00C0408A" w14:paraId="4A225339" w14:textId="53577175">
      <w:pPr>
        <w:spacing w:line="480" w:lineRule="auto"/>
        <w:rPr>
          <w:szCs w:val="26"/>
        </w:rPr>
      </w:pPr>
      <w:bookmarkStart w:id="2" w:name="_Hlk173308440"/>
      <w:r w:rsidRPr="00C0408A">
        <w:rPr>
          <w:i/>
          <w:szCs w:val="26"/>
        </w:rPr>
        <w:t xml:space="preserve">Title: </w:t>
      </w:r>
      <w:r w:rsidRPr="00E73872" w:rsidR="00E73872">
        <w:rPr>
          <w:szCs w:val="26"/>
        </w:rPr>
        <w:t>FERC-725K (Mandatory Reliability Standards for the SERC Region)</w:t>
      </w:r>
    </w:p>
    <w:bookmarkEnd w:id="2"/>
    <w:p w:rsidR="00C0408A" w:rsidRPr="00C0408A" w:rsidP="00C0408A" w14:paraId="21DF86AE" w14:textId="652A5DD8">
      <w:pPr>
        <w:spacing w:line="480" w:lineRule="auto"/>
        <w:rPr>
          <w:szCs w:val="26"/>
        </w:rPr>
      </w:pPr>
      <w:r w:rsidRPr="00C0408A">
        <w:rPr>
          <w:i/>
          <w:szCs w:val="26"/>
        </w:rPr>
        <w:t>OMB Control No.:</w:t>
      </w:r>
      <w:r w:rsidRPr="00C0408A">
        <w:rPr>
          <w:szCs w:val="26"/>
        </w:rPr>
        <w:t xml:space="preserve"> 1902-0</w:t>
      </w:r>
      <w:r w:rsidR="00E73872">
        <w:rPr>
          <w:szCs w:val="26"/>
        </w:rPr>
        <w:t>260</w:t>
      </w:r>
    </w:p>
    <w:p w:rsidR="00C0408A" w:rsidRPr="00C0408A" w:rsidP="00C0408A" w14:paraId="173E73F1" w14:textId="21CB5157">
      <w:pPr>
        <w:spacing w:line="480" w:lineRule="auto"/>
        <w:rPr>
          <w:szCs w:val="26"/>
        </w:rPr>
      </w:pPr>
      <w:r w:rsidRPr="00C0408A">
        <w:rPr>
          <w:i/>
          <w:szCs w:val="26"/>
        </w:rPr>
        <w:t>Type of Request:</w:t>
      </w:r>
      <w:r w:rsidRPr="00C0408A">
        <w:rPr>
          <w:szCs w:val="26"/>
        </w:rPr>
        <w:t xml:space="preserve"> Three-year extension of the FERC-7</w:t>
      </w:r>
      <w:r w:rsidR="00E73872">
        <w:rPr>
          <w:szCs w:val="26"/>
        </w:rPr>
        <w:t>25K</w:t>
      </w:r>
      <w:r w:rsidRPr="00C0408A">
        <w:rPr>
          <w:szCs w:val="26"/>
        </w:rPr>
        <w:t xml:space="preserve"> information collection requirements with no changes to the current reporting requirements. </w:t>
      </w:r>
    </w:p>
    <w:p w:rsidR="00362A2C" w:rsidRPr="00362A2C" w:rsidP="00362A2C" w14:paraId="29FD2CB2" w14:textId="77777777">
      <w:pPr>
        <w:spacing w:line="480" w:lineRule="auto"/>
      </w:pPr>
      <w:r w:rsidRPr="00E73872">
        <w:rPr>
          <w:rFonts w:eastAsia="Calibri"/>
          <w:i/>
          <w:iCs/>
          <w:szCs w:val="26"/>
        </w:rPr>
        <w:t>Abstract:</w:t>
      </w:r>
      <w:r>
        <w:rPr>
          <w:rFonts w:eastAsia="Calibri"/>
          <w:szCs w:val="26"/>
        </w:rPr>
        <w:t xml:space="preserve"> </w:t>
      </w:r>
      <w:r w:rsidRPr="00362A2C">
        <w:t xml:space="preserve">Section 215 of the Federal Power Act (FPA) requires a Commission-certified Electric Reliability Organization (ERO) to develop mandatory and enforceable Reliability Standards, which are subject to Commission review and approval.  Once approved, the Reliability Standards may be enforced by NERC, subject to Commission oversight, or by the Commission independently.   </w:t>
      </w:r>
    </w:p>
    <w:p w:rsidR="00362A2C" w:rsidRPr="00362A2C" w:rsidP="00362A2C" w14:paraId="70A86EB8" w14:textId="77777777">
      <w:pPr>
        <w:spacing w:line="480" w:lineRule="auto"/>
      </w:pPr>
      <w:r w:rsidRPr="00362A2C">
        <w:t>Reliability Standards that NERC proposes to the Commission may include Reliability Standards that are proposed by a Regional Entity to be effective in that region.   In Order No. 672, the Commission noted that:</w:t>
      </w:r>
    </w:p>
    <w:p w:rsidR="00362A2C" w:rsidRPr="00362A2C" w:rsidP="00362A2C" w14:paraId="08AC82AE" w14:textId="77777777">
      <w:pPr>
        <w:spacing w:line="480" w:lineRule="auto"/>
        <w:ind w:left="720"/>
      </w:pPr>
      <w:r w:rsidRPr="00362A2C">
        <w:t xml:space="preserve">As a general matter, we will accept the following two types of regional differences, provided they are otherwise just, reasonable, not unduly </w:t>
      </w:r>
      <w:r w:rsidRPr="00362A2C">
        <w:t>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00362A2C" w:rsidRPr="00362A2C" w:rsidP="00362A2C" w14:paraId="5D1E0E2C" w14:textId="77777777">
      <w:pPr>
        <w:spacing w:line="480" w:lineRule="auto"/>
      </w:pPr>
      <w:r w:rsidRPr="00362A2C">
        <w:t xml:space="preserve">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   In turn, the Commission must give “due weight” to the technical expertise of NERC and of a Regional Entity organized on an interconnection-wide basis. </w:t>
      </w:r>
    </w:p>
    <w:p w:rsidR="00964434" w:rsidP="00362A2C" w14:paraId="6A58DA45" w14:textId="77777777">
      <w:pPr>
        <w:spacing w:line="480" w:lineRule="auto"/>
        <w:ind w:firstLine="720"/>
      </w:pPr>
      <w:r w:rsidRPr="00362A2C">
        <w:t>On April 19, 2007, the Commission accepted delegation agreements between NERC and each of the eight Regional Entities.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geographically divided into five subregions that are identified as Southeastern, Central, VACAR, Delta, and Gateway.</w:t>
      </w:r>
      <w:r w:rsidR="006972AD">
        <w:t xml:space="preserve"> </w:t>
      </w:r>
    </w:p>
    <w:p w:rsidR="00362A2C" w:rsidRPr="00362A2C" w:rsidP="00362A2C" w14:paraId="65129A54" w14:textId="3BD91202">
      <w:pPr>
        <w:spacing w:line="480" w:lineRule="auto"/>
        <w:ind w:firstLine="720"/>
      </w:pPr>
      <w:r>
        <w:t xml:space="preserve">For this renewal, there is only one SERC </w:t>
      </w:r>
      <w:r w:rsidR="00153FFB">
        <w:t>region Reliability Standard, PRC-006-SERC-3 (</w:t>
      </w:r>
      <w:r w:rsidR="00217688">
        <w:t>Automatic Underfrequency Load Shedding Requirements)</w:t>
      </w:r>
      <w:r w:rsidR="00BB6C1D">
        <w:t xml:space="preserve">.  PRC-006-SERC-3 is applicable to </w:t>
      </w:r>
      <w:r w:rsidR="006440B1">
        <w:t xml:space="preserve">these </w:t>
      </w:r>
      <w:r w:rsidR="000B03CA">
        <w:t xml:space="preserve">SERC </w:t>
      </w:r>
      <w:r w:rsidR="006440B1">
        <w:t>entities</w:t>
      </w:r>
      <w:r w:rsidR="000B03CA">
        <w:t>, 27</w:t>
      </w:r>
      <w:r w:rsidR="00B24FC4">
        <w:t xml:space="preserve"> </w:t>
      </w:r>
      <w:r w:rsidR="00B825A5">
        <w:t>p</w:t>
      </w:r>
      <w:r w:rsidR="00BB6C1D">
        <w:t xml:space="preserve">lanning </w:t>
      </w:r>
      <w:r w:rsidR="00B825A5">
        <w:t>c</w:t>
      </w:r>
      <w:r w:rsidR="00BB6C1D">
        <w:t>oordinators (PC)</w:t>
      </w:r>
      <w:r w:rsidR="00B825A5">
        <w:t xml:space="preserve">, </w:t>
      </w:r>
      <w:r w:rsidR="000B03CA">
        <w:t xml:space="preserve">212 </w:t>
      </w:r>
      <w:r w:rsidR="006F77B3">
        <w:t xml:space="preserve">generator owners (GO), and UFLS entities made up </w:t>
      </w:r>
      <w:r w:rsidR="00892DC6">
        <w:t xml:space="preserve">70 </w:t>
      </w:r>
      <w:r w:rsidR="006F77B3">
        <w:t xml:space="preserve">transmission owners (TO) and </w:t>
      </w:r>
      <w:r w:rsidR="00892DC6">
        <w:t xml:space="preserve">95 </w:t>
      </w:r>
      <w:r w:rsidR="006440B1">
        <w:t>distribution providers</w:t>
      </w:r>
      <w:r w:rsidR="00892DC6">
        <w:t xml:space="preserve">.  </w:t>
      </w:r>
    </w:p>
    <w:p w:rsidR="00362A2C" w:rsidRPr="00362A2C" w:rsidP="00362A2C" w14:paraId="15B77B62" w14:textId="77777777">
      <w:pPr>
        <w:spacing w:line="480" w:lineRule="auto"/>
      </w:pPr>
      <w:r w:rsidRPr="00362A2C">
        <w:rPr>
          <w:i/>
        </w:rPr>
        <w:t xml:space="preserve">Type of Respondents: </w:t>
      </w:r>
      <w:r w:rsidRPr="00362A2C">
        <w:t>Entities registered with the North American Electric Reliability Corporation (within the SERC region).</w:t>
      </w:r>
    </w:p>
    <w:p w:rsidR="00362A2C" w:rsidRPr="00362A2C" w:rsidP="00362A2C" w14:paraId="3B052389" w14:textId="77777777">
      <w:pPr>
        <w:spacing w:line="480" w:lineRule="auto"/>
      </w:pPr>
      <w:r w:rsidRPr="00362A2C">
        <w:rPr>
          <w:i/>
        </w:rPr>
        <w:t>Estimate of Annual Burden</w:t>
      </w:r>
      <w:r>
        <w:rPr>
          <w:b/>
          <w:i/>
          <w:szCs w:val="26"/>
          <w:vertAlign w:val="superscript"/>
        </w:rPr>
        <w:footnoteReference w:id="3"/>
      </w:r>
      <w:r w:rsidRPr="00362A2C">
        <w:rPr>
          <w:i/>
        </w:rPr>
        <w:t xml:space="preserve">: </w:t>
      </w: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709"/>
        <w:gridCol w:w="1380"/>
        <w:gridCol w:w="1412"/>
        <w:gridCol w:w="1352"/>
        <w:gridCol w:w="1619"/>
        <w:gridCol w:w="1350"/>
      </w:tblGrid>
      <w:tr w14:paraId="2A2AE31A" w14:textId="77777777" w:rsidTr="00B8073F">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362A2C" w:rsidRPr="00824CBD" w:rsidP="00362A2C" w14:paraId="4F311CCE" w14:textId="77777777">
            <w:pPr>
              <w:jc w:val="center"/>
              <w:rPr>
                <w:rFonts w:eastAsia="Calibri"/>
                <w:b/>
                <w:szCs w:val="26"/>
              </w:rPr>
            </w:pPr>
            <w:r w:rsidRPr="00824CBD">
              <w:rPr>
                <w:rFonts w:eastAsia="Calibri"/>
                <w:b/>
                <w:szCs w:val="26"/>
              </w:rPr>
              <w:t>FERC-725K: Mandatory Reliability Standard for the SERC Region</w:t>
            </w:r>
          </w:p>
        </w:tc>
      </w:tr>
      <w:tr w14:paraId="1F720C2A" w14:textId="77777777" w:rsidTr="00B8073F">
        <w:tblPrEx>
          <w:tblW w:w="5426" w:type="pct"/>
          <w:tblInd w:w="-72" w:type="dxa"/>
          <w:tblLayout w:type="fixed"/>
          <w:tblLook w:val="01E0"/>
        </w:tblPrEx>
        <w:trPr>
          <w:cantSplit/>
        </w:trPr>
        <w:tc>
          <w:tcPr>
            <w:tcW w:w="653" w:type="pct"/>
            <w:shd w:val="clear" w:color="auto" w:fill="D9D9D9"/>
          </w:tcPr>
          <w:p w:rsidR="00362A2C" w:rsidRPr="00824CBD" w:rsidP="00362A2C" w14:paraId="4A57353C" w14:textId="73DAE8C4">
            <w:pPr>
              <w:jc w:val="center"/>
              <w:rPr>
                <w:rFonts w:eastAsia="Calibri"/>
                <w:b/>
                <w:szCs w:val="26"/>
              </w:rPr>
            </w:pPr>
            <w:r>
              <w:rPr>
                <w:rFonts w:eastAsia="Calibri"/>
                <w:b/>
                <w:szCs w:val="26"/>
              </w:rPr>
              <w:t xml:space="preserve"> </w:t>
            </w:r>
          </w:p>
        </w:tc>
        <w:tc>
          <w:tcPr>
            <w:tcW w:w="842" w:type="pct"/>
            <w:shd w:val="clear" w:color="auto" w:fill="D9D9D9"/>
            <w:vAlign w:val="bottom"/>
          </w:tcPr>
          <w:p w:rsidR="00362A2C" w:rsidRPr="00824CBD" w:rsidP="00362A2C" w14:paraId="0EA22201" w14:textId="3F6848D5">
            <w:pPr>
              <w:jc w:val="center"/>
              <w:rPr>
                <w:rFonts w:eastAsia="Calibri"/>
                <w:b/>
                <w:szCs w:val="26"/>
              </w:rPr>
            </w:pPr>
            <w:r w:rsidRPr="00824CBD">
              <w:rPr>
                <w:rFonts w:eastAsia="Calibri"/>
                <w:b/>
                <w:szCs w:val="26"/>
              </w:rPr>
              <w:t>Number of Respondents</w:t>
            </w:r>
            <w:r>
              <w:rPr>
                <w:rStyle w:val="FootnoteReference"/>
                <w:rFonts w:eastAsia="Calibri"/>
                <w:b w:val="0"/>
              </w:rPr>
              <w:footnoteReference w:id="4"/>
            </w:r>
            <w:r w:rsidRPr="00824CBD">
              <w:rPr>
                <w:rFonts w:eastAsia="Calibri"/>
                <w:b/>
                <w:szCs w:val="26"/>
              </w:rPr>
              <w:br/>
              <w:t>(1)</w:t>
            </w:r>
          </w:p>
        </w:tc>
        <w:tc>
          <w:tcPr>
            <w:tcW w:w="680" w:type="pct"/>
            <w:shd w:val="clear" w:color="auto" w:fill="D9D9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(1)*(2)=(3)</w:t>
            </w:r>
          </w:p>
        </w:tc>
        <w:tc>
          <w:tcPr>
            <w:tcW w:w="666" w:type="pct"/>
            <w:shd w:val="clear" w:color="auto" w:fill="D9D9D9"/>
            <w:vAlign w:val="bottom"/>
          </w:tcPr>
          <w:p w:rsidR="00362A2C" w:rsidRPr="00824CBD" w:rsidP="00362A2C" w14:paraId="3502E9A4"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5"/>
            </w:r>
          </w:p>
          <w:p w:rsidR="00362A2C" w:rsidRPr="00824CBD" w:rsidP="00362A2C" w14:paraId="4BC9F6FE" w14:textId="77777777">
            <w:pPr>
              <w:jc w:val="center"/>
              <w:rPr>
                <w:rFonts w:eastAsia="Calibri"/>
                <w:b/>
                <w:szCs w:val="26"/>
              </w:rPr>
            </w:pPr>
            <w:r w:rsidRPr="00824CBD">
              <w:rPr>
                <w:rFonts w:eastAsia="Calibri"/>
                <w:b/>
                <w:szCs w:val="26"/>
              </w:rPr>
              <w:t>(4)</w:t>
            </w:r>
          </w:p>
        </w:tc>
        <w:tc>
          <w:tcPr>
            <w:tcW w:w="798" w:type="pct"/>
            <w:shd w:val="clear" w:color="auto" w:fill="D9D9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(3)*(4)=(5)</w:t>
            </w:r>
          </w:p>
        </w:tc>
        <w:tc>
          <w:tcPr>
            <w:tcW w:w="665" w:type="pct"/>
            <w:shd w:val="clear" w:color="auto" w:fill="D9D9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(5)÷(1)</w:t>
            </w:r>
          </w:p>
        </w:tc>
      </w:tr>
      <w:tr w14:paraId="4F0363D2" w14:textId="77777777" w:rsidTr="00B8073F">
        <w:tblPrEx>
          <w:tblW w:w="5426" w:type="pct"/>
          <w:tblInd w:w="-72" w:type="dxa"/>
          <w:tblLayout w:type="fixed"/>
          <w:tblLook w:val="01E0"/>
        </w:tblPrEx>
        <w:trPr>
          <w:cantSplit/>
        </w:trPr>
        <w:tc>
          <w:tcPr>
            <w:tcW w:w="653" w:type="pct"/>
            <w:vMerge w:val="restart"/>
          </w:tcPr>
          <w:p w:rsidR="006776C9" w:rsidRPr="00A71D93" w:rsidP="00362A2C" w14:paraId="75497B53" w14:textId="008839B4">
            <w:pPr>
              <w:rPr>
                <w:rFonts w:eastAsia="Calibri"/>
                <w:szCs w:val="26"/>
              </w:rPr>
            </w:pPr>
            <w:r w:rsidRPr="00A71D93">
              <w:rPr>
                <w:rFonts w:eastAsia="Calibri"/>
                <w:szCs w:val="26"/>
              </w:rPr>
              <w:t xml:space="preserve">Annual Review and </w:t>
            </w:r>
            <w:r w:rsidRPr="00A71D93">
              <w:rPr>
                <w:rFonts w:eastAsia="Calibri"/>
                <w:szCs w:val="26"/>
              </w:rPr>
              <w:t>Record Retention</w:t>
            </w:r>
          </w:p>
        </w:tc>
        <w:tc>
          <w:tcPr>
            <w:tcW w:w="842" w:type="pct"/>
          </w:tcPr>
          <w:p w:rsidR="006776C9" w:rsidRPr="00A71D93" w:rsidP="00362A2C" w14:paraId="1F0D17B7" w14:textId="19E13A9F">
            <w:pPr>
              <w:jc w:val="right"/>
              <w:rPr>
                <w:rFonts w:eastAsia="Calibri"/>
                <w:szCs w:val="26"/>
              </w:rPr>
            </w:pPr>
            <w:r w:rsidRPr="00A71D93">
              <w:rPr>
                <w:rFonts w:eastAsia="Calibri"/>
                <w:szCs w:val="26"/>
              </w:rPr>
              <w:t>27</w:t>
            </w:r>
            <w:r w:rsidRPr="00A71D93" w:rsidR="002E2C5F">
              <w:rPr>
                <w:rFonts w:eastAsia="Calibri"/>
                <w:szCs w:val="26"/>
              </w:rPr>
              <w:t xml:space="preserve"> </w:t>
            </w:r>
            <w:r w:rsidRPr="00A71D93">
              <w:rPr>
                <w:rFonts w:eastAsia="Calibri"/>
                <w:szCs w:val="26"/>
              </w:rPr>
              <w:t>(PC)</w:t>
            </w:r>
          </w:p>
          <w:p w:rsidR="006776C9" w:rsidRPr="00A71D93" w:rsidP="00362A2C" w14:paraId="545384FF" w14:textId="77777777">
            <w:pPr>
              <w:jc w:val="right"/>
              <w:rPr>
                <w:rFonts w:eastAsia="Calibri"/>
                <w:szCs w:val="26"/>
              </w:rPr>
            </w:pPr>
          </w:p>
        </w:tc>
        <w:tc>
          <w:tcPr>
            <w:tcW w:w="680" w:type="pct"/>
          </w:tcPr>
          <w:p w:rsidR="006776C9" w:rsidRPr="00A71D93" w:rsidP="00362A2C" w14:paraId="23220959" w14:textId="77777777">
            <w:pPr>
              <w:jc w:val="right"/>
              <w:rPr>
                <w:rFonts w:eastAsia="Calibri"/>
                <w:szCs w:val="26"/>
              </w:rPr>
            </w:pPr>
            <w:r w:rsidRPr="00A71D93">
              <w:rPr>
                <w:rFonts w:eastAsia="Calibri"/>
                <w:szCs w:val="26"/>
              </w:rPr>
              <w:t>1</w:t>
            </w:r>
          </w:p>
        </w:tc>
        <w:tc>
          <w:tcPr>
            <w:tcW w:w="696" w:type="pct"/>
          </w:tcPr>
          <w:p w:rsidR="006776C9" w:rsidRPr="00A71D93" w:rsidP="00362A2C" w14:paraId="6BCD6595" w14:textId="7092A526">
            <w:pPr>
              <w:jc w:val="right"/>
              <w:rPr>
                <w:rFonts w:eastAsia="Calibri"/>
                <w:szCs w:val="26"/>
              </w:rPr>
            </w:pPr>
            <w:r w:rsidRPr="00A71D93">
              <w:rPr>
                <w:rFonts w:eastAsia="Calibri"/>
                <w:szCs w:val="26"/>
              </w:rPr>
              <w:t>27</w:t>
            </w:r>
          </w:p>
        </w:tc>
        <w:tc>
          <w:tcPr>
            <w:tcW w:w="666" w:type="pct"/>
          </w:tcPr>
          <w:p w:rsidR="006776C9" w:rsidRPr="00A71D93" w:rsidP="00362A2C" w14:paraId="41BF058E" w14:textId="44D69645">
            <w:pPr>
              <w:jc w:val="right"/>
              <w:rPr>
                <w:rFonts w:eastAsia="Calibri"/>
                <w:szCs w:val="26"/>
              </w:rPr>
            </w:pPr>
            <w:r w:rsidRPr="00A71D93">
              <w:rPr>
                <w:rFonts w:eastAsia="Calibri"/>
                <w:szCs w:val="26"/>
              </w:rPr>
              <w:t>24 hrs.</w:t>
            </w:r>
          </w:p>
          <w:p w:rsidR="006776C9" w:rsidRPr="00A71D93" w:rsidP="00362A2C" w14:paraId="5844FF50" w14:textId="774FAB75">
            <w:pPr>
              <w:jc w:val="right"/>
              <w:rPr>
                <w:rFonts w:eastAsia="Calibri"/>
                <w:szCs w:val="26"/>
              </w:rPr>
            </w:pPr>
            <w:r w:rsidRPr="00A71D93">
              <w:rPr>
                <w:rFonts w:eastAsia="Calibri"/>
                <w:szCs w:val="26"/>
              </w:rPr>
              <w:t>$1,696.08</w:t>
            </w:r>
          </w:p>
        </w:tc>
        <w:tc>
          <w:tcPr>
            <w:tcW w:w="798" w:type="pct"/>
          </w:tcPr>
          <w:p w:rsidR="006776C9" w:rsidRPr="00A71D93" w:rsidP="00E11870" w14:paraId="6A037B06" w14:textId="0DF72210">
            <w:pPr>
              <w:jc w:val="right"/>
              <w:rPr>
                <w:rFonts w:eastAsia="Calibri"/>
                <w:szCs w:val="26"/>
              </w:rPr>
            </w:pPr>
            <w:r w:rsidRPr="00B8073F">
              <w:rPr>
                <w:rFonts w:eastAsia="Calibri"/>
                <w:szCs w:val="26"/>
              </w:rPr>
              <w:t>648</w:t>
            </w:r>
            <w:r w:rsidRPr="00B8073F" w:rsidR="00A71D93">
              <w:rPr>
                <w:rFonts w:eastAsia="Calibri"/>
                <w:szCs w:val="26"/>
              </w:rPr>
              <w:t xml:space="preserve"> </w:t>
            </w:r>
            <w:r w:rsidRPr="00B8073F" w:rsidR="00F75057">
              <w:rPr>
                <w:rFonts w:eastAsia="Calibri"/>
                <w:szCs w:val="26"/>
              </w:rPr>
              <w:t>hrs.</w:t>
            </w:r>
          </w:p>
          <w:p w:rsidR="006776C9" w:rsidRPr="00A71D93" w:rsidP="00362A2C" w14:paraId="229382A7" w14:textId="59A20BF9">
            <w:pPr>
              <w:jc w:val="right"/>
              <w:rPr>
                <w:rFonts w:eastAsia="Calibri"/>
                <w:szCs w:val="26"/>
              </w:rPr>
            </w:pPr>
            <w:r w:rsidRPr="00A71D93">
              <w:rPr>
                <w:rFonts w:eastAsia="Calibri"/>
                <w:szCs w:val="26"/>
              </w:rPr>
              <w:t>$</w:t>
            </w:r>
            <w:r w:rsidRPr="00B8073F" w:rsidR="00C67156">
              <w:rPr>
                <w:rFonts w:eastAsia="Calibri"/>
                <w:szCs w:val="26"/>
              </w:rPr>
              <w:t xml:space="preserve">45,794.16 </w:t>
            </w:r>
            <w:r w:rsidRPr="00A71D93" w:rsidR="00B24FC4">
              <w:rPr>
                <w:rFonts w:eastAsia="Calibri"/>
                <w:szCs w:val="26"/>
              </w:rPr>
              <w:t xml:space="preserve"> </w:t>
            </w:r>
          </w:p>
        </w:tc>
        <w:tc>
          <w:tcPr>
            <w:tcW w:w="665" w:type="pct"/>
          </w:tcPr>
          <w:p w:rsidR="006776C9" w:rsidRPr="00A71D93" w:rsidP="00362A2C" w14:paraId="1008029C" w14:textId="38B239A2">
            <w:pPr>
              <w:jc w:val="right"/>
              <w:rPr>
                <w:rFonts w:eastAsia="Calibri"/>
                <w:szCs w:val="26"/>
              </w:rPr>
            </w:pPr>
            <w:r w:rsidRPr="00A71D93">
              <w:rPr>
                <w:rFonts w:eastAsia="Calibri"/>
                <w:szCs w:val="26"/>
              </w:rPr>
              <w:t>$</w:t>
            </w:r>
            <w:r w:rsidRPr="00A71D93" w:rsidR="005F4958">
              <w:rPr>
                <w:rFonts w:eastAsia="Calibri"/>
                <w:szCs w:val="26"/>
              </w:rPr>
              <w:t>1,696.08</w:t>
            </w:r>
          </w:p>
          <w:p w:rsidR="006776C9" w:rsidRPr="00A71D93" w:rsidP="00362A2C" w14:paraId="1E58C828" w14:textId="77777777">
            <w:pPr>
              <w:jc w:val="right"/>
              <w:rPr>
                <w:rFonts w:eastAsia="Calibri"/>
                <w:szCs w:val="26"/>
              </w:rPr>
            </w:pPr>
          </w:p>
        </w:tc>
      </w:tr>
      <w:tr w14:paraId="335A0776" w14:textId="77777777" w:rsidTr="00B8073F">
        <w:tblPrEx>
          <w:tblW w:w="5426" w:type="pct"/>
          <w:tblInd w:w="-72" w:type="dxa"/>
          <w:tblLayout w:type="fixed"/>
          <w:tblLook w:val="01E0"/>
        </w:tblPrEx>
        <w:trPr>
          <w:cantSplit/>
        </w:trPr>
        <w:tc>
          <w:tcPr>
            <w:tcW w:w="653" w:type="pct"/>
            <w:vMerge/>
          </w:tcPr>
          <w:p w:rsidR="006776C9" w:rsidRPr="00A71D93" w:rsidP="00362A2C" w14:paraId="21F18527" w14:textId="2949DEDA">
            <w:pPr>
              <w:rPr>
                <w:rFonts w:eastAsia="Calibri"/>
                <w:szCs w:val="26"/>
              </w:rPr>
            </w:pPr>
          </w:p>
        </w:tc>
        <w:tc>
          <w:tcPr>
            <w:tcW w:w="842" w:type="pct"/>
          </w:tcPr>
          <w:p w:rsidR="006776C9" w:rsidRPr="00A71D93" w:rsidP="00362A2C" w14:paraId="498DED47" w14:textId="2CDD0030">
            <w:pPr>
              <w:jc w:val="right"/>
              <w:rPr>
                <w:rFonts w:eastAsia="Calibri"/>
                <w:szCs w:val="26"/>
              </w:rPr>
            </w:pPr>
            <w:r w:rsidRPr="00A71D93">
              <w:rPr>
                <w:rFonts w:eastAsia="Calibri"/>
                <w:szCs w:val="26"/>
              </w:rPr>
              <w:t>212</w:t>
            </w:r>
            <w:r w:rsidRPr="00A71D93" w:rsidR="002E2C5F">
              <w:rPr>
                <w:rFonts w:eastAsia="Calibri"/>
                <w:szCs w:val="26"/>
              </w:rPr>
              <w:t xml:space="preserve"> </w:t>
            </w:r>
            <w:r w:rsidRPr="00A71D93">
              <w:rPr>
                <w:rFonts w:eastAsia="Calibri"/>
                <w:szCs w:val="26"/>
              </w:rPr>
              <w:t>(GO)</w:t>
            </w:r>
          </w:p>
        </w:tc>
        <w:tc>
          <w:tcPr>
            <w:tcW w:w="680" w:type="pct"/>
          </w:tcPr>
          <w:p w:rsidR="006776C9" w:rsidRPr="00A71D93" w:rsidP="00362A2C" w14:paraId="64D49AE7" w14:textId="77777777">
            <w:pPr>
              <w:jc w:val="right"/>
              <w:rPr>
                <w:rFonts w:eastAsia="Calibri"/>
                <w:szCs w:val="26"/>
              </w:rPr>
            </w:pPr>
            <w:r w:rsidRPr="00A71D93">
              <w:rPr>
                <w:rFonts w:eastAsia="Calibri"/>
                <w:szCs w:val="26"/>
              </w:rPr>
              <w:t>1</w:t>
            </w:r>
          </w:p>
        </w:tc>
        <w:tc>
          <w:tcPr>
            <w:tcW w:w="696" w:type="pct"/>
          </w:tcPr>
          <w:p w:rsidR="006776C9" w:rsidRPr="00A71D93" w:rsidP="00362A2C" w14:paraId="4B476F27" w14:textId="355CF9F8">
            <w:pPr>
              <w:jc w:val="right"/>
              <w:rPr>
                <w:rFonts w:eastAsia="Calibri"/>
                <w:szCs w:val="26"/>
              </w:rPr>
            </w:pPr>
            <w:r w:rsidRPr="00A71D93">
              <w:rPr>
                <w:rFonts w:eastAsia="Calibri"/>
                <w:szCs w:val="26"/>
              </w:rPr>
              <w:t>212</w:t>
            </w:r>
          </w:p>
        </w:tc>
        <w:tc>
          <w:tcPr>
            <w:tcW w:w="666" w:type="pct"/>
          </w:tcPr>
          <w:p w:rsidR="006776C9" w:rsidRPr="00A71D93" w:rsidP="00362A2C" w14:paraId="0E7FFFD7" w14:textId="0478A818">
            <w:pPr>
              <w:jc w:val="right"/>
              <w:rPr>
                <w:rFonts w:eastAsia="Calibri"/>
                <w:szCs w:val="26"/>
              </w:rPr>
            </w:pPr>
            <w:r w:rsidRPr="00A71D93">
              <w:rPr>
                <w:rFonts w:eastAsia="Calibri"/>
                <w:szCs w:val="26"/>
              </w:rPr>
              <w:t>20 hrs</w:t>
            </w:r>
            <w:r w:rsidR="00B8073F">
              <w:rPr>
                <w:rFonts w:eastAsia="Calibri"/>
                <w:szCs w:val="26"/>
              </w:rPr>
              <w:t>.</w:t>
            </w:r>
          </w:p>
          <w:p w:rsidR="006776C9" w:rsidRPr="00A71D93" w:rsidP="00362A2C" w14:paraId="5F869852" w14:textId="38A545E1">
            <w:pPr>
              <w:jc w:val="right"/>
              <w:rPr>
                <w:rFonts w:eastAsia="Calibri"/>
                <w:szCs w:val="26"/>
              </w:rPr>
            </w:pPr>
            <w:r w:rsidRPr="00A71D93">
              <w:rPr>
                <w:rFonts w:eastAsia="Calibri"/>
                <w:szCs w:val="26"/>
              </w:rPr>
              <w:t>$1,413.40</w:t>
            </w:r>
          </w:p>
        </w:tc>
        <w:tc>
          <w:tcPr>
            <w:tcW w:w="798" w:type="pct"/>
          </w:tcPr>
          <w:p w:rsidR="006776C9" w:rsidRPr="00A71D93" w:rsidP="00362A2C" w14:paraId="498E6AFD" w14:textId="37768D26">
            <w:pPr>
              <w:jc w:val="right"/>
              <w:rPr>
                <w:rFonts w:eastAsia="Calibri"/>
                <w:szCs w:val="26"/>
              </w:rPr>
            </w:pPr>
            <w:r w:rsidRPr="00B8073F">
              <w:rPr>
                <w:rFonts w:eastAsia="Calibri"/>
                <w:szCs w:val="26"/>
              </w:rPr>
              <w:t>4,240</w:t>
            </w:r>
            <w:r w:rsidRPr="00B8073F" w:rsidR="00F75057">
              <w:rPr>
                <w:rFonts w:eastAsia="Calibri"/>
                <w:szCs w:val="26"/>
              </w:rPr>
              <w:t>hrs.</w:t>
            </w:r>
          </w:p>
          <w:p w:rsidR="006776C9" w:rsidRPr="00A71D93" w:rsidP="00362A2C" w14:paraId="77AB46A5" w14:textId="1FD9E369">
            <w:pPr>
              <w:jc w:val="right"/>
              <w:rPr>
                <w:rFonts w:eastAsia="Calibri"/>
                <w:szCs w:val="26"/>
              </w:rPr>
            </w:pPr>
            <w:r w:rsidRPr="00A71D93">
              <w:rPr>
                <w:rFonts w:eastAsia="Calibri"/>
                <w:szCs w:val="26"/>
              </w:rPr>
              <w:t>$</w:t>
            </w:r>
            <w:r w:rsidRPr="00B8073F" w:rsidR="00A945BC">
              <w:rPr>
                <w:rFonts w:eastAsia="Calibri"/>
                <w:szCs w:val="26"/>
              </w:rPr>
              <w:t>299,640.8</w:t>
            </w:r>
            <w:r w:rsidR="00B8073F">
              <w:rPr>
                <w:rFonts w:eastAsia="Calibri"/>
                <w:szCs w:val="26"/>
              </w:rPr>
              <w:t>0</w:t>
            </w:r>
          </w:p>
        </w:tc>
        <w:tc>
          <w:tcPr>
            <w:tcW w:w="665" w:type="pct"/>
          </w:tcPr>
          <w:p w:rsidR="006776C9" w:rsidRPr="00A71D93" w:rsidP="00362A2C" w14:paraId="00C226E0" w14:textId="75C32A58">
            <w:pPr>
              <w:jc w:val="right"/>
              <w:rPr>
                <w:rFonts w:eastAsia="Calibri"/>
                <w:szCs w:val="26"/>
              </w:rPr>
            </w:pPr>
            <w:r w:rsidRPr="00A71D93">
              <w:rPr>
                <w:rFonts w:eastAsia="Calibri"/>
                <w:szCs w:val="26"/>
              </w:rPr>
              <w:t>$</w:t>
            </w:r>
            <w:r w:rsidRPr="00B8073F" w:rsidR="00541A89">
              <w:rPr>
                <w:rFonts w:eastAsia="Calibri"/>
                <w:szCs w:val="26"/>
              </w:rPr>
              <w:t>1,413.40</w:t>
            </w:r>
          </w:p>
        </w:tc>
      </w:tr>
      <w:tr w14:paraId="1FD8628E" w14:textId="77777777" w:rsidTr="00B8073F">
        <w:tblPrEx>
          <w:tblW w:w="5426" w:type="pct"/>
          <w:tblInd w:w="-72" w:type="dxa"/>
          <w:tblLayout w:type="fixed"/>
          <w:tblLook w:val="01E0"/>
        </w:tblPrEx>
        <w:trPr>
          <w:cantSplit/>
        </w:trPr>
        <w:tc>
          <w:tcPr>
            <w:tcW w:w="653" w:type="pct"/>
            <w:vMerge/>
          </w:tcPr>
          <w:p w:rsidR="006776C9" w:rsidRPr="00A71D93" w:rsidP="00362A2C" w14:paraId="682B71BC" w14:textId="77777777">
            <w:pPr>
              <w:rPr>
                <w:rFonts w:eastAsia="Calibri"/>
                <w:szCs w:val="26"/>
              </w:rPr>
            </w:pPr>
          </w:p>
        </w:tc>
        <w:tc>
          <w:tcPr>
            <w:tcW w:w="842" w:type="pct"/>
          </w:tcPr>
          <w:p w:rsidR="006776C9" w:rsidRPr="00A71D93" w:rsidP="0088205C" w14:paraId="65B732AE" w14:textId="214A239A">
            <w:pPr>
              <w:jc w:val="right"/>
              <w:rPr>
                <w:rFonts w:eastAsia="Calibri"/>
                <w:szCs w:val="26"/>
              </w:rPr>
            </w:pPr>
            <w:r w:rsidRPr="00A71D93">
              <w:rPr>
                <w:rFonts w:eastAsia="Calibri"/>
                <w:szCs w:val="26"/>
              </w:rPr>
              <w:t>70</w:t>
            </w:r>
            <w:r w:rsidRPr="00A71D93" w:rsidR="002E2C5F">
              <w:rPr>
                <w:rFonts w:eastAsia="Calibri"/>
                <w:szCs w:val="26"/>
              </w:rPr>
              <w:t xml:space="preserve"> </w:t>
            </w:r>
            <w:r w:rsidRPr="00A71D93" w:rsidR="0088205C">
              <w:rPr>
                <w:rFonts w:eastAsia="Calibri"/>
                <w:szCs w:val="26"/>
              </w:rPr>
              <w:t>(TO)</w:t>
            </w:r>
          </w:p>
        </w:tc>
        <w:tc>
          <w:tcPr>
            <w:tcW w:w="680" w:type="pct"/>
          </w:tcPr>
          <w:p w:rsidR="006776C9" w:rsidRPr="00A71D93" w:rsidP="00362A2C" w14:paraId="402020F1" w14:textId="1B16CC8A">
            <w:pPr>
              <w:jc w:val="right"/>
              <w:rPr>
                <w:rFonts w:eastAsia="Calibri"/>
                <w:szCs w:val="26"/>
              </w:rPr>
            </w:pPr>
            <w:r w:rsidRPr="00A71D93">
              <w:rPr>
                <w:rFonts w:eastAsia="Calibri"/>
                <w:szCs w:val="26"/>
              </w:rPr>
              <w:t>1</w:t>
            </w:r>
          </w:p>
        </w:tc>
        <w:tc>
          <w:tcPr>
            <w:tcW w:w="696" w:type="pct"/>
          </w:tcPr>
          <w:p w:rsidR="006776C9" w:rsidRPr="00A71D93" w:rsidP="00362A2C" w14:paraId="2B9C8E53" w14:textId="6E5AF25A">
            <w:pPr>
              <w:jc w:val="right"/>
              <w:rPr>
                <w:rFonts w:eastAsia="Calibri"/>
                <w:szCs w:val="26"/>
              </w:rPr>
            </w:pPr>
            <w:r w:rsidRPr="00A71D93">
              <w:rPr>
                <w:rFonts w:eastAsia="Calibri"/>
                <w:szCs w:val="26"/>
              </w:rPr>
              <w:t>70</w:t>
            </w:r>
          </w:p>
        </w:tc>
        <w:tc>
          <w:tcPr>
            <w:tcW w:w="666" w:type="pct"/>
          </w:tcPr>
          <w:p w:rsidR="00BC59BD" w:rsidRPr="00A71D93" w:rsidP="00362A2C" w14:paraId="205EDAE9" w14:textId="77777777">
            <w:pPr>
              <w:jc w:val="right"/>
              <w:rPr>
                <w:rFonts w:eastAsia="Calibri"/>
                <w:szCs w:val="26"/>
              </w:rPr>
            </w:pPr>
            <w:r w:rsidRPr="00A71D93">
              <w:rPr>
                <w:rFonts w:eastAsia="Calibri"/>
                <w:szCs w:val="26"/>
              </w:rPr>
              <w:t>12 hrs.</w:t>
            </w:r>
          </w:p>
          <w:p w:rsidR="006776C9" w:rsidRPr="00A71D93" w:rsidP="00362A2C" w14:paraId="300CD8A6" w14:textId="1EAE2B7C">
            <w:pPr>
              <w:jc w:val="right"/>
              <w:rPr>
                <w:rFonts w:eastAsia="Calibri"/>
                <w:szCs w:val="26"/>
              </w:rPr>
            </w:pPr>
            <w:r w:rsidRPr="00A71D93">
              <w:rPr>
                <w:rFonts w:eastAsia="Calibri"/>
                <w:szCs w:val="26"/>
              </w:rPr>
              <w:t>$</w:t>
            </w:r>
            <w:r w:rsidRPr="00A71D93" w:rsidR="00F41919">
              <w:rPr>
                <w:rFonts w:eastAsia="Calibri"/>
                <w:szCs w:val="26"/>
              </w:rPr>
              <w:t>848.04</w:t>
            </w:r>
          </w:p>
        </w:tc>
        <w:tc>
          <w:tcPr>
            <w:tcW w:w="798" w:type="pct"/>
          </w:tcPr>
          <w:p w:rsidR="006776C9" w:rsidRPr="00A71D93" w:rsidP="00362A2C" w14:paraId="77E0319E" w14:textId="04F5EA98">
            <w:pPr>
              <w:jc w:val="right"/>
              <w:rPr>
                <w:rFonts w:eastAsia="Calibri"/>
                <w:szCs w:val="26"/>
              </w:rPr>
            </w:pPr>
            <w:r w:rsidRPr="00B8073F">
              <w:rPr>
                <w:rFonts w:eastAsia="Calibri"/>
                <w:szCs w:val="26"/>
              </w:rPr>
              <w:t>840</w:t>
            </w:r>
            <w:r w:rsidRPr="00B8073F" w:rsidR="00A71D93">
              <w:rPr>
                <w:rFonts w:eastAsia="Calibri"/>
                <w:szCs w:val="26"/>
              </w:rPr>
              <w:t xml:space="preserve"> </w:t>
            </w:r>
            <w:r w:rsidRPr="00B8073F" w:rsidR="00974035">
              <w:rPr>
                <w:rFonts w:eastAsia="Calibri"/>
                <w:szCs w:val="26"/>
              </w:rPr>
              <w:t>hrs</w:t>
            </w:r>
            <w:r w:rsidRPr="00B8073F" w:rsidR="00F75057">
              <w:rPr>
                <w:rFonts w:eastAsia="Calibri"/>
                <w:szCs w:val="26"/>
              </w:rPr>
              <w:t>.</w:t>
            </w:r>
            <w:r w:rsidRPr="00B8073F" w:rsidR="008F54A5">
              <w:rPr>
                <w:rFonts w:eastAsia="Calibri"/>
                <w:szCs w:val="26"/>
              </w:rPr>
              <w:br/>
              <w:t>$</w:t>
            </w:r>
            <w:r w:rsidRPr="00B8073F" w:rsidR="00821FD5">
              <w:rPr>
                <w:rFonts w:eastAsia="Calibri"/>
                <w:szCs w:val="26"/>
              </w:rPr>
              <w:t>59,362.8</w:t>
            </w:r>
            <w:r w:rsidR="00B8073F">
              <w:rPr>
                <w:rFonts w:eastAsia="Calibri"/>
                <w:szCs w:val="26"/>
              </w:rPr>
              <w:t>0</w:t>
            </w:r>
          </w:p>
        </w:tc>
        <w:tc>
          <w:tcPr>
            <w:tcW w:w="665" w:type="pct"/>
          </w:tcPr>
          <w:p w:rsidR="006776C9" w:rsidRPr="00A71D93" w:rsidP="00362A2C" w14:paraId="6EDC6804" w14:textId="3867FA25">
            <w:pPr>
              <w:jc w:val="right"/>
              <w:rPr>
                <w:rFonts w:eastAsia="Calibri"/>
                <w:szCs w:val="26"/>
              </w:rPr>
            </w:pPr>
            <w:r w:rsidRPr="00B8073F">
              <w:rPr>
                <w:rFonts w:eastAsia="Calibri"/>
                <w:szCs w:val="26"/>
              </w:rPr>
              <w:t>$</w:t>
            </w:r>
            <w:r w:rsidRPr="00B8073F" w:rsidR="007641FF">
              <w:rPr>
                <w:rFonts w:eastAsia="Calibri"/>
                <w:szCs w:val="26"/>
              </w:rPr>
              <w:t>848.04</w:t>
            </w:r>
          </w:p>
        </w:tc>
      </w:tr>
      <w:tr w14:paraId="7B4C3DE9" w14:textId="77777777" w:rsidTr="00B8073F">
        <w:tblPrEx>
          <w:tblW w:w="5426" w:type="pct"/>
          <w:tblInd w:w="-72" w:type="dxa"/>
          <w:tblLayout w:type="fixed"/>
          <w:tblLook w:val="01E0"/>
        </w:tblPrEx>
        <w:trPr>
          <w:cantSplit/>
        </w:trPr>
        <w:tc>
          <w:tcPr>
            <w:tcW w:w="653" w:type="pct"/>
            <w:vMerge/>
          </w:tcPr>
          <w:p w:rsidR="006776C9" w:rsidRPr="00A71D93" w:rsidP="00362A2C" w14:paraId="6D10ED58" w14:textId="77777777">
            <w:pPr>
              <w:rPr>
                <w:rFonts w:eastAsia="Calibri"/>
                <w:szCs w:val="26"/>
              </w:rPr>
            </w:pPr>
          </w:p>
        </w:tc>
        <w:tc>
          <w:tcPr>
            <w:tcW w:w="842" w:type="pct"/>
          </w:tcPr>
          <w:p w:rsidR="006776C9" w:rsidRPr="00A71D93" w:rsidP="00362A2C" w14:paraId="3D6E41FA" w14:textId="443F0E9E">
            <w:pPr>
              <w:jc w:val="right"/>
              <w:rPr>
                <w:rFonts w:eastAsia="Calibri"/>
                <w:szCs w:val="26"/>
              </w:rPr>
            </w:pPr>
            <w:r w:rsidRPr="00A71D93">
              <w:rPr>
                <w:rFonts w:eastAsia="Calibri"/>
                <w:szCs w:val="26"/>
              </w:rPr>
              <w:t>95</w:t>
            </w:r>
            <w:r w:rsidRPr="00A71D93" w:rsidR="002E2C5F">
              <w:rPr>
                <w:rFonts w:eastAsia="Calibri"/>
                <w:szCs w:val="26"/>
              </w:rPr>
              <w:t xml:space="preserve"> </w:t>
            </w:r>
            <w:r w:rsidRPr="00A71D93" w:rsidR="0088205C">
              <w:rPr>
                <w:rFonts w:eastAsia="Calibri"/>
                <w:szCs w:val="26"/>
              </w:rPr>
              <w:t>(DP)</w:t>
            </w:r>
          </w:p>
        </w:tc>
        <w:tc>
          <w:tcPr>
            <w:tcW w:w="680" w:type="pct"/>
          </w:tcPr>
          <w:p w:rsidR="006776C9" w:rsidRPr="00A71D93" w:rsidP="00362A2C" w14:paraId="49E5FB25" w14:textId="4C2C805C">
            <w:pPr>
              <w:jc w:val="right"/>
              <w:rPr>
                <w:rFonts w:eastAsia="Calibri"/>
                <w:szCs w:val="26"/>
              </w:rPr>
            </w:pPr>
            <w:r w:rsidRPr="00A71D93">
              <w:rPr>
                <w:rFonts w:eastAsia="Calibri"/>
                <w:szCs w:val="26"/>
              </w:rPr>
              <w:t>1</w:t>
            </w:r>
          </w:p>
        </w:tc>
        <w:tc>
          <w:tcPr>
            <w:tcW w:w="696" w:type="pct"/>
          </w:tcPr>
          <w:p w:rsidR="006776C9" w:rsidRPr="00A71D93" w:rsidP="00362A2C" w14:paraId="16E0A6CA" w14:textId="0327DDBF">
            <w:pPr>
              <w:jc w:val="right"/>
              <w:rPr>
                <w:rFonts w:eastAsia="Calibri"/>
                <w:szCs w:val="26"/>
              </w:rPr>
            </w:pPr>
            <w:r w:rsidRPr="00A71D93">
              <w:rPr>
                <w:rFonts w:eastAsia="Calibri"/>
                <w:szCs w:val="26"/>
              </w:rPr>
              <w:t>95</w:t>
            </w:r>
          </w:p>
        </w:tc>
        <w:tc>
          <w:tcPr>
            <w:tcW w:w="666" w:type="pct"/>
          </w:tcPr>
          <w:p w:rsidR="00615D85" w:rsidRPr="00A71D93" w:rsidP="00362A2C" w14:paraId="11F64FC1" w14:textId="77777777">
            <w:pPr>
              <w:jc w:val="right"/>
              <w:rPr>
                <w:rFonts w:eastAsia="Calibri"/>
                <w:szCs w:val="26"/>
              </w:rPr>
            </w:pPr>
            <w:r w:rsidRPr="00A71D93">
              <w:rPr>
                <w:rFonts w:eastAsia="Calibri"/>
                <w:szCs w:val="26"/>
              </w:rPr>
              <w:t>12</w:t>
            </w:r>
            <w:r w:rsidRPr="00A71D93">
              <w:rPr>
                <w:rFonts w:eastAsia="Calibri"/>
                <w:szCs w:val="26"/>
              </w:rPr>
              <w:t xml:space="preserve"> hrs.</w:t>
            </w:r>
          </w:p>
          <w:p w:rsidR="006776C9" w:rsidRPr="00A71D93" w:rsidP="00362A2C" w14:paraId="436B5FE2" w14:textId="26E0C398">
            <w:pPr>
              <w:jc w:val="right"/>
              <w:rPr>
                <w:rFonts w:eastAsia="Calibri"/>
                <w:szCs w:val="26"/>
              </w:rPr>
            </w:pPr>
            <w:r w:rsidRPr="00A71D93">
              <w:rPr>
                <w:rFonts w:eastAsia="Calibri"/>
                <w:szCs w:val="26"/>
              </w:rPr>
              <w:t>$</w:t>
            </w:r>
            <w:r w:rsidRPr="00A71D93" w:rsidR="00F41919">
              <w:rPr>
                <w:rFonts w:eastAsia="Calibri"/>
                <w:szCs w:val="26"/>
              </w:rPr>
              <w:t>848.04</w:t>
            </w:r>
          </w:p>
        </w:tc>
        <w:tc>
          <w:tcPr>
            <w:tcW w:w="798" w:type="pct"/>
          </w:tcPr>
          <w:p w:rsidR="006776C9" w:rsidRPr="00A71D93" w:rsidP="00362A2C" w14:paraId="094A4C67" w14:textId="07F42886">
            <w:pPr>
              <w:jc w:val="right"/>
              <w:rPr>
                <w:rFonts w:eastAsia="Calibri"/>
                <w:szCs w:val="26"/>
              </w:rPr>
            </w:pPr>
            <w:r w:rsidRPr="00B8073F">
              <w:rPr>
                <w:rFonts w:eastAsia="Calibri"/>
                <w:szCs w:val="26"/>
              </w:rPr>
              <w:t>1,140</w:t>
            </w:r>
            <w:r w:rsidRPr="00B8073F" w:rsidR="00A71D93">
              <w:rPr>
                <w:rFonts w:eastAsia="Calibri"/>
                <w:szCs w:val="26"/>
              </w:rPr>
              <w:t xml:space="preserve"> </w:t>
            </w:r>
            <w:r w:rsidRPr="00B8073F">
              <w:rPr>
                <w:rFonts w:eastAsia="Calibri"/>
                <w:szCs w:val="26"/>
              </w:rPr>
              <w:t>hrs.</w:t>
            </w:r>
            <w:r w:rsidRPr="00B8073F" w:rsidR="00D72018">
              <w:rPr>
                <w:rFonts w:eastAsia="Calibri"/>
                <w:szCs w:val="26"/>
              </w:rPr>
              <w:br/>
              <w:t>$80,563.80</w:t>
            </w:r>
          </w:p>
        </w:tc>
        <w:tc>
          <w:tcPr>
            <w:tcW w:w="665" w:type="pct"/>
          </w:tcPr>
          <w:p w:rsidR="006776C9" w:rsidRPr="00A71D93" w:rsidP="00362A2C" w14:paraId="0261C318" w14:textId="3CC3504E">
            <w:pPr>
              <w:jc w:val="right"/>
              <w:rPr>
                <w:rFonts w:eastAsia="Calibri"/>
                <w:szCs w:val="26"/>
              </w:rPr>
            </w:pPr>
            <w:r w:rsidRPr="00B8073F">
              <w:rPr>
                <w:rFonts w:eastAsia="Calibri"/>
                <w:szCs w:val="26"/>
              </w:rPr>
              <w:t>$</w:t>
            </w:r>
            <w:r w:rsidRPr="00B8073F" w:rsidR="00820005">
              <w:rPr>
                <w:rFonts w:eastAsia="Calibri"/>
                <w:szCs w:val="26"/>
              </w:rPr>
              <w:t>848.04</w:t>
            </w:r>
          </w:p>
        </w:tc>
      </w:tr>
      <w:tr w14:paraId="4F417AF0" w14:textId="77777777" w:rsidTr="00B8073F">
        <w:tblPrEx>
          <w:tblW w:w="5426" w:type="pct"/>
          <w:tblInd w:w="-72" w:type="dxa"/>
          <w:tblLayout w:type="fixed"/>
          <w:tblLook w:val="01E0"/>
        </w:tblPrEx>
        <w:trPr>
          <w:cantSplit/>
          <w:trHeight w:val="485"/>
        </w:trPr>
        <w:tc>
          <w:tcPr>
            <w:tcW w:w="653" w:type="pct"/>
            <w:tcBorders>
              <w:bottom w:val="single" w:sz="4" w:space="0" w:color="auto"/>
            </w:tcBorders>
          </w:tcPr>
          <w:p w:rsidR="00362A2C" w:rsidRPr="00A71D93" w:rsidP="00362A2C"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cPr>
          <w:p w:rsidR="00362A2C" w:rsidRPr="00A71D93" w:rsidP="00362A2C" w14:paraId="3DF4099C" w14:textId="77777777">
            <w:pPr>
              <w:jc w:val="right"/>
              <w:rPr>
                <w:rFonts w:eastAsia="Calibri"/>
                <w:szCs w:val="26"/>
              </w:rPr>
            </w:pPr>
          </w:p>
        </w:tc>
        <w:tc>
          <w:tcPr>
            <w:tcW w:w="696" w:type="pct"/>
            <w:tcBorders>
              <w:bottom w:val="single" w:sz="4" w:space="0" w:color="auto"/>
            </w:tcBorders>
            <w:shd w:val="clear" w:color="auto" w:fill="auto"/>
          </w:tcPr>
          <w:p w:rsidR="00362A2C" w:rsidRPr="00A71D93" w:rsidP="00362A2C" w14:paraId="5621807C" w14:textId="2FC0D810">
            <w:pPr>
              <w:jc w:val="right"/>
              <w:rPr>
                <w:rFonts w:eastAsia="Calibri"/>
                <w:b/>
                <w:szCs w:val="26"/>
              </w:rPr>
            </w:pPr>
            <w:r w:rsidRPr="00A71D93">
              <w:rPr>
                <w:rFonts w:eastAsia="Calibri"/>
                <w:b/>
                <w:szCs w:val="26"/>
              </w:rPr>
              <w:t>404</w:t>
            </w:r>
          </w:p>
        </w:tc>
        <w:tc>
          <w:tcPr>
            <w:tcW w:w="666" w:type="pct"/>
            <w:tcBorders>
              <w:bottom w:val="single" w:sz="4" w:space="0" w:color="auto"/>
            </w:tcBorders>
            <w:shd w:val="clear" w:color="auto" w:fill="D9D9D9"/>
          </w:tcPr>
          <w:p w:rsidR="00362A2C" w:rsidRPr="00A71D93" w:rsidP="00362A2C" w14:paraId="5E4AF494" w14:textId="77777777">
            <w:pPr>
              <w:jc w:val="right"/>
              <w:rPr>
                <w:rFonts w:eastAsia="Calibri"/>
                <w:szCs w:val="26"/>
              </w:rPr>
            </w:pPr>
          </w:p>
        </w:tc>
        <w:tc>
          <w:tcPr>
            <w:tcW w:w="798" w:type="pct"/>
            <w:tcBorders>
              <w:bottom w:val="single" w:sz="4" w:space="0" w:color="auto"/>
            </w:tcBorders>
          </w:tcPr>
          <w:p w:rsidR="00362A2C" w:rsidRPr="00A71D93" w:rsidP="00362A2C" w14:paraId="7C95C24E" w14:textId="142DACCA">
            <w:pPr>
              <w:jc w:val="right"/>
              <w:rPr>
                <w:rFonts w:eastAsia="Calibri"/>
                <w:b/>
                <w:szCs w:val="26"/>
              </w:rPr>
            </w:pPr>
            <w:r w:rsidRPr="00B8073F">
              <w:rPr>
                <w:rFonts w:eastAsia="Calibri"/>
                <w:b/>
                <w:szCs w:val="26"/>
              </w:rPr>
              <w:t>6,868</w:t>
            </w:r>
            <w:r w:rsidR="00A71D93">
              <w:rPr>
                <w:rFonts w:eastAsia="Calibri"/>
                <w:b/>
                <w:szCs w:val="26"/>
              </w:rPr>
              <w:t xml:space="preserve"> hrs.</w:t>
            </w:r>
          </w:p>
          <w:p w:rsidR="00362A2C" w:rsidRPr="00A71D93" w:rsidP="00362A2C" w14:paraId="184C23CC" w14:textId="41070FD9">
            <w:pPr>
              <w:jc w:val="right"/>
              <w:rPr>
                <w:rFonts w:eastAsia="Calibri"/>
                <w:b/>
                <w:szCs w:val="26"/>
              </w:rPr>
            </w:pPr>
            <w:r w:rsidRPr="00A71D93">
              <w:rPr>
                <w:rFonts w:eastAsia="Calibri"/>
                <w:b/>
                <w:szCs w:val="26"/>
              </w:rPr>
              <w:t>$</w:t>
            </w:r>
            <w:r w:rsidRPr="00B8073F" w:rsidR="00CC1D3E">
              <w:rPr>
                <w:rFonts w:eastAsia="Calibri"/>
                <w:b/>
                <w:szCs w:val="26"/>
              </w:rPr>
              <w:t>485,361.56</w:t>
            </w:r>
          </w:p>
        </w:tc>
        <w:tc>
          <w:tcPr>
            <w:tcW w:w="665" w:type="pct"/>
            <w:tcBorders>
              <w:bottom w:val="single" w:sz="4" w:space="0" w:color="auto"/>
            </w:tcBorders>
          </w:tcPr>
          <w:p w:rsidR="00362A2C" w:rsidRPr="00A71D93" w:rsidP="00362A2C" w14:paraId="3C060D85" w14:textId="46F7DC76">
            <w:pPr>
              <w:jc w:val="right"/>
              <w:rPr>
                <w:rFonts w:eastAsia="Calibri"/>
                <w:b/>
                <w:szCs w:val="26"/>
              </w:rPr>
            </w:pPr>
            <w:r w:rsidRPr="00A71D93">
              <w:rPr>
                <w:rFonts w:eastAsia="Calibri"/>
                <w:b/>
                <w:szCs w:val="26"/>
              </w:rPr>
              <w:t>$</w:t>
            </w:r>
            <w:r w:rsidRPr="00B8073F" w:rsidR="00970F65">
              <w:rPr>
                <w:rFonts w:eastAsia="Calibri"/>
                <w:b/>
                <w:szCs w:val="26"/>
              </w:rPr>
              <w:t>4,805.56</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0FB987CE">
      <w:pPr>
        <w:ind w:firstLine="2606"/>
        <w:jc w:val="center"/>
      </w:pPr>
      <w:r w:rsidRPr="00E52385">
        <w:t>Secretary.</w:t>
      </w:r>
    </w:p>
    <w:p w:rsidR="00E52385" w14:paraId="0470DF50"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4BC2" w:rsidP="00B01B16" w14:paraId="0C73DDFE" w14:textId="77777777">
      <w:r>
        <w:separator/>
      </w:r>
    </w:p>
  </w:footnote>
  <w:footnote w:type="continuationSeparator" w:id="1">
    <w:p w:rsidR="00304BC2" w:rsidP="00B01B16" w14:paraId="39045B0E" w14:textId="77777777">
      <w:r>
        <w:continuationSeparator/>
      </w:r>
    </w:p>
  </w:footnote>
  <w:footnote w:type="continuationNotice" w:id="2">
    <w:p w:rsidR="00304BC2" w14:paraId="0444FF64" w14:textId="77777777"/>
  </w:footnote>
  <w:footnote w:id="3">
    <w:p w:rsidR="00362A2C" w:rsidRPr="007D5934" w:rsidP="00362A2C" w14:paraId="02A004BB" w14:textId="77777777">
      <w:pPr>
        <w:pStyle w:val="FootnoteText"/>
        <w:rPr>
          <w:sz w:val="26"/>
          <w:szCs w:val="26"/>
        </w:rPr>
      </w:pP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rsidR="00B6655D" w:rsidRPr="00B8073F" w14:paraId="1EBEF191" w14:textId="5737E33A">
      <w:pPr>
        <w:pStyle w:val="FootnoteText"/>
        <w:rPr>
          <w:sz w:val="26"/>
          <w:szCs w:val="26"/>
        </w:rPr>
      </w:pPr>
      <w:r>
        <w:rPr>
          <w:rStyle w:val="FootnoteReference"/>
        </w:rPr>
        <w:footnoteRef/>
      </w:r>
      <w:r>
        <w:t xml:space="preserve"> </w:t>
      </w:r>
      <w:r w:rsidRPr="00B8073F">
        <w:rPr>
          <w:sz w:val="26"/>
          <w:szCs w:val="26"/>
        </w:rPr>
        <w:t>These values were derived from the NERC Compliance data of</w:t>
      </w:r>
      <w:r w:rsidRPr="00B8073F" w:rsidR="001337E7">
        <w:rPr>
          <w:sz w:val="26"/>
          <w:szCs w:val="26"/>
        </w:rPr>
        <w:t xml:space="preserve"> </w:t>
      </w:r>
      <w:r w:rsidRPr="00B8073F" w:rsidR="00712947">
        <w:rPr>
          <w:sz w:val="26"/>
          <w:szCs w:val="26"/>
        </w:rPr>
        <w:t>February 12, 2025</w:t>
      </w:r>
      <w:r w:rsidRPr="00B8073F">
        <w:rPr>
          <w:sz w:val="26"/>
          <w:szCs w:val="26"/>
        </w:rPr>
        <w:t>, using only SERC unique United States registered entities.</w:t>
      </w:r>
    </w:p>
  </w:footnote>
  <w:footnote w:id="5">
    <w:p w:rsidR="00362A2C" w:rsidRPr="009E2D36" w:rsidP="00362A2C" w14:paraId="4FE235CD" w14:textId="6415B44A">
      <w:pPr>
        <w:pStyle w:val="FootnoteText"/>
        <w:rPr>
          <w:sz w:val="26"/>
          <w:szCs w:val="26"/>
        </w:rPr>
      </w:pPr>
      <w:r w:rsidRPr="00712947">
        <w:rPr>
          <w:rStyle w:val="FootnoteReference"/>
        </w:rPr>
        <w:footnoteRef/>
      </w:r>
      <w:r w:rsidRPr="00712947">
        <w:rPr>
          <w:sz w:val="26"/>
          <w:szCs w:val="26"/>
        </w:rPr>
        <w:t xml:space="preserve"> </w:t>
      </w:r>
      <w:r w:rsidRPr="00712947" w:rsidR="00B6655D">
        <w:rPr>
          <w:sz w:val="26"/>
          <w:szCs w:val="26"/>
        </w:rPr>
        <w:t>The estimated hourly cost (salary</w:t>
      </w:r>
      <w:r w:rsidRPr="00B6655D" w:rsidR="00B6655D">
        <w:rPr>
          <w:sz w:val="26"/>
          <w:szCs w:val="26"/>
        </w:rPr>
        <w:t xml:space="preserve">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2217F38D">
        <w:pPr>
          <w:pStyle w:val="Header"/>
        </w:pPr>
        <w:r w:rsidRPr="00980E58">
          <w:t xml:space="preserve">Docket No. </w:t>
        </w:r>
        <w:r w:rsidRPr="00974530">
          <w:t>I</w:t>
        </w:r>
        <w:r>
          <w:t>C2</w:t>
        </w:r>
        <w:r w:rsidR="008D1DB6">
          <w:t>5</w:t>
        </w:r>
        <w:r w:rsidRPr="00974530">
          <w:t>-</w:t>
        </w:r>
        <w:r w:rsidR="00AF1BF5">
          <w:t>1</w:t>
        </w:r>
        <w:r w:rsidR="00E80A20">
          <w:t>1</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2"/>
  </w:num>
  <w:num w:numId="3" w16cid:durableId="1552577333">
    <w:abstractNumId w:val="6"/>
  </w:num>
  <w:num w:numId="4" w16cid:durableId="619460549">
    <w:abstractNumId w:val="5"/>
  </w:num>
  <w:num w:numId="5" w16cid:durableId="580872380">
    <w:abstractNumId w:val="8"/>
  </w:num>
  <w:num w:numId="6" w16cid:durableId="1239292177">
    <w:abstractNumId w:val="1"/>
  </w:num>
  <w:num w:numId="7" w16cid:durableId="1703675782">
    <w:abstractNumId w:val="7"/>
  </w:num>
  <w:num w:numId="8" w16cid:durableId="1363556570">
    <w:abstractNumId w:val="3"/>
  </w:num>
  <w:num w:numId="9" w16cid:durableId="86706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1BD0"/>
    <w:rsid w:val="00024462"/>
    <w:rsid w:val="00026C2D"/>
    <w:rsid w:val="00033DD8"/>
    <w:rsid w:val="000459B6"/>
    <w:rsid w:val="00057E6A"/>
    <w:rsid w:val="00061D59"/>
    <w:rsid w:val="00062427"/>
    <w:rsid w:val="00063B25"/>
    <w:rsid w:val="00082444"/>
    <w:rsid w:val="00082EC9"/>
    <w:rsid w:val="00084A11"/>
    <w:rsid w:val="00085A2B"/>
    <w:rsid w:val="0008692A"/>
    <w:rsid w:val="0009446C"/>
    <w:rsid w:val="000A0250"/>
    <w:rsid w:val="000A1FE3"/>
    <w:rsid w:val="000A6F37"/>
    <w:rsid w:val="000A7E68"/>
    <w:rsid w:val="000B03CA"/>
    <w:rsid w:val="000B2E5E"/>
    <w:rsid w:val="000B32CE"/>
    <w:rsid w:val="000B5C78"/>
    <w:rsid w:val="000D318C"/>
    <w:rsid w:val="000E2568"/>
    <w:rsid w:val="000F36DF"/>
    <w:rsid w:val="000F45EC"/>
    <w:rsid w:val="000F606E"/>
    <w:rsid w:val="00113520"/>
    <w:rsid w:val="00114D0E"/>
    <w:rsid w:val="00116326"/>
    <w:rsid w:val="00117E0B"/>
    <w:rsid w:val="00121178"/>
    <w:rsid w:val="00121D48"/>
    <w:rsid w:val="001258C6"/>
    <w:rsid w:val="00125991"/>
    <w:rsid w:val="001337E7"/>
    <w:rsid w:val="00134E93"/>
    <w:rsid w:val="001408C4"/>
    <w:rsid w:val="00153FFB"/>
    <w:rsid w:val="0015445B"/>
    <w:rsid w:val="00156BBB"/>
    <w:rsid w:val="001600DF"/>
    <w:rsid w:val="00164215"/>
    <w:rsid w:val="001642F6"/>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51A"/>
    <w:rsid w:val="001B16B8"/>
    <w:rsid w:val="001B78B8"/>
    <w:rsid w:val="001C0B75"/>
    <w:rsid w:val="001C7064"/>
    <w:rsid w:val="001F1CDF"/>
    <w:rsid w:val="00202E41"/>
    <w:rsid w:val="00210715"/>
    <w:rsid w:val="002131D0"/>
    <w:rsid w:val="00217688"/>
    <w:rsid w:val="00224BF8"/>
    <w:rsid w:val="002347B9"/>
    <w:rsid w:val="0024309C"/>
    <w:rsid w:val="00247214"/>
    <w:rsid w:val="00253F98"/>
    <w:rsid w:val="00257CC2"/>
    <w:rsid w:val="002662C7"/>
    <w:rsid w:val="00266431"/>
    <w:rsid w:val="00266CF0"/>
    <w:rsid w:val="00281F64"/>
    <w:rsid w:val="00297211"/>
    <w:rsid w:val="002A0531"/>
    <w:rsid w:val="002A4B87"/>
    <w:rsid w:val="002B1694"/>
    <w:rsid w:val="002C03F1"/>
    <w:rsid w:val="002C3223"/>
    <w:rsid w:val="002C3579"/>
    <w:rsid w:val="002C556B"/>
    <w:rsid w:val="002C66FC"/>
    <w:rsid w:val="002D17E5"/>
    <w:rsid w:val="002D19D9"/>
    <w:rsid w:val="002E06A0"/>
    <w:rsid w:val="002E2C5F"/>
    <w:rsid w:val="002E5D67"/>
    <w:rsid w:val="002E6DAA"/>
    <w:rsid w:val="002E7120"/>
    <w:rsid w:val="002F1008"/>
    <w:rsid w:val="002F4401"/>
    <w:rsid w:val="002F505F"/>
    <w:rsid w:val="00301ED5"/>
    <w:rsid w:val="00301F62"/>
    <w:rsid w:val="00303516"/>
    <w:rsid w:val="00304BC2"/>
    <w:rsid w:val="00305D2F"/>
    <w:rsid w:val="00306318"/>
    <w:rsid w:val="00311D90"/>
    <w:rsid w:val="00314219"/>
    <w:rsid w:val="003149BC"/>
    <w:rsid w:val="00314D59"/>
    <w:rsid w:val="00320CB8"/>
    <w:rsid w:val="003270F2"/>
    <w:rsid w:val="00332D75"/>
    <w:rsid w:val="00333661"/>
    <w:rsid w:val="00336AD9"/>
    <w:rsid w:val="00353B9A"/>
    <w:rsid w:val="00362A2C"/>
    <w:rsid w:val="003645C8"/>
    <w:rsid w:val="00365468"/>
    <w:rsid w:val="003658A2"/>
    <w:rsid w:val="003673EC"/>
    <w:rsid w:val="00371FC8"/>
    <w:rsid w:val="00372200"/>
    <w:rsid w:val="00373A2E"/>
    <w:rsid w:val="00374483"/>
    <w:rsid w:val="00374D2A"/>
    <w:rsid w:val="00376525"/>
    <w:rsid w:val="00397ABE"/>
    <w:rsid w:val="003A05DA"/>
    <w:rsid w:val="003A2C3F"/>
    <w:rsid w:val="003A6035"/>
    <w:rsid w:val="003B435C"/>
    <w:rsid w:val="003B5B0B"/>
    <w:rsid w:val="003C08DE"/>
    <w:rsid w:val="003C370E"/>
    <w:rsid w:val="003C3E7A"/>
    <w:rsid w:val="003C44AA"/>
    <w:rsid w:val="003C467C"/>
    <w:rsid w:val="003D28D2"/>
    <w:rsid w:val="003E1657"/>
    <w:rsid w:val="003E1B5A"/>
    <w:rsid w:val="003E2CB3"/>
    <w:rsid w:val="003E40B2"/>
    <w:rsid w:val="003E44AD"/>
    <w:rsid w:val="003E5EA3"/>
    <w:rsid w:val="003F0FE7"/>
    <w:rsid w:val="003F2E32"/>
    <w:rsid w:val="003F452F"/>
    <w:rsid w:val="003F570B"/>
    <w:rsid w:val="003F6B3B"/>
    <w:rsid w:val="003F7567"/>
    <w:rsid w:val="00405154"/>
    <w:rsid w:val="00411B62"/>
    <w:rsid w:val="004177CD"/>
    <w:rsid w:val="004207F2"/>
    <w:rsid w:val="0042688C"/>
    <w:rsid w:val="0042765E"/>
    <w:rsid w:val="00427AE5"/>
    <w:rsid w:val="00443282"/>
    <w:rsid w:val="004471A9"/>
    <w:rsid w:val="004562F1"/>
    <w:rsid w:val="004609ED"/>
    <w:rsid w:val="004618D7"/>
    <w:rsid w:val="004628F2"/>
    <w:rsid w:val="00471921"/>
    <w:rsid w:val="00491543"/>
    <w:rsid w:val="0049612F"/>
    <w:rsid w:val="004962D9"/>
    <w:rsid w:val="004A661D"/>
    <w:rsid w:val="004B239D"/>
    <w:rsid w:val="004B472A"/>
    <w:rsid w:val="004C0BC3"/>
    <w:rsid w:val="004C2800"/>
    <w:rsid w:val="004C70C8"/>
    <w:rsid w:val="004E0525"/>
    <w:rsid w:val="004E19FA"/>
    <w:rsid w:val="004E683E"/>
    <w:rsid w:val="00501035"/>
    <w:rsid w:val="00524164"/>
    <w:rsid w:val="00527733"/>
    <w:rsid w:val="00531000"/>
    <w:rsid w:val="0053689B"/>
    <w:rsid w:val="00537A68"/>
    <w:rsid w:val="005401E0"/>
    <w:rsid w:val="00541A89"/>
    <w:rsid w:val="00544424"/>
    <w:rsid w:val="0054746C"/>
    <w:rsid w:val="00552978"/>
    <w:rsid w:val="005652D0"/>
    <w:rsid w:val="005657D6"/>
    <w:rsid w:val="00565830"/>
    <w:rsid w:val="00565B5E"/>
    <w:rsid w:val="00566B5F"/>
    <w:rsid w:val="00567907"/>
    <w:rsid w:val="00583C83"/>
    <w:rsid w:val="00586A8F"/>
    <w:rsid w:val="00587D1F"/>
    <w:rsid w:val="00592148"/>
    <w:rsid w:val="005953A1"/>
    <w:rsid w:val="005A2F24"/>
    <w:rsid w:val="005B4DA4"/>
    <w:rsid w:val="005B7EAB"/>
    <w:rsid w:val="005C180F"/>
    <w:rsid w:val="005C36C0"/>
    <w:rsid w:val="005C77BE"/>
    <w:rsid w:val="005D238D"/>
    <w:rsid w:val="005E0B1A"/>
    <w:rsid w:val="005E45C6"/>
    <w:rsid w:val="005F33D1"/>
    <w:rsid w:val="005F4958"/>
    <w:rsid w:val="006003E8"/>
    <w:rsid w:val="00606C85"/>
    <w:rsid w:val="006128A5"/>
    <w:rsid w:val="00613169"/>
    <w:rsid w:val="00615D85"/>
    <w:rsid w:val="0062572C"/>
    <w:rsid w:val="00627AF9"/>
    <w:rsid w:val="00630E07"/>
    <w:rsid w:val="0063784F"/>
    <w:rsid w:val="00637F43"/>
    <w:rsid w:val="006440B1"/>
    <w:rsid w:val="00644A1B"/>
    <w:rsid w:val="00645C5B"/>
    <w:rsid w:val="00646D5F"/>
    <w:rsid w:val="006536D8"/>
    <w:rsid w:val="00654399"/>
    <w:rsid w:val="00654BA4"/>
    <w:rsid w:val="0066195A"/>
    <w:rsid w:val="00664931"/>
    <w:rsid w:val="006670C8"/>
    <w:rsid w:val="006776C9"/>
    <w:rsid w:val="006841A7"/>
    <w:rsid w:val="00693721"/>
    <w:rsid w:val="00694C22"/>
    <w:rsid w:val="006963BC"/>
    <w:rsid w:val="006970F4"/>
    <w:rsid w:val="006972AD"/>
    <w:rsid w:val="006A2ACA"/>
    <w:rsid w:val="006A2E15"/>
    <w:rsid w:val="006B0632"/>
    <w:rsid w:val="006C0377"/>
    <w:rsid w:val="006C1D12"/>
    <w:rsid w:val="006C5ECD"/>
    <w:rsid w:val="006D1CE0"/>
    <w:rsid w:val="006E7CBB"/>
    <w:rsid w:val="006F7028"/>
    <w:rsid w:val="006F749E"/>
    <w:rsid w:val="006F77B3"/>
    <w:rsid w:val="006F7BE7"/>
    <w:rsid w:val="007024F1"/>
    <w:rsid w:val="00712947"/>
    <w:rsid w:val="00713417"/>
    <w:rsid w:val="00714EDD"/>
    <w:rsid w:val="0071543E"/>
    <w:rsid w:val="0071670A"/>
    <w:rsid w:val="00723505"/>
    <w:rsid w:val="007263B9"/>
    <w:rsid w:val="0074136F"/>
    <w:rsid w:val="0075004D"/>
    <w:rsid w:val="0075009F"/>
    <w:rsid w:val="00756FAF"/>
    <w:rsid w:val="00760B62"/>
    <w:rsid w:val="007641FF"/>
    <w:rsid w:val="00767177"/>
    <w:rsid w:val="00775681"/>
    <w:rsid w:val="00781E6A"/>
    <w:rsid w:val="00782ECC"/>
    <w:rsid w:val="0078743D"/>
    <w:rsid w:val="007901CE"/>
    <w:rsid w:val="007905DE"/>
    <w:rsid w:val="00795C55"/>
    <w:rsid w:val="007A23CA"/>
    <w:rsid w:val="007A4202"/>
    <w:rsid w:val="007A50D7"/>
    <w:rsid w:val="007B1F57"/>
    <w:rsid w:val="007B4938"/>
    <w:rsid w:val="007B6CD5"/>
    <w:rsid w:val="007B7391"/>
    <w:rsid w:val="007C6B17"/>
    <w:rsid w:val="007D5934"/>
    <w:rsid w:val="007E3706"/>
    <w:rsid w:val="007F4CD3"/>
    <w:rsid w:val="007F61C2"/>
    <w:rsid w:val="007F71D0"/>
    <w:rsid w:val="008018DB"/>
    <w:rsid w:val="00803CA2"/>
    <w:rsid w:val="00807CAC"/>
    <w:rsid w:val="00807EF5"/>
    <w:rsid w:val="008115BF"/>
    <w:rsid w:val="00816942"/>
    <w:rsid w:val="00820005"/>
    <w:rsid w:val="008212DA"/>
    <w:rsid w:val="00821FD5"/>
    <w:rsid w:val="008223EF"/>
    <w:rsid w:val="00824CBD"/>
    <w:rsid w:val="00824D81"/>
    <w:rsid w:val="0083151E"/>
    <w:rsid w:val="00835322"/>
    <w:rsid w:val="0084181C"/>
    <w:rsid w:val="00843568"/>
    <w:rsid w:val="00853ABC"/>
    <w:rsid w:val="00855FE8"/>
    <w:rsid w:val="0086175B"/>
    <w:rsid w:val="00871D53"/>
    <w:rsid w:val="00871DCE"/>
    <w:rsid w:val="00881405"/>
    <w:rsid w:val="0088205C"/>
    <w:rsid w:val="00890224"/>
    <w:rsid w:val="0089069F"/>
    <w:rsid w:val="00892DC6"/>
    <w:rsid w:val="00895B40"/>
    <w:rsid w:val="00895DA2"/>
    <w:rsid w:val="00897359"/>
    <w:rsid w:val="008A6A02"/>
    <w:rsid w:val="008A7371"/>
    <w:rsid w:val="008B7C2C"/>
    <w:rsid w:val="008B7EC5"/>
    <w:rsid w:val="008C59C7"/>
    <w:rsid w:val="008D02E9"/>
    <w:rsid w:val="008D1DB6"/>
    <w:rsid w:val="008D25B7"/>
    <w:rsid w:val="008D399B"/>
    <w:rsid w:val="008D5479"/>
    <w:rsid w:val="008E0DC0"/>
    <w:rsid w:val="008E0DF5"/>
    <w:rsid w:val="008E3273"/>
    <w:rsid w:val="008E4932"/>
    <w:rsid w:val="008E5FAE"/>
    <w:rsid w:val="008E72C5"/>
    <w:rsid w:val="008E7D0A"/>
    <w:rsid w:val="008F032B"/>
    <w:rsid w:val="008F0C45"/>
    <w:rsid w:val="008F54A5"/>
    <w:rsid w:val="008F703B"/>
    <w:rsid w:val="00904B00"/>
    <w:rsid w:val="009053DE"/>
    <w:rsid w:val="00907770"/>
    <w:rsid w:val="0092024A"/>
    <w:rsid w:val="0092205A"/>
    <w:rsid w:val="009314F0"/>
    <w:rsid w:val="00931DA8"/>
    <w:rsid w:val="00940C0F"/>
    <w:rsid w:val="00951DC3"/>
    <w:rsid w:val="00952710"/>
    <w:rsid w:val="0095548F"/>
    <w:rsid w:val="009603F5"/>
    <w:rsid w:val="00964434"/>
    <w:rsid w:val="00970F65"/>
    <w:rsid w:val="00974035"/>
    <w:rsid w:val="009744C8"/>
    <w:rsid w:val="00974530"/>
    <w:rsid w:val="00977A6A"/>
    <w:rsid w:val="00980E58"/>
    <w:rsid w:val="009815BD"/>
    <w:rsid w:val="00981886"/>
    <w:rsid w:val="00982934"/>
    <w:rsid w:val="009854D1"/>
    <w:rsid w:val="00990102"/>
    <w:rsid w:val="00990FEC"/>
    <w:rsid w:val="00991995"/>
    <w:rsid w:val="00992257"/>
    <w:rsid w:val="009A1B08"/>
    <w:rsid w:val="009A430C"/>
    <w:rsid w:val="009C3CB9"/>
    <w:rsid w:val="009C4A13"/>
    <w:rsid w:val="009C745D"/>
    <w:rsid w:val="009D13E8"/>
    <w:rsid w:val="009D61BE"/>
    <w:rsid w:val="009E1900"/>
    <w:rsid w:val="009E281E"/>
    <w:rsid w:val="009E2D36"/>
    <w:rsid w:val="009F4BA5"/>
    <w:rsid w:val="009F5460"/>
    <w:rsid w:val="009F6D8A"/>
    <w:rsid w:val="009F7DE3"/>
    <w:rsid w:val="00A07154"/>
    <w:rsid w:val="00A11868"/>
    <w:rsid w:val="00A11900"/>
    <w:rsid w:val="00A127D3"/>
    <w:rsid w:val="00A1386C"/>
    <w:rsid w:val="00A14335"/>
    <w:rsid w:val="00A14528"/>
    <w:rsid w:val="00A14B43"/>
    <w:rsid w:val="00A23612"/>
    <w:rsid w:val="00A2604E"/>
    <w:rsid w:val="00A32860"/>
    <w:rsid w:val="00A417A2"/>
    <w:rsid w:val="00A52189"/>
    <w:rsid w:val="00A57463"/>
    <w:rsid w:val="00A664DF"/>
    <w:rsid w:val="00A71219"/>
    <w:rsid w:val="00A713D0"/>
    <w:rsid w:val="00A71D93"/>
    <w:rsid w:val="00A722D4"/>
    <w:rsid w:val="00A72496"/>
    <w:rsid w:val="00A75AAA"/>
    <w:rsid w:val="00A7635A"/>
    <w:rsid w:val="00A8135A"/>
    <w:rsid w:val="00A82A29"/>
    <w:rsid w:val="00A945BC"/>
    <w:rsid w:val="00AA516A"/>
    <w:rsid w:val="00AA5B0E"/>
    <w:rsid w:val="00AB4DBF"/>
    <w:rsid w:val="00AB520B"/>
    <w:rsid w:val="00AC0504"/>
    <w:rsid w:val="00AC1DB7"/>
    <w:rsid w:val="00AC4CCB"/>
    <w:rsid w:val="00AC664F"/>
    <w:rsid w:val="00AC750B"/>
    <w:rsid w:val="00AC7E81"/>
    <w:rsid w:val="00AD4726"/>
    <w:rsid w:val="00AD6937"/>
    <w:rsid w:val="00AE1F12"/>
    <w:rsid w:val="00AE24CC"/>
    <w:rsid w:val="00AE4155"/>
    <w:rsid w:val="00AE4B7C"/>
    <w:rsid w:val="00AE66F6"/>
    <w:rsid w:val="00AF17CE"/>
    <w:rsid w:val="00AF1BF5"/>
    <w:rsid w:val="00AF349B"/>
    <w:rsid w:val="00B009E9"/>
    <w:rsid w:val="00B01B16"/>
    <w:rsid w:val="00B04130"/>
    <w:rsid w:val="00B11D16"/>
    <w:rsid w:val="00B129E0"/>
    <w:rsid w:val="00B13678"/>
    <w:rsid w:val="00B15B2D"/>
    <w:rsid w:val="00B24588"/>
    <w:rsid w:val="00B24919"/>
    <w:rsid w:val="00B24FC4"/>
    <w:rsid w:val="00B447D7"/>
    <w:rsid w:val="00B53097"/>
    <w:rsid w:val="00B61016"/>
    <w:rsid w:val="00B625C5"/>
    <w:rsid w:val="00B66413"/>
    <w:rsid w:val="00B6655D"/>
    <w:rsid w:val="00B71BAA"/>
    <w:rsid w:val="00B73256"/>
    <w:rsid w:val="00B74A88"/>
    <w:rsid w:val="00B76A1F"/>
    <w:rsid w:val="00B8073F"/>
    <w:rsid w:val="00B825A5"/>
    <w:rsid w:val="00B82F8C"/>
    <w:rsid w:val="00B8460F"/>
    <w:rsid w:val="00B95477"/>
    <w:rsid w:val="00BA13EE"/>
    <w:rsid w:val="00BA1D81"/>
    <w:rsid w:val="00BA5A3C"/>
    <w:rsid w:val="00BA7130"/>
    <w:rsid w:val="00BB0C97"/>
    <w:rsid w:val="00BB1262"/>
    <w:rsid w:val="00BB28BF"/>
    <w:rsid w:val="00BB6C1D"/>
    <w:rsid w:val="00BC1E57"/>
    <w:rsid w:val="00BC59BD"/>
    <w:rsid w:val="00BD1C24"/>
    <w:rsid w:val="00BD215F"/>
    <w:rsid w:val="00BD2445"/>
    <w:rsid w:val="00BD4F32"/>
    <w:rsid w:val="00BD523B"/>
    <w:rsid w:val="00BD74AE"/>
    <w:rsid w:val="00BE15E5"/>
    <w:rsid w:val="00BE16BC"/>
    <w:rsid w:val="00BE3FE7"/>
    <w:rsid w:val="00BF2547"/>
    <w:rsid w:val="00BF2D74"/>
    <w:rsid w:val="00BF4CC8"/>
    <w:rsid w:val="00BF75B6"/>
    <w:rsid w:val="00C00C20"/>
    <w:rsid w:val="00C02547"/>
    <w:rsid w:val="00C0408A"/>
    <w:rsid w:val="00C04839"/>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67156"/>
    <w:rsid w:val="00C70729"/>
    <w:rsid w:val="00C71475"/>
    <w:rsid w:val="00C77EF7"/>
    <w:rsid w:val="00C77F0F"/>
    <w:rsid w:val="00C820F1"/>
    <w:rsid w:val="00C827EC"/>
    <w:rsid w:val="00C85A38"/>
    <w:rsid w:val="00C91512"/>
    <w:rsid w:val="00C94A53"/>
    <w:rsid w:val="00CA2DE2"/>
    <w:rsid w:val="00CA3A85"/>
    <w:rsid w:val="00CA6636"/>
    <w:rsid w:val="00CA6D76"/>
    <w:rsid w:val="00CB0696"/>
    <w:rsid w:val="00CB51CC"/>
    <w:rsid w:val="00CC1A72"/>
    <w:rsid w:val="00CC1D3E"/>
    <w:rsid w:val="00CC5692"/>
    <w:rsid w:val="00CC5D1A"/>
    <w:rsid w:val="00CC65F3"/>
    <w:rsid w:val="00CC6AF0"/>
    <w:rsid w:val="00CD56E5"/>
    <w:rsid w:val="00CE0C1B"/>
    <w:rsid w:val="00CE4C34"/>
    <w:rsid w:val="00CE6481"/>
    <w:rsid w:val="00CE64F2"/>
    <w:rsid w:val="00CF0118"/>
    <w:rsid w:val="00CF0C67"/>
    <w:rsid w:val="00CF0F40"/>
    <w:rsid w:val="00CF4753"/>
    <w:rsid w:val="00D0083B"/>
    <w:rsid w:val="00D172D8"/>
    <w:rsid w:val="00D17F0B"/>
    <w:rsid w:val="00D33B17"/>
    <w:rsid w:val="00D35B2D"/>
    <w:rsid w:val="00D41A90"/>
    <w:rsid w:val="00D44183"/>
    <w:rsid w:val="00D5276C"/>
    <w:rsid w:val="00D6384D"/>
    <w:rsid w:val="00D653F3"/>
    <w:rsid w:val="00D66B24"/>
    <w:rsid w:val="00D72018"/>
    <w:rsid w:val="00D8288F"/>
    <w:rsid w:val="00D82D9B"/>
    <w:rsid w:val="00D872BC"/>
    <w:rsid w:val="00DA5132"/>
    <w:rsid w:val="00DA529F"/>
    <w:rsid w:val="00DB5AAE"/>
    <w:rsid w:val="00DB6882"/>
    <w:rsid w:val="00DC5017"/>
    <w:rsid w:val="00DC5129"/>
    <w:rsid w:val="00DC783F"/>
    <w:rsid w:val="00DD7EC8"/>
    <w:rsid w:val="00DD7F1B"/>
    <w:rsid w:val="00DE0E7F"/>
    <w:rsid w:val="00DE63B7"/>
    <w:rsid w:val="00DF5F20"/>
    <w:rsid w:val="00E059B8"/>
    <w:rsid w:val="00E1100C"/>
    <w:rsid w:val="00E11870"/>
    <w:rsid w:val="00E12A7A"/>
    <w:rsid w:val="00E13F3A"/>
    <w:rsid w:val="00E27FD6"/>
    <w:rsid w:val="00E41DB9"/>
    <w:rsid w:val="00E52385"/>
    <w:rsid w:val="00E6029D"/>
    <w:rsid w:val="00E676B3"/>
    <w:rsid w:val="00E73872"/>
    <w:rsid w:val="00E762BB"/>
    <w:rsid w:val="00E77026"/>
    <w:rsid w:val="00E80A20"/>
    <w:rsid w:val="00E81A2D"/>
    <w:rsid w:val="00E83E30"/>
    <w:rsid w:val="00E8661B"/>
    <w:rsid w:val="00E9084E"/>
    <w:rsid w:val="00E962E6"/>
    <w:rsid w:val="00EA07AC"/>
    <w:rsid w:val="00EA689F"/>
    <w:rsid w:val="00EB1CAB"/>
    <w:rsid w:val="00EC1434"/>
    <w:rsid w:val="00EC4225"/>
    <w:rsid w:val="00EC72B0"/>
    <w:rsid w:val="00EC77DB"/>
    <w:rsid w:val="00ED1AD3"/>
    <w:rsid w:val="00EE248C"/>
    <w:rsid w:val="00EF25D8"/>
    <w:rsid w:val="00EF33BE"/>
    <w:rsid w:val="00EF4BEF"/>
    <w:rsid w:val="00EF4F97"/>
    <w:rsid w:val="00F02165"/>
    <w:rsid w:val="00F126FC"/>
    <w:rsid w:val="00F12983"/>
    <w:rsid w:val="00F15359"/>
    <w:rsid w:val="00F17455"/>
    <w:rsid w:val="00F245A2"/>
    <w:rsid w:val="00F309CB"/>
    <w:rsid w:val="00F33EEE"/>
    <w:rsid w:val="00F41919"/>
    <w:rsid w:val="00F44A0E"/>
    <w:rsid w:val="00F4501D"/>
    <w:rsid w:val="00F4763C"/>
    <w:rsid w:val="00F540BA"/>
    <w:rsid w:val="00F64069"/>
    <w:rsid w:val="00F64D6D"/>
    <w:rsid w:val="00F75057"/>
    <w:rsid w:val="00F7710F"/>
    <w:rsid w:val="00F82EE1"/>
    <w:rsid w:val="00F91CB3"/>
    <w:rsid w:val="00F93134"/>
    <w:rsid w:val="00FA415A"/>
    <w:rsid w:val="00FB078F"/>
    <w:rsid w:val="00FC3F00"/>
    <w:rsid w:val="00FE12E0"/>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7C634-C3E1-4B7B-9279-482CE236C3AE}">
  <ds:schemaRefs>
    <ds:schemaRef ds:uri="Microsoft.SharePoint.Taxonomy.ContentTypeSync"/>
  </ds:schemaRefs>
</ds:datastoreItem>
</file>

<file path=customXml/itemProps2.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e8733a2-e908-454b-85cf-c9d17e1d094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5C40BB6-6DD2-45F7-A26F-34467A7E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2025-05-22T18:23:00Z</dcterms:created>
  <dcterms:modified xsi:type="dcterms:W3CDTF">2025-05-22T18:23:00Z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58668843-0925-42d0-bc77-0877dd7fd1f8</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2025-03-14T18:15:46Z</vt:lpwstr>
  </property>
  <property fmtid="{D5CDD505-2E9C-101B-9397-08002B2CF9AE}" pid="8" name="MSIP_Label_bd24d06a-0e85-4d57-b1e0-ba34b1abc708_SiteId">
    <vt:lpwstr>19caa9e9-04ff-43fa-885f-d77fac387903</vt:lpwstr>
  </property>
</Properties>
</file>