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B24919" w:rsidP="00A2604E" w14:paraId="1502CB1A" w14:textId="77777777">
      <w:pPr>
        <w:jc w:val="center"/>
        <w:rPr>
          <w:b/>
          <w:bCs/>
        </w:rPr>
      </w:pPr>
      <w:r w:rsidRPr="00B24919">
        <w:rPr>
          <w:b/>
          <w:bCs/>
        </w:rPr>
        <w:t>UNITED STATES OF AMERICA</w:t>
      </w:r>
    </w:p>
    <w:p w:rsidR="00A2604E" w:rsidRPr="00B24919" w:rsidP="00A2604E" w14:paraId="273661E3" w14:textId="77777777">
      <w:pPr>
        <w:jc w:val="center"/>
        <w:rPr>
          <w:b/>
          <w:bCs/>
        </w:rPr>
      </w:pPr>
      <w:r w:rsidRPr="00B24919">
        <w:rPr>
          <w:b/>
          <w:bCs/>
        </w:rPr>
        <w:t>FEDERAL ENERGY REGULATORY COMMISSION</w:t>
      </w:r>
    </w:p>
    <w:p w:rsidR="00A2604E" w:rsidRPr="00B24919" w:rsidP="00A2604E" w14:paraId="6C561934" w14:textId="77777777">
      <w:pPr>
        <w:rPr>
          <w:b/>
          <w:bCs/>
        </w:rPr>
      </w:pPr>
    </w:p>
    <w:p w:rsidR="00A2604E" w:rsidRPr="00B24919" w:rsidP="00A2604E" w14:paraId="3E11D4A1" w14:textId="0AF1ECD5">
      <w:pPr>
        <w:jc w:val="center"/>
        <w:rPr>
          <w:b/>
          <w:bCs/>
        </w:rPr>
      </w:pPr>
      <w:r w:rsidRPr="00B24919">
        <w:rPr>
          <w:b/>
          <w:bCs/>
        </w:rPr>
        <w:t xml:space="preserve">[Docket No. </w:t>
      </w:r>
      <w:r w:rsidRPr="00B24919" w:rsidR="00613169">
        <w:rPr>
          <w:b/>
          <w:bCs/>
        </w:rPr>
        <w:t>IC</w:t>
      </w:r>
      <w:r w:rsidRPr="00B24919" w:rsidR="00FB078F">
        <w:rPr>
          <w:b/>
          <w:bCs/>
        </w:rPr>
        <w:t>2</w:t>
      </w:r>
      <w:r w:rsidR="00EA07AC">
        <w:rPr>
          <w:b/>
          <w:bCs/>
        </w:rPr>
        <w:t>5</w:t>
      </w:r>
      <w:r w:rsidRPr="00B24919" w:rsidR="00613169">
        <w:rPr>
          <w:b/>
          <w:bCs/>
        </w:rPr>
        <w:t>-</w:t>
      </w:r>
      <w:r w:rsidR="0084181C">
        <w:rPr>
          <w:b/>
          <w:bCs/>
        </w:rPr>
        <w:t>1</w:t>
      </w:r>
      <w:r w:rsidR="00E80A20">
        <w:rPr>
          <w:b/>
          <w:bCs/>
        </w:rPr>
        <w:t>1</w:t>
      </w:r>
      <w:r w:rsidRPr="00B24919" w:rsidR="00613169">
        <w:rPr>
          <w:b/>
          <w:bCs/>
        </w:rPr>
        <w:t>-000</w:t>
      </w:r>
      <w:r w:rsidRPr="00B24919">
        <w:rPr>
          <w:b/>
          <w:bCs/>
        </w:rPr>
        <w:t>]</w:t>
      </w:r>
    </w:p>
    <w:p w:rsidR="00A2604E" w:rsidRPr="00B24919" w:rsidP="00A2604E" w14:paraId="4D16FE54" w14:textId="77777777">
      <w:pPr>
        <w:rPr>
          <w:b/>
          <w:bCs/>
        </w:rPr>
      </w:pPr>
    </w:p>
    <w:p w:rsidR="00A2604E" w:rsidRPr="00B24919" w:rsidP="00A2604E" w14:paraId="0627AE31" w14:textId="7CEFD012">
      <w:pPr>
        <w:jc w:val="center"/>
        <w:rPr>
          <w:b/>
          <w:bCs/>
        </w:rPr>
      </w:pPr>
      <w:r w:rsidRPr="00B24919">
        <w:rPr>
          <w:b/>
          <w:bCs/>
        </w:rPr>
        <w:t>COMMISSION INFORMATION COLLECTION ACTIVITIES (FERC-</w:t>
      </w:r>
      <w:r w:rsidRPr="00B24919" w:rsidR="00491543">
        <w:rPr>
          <w:b/>
          <w:bCs/>
        </w:rPr>
        <w:t>7</w:t>
      </w:r>
      <w:r w:rsidR="00E80A20">
        <w:rPr>
          <w:b/>
          <w:bCs/>
        </w:rPr>
        <w:t>25K</w:t>
      </w:r>
      <w:r w:rsidRPr="00B24919">
        <w:rPr>
          <w:b/>
          <w:bCs/>
        </w:rPr>
        <w:t>);</w:t>
      </w:r>
    </w:p>
    <w:p w:rsidR="00A2604E" w:rsidRPr="00B24919" w:rsidP="00A2604E" w14:paraId="3B5240D4" w14:textId="77777777">
      <w:pPr>
        <w:jc w:val="center"/>
        <w:rPr>
          <w:b/>
          <w:bCs/>
        </w:rPr>
      </w:pPr>
      <w:r w:rsidRPr="00B24919">
        <w:rPr>
          <w:b/>
          <w:bCs/>
        </w:rPr>
        <w:t>COMMENT REQUEST; EXTENSION</w:t>
      </w:r>
    </w:p>
    <w:p w:rsidR="00881405" w:rsidRPr="00B24919" w:rsidP="00A2604E" w14:paraId="5D8DD33D" w14:textId="77777777">
      <w:pPr>
        <w:jc w:val="center"/>
        <w:rPr>
          <w:b/>
          <w:bCs/>
        </w:rPr>
      </w:pPr>
    </w:p>
    <w:p w:rsidR="00082EC9" w:rsidP="00E77D01" w14:paraId="04B5CD29" w14:textId="1C83C84E">
      <w:pPr>
        <w:jc w:val="center"/>
        <w:rPr>
          <w:b/>
          <w:bCs/>
        </w:rPr>
      </w:pPr>
      <w:r w:rsidRPr="00E77D01">
        <w:rPr>
          <w:b/>
          <w:bCs/>
        </w:rPr>
        <w:t>(June 26, 2025)</w:t>
      </w:r>
    </w:p>
    <w:p w:rsidR="00E77D01" w:rsidRPr="00E77D01" w:rsidP="00E77D01" w14:paraId="7A1322A0"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A2604E" w:rsidRPr="00C0408A" w:rsidP="00A2604E" w14:paraId="59F663B1" w14:textId="7092388B">
      <w:pPr>
        <w:spacing w:line="480" w:lineRule="auto"/>
        <w:rPr>
          <w:szCs w:val="26"/>
        </w:rPr>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w:t>
      </w:r>
      <w:r w:rsidRPr="00E73872" w:rsidR="00E73872">
        <w:t xml:space="preserve"> </w:t>
      </w:r>
      <w:bookmarkStart w:id="1" w:name="_Hlk194401715"/>
      <w:r w:rsidRPr="00E73872" w:rsidR="00E73872">
        <w:t>FERC-725K (Mandatory Reliability Standards for the SERC Region)</w:t>
      </w:r>
      <w:bookmarkEnd w:id="1"/>
      <w:r w:rsidR="00CC5692">
        <w:t>.</w:t>
      </w:r>
      <w:r w:rsidR="00EE248C">
        <w:t xml:space="preserve"> There are no changes to the reporting requirements with this information collection.</w:t>
      </w:r>
      <w:r w:rsidR="00AC438B">
        <w:t xml:space="preserve"> No comments were received on the 60-day notice that ended on June </w:t>
      </w:r>
      <w:r w:rsidR="00954FA1">
        <w:t>24</w:t>
      </w:r>
      <w:r w:rsidR="00AC438B">
        <w:t>, 2025.</w:t>
      </w:r>
    </w:p>
    <w:p w:rsidR="00AC438B" w:rsidRPr="006D65AB" w:rsidP="00AC438B" w14:paraId="40C2FE15" w14:textId="77777777">
      <w:pPr>
        <w:spacing w:line="480" w:lineRule="auto"/>
      </w:pPr>
      <w:r w:rsidRPr="006D65AB">
        <w:rPr>
          <w:b/>
          <w:bCs/>
        </w:rPr>
        <w:t>DATES:</w:t>
      </w:r>
      <w:r w:rsidRPr="006D65AB">
        <w:t xml:space="preserve">  Comments on the collection of information are due </w:t>
      </w:r>
      <w:r w:rsidRPr="006D65AB">
        <w:rPr>
          <w:b/>
          <w:bCs/>
        </w:rPr>
        <w:t>[INSERT DATE 30 DAYS AFTER DATE OF PUBLICATION IN THE FEDERAL REGISTER]</w:t>
      </w:r>
      <w:r w:rsidRPr="006D65AB">
        <w:t>.  </w:t>
      </w:r>
    </w:p>
    <w:p w:rsidR="00AC438B" w:rsidRPr="006D65AB" w:rsidP="00AC438B" w14:paraId="139A519D" w14:textId="4542C597">
      <w:pPr>
        <w:spacing w:line="480" w:lineRule="auto"/>
      </w:pPr>
      <w:r w:rsidRPr="006D65AB">
        <w:rPr>
          <w:b/>
          <w:bCs/>
        </w:rPr>
        <w:t>ADDRESSES:</w:t>
      </w:r>
      <w:r w:rsidRPr="006D65AB">
        <w:t xml:space="preserve"> Send written comments on FERC-</w:t>
      </w:r>
      <w:r w:rsidR="002179AC">
        <w:t>725K</w:t>
      </w:r>
      <w:r w:rsidRPr="006D65AB">
        <w:t xml:space="preserve"> to OMB through https://www.reginfo.gov/public/do/PRA/icrPublicCommentRequest?ref_nbr=20250</w:t>
      </w:r>
      <w:r w:rsidR="008E4357">
        <w:t>5</w:t>
      </w:r>
      <w:r w:rsidRPr="006D65AB">
        <w:t>-1902-00</w:t>
      </w:r>
      <w:r w:rsidR="008E4357">
        <w:t>2</w:t>
      </w:r>
      <w:r w:rsidRPr="006D65AB">
        <w:t xml:space="preserve">.  You can also visit </w:t>
      </w:r>
      <w:hyperlink r:id="rId10" w:tgtFrame="_blank" w:history="1">
        <w:r w:rsidRPr="006D65AB">
          <w:rPr>
            <w:rStyle w:val="Hyperlink"/>
          </w:rPr>
          <w:t>https://www.reginfo.gov/public/do/PRAMain</w:t>
        </w:r>
      </w:hyperlink>
      <w:r w:rsidRPr="006D65AB">
        <w:t xml:space="preserve"> and use the drop-down under “Currently under Review” to select the “Federal Energy Regulatory Commission” where you can see the open opportunities to provide comments. Comments should be sent within 30 days of publication of this notice. </w:t>
      </w:r>
    </w:p>
    <w:p w:rsidR="00AC438B" w:rsidRPr="006D65AB" w:rsidP="00AC438B" w14:paraId="2239A052" w14:textId="61E7EA23">
      <w:pPr>
        <w:spacing w:line="480" w:lineRule="auto"/>
      </w:pPr>
      <w:r w:rsidRPr="006D65AB">
        <w:t xml:space="preserve">Please submit a copy of your comments to the Commission via email to </w:t>
      </w:r>
      <w:hyperlink r:id="rId11" w:tgtFrame="_blank" w:history="1">
        <w:r w:rsidRPr="006D65AB">
          <w:rPr>
            <w:rStyle w:val="Hyperlink"/>
          </w:rPr>
          <w:t>DataClearance@FERC.gov</w:t>
        </w:r>
      </w:hyperlink>
      <w:r w:rsidRPr="006D65AB">
        <w:t>. You must specify the Docket No. (IC25-</w:t>
      </w:r>
      <w:r>
        <w:t>1</w:t>
      </w:r>
      <w:r w:rsidR="002179AC">
        <w:t>1</w:t>
      </w:r>
      <w:r w:rsidRPr="006D65AB">
        <w:t>-000) and the FERC Information Collection number (FERC-</w:t>
      </w:r>
      <w:r>
        <w:t>7</w:t>
      </w:r>
      <w:r w:rsidR="002179AC">
        <w:t>25K</w:t>
      </w:r>
      <w:r w:rsidRPr="006D65AB">
        <w:t>) in your email. If you are unable to file electronically, comments may be filed by USPS mail or by hand (including courier) delivery: </w:t>
      </w:r>
    </w:p>
    <w:p w:rsidR="00AC438B" w:rsidRPr="006D65AB" w:rsidP="00AC438B" w14:paraId="17C82AAE" w14:textId="77777777">
      <w:pPr>
        <w:numPr>
          <w:ilvl w:val="0"/>
          <w:numId w:val="10"/>
        </w:numPr>
        <w:spacing w:line="480" w:lineRule="auto"/>
      </w:pPr>
      <w:r w:rsidRPr="006D65AB">
        <w:t>Mail via U.S. Postal Service Only: Federal Energy Regulatory Commission, Secretary of the Commission, 888 First Street, N.E., Washington, DC 20426. </w:t>
      </w:r>
    </w:p>
    <w:p w:rsidR="00AC438B" w:rsidRPr="006D65AB" w:rsidP="00AC438B" w14:paraId="751A1439" w14:textId="77777777">
      <w:pPr>
        <w:numPr>
          <w:ilvl w:val="0"/>
          <w:numId w:val="11"/>
        </w:numPr>
        <w:spacing w:line="480" w:lineRule="auto"/>
      </w:pPr>
      <w:r w:rsidRPr="006D65AB">
        <w:t>All other delivery methods: Federal Energy Regulatory Commission, Secretary of the Commission, 12225 Wilkins Avenue, Rockville, MD 20852. </w:t>
      </w:r>
    </w:p>
    <w:p w:rsidR="00AC438B" w:rsidRPr="006D65AB" w:rsidP="00AC438B" w14:paraId="0486C5B2" w14:textId="1307E66E">
      <w:pPr>
        <w:spacing w:line="480" w:lineRule="auto"/>
      </w:pPr>
      <w:r w:rsidRPr="006D65AB">
        <w:rPr>
          <w:i/>
          <w:iCs/>
        </w:rPr>
        <w:t>Docket</w:t>
      </w:r>
      <w:r w:rsidRPr="006D65AB">
        <w:t xml:space="preserve">:  To view comments and issuances in this docket, please visit </w:t>
      </w:r>
      <w:hyperlink r:id="rId12" w:tgtFrame="_blank" w:history="1">
        <w:r w:rsidRPr="006D65AB">
          <w:rPr>
            <w:rStyle w:val="Hyperlink"/>
          </w:rPr>
          <w:t>https://elibrary.ferc.gov/eLibrary/search</w:t>
        </w:r>
      </w:hyperlink>
      <w:r w:rsidRPr="006D65AB">
        <w:t>. Once there, you can also sign-up for automatic notification of activity in this docket.  </w:t>
      </w:r>
    </w:p>
    <w:p w:rsidR="00AC438B" w:rsidP="008212DA" w14:paraId="38721861" w14:textId="2B820E8A">
      <w:pPr>
        <w:spacing w:line="480" w:lineRule="auto"/>
        <w:rPr>
          <w:b/>
        </w:rPr>
      </w:pPr>
      <w:r w:rsidRPr="006D65AB">
        <w:rPr>
          <w:b/>
          <w:bCs/>
        </w:rPr>
        <w:t>FOR FURTHER INFORMATION CONTACT:</w:t>
      </w:r>
      <w:r w:rsidRPr="006D65AB">
        <w:t xml:space="preserve">  Kayla Williams, (202) 502-6468. </w:t>
      </w:r>
      <w:hyperlink r:id="rId11" w:tgtFrame="_blank" w:history="1">
        <w:r w:rsidRPr="006D65AB">
          <w:rPr>
            <w:rStyle w:val="Hyperlink"/>
          </w:rPr>
          <w:t>DataClearance@FERC.gov</w:t>
        </w:r>
      </w:hyperlink>
      <w:r w:rsidRPr="006D65AB">
        <w:rPr>
          <w:b/>
        </w:rPr>
        <w:t> </w:t>
      </w:r>
    </w:p>
    <w:p w:rsidR="008212DA" w:rsidRPr="008212DA" w:rsidP="008212DA" w14:paraId="4891BEC5" w14:textId="7DB8DFE4">
      <w:pPr>
        <w:spacing w:line="480" w:lineRule="auto"/>
      </w:pPr>
      <w:r w:rsidRPr="008212DA">
        <w:rPr>
          <w:b/>
        </w:rPr>
        <w:t>SUPPLEMENTARY INFORMATION:</w:t>
      </w:r>
      <w:r w:rsidRPr="008212DA">
        <w:t xml:space="preserve">  </w:t>
      </w:r>
    </w:p>
    <w:p w:rsidR="00C0408A" w:rsidRPr="00C0408A" w:rsidP="00C0408A" w14:paraId="4A225339" w14:textId="53577175">
      <w:pPr>
        <w:spacing w:line="480" w:lineRule="auto"/>
        <w:rPr>
          <w:szCs w:val="26"/>
        </w:rPr>
      </w:pPr>
      <w:bookmarkStart w:id="2" w:name="_Hlk173308440"/>
      <w:r w:rsidRPr="00C0408A">
        <w:rPr>
          <w:i/>
          <w:szCs w:val="26"/>
        </w:rPr>
        <w:t xml:space="preserve">Title: </w:t>
      </w:r>
      <w:r w:rsidRPr="00E73872" w:rsidR="00E73872">
        <w:rPr>
          <w:szCs w:val="26"/>
        </w:rPr>
        <w:t>FERC-725K (Mandatory Reliability Standards for the SERC Region)</w:t>
      </w:r>
    </w:p>
    <w:bookmarkEnd w:id="2"/>
    <w:p w:rsidR="00C0408A" w:rsidRPr="00C0408A" w:rsidP="00C0408A" w14:paraId="21DF86AE" w14:textId="652A5DD8">
      <w:pPr>
        <w:spacing w:line="480" w:lineRule="auto"/>
        <w:rPr>
          <w:szCs w:val="26"/>
        </w:rPr>
      </w:pPr>
      <w:r w:rsidRPr="00C0408A">
        <w:rPr>
          <w:i/>
          <w:szCs w:val="26"/>
        </w:rPr>
        <w:t>OMB Control No.:</w:t>
      </w:r>
      <w:r w:rsidRPr="00C0408A">
        <w:rPr>
          <w:szCs w:val="26"/>
        </w:rPr>
        <w:t xml:space="preserve"> 1902-0</w:t>
      </w:r>
      <w:r w:rsidR="00E73872">
        <w:rPr>
          <w:szCs w:val="26"/>
        </w:rPr>
        <w:t>260</w:t>
      </w:r>
    </w:p>
    <w:p w:rsidR="00C0408A" w:rsidRPr="00C0408A" w:rsidP="00C0408A" w14:paraId="173E73F1" w14:textId="21CB5157">
      <w:pPr>
        <w:spacing w:line="480" w:lineRule="auto"/>
        <w:rPr>
          <w:szCs w:val="26"/>
        </w:rPr>
      </w:pPr>
      <w:r w:rsidRPr="00C0408A">
        <w:rPr>
          <w:i/>
          <w:szCs w:val="26"/>
        </w:rPr>
        <w:t>Type of Request:</w:t>
      </w:r>
      <w:r w:rsidRPr="00C0408A">
        <w:rPr>
          <w:szCs w:val="26"/>
        </w:rPr>
        <w:t xml:space="preserve"> Three-year extension of the FERC-7</w:t>
      </w:r>
      <w:r w:rsidR="00E73872">
        <w:rPr>
          <w:szCs w:val="26"/>
        </w:rPr>
        <w:t>25K</w:t>
      </w:r>
      <w:r w:rsidRPr="00C0408A">
        <w:rPr>
          <w:szCs w:val="26"/>
        </w:rPr>
        <w:t xml:space="preserve"> information collection requirements with no changes to the current reporting requirements. </w:t>
      </w:r>
    </w:p>
    <w:p w:rsidR="00362A2C" w:rsidRPr="00362A2C" w:rsidP="00362A2C" w14:paraId="29FD2CB2" w14:textId="77777777">
      <w:pPr>
        <w:spacing w:line="480" w:lineRule="auto"/>
      </w:pPr>
      <w:r w:rsidRPr="00E73872">
        <w:rPr>
          <w:rFonts w:eastAsia="Calibri"/>
          <w:i/>
          <w:iCs/>
          <w:szCs w:val="26"/>
        </w:rPr>
        <w:t>Abstract:</w:t>
      </w:r>
      <w:r>
        <w:rPr>
          <w:rFonts w:eastAsia="Calibri"/>
          <w:szCs w:val="26"/>
        </w:rPr>
        <w:t xml:space="preserve"> </w:t>
      </w:r>
      <w:r w:rsidRPr="00362A2C">
        <w:t xml:space="preserve">Section 215 of the Federal Power Act (FPA) requires a Commission-certified Electric Reliability Organization (ERO) to develop mandatory and enforceable Reliability Standards, which are subject to Commission review and approval.  Once </w:t>
      </w:r>
      <w:r w:rsidRPr="00362A2C">
        <w:t xml:space="preserve">approved, the Reliability Standards may be enforced by NERC, subject to Commission oversight, or by the Commission independently.   </w:t>
      </w:r>
    </w:p>
    <w:p w:rsidR="00362A2C" w:rsidRPr="00362A2C" w:rsidP="00362A2C" w14:paraId="70A86EB8" w14:textId="1060DF98">
      <w:pPr>
        <w:spacing w:line="480" w:lineRule="auto"/>
      </w:pPr>
      <w:r w:rsidRPr="00362A2C">
        <w:t>Reliability Standards that NERC proposes to the Commission may include Reliability Standards that are proposed by a Regional Entity to be effective in that region.  In Order No. 672, the Commission noted that:</w:t>
      </w:r>
    </w:p>
    <w:p w:rsidR="00362A2C" w:rsidRPr="00362A2C" w:rsidP="00362A2C" w14:paraId="08AC82AE" w14:textId="77777777">
      <w:pPr>
        <w:spacing w:line="480" w:lineRule="auto"/>
        <w:ind w:left="720"/>
      </w:pPr>
      <w:r w:rsidRPr="00362A2C">
        <w:t>As a general matter, we will accept the following two types of regional differences, provided they are otherwise just, reasonable, not unduly discriminatory or preferential and in the public interest, as required under the statute:  (1) a regional difference that is more stringent than the continent-wide Reliability Standard, including a regional difference that addresses matters that the continent-wide Reliability Standard does not; and (2) a regional Reliability Standard that is necessitated by a physical difference in the Bulk-Power System.</w:t>
      </w:r>
    </w:p>
    <w:p w:rsidR="00362A2C" w:rsidRPr="00362A2C" w:rsidP="00362A2C" w14:paraId="5D1E0E2C" w14:textId="6F6E8A34">
      <w:pPr>
        <w:spacing w:line="480" w:lineRule="auto"/>
      </w:pPr>
      <w:r w:rsidRPr="00362A2C">
        <w:t xml:space="preserve">When NERC reviews a regional Reliability Standard that would be applicable on an interconnection-wide basis and that has been proposed by a Regional Entity organized on an interconnection-wide basis, NERC must rebuttably presume that the regional Reliability Standard is just, reasonable, not unduly discriminatory or preferential, and in the public interest.  In turn, the Commission must give “due weight” to the technical expertise of NERC and of a Regional Entity organized on an interconnection-wide basis. </w:t>
      </w:r>
    </w:p>
    <w:p w:rsidR="00964434" w:rsidP="00362A2C" w14:paraId="6A58DA45" w14:textId="190E3275">
      <w:pPr>
        <w:spacing w:line="480" w:lineRule="auto"/>
        <w:ind w:firstLine="720"/>
      </w:pPr>
      <w:r w:rsidRPr="00362A2C">
        <w:t xml:space="preserve">On April 19, 2007, the Commission accepted delegation agreements between NERC and each of the eight Regional Entities.  In the order, the Commission accepted SERC as a Regional Entity organized on less than an interconnection-wide basis.  As a Regional Entity, SERC oversees Bulk-Power System reliability within the SERC Region, </w:t>
      </w:r>
      <w:r w:rsidRPr="00362A2C">
        <w:t>which covers a geographic area of approximately 560,000 square miles in a sixteen-state area in the southeastern and central United States (all of Missouri, Alabama, Tennessee, North Carolina, South Carolina, Georgia, Mississippi, and portions of Iowa, Illinois, Kentucky, Virginia, Oklahoma, Arkansas, Louisiana, Texas and Florida).  The SERC Region is currently geographically divided into five subregions that are identified as Southeastern, Central, VACAR, Delta, and Gateway.</w:t>
      </w:r>
      <w:r w:rsidR="006972AD">
        <w:t xml:space="preserve"> </w:t>
      </w:r>
    </w:p>
    <w:p w:rsidR="00362A2C" w:rsidRPr="00362A2C" w:rsidP="00362A2C" w14:paraId="65129A54" w14:textId="3BD91202">
      <w:pPr>
        <w:spacing w:line="480" w:lineRule="auto"/>
        <w:ind w:firstLine="720"/>
      </w:pPr>
      <w:r>
        <w:t xml:space="preserve">For this renewal, there is only one SERC </w:t>
      </w:r>
      <w:r w:rsidR="00153FFB">
        <w:t>region Reliability Standard, PRC-006-SERC-3 (</w:t>
      </w:r>
      <w:r w:rsidR="00217688">
        <w:t>Automatic Underfrequency Load Shedding Requirements)</w:t>
      </w:r>
      <w:r w:rsidR="00BB6C1D">
        <w:t xml:space="preserve">.  PRC-006-SERC-3 is applicable to </w:t>
      </w:r>
      <w:r w:rsidR="006440B1">
        <w:t xml:space="preserve">these </w:t>
      </w:r>
      <w:r w:rsidR="000B03CA">
        <w:t xml:space="preserve">SERC </w:t>
      </w:r>
      <w:r w:rsidR="006440B1">
        <w:t>entities</w:t>
      </w:r>
      <w:r w:rsidR="000B03CA">
        <w:t>, 27</w:t>
      </w:r>
      <w:r w:rsidR="00B24FC4">
        <w:t xml:space="preserve"> </w:t>
      </w:r>
      <w:r w:rsidR="00B825A5">
        <w:t>p</w:t>
      </w:r>
      <w:r w:rsidR="00BB6C1D">
        <w:t xml:space="preserve">lanning </w:t>
      </w:r>
      <w:r w:rsidR="00B825A5">
        <w:t>c</w:t>
      </w:r>
      <w:r w:rsidR="00BB6C1D">
        <w:t>oordinators (PC)</w:t>
      </w:r>
      <w:r w:rsidR="00B825A5">
        <w:t xml:space="preserve">, </w:t>
      </w:r>
      <w:r w:rsidR="000B03CA">
        <w:t xml:space="preserve">212 </w:t>
      </w:r>
      <w:r w:rsidR="006F77B3">
        <w:t xml:space="preserve">generator owners (GO), and UFLS entities made up </w:t>
      </w:r>
      <w:r w:rsidR="00892DC6">
        <w:t xml:space="preserve">70 </w:t>
      </w:r>
      <w:r w:rsidR="006F77B3">
        <w:t xml:space="preserve">transmission owners (TO) and </w:t>
      </w:r>
      <w:r w:rsidR="00892DC6">
        <w:t xml:space="preserve">95 </w:t>
      </w:r>
      <w:r w:rsidR="006440B1">
        <w:t>distribution providers</w:t>
      </w:r>
      <w:r w:rsidR="00892DC6">
        <w:t xml:space="preserve">.  </w:t>
      </w:r>
    </w:p>
    <w:p w:rsidR="00362A2C" w:rsidRPr="00362A2C" w:rsidP="00362A2C" w14:paraId="15B77B62" w14:textId="77777777">
      <w:pPr>
        <w:spacing w:line="480" w:lineRule="auto"/>
      </w:pPr>
      <w:r w:rsidRPr="00362A2C">
        <w:rPr>
          <w:i/>
        </w:rPr>
        <w:t xml:space="preserve">Type of Respondents: </w:t>
      </w:r>
      <w:r w:rsidRPr="00362A2C">
        <w:t>Entities registered with the North American Electric Reliability Corporation (within the SERC region).</w:t>
      </w:r>
    </w:p>
    <w:p w:rsidR="00362A2C" w:rsidRPr="00362A2C" w:rsidP="00362A2C" w14:paraId="3B052389" w14:textId="77777777">
      <w:pPr>
        <w:spacing w:line="480" w:lineRule="auto"/>
      </w:pPr>
      <w:r w:rsidRPr="00362A2C">
        <w:rPr>
          <w:i/>
        </w:rPr>
        <w:t>Estimate of Annual Burden</w:t>
      </w:r>
      <w:r>
        <w:rPr>
          <w:b/>
          <w:i/>
          <w:szCs w:val="26"/>
          <w:vertAlign w:val="superscript"/>
        </w:rPr>
        <w:footnoteReference w:id="3"/>
      </w:r>
      <w:r w:rsidRPr="00362A2C">
        <w:rPr>
          <w:i/>
        </w:rPr>
        <w:t xml:space="preserve">: </w:t>
      </w:r>
      <w:r w:rsidRPr="00362A2C">
        <w:t>The Commission estimates the annual reporting burden and cost for the information collection as:</w:t>
      </w:r>
      <w:r w:rsidRPr="00362A2C">
        <w:tab/>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709"/>
        <w:gridCol w:w="1380"/>
        <w:gridCol w:w="1412"/>
        <w:gridCol w:w="1352"/>
        <w:gridCol w:w="1619"/>
        <w:gridCol w:w="1350"/>
      </w:tblGrid>
      <w:tr w14:paraId="2A2AE31A" w14:textId="77777777" w:rsidTr="00B8073F">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362A2C" w:rsidRPr="00824CBD" w:rsidP="00362A2C" w14:paraId="4F311CCE" w14:textId="77777777">
            <w:pPr>
              <w:jc w:val="center"/>
              <w:rPr>
                <w:rFonts w:eastAsia="Calibri"/>
                <w:b/>
                <w:szCs w:val="26"/>
              </w:rPr>
            </w:pPr>
            <w:r w:rsidRPr="00824CBD">
              <w:rPr>
                <w:rFonts w:eastAsia="Calibri"/>
                <w:b/>
                <w:szCs w:val="26"/>
              </w:rPr>
              <w:t>FERC-725K: Mandatory Reliability Standard for the SERC Region</w:t>
            </w:r>
          </w:p>
        </w:tc>
      </w:tr>
      <w:tr w14:paraId="1F720C2A" w14:textId="77777777" w:rsidTr="00B8073F">
        <w:tblPrEx>
          <w:tblW w:w="5426" w:type="pct"/>
          <w:tblInd w:w="-72" w:type="dxa"/>
          <w:tblLayout w:type="fixed"/>
          <w:tblLook w:val="01E0"/>
        </w:tblPrEx>
        <w:trPr>
          <w:cantSplit/>
        </w:trPr>
        <w:tc>
          <w:tcPr>
            <w:tcW w:w="653" w:type="pct"/>
            <w:shd w:val="clear" w:color="auto" w:fill="D9D9D9"/>
          </w:tcPr>
          <w:p w:rsidR="00362A2C" w:rsidRPr="00824CBD" w:rsidP="00362A2C" w14:paraId="4A57353C" w14:textId="73DAE8C4">
            <w:pPr>
              <w:jc w:val="center"/>
              <w:rPr>
                <w:rFonts w:eastAsia="Calibri"/>
                <w:b/>
                <w:szCs w:val="26"/>
              </w:rPr>
            </w:pPr>
            <w:r>
              <w:rPr>
                <w:rFonts w:eastAsia="Calibri"/>
                <w:b/>
                <w:szCs w:val="26"/>
              </w:rPr>
              <w:t xml:space="preserve"> </w:t>
            </w:r>
          </w:p>
        </w:tc>
        <w:tc>
          <w:tcPr>
            <w:tcW w:w="842" w:type="pct"/>
            <w:shd w:val="clear" w:color="auto" w:fill="D9D9D9"/>
            <w:vAlign w:val="bottom"/>
          </w:tcPr>
          <w:p w:rsidR="00362A2C" w:rsidRPr="00824CBD" w:rsidP="00362A2C" w14:paraId="0EA22201" w14:textId="3F6848D5">
            <w:pPr>
              <w:jc w:val="center"/>
              <w:rPr>
                <w:rFonts w:eastAsia="Calibri"/>
                <w:b/>
                <w:szCs w:val="26"/>
              </w:rPr>
            </w:pPr>
            <w:r w:rsidRPr="00824CBD">
              <w:rPr>
                <w:rFonts w:eastAsia="Calibri"/>
                <w:b/>
                <w:szCs w:val="26"/>
              </w:rPr>
              <w:t>Number of Respondents</w:t>
            </w:r>
            <w:r>
              <w:rPr>
                <w:rStyle w:val="FootnoteReference"/>
                <w:rFonts w:eastAsia="Calibri"/>
                <w:b w:val="0"/>
              </w:rPr>
              <w:footnoteReference w:id="4"/>
            </w:r>
            <w:r w:rsidRPr="00824CBD">
              <w:rPr>
                <w:rFonts w:eastAsia="Calibri"/>
                <w:b/>
                <w:szCs w:val="26"/>
              </w:rPr>
              <w:br/>
              <w:t>(1)</w:t>
            </w:r>
          </w:p>
        </w:tc>
        <w:tc>
          <w:tcPr>
            <w:tcW w:w="680" w:type="pct"/>
            <w:shd w:val="clear" w:color="auto" w:fill="D9D9D9"/>
            <w:vAlign w:val="bottom"/>
          </w:tcPr>
          <w:p w:rsidR="00362A2C" w:rsidRPr="00824CBD" w:rsidP="00362A2C" w14:paraId="7CFF46B8" w14:textId="77777777">
            <w:pPr>
              <w:jc w:val="center"/>
              <w:rPr>
                <w:rFonts w:eastAsia="Calibri"/>
                <w:b/>
                <w:szCs w:val="26"/>
              </w:rPr>
            </w:pPr>
            <w:r w:rsidRPr="00824CBD">
              <w:rPr>
                <w:rFonts w:eastAsia="Calibri"/>
                <w:b/>
                <w:szCs w:val="26"/>
              </w:rPr>
              <w:t>Annual Number of Responses per Respondent</w:t>
            </w:r>
          </w:p>
          <w:p w:rsidR="00362A2C" w:rsidRPr="00824CBD" w:rsidP="00362A2C" w14:paraId="6848F02F" w14:textId="77777777">
            <w:pPr>
              <w:jc w:val="center"/>
              <w:rPr>
                <w:rFonts w:eastAsia="Calibri"/>
                <w:b/>
                <w:szCs w:val="26"/>
              </w:rPr>
            </w:pPr>
            <w:r w:rsidRPr="00824CBD">
              <w:rPr>
                <w:rFonts w:eastAsia="Calibri"/>
                <w:b/>
                <w:szCs w:val="26"/>
              </w:rPr>
              <w:t>(2)</w:t>
            </w:r>
          </w:p>
        </w:tc>
        <w:tc>
          <w:tcPr>
            <w:tcW w:w="696" w:type="pct"/>
            <w:shd w:val="clear" w:color="auto" w:fill="D9D9D9"/>
            <w:vAlign w:val="bottom"/>
          </w:tcPr>
          <w:p w:rsidR="00362A2C" w:rsidRPr="00824CBD" w:rsidP="00362A2C" w14:paraId="51333847" w14:textId="77777777">
            <w:pPr>
              <w:jc w:val="center"/>
              <w:rPr>
                <w:rFonts w:eastAsia="Calibri"/>
                <w:b/>
                <w:szCs w:val="26"/>
              </w:rPr>
            </w:pPr>
            <w:r w:rsidRPr="00824CBD">
              <w:rPr>
                <w:rFonts w:eastAsia="Calibri"/>
                <w:b/>
                <w:szCs w:val="26"/>
              </w:rPr>
              <w:t>Total Number of Responses (1)*(2)=(3)</w:t>
            </w:r>
          </w:p>
        </w:tc>
        <w:tc>
          <w:tcPr>
            <w:tcW w:w="666" w:type="pct"/>
            <w:shd w:val="clear" w:color="auto" w:fill="D9D9D9"/>
            <w:vAlign w:val="bottom"/>
          </w:tcPr>
          <w:p w:rsidR="00362A2C" w:rsidRPr="00824CBD" w:rsidP="00362A2C" w14:paraId="3502E9A4" w14:textId="77777777">
            <w:pPr>
              <w:jc w:val="center"/>
              <w:rPr>
                <w:rFonts w:eastAsia="Calibri"/>
                <w:b/>
                <w:szCs w:val="26"/>
              </w:rPr>
            </w:pPr>
            <w:r w:rsidRPr="00824CBD">
              <w:rPr>
                <w:rFonts w:eastAsia="Calibri"/>
                <w:b/>
                <w:szCs w:val="26"/>
              </w:rPr>
              <w:t>Average Burden &amp; Cost Per Response</w:t>
            </w:r>
            <w:r>
              <w:rPr>
                <w:rFonts w:eastAsia="Calibri"/>
                <w:b/>
                <w:szCs w:val="26"/>
                <w:vertAlign w:val="superscript"/>
              </w:rPr>
              <w:footnoteReference w:id="5"/>
            </w:r>
          </w:p>
          <w:p w:rsidR="00362A2C" w:rsidRPr="00824CBD" w:rsidP="00362A2C" w14:paraId="4BC9F6FE" w14:textId="77777777">
            <w:pPr>
              <w:jc w:val="center"/>
              <w:rPr>
                <w:rFonts w:eastAsia="Calibri"/>
                <w:b/>
                <w:szCs w:val="26"/>
              </w:rPr>
            </w:pPr>
            <w:r w:rsidRPr="00824CBD">
              <w:rPr>
                <w:rFonts w:eastAsia="Calibri"/>
                <w:b/>
                <w:szCs w:val="26"/>
              </w:rPr>
              <w:t>(4)</w:t>
            </w:r>
          </w:p>
        </w:tc>
        <w:tc>
          <w:tcPr>
            <w:tcW w:w="798" w:type="pct"/>
            <w:shd w:val="clear" w:color="auto" w:fill="D9D9D9"/>
            <w:vAlign w:val="bottom"/>
          </w:tcPr>
          <w:p w:rsidR="00362A2C" w:rsidRPr="00824CBD" w:rsidP="00362A2C" w14:paraId="1E1553E1" w14:textId="77777777">
            <w:pPr>
              <w:jc w:val="center"/>
              <w:rPr>
                <w:rFonts w:eastAsia="Calibri"/>
                <w:b/>
                <w:szCs w:val="26"/>
              </w:rPr>
            </w:pPr>
            <w:r w:rsidRPr="00824CBD">
              <w:rPr>
                <w:rFonts w:eastAsia="Calibri"/>
                <w:b/>
                <w:szCs w:val="26"/>
              </w:rPr>
              <w:t>Total Annual Burden Hours &amp; Total Annual Cost</w:t>
            </w:r>
          </w:p>
          <w:p w:rsidR="00362A2C" w:rsidRPr="00824CBD" w:rsidP="00362A2C" w14:paraId="333F9DE7" w14:textId="77777777">
            <w:pPr>
              <w:jc w:val="center"/>
              <w:rPr>
                <w:rFonts w:eastAsia="Calibri"/>
                <w:b/>
                <w:szCs w:val="26"/>
              </w:rPr>
            </w:pPr>
            <w:r w:rsidRPr="00824CBD">
              <w:rPr>
                <w:rFonts w:eastAsia="Calibri"/>
                <w:b/>
                <w:szCs w:val="26"/>
              </w:rPr>
              <w:t>(3)*(4)=(5)</w:t>
            </w:r>
          </w:p>
        </w:tc>
        <w:tc>
          <w:tcPr>
            <w:tcW w:w="665" w:type="pct"/>
            <w:shd w:val="clear" w:color="auto" w:fill="D9D9D9"/>
            <w:vAlign w:val="bottom"/>
          </w:tcPr>
          <w:p w:rsidR="00362A2C" w:rsidRPr="00824CBD" w:rsidP="00362A2C" w14:paraId="2A99857B" w14:textId="77777777">
            <w:pPr>
              <w:jc w:val="center"/>
              <w:rPr>
                <w:rFonts w:eastAsia="Calibri"/>
                <w:b/>
                <w:szCs w:val="26"/>
              </w:rPr>
            </w:pPr>
            <w:r w:rsidRPr="00824CBD">
              <w:rPr>
                <w:rFonts w:eastAsia="Calibri"/>
                <w:b/>
                <w:szCs w:val="26"/>
              </w:rPr>
              <w:t>Cost per Respondent</w:t>
            </w:r>
          </w:p>
          <w:p w:rsidR="00362A2C" w:rsidRPr="00824CBD" w:rsidP="00362A2C" w14:paraId="5EA27C00" w14:textId="77777777">
            <w:pPr>
              <w:jc w:val="center"/>
              <w:rPr>
                <w:rFonts w:eastAsia="Calibri"/>
                <w:b/>
                <w:szCs w:val="26"/>
              </w:rPr>
            </w:pPr>
            <w:r w:rsidRPr="00824CBD">
              <w:rPr>
                <w:rFonts w:eastAsia="Calibri"/>
                <w:b/>
                <w:szCs w:val="26"/>
              </w:rPr>
              <w:t xml:space="preserve"> ($)</w:t>
            </w:r>
          </w:p>
          <w:p w:rsidR="00362A2C" w:rsidRPr="00824CBD" w:rsidP="00362A2C" w14:paraId="1A7BEE4F" w14:textId="77777777">
            <w:pPr>
              <w:jc w:val="center"/>
              <w:rPr>
                <w:rFonts w:eastAsia="Calibri"/>
                <w:b/>
                <w:szCs w:val="26"/>
              </w:rPr>
            </w:pPr>
            <w:r w:rsidRPr="00824CBD">
              <w:rPr>
                <w:rFonts w:eastAsia="Calibri"/>
                <w:b/>
                <w:szCs w:val="26"/>
              </w:rPr>
              <w:t>(5)÷(1)</w:t>
            </w:r>
          </w:p>
        </w:tc>
      </w:tr>
      <w:tr w14:paraId="4F0363D2" w14:textId="77777777" w:rsidTr="00B8073F">
        <w:tblPrEx>
          <w:tblW w:w="5426" w:type="pct"/>
          <w:tblInd w:w="-72" w:type="dxa"/>
          <w:tblLayout w:type="fixed"/>
          <w:tblLook w:val="01E0"/>
        </w:tblPrEx>
        <w:trPr>
          <w:cantSplit/>
        </w:trPr>
        <w:tc>
          <w:tcPr>
            <w:tcW w:w="653" w:type="pct"/>
            <w:vMerge w:val="restart"/>
          </w:tcPr>
          <w:p w:rsidR="006776C9" w:rsidRPr="00A71D93" w:rsidP="00362A2C" w14:paraId="75497B53" w14:textId="008839B4">
            <w:pPr>
              <w:rPr>
                <w:rFonts w:eastAsia="Calibri"/>
                <w:szCs w:val="26"/>
              </w:rPr>
            </w:pPr>
            <w:r w:rsidRPr="00A71D93">
              <w:rPr>
                <w:rFonts w:eastAsia="Calibri"/>
                <w:szCs w:val="26"/>
              </w:rPr>
              <w:t>Annual Review and Record Retention</w:t>
            </w:r>
          </w:p>
        </w:tc>
        <w:tc>
          <w:tcPr>
            <w:tcW w:w="842" w:type="pct"/>
          </w:tcPr>
          <w:p w:rsidR="006776C9" w:rsidRPr="00A71D93" w:rsidP="00362A2C" w14:paraId="1F0D17B7" w14:textId="19E13A9F">
            <w:pPr>
              <w:jc w:val="right"/>
              <w:rPr>
                <w:rFonts w:eastAsia="Calibri"/>
                <w:szCs w:val="26"/>
              </w:rPr>
            </w:pPr>
            <w:r w:rsidRPr="00A71D93">
              <w:rPr>
                <w:rFonts w:eastAsia="Calibri"/>
                <w:szCs w:val="26"/>
              </w:rPr>
              <w:t>27</w:t>
            </w:r>
            <w:r w:rsidRPr="00A71D93" w:rsidR="002E2C5F">
              <w:rPr>
                <w:rFonts w:eastAsia="Calibri"/>
                <w:szCs w:val="26"/>
              </w:rPr>
              <w:t xml:space="preserve"> </w:t>
            </w:r>
            <w:r w:rsidRPr="00A71D93">
              <w:rPr>
                <w:rFonts w:eastAsia="Calibri"/>
                <w:szCs w:val="26"/>
              </w:rPr>
              <w:t>(PC)</w:t>
            </w:r>
          </w:p>
          <w:p w:rsidR="006776C9" w:rsidRPr="00A71D93" w:rsidP="00362A2C" w14:paraId="545384FF" w14:textId="77777777">
            <w:pPr>
              <w:jc w:val="right"/>
              <w:rPr>
                <w:rFonts w:eastAsia="Calibri"/>
                <w:szCs w:val="26"/>
              </w:rPr>
            </w:pPr>
          </w:p>
        </w:tc>
        <w:tc>
          <w:tcPr>
            <w:tcW w:w="680" w:type="pct"/>
          </w:tcPr>
          <w:p w:rsidR="006776C9" w:rsidRPr="00A71D93" w:rsidP="00362A2C" w14:paraId="23220959" w14:textId="77777777">
            <w:pPr>
              <w:jc w:val="right"/>
              <w:rPr>
                <w:rFonts w:eastAsia="Calibri"/>
                <w:szCs w:val="26"/>
              </w:rPr>
            </w:pPr>
            <w:r w:rsidRPr="00A71D93">
              <w:rPr>
                <w:rFonts w:eastAsia="Calibri"/>
                <w:szCs w:val="26"/>
              </w:rPr>
              <w:t>1</w:t>
            </w:r>
          </w:p>
        </w:tc>
        <w:tc>
          <w:tcPr>
            <w:tcW w:w="696" w:type="pct"/>
          </w:tcPr>
          <w:p w:rsidR="006776C9" w:rsidRPr="00A71D93" w:rsidP="00362A2C" w14:paraId="6BCD6595" w14:textId="7092A526">
            <w:pPr>
              <w:jc w:val="right"/>
              <w:rPr>
                <w:rFonts w:eastAsia="Calibri"/>
                <w:szCs w:val="26"/>
              </w:rPr>
            </w:pPr>
            <w:r w:rsidRPr="00A71D93">
              <w:rPr>
                <w:rFonts w:eastAsia="Calibri"/>
                <w:szCs w:val="26"/>
              </w:rPr>
              <w:t>27</w:t>
            </w:r>
          </w:p>
        </w:tc>
        <w:tc>
          <w:tcPr>
            <w:tcW w:w="666" w:type="pct"/>
          </w:tcPr>
          <w:p w:rsidR="006776C9" w:rsidRPr="00A71D93" w:rsidP="00362A2C" w14:paraId="41BF058E" w14:textId="44D69645">
            <w:pPr>
              <w:jc w:val="right"/>
              <w:rPr>
                <w:rFonts w:eastAsia="Calibri"/>
                <w:szCs w:val="26"/>
              </w:rPr>
            </w:pPr>
            <w:r w:rsidRPr="00A71D93">
              <w:rPr>
                <w:rFonts w:eastAsia="Calibri"/>
                <w:szCs w:val="26"/>
              </w:rPr>
              <w:t>24 hrs.</w:t>
            </w:r>
          </w:p>
          <w:p w:rsidR="006776C9" w:rsidRPr="00A71D93" w:rsidP="00362A2C" w14:paraId="5844FF50" w14:textId="774FAB75">
            <w:pPr>
              <w:jc w:val="right"/>
              <w:rPr>
                <w:rFonts w:eastAsia="Calibri"/>
                <w:szCs w:val="26"/>
              </w:rPr>
            </w:pPr>
            <w:r w:rsidRPr="00A71D93">
              <w:rPr>
                <w:rFonts w:eastAsia="Calibri"/>
                <w:szCs w:val="26"/>
              </w:rPr>
              <w:t>$1,696.08</w:t>
            </w:r>
          </w:p>
        </w:tc>
        <w:tc>
          <w:tcPr>
            <w:tcW w:w="798" w:type="pct"/>
          </w:tcPr>
          <w:p w:rsidR="006776C9" w:rsidRPr="00A71D93" w:rsidP="00E11870" w14:paraId="6A037B06" w14:textId="0DF72210">
            <w:pPr>
              <w:jc w:val="right"/>
              <w:rPr>
                <w:rFonts w:eastAsia="Calibri"/>
                <w:szCs w:val="26"/>
              </w:rPr>
            </w:pPr>
            <w:r w:rsidRPr="00B8073F">
              <w:rPr>
                <w:rFonts w:eastAsia="Calibri"/>
                <w:szCs w:val="26"/>
              </w:rPr>
              <w:t>648</w:t>
            </w:r>
            <w:r w:rsidRPr="00B8073F" w:rsidR="00A71D93">
              <w:rPr>
                <w:rFonts w:eastAsia="Calibri"/>
                <w:szCs w:val="26"/>
              </w:rPr>
              <w:t xml:space="preserve"> </w:t>
            </w:r>
            <w:r w:rsidRPr="00B8073F" w:rsidR="00F75057">
              <w:rPr>
                <w:rFonts w:eastAsia="Calibri"/>
                <w:szCs w:val="26"/>
              </w:rPr>
              <w:t>hrs.</w:t>
            </w:r>
          </w:p>
          <w:p w:rsidR="006776C9" w:rsidRPr="00A71D93" w:rsidP="00362A2C" w14:paraId="229382A7" w14:textId="59A20BF9">
            <w:pPr>
              <w:jc w:val="right"/>
              <w:rPr>
                <w:rFonts w:eastAsia="Calibri"/>
                <w:szCs w:val="26"/>
              </w:rPr>
            </w:pPr>
            <w:r w:rsidRPr="00A71D93">
              <w:rPr>
                <w:rFonts w:eastAsia="Calibri"/>
                <w:szCs w:val="26"/>
              </w:rPr>
              <w:t>$</w:t>
            </w:r>
            <w:r w:rsidRPr="00B8073F" w:rsidR="00C67156">
              <w:rPr>
                <w:rFonts w:eastAsia="Calibri"/>
                <w:szCs w:val="26"/>
              </w:rPr>
              <w:t xml:space="preserve">45,794.16 </w:t>
            </w:r>
            <w:r w:rsidRPr="00A71D93" w:rsidR="00B24FC4">
              <w:rPr>
                <w:rFonts w:eastAsia="Calibri"/>
                <w:szCs w:val="26"/>
              </w:rPr>
              <w:t xml:space="preserve"> </w:t>
            </w:r>
          </w:p>
        </w:tc>
        <w:tc>
          <w:tcPr>
            <w:tcW w:w="665" w:type="pct"/>
          </w:tcPr>
          <w:p w:rsidR="006776C9" w:rsidRPr="00A71D93" w:rsidP="00362A2C" w14:paraId="1008029C" w14:textId="38B239A2">
            <w:pPr>
              <w:jc w:val="right"/>
              <w:rPr>
                <w:rFonts w:eastAsia="Calibri"/>
                <w:szCs w:val="26"/>
              </w:rPr>
            </w:pPr>
            <w:r w:rsidRPr="00A71D93">
              <w:rPr>
                <w:rFonts w:eastAsia="Calibri"/>
                <w:szCs w:val="26"/>
              </w:rPr>
              <w:t>$</w:t>
            </w:r>
            <w:r w:rsidRPr="00A71D93" w:rsidR="005F4958">
              <w:rPr>
                <w:rFonts w:eastAsia="Calibri"/>
                <w:szCs w:val="26"/>
              </w:rPr>
              <w:t>1,696.08</w:t>
            </w:r>
          </w:p>
          <w:p w:rsidR="006776C9" w:rsidRPr="00A71D93" w:rsidP="00362A2C" w14:paraId="1E58C828" w14:textId="77777777">
            <w:pPr>
              <w:jc w:val="right"/>
              <w:rPr>
                <w:rFonts w:eastAsia="Calibri"/>
                <w:szCs w:val="26"/>
              </w:rPr>
            </w:pPr>
          </w:p>
        </w:tc>
      </w:tr>
      <w:tr w14:paraId="335A0776" w14:textId="77777777" w:rsidTr="00B8073F">
        <w:tblPrEx>
          <w:tblW w:w="5426" w:type="pct"/>
          <w:tblInd w:w="-72" w:type="dxa"/>
          <w:tblLayout w:type="fixed"/>
          <w:tblLook w:val="01E0"/>
        </w:tblPrEx>
        <w:trPr>
          <w:cantSplit/>
        </w:trPr>
        <w:tc>
          <w:tcPr>
            <w:tcW w:w="653" w:type="pct"/>
            <w:vMerge/>
          </w:tcPr>
          <w:p w:rsidR="006776C9" w:rsidRPr="00A71D93" w:rsidP="00362A2C" w14:paraId="21F18527" w14:textId="2949DEDA">
            <w:pPr>
              <w:rPr>
                <w:rFonts w:eastAsia="Calibri"/>
                <w:szCs w:val="26"/>
              </w:rPr>
            </w:pPr>
          </w:p>
        </w:tc>
        <w:tc>
          <w:tcPr>
            <w:tcW w:w="842" w:type="pct"/>
          </w:tcPr>
          <w:p w:rsidR="006776C9" w:rsidRPr="00A71D93" w:rsidP="00362A2C" w14:paraId="498DED47" w14:textId="2CDD0030">
            <w:pPr>
              <w:jc w:val="right"/>
              <w:rPr>
                <w:rFonts w:eastAsia="Calibri"/>
                <w:szCs w:val="26"/>
              </w:rPr>
            </w:pPr>
            <w:r w:rsidRPr="00A71D93">
              <w:rPr>
                <w:rFonts w:eastAsia="Calibri"/>
                <w:szCs w:val="26"/>
              </w:rPr>
              <w:t>212</w:t>
            </w:r>
            <w:r w:rsidRPr="00A71D93" w:rsidR="002E2C5F">
              <w:rPr>
                <w:rFonts w:eastAsia="Calibri"/>
                <w:szCs w:val="26"/>
              </w:rPr>
              <w:t xml:space="preserve"> </w:t>
            </w:r>
            <w:r w:rsidRPr="00A71D93">
              <w:rPr>
                <w:rFonts w:eastAsia="Calibri"/>
                <w:szCs w:val="26"/>
              </w:rPr>
              <w:t>(GO)</w:t>
            </w:r>
          </w:p>
        </w:tc>
        <w:tc>
          <w:tcPr>
            <w:tcW w:w="680" w:type="pct"/>
          </w:tcPr>
          <w:p w:rsidR="006776C9" w:rsidRPr="00A71D93" w:rsidP="00362A2C" w14:paraId="64D49AE7" w14:textId="77777777">
            <w:pPr>
              <w:jc w:val="right"/>
              <w:rPr>
                <w:rFonts w:eastAsia="Calibri"/>
                <w:szCs w:val="26"/>
              </w:rPr>
            </w:pPr>
            <w:r w:rsidRPr="00A71D93">
              <w:rPr>
                <w:rFonts w:eastAsia="Calibri"/>
                <w:szCs w:val="26"/>
              </w:rPr>
              <w:t>1</w:t>
            </w:r>
          </w:p>
        </w:tc>
        <w:tc>
          <w:tcPr>
            <w:tcW w:w="696" w:type="pct"/>
          </w:tcPr>
          <w:p w:rsidR="006776C9" w:rsidRPr="00A71D93" w:rsidP="00362A2C" w14:paraId="4B476F27" w14:textId="355CF9F8">
            <w:pPr>
              <w:jc w:val="right"/>
              <w:rPr>
                <w:rFonts w:eastAsia="Calibri"/>
                <w:szCs w:val="26"/>
              </w:rPr>
            </w:pPr>
            <w:r w:rsidRPr="00A71D93">
              <w:rPr>
                <w:rFonts w:eastAsia="Calibri"/>
                <w:szCs w:val="26"/>
              </w:rPr>
              <w:t>212</w:t>
            </w:r>
          </w:p>
        </w:tc>
        <w:tc>
          <w:tcPr>
            <w:tcW w:w="666" w:type="pct"/>
          </w:tcPr>
          <w:p w:rsidR="006776C9" w:rsidRPr="00A71D93" w:rsidP="00362A2C" w14:paraId="0E7FFFD7" w14:textId="0478A818">
            <w:pPr>
              <w:jc w:val="right"/>
              <w:rPr>
                <w:rFonts w:eastAsia="Calibri"/>
                <w:szCs w:val="26"/>
              </w:rPr>
            </w:pPr>
            <w:r w:rsidRPr="00A71D93">
              <w:rPr>
                <w:rFonts w:eastAsia="Calibri"/>
                <w:szCs w:val="26"/>
              </w:rPr>
              <w:t>20 hrs</w:t>
            </w:r>
            <w:r w:rsidR="00B8073F">
              <w:rPr>
                <w:rFonts w:eastAsia="Calibri"/>
                <w:szCs w:val="26"/>
              </w:rPr>
              <w:t>.</w:t>
            </w:r>
          </w:p>
          <w:p w:rsidR="006776C9" w:rsidRPr="00A71D93" w:rsidP="00362A2C" w14:paraId="5F869852" w14:textId="38A545E1">
            <w:pPr>
              <w:jc w:val="right"/>
              <w:rPr>
                <w:rFonts w:eastAsia="Calibri"/>
                <w:szCs w:val="26"/>
              </w:rPr>
            </w:pPr>
            <w:r w:rsidRPr="00A71D93">
              <w:rPr>
                <w:rFonts w:eastAsia="Calibri"/>
                <w:szCs w:val="26"/>
              </w:rPr>
              <w:t>$1,413.40</w:t>
            </w:r>
          </w:p>
        </w:tc>
        <w:tc>
          <w:tcPr>
            <w:tcW w:w="798" w:type="pct"/>
          </w:tcPr>
          <w:p w:rsidR="006776C9" w:rsidRPr="00A71D93" w:rsidP="00362A2C" w14:paraId="498E6AFD" w14:textId="37768D26">
            <w:pPr>
              <w:jc w:val="right"/>
              <w:rPr>
                <w:rFonts w:eastAsia="Calibri"/>
                <w:szCs w:val="26"/>
              </w:rPr>
            </w:pPr>
            <w:r w:rsidRPr="00B8073F">
              <w:rPr>
                <w:rFonts w:eastAsia="Calibri"/>
                <w:szCs w:val="26"/>
              </w:rPr>
              <w:t>4,240</w:t>
            </w:r>
            <w:r w:rsidRPr="00B8073F" w:rsidR="00F75057">
              <w:rPr>
                <w:rFonts w:eastAsia="Calibri"/>
                <w:szCs w:val="26"/>
              </w:rPr>
              <w:t>hrs.</w:t>
            </w:r>
          </w:p>
          <w:p w:rsidR="006776C9" w:rsidRPr="00A71D93" w:rsidP="00362A2C" w14:paraId="77AB46A5" w14:textId="1FD9E369">
            <w:pPr>
              <w:jc w:val="right"/>
              <w:rPr>
                <w:rFonts w:eastAsia="Calibri"/>
                <w:szCs w:val="26"/>
              </w:rPr>
            </w:pPr>
            <w:r w:rsidRPr="00A71D93">
              <w:rPr>
                <w:rFonts w:eastAsia="Calibri"/>
                <w:szCs w:val="26"/>
              </w:rPr>
              <w:t>$</w:t>
            </w:r>
            <w:r w:rsidRPr="00B8073F" w:rsidR="00A945BC">
              <w:rPr>
                <w:rFonts w:eastAsia="Calibri"/>
                <w:szCs w:val="26"/>
              </w:rPr>
              <w:t>299,640.8</w:t>
            </w:r>
            <w:r w:rsidR="00B8073F">
              <w:rPr>
                <w:rFonts w:eastAsia="Calibri"/>
                <w:szCs w:val="26"/>
              </w:rPr>
              <w:t>0</w:t>
            </w:r>
          </w:p>
        </w:tc>
        <w:tc>
          <w:tcPr>
            <w:tcW w:w="665" w:type="pct"/>
          </w:tcPr>
          <w:p w:rsidR="006776C9" w:rsidRPr="00A71D93" w:rsidP="00362A2C" w14:paraId="00C226E0" w14:textId="75C32A58">
            <w:pPr>
              <w:jc w:val="right"/>
              <w:rPr>
                <w:rFonts w:eastAsia="Calibri"/>
                <w:szCs w:val="26"/>
              </w:rPr>
            </w:pPr>
            <w:r w:rsidRPr="00A71D93">
              <w:rPr>
                <w:rFonts w:eastAsia="Calibri"/>
                <w:szCs w:val="26"/>
              </w:rPr>
              <w:t>$</w:t>
            </w:r>
            <w:r w:rsidRPr="00B8073F" w:rsidR="00541A89">
              <w:rPr>
                <w:rFonts w:eastAsia="Calibri"/>
                <w:szCs w:val="26"/>
              </w:rPr>
              <w:t>1,413.40</w:t>
            </w:r>
          </w:p>
        </w:tc>
      </w:tr>
      <w:tr w14:paraId="1FD8628E" w14:textId="77777777" w:rsidTr="00B8073F">
        <w:tblPrEx>
          <w:tblW w:w="5426" w:type="pct"/>
          <w:tblInd w:w="-72" w:type="dxa"/>
          <w:tblLayout w:type="fixed"/>
          <w:tblLook w:val="01E0"/>
        </w:tblPrEx>
        <w:trPr>
          <w:cantSplit/>
        </w:trPr>
        <w:tc>
          <w:tcPr>
            <w:tcW w:w="653" w:type="pct"/>
            <w:vMerge/>
          </w:tcPr>
          <w:p w:rsidR="006776C9" w:rsidRPr="00A71D93" w:rsidP="00362A2C" w14:paraId="682B71BC" w14:textId="77777777">
            <w:pPr>
              <w:rPr>
                <w:rFonts w:eastAsia="Calibri"/>
                <w:szCs w:val="26"/>
              </w:rPr>
            </w:pPr>
          </w:p>
        </w:tc>
        <w:tc>
          <w:tcPr>
            <w:tcW w:w="842" w:type="pct"/>
          </w:tcPr>
          <w:p w:rsidR="006776C9" w:rsidRPr="00A71D93" w:rsidP="0088205C" w14:paraId="65B732AE" w14:textId="214A239A">
            <w:pPr>
              <w:jc w:val="right"/>
              <w:rPr>
                <w:rFonts w:eastAsia="Calibri"/>
                <w:szCs w:val="26"/>
              </w:rPr>
            </w:pPr>
            <w:r w:rsidRPr="00A71D93">
              <w:rPr>
                <w:rFonts w:eastAsia="Calibri"/>
                <w:szCs w:val="26"/>
              </w:rPr>
              <w:t>70</w:t>
            </w:r>
            <w:r w:rsidRPr="00A71D93" w:rsidR="002E2C5F">
              <w:rPr>
                <w:rFonts w:eastAsia="Calibri"/>
                <w:szCs w:val="26"/>
              </w:rPr>
              <w:t xml:space="preserve"> </w:t>
            </w:r>
            <w:r w:rsidRPr="00A71D93" w:rsidR="0088205C">
              <w:rPr>
                <w:rFonts w:eastAsia="Calibri"/>
                <w:szCs w:val="26"/>
              </w:rPr>
              <w:t>(TO)</w:t>
            </w:r>
          </w:p>
        </w:tc>
        <w:tc>
          <w:tcPr>
            <w:tcW w:w="680" w:type="pct"/>
          </w:tcPr>
          <w:p w:rsidR="006776C9" w:rsidRPr="00A71D93" w:rsidP="00362A2C" w14:paraId="402020F1" w14:textId="1B16CC8A">
            <w:pPr>
              <w:jc w:val="right"/>
              <w:rPr>
                <w:rFonts w:eastAsia="Calibri"/>
                <w:szCs w:val="26"/>
              </w:rPr>
            </w:pPr>
            <w:r w:rsidRPr="00A71D93">
              <w:rPr>
                <w:rFonts w:eastAsia="Calibri"/>
                <w:szCs w:val="26"/>
              </w:rPr>
              <w:t>1</w:t>
            </w:r>
          </w:p>
        </w:tc>
        <w:tc>
          <w:tcPr>
            <w:tcW w:w="696" w:type="pct"/>
          </w:tcPr>
          <w:p w:rsidR="006776C9" w:rsidRPr="00A71D93" w:rsidP="00362A2C" w14:paraId="2B9C8E53" w14:textId="6E5AF25A">
            <w:pPr>
              <w:jc w:val="right"/>
              <w:rPr>
                <w:rFonts w:eastAsia="Calibri"/>
                <w:szCs w:val="26"/>
              </w:rPr>
            </w:pPr>
            <w:r w:rsidRPr="00A71D93">
              <w:rPr>
                <w:rFonts w:eastAsia="Calibri"/>
                <w:szCs w:val="26"/>
              </w:rPr>
              <w:t>70</w:t>
            </w:r>
          </w:p>
        </w:tc>
        <w:tc>
          <w:tcPr>
            <w:tcW w:w="666" w:type="pct"/>
          </w:tcPr>
          <w:p w:rsidR="00BC59BD" w:rsidRPr="00A71D93" w:rsidP="00362A2C" w14:paraId="205EDAE9" w14:textId="77777777">
            <w:pPr>
              <w:jc w:val="right"/>
              <w:rPr>
                <w:rFonts w:eastAsia="Calibri"/>
                <w:szCs w:val="26"/>
              </w:rPr>
            </w:pPr>
            <w:r w:rsidRPr="00A71D93">
              <w:rPr>
                <w:rFonts w:eastAsia="Calibri"/>
                <w:szCs w:val="26"/>
              </w:rPr>
              <w:t>12 hrs.</w:t>
            </w:r>
          </w:p>
          <w:p w:rsidR="006776C9" w:rsidRPr="00A71D93" w:rsidP="00362A2C" w14:paraId="300CD8A6" w14:textId="1EAE2B7C">
            <w:pPr>
              <w:jc w:val="right"/>
              <w:rPr>
                <w:rFonts w:eastAsia="Calibri"/>
                <w:szCs w:val="26"/>
              </w:rPr>
            </w:pPr>
            <w:r w:rsidRPr="00A71D93">
              <w:rPr>
                <w:rFonts w:eastAsia="Calibri"/>
                <w:szCs w:val="26"/>
              </w:rPr>
              <w:t>$</w:t>
            </w:r>
            <w:r w:rsidRPr="00A71D93" w:rsidR="00F41919">
              <w:rPr>
                <w:rFonts w:eastAsia="Calibri"/>
                <w:szCs w:val="26"/>
              </w:rPr>
              <w:t>848.04</w:t>
            </w:r>
          </w:p>
        </w:tc>
        <w:tc>
          <w:tcPr>
            <w:tcW w:w="798" w:type="pct"/>
          </w:tcPr>
          <w:p w:rsidR="006776C9" w:rsidRPr="00A71D93" w:rsidP="00362A2C" w14:paraId="77E0319E" w14:textId="04F5EA98">
            <w:pPr>
              <w:jc w:val="right"/>
              <w:rPr>
                <w:rFonts w:eastAsia="Calibri"/>
                <w:szCs w:val="26"/>
              </w:rPr>
            </w:pPr>
            <w:r w:rsidRPr="00B8073F">
              <w:rPr>
                <w:rFonts w:eastAsia="Calibri"/>
                <w:szCs w:val="26"/>
              </w:rPr>
              <w:t>840</w:t>
            </w:r>
            <w:r w:rsidRPr="00B8073F" w:rsidR="00A71D93">
              <w:rPr>
                <w:rFonts w:eastAsia="Calibri"/>
                <w:szCs w:val="26"/>
              </w:rPr>
              <w:t xml:space="preserve"> </w:t>
            </w:r>
            <w:r w:rsidRPr="00B8073F" w:rsidR="00974035">
              <w:rPr>
                <w:rFonts w:eastAsia="Calibri"/>
                <w:szCs w:val="26"/>
              </w:rPr>
              <w:t>hrs</w:t>
            </w:r>
            <w:r w:rsidRPr="00B8073F" w:rsidR="00F75057">
              <w:rPr>
                <w:rFonts w:eastAsia="Calibri"/>
                <w:szCs w:val="26"/>
              </w:rPr>
              <w:t>.</w:t>
            </w:r>
            <w:r w:rsidRPr="00B8073F" w:rsidR="008F54A5">
              <w:rPr>
                <w:rFonts w:eastAsia="Calibri"/>
                <w:szCs w:val="26"/>
              </w:rPr>
              <w:br/>
              <w:t>$</w:t>
            </w:r>
            <w:r w:rsidRPr="00B8073F" w:rsidR="00821FD5">
              <w:rPr>
                <w:rFonts w:eastAsia="Calibri"/>
                <w:szCs w:val="26"/>
              </w:rPr>
              <w:t>59,362.8</w:t>
            </w:r>
            <w:r w:rsidR="00B8073F">
              <w:rPr>
                <w:rFonts w:eastAsia="Calibri"/>
                <w:szCs w:val="26"/>
              </w:rPr>
              <w:t>0</w:t>
            </w:r>
          </w:p>
        </w:tc>
        <w:tc>
          <w:tcPr>
            <w:tcW w:w="665" w:type="pct"/>
          </w:tcPr>
          <w:p w:rsidR="006776C9" w:rsidRPr="00A71D93" w:rsidP="00362A2C" w14:paraId="6EDC6804" w14:textId="3867FA25">
            <w:pPr>
              <w:jc w:val="right"/>
              <w:rPr>
                <w:rFonts w:eastAsia="Calibri"/>
                <w:szCs w:val="26"/>
              </w:rPr>
            </w:pPr>
            <w:r w:rsidRPr="00B8073F">
              <w:rPr>
                <w:rFonts w:eastAsia="Calibri"/>
                <w:szCs w:val="26"/>
              </w:rPr>
              <w:t>$</w:t>
            </w:r>
            <w:r w:rsidRPr="00B8073F" w:rsidR="007641FF">
              <w:rPr>
                <w:rFonts w:eastAsia="Calibri"/>
                <w:szCs w:val="26"/>
              </w:rPr>
              <w:t>848.04</w:t>
            </w:r>
          </w:p>
        </w:tc>
      </w:tr>
      <w:tr w14:paraId="7B4C3DE9" w14:textId="77777777" w:rsidTr="00B8073F">
        <w:tblPrEx>
          <w:tblW w:w="5426" w:type="pct"/>
          <w:tblInd w:w="-72" w:type="dxa"/>
          <w:tblLayout w:type="fixed"/>
          <w:tblLook w:val="01E0"/>
        </w:tblPrEx>
        <w:trPr>
          <w:cantSplit/>
        </w:trPr>
        <w:tc>
          <w:tcPr>
            <w:tcW w:w="653" w:type="pct"/>
            <w:vMerge/>
          </w:tcPr>
          <w:p w:rsidR="006776C9" w:rsidRPr="00A71D93" w:rsidP="00362A2C" w14:paraId="6D10ED58" w14:textId="77777777">
            <w:pPr>
              <w:rPr>
                <w:rFonts w:eastAsia="Calibri"/>
                <w:szCs w:val="26"/>
              </w:rPr>
            </w:pPr>
          </w:p>
        </w:tc>
        <w:tc>
          <w:tcPr>
            <w:tcW w:w="842" w:type="pct"/>
          </w:tcPr>
          <w:p w:rsidR="006776C9" w:rsidRPr="00A71D93" w:rsidP="00362A2C" w14:paraId="3D6E41FA" w14:textId="443F0E9E">
            <w:pPr>
              <w:jc w:val="right"/>
              <w:rPr>
                <w:rFonts w:eastAsia="Calibri"/>
                <w:szCs w:val="26"/>
              </w:rPr>
            </w:pPr>
            <w:r w:rsidRPr="00A71D93">
              <w:rPr>
                <w:rFonts w:eastAsia="Calibri"/>
                <w:szCs w:val="26"/>
              </w:rPr>
              <w:t>95</w:t>
            </w:r>
            <w:r w:rsidRPr="00A71D93" w:rsidR="002E2C5F">
              <w:rPr>
                <w:rFonts w:eastAsia="Calibri"/>
                <w:szCs w:val="26"/>
              </w:rPr>
              <w:t xml:space="preserve"> </w:t>
            </w:r>
            <w:r w:rsidRPr="00A71D93" w:rsidR="0088205C">
              <w:rPr>
                <w:rFonts w:eastAsia="Calibri"/>
                <w:szCs w:val="26"/>
              </w:rPr>
              <w:t>(DP)</w:t>
            </w:r>
          </w:p>
        </w:tc>
        <w:tc>
          <w:tcPr>
            <w:tcW w:w="680" w:type="pct"/>
          </w:tcPr>
          <w:p w:rsidR="006776C9" w:rsidRPr="00A71D93" w:rsidP="00362A2C" w14:paraId="49E5FB25" w14:textId="4C2C805C">
            <w:pPr>
              <w:jc w:val="right"/>
              <w:rPr>
                <w:rFonts w:eastAsia="Calibri"/>
                <w:szCs w:val="26"/>
              </w:rPr>
            </w:pPr>
            <w:r w:rsidRPr="00A71D93">
              <w:rPr>
                <w:rFonts w:eastAsia="Calibri"/>
                <w:szCs w:val="26"/>
              </w:rPr>
              <w:t>1</w:t>
            </w:r>
          </w:p>
        </w:tc>
        <w:tc>
          <w:tcPr>
            <w:tcW w:w="696" w:type="pct"/>
          </w:tcPr>
          <w:p w:rsidR="006776C9" w:rsidRPr="00A71D93" w:rsidP="00362A2C" w14:paraId="16E0A6CA" w14:textId="0327DDBF">
            <w:pPr>
              <w:jc w:val="right"/>
              <w:rPr>
                <w:rFonts w:eastAsia="Calibri"/>
                <w:szCs w:val="26"/>
              </w:rPr>
            </w:pPr>
            <w:r w:rsidRPr="00A71D93">
              <w:rPr>
                <w:rFonts w:eastAsia="Calibri"/>
                <w:szCs w:val="26"/>
              </w:rPr>
              <w:t>95</w:t>
            </w:r>
          </w:p>
        </w:tc>
        <w:tc>
          <w:tcPr>
            <w:tcW w:w="666" w:type="pct"/>
          </w:tcPr>
          <w:p w:rsidR="00615D85" w:rsidRPr="00A71D93" w:rsidP="00362A2C" w14:paraId="11F64FC1" w14:textId="77777777">
            <w:pPr>
              <w:jc w:val="right"/>
              <w:rPr>
                <w:rFonts w:eastAsia="Calibri"/>
                <w:szCs w:val="26"/>
              </w:rPr>
            </w:pPr>
            <w:r w:rsidRPr="00A71D93">
              <w:rPr>
                <w:rFonts w:eastAsia="Calibri"/>
                <w:szCs w:val="26"/>
              </w:rPr>
              <w:t>12</w:t>
            </w:r>
            <w:r w:rsidRPr="00A71D93">
              <w:rPr>
                <w:rFonts w:eastAsia="Calibri"/>
                <w:szCs w:val="26"/>
              </w:rPr>
              <w:t xml:space="preserve"> hrs.</w:t>
            </w:r>
          </w:p>
          <w:p w:rsidR="006776C9" w:rsidRPr="00A71D93" w:rsidP="00362A2C" w14:paraId="436B5FE2" w14:textId="26E0C398">
            <w:pPr>
              <w:jc w:val="right"/>
              <w:rPr>
                <w:rFonts w:eastAsia="Calibri"/>
                <w:szCs w:val="26"/>
              </w:rPr>
            </w:pPr>
            <w:r w:rsidRPr="00A71D93">
              <w:rPr>
                <w:rFonts w:eastAsia="Calibri"/>
                <w:szCs w:val="26"/>
              </w:rPr>
              <w:t>$</w:t>
            </w:r>
            <w:r w:rsidRPr="00A71D93" w:rsidR="00F41919">
              <w:rPr>
                <w:rFonts w:eastAsia="Calibri"/>
                <w:szCs w:val="26"/>
              </w:rPr>
              <w:t>848.04</w:t>
            </w:r>
          </w:p>
        </w:tc>
        <w:tc>
          <w:tcPr>
            <w:tcW w:w="798" w:type="pct"/>
          </w:tcPr>
          <w:p w:rsidR="006776C9" w:rsidRPr="00A71D93" w:rsidP="00362A2C" w14:paraId="094A4C67" w14:textId="07F42886">
            <w:pPr>
              <w:jc w:val="right"/>
              <w:rPr>
                <w:rFonts w:eastAsia="Calibri"/>
                <w:szCs w:val="26"/>
              </w:rPr>
            </w:pPr>
            <w:r w:rsidRPr="00B8073F">
              <w:rPr>
                <w:rFonts w:eastAsia="Calibri"/>
                <w:szCs w:val="26"/>
              </w:rPr>
              <w:t>1,140</w:t>
            </w:r>
            <w:r w:rsidRPr="00B8073F" w:rsidR="00A71D93">
              <w:rPr>
                <w:rFonts w:eastAsia="Calibri"/>
                <w:szCs w:val="26"/>
              </w:rPr>
              <w:t xml:space="preserve"> </w:t>
            </w:r>
            <w:r w:rsidRPr="00B8073F">
              <w:rPr>
                <w:rFonts w:eastAsia="Calibri"/>
                <w:szCs w:val="26"/>
              </w:rPr>
              <w:t>hrs.</w:t>
            </w:r>
            <w:r w:rsidRPr="00B8073F" w:rsidR="00D72018">
              <w:rPr>
                <w:rFonts w:eastAsia="Calibri"/>
                <w:szCs w:val="26"/>
              </w:rPr>
              <w:br/>
              <w:t>$80,563.80</w:t>
            </w:r>
          </w:p>
        </w:tc>
        <w:tc>
          <w:tcPr>
            <w:tcW w:w="665" w:type="pct"/>
          </w:tcPr>
          <w:p w:rsidR="006776C9" w:rsidRPr="00A71D93" w:rsidP="00362A2C" w14:paraId="0261C318" w14:textId="3CC3504E">
            <w:pPr>
              <w:jc w:val="right"/>
              <w:rPr>
                <w:rFonts w:eastAsia="Calibri"/>
                <w:szCs w:val="26"/>
              </w:rPr>
            </w:pPr>
            <w:r w:rsidRPr="00B8073F">
              <w:rPr>
                <w:rFonts w:eastAsia="Calibri"/>
                <w:szCs w:val="26"/>
              </w:rPr>
              <w:t>$</w:t>
            </w:r>
            <w:r w:rsidRPr="00B8073F" w:rsidR="00820005">
              <w:rPr>
                <w:rFonts w:eastAsia="Calibri"/>
                <w:szCs w:val="26"/>
              </w:rPr>
              <w:t>848.04</w:t>
            </w:r>
          </w:p>
        </w:tc>
      </w:tr>
      <w:tr w14:paraId="4F417AF0" w14:textId="77777777" w:rsidTr="00B8073F">
        <w:tblPrEx>
          <w:tblW w:w="5426" w:type="pct"/>
          <w:tblInd w:w="-72" w:type="dxa"/>
          <w:tblLayout w:type="fixed"/>
          <w:tblLook w:val="01E0"/>
        </w:tblPrEx>
        <w:trPr>
          <w:cantSplit/>
          <w:trHeight w:val="485"/>
        </w:trPr>
        <w:tc>
          <w:tcPr>
            <w:tcW w:w="653" w:type="pct"/>
            <w:tcBorders>
              <w:bottom w:val="single" w:sz="4" w:space="0" w:color="auto"/>
            </w:tcBorders>
          </w:tcPr>
          <w:p w:rsidR="00362A2C" w:rsidRPr="00A71D93" w:rsidP="00362A2C" w14:paraId="189F9A6D" w14:textId="77777777">
            <w:pPr>
              <w:rPr>
                <w:rFonts w:eastAsia="Calibri"/>
                <w:b/>
                <w:szCs w:val="26"/>
              </w:rPr>
            </w:pPr>
            <w:r w:rsidRPr="00A71D93">
              <w:rPr>
                <w:rFonts w:eastAsia="Calibri"/>
                <w:b/>
                <w:szCs w:val="26"/>
              </w:rPr>
              <w:t>TOTAL</w:t>
            </w:r>
          </w:p>
        </w:tc>
        <w:tc>
          <w:tcPr>
            <w:tcW w:w="1522" w:type="pct"/>
            <w:gridSpan w:val="2"/>
            <w:tcBorders>
              <w:bottom w:val="single" w:sz="4" w:space="0" w:color="auto"/>
            </w:tcBorders>
            <w:shd w:val="clear" w:color="auto" w:fill="D9D9D9"/>
          </w:tcPr>
          <w:p w:rsidR="00362A2C" w:rsidRPr="00A71D93" w:rsidP="00362A2C" w14:paraId="3DF4099C" w14:textId="77777777">
            <w:pPr>
              <w:jc w:val="right"/>
              <w:rPr>
                <w:rFonts w:eastAsia="Calibri"/>
                <w:szCs w:val="26"/>
              </w:rPr>
            </w:pPr>
          </w:p>
        </w:tc>
        <w:tc>
          <w:tcPr>
            <w:tcW w:w="696" w:type="pct"/>
            <w:tcBorders>
              <w:bottom w:val="single" w:sz="4" w:space="0" w:color="auto"/>
            </w:tcBorders>
            <w:shd w:val="clear" w:color="auto" w:fill="auto"/>
          </w:tcPr>
          <w:p w:rsidR="00362A2C" w:rsidRPr="00A71D93" w:rsidP="00362A2C" w14:paraId="5621807C" w14:textId="2FC0D810">
            <w:pPr>
              <w:jc w:val="right"/>
              <w:rPr>
                <w:rFonts w:eastAsia="Calibri"/>
                <w:b/>
                <w:szCs w:val="26"/>
              </w:rPr>
            </w:pPr>
            <w:r w:rsidRPr="00A71D93">
              <w:rPr>
                <w:rFonts w:eastAsia="Calibri"/>
                <w:b/>
                <w:szCs w:val="26"/>
              </w:rPr>
              <w:t>404</w:t>
            </w:r>
          </w:p>
        </w:tc>
        <w:tc>
          <w:tcPr>
            <w:tcW w:w="666" w:type="pct"/>
            <w:tcBorders>
              <w:bottom w:val="single" w:sz="4" w:space="0" w:color="auto"/>
            </w:tcBorders>
            <w:shd w:val="clear" w:color="auto" w:fill="D9D9D9"/>
          </w:tcPr>
          <w:p w:rsidR="00362A2C" w:rsidRPr="00A71D93" w:rsidP="00362A2C" w14:paraId="5E4AF494" w14:textId="77777777">
            <w:pPr>
              <w:jc w:val="right"/>
              <w:rPr>
                <w:rFonts w:eastAsia="Calibri"/>
                <w:szCs w:val="26"/>
              </w:rPr>
            </w:pPr>
          </w:p>
        </w:tc>
        <w:tc>
          <w:tcPr>
            <w:tcW w:w="798" w:type="pct"/>
            <w:tcBorders>
              <w:bottom w:val="single" w:sz="4" w:space="0" w:color="auto"/>
            </w:tcBorders>
          </w:tcPr>
          <w:p w:rsidR="00362A2C" w:rsidRPr="00A71D93" w:rsidP="00362A2C" w14:paraId="7C95C24E" w14:textId="142DACCA">
            <w:pPr>
              <w:jc w:val="right"/>
              <w:rPr>
                <w:rFonts w:eastAsia="Calibri"/>
                <w:b/>
                <w:szCs w:val="26"/>
              </w:rPr>
            </w:pPr>
            <w:r w:rsidRPr="00B8073F">
              <w:rPr>
                <w:rFonts w:eastAsia="Calibri"/>
                <w:b/>
                <w:szCs w:val="26"/>
              </w:rPr>
              <w:t>6,868</w:t>
            </w:r>
            <w:r w:rsidR="00A71D93">
              <w:rPr>
                <w:rFonts w:eastAsia="Calibri"/>
                <w:b/>
                <w:szCs w:val="26"/>
              </w:rPr>
              <w:t xml:space="preserve"> hrs.</w:t>
            </w:r>
          </w:p>
          <w:p w:rsidR="00362A2C" w:rsidRPr="00A71D93" w:rsidP="00362A2C" w14:paraId="184C23CC" w14:textId="41070FD9">
            <w:pPr>
              <w:jc w:val="right"/>
              <w:rPr>
                <w:rFonts w:eastAsia="Calibri"/>
                <w:b/>
                <w:szCs w:val="26"/>
              </w:rPr>
            </w:pPr>
            <w:r w:rsidRPr="00A71D93">
              <w:rPr>
                <w:rFonts w:eastAsia="Calibri"/>
                <w:b/>
                <w:szCs w:val="26"/>
              </w:rPr>
              <w:t>$</w:t>
            </w:r>
            <w:r w:rsidRPr="00B8073F" w:rsidR="00CC1D3E">
              <w:rPr>
                <w:rFonts w:eastAsia="Calibri"/>
                <w:b/>
                <w:szCs w:val="26"/>
              </w:rPr>
              <w:t>485,361.56</w:t>
            </w:r>
          </w:p>
        </w:tc>
        <w:tc>
          <w:tcPr>
            <w:tcW w:w="665" w:type="pct"/>
            <w:tcBorders>
              <w:bottom w:val="single" w:sz="4" w:space="0" w:color="auto"/>
            </w:tcBorders>
          </w:tcPr>
          <w:p w:rsidR="00362A2C" w:rsidRPr="00A71D93" w:rsidP="00362A2C" w14:paraId="3C060D85" w14:textId="46F7DC76">
            <w:pPr>
              <w:jc w:val="right"/>
              <w:rPr>
                <w:rFonts w:eastAsia="Calibri"/>
                <w:b/>
                <w:szCs w:val="26"/>
              </w:rPr>
            </w:pPr>
            <w:r w:rsidRPr="00A71D93">
              <w:rPr>
                <w:rFonts w:eastAsia="Calibri"/>
                <w:b/>
                <w:szCs w:val="26"/>
              </w:rPr>
              <w:t>$</w:t>
            </w:r>
            <w:r w:rsidRPr="00B8073F" w:rsidR="00970F65">
              <w:rPr>
                <w:rFonts w:eastAsia="Calibri"/>
                <w:b/>
                <w:szCs w:val="26"/>
              </w:rPr>
              <w:t>4,805.56</w:t>
            </w:r>
          </w:p>
        </w:tc>
      </w:tr>
    </w:tbl>
    <w:p w:rsidR="00362A2C" w:rsidP="00AE1F12" w14:paraId="2427B2E5" w14:textId="77777777">
      <w:pPr>
        <w:spacing w:line="480" w:lineRule="auto"/>
        <w:rPr>
          <w:rFonts w:eastAsia="Calibri"/>
          <w:szCs w:val="26"/>
        </w:rPr>
      </w:pPr>
    </w:p>
    <w:p w:rsidR="000F36DF" w:rsidRPr="00362A2C" w:rsidP="00AE1F12" w14:paraId="2D6683BE" w14:textId="24030D73">
      <w:pPr>
        <w:spacing w:line="480" w:lineRule="auto"/>
        <w:rPr>
          <w:i/>
        </w:rPr>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881405" w:rsidP="00AE1F12" w14:paraId="40735770" w14:textId="677923FD">
      <w:pPr>
        <w:spacing w:line="480" w:lineRule="auto"/>
      </w:pPr>
      <w:r>
        <w:t xml:space="preserve">clarity of the information collection; and (4) ways to minimize the burden of the </w:t>
      </w:r>
    </w:p>
    <w:p w:rsidR="00853ABC" w:rsidP="00E77D01" w14:paraId="212DCDEF" w14:textId="22CEEF89">
      <w:pPr>
        <w:spacing w:line="480" w:lineRule="auto"/>
      </w:pPr>
      <w:r>
        <w:t xml:space="preserve">collection of information on those who are to respond, including the use of automated collection techniques or other forms of information technology.  </w:t>
      </w:r>
    </w:p>
    <w:p w:rsidR="00E52385" w14:paraId="0470DF50" w14:textId="77777777">
      <w:pPr>
        <w:spacing w:after="160" w:line="259" w:lineRule="auto"/>
      </w:pPr>
    </w:p>
    <w:p w:rsidR="00E77D01" w14:paraId="4494F6E1" w14:textId="77777777">
      <w:pPr>
        <w:spacing w:after="160" w:line="259" w:lineRule="auto"/>
      </w:pPr>
    </w:p>
    <w:p w:rsidR="00E77D01" w14:paraId="3FF34047" w14:textId="77777777">
      <w:pPr>
        <w:spacing w:after="160" w:line="259" w:lineRule="auto"/>
      </w:pPr>
    </w:p>
    <w:p w:rsidR="00E77D01" w14:paraId="787F03CB" w14:textId="77777777">
      <w:pPr>
        <w:spacing w:after="160" w:line="259" w:lineRule="auto"/>
      </w:pPr>
    </w:p>
    <w:p w:rsidR="00E77D01" w:rsidRPr="00E77D01" w:rsidP="00E77D01" w14:paraId="06AA59FB" w14:textId="083AD9F2">
      <w:pPr>
        <w:ind w:firstLine="2606"/>
        <w:jc w:val="center"/>
      </w:pPr>
      <w:r w:rsidRPr="00E77D01">
        <w:t>Debbie-Anne A. Reese,</w:t>
      </w:r>
    </w:p>
    <w:p w:rsidR="00E77D01" w:rsidRPr="00E77D01" w:rsidP="00E77D01" w14:paraId="5AF2F3DE" w14:textId="54C7DFDF">
      <w:pPr>
        <w:ind w:firstLine="2606"/>
        <w:jc w:val="center"/>
      </w:pPr>
      <w:r w:rsidRPr="00E77D01">
        <w:t>Secretary.</w:t>
      </w:r>
    </w:p>
    <w:p w:rsidR="00E77D01" w14:paraId="676AD359" w14:textId="77777777">
      <w:pPr>
        <w:spacing w:after="160" w:line="259" w:lineRule="auto"/>
      </w:pP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4BC2" w:rsidP="00B01B16" w14:paraId="0C73DDFE" w14:textId="77777777">
      <w:r>
        <w:separator/>
      </w:r>
    </w:p>
  </w:footnote>
  <w:footnote w:type="continuationSeparator" w:id="1">
    <w:p w:rsidR="00304BC2" w:rsidP="00B01B16" w14:paraId="39045B0E" w14:textId="77777777">
      <w:r>
        <w:continuationSeparator/>
      </w:r>
    </w:p>
  </w:footnote>
  <w:footnote w:type="continuationNotice" w:id="2">
    <w:p w:rsidR="00304BC2" w14:paraId="0444FF64" w14:textId="77777777"/>
  </w:footnote>
  <w:footnote w:id="3">
    <w:p w:rsidR="00362A2C" w:rsidRPr="007D5934" w:rsidP="00E77D01" w14:paraId="02A004BB" w14:textId="0E1EEB9D">
      <w:pPr>
        <w:pStyle w:val="FootnoteText"/>
        <w:spacing w:after="260"/>
        <w:rPr>
          <w:sz w:val="26"/>
          <w:szCs w:val="26"/>
        </w:rPr>
      </w:pPr>
      <w:r>
        <w:rPr>
          <w:sz w:val="26"/>
          <w:szCs w:val="26"/>
        </w:rPr>
        <w:t xml:space="preserve">      </w:t>
      </w:r>
      <w:r w:rsidRPr="007D5934">
        <w:rPr>
          <w:rStyle w:val="FootnoteReference"/>
        </w:rPr>
        <w:footnoteRef/>
      </w:r>
      <w:r w:rsidRPr="007D5934">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4">
    <w:p w:rsidR="00B6655D" w:rsidRPr="00B8073F" w:rsidP="00E77D01" w14:paraId="1EBEF191" w14:textId="1617DDCC">
      <w:pPr>
        <w:pStyle w:val="FootnoteText"/>
        <w:spacing w:after="260"/>
        <w:rPr>
          <w:sz w:val="26"/>
          <w:szCs w:val="26"/>
        </w:rPr>
      </w:pPr>
      <w:r>
        <w:t xml:space="preserve">      </w:t>
      </w:r>
      <w:r>
        <w:rPr>
          <w:rStyle w:val="FootnoteReference"/>
        </w:rPr>
        <w:footnoteRef/>
      </w:r>
      <w:r>
        <w:t xml:space="preserve"> </w:t>
      </w:r>
      <w:r w:rsidRPr="00B8073F">
        <w:rPr>
          <w:sz w:val="26"/>
          <w:szCs w:val="26"/>
        </w:rPr>
        <w:t>These values were derived from the NERC Compliance data of</w:t>
      </w:r>
      <w:r w:rsidRPr="00B8073F" w:rsidR="001337E7">
        <w:rPr>
          <w:sz w:val="26"/>
          <w:szCs w:val="26"/>
        </w:rPr>
        <w:t xml:space="preserve"> </w:t>
      </w:r>
      <w:r w:rsidRPr="00B8073F" w:rsidR="00712947">
        <w:rPr>
          <w:sz w:val="26"/>
          <w:szCs w:val="26"/>
        </w:rPr>
        <w:t>February 12, 2025</w:t>
      </w:r>
      <w:r w:rsidRPr="00B8073F">
        <w:rPr>
          <w:sz w:val="26"/>
          <w:szCs w:val="26"/>
        </w:rPr>
        <w:t>, using only SERC unique United States registered entities.</w:t>
      </w:r>
    </w:p>
  </w:footnote>
  <w:footnote w:id="5">
    <w:p w:rsidR="00362A2C" w:rsidRPr="009E2D36" w:rsidP="00E77D01" w14:paraId="4FE235CD" w14:textId="586F8CA4">
      <w:pPr>
        <w:pStyle w:val="FootnoteText"/>
        <w:spacing w:after="260"/>
        <w:rPr>
          <w:sz w:val="26"/>
          <w:szCs w:val="26"/>
        </w:rPr>
      </w:pPr>
      <w:r>
        <w:rPr>
          <w:sz w:val="26"/>
          <w:szCs w:val="26"/>
        </w:rPr>
        <w:t xml:space="preserve">      </w:t>
      </w:r>
      <w:r w:rsidRPr="00712947">
        <w:rPr>
          <w:rStyle w:val="FootnoteReference"/>
        </w:rPr>
        <w:footnoteRef/>
      </w:r>
      <w:r w:rsidRPr="00712947">
        <w:rPr>
          <w:sz w:val="26"/>
          <w:szCs w:val="26"/>
        </w:rPr>
        <w:t xml:space="preserve"> </w:t>
      </w:r>
      <w:r w:rsidRPr="00712947" w:rsidR="00B6655D">
        <w:rPr>
          <w:sz w:val="26"/>
          <w:szCs w:val="26"/>
        </w:rPr>
        <w:t>The estimated hourly cost (salary</w:t>
      </w:r>
      <w:r w:rsidRPr="00B6655D" w:rsidR="00B6655D">
        <w:rPr>
          <w:sz w:val="26"/>
          <w:szCs w:val="26"/>
        </w:rPr>
        <w:t xml:space="preserve">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2217F38D">
        <w:pPr>
          <w:pStyle w:val="Header"/>
        </w:pPr>
        <w:r w:rsidRPr="00980E58">
          <w:t xml:space="preserve">Docket No. </w:t>
        </w:r>
        <w:r w:rsidRPr="00974530">
          <w:t>I</w:t>
        </w:r>
        <w:r>
          <w:t>C2</w:t>
        </w:r>
        <w:r w:rsidR="008D1DB6">
          <w:t>5</w:t>
        </w:r>
        <w:r w:rsidRPr="00974530">
          <w:t>-</w:t>
        </w:r>
        <w:r w:rsidR="00AF1BF5">
          <w:t>1</w:t>
        </w:r>
        <w:r w:rsidR="00E80A20">
          <w:t>1</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16F19"/>
    <w:multiLevelType w:val="multilevel"/>
    <w:tmpl w:val="DAD84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
    <w:nsid w:val="2AEC4B1E"/>
    <w:multiLevelType w:val="multilevel"/>
    <w:tmpl w:val="22CC6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286691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544282">
    <w:abstractNumId w:val="3"/>
  </w:num>
  <w:num w:numId="3" w16cid:durableId="1552577333">
    <w:abstractNumId w:val="8"/>
  </w:num>
  <w:num w:numId="4" w16cid:durableId="619460549">
    <w:abstractNumId w:val="7"/>
  </w:num>
  <w:num w:numId="5" w16cid:durableId="580872380">
    <w:abstractNumId w:val="10"/>
  </w:num>
  <w:num w:numId="6" w16cid:durableId="1239292177">
    <w:abstractNumId w:val="1"/>
  </w:num>
  <w:num w:numId="7" w16cid:durableId="1703675782">
    <w:abstractNumId w:val="9"/>
  </w:num>
  <w:num w:numId="8" w16cid:durableId="1363556570">
    <w:abstractNumId w:val="4"/>
  </w:num>
  <w:num w:numId="9" w16cid:durableId="867060756">
    <w:abstractNumId w:val="0"/>
  </w:num>
  <w:num w:numId="10" w16cid:durableId="38208452">
    <w:abstractNumId w:val="6"/>
  </w:num>
  <w:num w:numId="11" w16cid:durableId="1239710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045C"/>
    <w:rsid w:val="00014343"/>
    <w:rsid w:val="00015B93"/>
    <w:rsid w:val="00021BD0"/>
    <w:rsid w:val="00024462"/>
    <w:rsid w:val="00026C2D"/>
    <w:rsid w:val="00033DD8"/>
    <w:rsid w:val="00034912"/>
    <w:rsid w:val="000459B6"/>
    <w:rsid w:val="00057E6A"/>
    <w:rsid w:val="00061D59"/>
    <w:rsid w:val="00062427"/>
    <w:rsid w:val="00063B25"/>
    <w:rsid w:val="00071865"/>
    <w:rsid w:val="00082444"/>
    <w:rsid w:val="00082EC9"/>
    <w:rsid w:val="00084A11"/>
    <w:rsid w:val="00085A2B"/>
    <w:rsid w:val="0008692A"/>
    <w:rsid w:val="0009446C"/>
    <w:rsid w:val="000A0250"/>
    <w:rsid w:val="000A1FE3"/>
    <w:rsid w:val="000A6F37"/>
    <w:rsid w:val="000A7E68"/>
    <w:rsid w:val="000B03CA"/>
    <w:rsid w:val="000B2E5E"/>
    <w:rsid w:val="000B32CE"/>
    <w:rsid w:val="000B5C78"/>
    <w:rsid w:val="000D318C"/>
    <w:rsid w:val="000E2568"/>
    <w:rsid w:val="000F36DF"/>
    <w:rsid w:val="000F45EC"/>
    <w:rsid w:val="000F606E"/>
    <w:rsid w:val="00113520"/>
    <w:rsid w:val="00114D0E"/>
    <w:rsid w:val="00116326"/>
    <w:rsid w:val="00117E0B"/>
    <w:rsid w:val="00121178"/>
    <w:rsid w:val="00121D48"/>
    <w:rsid w:val="001258C6"/>
    <w:rsid w:val="00125991"/>
    <w:rsid w:val="001337E7"/>
    <w:rsid w:val="00134E93"/>
    <w:rsid w:val="001408C4"/>
    <w:rsid w:val="00153FFB"/>
    <w:rsid w:val="0015445B"/>
    <w:rsid w:val="00156BBB"/>
    <w:rsid w:val="001600DF"/>
    <w:rsid w:val="00164215"/>
    <w:rsid w:val="001642F6"/>
    <w:rsid w:val="00171725"/>
    <w:rsid w:val="0017684C"/>
    <w:rsid w:val="00177704"/>
    <w:rsid w:val="00181BF7"/>
    <w:rsid w:val="0018255E"/>
    <w:rsid w:val="00184A26"/>
    <w:rsid w:val="00184B43"/>
    <w:rsid w:val="0018593A"/>
    <w:rsid w:val="00191B74"/>
    <w:rsid w:val="0019402A"/>
    <w:rsid w:val="00197435"/>
    <w:rsid w:val="001A1CAD"/>
    <w:rsid w:val="001A6645"/>
    <w:rsid w:val="001A6AD6"/>
    <w:rsid w:val="001B151A"/>
    <w:rsid w:val="001B16B8"/>
    <w:rsid w:val="001B78B8"/>
    <w:rsid w:val="001C0B75"/>
    <w:rsid w:val="001C167F"/>
    <w:rsid w:val="001C7064"/>
    <w:rsid w:val="001F1CDF"/>
    <w:rsid w:val="00202E41"/>
    <w:rsid w:val="00210715"/>
    <w:rsid w:val="002131D0"/>
    <w:rsid w:val="00217688"/>
    <w:rsid w:val="002179AC"/>
    <w:rsid w:val="00224BF8"/>
    <w:rsid w:val="002347B9"/>
    <w:rsid w:val="0024309C"/>
    <w:rsid w:val="00247214"/>
    <w:rsid w:val="00253F98"/>
    <w:rsid w:val="00257CC2"/>
    <w:rsid w:val="002662C7"/>
    <w:rsid w:val="00266431"/>
    <w:rsid w:val="00266CF0"/>
    <w:rsid w:val="00281F64"/>
    <w:rsid w:val="00297211"/>
    <w:rsid w:val="002A0531"/>
    <w:rsid w:val="002A4B87"/>
    <w:rsid w:val="002B1694"/>
    <w:rsid w:val="002C03F1"/>
    <w:rsid w:val="002C3223"/>
    <w:rsid w:val="002C3579"/>
    <w:rsid w:val="002C556B"/>
    <w:rsid w:val="002C66FC"/>
    <w:rsid w:val="002D17E5"/>
    <w:rsid w:val="002D19D9"/>
    <w:rsid w:val="002E06A0"/>
    <w:rsid w:val="002E2C5F"/>
    <w:rsid w:val="002E5D67"/>
    <w:rsid w:val="002E6DAA"/>
    <w:rsid w:val="002E7120"/>
    <w:rsid w:val="002F1008"/>
    <w:rsid w:val="002F4401"/>
    <w:rsid w:val="002F505F"/>
    <w:rsid w:val="00301ED5"/>
    <w:rsid w:val="00301F62"/>
    <w:rsid w:val="00303516"/>
    <w:rsid w:val="00304BC2"/>
    <w:rsid w:val="00304F0C"/>
    <w:rsid w:val="00305D2F"/>
    <w:rsid w:val="00306318"/>
    <w:rsid w:val="00311D90"/>
    <w:rsid w:val="00314219"/>
    <w:rsid w:val="003149BC"/>
    <w:rsid w:val="00314D59"/>
    <w:rsid w:val="00320CB8"/>
    <w:rsid w:val="003270F2"/>
    <w:rsid w:val="00332D75"/>
    <w:rsid w:val="00333661"/>
    <w:rsid w:val="00336AD9"/>
    <w:rsid w:val="00353B9A"/>
    <w:rsid w:val="00362A2C"/>
    <w:rsid w:val="003645C8"/>
    <w:rsid w:val="00365468"/>
    <w:rsid w:val="003658A2"/>
    <w:rsid w:val="003673EC"/>
    <w:rsid w:val="00371FC8"/>
    <w:rsid w:val="00372200"/>
    <w:rsid w:val="00373A2E"/>
    <w:rsid w:val="00374483"/>
    <w:rsid w:val="00374D2A"/>
    <w:rsid w:val="00376525"/>
    <w:rsid w:val="00397ABE"/>
    <w:rsid w:val="003A05DA"/>
    <w:rsid w:val="003A2C3F"/>
    <w:rsid w:val="003A6035"/>
    <w:rsid w:val="003B435C"/>
    <w:rsid w:val="003B5B0B"/>
    <w:rsid w:val="003C08DE"/>
    <w:rsid w:val="003C370E"/>
    <w:rsid w:val="003C3E7A"/>
    <w:rsid w:val="003C44AA"/>
    <w:rsid w:val="003C467C"/>
    <w:rsid w:val="003D28D2"/>
    <w:rsid w:val="003E1657"/>
    <w:rsid w:val="003E1B5A"/>
    <w:rsid w:val="003E2CB3"/>
    <w:rsid w:val="003E40B2"/>
    <w:rsid w:val="003E44AD"/>
    <w:rsid w:val="003E5EA3"/>
    <w:rsid w:val="003F0FE7"/>
    <w:rsid w:val="003F2E32"/>
    <w:rsid w:val="003F452F"/>
    <w:rsid w:val="003F570B"/>
    <w:rsid w:val="003F6B3B"/>
    <w:rsid w:val="003F7567"/>
    <w:rsid w:val="00405154"/>
    <w:rsid w:val="00411B62"/>
    <w:rsid w:val="004177CD"/>
    <w:rsid w:val="004207F2"/>
    <w:rsid w:val="0042688C"/>
    <w:rsid w:val="0042765E"/>
    <w:rsid w:val="00427AE5"/>
    <w:rsid w:val="00443282"/>
    <w:rsid w:val="004471A9"/>
    <w:rsid w:val="004562F1"/>
    <w:rsid w:val="004609ED"/>
    <w:rsid w:val="004618D7"/>
    <w:rsid w:val="004628F2"/>
    <w:rsid w:val="00471921"/>
    <w:rsid w:val="00491543"/>
    <w:rsid w:val="0049612F"/>
    <w:rsid w:val="004962D9"/>
    <w:rsid w:val="004A661D"/>
    <w:rsid w:val="004B239D"/>
    <w:rsid w:val="004B472A"/>
    <w:rsid w:val="004C0BC3"/>
    <w:rsid w:val="004C2800"/>
    <w:rsid w:val="004C70C8"/>
    <w:rsid w:val="004E0525"/>
    <w:rsid w:val="004E19FA"/>
    <w:rsid w:val="004E683E"/>
    <w:rsid w:val="00501035"/>
    <w:rsid w:val="00524164"/>
    <w:rsid w:val="00527733"/>
    <w:rsid w:val="00531000"/>
    <w:rsid w:val="00534969"/>
    <w:rsid w:val="0053689B"/>
    <w:rsid w:val="00537A68"/>
    <w:rsid w:val="005401E0"/>
    <w:rsid w:val="00541A89"/>
    <w:rsid w:val="00544424"/>
    <w:rsid w:val="0054746C"/>
    <w:rsid w:val="005517DE"/>
    <w:rsid w:val="00552978"/>
    <w:rsid w:val="005652D0"/>
    <w:rsid w:val="005657D6"/>
    <w:rsid w:val="00565830"/>
    <w:rsid w:val="00565B5E"/>
    <w:rsid w:val="00566B5F"/>
    <w:rsid w:val="00567907"/>
    <w:rsid w:val="00583C83"/>
    <w:rsid w:val="00586A8F"/>
    <w:rsid w:val="00587D1F"/>
    <w:rsid w:val="00592148"/>
    <w:rsid w:val="005953A1"/>
    <w:rsid w:val="005A2F24"/>
    <w:rsid w:val="005B4DA4"/>
    <w:rsid w:val="005B7EAB"/>
    <w:rsid w:val="005C180F"/>
    <w:rsid w:val="005C36C0"/>
    <w:rsid w:val="005C77BE"/>
    <w:rsid w:val="005D238D"/>
    <w:rsid w:val="005E0B1A"/>
    <w:rsid w:val="005E45C6"/>
    <w:rsid w:val="005F33D1"/>
    <w:rsid w:val="005F4958"/>
    <w:rsid w:val="006003E8"/>
    <w:rsid w:val="00606C85"/>
    <w:rsid w:val="006128A5"/>
    <w:rsid w:val="00613169"/>
    <w:rsid w:val="00615AF5"/>
    <w:rsid w:val="00615D85"/>
    <w:rsid w:val="0062572C"/>
    <w:rsid w:val="00627AF9"/>
    <w:rsid w:val="00630E07"/>
    <w:rsid w:val="0063784F"/>
    <w:rsid w:val="00637F43"/>
    <w:rsid w:val="006440B1"/>
    <w:rsid w:val="00644A1B"/>
    <w:rsid w:val="00645C5B"/>
    <w:rsid w:val="00646D5F"/>
    <w:rsid w:val="006536D8"/>
    <w:rsid w:val="00654399"/>
    <w:rsid w:val="00654BA4"/>
    <w:rsid w:val="0066195A"/>
    <w:rsid w:val="00664931"/>
    <w:rsid w:val="006670C8"/>
    <w:rsid w:val="006776C9"/>
    <w:rsid w:val="006841A7"/>
    <w:rsid w:val="00693721"/>
    <w:rsid w:val="00694C22"/>
    <w:rsid w:val="006963BC"/>
    <w:rsid w:val="006970F4"/>
    <w:rsid w:val="006972AD"/>
    <w:rsid w:val="006A2ACA"/>
    <w:rsid w:val="006A2E15"/>
    <w:rsid w:val="006B0632"/>
    <w:rsid w:val="006C0377"/>
    <w:rsid w:val="006C1D12"/>
    <w:rsid w:val="006C5ECD"/>
    <w:rsid w:val="006D1CE0"/>
    <w:rsid w:val="006D65AB"/>
    <w:rsid w:val="006E7CBB"/>
    <w:rsid w:val="006F7028"/>
    <w:rsid w:val="006F749E"/>
    <w:rsid w:val="006F77B3"/>
    <w:rsid w:val="006F7BE7"/>
    <w:rsid w:val="007024F1"/>
    <w:rsid w:val="00712947"/>
    <w:rsid w:val="00713417"/>
    <w:rsid w:val="00714EDD"/>
    <w:rsid w:val="0071543E"/>
    <w:rsid w:val="0071670A"/>
    <w:rsid w:val="00723505"/>
    <w:rsid w:val="007263B9"/>
    <w:rsid w:val="0074136F"/>
    <w:rsid w:val="00746CE0"/>
    <w:rsid w:val="0075004D"/>
    <w:rsid w:val="0075009F"/>
    <w:rsid w:val="00756FAF"/>
    <w:rsid w:val="00760B62"/>
    <w:rsid w:val="007641FF"/>
    <w:rsid w:val="00767177"/>
    <w:rsid w:val="00775681"/>
    <w:rsid w:val="00781E6A"/>
    <w:rsid w:val="00782ECC"/>
    <w:rsid w:val="0078743D"/>
    <w:rsid w:val="007901CE"/>
    <w:rsid w:val="007905DE"/>
    <w:rsid w:val="00795C55"/>
    <w:rsid w:val="007A23CA"/>
    <w:rsid w:val="007A4202"/>
    <w:rsid w:val="007A50D7"/>
    <w:rsid w:val="007B1F57"/>
    <w:rsid w:val="007B4938"/>
    <w:rsid w:val="007B6CD5"/>
    <w:rsid w:val="007B7391"/>
    <w:rsid w:val="007C6B17"/>
    <w:rsid w:val="007D5934"/>
    <w:rsid w:val="007E3706"/>
    <w:rsid w:val="007F4CD3"/>
    <w:rsid w:val="007F61C2"/>
    <w:rsid w:val="007F71D0"/>
    <w:rsid w:val="008018DB"/>
    <w:rsid w:val="00803CA2"/>
    <w:rsid w:val="00807CAC"/>
    <w:rsid w:val="00807EF5"/>
    <w:rsid w:val="008115BF"/>
    <w:rsid w:val="00816942"/>
    <w:rsid w:val="00820005"/>
    <w:rsid w:val="008212DA"/>
    <w:rsid w:val="00821FD5"/>
    <w:rsid w:val="008223EF"/>
    <w:rsid w:val="00824CBD"/>
    <w:rsid w:val="00824D81"/>
    <w:rsid w:val="0083151E"/>
    <w:rsid w:val="00835322"/>
    <w:rsid w:val="0084181C"/>
    <w:rsid w:val="00843568"/>
    <w:rsid w:val="008467C7"/>
    <w:rsid w:val="00853ABC"/>
    <w:rsid w:val="00855FE8"/>
    <w:rsid w:val="0086175B"/>
    <w:rsid w:val="00871D53"/>
    <w:rsid w:val="00871DCE"/>
    <w:rsid w:val="00881405"/>
    <w:rsid w:val="0088205C"/>
    <w:rsid w:val="00886713"/>
    <w:rsid w:val="00890224"/>
    <w:rsid w:val="0089069F"/>
    <w:rsid w:val="00892DC6"/>
    <w:rsid w:val="00895B40"/>
    <w:rsid w:val="00895DA2"/>
    <w:rsid w:val="00897359"/>
    <w:rsid w:val="008A6A02"/>
    <w:rsid w:val="008A7371"/>
    <w:rsid w:val="008B7C2C"/>
    <w:rsid w:val="008B7EC5"/>
    <w:rsid w:val="008C59C7"/>
    <w:rsid w:val="008D02E9"/>
    <w:rsid w:val="008D1DB6"/>
    <w:rsid w:val="008D25B7"/>
    <w:rsid w:val="008D399B"/>
    <w:rsid w:val="008D5479"/>
    <w:rsid w:val="008E0DC0"/>
    <w:rsid w:val="008E0DF5"/>
    <w:rsid w:val="008E3273"/>
    <w:rsid w:val="008E4357"/>
    <w:rsid w:val="008E4932"/>
    <w:rsid w:val="008E5FAE"/>
    <w:rsid w:val="008E72C5"/>
    <w:rsid w:val="008E7D0A"/>
    <w:rsid w:val="008F032B"/>
    <w:rsid w:val="008F0C45"/>
    <w:rsid w:val="008F54A5"/>
    <w:rsid w:val="008F703B"/>
    <w:rsid w:val="00904B00"/>
    <w:rsid w:val="009053DE"/>
    <w:rsid w:val="00907770"/>
    <w:rsid w:val="0092024A"/>
    <w:rsid w:val="0092205A"/>
    <w:rsid w:val="009314F0"/>
    <w:rsid w:val="00931DA8"/>
    <w:rsid w:val="00940C0F"/>
    <w:rsid w:val="00951DC3"/>
    <w:rsid w:val="00952710"/>
    <w:rsid w:val="00954FA1"/>
    <w:rsid w:val="0095548F"/>
    <w:rsid w:val="009603F5"/>
    <w:rsid w:val="00960A62"/>
    <w:rsid w:val="00964434"/>
    <w:rsid w:val="00970F65"/>
    <w:rsid w:val="00974035"/>
    <w:rsid w:val="009744C8"/>
    <w:rsid w:val="00974530"/>
    <w:rsid w:val="00977A6A"/>
    <w:rsid w:val="00980E58"/>
    <w:rsid w:val="009815BD"/>
    <w:rsid w:val="00981886"/>
    <w:rsid w:val="00982934"/>
    <w:rsid w:val="009854D1"/>
    <w:rsid w:val="00990102"/>
    <w:rsid w:val="00990FEC"/>
    <w:rsid w:val="00991995"/>
    <w:rsid w:val="00992257"/>
    <w:rsid w:val="009A1B08"/>
    <w:rsid w:val="009A430C"/>
    <w:rsid w:val="009C3CB9"/>
    <w:rsid w:val="009C4A13"/>
    <w:rsid w:val="009C745D"/>
    <w:rsid w:val="009D13E8"/>
    <w:rsid w:val="009D61BE"/>
    <w:rsid w:val="009E1900"/>
    <w:rsid w:val="009E281E"/>
    <w:rsid w:val="009E2D36"/>
    <w:rsid w:val="009E68B0"/>
    <w:rsid w:val="009F4BA5"/>
    <w:rsid w:val="009F5460"/>
    <w:rsid w:val="009F6D8A"/>
    <w:rsid w:val="009F7DE3"/>
    <w:rsid w:val="00A07154"/>
    <w:rsid w:val="00A11868"/>
    <w:rsid w:val="00A11900"/>
    <w:rsid w:val="00A127D3"/>
    <w:rsid w:val="00A1386C"/>
    <w:rsid w:val="00A14335"/>
    <w:rsid w:val="00A14528"/>
    <w:rsid w:val="00A14B43"/>
    <w:rsid w:val="00A23612"/>
    <w:rsid w:val="00A2604E"/>
    <w:rsid w:val="00A32860"/>
    <w:rsid w:val="00A417A2"/>
    <w:rsid w:val="00A52189"/>
    <w:rsid w:val="00A57463"/>
    <w:rsid w:val="00A664DF"/>
    <w:rsid w:val="00A71219"/>
    <w:rsid w:val="00A713D0"/>
    <w:rsid w:val="00A71D93"/>
    <w:rsid w:val="00A722D4"/>
    <w:rsid w:val="00A72496"/>
    <w:rsid w:val="00A75AAA"/>
    <w:rsid w:val="00A7635A"/>
    <w:rsid w:val="00A8135A"/>
    <w:rsid w:val="00A82A29"/>
    <w:rsid w:val="00A945BC"/>
    <w:rsid w:val="00AA516A"/>
    <w:rsid w:val="00AA5B0E"/>
    <w:rsid w:val="00AB4DBF"/>
    <w:rsid w:val="00AB520B"/>
    <w:rsid w:val="00AC0504"/>
    <w:rsid w:val="00AC1DB7"/>
    <w:rsid w:val="00AC438B"/>
    <w:rsid w:val="00AC4CCB"/>
    <w:rsid w:val="00AC664F"/>
    <w:rsid w:val="00AC750B"/>
    <w:rsid w:val="00AC7E81"/>
    <w:rsid w:val="00AD4726"/>
    <w:rsid w:val="00AD6091"/>
    <w:rsid w:val="00AD6937"/>
    <w:rsid w:val="00AE1F12"/>
    <w:rsid w:val="00AE24CC"/>
    <w:rsid w:val="00AE4155"/>
    <w:rsid w:val="00AE4B7C"/>
    <w:rsid w:val="00AE66F6"/>
    <w:rsid w:val="00AF17CE"/>
    <w:rsid w:val="00AF1BF5"/>
    <w:rsid w:val="00AF349B"/>
    <w:rsid w:val="00B009E9"/>
    <w:rsid w:val="00B01B16"/>
    <w:rsid w:val="00B04130"/>
    <w:rsid w:val="00B11D16"/>
    <w:rsid w:val="00B129E0"/>
    <w:rsid w:val="00B13678"/>
    <w:rsid w:val="00B15B2D"/>
    <w:rsid w:val="00B1761A"/>
    <w:rsid w:val="00B24588"/>
    <w:rsid w:val="00B24919"/>
    <w:rsid w:val="00B24FC4"/>
    <w:rsid w:val="00B447D7"/>
    <w:rsid w:val="00B53097"/>
    <w:rsid w:val="00B61016"/>
    <w:rsid w:val="00B625C5"/>
    <w:rsid w:val="00B66413"/>
    <w:rsid w:val="00B6655D"/>
    <w:rsid w:val="00B71BAA"/>
    <w:rsid w:val="00B73256"/>
    <w:rsid w:val="00B76A1F"/>
    <w:rsid w:val="00B8073F"/>
    <w:rsid w:val="00B825A5"/>
    <w:rsid w:val="00B82F8C"/>
    <w:rsid w:val="00B8460F"/>
    <w:rsid w:val="00B95477"/>
    <w:rsid w:val="00BA13EE"/>
    <w:rsid w:val="00BA1D81"/>
    <w:rsid w:val="00BA42DC"/>
    <w:rsid w:val="00BA5A3C"/>
    <w:rsid w:val="00BA7130"/>
    <w:rsid w:val="00BB0C97"/>
    <w:rsid w:val="00BB1262"/>
    <w:rsid w:val="00BB28BF"/>
    <w:rsid w:val="00BB2E25"/>
    <w:rsid w:val="00BB6C1D"/>
    <w:rsid w:val="00BC1E57"/>
    <w:rsid w:val="00BC59BD"/>
    <w:rsid w:val="00BD0031"/>
    <w:rsid w:val="00BD1C24"/>
    <w:rsid w:val="00BD215F"/>
    <w:rsid w:val="00BD2445"/>
    <w:rsid w:val="00BD4F32"/>
    <w:rsid w:val="00BD523B"/>
    <w:rsid w:val="00BD74AE"/>
    <w:rsid w:val="00BE15E5"/>
    <w:rsid w:val="00BE16BC"/>
    <w:rsid w:val="00BE3FE7"/>
    <w:rsid w:val="00BF2547"/>
    <w:rsid w:val="00BF2D74"/>
    <w:rsid w:val="00BF4CC8"/>
    <w:rsid w:val="00BF75B6"/>
    <w:rsid w:val="00C00C20"/>
    <w:rsid w:val="00C02547"/>
    <w:rsid w:val="00C0408A"/>
    <w:rsid w:val="00C04839"/>
    <w:rsid w:val="00C058D5"/>
    <w:rsid w:val="00C1124F"/>
    <w:rsid w:val="00C1686C"/>
    <w:rsid w:val="00C16D22"/>
    <w:rsid w:val="00C3045A"/>
    <w:rsid w:val="00C30DED"/>
    <w:rsid w:val="00C37BFF"/>
    <w:rsid w:val="00C418AE"/>
    <w:rsid w:val="00C45F17"/>
    <w:rsid w:val="00C51458"/>
    <w:rsid w:val="00C53580"/>
    <w:rsid w:val="00C55838"/>
    <w:rsid w:val="00C56745"/>
    <w:rsid w:val="00C643C8"/>
    <w:rsid w:val="00C67156"/>
    <w:rsid w:val="00C70729"/>
    <w:rsid w:val="00C71475"/>
    <w:rsid w:val="00C77EF7"/>
    <w:rsid w:val="00C77F0F"/>
    <w:rsid w:val="00C820F1"/>
    <w:rsid w:val="00C85A38"/>
    <w:rsid w:val="00C91512"/>
    <w:rsid w:val="00C94A53"/>
    <w:rsid w:val="00CA2DE2"/>
    <w:rsid w:val="00CA3A85"/>
    <w:rsid w:val="00CA6636"/>
    <w:rsid w:val="00CA6D76"/>
    <w:rsid w:val="00CB0696"/>
    <w:rsid w:val="00CB51CC"/>
    <w:rsid w:val="00CC1A72"/>
    <w:rsid w:val="00CC1D3E"/>
    <w:rsid w:val="00CC5692"/>
    <w:rsid w:val="00CC5D1A"/>
    <w:rsid w:val="00CC65F3"/>
    <w:rsid w:val="00CC6AF0"/>
    <w:rsid w:val="00CD56E5"/>
    <w:rsid w:val="00CE0C1B"/>
    <w:rsid w:val="00CE4C34"/>
    <w:rsid w:val="00CE6481"/>
    <w:rsid w:val="00CE64F2"/>
    <w:rsid w:val="00CF0118"/>
    <w:rsid w:val="00CF0C67"/>
    <w:rsid w:val="00CF0F40"/>
    <w:rsid w:val="00CF4753"/>
    <w:rsid w:val="00D0083B"/>
    <w:rsid w:val="00D172D8"/>
    <w:rsid w:val="00D17F0B"/>
    <w:rsid w:val="00D33B17"/>
    <w:rsid w:val="00D35B2D"/>
    <w:rsid w:val="00D41A90"/>
    <w:rsid w:val="00D44183"/>
    <w:rsid w:val="00D5276C"/>
    <w:rsid w:val="00D6384D"/>
    <w:rsid w:val="00D653F3"/>
    <w:rsid w:val="00D66B24"/>
    <w:rsid w:val="00D72018"/>
    <w:rsid w:val="00D8288F"/>
    <w:rsid w:val="00D82D9B"/>
    <w:rsid w:val="00D872BC"/>
    <w:rsid w:val="00DA5132"/>
    <w:rsid w:val="00DA529F"/>
    <w:rsid w:val="00DB5AAE"/>
    <w:rsid w:val="00DB6882"/>
    <w:rsid w:val="00DC24E2"/>
    <w:rsid w:val="00DC5017"/>
    <w:rsid w:val="00DC5129"/>
    <w:rsid w:val="00DC783F"/>
    <w:rsid w:val="00DD7EC8"/>
    <w:rsid w:val="00DD7F1B"/>
    <w:rsid w:val="00DE0E7F"/>
    <w:rsid w:val="00DE63B7"/>
    <w:rsid w:val="00DF5F20"/>
    <w:rsid w:val="00E059B8"/>
    <w:rsid w:val="00E1100C"/>
    <w:rsid w:val="00E11870"/>
    <w:rsid w:val="00E12A7A"/>
    <w:rsid w:val="00E13F3A"/>
    <w:rsid w:val="00E27FD6"/>
    <w:rsid w:val="00E41DB9"/>
    <w:rsid w:val="00E52385"/>
    <w:rsid w:val="00E6029D"/>
    <w:rsid w:val="00E676B3"/>
    <w:rsid w:val="00E73872"/>
    <w:rsid w:val="00E762BB"/>
    <w:rsid w:val="00E77026"/>
    <w:rsid w:val="00E77D01"/>
    <w:rsid w:val="00E80A20"/>
    <w:rsid w:val="00E81A2D"/>
    <w:rsid w:val="00E83E30"/>
    <w:rsid w:val="00E8661B"/>
    <w:rsid w:val="00E9084E"/>
    <w:rsid w:val="00E962E6"/>
    <w:rsid w:val="00EA07AC"/>
    <w:rsid w:val="00EA689F"/>
    <w:rsid w:val="00EB1CAB"/>
    <w:rsid w:val="00EC1434"/>
    <w:rsid w:val="00EC4225"/>
    <w:rsid w:val="00EC64F4"/>
    <w:rsid w:val="00EC72B0"/>
    <w:rsid w:val="00EC77DB"/>
    <w:rsid w:val="00ED1AD3"/>
    <w:rsid w:val="00EE248C"/>
    <w:rsid w:val="00EF25D8"/>
    <w:rsid w:val="00EF33BE"/>
    <w:rsid w:val="00EF4BEF"/>
    <w:rsid w:val="00EF4F97"/>
    <w:rsid w:val="00F02165"/>
    <w:rsid w:val="00F126FC"/>
    <w:rsid w:val="00F12983"/>
    <w:rsid w:val="00F15359"/>
    <w:rsid w:val="00F17455"/>
    <w:rsid w:val="00F245A2"/>
    <w:rsid w:val="00F309CB"/>
    <w:rsid w:val="00F33EEE"/>
    <w:rsid w:val="00F41919"/>
    <w:rsid w:val="00F44A0E"/>
    <w:rsid w:val="00F4501D"/>
    <w:rsid w:val="00F4763C"/>
    <w:rsid w:val="00F540BA"/>
    <w:rsid w:val="00F64069"/>
    <w:rsid w:val="00F64D6D"/>
    <w:rsid w:val="00F75057"/>
    <w:rsid w:val="00F7710F"/>
    <w:rsid w:val="00F82EE1"/>
    <w:rsid w:val="00F91CB3"/>
    <w:rsid w:val="00F93134"/>
    <w:rsid w:val="00FA415A"/>
    <w:rsid w:val="00FB078F"/>
    <w:rsid w:val="00FC3F00"/>
    <w:rsid w:val="00FE12E0"/>
    <w:rsid w:val="00FF1D71"/>
    <w:rsid w:val="00FF24A8"/>
    <w:rsid w:val="00FF340D"/>
    <w:rsid w:val="00FF7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
    <w:uiPriority w:val="99"/>
    <w:rsid w:val="00362A2C"/>
    <w:rPr>
      <w:sz w:val="22"/>
    </w:rPr>
  </w:style>
  <w:style w:type="paragraph" w:customStyle="1" w:styleId="paragraph">
    <w:name w:val="paragraph"/>
    <w:basedOn w:val="Normal"/>
    <w:rsid w:val="000B2E5E"/>
    <w:pPr>
      <w:spacing w:before="100" w:beforeAutospacing="1" w:after="100" w:afterAutospacing="1"/>
    </w:pPr>
    <w:rPr>
      <w:sz w:val="24"/>
    </w:rPr>
  </w:style>
  <w:style w:type="character" w:customStyle="1" w:styleId="normaltextrun">
    <w:name w:val="normaltextrun"/>
    <w:basedOn w:val="DefaultParagraphFont"/>
    <w:rsid w:val="000B2E5E"/>
  </w:style>
  <w:style w:type="character" w:customStyle="1" w:styleId="eop">
    <w:name w:val="eop"/>
    <w:basedOn w:val="DefaultParagraphFont"/>
    <w:rsid w:val="000B2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yperlink" Target="mailto:DataClearance@FERC.gov" TargetMode="External" /><Relationship Id="rId12" Type="http://schemas.openxmlformats.org/officeDocument/2006/relationships/hyperlink" Target="https://elibrary.ferc.gov/eLibrary/search"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5C40BB6-6DD2-45F7-A26F-34467A7E8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7C634-C3E1-4B7B-9279-482CE236C3AE}">
  <ds:schemaRefs>
    <ds:schemaRef ds:uri="Microsoft.SharePoint.Taxonomy.ContentTypeSync"/>
  </ds:schemaRefs>
</ds:datastoreItem>
</file>

<file path=customXml/itemProps4.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2025-06-25T12:47:00Z</cp:lastPrinted>
  <dcterms:created xsi:type="dcterms:W3CDTF">2025-07-01T17:54:00Z</dcterms:created>
  <dcterms:modified xsi:type="dcterms:W3CDTF">2025-07-01T17:54:00Z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8948c81e-d43e-4744-8aa5-72a1a324ffa5</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2025-07-01T17:54:51Z</vt:lpwstr>
  </property>
  <property fmtid="{D5CDD505-2E9C-101B-9397-08002B2CF9AE}" pid="8" name="MSIP_Label_bd24d06a-0e85-4d57-b1e0-ba34b1abc708_SiteId">
    <vt:lpwstr>19caa9e9-04ff-43fa-885f-d77fac387903</vt:lpwstr>
  </property>
</Properties>
</file>