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4A34" w:rsidRPr="00CB038B" w:rsidP="11AB4B38" w14:paraId="654C7DF6" w14:textId="43F47FE5">
      <w:pPr>
        <w:spacing w:after="0"/>
        <w:jc w:val="center"/>
        <w:rPr>
          <w:sz w:val="32"/>
          <w:szCs w:val="32"/>
        </w:rPr>
      </w:pPr>
      <w:r w:rsidRPr="33E6B857" w:rsidR="28FC42C3">
        <w:rPr>
          <w:sz w:val="32"/>
          <w:szCs w:val="32"/>
        </w:rPr>
        <w:t xml:space="preserve">  </w:t>
      </w:r>
      <w:r w:rsidRPr="33E6B857">
        <w:rPr>
          <w:sz w:val="32"/>
          <w:szCs w:val="32"/>
        </w:rPr>
        <w:t>U.S. Environmental Protection Agency</w:t>
      </w:r>
    </w:p>
    <w:p w:rsidR="00454A34" w:rsidRPr="00CB038B" w:rsidP="11AB4B38" w14:paraId="42892B25" w14:textId="77777777">
      <w:pPr>
        <w:jc w:val="center"/>
        <w:rPr>
          <w:sz w:val="32"/>
          <w:szCs w:val="32"/>
        </w:rPr>
      </w:pPr>
      <w:r w:rsidRPr="11AB4B38">
        <w:rPr>
          <w:sz w:val="32"/>
          <w:szCs w:val="32"/>
        </w:rPr>
        <w:t>Information Collection Request</w:t>
      </w:r>
    </w:p>
    <w:p w:rsidR="00454A34" w:rsidP="00BB432F" w14:paraId="2349100C" w14:textId="77777777">
      <w:pPr>
        <w:rPr>
          <w:rFonts w:cstheme="minorHAnsi"/>
          <w:b/>
          <w:bCs/>
        </w:rPr>
      </w:pPr>
    </w:p>
    <w:p w:rsidR="00454A34" w:rsidRPr="006C3BEC" w:rsidP="00BB432F" w14:paraId="44F95B86" w14:textId="77777777">
      <w:pPr>
        <w:rPr>
          <w:rFonts w:cstheme="minorHAnsi"/>
        </w:rPr>
      </w:pPr>
      <w:r w:rsidRPr="00BB3410">
        <w:rPr>
          <w:rFonts w:cstheme="minorHAnsi"/>
          <w:b/>
          <w:bCs/>
        </w:rPr>
        <w:t>Title</w:t>
      </w:r>
      <w:r w:rsidRPr="00EA0D20">
        <w:rPr>
          <w:rFonts w:cstheme="minorHAnsi"/>
          <w:b/>
          <w:bCs/>
        </w:rPr>
        <w:t>:</w:t>
      </w:r>
      <w:r>
        <w:rPr>
          <w:rFonts w:cstheme="minorHAnsi"/>
        </w:rPr>
        <w:t xml:space="preserve"> </w:t>
      </w:r>
      <w:r w:rsidRPr="006C3BEC">
        <w:rPr>
          <w:rFonts w:cstheme="minorHAnsi"/>
          <w:noProof/>
        </w:rPr>
        <w:t>NESHAP for Refractory Products Manufacturing (40 CFR Part 63, Subpart SSSSS) (Renewal)</w:t>
      </w:r>
    </w:p>
    <w:p w:rsidR="00454A34" w:rsidRPr="006C3BEC" w:rsidP="00BB432F" w14:paraId="2D39023E" w14:textId="77777777">
      <w:pPr>
        <w:spacing w:line="240" w:lineRule="auto"/>
        <w:rPr>
          <w:rFonts w:cstheme="minorHAnsi"/>
        </w:rPr>
      </w:pPr>
      <w:r w:rsidRPr="006C3BEC">
        <w:rPr>
          <w:rFonts w:cstheme="minorHAnsi"/>
          <w:b/>
          <w:bCs/>
        </w:rPr>
        <w:t>OMB Control Number:</w:t>
      </w:r>
      <w:r w:rsidRPr="006C3BEC">
        <w:rPr>
          <w:rFonts w:cstheme="minorHAnsi"/>
        </w:rPr>
        <w:t xml:space="preserve"> </w:t>
      </w:r>
      <w:r w:rsidRPr="006C3BEC">
        <w:rPr>
          <w:rFonts w:cstheme="minorHAnsi"/>
          <w:noProof/>
        </w:rPr>
        <w:t>2060-0515</w:t>
      </w:r>
    </w:p>
    <w:p w:rsidR="00454A34" w:rsidRPr="00BB3410" w:rsidP="00ED57A4" w14:paraId="7F17C0D6" w14:textId="77777777">
      <w:pPr>
        <w:spacing w:before="240" w:line="240" w:lineRule="auto"/>
        <w:rPr>
          <w:rFonts w:cstheme="minorHAnsi"/>
        </w:rPr>
      </w:pPr>
      <w:r w:rsidRPr="006C3BEC">
        <w:rPr>
          <w:rFonts w:cstheme="minorHAnsi"/>
          <w:b/>
          <w:bCs/>
        </w:rPr>
        <w:t xml:space="preserve">EPA ICR Number: </w:t>
      </w:r>
      <w:r w:rsidRPr="006C3BEC">
        <w:rPr>
          <w:rFonts w:cstheme="minorHAnsi"/>
          <w:noProof/>
        </w:rPr>
        <w:t>2040.11</w:t>
      </w:r>
    </w:p>
    <w:p w:rsidR="006A4E44" w:rsidP="006A4E44" w14:paraId="6ACB1ED7" w14:textId="77777777">
      <w:pPr>
        <w:rPr>
          <w:color w:val="000000"/>
        </w:rPr>
      </w:pPr>
      <w:r w:rsidRPr="4BDBF0A0">
        <w:rPr>
          <w:b/>
          <w:bCs/>
        </w:rPr>
        <w:t>Abstract:</w:t>
      </w:r>
      <w:r w:rsidRPr="4BDBF0A0">
        <w:t xml:space="preserve"> </w:t>
      </w:r>
      <w:r>
        <w:rPr>
          <w:color w:val="000000"/>
        </w:rPr>
        <w:t xml:space="preserve">The </w:t>
      </w:r>
      <w:r w:rsidRPr="00641D69">
        <w:t xml:space="preserve">National Emission Standards for Hazardous Air Pollutants (NESHAP) for the regulations published at 40 CFR Part 63, Subpart </w:t>
      </w:r>
      <w:r w:rsidRPr="00641D69">
        <w:rPr>
          <w:bCs/>
        </w:rPr>
        <w:t>SSSSS</w:t>
      </w:r>
      <w:r>
        <w:rPr>
          <w:color w:val="000000"/>
        </w:rPr>
        <w:t xml:space="preserve"> were </w:t>
      </w:r>
      <w:r w:rsidRPr="00E0400A">
        <w:t>proposed on June 20, 2002, promulgated on April 16, 2003</w:t>
      </w:r>
      <w:r>
        <w:t>, and most recently amended</w:t>
      </w:r>
      <w:bookmarkStart w:id="0" w:name="_Hlk90213974"/>
      <w:r>
        <w:t xml:space="preserve"> on November 19, 2021 (86 FR 66045)</w:t>
      </w:r>
      <w:bookmarkEnd w:id="0"/>
      <w:r>
        <w:rPr>
          <w:color w:val="000000"/>
        </w:rPr>
        <w:t xml:space="preserve">. </w:t>
      </w:r>
      <w:r w:rsidRPr="00AF481E">
        <w:rPr>
          <w:color w:val="000000"/>
        </w:rPr>
        <w:t xml:space="preserve">These regulations apply to each refractory </w:t>
      </w:r>
      <w:r w:rsidRPr="00AF481E">
        <w:rPr>
          <w:color w:val="000000"/>
        </w:rPr>
        <w:t>products</w:t>
      </w:r>
      <w:r w:rsidRPr="00AF481E">
        <w:rPr>
          <w:color w:val="000000"/>
        </w:rPr>
        <w:t xml:space="preserve"> manufacturing facility which produces refractory bricks, refractory shapes, </w:t>
      </w:r>
      <w:r w:rsidRPr="00AF481E">
        <w:rPr>
          <w:color w:val="000000"/>
        </w:rPr>
        <w:t>monolithics</w:t>
      </w:r>
      <w:r w:rsidRPr="00AF481E">
        <w:rPr>
          <w:color w:val="000000"/>
        </w:rPr>
        <w:t xml:space="preserve">, kiln furniture, crucibles, and other materials used as linings for boilers, kilns, and other processing units and equipment where extreme temperature, corrosions, and abrasion would destroy other materials. These regulations apply to existing facilities and new facilities that manufacture refractory products and use organic hazardous air </w:t>
      </w:r>
      <w:r w:rsidRPr="00AF481E">
        <w:rPr>
          <w:color w:val="000000"/>
        </w:rPr>
        <w:t>pollutant</w:t>
      </w:r>
      <w:r w:rsidRPr="00AF481E">
        <w:rPr>
          <w:color w:val="000000"/>
        </w:rPr>
        <w:t xml:space="preserve"> (HAP), chromium refractory, and clay refractory products. New facilities include those that commenced construction, modification</w:t>
      </w:r>
      <w:r>
        <w:rPr>
          <w:color w:val="000000"/>
        </w:rPr>
        <w:t>,</w:t>
      </w:r>
      <w:r w:rsidRPr="00AF481E">
        <w:rPr>
          <w:color w:val="000000"/>
        </w:rPr>
        <w:t xml:space="preserve"> or reconstruction after the date of proposal. </w:t>
      </w:r>
      <w:r>
        <w:rPr>
          <w:color w:val="000000"/>
        </w:rPr>
        <w:t>Revisions to the</w:t>
      </w:r>
      <w:r w:rsidRPr="00AF481E">
        <w:rPr>
          <w:color w:val="000000"/>
        </w:rPr>
        <w:t xml:space="preserve"> NESHAP </w:t>
      </w:r>
      <w:r>
        <w:rPr>
          <w:color w:val="000000"/>
        </w:rPr>
        <w:t xml:space="preserve">were finalized on November 19, </w:t>
      </w:r>
      <w:r>
        <w:rPr>
          <w:color w:val="000000"/>
        </w:rPr>
        <w:t>2021</w:t>
      </w:r>
      <w:r>
        <w:rPr>
          <w:color w:val="000000"/>
        </w:rPr>
        <w:t xml:space="preserve"> as a</w:t>
      </w:r>
      <w:r w:rsidRPr="00AF481E">
        <w:rPr>
          <w:color w:val="000000"/>
        </w:rPr>
        <w:t xml:space="preserve"> result of the residual risk and technology review (RTR) required under the Clean Air Act (CAA).</w:t>
      </w:r>
      <w:r>
        <w:rPr>
          <w:rStyle w:val="FootnoteReference"/>
          <w:color w:val="000000"/>
        </w:rPr>
        <w:footnoteReference w:id="3"/>
      </w:r>
      <w:r w:rsidRPr="00AF481E">
        <w:rPr>
          <w:color w:val="000000"/>
        </w:rPr>
        <w:t xml:space="preserve"> This information is being collected to assure compliance with 40 CFR </w:t>
      </w:r>
      <w:r>
        <w:rPr>
          <w:color w:val="000000"/>
        </w:rPr>
        <w:t>P</w:t>
      </w:r>
      <w:r w:rsidRPr="00AF481E">
        <w:rPr>
          <w:color w:val="000000"/>
        </w:rPr>
        <w:t xml:space="preserve">art 63, </w:t>
      </w:r>
      <w:r>
        <w:rPr>
          <w:color w:val="000000"/>
        </w:rPr>
        <w:t>S</w:t>
      </w:r>
      <w:r w:rsidRPr="00AF481E">
        <w:rPr>
          <w:color w:val="000000"/>
        </w:rPr>
        <w:t>ubpart SSSSS.</w:t>
      </w:r>
    </w:p>
    <w:p w:rsidR="006A4E44" w:rsidP="006A4E44" w14:paraId="5CBF44C3" w14:textId="77777777">
      <w:pPr>
        <w:rPr>
          <w:color w:val="000000"/>
        </w:rPr>
      </w:pPr>
      <w:r>
        <w:rPr>
          <w:color w:val="000000"/>
        </w:rPr>
        <w:t>In general, al</w:t>
      </w:r>
      <w:r w:rsidRPr="00D42764">
        <w:t xml:space="preserve">l NESHAP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Pr="00D42764">
        <w:t>NESHAP.</w:t>
      </w:r>
    </w:p>
    <w:p w:rsidR="006A4E44" w:rsidP="006A4E44" w14:paraId="38D17760" w14:textId="77777777">
      <w:pPr>
        <w:pBdr>
          <w:top w:val="single" w:sz="6" w:space="0" w:color="FFFFFF"/>
          <w:left w:val="single" w:sz="6" w:space="0" w:color="FFFFFF"/>
          <w:bottom w:val="single" w:sz="6" w:space="0" w:color="FFFFFF"/>
          <w:right w:val="single" w:sz="6" w:space="0" w:color="FFFFFF"/>
        </w:pBdr>
        <w:rPr>
          <w:color w:val="FF0000"/>
        </w:rPr>
      </w:pPr>
      <w:r w:rsidRPr="004411F8">
        <w:t xml:space="preserve">Over the next three years, approximately three respondents per year will be subject to the standard, and no additional </w:t>
      </w:r>
      <w:r>
        <w:rPr>
          <w:color w:val="000000"/>
        </w:rPr>
        <w:t xml:space="preserve">respondents per year will become subject to the standard. </w:t>
      </w:r>
    </w:p>
    <w:p w:rsidR="006A4E44" w:rsidRPr="004411F8" w:rsidP="006A4E44" w14:paraId="09F01187" w14:textId="77777777">
      <w:pPr>
        <w:pBdr>
          <w:top w:val="single" w:sz="6" w:space="0" w:color="FFFFFF"/>
          <w:left w:val="single" w:sz="6" w:space="0" w:color="FFFFFF"/>
          <w:bottom w:val="single" w:sz="6" w:space="0" w:color="FFFFFF"/>
          <w:right w:val="single" w:sz="6" w:space="0" w:color="FFFFFF"/>
        </w:pBdr>
      </w:pPr>
      <w:r w:rsidRPr="004411F8">
        <w:t>The Office of Management and Budget (OMB) approved the currently active ICR without any “Terms of Clearance.”</w:t>
      </w:r>
    </w:p>
    <w:p w:rsidR="00454A34" w:rsidRPr="00BB3410" w:rsidP="006A4E44" w14:paraId="41436CC6" w14:textId="59DD0E1B">
      <w:pPr>
        <w:spacing w:before="240"/>
        <w:rPr>
          <w:b/>
          <w:bCs/>
          <w:u w:val="single"/>
        </w:rPr>
      </w:pPr>
      <w:r w:rsidRPr="4BDBF0A0">
        <w:rPr>
          <w:b/>
          <w:bCs/>
          <w:u w:val="single"/>
        </w:rPr>
        <w:t>Supporting Statement A</w:t>
      </w:r>
    </w:p>
    <w:p w:rsidR="00454A34" w:rsidRPr="00E3122D" w:rsidP="00854AAE" w14:paraId="52B0C98F"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NEED AND AUTHORITY FOR THE COLLECTION</w:t>
      </w:r>
    </w:p>
    <w:p w:rsidR="00454A34" w:rsidP="00854AAE" w14:paraId="633166C9"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454A34" w:rsidRPr="00B9008B" w:rsidP="00C31EAF" w14:paraId="7941262D" w14:textId="77777777">
      <w:pPr>
        <w:spacing w:before="60"/>
        <w:rPr>
          <w:rFonts w:ascii="Calibri" w:hAnsi="Calibri" w:cs="Calibri"/>
          <w:noProof/>
          <w:shd w:val="clear" w:color="auto" w:fill="FFFFFF"/>
        </w:rPr>
      </w:pPr>
      <w:r w:rsidRPr="00B9008B">
        <w:rPr>
          <w:rFonts w:ascii="Calibri" w:hAnsi="Calibri" w:cs="Calibri"/>
          <w:noProof/>
          <w:shd w:val="clear" w:color="auto" w:fill="FFFFFF"/>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454A34" w:rsidRPr="00B9008B" w:rsidP="00C31EAF" w14:paraId="53628189" w14:textId="77777777">
      <w:pPr>
        <w:spacing w:before="60"/>
        <w:ind w:left="720" w:right="1440"/>
        <w:rPr>
          <w:rFonts w:ascii="Calibri" w:hAnsi="Calibri" w:cs="Calibri"/>
          <w:shd w:val="clear" w:color="auto" w:fill="FFFFFF"/>
        </w:rPr>
      </w:pPr>
      <w:r w:rsidRPr="00B9008B">
        <w:rPr>
          <w:rFonts w:ascii="Calibri" w:hAnsi="Calibri" w:cs="Calibri"/>
          <w:noProof/>
          <w:shd w:val="clear" w:color="auto" w:fill="FFFFFF"/>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454A34" w:rsidRPr="001A74AB" w:rsidP="00C31EAF" w14:paraId="051041E9" w14:textId="4C42F54D">
      <w:pPr>
        <w:spacing w:before="60"/>
        <w:rPr>
          <w:rFonts w:cstheme="minorHAnsi"/>
        </w:rPr>
      </w:pPr>
      <w:r w:rsidRPr="00E1154E">
        <w:rPr>
          <w:rFonts w:cstheme="minorHAnsi"/>
        </w:rPr>
        <w:t xml:space="preserve">In the Administrator's judgment, </w:t>
      </w:r>
      <w:r w:rsidRPr="00CC17A4" w:rsidR="00E225CC">
        <w:t xml:space="preserve">HAP emissions from </w:t>
      </w:r>
      <w:r w:rsidRPr="002A53EC" w:rsidR="00E225CC">
        <w:t xml:space="preserve">refractory products manufacturing </w:t>
      </w:r>
      <w:r w:rsidRPr="00E1154E">
        <w:rPr>
          <w:rFonts w:cstheme="minorHAnsi"/>
        </w:rPr>
        <w:t>cause or contribute to air pollution that may reasonably be anticipated to endanger public health or welfare. Therefore</w:t>
      </w:r>
      <w:r w:rsidRPr="00B9008B">
        <w:rPr>
          <w:rFonts w:cstheme="minorHAnsi"/>
        </w:rPr>
        <w:t xml:space="preserve">, the </w:t>
      </w:r>
      <w:r w:rsidRPr="00B9008B">
        <w:rPr>
          <w:rFonts w:cstheme="minorHAnsi"/>
          <w:noProof/>
        </w:rPr>
        <w:t>NESHAP</w:t>
      </w:r>
      <w:r w:rsidRPr="00B9008B">
        <w:rPr>
          <w:rFonts w:cstheme="minorHAnsi"/>
        </w:rPr>
        <w:t xml:space="preserve"> were promulgated for this source category at </w:t>
      </w:r>
      <w:r w:rsidRPr="00B9008B">
        <w:rPr>
          <w:rFonts w:cstheme="minorHAnsi"/>
          <w:noProof/>
        </w:rPr>
        <w:t>40 CFR Part 63, Subpart SSSSS</w:t>
      </w:r>
      <w:r w:rsidRPr="00B9008B">
        <w:rPr>
          <w:rFonts w:cstheme="minorHAnsi"/>
        </w:rPr>
        <w:t>.</w:t>
      </w:r>
      <w:r w:rsidRPr="00E1154E">
        <w:rPr>
          <w:rFonts w:cstheme="minorHAnsi"/>
        </w:rPr>
        <w:t> </w:t>
      </w:r>
    </w:p>
    <w:p w:rsidR="00454A34" w:rsidRPr="00E3122D" w:rsidP="00854AAE" w14:paraId="5BBD32A7"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PRACTICAL UTILITY/USERS OF THE DATA</w:t>
      </w:r>
    </w:p>
    <w:p w:rsidR="00454A34" w:rsidRPr="00D47CB3" w:rsidP="00854AAE" w14:paraId="044D148D"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B228E2" w:rsidRPr="00B228E2" w:rsidP="00B228E2" w14:paraId="2F72E6FB" w14:textId="5795402B">
      <w:pPr>
        <w:pBdr>
          <w:top w:val="single" w:sz="6" w:space="0" w:color="FFFFFF"/>
          <w:left w:val="single" w:sz="6" w:space="0" w:color="FFFFFF"/>
          <w:bottom w:val="single" w:sz="6" w:space="0" w:color="FFFFFF"/>
          <w:right w:val="single" w:sz="6" w:space="0" w:color="FFFFFF"/>
        </w:pBdr>
        <w:rPr>
          <w:rFonts w:cstheme="minorHAnsi"/>
        </w:rPr>
      </w:pPr>
      <w:r w:rsidRPr="00B228E2">
        <w:rPr>
          <w:rFonts w:cstheme="minorHAnsi"/>
        </w:rPr>
        <w:t xml:space="preserve">The recordkeeping and reporting requirements in these standards ensure compliance with the applicable regulations which were promulgated in accordance with the CAA. The </w:t>
      </w:r>
      <w:r w:rsidRPr="00B228E2">
        <w:rPr>
          <w:rFonts w:cstheme="minorHAnsi"/>
        </w:rPr>
        <w:t>collected information</w:t>
      </w:r>
      <w:r w:rsidRPr="00B228E2">
        <w:rPr>
          <w:rFonts w:cstheme="minorHAnsi"/>
        </w:rPr>
        <w:t xml:space="preserve"> is also used for targeting inspections and as evidence in legal proceedings.</w:t>
      </w:r>
    </w:p>
    <w:p w:rsidR="00B228E2" w:rsidRPr="00B228E2" w:rsidP="00B228E2" w14:paraId="6613EDDE" w14:textId="77777777">
      <w:pPr>
        <w:pBdr>
          <w:top w:val="single" w:sz="6" w:space="0" w:color="FFFFFF"/>
          <w:left w:val="single" w:sz="6" w:space="0" w:color="FFFFFF"/>
          <w:bottom w:val="single" w:sz="6" w:space="0" w:color="FFFFFF"/>
          <w:right w:val="single" w:sz="6" w:space="0" w:color="FFFFFF"/>
        </w:pBdr>
        <w:rPr>
          <w:rFonts w:cstheme="minorHAnsi"/>
        </w:rPr>
      </w:pPr>
      <w:r w:rsidRPr="00B228E2">
        <w:rPr>
          <w:rFonts w:cstheme="minorHAnsi"/>
        </w:rPr>
        <w:t xml:space="preserve">Performance tests are required </w:t>
      </w:r>
      <w:r w:rsidRPr="00B228E2">
        <w:rPr>
          <w:rFonts w:cstheme="minorHAnsi"/>
        </w:rPr>
        <w:t>in order to</w:t>
      </w:r>
      <w:r w:rsidRPr="00B228E2">
        <w:rPr>
          <w:rFonts w:cstheme="minorHAnsi"/>
        </w:rPr>
        <w:t xml:space="preserve"> determine an affected facility’s initial capability to comply with the emission standards. Continuous monitoring systems are used to </w:t>
      </w:r>
      <w:r w:rsidRPr="00B228E2">
        <w:rPr>
          <w:rFonts w:cstheme="minorHAnsi"/>
        </w:rPr>
        <w:t>ensure compliance with the standards at all times</w:t>
      </w:r>
      <w:r w:rsidRPr="00B228E2">
        <w:rPr>
          <w:rFonts w:cstheme="minorHAnsi"/>
        </w:rPr>
        <w:t>. During the performance test a record of the operating parameters under which compliance was achieved may be recorded and used to determine compliance in place of a continuous emission monitor.</w:t>
      </w:r>
    </w:p>
    <w:p w:rsidR="00B228E2" w:rsidRPr="00B228E2" w:rsidP="00B228E2" w14:paraId="259950D1" w14:textId="77777777">
      <w:pPr>
        <w:pBdr>
          <w:top w:val="single" w:sz="6" w:space="0" w:color="FFFFFF"/>
          <w:left w:val="single" w:sz="6" w:space="0" w:color="FFFFFF"/>
          <w:bottom w:val="single" w:sz="6" w:space="0" w:color="FFFFFF"/>
          <w:right w:val="single" w:sz="6" w:space="0" w:color="FFFFFF"/>
        </w:pBdr>
        <w:rPr>
          <w:rFonts w:cstheme="minorHAnsi"/>
        </w:rPr>
      </w:pPr>
      <w:r w:rsidRPr="00B228E2">
        <w:rPr>
          <w:rFonts w:cstheme="minorHAnsi"/>
        </w:rPr>
        <w:t xml:space="preserve">The notifications required </w:t>
      </w:r>
      <w:r w:rsidRPr="00B228E2">
        <w:rPr>
          <w:rFonts w:cstheme="minorHAnsi"/>
        </w:rPr>
        <w:t>in</w:t>
      </w:r>
      <w:r w:rsidRPr="00B228E2">
        <w:rPr>
          <w:rFonts w:cstheme="minorHAnsi"/>
        </w:rPr>
        <w:t xml:space="preserve"> these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that the standards are being met. The performance test may also be observed.</w:t>
      </w:r>
    </w:p>
    <w:p w:rsidR="00454A34" w:rsidRPr="00BB3410" w:rsidP="00B228E2" w14:paraId="1C1A1D92" w14:textId="05BE1C60">
      <w:pPr>
        <w:pBdr>
          <w:top w:val="single" w:sz="6" w:space="0" w:color="FFFFFF"/>
          <w:left w:val="single" w:sz="6" w:space="0" w:color="FFFFFF"/>
          <w:bottom w:val="single" w:sz="6" w:space="0" w:color="FFFFFF"/>
          <w:right w:val="single" w:sz="6" w:space="0" w:color="FFFFFF"/>
        </w:pBdr>
        <w:rPr>
          <w:rFonts w:cstheme="minorHAnsi"/>
          <w:color w:val="FF0000"/>
        </w:rPr>
      </w:pPr>
      <w:r w:rsidRPr="00B228E2">
        <w:rPr>
          <w:rFonts w:cstheme="minorHAnsi"/>
        </w:rPr>
        <w:t>The required semi-annual compliance reports are used to determine periods of excess emissions, identify problems at the facility, verify operation/maintenance procedures and for compliance determinations.</w:t>
      </w:r>
    </w:p>
    <w:p w:rsidR="00454A34" w:rsidRPr="00E3122D" w:rsidP="00854AAE" w14:paraId="30ED344B"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p>
    <w:p w:rsidR="00454A34" w:rsidRPr="001F0834" w:rsidP="00854AAE" w14:paraId="16FBFB50"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1F0834">
        <w:rPr>
          <w:rFonts w:ascii="Calibri" w:hAnsi="Calibri" w:cs="Calibri"/>
          <w:i/>
          <w:iCs/>
          <w:color w:val="000000"/>
          <w:shd w:val="clear" w:color="auto" w:fill="FFFFFF"/>
        </w:rPr>
        <w:t>for adopting</w:t>
      </w:r>
      <w:r w:rsidRPr="001F0834">
        <w:rPr>
          <w:rFonts w:ascii="Calibri" w:hAnsi="Calibri" w:cs="Calibri"/>
          <w:i/>
          <w:iCs/>
          <w:color w:val="000000"/>
          <w:shd w:val="clear" w:color="auto" w:fill="FFFFFF"/>
        </w:rPr>
        <w:t xml:space="preserve"> this means of collection. Also describe any consideration of using information technology to reduce burden.</w:t>
      </w:r>
    </w:p>
    <w:p w:rsidR="00454A34" w:rsidRPr="0093123F" w:rsidP="0093123F" w14:paraId="5BE4EC46"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454A34" w:rsidRPr="0093123F" w:rsidP="0093123F" w14:paraId="78492CD1" w14:textId="3F8B8FF2">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The rule </w:t>
      </w:r>
      <w:r w:rsidRPr="0047357E">
        <w:rPr>
          <w:rFonts w:cstheme="minorHAnsi"/>
        </w:rPr>
        <w:t xml:space="preserve">was amended to include electronic reporting provisions on </w:t>
      </w:r>
      <w:r w:rsidRPr="0047357E" w:rsidR="0047357E">
        <w:rPr>
          <w:rFonts w:cstheme="minorHAnsi"/>
        </w:rPr>
        <w:t>November 19, 2021</w:t>
      </w:r>
      <w:r w:rsidRPr="0047357E">
        <w:rPr>
          <w:rFonts w:cstheme="minorHAnsi"/>
        </w:rPr>
        <w:t>. Respondents are required to use the EPA’s Electronic Reporting Tool (ERT) to develop performance</w:t>
      </w:r>
      <w:r w:rsidRPr="0093123F">
        <w:rPr>
          <w:rFonts w:cstheme="minorHAnsi"/>
          <w:color w:val="000000"/>
        </w:rPr>
        <w:t xml:space="preserve"> test reports and performance evaluation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w:t>
      </w:r>
      <w:r w:rsidR="002E2BD2">
        <w:rPr>
          <w:rFonts w:cstheme="minorHAnsi"/>
          <w:color w:val="000000"/>
        </w:rPr>
        <w:t>notifications of compliance status required by 40 CFR 63.9814(j)</w:t>
      </w:r>
      <w:r w:rsidRPr="0093123F">
        <w:rPr>
          <w:rFonts w:cstheme="minorHAnsi"/>
          <w:color w:val="000000"/>
        </w:rPr>
        <w:t xml:space="preserve"> through EPA’s CEDRI. The notification is an upload of their currently required notification in portable document format (PDF) file</w:t>
      </w:r>
      <w:r w:rsidR="0088333B">
        <w:rPr>
          <w:rFonts w:cstheme="minorHAnsi"/>
          <w:color w:val="000000"/>
        </w:rPr>
        <w:t xml:space="preserve">. </w:t>
      </w:r>
      <w:r w:rsidRPr="00EA7FBF" w:rsidR="00EA7FBF">
        <w:rPr>
          <w:rFonts w:cstheme="minorHAnsi"/>
          <w:color w:val="000000"/>
        </w:rPr>
        <w:t>The EPA</w:t>
      </w:r>
      <w:r w:rsidRPr="00EA7FBF" w:rsidR="00EA7FBF">
        <w:rPr>
          <w:rFonts w:cstheme="minorHAnsi"/>
          <w:color w:val="000000"/>
        </w:rPr>
        <w:t xml:space="preserve"> is also requiring that owners or operators of affected sources would submit electronic copies of initial notifications required in 40 CFR 63.9(b) (when required under 40 CFR 63.9(b)(ii)</w:t>
      </w:r>
      <w:r w:rsidRPr="00EA7FBF" w:rsidR="00EA7FBF">
        <w:rPr>
          <w:rFonts w:cstheme="minorHAnsi"/>
          <w:color w:val="000000"/>
        </w:rPr>
        <w:t>), and</w:t>
      </w:r>
      <w:r w:rsidRPr="00EA7FBF" w:rsidR="00EA7FBF">
        <w:rPr>
          <w:rFonts w:cstheme="minorHAnsi"/>
          <w:color w:val="000000"/>
        </w:rPr>
        <w:t xml:space="preserve"> change in information already provided required by 40 CFR 63.9(j) through the EPA's Central Data Exchange (CDX), using the Compliance and Emissions Data Reporting Interface (CEDRI). For the notifications required in 40 CFR 63.9(b) (when required under 40 CFR 63.9(b)(ii)) and 63.9(j), owners and operators would be required to upload a PDF of the required notifications. </w:t>
      </w:r>
      <w:r>
        <w:rPr>
          <w:rFonts w:cstheme="minorHAnsi"/>
          <w:color w:val="000000"/>
        </w:rPr>
        <w:t>For the</w:t>
      </w:r>
      <w:r w:rsidRPr="0093123F">
        <w:rPr>
          <w:rFonts w:cstheme="minorHAnsi"/>
          <w:color w:val="000000"/>
        </w:rPr>
        <w:t xml:space="preserve"> purposes of this ICR, it is assumed that there is no additional burden associated with the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454A34" w:rsidRPr="0093123F" w:rsidP="0093123F" w14:paraId="2A4943A4"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w:t>
      </w:r>
      <w:r w:rsidRPr="0093123F">
        <w:rPr>
          <w:rFonts w:cstheme="minorHAnsi"/>
          <w:color w:val="000000"/>
        </w:rPr>
        <w:t>in order to</w:t>
      </w:r>
      <w:r w:rsidRPr="0093123F">
        <w:rPr>
          <w:rFonts w:cstheme="minorHAnsi"/>
          <w:color w:val="000000"/>
        </w:rPr>
        <w:t xml:space="preserve"> satisfy federal recordkeeping requirements. For additional information on the Paperwork Reduction Act requirements for CEDRI and ERT for this rule, see: https://www.epa.gov/electronic-reporting-air-emissions/paperwork-reduction-act-pra-cedri-and-ert.</w:t>
      </w:r>
    </w:p>
    <w:p w:rsidR="00454A34" w:rsidRPr="00E3122D" w:rsidP="00854AAE" w14:paraId="493138F6"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EFFORTS TO IDENTIFY DUPLICATION</w:t>
      </w:r>
    </w:p>
    <w:p w:rsidR="00454A34" w:rsidRPr="001F0834" w:rsidP="00854AAE" w14:paraId="006317C1"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454A34" w:rsidRPr="000459E3" w:rsidP="00653D08" w14:paraId="7492E72E" w14:textId="77777777">
      <w:pPr>
        <w:pBdr>
          <w:top w:val="single" w:sz="6" w:space="0" w:color="FFFFFF"/>
          <w:left w:val="single" w:sz="6" w:space="0" w:color="FFFFFF"/>
          <w:bottom w:val="single" w:sz="6" w:space="0" w:color="FFFFFF"/>
          <w:right w:val="single" w:sz="6" w:space="0" w:color="FFFFFF"/>
        </w:pBdr>
        <w:rPr>
          <w:shd w:val="clear" w:color="auto" w:fill="FFFFFF"/>
        </w:rPr>
      </w:pPr>
      <w:r w:rsidRPr="000459E3">
        <w:t>For reports required to be submitted electronically</w:t>
      </w:r>
      <w:r w:rsidRPr="000459E3">
        <w:rPr>
          <w:shd w:val="clear" w:color="auto" w:fill="FFFFFF"/>
        </w:rPr>
        <w:t xml:space="preserve">, the information is sent through the EPA's CDX, using CEDRI, where the appropriate EPA regional office can review it, as well as state and local agencies that have been delegated authority. If a state or local agency has adopted under its own authority its </w:t>
      </w:r>
      <w:r w:rsidRPr="000459E3">
        <w:rPr>
          <w:shd w:val="clear" w:color="auto" w:fill="FFFFFF"/>
        </w:rPr>
        <w:t>own standards for reporting or data collection, adherence to those non-Federal requirements does not constitute duplication. </w:t>
      </w:r>
    </w:p>
    <w:p w:rsidR="00454A34" w:rsidRPr="00653D08" w:rsidP="00854AAE" w14:paraId="42BBC606" w14:textId="77777777">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p>
    <w:p w:rsidR="00454A34" w:rsidRPr="00E3122D" w:rsidP="4BDBF0A0" w14:paraId="38A8B536" w14:textId="77777777">
      <w:pPr>
        <w:pStyle w:val="ListParagraph"/>
        <w:numPr>
          <w:ilvl w:val="0"/>
          <w:numId w:val="25"/>
        </w:numPr>
        <w:pBdr>
          <w:bottom w:val="single" w:sz="4" w:space="1" w:color="auto"/>
        </w:pBdr>
        <w:spacing w:before="240" w:after="0"/>
        <w:rPr>
          <w:b/>
          <w:bCs/>
        </w:rPr>
      </w:pPr>
      <w:r w:rsidRPr="4BDBF0A0">
        <w:rPr>
          <w:b/>
          <w:bCs/>
        </w:rPr>
        <w:t>MINIMIZING BURDEN ON SMALL BUSINESSES AND SMALL ENTITIES</w:t>
      </w:r>
    </w:p>
    <w:p w:rsidR="00454A34" w:rsidRPr="001F0834" w:rsidP="00854AAE" w14:paraId="3B3CBB13"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454A34" w:rsidRPr="00BB3410" w:rsidP="00901BFD" w14:paraId="23E1954E" w14:textId="48F9E1FD">
      <w:pPr>
        <w:rPr>
          <w:rFonts w:cstheme="minorHAnsi"/>
        </w:rPr>
      </w:pPr>
      <w:r w:rsidRPr="008A789F">
        <w:rPr>
          <w:rFonts w:cstheme="minorHAnsi"/>
        </w:rPr>
        <w:t>Two of the three respondents are large entities (i.e., large businesses). However, the impact on small entities (i.</w:t>
      </w:r>
      <w:r w:rsidRPr="008A789F">
        <w:rPr>
          <w:rFonts w:cstheme="minorHAnsi"/>
        </w:rPr>
        <w:t>e.,</w:t>
      </w:r>
      <w:r w:rsidRPr="008A789F">
        <w:rPr>
          <w:rFonts w:cstheme="minorHAnsi"/>
        </w:rPr>
        <w:t xml:space="preserv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54A34" w:rsidRPr="00E3122D" w:rsidP="4BDBF0A0" w14:paraId="20299D2A" w14:textId="77777777">
      <w:pPr>
        <w:pStyle w:val="ListParagraph"/>
        <w:numPr>
          <w:ilvl w:val="0"/>
          <w:numId w:val="25"/>
        </w:numPr>
        <w:pBdr>
          <w:bottom w:val="single" w:sz="4" w:space="1" w:color="auto"/>
        </w:pBdr>
        <w:spacing w:before="240" w:after="0"/>
        <w:rPr>
          <w:b/>
          <w:bCs/>
        </w:rPr>
      </w:pPr>
      <w:r w:rsidRPr="4BDBF0A0">
        <w:rPr>
          <w:b/>
          <w:bCs/>
        </w:rPr>
        <w:t>CONSEQUENCES OF LESS FREQUENT COLLECTION</w:t>
      </w:r>
    </w:p>
    <w:p w:rsidR="00454A34" w:rsidRPr="001F0834" w:rsidP="00854AAE" w14:paraId="777F2733"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 xml:space="preserve">Describe the </w:t>
      </w:r>
      <w:r w:rsidRPr="001F0834">
        <w:rPr>
          <w:rFonts w:ascii="Calibri" w:hAnsi="Calibri" w:cs="Calibri"/>
          <w:i/>
          <w:iCs/>
          <w:color w:val="000000"/>
          <w:shd w:val="clear" w:color="auto" w:fill="FFFFFF"/>
        </w:rPr>
        <w:t>consequence</w:t>
      </w:r>
      <w:r w:rsidRPr="001F0834">
        <w:rPr>
          <w:rFonts w:ascii="Calibri" w:hAnsi="Calibri" w:cs="Calibri"/>
          <w:i/>
          <w:iCs/>
          <w:color w:val="000000"/>
          <w:shd w:val="clear" w:color="auto" w:fill="FFFFFF"/>
        </w:rPr>
        <w:t xml:space="preserve"> to Federal program or policy activities if the collection is not conducted or is conducted less frequently, as well as any technical or legal obstacles to reducing burden.</w:t>
      </w:r>
    </w:p>
    <w:p w:rsidR="00454A34" w:rsidRPr="00653D08" w:rsidP="00653D08" w14:paraId="640FD2A6"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454A34" w:rsidRPr="00E3122D" w:rsidP="00854AAE" w14:paraId="4E1125B6"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GENERAL GUIDELINES</w:t>
      </w:r>
    </w:p>
    <w:p w:rsidR="00454A34" w:rsidRPr="00A233E0" w:rsidP="00854AAE" w14:paraId="02E0972E"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454A34" w:rsidP="00653D08" w14:paraId="7D146DF0"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454A34" w:rsidRPr="00A259D5" w:rsidP="00854AAE" w14:paraId="13CA932B" w14:textId="38E50F75">
      <w:pPr>
        <w:pBdr>
          <w:top w:val="single" w:sz="6" w:space="0" w:color="FFFFFF"/>
          <w:left w:val="single" w:sz="6" w:space="0" w:color="FFFFFF"/>
          <w:bottom w:val="single" w:sz="6" w:space="0" w:color="FFFFFF"/>
          <w:right w:val="single" w:sz="6" w:space="0" w:color="FFFFFF"/>
        </w:pBdr>
      </w:pPr>
      <w:r w:rsidRPr="00A259D5">
        <w:t xml:space="preserve">These standards require the respondents to maintain all records, including reports and </w:t>
      </w:r>
      <w:r w:rsidRPr="00A259D5">
        <w:t>notifications</w:t>
      </w:r>
      <w:r w:rsidRPr="00A259D5">
        <w:t xml:space="preserve">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w:t>
      </w:r>
      <w:r w:rsidRPr="00A259D5">
        <w:t>violators have violations extending beyond five years. In addition, EPA would be prevented from pursuing the violators due to the destruction or nonexistence of essential records.</w:t>
      </w:r>
    </w:p>
    <w:p w:rsidR="00454A34" w:rsidRPr="00E3122D" w:rsidP="00854AAE" w14:paraId="5D7C904B"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PUBLIC COMMENT AND CONSULTATIONS</w:t>
      </w:r>
    </w:p>
    <w:p w:rsidR="00454A34" w:rsidRPr="00E3122D" w:rsidP="00854AAE" w14:paraId="0EB86584" w14:textId="77777777">
      <w:pPr>
        <w:spacing w:before="120" w:after="0"/>
        <w:rPr>
          <w:rFonts w:cstheme="minorHAnsi"/>
          <w:b/>
          <w:bCs/>
        </w:rPr>
      </w:pPr>
      <w:r w:rsidRPr="00E3122D">
        <w:rPr>
          <w:rFonts w:cstheme="minorHAnsi"/>
          <w:b/>
          <w:bCs/>
        </w:rPr>
        <w:t>8a. Public Comment</w:t>
      </w:r>
    </w:p>
    <w:p w:rsidR="00454A34" w:rsidRPr="00A233E0" w:rsidP="00854AAE" w14:paraId="531B2B61"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54A34" w:rsidP="00854AAE" w14:paraId="545C0B71" w14:textId="77777777">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Pr>
          <w:rFonts w:cstheme="minorHAnsi"/>
        </w:rPr>
        <w:t>89 FR 63933) on August 6, 2024.</w:t>
      </w:r>
      <w:r w:rsidRPr="0093123F">
        <w:rPr>
          <w:rFonts w:cstheme="minorHAnsi"/>
          <w:color w:val="000000"/>
        </w:rPr>
        <w:t xml:space="preserve"> No comments were received on the burden published in the Federal Register for this renewal.</w:t>
      </w:r>
    </w:p>
    <w:p w:rsidR="00454A34" w:rsidRPr="00E3122D" w:rsidP="00854AAE" w14:paraId="6A2FDAC5" w14:textId="77777777">
      <w:pPr>
        <w:spacing w:before="120" w:after="0"/>
        <w:rPr>
          <w:rFonts w:cstheme="minorHAnsi"/>
          <w:b/>
          <w:bCs/>
        </w:rPr>
      </w:pPr>
      <w:r w:rsidRPr="00E3122D">
        <w:rPr>
          <w:rFonts w:cstheme="minorHAnsi"/>
          <w:b/>
          <w:bCs/>
        </w:rPr>
        <w:t>8b. Consultations</w:t>
      </w:r>
    </w:p>
    <w:p w:rsidR="00454A34" w:rsidRPr="00A233E0" w:rsidP="00854AAE" w14:paraId="48E8A6E9" w14:textId="77777777">
      <w:pPr>
        <w:rPr>
          <w:rFonts w:cstheme="minorHAnsi"/>
          <w:i/>
          <w:iCs/>
        </w:rPr>
      </w:pPr>
      <w:r w:rsidRPr="00A233E0">
        <w:rPr>
          <w:rFonts w:cstheme="minorHAnsi"/>
          <w:i/>
          <w:iCs/>
        </w:rPr>
        <w:t xml:space="preserve">Describe efforts to consult with </w:t>
      </w:r>
      <w:r w:rsidRPr="00A233E0">
        <w:rPr>
          <w:rFonts w:cstheme="minorHAnsi"/>
          <w:i/>
          <w:iCs/>
        </w:rPr>
        <w:t>persons</w:t>
      </w:r>
      <w:r w:rsidRPr="00A233E0">
        <w:rPr>
          <w:rFonts w:cstheme="minorHAnsi"/>
          <w:i/>
          <w:iCs/>
        </w:rPr>
        <w:t xml:space="preserve">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54A34" w:rsidRPr="00FE090D" w:rsidP="0093123F" w14:paraId="20580F57" w14:textId="77777777">
      <w:pPr>
        <w:rPr>
          <w:rFonts w:cstheme="minorHAnsi"/>
        </w:rPr>
      </w:pPr>
      <w:r w:rsidRPr="00FE090D">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six respondents will be subject to the standard over the three-year period covered by this ICR.</w:t>
      </w:r>
    </w:p>
    <w:p w:rsidR="00454A34" w:rsidRPr="00FE090D" w:rsidP="0093123F" w14:paraId="6D513626" w14:textId="11846BD3">
      <w:pPr>
        <w:rPr>
          <w:rFonts w:cstheme="minorHAnsi"/>
        </w:rPr>
      </w:pPr>
      <w:r w:rsidRPr="00FE090D">
        <w:rPr>
          <w:rFonts w:cstheme="minorHAnsi"/>
        </w:rPr>
        <w:t xml:space="preserve">Industry trade association(s) and other interested parties were provided an opportunity to comment on the burden associated with the standard as it was being </w:t>
      </w:r>
      <w:r w:rsidRPr="00FE090D">
        <w:rPr>
          <w:rFonts w:cstheme="minorHAnsi"/>
        </w:rPr>
        <w:t>developed</w:t>
      </w:r>
      <w:r w:rsidRPr="00FE090D">
        <w:rPr>
          <w:rFonts w:cstheme="minorHAnsi"/>
        </w:rPr>
        <w:t xml:space="preserve"> and the standard has been previously reviewed to determine the minimum information needed for compliance purposes. In developing this ICR, we contacted both the </w:t>
      </w:r>
      <w:r w:rsidR="002528E2">
        <w:t xml:space="preserve">RHI </w:t>
      </w:r>
      <w:r w:rsidR="002528E2">
        <w:t>Magnesita</w:t>
      </w:r>
      <w:r w:rsidR="002528E2">
        <w:t xml:space="preserve"> at </w:t>
      </w:r>
      <w:r w:rsidRPr="00B619E9" w:rsidR="002528E2">
        <w:t>717</w:t>
      </w:r>
      <w:r w:rsidR="002528E2">
        <w:t>-</w:t>
      </w:r>
      <w:r w:rsidRPr="00B619E9" w:rsidR="002528E2">
        <w:t xml:space="preserve">792-3611 </w:t>
      </w:r>
      <w:r w:rsidR="002528E2">
        <w:t xml:space="preserve">and </w:t>
      </w:r>
      <w:r w:rsidRPr="00B619E9" w:rsidR="002528E2">
        <w:t xml:space="preserve">Whitacre-Greer </w:t>
      </w:r>
      <w:r w:rsidR="002528E2">
        <w:t xml:space="preserve">at </w:t>
      </w:r>
      <w:r w:rsidRPr="00B619E9" w:rsidR="002528E2">
        <w:t>800</w:t>
      </w:r>
      <w:r w:rsidR="002528E2">
        <w:t>-</w:t>
      </w:r>
      <w:r w:rsidRPr="00B619E9" w:rsidR="002528E2">
        <w:t>947-2837.</w:t>
      </w:r>
      <w:r w:rsidR="002528E2">
        <w:t xml:space="preserve"> </w:t>
      </w:r>
      <w:r w:rsidR="009B0FD3">
        <w:t xml:space="preserve">As a part of </w:t>
      </w:r>
      <w:r w:rsidR="00925AC1">
        <w:t xml:space="preserve">a previous </w:t>
      </w:r>
      <w:r w:rsidR="00AA659B">
        <w:t>consultation for the ICR renewal</w:t>
      </w:r>
      <w:r w:rsidR="00810C64">
        <w:t xml:space="preserve">, </w:t>
      </w:r>
      <w:r w:rsidRPr="003B5E30" w:rsidR="003B5E30">
        <w:t xml:space="preserve">RHI </w:t>
      </w:r>
      <w:r w:rsidRPr="003B5E30" w:rsidR="003B5E30">
        <w:t>Magnesita</w:t>
      </w:r>
      <w:r w:rsidRPr="003B5E30" w:rsidR="003B5E30">
        <w:t xml:space="preserve"> provided updated performance test costs for one facility, which are incorporated into the burden estimates in this ICR renewal. Specifically, RHI </w:t>
      </w:r>
      <w:r w:rsidRPr="003B5E30" w:rsidR="003B5E30">
        <w:t>Magnesita</w:t>
      </w:r>
      <w:r w:rsidRPr="003B5E30" w:rsidR="003B5E30">
        <w:t xml:space="preserve"> provided that they have 5 total sources subject to the refractory MACT required to conduct testing, and provided detailed estimates of the total burden hours for testing, including developing a request for quotation (4 hours), sending out the RFQ to vendors (2 hours), review of proposals and selection of vendors (2 hours), development and submittal of testing protocol (2 hours), scheduling of testing (4 hours), oversight and coordination of testing (45 hours), gathering of production details associated with each test run (10 hours), and review of final test results (6) hours. This ICR subsequently adjusts the total hourly estimates for testing from 48 hours to 75 hours. </w:t>
      </w:r>
      <w:r w:rsidRPr="003B5E30" w:rsidR="003B5E30">
        <w:t xml:space="preserve">Additionally, RHI </w:t>
      </w:r>
      <w:r w:rsidRPr="003B5E30" w:rsidR="003B5E30">
        <w:t>Magnesita</w:t>
      </w:r>
      <w:r w:rsidRPr="003B5E30" w:rsidR="003B5E30">
        <w:t xml:space="preserve"> provided costs for stack testing of roughly $41,000, which have been included in the average annual O&amp;M costs.</w:t>
      </w:r>
    </w:p>
    <w:p w:rsidR="00454A34" w:rsidRPr="00BB3410" w:rsidP="00854AAE" w14:paraId="5F973CD3" w14:textId="77777777">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454A34" w:rsidRPr="00E3122D" w:rsidP="00854AAE" w14:paraId="48054F95"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PAYMENTS OR GIFTS TO RESPONDENTS</w:t>
      </w:r>
    </w:p>
    <w:p w:rsidR="00454A34" w:rsidRPr="00D47CB3" w:rsidP="00854AAE" w14:paraId="0ECAD44F"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454A34" w:rsidRPr="00BB3410" w:rsidP="00854AAE" w14:paraId="163F91A0" w14:textId="77777777">
      <w:pPr>
        <w:rPr>
          <w:rFonts w:cstheme="minorHAnsi"/>
        </w:rPr>
      </w:pPr>
      <w:r w:rsidRPr="0036059B">
        <w:rPr>
          <w:rStyle w:val="normaltextrun"/>
          <w:color w:val="000000"/>
          <w:bdr w:val="none" w:sz="0" w:space="0" w:color="auto" w:frame="1"/>
        </w:rPr>
        <w:t>No payments or gifts are made to respondents.</w:t>
      </w:r>
    </w:p>
    <w:p w:rsidR="00454A34" w:rsidP="4BDBF0A0" w14:paraId="1FC26013"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454A34" w:rsidRPr="00A233E0" w:rsidP="00854AAE" w14:paraId="7EEC6E2C" w14:textId="77777777">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454A34" w:rsidRPr="00BB3410" w:rsidP="00854AAE" w14:paraId="4F4B93CE"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454A34" w:rsidRPr="00E3122D" w:rsidP="00854AAE" w14:paraId="21722F90" w14:textId="77777777">
      <w:pPr>
        <w:pStyle w:val="ListParagraph"/>
        <w:numPr>
          <w:ilvl w:val="0"/>
          <w:numId w:val="25"/>
        </w:numPr>
        <w:pBdr>
          <w:bottom w:val="single" w:sz="4" w:space="1" w:color="auto"/>
        </w:pBdr>
        <w:spacing w:before="240" w:after="0"/>
        <w:rPr>
          <w:rFonts w:cstheme="minorHAnsi"/>
          <w:b/>
          <w:bCs/>
        </w:rPr>
      </w:pPr>
      <w:r w:rsidRPr="4BDBF0A0">
        <w:rPr>
          <w:b/>
          <w:bCs/>
        </w:rPr>
        <w:t>JUSTIFICATION FOR SENSITIVE QUESTIONS</w:t>
      </w:r>
    </w:p>
    <w:p w:rsidR="00454A34" w:rsidRPr="00A233E0" w:rsidP="00854AAE" w14:paraId="3497661A" w14:textId="77777777">
      <w:pPr>
        <w:pBdr>
          <w:bottom w:val="single" w:sz="4" w:space="1" w:color="auto"/>
        </w:pBdr>
        <w:spacing w:before="60"/>
        <w:rPr>
          <w:rFonts w:cstheme="minorHAnsi"/>
        </w:rPr>
      </w:pPr>
      <w:r w:rsidRPr="00A233E0">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A233E0">
        <w:rPr>
          <w:rFonts w:cstheme="minorHAnsi"/>
          <w:i/>
          <w:iCs/>
        </w:rPr>
        <w:t>persons</w:t>
      </w:r>
      <w:r w:rsidRPr="00A233E0">
        <w:rPr>
          <w:rFonts w:cstheme="minorHAnsi"/>
          <w:i/>
          <w:iCs/>
        </w:rPr>
        <w:t xml:space="preserve"> from whom the information is requested, and any steps to be taken to obtain their consent.</w:t>
      </w:r>
    </w:p>
    <w:p w:rsidR="00454A34" w:rsidRPr="00BB3410" w:rsidP="00854AAE" w14:paraId="2F34D587"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454A34" w:rsidRPr="00E3122D" w:rsidP="00854AAE" w14:paraId="18F06CF8" w14:textId="77777777">
      <w:pPr>
        <w:pStyle w:val="ListParagraph"/>
        <w:numPr>
          <w:ilvl w:val="0"/>
          <w:numId w:val="25"/>
        </w:numPr>
        <w:spacing w:before="240" w:after="0"/>
        <w:rPr>
          <w:rFonts w:cstheme="minorHAnsi"/>
          <w:b/>
          <w:bCs/>
        </w:rPr>
      </w:pPr>
      <w:r w:rsidRPr="4BDBF0A0">
        <w:rPr>
          <w:b/>
          <w:bCs/>
        </w:rPr>
        <w:t>RESPONDENT BURDEN HOURS &amp; LABOR COSTS</w:t>
      </w:r>
    </w:p>
    <w:p w:rsidR="00454A34" w:rsidRPr="00F532D6" w:rsidP="00163C69" w14:paraId="5A912029"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454A34" w:rsidRPr="00F532D6" w:rsidP="006E197A" w14:paraId="0C8BBC55"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454A34" w:rsidRPr="00F532D6" w:rsidP="001F0834" w14:paraId="67C4D0E2" w14:textId="77777777">
      <w:pPr>
        <w:pStyle w:val="ListParagraph"/>
        <w:numPr>
          <w:ilvl w:val="0"/>
          <w:numId w:val="14"/>
        </w:numPr>
        <w:ind w:left="450"/>
        <w:rPr>
          <w:rFonts w:cstheme="minorHAnsi"/>
          <w:i/>
          <w:iCs/>
        </w:rPr>
      </w:pPr>
      <w:r w:rsidRPr="00F532D6">
        <w:rPr>
          <w:rFonts w:cstheme="minorHAnsi"/>
          <w:i/>
          <w:iCs/>
        </w:rPr>
        <w:t xml:space="preserve">If this request for approval covers more than one form, provide separate hour burden estimates for each form and </w:t>
      </w:r>
      <w:r w:rsidRPr="00F532D6">
        <w:rPr>
          <w:rFonts w:cstheme="minorHAnsi"/>
          <w:i/>
          <w:iCs/>
        </w:rPr>
        <w:t>the aggregate</w:t>
      </w:r>
      <w:r w:rsidRPr="00F532D6">
        <w:rPr>
          <w:rFonts w:cstheme="minorHAnsi"/>
          <w:i/>
          <w:iCs/>
        </w:rPr>
        <w:t xml:space="preserve"> the hour burdens.</w:t>
      </w:r>
    </w:p>
    <w:p w:rsidR="00454A34" w:rsidRPr="00F532D6" w:rsidP="00854AAE" w14:paraId="048E5D4D" w14:textId="77777777">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Pr>
          <w:rFonts w:cstheme="minorHAnsi"/>
          <w:i/>
          <w:iCs/>
        </w:rPr>
        <w:t>.</w:t>
      </w:r>
    </w:p>
    <w:p w:rsidR="00454A34" w:rsidRPr="00E3122D" w:rsidP="00854AAE" w14:paraId="649DF55D" w14:textId="77777777">
      <w:pPr>
        <w:spacing w:before="120" w:after="0"/>
        <w:rPr>
          <w:rFonts w:cstheme="minorHAnsi"/>
          <w:b/>
          <w:bCs/>
        </w:rPr>
      </w:pPr>
      <w:r w:rsidRPr="00E3122D">
        <w:rPr>
          <w:rFonts w:cstheme="minorHAnsi"/>
          <w:b/>
          <w:bCs/>
        </w:rPr>
        <w:t>12a. Respondents/NAICS Codes</w:t>
      </w:r>
    </w:p>
    <w:p w:rsidR="00454A34" w:rsidRPr="00BB7977" w:rsidP="00BB7977" w14:paraId="1ADAD8F0" w14:textId="754D244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The respondents to the recordkeeping and reporting requirements are</w:t>
      </w:r>
      <w:r>
        <w:rPr>
          <w:rFonts w:cstheme="minorHAnsi"/>
          <w:color w:val="000000"/>
        </w:rPr>
        <w:t xml:space="preserve"> </w:t>
      </w:r>
      <w:r w:rsidRPr="002263BE" w:rsidR="00840657">
        <w:t>refractory products manufacturing facilities</w:t>
      </w:r>
      <w:r w:rsidR="00840657">
        <w:rPr>
          <w:rFonts w:cstheme="minorHAnsi"/>
          <w:color w:val="000000"/>
        </w:rPr>
        <w:t>.</w:t>
      </w:r>
      <w:r w:rsidRPr="00BB7977">
        <w:rPr>
          <w:rFonts w:cstheme="minorHAnsi"/>
          <w:color w:val="000000"/>
        </w:rPr>
        <w:t xml:space="preserve"> The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4A0"/>
      </w:tblPr>
      <w:tblGrid>
        <w:gridCol w:w="4320"/>
        <w:gridCol w:w="2610"/>
        <w:gridCol w:w="2430"/>
      </w:tblGrid>
      <w:tr w14:paraId="031C30D9" w14:textId="77777777" w:rsidTr="001134CE">
        <w:tblPrEx>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4A0"/>
        </w:tblPrEx>
        <w:tc>
          <w:tcPr>
            <w:tcW w:w="4320" w:type="dxa"/>
          </w:tcPr>
          <w:p w:rsidR="00454A34" w:rsidRPr="00BB7977" w:rsidP="00BB7977" w14:paraId="58C1351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454A34" w:rsidRPr="00BB7977" w:rsidP="00BB7977" w14:paraId="071EC59F"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 xml:space="preserve">Standard </w:t>
            </w:r>
            <w:r w:rsidRPr="001134CE">
              <w:rPr>
                <w:rFonts w:cstheme="minorHAnsi"/>
                <w:b/>
                <w:bCs/>
                <w:noProof/>
                <w:color w:val="000000"/>
              </w:rPr>
              <w:t>(40 CFR Part 63, Subpart SSSSS)</w:t>
            </w:r>
          </w:p>
        </w:tc>
        <w:tc>
          <w:tcPr>
            <w:tcW w:w="2610" w:type="dxa"/>
          </w:tcPr>
          <w:p w:rsidR="00454A34" w:rsidRPr="00BB7977" w:rsidP="00BB7977" w14:paraId="42900774"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454A34" w:rsidRPr="00BB7977" w:rsidP="00BB7977" w14:paraId="2A7ACACD"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430" w:type="dxa"/>
          </w:tcPr>
          <w:p w:rsidR="00454A34" w:rsidRPr="00BB7977" w:rsidP="00BB7977" w14:paraId="43C2F643"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454A34" w:rsidRPr="00BB7977" w:rsidP="00BB7977" w14:paraId="296E2F60"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617BE05F" w14:textId="77777777" w:rsidTr="001134CE">
        <w:tblPrEx>
          <w:tblW w:w="9360" w:type="dxa"/>
          <w:tblInd w:w="112" w:type="dxa"/>
          <w:tblLayout w:type="fixed"/>
          <w:tblCellMar>
            <w:left w:w="112" w:type="dxa"/>
            <w:right w:w="112" w:type="dxa"/>
          </w:tblCellMar>
          <w:tblLook w:val="04A0"/>
        </w:tblPrEx>
        <w:tc>
          <w:tcPr>
            <w:tcW w:w="4320" w:type="dxa"/>
          </w:tcPr>
          <w:p w:rsidR="001134CE" w:rsidRPr="00BB7977" w:rsidP="001134CE" w14:paraId="6B8AA66F" w14:textId="4C76331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8623A">
              <w:t>Clay refractories</w:t>
            </w:r>
          </w:p>
        </w:tc>
        <w:tc>
          <w:tcPr>
            <w:tcW w:w="2610" w:type="dxa"/>
          </w:tcPr>
          <w:p w:rsidR="001134CE" w:rsidRPr="00BB7977" w:rsidP="001134CE" w14:paraId="411FD39B" w14:textId="6D93034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8623A">
              <w:t>3255</w:t>
            </w:r>
          </w:p>
        </w:tc>
        <w:tc>
          <w:tcPr>
            <w:tcW w:w="2430" w:type="dxa"/>
          </w:tcPr>
          <w:p w:rsidR="001134CE" w:rsidRPr="00BB7977" w:rsidP="001134CE" w14:paraId="7D05C5A2" w14:textId="3BF263C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8623A">
              <w:t>327120</w:t>
            </w:r>
          </w:p>
        </w:tc>
      </w:tr>
      <w:tr w14:paraId="4973567E" w14:textId="77777777" w:rsidTr="001134CE">
        <w:tblPrEx>
          <w:tblW w:w="9360" w:type="dxa"/>
          <w:tblInd w:w="112" w:type="dxa"/>
          <w:tblLayout w:type="fixed"/>
          <w:tblCellMar>
            <w:left w:w="112" w:type="dxa"/>
            <w:right w:w="112" w:type="dxa"/>
          </w:tblCellMar>
          <w:tblLook w:val="04A0"/>
        </w:tblPrEx>
        <w:tc>
          <w:tcPr>
            <w:tcW w:w="4320" w:type="dxa"/>
          </w:tcPr>
          <w:p w:rsidR="001134CE" w:rsidRPr="00BB7977" w:rsidP="001134CE" w14:paraId="685B748D" w14:textId="5CEBD6F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8623A">
              <w:t xml:space="preserve">Nonclay refractories </w:t>
            </w:r>
          </w:p>
        </w:tc>
        <w:tc>
          <w:tcPr>
            <w:tcW w:w="2610" w:type="dxa"/>
          </w:tcPr>
          <w:p w:rsidR="001134CE" w:rsidRPr="00BB7977" w:rsidP="001134CE" w14:paraId="17932F79" w14:textId="5EA18DC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8623A">
              <w:t>3297</w:t>
            </w:r>
          </w:p>
        </w:tc>
        <w:tc>
          <w:tcPr>
            <w:tcW w:w="2430" w:type="dxa"/>
          </w:tcPr>
          <w:p w:rsidR="001134CE" w:rsidRPr="00BB7977" w:rsidP="001134CE" w14:paraId="0490FE2A" w14:textId="76C7F36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8623A">
              <w:t>327120</w:t>
            </w:r>
          </w:p>
        </w:tc>
      </w:tr>
    </w:tbl>
    <w:p w:rsidR="00454A34" w:rsidP="00854AAE" w14:paraId="685684C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454A34" w:rsidRPr="00D71532" w:rsidP="00D71532" w14:paraId="5A3160B2" w14:textId="23E4999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Based on our research for this ICR, on average over the next three years, approximately</w:t>
      </w:r>
      <w:r w:rsidR="00C10087">
        <w:rPr>
          <w:rFonts w:cstheme="minorHAnsi"/>
          <w:color w:val="000000"/>
        </w:rPr>
        <w:t xml:space="preserve"> three</w:t>
      </w:r>
      <w:r w:rsidRPr="00D71532">
        <w:rPr>
          <w:rFonts w:cstheme="minorHAnsi"/>
          <w:color w:val="000000"/>
        </w:rPr>
        <w:t xml:space="preserve"> existing respondents will be subject to the standard. It is estimated that </w:t>
      </w:r>
      <w:r w:rsidR="00C10087">
        <w:rPr>
          <w:rFonts w:cstheme="minorHAnsi"/>
          <w:color w:val="000000"/>
        </w:rPr>
        <w:t>no</w:t>
      </w:r>
      <w:r w:rsidRPr="00D71532">
        <w:rPr>
          <w:rFonts w:cstheme="minorHAnsi"/>
          <w:color w:val="000000"/>
        </w:rPr>
        <w:t xml:space="preserve"> additional respondents per year will become </w:t>
      </w:r>
      <w:r w:rsidRPr="00D71532">
        <w:rPr>
          <w:rFonts w:cstheme="minorHAnsi"/>
          <w:color w:val="000000"/>
        </w:rPr>
        <w:t>subject</w:t>
      </w:r>
      <w:r w:rsidRPr="00D71532">
        <w:rPr>
          <w:rFonts w:cstheme="minorHAnsi"/>
          <w:color w:val="000000"/>
        </w:rPr>
        <w:t xml:space="preserve">, for an overall </w:t>
      </w:r>
      <w:r w:rsidRPr="00C10087">
        <w:rPr>
          <w:rFonts w:cstheme="minorHAnsi"/>
        </w:rPr>
        <w:t xml:space="preserve">total of </w:t>
      </w:r>
      <w:r w:rsidRPr="00C10087" w:rsidR="00C10087">
        <w:rPr>
          <w:rFonts w:cstheme="minorHAnsi"/>
        </w:rPr>
        <w:t>three</w:t>
      </w:r>
      <w:r w:rsidRPr="00C10087">
        <w:rPr>
          <w:rFonts w:cstheme="minorHAnsi"/>
        </w:rPr>
        <w:t xml:space="preserve"> respondents</w:t>
      </w:r>
      <w:r w:rsidRPr="00D71532">
        <w:rPr>
          <w:rFonts w:cstheme="minorHAnsi"/>
          <w:color w:val="000000"/>
        </w:rPr>
        <w:t xml:space="preserve"> per year. The number of respondents is calculated using the table Number of Respondents 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454A34" w:rsidRPr="00BB3410" w:rsidP="00854AAE" w14:paraId="3E7C6C93" w14:textId="4844CAE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The total number of annual responses per year is calculated using the </w:t>
      </w:r>
      <w:r w:rsidRPr="00D71532">
        <w:rPr>
          <w:rFonts w:cstheme="minorHAnsi"/>
          <w:color w:val="000000"/>
        </w:rPr>
        <w:t>table Total Annual Responses</w:t>
      </w:r>
      <w:r w:rsidRPr="00D71532">
        <w:rPr>
          <w:rFonts w:cstheme="minorHAnsi"/>
          <w:color w:val="000000"/>
        </w:rPr>
        <w:t xml:space="preserve"> shown below. The number of Total Annual Responses is</w:t>
      </w:r>
      <w:r w:rsidR="001C4B53">
        <w:rPr>
          <w:rFonts w:cstheme="minorHAnsi"/>
          <w:color w:val="000000"/>
        </w:rPr>
        <w:t xml:space="preserve"> 1</w:t>
      </w:r>
      <w:r w:rsidR="00A71201">
        <w:rPr>
          <w:rFonts w:cstheme="minorHAnsi"/>
          <w:color w:val="000000"/>
        </w:rPr>
        <w:t>8</w:t>
      </w:r>
      <w:r w:rsidR="001C4B53">
        <w:rPr>
          <w:rFonts w:cstheme="minorHAnsi"/>
          <w:color w:val="000000"/>
        </w:rPr>
        <w:t>.</w:t>
      </w:r>
    </w:p>
    <w:p w:rsidR="00454A34" w:rsidRPr="00163C69" w:rsidP="00854AAE" w14:paraId="465E1560" w14:textId="77777777">
      <w:pPr>
        <w:spacing w:before="120" w:after="0"/>
        <w:rPr>
          <w:rFonts w:cstheme="minorHAnsi"/>
          <w:b/>
          <w:bCs/>
        </w:rPr>
      </w:pPr>
      <w:r w:rsidRPr="00163C69">
        <w:rPr>
          <w:rFonts w:cstheme="minorHAnsi"/>
          <w:b/>
          <w:bCs/>
        </w:rPr>
        <w:t>12b. Information Requested</w:t>
      </w:r>
    </w:p>
    <w:p w:rsidR="00454A34" w:rsidRPr="00987C8D" w:rsidP="00987C8D" w14:paraId="2266D2C7" w14:textId="413E91F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In this ICR, all the data that are recorded or reported is required by the</w:t>
      </w:r>
      <w:r w:rsidRPr="00314125">
        <w:rPr>
          <w:rFonts w:cstheme="minorHAnsi"/>
        </w:rPr>
        <w:t xml:space="preserve"> </w:t>
      </w:r>
      <w:r w:rsidRPr="00DB30C5">
        <w:rPr>
          <w:rFonts w:cstheme="minorHAnsi"/>
          <w:noProof/>
        </w:rPr>
        <w:t>NESHAP for Refractory Products Manufacturing (40 CFR Part 63, Subpart SSSSS)</w:t>
      </w:r>
      <w:r w:rsidRPr="00DB30C5">
        <w:rPr>
          <w:rFonts w:cstheme="minorHAnsi"/>
        </w:rPr>
        <w:t>.</w:t>
      </w:r>
      <w:r>
        <w:rPr>
          <w:rFonts w:cstheme="minorHAnsi"/>
          <w:color w:val="FF0000"/>
        </w:rPr>
        <w:t xml:space="preserve"> </w:t>
      </w:r>
      <w:r w:rsidRPr="00987C8D">
        <w:rPr>
          <w:rFonts w:cstheme="minorHAnsi"/>
          <w:color w:val="000000"/>
        </w:rPr>
        <w:t xml:space="preserve">Any owner/operator subject to the provisions of this part shall maintain a file of these measurements and retain the file for at least </w:t>
      </w:r>
      <w:r w:rsidRPr="00DB30C5" w:rsidR="00DB30C5">
        <w:rPr>
          <w:rFonts w:cstheme="minorHAnsi"/>
        </w:rPr>
        <w:t xml:space="preserve">five </w:t>
      </w:r>
      <w:r w:rsidRPr="00987C8D">
        <w:rPr>
          <w:rFonts w:cstheme="minorHAnsi"/>
          <w:color w:val="000000"/>
        </w:rPr>
        <w:t>years following the date of such measurements, maintenance reports, and records.</w:t>
      </w:r>
    </w:p>
    <w:p w:rsidR="00454A34" w:rsidRPr="00987C8D" w:rsidP="00987C8D" w14:paraId="5DB0DA0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
      <w:tblGrid>
        <w:gridCol w:w="6831"/>
        <w:gridCol w:w="2529"/>
      </w:tblGrid>
      <w:tr w14:paraId="0C291E3B" w14:textId="77777777" w:rsidTr="00823357">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Ex>
        <w:trPr>
          <w:tblHeader/>
          <w:jc w:val="center"/>
        </w:trPr>
        <w:tc>
          <w:tcPr>
            <w:tcW w:w="9360" w:type="dxa"/>
            <w:gridSpan w:val="2"/>
          </w:tcPr>
          <w:p w:rsidR="00454A34" w:rsidRPr="00987C8D" w:rsidP="00987C8D" w14:paraId="64A9588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454A34" w:rsidRPr="00987C8D" w:rsidP="00987C8D" w14:paraId="4FB5CA92"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465B37A5" w14:textId="77777777" w:rsidTr="00823357">
        <w:tblPrEx>
          <w:tblW w:w="9360" w:type="dxa"/>
          <w:jc w:val="center"/>
          <w:tblLayout w:type="fixed"/>
          <w:tblCellMar>
            <w:left w:w="120" w:type="dxa"/>
            <w:right w:w="120" w:type="dxa"/>
          </w:tblCellMar>
          <w:tblLook w:val="04A0"/>
        </w:tblPrEx>
        <w:trPr>
          <w:jc w:val="center"/>
        </w:trPr>
        <w:tc>
          <w:tcPr>
            <w:tcW w:w="6831" w:type="dxa"/>
          </w:tcPr>
          <w:p w:rsidR="00823357" w:rsidRPr="00987C8D" w:rsidP="00823357" w14:paraId="20797316" w14:textId="532D66A6">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EC33B2">
              <w:t>Initial notification</w:t>
            </w:r>
          </w:p>
        </w:tc>
        <w:tc>
          <w:tcPr>
            <w:tcW w:w="2529" w:type="dxa"/>
            <w:hideMark/>
          </w:tcPr>
          <w:p w:rsidR="00823357" w:rsidRPr="00987C8D" w:rsidP="00823357" w14:paraId="6E40C890" w14:textId="00E567A2">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EC33B2">
              <w:t>§63.9(b)(2), §63.5, §63.9812(b)-(c)</w:t>
            </w:r>
          </w:p>
        </w:tc>
      </w:tr>
      <w:tr w14:paraId="143500C8" w14:textId="77777777" w:rsidTr="00823357">
        <w:tblPrEx>
          <w:tblW w:w="9360" w:type="dxa"/>
          <w:jc w:val="center"/>
          <w:tblLayout w:type="fixed"/>
          <w:tblCellMar>
            <w:left w:w="120" w:type="dxa"/>
            <w:right w:w="120" w:type="dxa"/>
          </w:tblCellMar>
          <w:tblLook w:val="04A0"/>
        </w:tblPrEx>
        <w:trPr>
          <w:jc w:val="center"/>
        </w:trPr>
        <w:tc>
          <w:tcPr>
            <w:tcW w:w="6831" w:type="dxa"/>
          </w:tcPr>
          <w:p w:rsidR="00823357" w:rsidRPr="00987C8D" w:rsidP="00823357" w14:paraId="34728E2F" w14:textId="7BC551F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C33B2">
              <w:t>Notification of performance test</w:t>
            </w:r>
          </w:p>
        </w:tc>
        <w:tc>
          <w:tcPr>
            <w:tcW w:w="2529" w:type="dxa"/>
          </w:tcPr>
          <w:p w:rsidR="00823357" w:rsidRPr="00987C8D" w:rsidP="00823357" w14:paraId="29C5615D" w14:textId="5BE77A8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C33B2">
              <w:t>§63.7(b)-(c), §63.9(e), and §63.9812(d)</w:t>
            </w:r>
          </w:p>
        </w:tc>
      </w:tr>
      <w:tr w14:paraId="23B5FA3C" w14:textId="77777777" w:rsidTr="00823357">
        <w:tblPrEx>
          <w:tblW w:w="9360" w:type="dxa"/>
          <w:jc w:val="center"/>
          <w:tblLayout w:type="fixed"/>
          <w:tblCellMar>
            <w:left w:w="120" w:type="dxa"/>
            <w:right w:w="120" w:type="dxa"/>
          </w:tblCellMar>
          <w:tblLook w:val="04A0"/>
        </w:tblPrEx>
        <w:trPr>
          <w:jc w:val="center"/>
        </w:trPr>
        <w:tc>
          <w:tcPr>
            <w:tcW w:w="6831" w:type="dxa"/>
          </w:tcPr>
          <w:p w:rsidR="00823357" w:rsidRPr="00987C8D" w:rsidP="00823357" w14:paraId="03A6F1AE" w14:textId="3D62C45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C33B2">
              <w:t>Notification of compliance status</w:t>
            </w:r>
            <w:r w:rsidR="0078577F">
              <w:t xml:space="preserve"> (electronic submission)</w:t>
            </w:r>
          </w:p>
        </w:tc>
        <w:tc>
          <w:tcPr>
            <w:tcW w:w="2529" w:type="dxa"/>
          </w:tcPr>
          <w:p w:rsidR="00823357" w:rsidRPr="00987C8D" w:rsidP="00823357" w14:paraId="36924035" w14:textId="1B3FAE0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C33B2">
              <w:t xml:space="preserve">§63.9(h), §63.10(d)(2), </w:t>
            </w:r>
            <w:r w:rsidRPr="00EC33B2">
              <w:t>§63.9812(e)</w:t>
            </w:r>
            <w:r>
              <w:t xml:space="preserve">, and </w:t>
            </w:r>
            <w:r w:rsidRPr="00914C6B">
              <w:t>§63.9814(</w:t>
            </w:r>
            <w:r>
              <w:t>j</w:t>
            </w:r>
            <w:r w:rsidRPr="00914C6B">
              <w:t>)</w:t>
            </w:r>
          </w:p>
        </w:tc>
      </w:tr>
    </w:tbl>
    <w:p w:rsidR="00454A34" w:rsidRPr="00987C8D" w:rsidP="00987C8D" w14:paraId="2B3021D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
      <w:tblGrid>
        <w:gridCol w:w="7290"/>
        <w:gridCol w:w="2070"/>
      </w:tblGrid>
      <w:tr w14:paraId="7BD943CA" w14:textId="77777777" w:rsidTr="00240E9D">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Ex>
        <w:trPr>
          <w:tblHeader/>
          <w:jc w:val="center"/>
        </w:trPr>
        <w:tc>
          <w:tcPr>
            <w:tcW w:w="9360" w:type="dxa"/>
            <w:gridSpan w:val="2"/>
          </w:tcPr>
          <w:p w:rsidR="00454A34" w:rsidRPr="00987C8D" w:rsidP="00987C8D" w14:paraId="708E688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454A34" w:rsidRPr="00987C8D" w:rsidP="00987C8D" w14:paraId="224CEAD2"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1F5C5C0B" w14:textId="77777777" w:rsidTr="00240E9D">
        <w:tblPrEx>
          <w:tblW w:w="9360" w:type="dxa"/>
          <w:jc w:val="center"/>
          <w:tblLayout w:type="fixed"/>
          <w:tblCellMar>
            <w:left w:w="120" w:type="dxa"/>
            <w:right w:w="120" w:type="dxa"/>
          </w:tblCellMar>
          <w:tblLook w:val="04A0"/>
        </w:tblPrEx>
        <w:trPr>
          <w:jc w:val="center"/>
        </w:trPr>
        <w:tc>
          <w:tcPr>
            <w:tcW w:w="7290" w:type="dxa"/>
          </w:tcPr>
          <w:p w:rsidR="00240E9D" w:rsidRPr="00987C8D" w:rsidP="00240E9D" w14:paraId="590AA3DA" w14:textId="08BC6A5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14C6B">
              <w:t>Startup, shutdown, malfunction</w:t>
            </w:r>
            <w:r>
              <w:t xml:space="preserve"> (only required for the first 180 days following publication of the final amendments to </w:t>
            </w:r>
            <w:r w:rsidRPr="00711B89">
              <w:t>40 CFR part 63, subpart SSSSS</w:t>
            </w:r>
            <w:r>
              <w:t>)</w:t>
            </w:r>
          </w:p>
        </w:tc>
        <w:tc>
          <w:tcPr>
            <w:tcW w:w="2070" w:type="dxa"/>
          </w:tcPr>
          <w:p w:rsidR="00240E9D" w:rsidRPr="00987C8D" w:rsidP="00240E9D" w14:paraId="083CCBA0" w14:textId="3F47D77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14C6B">
              <w:t>§63.10(d)(5), §63.9814(c)(4)</w:t>
            </w:r>
          </w:p>
        </w:tc>
      </w:tr>
      <w:tr w14:paraId="09E06DCD" w14:textId="77777777" w:rsidTr="00240E9D">
        <w:tblPrEx>
          <w:tblW w:w="9360" w:type="dxa"/>
          <w:jc w:val="center"/>
          <w:tblLayout w:type="fixed"/>
          <w:tblCellMar>
            <w:left w:w="120" w:type="dxa"/>
            <w:right w:w="120" w:type="dxa"/>
          </w:tblCellMar>
          <w:tblLook w:val="04A0"/>
        </w:tblPrEx>
        <w:trPr>
          <w:jc w:val="center"/>
        </w:trPr>
        <w:tc>
          <w:tcPr>
            <w:tcW w:w="7290" w:type="dxa"/>
          </w:tcPr>
          <w:p w:rsidR="00240E9D" w:rsidRPr="00987C8D" w:rsidP="00240E9D" w14:paraId="3543DE33" w14:textId="42216D29">
            <w:pPr>
              <w:pBdr>
                <w:top w:val="single" w:sz="6" w:space="0" w:color="FFFFFF"/>
                <w:left w:val="single" w:sz="6" w:space="0" w:color="FFFFFF"/>
                <w:bottom w:val="single" w:sz="6" w:space="0" w:color="FFFFFF"/>
                <w:right w:val="single" w:sz="6" w:space="0" w:color="FFFFFF"/>
              </w:pBdr>
              <w:spacing w:before="60"/>
              <w:rPr>
                <w:rFonts w:cstheme="minorHAnsi"/>
                <w:color w:val="000000"/>
              </w:rPr>
            </w:pPr>
            <w:r>
              <w:t>Semi-annual compliance reports</w:t>
            </w:r>
          </w:p>
        </w:tc>
        <w:tc>
          <w:tcPr>
            <w:tcW w:w="2070" w:type="dxa"/>
          </w:tcPr>
          <w:p w:rsidR="00240E9D" w:rsidRPr="00987C8D" w:rsidP="00240E9D" w14:paraId="07B019F5" w14:textId="1765869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14C6B">
              <w:t>§63.9814(c)-(</w:t>
            </w:r>
            <w:r>
              <w:t>f</w:t>
            </w:r>
            <w:r w:rsidRPr="00914C6B">
              <w:t>)</w:t>
            </w:r>
          </w:p>
        </w:tc>
      </w:tr>
      <w:tr w14:paraId="372EE127" w14:textId="77777777" w:rsidTr="00240E9D">
        <w:tblPrEx>
          <w:tblW w:w="9360" w:type="dxa"/>
          <w:jc w:val="center"/>
          <w:tblLayout w:type="fixed"/>
          <w:tblCellMar>
            <w:left w:w="120" w:type="dxa"/>
            <w:right w:w="120" w:type="dxa"/>
          </w:tblCellMar>
          <w:tblLook w:val="04A0"/>
        </w:tblPrEx>
        <w:trPr>
          <w:jc w:val="center"/>
        </w:trPr>
        <w:tc>
          <w:tcPr>
            <w:tcW w:w="7290" w:type="dxa"/>
          </w:tcPr>
          <w:p w:rsidR="00240E9D" w:rsidRPr="00987C8D" w:rsidP="00240E9D" w14:paraId="01E101E1" w14:textId="07096136">
            <w:pPr>
              <w:pBdr>
                <w:top w:val="single" w:sz="6" w:space="0" w:color="FFFFFF"/>
                <w:left w:val="single" w:sz="6" w:space="0" w:color="FFFFFF"/>
                <w:bottom w:val="single" w:sz="6" w:space="0" w:color="FFFFFF"/>
                <w:right w:val="single" w:sz="6" w:space="0" w:color="FFFFFF"/>
              </w:pBdr>
              <w:spacing w:before="60"/>
              <w:rPr>
                <w:rFonts w:cstheme="minorHAnsi"/>
                <w:color w:val="000000"/>
              </w:rPr>
            </w:pPr>
            <w:r>
              <w:t xml:space="preserve">Report </w:t>
            </w:r>
            <w:r>
              <w:t>of</w:t>
            </w:r>
            <w:r>
              <w:t xml:space="preserve"> performance testing results</w:t>
            </w:r>
            <w:r w:rsidR="00F413DE">
              <w:t xml:space="preserve"> (electronic submission)</w:t>
            </w:r>
          </w:p>
        </w:tc>
        <w:tc>
          <w:tcPr>
            <w:tcW w:w="2070" w:type="dxa"/>
          </w:tcPr>
          <w:p w:rsidR="00240E9D" w:rsidRPr="00987C8D" w:rsidP="00240E9D" w14:paraId="3011D541" w14:textId="71E5C28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14C6B">
              <w:t>§63.9814(</w:t>
            </w:r>
            <w:r>
              <w:t>h</w:t>
            </w:r>
            <w:r w:rsidRPr="00914C6B">
              <w:t>)</w:t>
            </w:r>
          </w:p>
        </w:tc>
      </w:tr>
      <w:tr w14:paraId="3EF2AFE9" w14:textId="77777777" w:rsidTr="00240E9D">
        <w:tblPrEx>
          <w:tblW w:w="9360" w:type="dxa"/>
          <w:jc w:val="center"/>
          <w:tblLayout w:type="fixed"/>
          <w:tblCellMar>
            <w:left w:w="120" w:type="dxa"/>
            <w:right w:w="120" w:type="dxa"/>
          </w:tblCellMar>
          <w:tblLook w:val="04A0"/>
        </w:tblPrEx>
        <w:trPr>
          <w:jc w:val="center"/>
        </w:trPr>
        <w:tc>
          <w:tcPr>
            <w:tcW w:w="7290" w:type="dxa"/>
          </w:tcPr>
          <w:p w:rsidR="00240E9D" w:rsidRPr="00987C8D" w:rsidP="00240E9D" w14:paraId="2411401B" w14:textId="166453D7">
            <w:pPr>
              <w:pBdr>
                <w:top w:val="single" w:sz="6" w:space="0" w:color="FFFFFF"/>
                <w:left w:val="single" w:sz="6" w:space="0" w:color="FFFFFF"/>
                <w:bottom w:val="single" w:sz="6" w:space="0" w:color="FFFFFF"/>
                <w:right w:val="single" w:sz="6" w:space="0" w:color="FFFFFF"/>
              </w:pBdr>
              <w:spacing w:before="60"/>
              <w:rPr>
                <w:rFonts w:cstheme="minorHAnsi"/>
                <w:color w:val="000000"/>
              </w:rPr>
            </w:pPr>
            <w:r>
              <w:t xml:space="preserve">Report </w:t>
            </w:r>
            <w:r>
              <w:t>of</w:t>
            </w:r>
            <w:r>
              <w:t xml:space="preserve"> </w:t>
            </w:r>
            <w:r w:rsidRPr="00062260">
              <w:t>continuous emissions monitoring system (CEMS) performance evaluation</w:t>
            </w:r>
          </w:p>
        </w:tc>
        <w:tc>
          <w:tcPr>
            <w:tcW w:w="2070" w:type="dxa"/>
          </w:tcPr>
          <w:p w:rsidR="00240E9D" w:rsidRPr="00987C8D" w:rsidP="00240E9D" w14:paraId="44D51E28" w14:textId="21F12BC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14C6B">
              <w:t>§63.9814(</w:t>
            </w:r>
            <w:r>
              <w:t>i</w:t>
            </w:r>
            <w:r w:rsidRPr="00914C6B">
              <w:t>)</w:t>
            </w:r>
          </w:p>
        </w:tc>
      </w:tr>
    </w:tbl>
    <w:p w:rsidR="00454A34" w:rsidRPr="00987C8D" w:rsidP="00987C8D" w14:paraId="23425BE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454A34" w:rsidRPr="00987C8D" w:rsidP="00987C8D" w14:paraId="43CC26C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
      <w:tblGrid>
        <w:gridCol w:w="7110"/>
        <w:gridCol w:w="2250"/>
      </w:tblGrid>
      <w:tr w14:paraId="1B7C19A6" w14:textId="77777777" w:rsidTr="000A1BAA">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Ex>
        <w:trPr>
          <w:tblHeader/>
          <w:jc w:val="center"/>
        </w:trPr>
        <w:tc>
          <w:tcPr>
            <w:tcW w:w="9360" w:type="dxa"/>
            <w:gridSpan w:val="2"/>
          </w:tcPr>
          <w:p w:rsidR="00454A34" w:rsidRPr="00987C8D" w:rsidP="00987C8D" w14:paraId="09F857D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454A34" w:rsidRPr="00987C8D" w:rsidP="00987C8D" w14:paraId="174DB742"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303E4B56" w14:textId="77777777" w:rsidTr="000A1BAA">
        <w:tblPrEx>
          <w:tblW w:w="9360" w:type="dxa"/>
          <w:jc w:val="center"/>
          <w:tblLayout w:type="fixed"/>
          <w:tblCellMar>
            <w:left w:w="120" w:type="dxa"/>
            <w:right w:w="120" w:type="dxa"/>
          </w:tblCellMar>
          <w:tblLook w:val="04A0"/>
        </w:tblPrEx>
        <w:trPr>
          <w:jc w:val="center"/>
        </w:trPr>
        <w:tc>
          <w:tcPr>
            <w:tcW w:w="7110" w:type="dxa"/>
          </w:tcPr>
          <w:p w:rsidR="000A1BAA" w:rsidRPr="00987C8D" w:rsidP="000A1BAA" w14:paraId="02F0B167" w14:textId="66288F5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95D9D">
              <w:t>Record of startup, shutdown, and malfunctions</w:t>
            </w:r>
            <w:r>
              <w:t xml:space="preserve"> (only required for the first 180 days following publication of the final amendments to </w:t>
            </w:r>
            <w:r w:rsidRPr="00711B89">
              <w:t>40 CFR part 63, subpart SSSSS</w:t>
            </w:r>
            <w:r>
              <w:t>)</w:t>
            </w:r>
          </w:p>
        </w:tc>
        <w:tc>
          <w:tcPr>
            <w:tcW w:w="2250" w:type="dxa"/>
          </w:tcPr>
          <w:p w:rsidR="000A1BAA" w:rsidRPr="00987C8D" w:rsidP="000A1BAA" w14:paraId="66D26374" w14:textId="3D0FE31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95D9D">
              <w:t>§63.6(e)(3), §63.10(b)(2), §63.9816(a)(2)</w:t>
            </w:r>
          </w:p>
        </w:tc>
      </w:tr>
      <w:tr w14:paraId="166C20D7" w14:textId="77777777" w:rsidTr="000A1BAA">
        <w:tblPrEx>
          <w:tblW w:w="9360" w:type="dxa"/>
          <w:jc w:val="center"/>
          <w:tblLayout w:type="fixed"/>
          <w:tblCellMar>
            <w:left w:w="120" w:type="dxa"/>
            <w:right w:w="120" w:type="dxa"/>
          </w:tblCellMar>
          <w:tblLook w:val="04A0"/>
        </w:tblPrEx>
        <w:trPr>
          <w:jc w:val="center"/>
        </w:trPr>
        <w:tc>
          <w:tcPr>
            <w:tcW w:w="7110" w:type="dxa"/>
          </w:tcPr>
          <w:p w:rsidR="000A1BAA" w:rsidRPr="00987C8D" w:rsidP="000A1BAA" w14:paraId="60DCE5D3" w14:textId="2588863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95D9D">
              <w:t>Records of performance tests</w:t>
            </w:r>
          </w:p>
        </w:tc>
        <w:tc>
          <w:tcPr>
            <w:tcW w:w="2250" w:type="dxa"/>
          </w:tcPr>
          <w:p w:rsidR="000A1BAA" w:rsidRPr="00987C8D" w:rsidP="000A1BAA" w14:paraId="1569C9B7" w14:textId="0192763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95D9D">
              <w:t>§63.10(b)(2)(viii), §63.9816(a)(3)</w:t>
            </w:r>
          </w:p>
        </w:tc>
      </w:tr>
      <w:tr w14:paraId="7FB3213B" w14:textId="77777777" w:rsidTr="000A1BAA">
        <w:tblPrEx>
          <w:tblW w:w="9360" w:type="dxa"/>
          <w:jc w:val="center"/>
          <w:tblLayout w:type="fixed"/>
          <w:tblCellMar>
            <w:left w:w="120" w:type="dxa"/>
            <w:right w:w="120" w:type="dxa"/>
          </w:tblCellMar>
          <w:tblLook w:val="04A0"/>
        </w:tblPrEx>
        <w:trPr>
          <w:jc w:val="center"/>
        </w:trPr>
        <w:tc>
          <w:tcPr>
            <w:tcW w:w="7110" w:type="dxa"/>
          </w:tcPr>
          <w:p w:rsidR="000A1BAA" w:rsidRPr="00987C8D" w:rsidP="000A1BAA" w14:paraId="4D3483CA" w14:textId="6ACD6A8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95D9D">
              <w:t>Initial notification or notification of compliance status</w:t>
            </w:r>
          </w:p>
        </w:tc>
        <w:tc>
          <w:tcPr>
            <w:tcW w:w="2250" w:type="dxa"/>
          </w:tcPr>
          <w:p w:rsidR="000A1BAA" w:rsidRPr="00987C8D" w:rsidP="000A1BAA" w14:paraId="72B0B23F" w14:textId="657C9B6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95D9D">
              <w:t>§63.10(b)(2)(xiv), §63.9816(a)(1)</w:t>
            </w:r>
          </w:p>
        </w:tc>
      </w:tr>
      <w:tr w14:paraId="0EEF536D" w14:textId="77777777" w:rsidTr="000A1BAA">
        <w:tblPrEx>
          <w:tblW w:w="9360" w:type="dxa"/>
          <w:jc w:val="center"/>
          <w:tblLayout w:type="fixed"/>
          <w:tblCellMar>
            <w:left w:w="120" w:type="dxa"/>
            <w:right w:w="120" w:type="dxa"/>
          </w:tblCellMar>
          <w:tblLook w:val="04A0"/>
        </w:tblPrEx>
        <w:trPr>
          <w:jc w:val="center"/>
        </w:trPr>
        <w:tc>
          <w:tcPr>
            <w:tcW w:w="7110" w:type="dxa"/>
          </w:tcPr>
          <w:p w:rsidR="000A1BAA" w:rsidRPr="00987C8D" w:rsidP="000A1BAA" w14:paraId="152F05E6" w14:textId="7861B1A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95D9D">
              <w:t xml:space="preserve">Record of each </w:t>
            </w:r>
            <w:r>
              <w:t>continuous monitoring system (</w:t>
            </w:r>
            <w:r w:rsidRPr="00895D9D">
              <w:t>CMS</w:t>
            </w:r>
            <w:r>
              <w:t>)</w:t>
            </w:r>
          </w:p>
        </w:tc>
        <w:tc>
          <w:tcPr>
            <w:tcW w:w="2250" w:type="dxa"/>
          </w:tcPr>
          <w:p w:rsidR="000A1BAA" w:rsidRPr="00987C8D" w:rsidP="000A1BAA" w14:paraId="4801FA62" w14:textId="56E83BB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95D9D">
              <w:t>§63.8(d)(3), §63.8(f)(6)(</w:t>
            </w:r>
            <w:r w:rsidRPr="00895D9D">
              <w:t>i</w:t>
            </w:r>
            <w:r w:rsidRPr="00895D9D">
              <w:t>), §63.8(g), §63.10(b)(2)(</w:t>
            </w:r>
            <w:r w:rsidRPr="00895D9D">
              <w:t>vi)-(</w:t>
            </w:r>
            <w:r w:rsidRPr="00895D9D">
              <w:t>xi), and §63.9816(c)</w:t>
            </w:r>
          </w:p>
        </w:tc>
      </w:tr>
      <w:tr w14:paraId="6987C71C" w14:textId="77777777" w:rsidTr="000A1BAA">
        <w:tblPrEx>
          <w:tblW w:w="9360" w:type="dxa"/>
          <w:jc w:val="center"/>
          <w:tblLayout w:type="fixed"/>
          <w:tblCellMar>
            <w:left w:w="120" w:type="dxa"/>
            <w:right w:w="120" w:type="dxa"/>
          </w:tblCellMar>
          <w:tblLook w:val="04A0"/>
        </w:tblPrEx>
        <w:trPr>
          <w:jc w:val="center"/>
        </w:trPr>
        <w:tc>
          <w:tcPr>
            <w:tcW w:w="7110" w:type="dxa"/>
          </w:tcPr>
          <w:p w:rsidR="000A1BAA" w:rsidRPr="00987C8D" w:rsidP="000A1BAA" w14:paraId="0E603D90" w14:textId="2647A73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95D9D">
              <w:t xml:space="preserve">Records are required to be retained for </w:t>
            </w:r>
            <w:r>
              <w:t>5</w:t>
            </w:r>
            <w:r w:rsidRPr="00895D9D">
              <w:t xml:space="preserve"> years</w:t>
            </w:r>
          </w:p>
        </w:tc>
        <w:tc>
          <w:tcPr>
            <w:tcW w:w="2250" w:type="dxa"/>
          </w:tcPr>
          <w:p w:rsidR="000A1BAA" w:rsidRPr="00987C8D" w:rsidP="000A1BAA" w14:paraId="1D26834C" w14:textId="25E774C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95D9D">
              <w:t>§63.10(b)(1)</w:t>
            </w:r>
          </w:p>
        </w:tc>
      </w:tr>
    </w:tbl>
    <w:p w:rsidR="00454A34" w:rsidRPr="00BB3410" w:rsidP="00854AAE" w14:paraId="160EC88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454A34" w:rsidRPr="00163C69" w:rsidP="00854AAE" w14:paraId="502E97E9" w14:textId="77777777">
      <w:pPr>
        <w:spacing w:before="120" w:after="0"/>
        <w:rPr>
          <w:rFonts w:cstheme="minorHAnsi"/>
          <w:b/>
          <w:bCs/>
        </w:rPr>
      </w:pPr>
      <w:r w:rsidRPr="00163C69">
        <w:rPr>
          <w:rFonts w:cstheme="minorHAnsi"/>
          <w:b/>
          <w:bCs/>
        </w:rPr>
        <w:t>12c. Respondent Activities</w:t>
      </w:r>
    </w:p>
    <w:p w:rsidR="00454A34" w:rsidRPr="00BB3410" w:rsidP="00854AAE" w14:paraId="2686B570" w14:textId="77777777">
      <w:pPr>
        <w:spacing w:before="60"/>
        <w:rPr>
          <w:rFonts w:cstheme="minorHAnsi"/>
        </w:rPr>
      </w:pPr>
    </w:p>
    <w:tbl>
      <w:tblPr>
        <w:tblStyle w:val="TableGrid"/>
        <w:tblW w:w="9445" w:type="dxa"/>
        <w:tblLook w:val="04A0"/>
      </w:tblPr>
      <w:tblGrid>
        <w:gridCol w:w="9445"/>
      </w:tblGrid>
      <w:tr w14:paraId="19618333" w14:textId="77777777">
        <w:tblPrEx>
          <w:tblW w:w="9445" w:type="dxa"/>
          <w:tblLook w:val="04A0"/>
        </w:tblPrEx>
        <w:trPr>
          <w:cantSplit/>
          <w:trHeight w:val="521"/>
          <w:tblHeader/>
        </w:trPr>
        <w:tc>
          <w:tcPr>
            <w:tcW w:w="9445" w:type="dxa"/>
          </w:tcPr>
          <w:p w:rsidR="00454A34" w14:paraId="18EB63D4" w14:textId="77777777">
            <w:pPr>
              <w:jc w:val="center"/>
              <w:outlineLvl w:val="0"/>
              <w:rPr>
                <w:b/>
                <w:bCs/>
                <w:color w:val="000000"/>
              </w:rPr>
            </w:pPr>
            <w:r w:rsidRPr="00B04A5C">
              <w:rPr>
                <w:b/>
                <w:bCs/>
                <w:color w:val="000000"/>
              </w:rPr>
              <w:t>Respondent Activities</w:t>
            </w:r>
          </w:p>
        </w:tc>
      </w:tr>
      <w:tr w14:paraId="21FDE60D" w14:textId="77777777">
        <w:tblPrEx>
          <w:tblW w:w="9445" w:type="dxa"/>
          <w:tblLook w:val="04A0"/>
        </w:tblPrEx>
        <w:trPr>
          <w:trHeight w:val="432"/>
        </w:trPr>
        <w:tc>
          <w:tcPr>
            <w:tcW w:w="9445" w:type="dxa"/>
            <w:vAlign w:val="center"/>
          </w:tcPr>
          <w:p w:rsidR="00454A34" w:rsidRPr="00B04A5C" w14:paraId="4CF3046F" w14:textId="77777777">
            <w:pPr>
              <w:outlineLvl w:val="0"/>
              <w:rPr>
                <w:color w:val="000000"/>
              </w:rPr>
            </w:pPr>
            <w:r w:rsidRPr="00B04A5C">
              <w:rPr>
                <w:color w:val="000000"/>
              </w:rPr>
              <w:t>Familiarization with the regulatory requirements.</w:t>
            </w:r>
          </w:p>
        </w:tc>
      </w:tr>
      <w:tr w14:paraId="5AB9489C" w14:textId="77777777">
        <w:tblPrEx>
          <w:tblW w:w="9445" w:type="dxa"/>
          <w:tblLook w:val="04A0"/>
        </w:tblPrEx>
        <w:trPr>
          <w:trHeight w:val="719"/>
        </w:trPr>
        <w:tc>
          <w:tcPr>
            <w:tcW w:w="9445" w:type="dxa"/>
            <w:vAlign w:val="center"/>
          </w:tcPr>
          <w:p w:rsidR="00454A34" w:rsidRPr="00B04A5C" w14:paraId="246F3E64" w14:textId="2E15EBB0">
            <w:pPr>
              <w:outlineLvl w:val="0"/>
              <w:rPr>
                <w:color w:val="000000"/>
              </w:rPr>
            </w:pPr>
            <w:r w:rsidRPr="001D050B">
              <w:t>Install, calibrate, maintain, and operate CEMS for THC, or CMS for temperature, flow rate, pH, or pressure drop and liquid supply pressure for control device.</w:t>
            </w:r>
          </w:p>
        </w:tc>
      </w:tr>
      <w:tr w14:paraId="17B4B42D" w14:textId="77777777">
        <w:tblPrEx>
          <w:tblW w:w="9445" w:type="dxa"/>
          <w:tblLook w:val="04A0"/>
        </w:tblPrEx>
        <w:trPr>
          <w:trHeight w:val="701"/>
        </w:trPr>
        <w:tc>
          <w:tcPr>
            <w:tcW w:w="9445" w:type="dxa"/>
            <w:vAlign w:val="center"/>
          </w:tcPr>
          <w:p w:rsidR="00454A34" w:rsidRPr="00B04A5C" w14:paraId="1123710D" w14:textId="32E9F477">
            <w:pPr>
              <w:outlineLvl w:val="0"/>
              <w:rPr>
                <w:color w:val="000000"/>
              </w:rPr>
            </w:pPr>
            <w:r w:rsidRPr="001D050B">
              <w:t xml:space="preserve">Perform initial performance test, Reference Method 25A or 26A test, </w:t>
            </w:r>
            <w:r>
              <w:t xml:space="preserve">Reference Method 5 and 29 test, </w:t>
            </w:r>
            <w:r w:rsidRPr="001D050B">
              <w:t>and repeat performance tests if necessary</w:t>
            </w:r>
            <w:r w:rsidRPr="00CC17A4">
              <w:t>.</w:t>
            </w:r>
          </w:p>
        </w:tc>
      </w:tr>
      <w:tr w14:paraId="26A2477F" w14:textId="77777777">
        <w:tblPrEx>
          <w:tblW w:w="9445" w:type="dxa"/>
          <w:tblLook w:val="04A0"/>
        </w:tblPrEx>
        <w:trPr>
          <w:trHeight w:val="432"/>
        </w:trPr>
        <w:tc>
          <w:tcPr>
            <w:tcW w:w="9445" w:type="dxa"/>
            <w:vAlign w:val="center"/>
          </w:tcPr>
          <w:p w:rsidR="00454A34" w:rsidRPr="00B04A5C" w14:paraId="0A70DB86" w14:textId="77777777">
            <w:pPr>
              <w:outlineLvl w:val="0"/>
              <w:rPr>
                <w:color w:val="000000"/>
              </w:rPr>
            </w:pPr>
            <w:r w:rsidRPr="00B04A5C">
              <w:rPr>
                <w:color w:val="000000"/>
              </w:rPr>
              <w:t>Write the notifications and reports listed above.</w:t>
            </w:r>
          </w:p>
        </w:tc>
      </w:tr>
      <w:tr w14:paraId="4CFF1022" w14:textId="77777777">
        <w:tblPrEx>
          <w:tblW w:w="9445" w:type="dxa"/>
          <w:tblLook w:val="04A0"/>
        </w:tblPrEx>
        <w:trPr>
          <w:trHeight w:val="432"/>
        </w:trPr>
        <w:tc>
          <w:tcPr>
            <w:tcW w:w="9445" w:type="dxa"/>
            <w:vAlign w:val="center"/>
          </w:tcPr>
          <w:p w:rsidR="00454A34" w:rsidRPr="00B04A5C" w14:paraId="3A9DA63C" w14:textId="77777777">
            <w:pPr>
              <w:outlineLvl w:val="0"/>
              <w:rPr>
                <w:color w:val="000000"/>
              </w:rPr>
            </w:pPr>
            <w:r w:rsidRPr="00B04A5C">
              <w:rPr>
                <w:color w:val="000000"/>
              </w:rPr>
              <w:t>Enter information required to be recorded above.</w:t>
            </w:r>
          </w:p>
        </w:tc>
      </w:tr>
      <w:tr w14:paraId="4B9EBA3C" w14:textId="77777777">
        <w:tblPrEx>
          <w:tblW w:w="9445" w:type="dxa"/>
          <w:tblLook w:val="04A0"/>
        </w:tblPrEx>
        <w:trPr>
          <w:trHeight w:val="692"/>
        </w:trPr>
        <w:tc>
          <w:tcPr>
            <w:tcW w:w="9445" w:type="dxa"/>
            <w:vAlign w:val="center"/>
          </w:tcPr>
          <w:p w:rsidR="00454A34" w:rsidRPr="00B04A5C" w14:paraId="701AB500"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045AEA9E" w14:textId="77777777">
        <w:tblPrEx>
          <w:tblW w:w="9445" w:type="dxa"/>
          <w:tblLook w:val="04A0"/>
        </w:tblPrEx>
        <w:trPr>
          <w:trHeight w:val="764"/>
        </w:trPr>
        <w:tc>
          <w:tcPr>
            <w:tcW w:w="9445" w:type="dxa"/>
            <w:vAlign w:val="center"/>
          </w:tcPr>
          <w:p w:rsidR="00454A34" w:rsidRPr="00B04A5C" w14:paraId="235B65BE" w14:textId="77777777">
            <w:pPr>
              <w:outlineLvl w:val="0"/>
              <w:rPr>
                <w:color w:val="000000"/>
              </w:rPr>
            </w:pPr>
            <w:r w:rsidRPr="00B04A5C">
              <w:rPr>
                <w:color w:val="000000"/>
              </w:rPr>
              <w:t>Develop, acquire, install, and utilize technology and systems for processing and maintaining information.</w:t>
            </w:r>
          </w:p>
        </w:tc>
      </w:tr>
      <w:tr w14:paraId="7B56593D" w14:textId="77777777">
        <w:tblPrEx>
          <w:tblW w:w="9445" w:type="dxa"/>
          <w:tblLook w:val="04A0"/>
        </w:tblPrEx>
        <w:trPr>
          <w:trHeight w:val="728"/>
        </w:trPr>
        <w:tc>
          <w:tcPr>
            <w:tcW w:w="9445" w:type="dxa"/>
            <w:vAlign w:val="center"/>
          </w:tcPr>
          <w:p w:rsidR="00454A34" w:rsidRPr="00B04A5C" w14:paraId="2EE7528B" w14:textId="77777777">
            <w:pPr>
              <w:outlineLvl w:val="0"/>
              <w:rPr>
                <w:color w:val="000000"/>
              </w:rPr>
            </w:pPr>
            <w:r w:rsidRPr="00B04A5C">
              <w:rPr>
                <w:color w:val="000000"/>
              </w:rPr>
              <w:t>Develop, acquire, install, and utilize technology and systems for disclosing and providing information.</w:t>
            </w:r>
          </w:p>
        </w:tc>
      </w:tr>
      <w:tr w14:paraId="3594DDD9" w14:textId="77777777">
        <w:tblPrEx>
          <w:tblW w:w="9445" w:type="dxa"/>
          <w:tblLook w:val="04A0"/>
        </w:tblPrEx>
        <w:trPr>
          <w:trHeight w:val="432"/>
        </w:trPr>
        <w:tc>
          <w:tcPr>
            <w:tcW w:w="9445" w:type="dxa"/>
            <w:vAlign w:val="center"/>
          </w:tcPr>
          <w:p w:rsidR="00454A34" w:rsidRPr="00B04A5C" w14:paraId="3AAA6296" w14:textId="77777777">
            <w:pPr>
              <w:outlineLvl w:val="0"/>
              <w:rPr>
                <w:color w:val="000000"/>
              </w:rPr>
            </w:pPr>
            <w:r w:rsidRPr="00B04A5C">
              <w:rPr>
                <w:color w:val="000000"/>
              </w:rPr>
              <w:t>Train personnel to be able to respond to a collection of information.</w:t>
            </w:r>
          </w:p>
        </w:tc>
      </w:tr>
      <w:tr w14:paraId="11A06EAB" w14:textId="77777777">
        <w:tblPrEx>
          <w:tblW w:w="9445" w:type="dxa"/>
          <w:tblLook w:val="04A0"/>
        </w:tblPrEx>
        <w:trPr>
          <w:trHeight w:val="432"/>
        </w:trPr>
        <w:tc>
          <w:tcPr>
            <w:tcW w:w="9445" w:type="dxa"/>
            <w:vAlign w:val="center"/>
          </w:tcPr>
          <w:p w:rsidR="00454A34" w:rsidRPr="00B04A5C" w14:paraId="2B0FA101" w14:textId="77777777">
            <w:pPr>
              <w:outlineLvl w:val="0"/>
              <w:rPr>
                <w:color w:val="000000"/>
              </w:rPr>
            </w:pPr>
            <w:r w:rsidRPr="00B04A5C">
              <w:rPr>
                <w:color w:val="000000"/>
              </w:rPr>
              <w:t>Transmit, or otherwise disclose the information.</w:t>
            </w:r>
          </w:p>
        </w:tc>
      </w:tr>
    </w:tbl>
    <w:p w:rsidR="00454A34" w:rsidRPr="00BB3410" w:rsidP="00854AAE" w14:paraId="52C25EA7" w14:textId="77777777">
      <w:pPr>
        <w:spacing w:before="60"/>
        <w:rPr>
          <w:rFonts w:cstheme="minorHAnsi"/>
        </w:rPr>
      </w:pPr>
    </w:p>
    <w:p w:rsidR="00454A34" w:rsidRPr="00163C69" w:rsidP="00854AAE" w14:paraId="05B5FFEB" w14:textId="77777777">
      <w:pPr>
        <w:spacing w:before="120" w:after="0"/>
        <w:rPr>
          <w:rFonts w:cstheme="minorHAnsi"/>
          <w:b/>
          <w:bCs/>
        </w:rPr>
      </w:pPr>
      <w:r w:rsidRPr="00163C69">
        <w:rPr>
          <w:rFonts w:cstheme="minorHAnsi"/>
          <w:b/>
          <w:bCs/>
        </w:rPr>
        <w:t>12d. Respondent Burden Hours and Labor Costs</w:t>
      </w:r>
    </w:p>
    <w:p w:rsidR="00454A34" w:rsidRPr="00B6361B" w:rsidP="00B6361B" w14:paraId="32278648" w14:textId="77777777">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454A34" w:rsidRPr="00B6361B" w:rsidP="00B6361B" w14:paraId="31573C91" w14:textId="024D3B71">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to be </w:t>
      </w:r>
      <w:r w:rsidRPr="00225464" w:rsidR="00D3661C">
        <w:rPr>
          <w:rFonts w:cstheme="minorHAnsi"/>
        </w:rPr>
        <w:t>341</w:t>
      </w:r>
      <w:r w:rsidR="00AE213A">
        <w:rPr>
          <w:rFonts w:cstheme="minorHAnsi"/>
          <w:color w:val="FF0000"/>
        </w:rPr>
        <w:t xml:space="preserve"> </w:t>
      </w:r>
      <w:r w:rsidRPr="00B6361B">
        <w:rPr>
          <w:rFonts w:cstheme="minorHAnsi"/>
          <w:color w:val="000000"/>
        </w:rPr>
        <w:t xml:space="preserve">hours (Total Labor Hours from Table 1). These hours are based on Agency studies and background documents from the development of </w:t>
      </w:r>
      <w:r w:rsidRPr="00B6361B">
        <w:rPr>
          <w:rFonts w:cstheme="minorHAnsi"/>
          <w:color w:val="000000"/>
        </w:rPr>
        <w:t>the regulation</w:t>
      </w:r>
      <w:r w:rsidRPr="00B6361B">
        <w:rPr>
          <w:rFonts w:cstheme="minorHAnsi"/>
          <w:color w:val="000000"/>
        </w:rPr>
        <w:t xml:space="preserve">, Agency </w:t>
      </w:r>
      <w:r w:rsidRPr="00B6361B">
        <w:rPr>
          <w:rFonts w:cstheme="minorHAnsi"/>
          <w:color w:val="000000"/>
        </w:rPr>
        <w:t>knowledge and experience with the NESHAP program, the previously approved ICR, and any comments received.</w:t>
      </w:r>
    </w:p>
    <w:p w:rsidR="00454A34" w:rsidRPr="00B6361B" w:rsidP="00B6361B" w14:paraId="7ABB5A4B" w14:textId="77777777">
      <w:pPr>
        <w:spacing w:before="60"/>
        <w:rPr>
          <w:rFonts w:cstheme="minorHAnsi"/>
          <w:color w:val="000000"/>
        </w:rPr>
      </w:pPr>
      <w:r w:rsidRPr="00B6361B">
        <w:rPr>
          <w:rFonts w:cstheme="minorHAnsi"/>
          <w:color w:val="000000"/>
        </w:rPr>
        <w:t>This ICR uses the following labor rates:</w:t>
      </w:r>
    </w:p>
    <w:p w:rsidR="00454A34" w:rsidRPr="00B6361B" w:rsidP="00C4086C" w14:paraId="0083E45D" w14:textId="3B432CCB">
      <w:pPr>
        <w:spacing w:before="60"/>
        <w:ind w:firstLine="720"/>
        <w:rPr>
          <w:rFonts w:cstheme="minorHAnsi"/>
          <w:color w:val="000000"/>
        </w:rPr>
      </w:pPr>
      <w:r w:rsidRPr="00B6361B">
        <w:rPr>
          <w:rFonts w:cstheme="minorHAnsi"/>
          <w:color w:val="000000"/>
        </w:rPr>
        <w:t>Managerial</w:t>
      </w:r>
      <w:r w:rsidRPr="00B6361B">
        <w:rPr>
          <w:rFonts w:cstheme="minorHAnsi"/>
          <w:color w:val="000000"/>
        </w:rPr>
        <w:tab/>
      </w:r>
      <w:r w:rsidRPr="00B6361B">
        <w:rPr>
          <w:rFonts w:cstheme="minorHAnsi"/>
          <w:color w:val="000000"/>
        </w:rPr>
        <w:t>$</w:t>
      </w:r>
      <w:r w:rsidRPr="00F67B5E">
        <w:rPr>
          <w:rFonts w:cstheme="minorHAnsi"/>
          <w:color w:val="000000"/>
        </w:rPr>
        <w:t xml:space="preserve">172.41 </w:t>
      </w:r>
      <w:r w:rsidRPr="00B6361B">
        <w:rPr>
          <w:rFonts w:cstheme="minorHAnsi"/>
          <w:color w:val="000000"/>
        </w:rPr>
        <w:t>(</w:t>
      </w:r>
      <w:r w:rsidRPr="00FF4B69">
        <w:rPr>
          <w:rFonts w:cstheme="minorHAnsi"/>
          <w:color w:val="000000"/>
        </w:rPr>
        <w:t>$82.10</w:t>
      </w:r>
      <w:r>
        <w:rPr>
          <w:rFonts w:cstheme="minorHAnsi"/>
          <w:color w:val="000000"/>
        </w:rPr>
        <w:t xml:space="preserve"> </w:t>
      </w:r>
      <w:r w:rsidRPr="00B6361B">
        <w:rPr>
          <w:rFonts w:cstheme="minorHAnsi"/>
          <w:color w:val="000000"/>
        </w:rPr>
        <w:t>+ 110%)</w:t>
      </w:r>
    </w:p>
    <w:p w:rsidR="00454A34" w:rsidRPr="00B6361B" w:rsidP="00C4086C" w14:paraId="5EDC73AA" w14:textId="77777777">
      <w:pPr>
        <w:spacing w:before="60"/>
        <w:ind w:firstLine="720"/>
        <w:rPr>
          <w:rFonts w:cstheme="minorHAnsi"/>
          <w:color w:val="000000"/>
        </w:rPr>
      </w:pPr>
      <w:r w:rsidRPr="00B6361B">
        <w:rPr>
          <w:rFonts w:cstheme="minorHAnsi"/>
          <w:color w:val="000000"/>
        </w:rPr>
        <w:t>Technical</w:t>
      </w:r>
      <w:r w:rsidRPr="00B6361B">
        <w:rPr>
          <w:rFonts w:cstheme="minorHAnsi"/>
          <w:color w:val="000000"/>
        </w:rPr>
        <w:tab/>
      </w:r>
      <w:r w:rsidRPr="00B6361B">
        <w:rPr>
          <w:rFonts w:cstheme="minorHAnsi"/>
          <w:color w:val="000000"/>
        </w:rPr>
        <w:t>$</w:t>
      </w:r>
      <w:r w:rsidRPr="00583AAC">
        <w:rPr>
          <w:rFonts w:cstheme="minorHAnsi"/>
          <w:color w:val="000000"/>
        </w:rPr>
        <w:t>141.75 ($67.50 + 110%)</w:t>
      </w:r>
    </w:p>
    <w:p w:rsidR="00454A34" w:rsidRPr="00B6361B" w:rsidP="00C4086C" w14:paraId="4A4E1D38" w14:textId="77777777">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Pr>
          <w:rFonts w:cstheme="minorHAnsi"/>
          <w:color w:val="000000"/>
        </w:rPr>
        <w:tab/>
      </w:r>
      <w:r w:rsidRPr="00B6361B">
        <w:rPr>
          <w:rFonts w:cstheme="minorHAnsi"/>
          <w:color w:val="000000"/>
        </w:rPr>
        <w:t>$</w:t>
      </w:r>
      <w:r w:rsidRPr="003F1F7D">
        <w:rPr>
          <w:rFonts w:cstheme="minorHAnsi"/>
          <w:color w:val="000000"/>
        </w:rPr>
        <w:t>71.36 ($33.98 + 110%</w:t>
      </w:r>
      <w:r>
        <w:rPr>
          <w:rFonts w:cstheme="minorHAnsi"/>
          <w:color w:val="000000"/>
        </w:rPr>
        <w:t>)</w:t>
      </w:r>
    </w:p>
    <w:p w:rsidR="00454A34" w:rsidRPr="00B6361B" w:rsidP="00B6361B" w14:paraId="31C3D831" w14:textId="77777777">
      <w:pPr>
        <w:spacing w:before="60"/>
        <w:rPr>
          <w:rFonts w:cstheme="minorHAnsi"/>
          <w:color w:val="000000"/>
        </w:rPr>
      </w:pPr>
    </w:p>
    <w:p w:rsidR="00454A34" w:rsidRPr="00B6361B" w:rsidP="00B6361B" w14:paraId="4149AA64" w14:textId="77777777">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454A34" w:rsidRPr="00BB3410" w:rsidP="00B6361B" w14:paraId="421A88F5" w14:textId="77777777">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454A34" w:rsidRPr="00163C69" w:rsidP="00854AAE" w14:paraId="0F04F58D" w14:textId="77777777">
      <w:pPr>
        <w:pStyle w:val="ListParagraph"/>
        <w:numPr>
          <w:ilvl w:val="0"/>
          <w:numId w:val="25"/>
        </w:numPr>
        <w:spacing w:before="240" w:after="0"/>
        <w:rPr>
          <w:rFonts w:cstheme="minorHAnsi"/>
          <w:b/>
          <w:bCs/>
          <w:caps/>
        </w:rPr>
      </w:pPr>
      <w:r w:rsidRPr="4BDBF0A0">
        <w:rPr>
          <w:b/>
          <w:bCs/>
          <w:caps/>
        </w:rPr>
        <w:t xml:space="preserve">Respondent CAPITAL AND O&amp;m CostS </w:t>
      </w:r>
    </w:p>
    <w:p w:rsidR="00454A34" w:rsidRPr="00F92596" w:rsidP="00F92596" w14:paraId="4C4CCDD5"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454A34" w:rsidRPr="00F92596" w:rsidP="00163C69" w14:paraId="39813347" w14:textId="77777777">
      <w:pPr>
        <w:spacing w:before="120" w:after="0" w:line="240" w:lineRule="auto"/>
        <w:rPr>
          <w:rFonts w:cstheme="minorHAnsi"/>
          <w:i/>
          <w:iCs/>
        </w:rPr>
      </w:pPr>
      <w:r w:rsidRPr="00F92596">
        <w:rPr>
          <w:rFonts w:cstheme="minorHAnsi"/>
          <w:i/>
          <w:iCs/>
        </w:rPr>
        <w:t>The cost estimate should be split into two components</w:t>
      </w:r>
      <w:r w:rsidRPr="00F92596">
        <w:rPr>
          <w:rFonts w:cstheme="minorHAnsi"/>
          <w:i/>
          <w:iCs/>
        </w:rPr>
        <w:t>: (a) a</w:t>
      </w:r>
      <w:r w:rsidRPr="00F92596">
        <w:rPr>
          <w:rFonts w:cstheme="minorHAnsi"/>
          <w:i/>
          <w:iCs/>
        </w:rPr>
        <w:t xml:space="preserve"> total capital and start-up cost</w:t>
      </w:r>
    </w:p>
    <w:p w:rsidR="00454A34" w:rsidRPr="00F92596" w:rsidP="00F92596" w14:paraId="2C990EE6" w14:textId="77777777">
      <w:pPr>
        <w:spacing w:after="0" w:line="240" w:lineRule="auto"/>
        <w:rPr>
          <w:rFonts w:cstheme="minorHAnsi"/>
          <w:i/>
          <w:iCs/>
        </w:rPr>
      </w:pPr>
      <w:r w:rsidRPr="00F92596">
        <w:rPr>
          <w:rFonts w:cstheme="minorHAnsi"/>
          <w:i/>
          <w:iCs/>
        </w:rPr>
        <w:t xml:space="preserve">component (annualized over its expected useful life) and (b) </w:t>
      </w:r>
      <w:r w:rsidRPr="00F92596">
        <w:rPr>
          <w:rFonts w:cstheme="minorHAnsi"/>
          <w:i/>
          <w:iCs/>
        </w:rPr>
        <w:t>a total</w:t>
      </w:r>
      <w:r w:rsidRPr="00F92596">
        <w:rPr>
          <w:rFonts w:cstheme="minorHAnsi"/>
          <w:i/>
          <w:iCs/>
        </w:rPr>
        <w:t xml:space="preserve"> operation and maintenance and purchase of services component. The estimates should consider costs associated with generating, maintaining, and disclosing or providing </w:t>
      </w:r>
      <w:r w:rsidRPr="00F92596">
        <w:rPr>
          <w:rFonts w:cstheme="minorHAnsi"/>
          <w:i/>
          <w:iCs/>
        </w:rPr>
        <w:t>the information</w:t>
      </w:r>
      <w:r w:rsidRPr="00F92596">
        <w:rPr>
          <w:rFonts w:cstheme="minorHAnsi"/>
          <w:i/>
          <w:iCs/>
        </w:rPr>
        <w:t>.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454A34" w:rsidRPr="00F92596" w:rsidP="00163C69" w14:paraId="06DD5ACF"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454A34" w:rsidRPr="00F92596" w:rsidP="00163C69" w14:paraId="74F17516" w14:textId="77777777">
      <w:pPr>
        <w:pBdr>
          <w:bottom w:val="single" w:sz="4" w:space="1" w:color="auto"/>
        </w:pBdr>
        <w:spacing w:line="240" w:lineRule="auto"/>
        <w:rPr>
          <w:rFonts w:cstheme="minorHAnsi"/>
          <w:i/>
          <w:iCs/>
        </w:rPr>
      </w:pPr>
      <w:r w:rsidRPr="00F92596">
        <w:rPr>
          <w:rFonts w:cstheme="minorHAnsi"/>
          <w:i/>
          <w:iCs/>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F92596">
        <w:rPr>
          <w:rFonts w:cstheme="minorHAnsi"/>
          <w:i/>
          <w:iCs/>
        </w:rPr>
        <w:t>to provide</w:t>
      </w:r>
      <w:r w:rsidRPr="00F92596">
        <w:rPr>
          <w:rFonts w:cstheme="minorHAnsi"/>
          <w:i/>
          <w:iCs/>
        </w:rPr>
        <w:t xml:space="preserve"> information or keep records for the government, or (4) as part of customary and usual business or private practices.</w:t>
      </w:r>
    </w:p>
    <w:p w:rsidR="00454A34" w:rsidRPr="00342882" w:rsidP="00342882" w14:paraId="0D44E51D" w14:textId="76688E1F">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 xml:space="preserve">The type of industry costs associated with the information collection activities in the subject </w:t>
      </w:r>
      <w:r w:rsidRPr="00342882">
        <w:rPr>
          <w:rFonts w:cstheme="minorHAnsi"/>
          <w:color w:val="000000"/>
        </w:rPr>
        <w:t>standard(s)</w:t>
      </w:r>
      <w:r w:rsidRPr="00342882">
        <w:rPr>
          <w:rFonts w:cstheme="minorHAnsi"/>
          <w:color w:val="000000"/>
        </w:rPr>
        <w:t xml:space="preserve"> are both labor costs which are addressed elsewhere in this ICR and the costs associated with continuous monitoring. The capital/startup costs are one-</w:t>
      </w:r>
      <w:r w:rsidRPr="00342882">
        <w:rPr>
          <w:rFonts w:cstheme="minorHAnsi"/>
          <w:color w:val="000000"/>
        </w:rPr>
        <w:t>time costs</w:t>
      </w:r>
      <w:r w:rsidRPr="00342882">
        <w:rPr>
          <w:rFonts w:cstheme="minorHAnsi"/>
          <w:color w:val="000000"/>
        </w:rPr>
        <w:t xml:space="preserve"> when a facility becomes subject to this </w:t>
      </w:r>
      <w:r w:rsidRPr="00342882">
        <w:rPr>
          <w:rFonts w:cstheme="minorHAnsi"/>
          <w:color w:val="000000"/>
        </w:rPr>
        <w:t>regulation. The annual operation and maintenance costs are the ongoing costs to maintain the monitor(s) and other costs such as photocopying and postage.</w:t>
      </w:r>
    </w:p>
    <w:p w:rsidR="00454A34" w:rsidRPr="002E6F8A" w:rsidP="00342882" w14:paraId="27163AFD" w14:textId="0A109B54">
      <w:pPr>
        <w:pBdr>
          <w:top w:val="single" w:sz="6" w:space="0" w:color="FFFFFF"/>
          <w:left w:val="single" w:sz="6" w:space="0" w:color="FFFFFF"/>
          <w:bottom w:val="single" w:sz="6" w:space="0" w:color="FFFFFF"/>
          <w:right w:val="single" w:sz="6" w:space="0" w:color="FFFFFF"/>
        </w:pBdr>
        <w:rPr>
          <w:rFonts w:cstheme="minorHAnsi"/>
        </w:rPr>
      </w:pPr>
      <w:r w:rsidRPr="00342882">
        <w:rPr>
          <w:rFonts w:cstheme="minorHAnsi"/>
          <w:color w:val="000000"/>
        </w:rPr>
        <w:t xml:space="preserve">The total capital/startup costs for this ICR are </w:t>
      </w:r>
      <w:r w:rsidRPr="002E6F8A">
        <w:rPr>
          <w:rFonts w:cstheme="minorHAnsi"/>
        </w:rPr>
        <w:t>$</w:t>
      </w:r>
      <w:r w:rsidR="004A007F">
        <w:rPr>
          <w:rFonts w:cstheme="minorHAnsi"/>
        </w:rPr>
        <w:t>60,000</w:t>
      </w:r>
      <w:r w:rsidRPr="002E6F8A">
        <w:rPr>
          <w:rFonts w:cstheme="minorHAnsi"/>
        </w:rPr>
        <w:t xml:space="preserve">. This is the total of column D shown below in the table Capital/Startup vs. Operation and Maintenance (O&amp;M) Costs. </w:t>
      </w:r>
    </w:p>
    <w:p w:rsidR="00454A34" w:rsidRPr="00342882" w:rsidP="00342882" w14:paraId="1AE1D142" w14:textId="3B2C1805">
      <w:pPr>
        <w:pBdr>
          <w:top w:val="single" w:sz="6" w:space="0" w:color="FFFFFF"/>
          <w:left w:val="single" w:sz="6" w:space="0" w:color="FFFFFF"/>
          <w:bottom w:val="single" w:sz="6" w:space="0" w:color="FFFFFF"/>
          <w:right w:val="single" w:sz="6" w:space="0" w:color="FFFFFF"/>
        </w:pBdr>
        <w:rPr>
          <w:rFonts w:cstheme="minorHAnsi"/>
          <w:color w:val="000000"/>
        </w:rPr>
      </w:pPr>
      <w:r w:rsidRPr="002E6F8A">
        <w:rPr>
          <w:rFonts w:cstheme="minorHAnsi"/>
        </w:rPr>
        <w:t>The total operation and maintenance (O&amp;M) costs for this ICR are $</w:t>
      </w:r>
      <w:r w:rsidR="000457D3">
        <w:rPr>
          <w:rFonts w:cstheme="minorHAnsi"/>
        </w:rPr>
        <w:t>27,000</w:t>
      </w:r>
      <w:r w:rsidRPr="00342882">
        <w:rPr>
          <w:rFonts w:cstheme="minorHAnsi"/>
          <w:color w:val="000000"/>
        </w:rPr>
        <w:t>. This is the total of column G shown below in the table Capital/Startup vs. Operation and Maintenance (O&amp;M) Costs.</w:t>
      </w:r>
    </w:p>
    <w:p w:rsidR="00454A34" w:rsidRPr="00BB3410" w:rsidP="00854AAE" w14:paraId="0DB34F30" w14:textId="7E78A22A">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average annual cost for capital/startup and operation and maintenance costs to industry over the next three years of the ICR is estimated to be $</w:t>
      </w:r>
      <w:r w:rsidR="000457D3">
        <w:rPr>
          <w:rFonts w:cstheme="minorHAnsi"/>
        </w:rPr>
        <w:t>87,000</w:t>
      </w:r>
      <w:r w:rsidRPr="00342882">
        <w:rPr>
          <w:rFonts w:cstheme="minorHAnsi"/>
          <w:color w:val="000000"/>
        </w:rPr>
        <w:t>.</w:t>
      </w:r>
    </w:p>
    <w:p w:rsidR="00454A34" w:rsidRPr="00163C69" w:rsidP="00854AAE" w14:paraId="32F19C2F" w14:textId="77777777">
      <w:pPr>
        <w:pStyle w:val="ListParagraph"/>
        <w:numPr>
          <w:ilvl w:val="0"/>
          <w:numId w:val="25"/>
        </w:numPr>
        <w:pBdr>
          <w:bottom w:val="single" w:sz="4" w:space="1" w:color="auto"/>
        </w:pBdr>
        <w:spacing w:before="240" w:after="0"/>
        <w:rPr>
          <w:rFonts w:cstheme="minorHAnsi"/>
          <w:b/>
          <w:bCs/>
        </w:rPr>
      </w:pPr>
      <w:r w:rsidRPr="4BDBF0A0">
        <w:rPr>
          <w:b/>
          <w:bCs/>
        </w:rPr>
        <w:t>AGENCY COSTS</w:t>
      </w:r>
    </w:p>
    <w:p w:rsidR="00454A34" w:rsidRPr="001F0834" w:rsidP="00854AAE" w14:paraId="7A01964E" w14:textId="77777777">
      <w:pPr>
        <w:pBdr>
          <w:bottom w:val="single" w:sz="4" w:space="1" w:color="auto"/>
        </w:pBdr>
        <w:rPr>
          <w:rFonts w:cstheme="minorHAnsi"/>
          <w:bCs/>
          <w:i/>
          <w:iCs/>
        </w:rPr>
      </w:pPr>
      <w:r w:rsidRPr="001F0834">
        <w:rPr>
          <w:rFonts w:cstheme="minorHAnsi"/>
          <w:bCs/>
          <w:i/>
          <w:iCs/>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1F0834">
        <w:rPr>
          <w:rFonts w:cstheme="minorHAnsi"/>
          <w:bCs/>
          <w:i/>
          <w:iCs/>
        </w:rPr>
        <w:t>expense</w:t>
      </w:r>
      <w:r w:rsidRPr="001F0834">
        <w:rPr>
          <w:rFonts w:cstheme="minorHAnsi"/>
          <w:bCs/>
          <w:i/>
          <w:iCs/>
        </w:rPr>
        <w:t xml:space="preserve"> that would not have been incurred without this collection of information.</w:t>
      </w:r>
    </w:p>
    <w:p w:rsidR="00454A34" w:rsidRPr="00163C69" w:rsidP="00854AAE" w14:paraId="29F0295F" w14:textId="77777777">
      <w:pPr>
        <w:spacing w:before="120" w:after="0"/>
        <w:rPr>
          <w:rFonts w:cstheme="minorHAnsi"/>
          <w:b/>
          <w:bCs/>
        </w:rPr>
      </w:pPr>
      <w:r w:rsidRPr="00163C69">
        <w:rPr>
          <w:rFonts w:eastAsiaTheme="majorEastAsia" w:cstheme="minorHAnsi"/>
          <w:b/>
          <w:bCs/>
        </w:rPr>
        <w:t>14a. Agency Activities</w:t>
      </w:r>
    </w:p>
    <w:p w:rsidR="00454A34" w:rsidRPr="00962BB9" w:rsidP="00962BB9" w14:paraId="7D6FDEE0"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454A34" w:rsidRPr="00962BB9" w:rsidP="000C04C0" w14:paraId="47C62E83" w14:textId="77777777">
      <w:pPr>
        <w:spacing w:before="120" w:after="0"/>
        <w:ind w:left="1440" w:hanging="720"/>
        <w:rPr>
          <w:rFonts w:cstheme="minorHAnsi"/>
        </w:rPr>
      </w:pPr>
      <w:r w:rsidRPr="00962BB9">
        <w:rPr>
          <w:rFonts w:cstheme="minorHAnsi"/>
        </w:rPr>
        <w:t>•</w:t>
      </w:r>
      <w:r w:rsidRPr="00962BB9">
        <w:rPr>
          <w:rFonts w:cstheme="minorHAnsi"/>
        </w:rPr>
        <w:tab/>
      </w:r>
      <w:r w:rsidRPr="00962BB9">
        <w:rPr>
          <w:rFonts w:cstheme="minorHAnsi"/>
        </w:rPr>
        <w:t>Review notifications and reports, including performance test reports, and excess emissions reports, required to be submitted by industry.</w:t>
      </w:r>
    </w:p>
    <w:p w:rsidR="00454A34" w:rsidRPr="00962BB9" w:rsidP="000C04C0" w14:paraId="18F32A3D" w14:textId="77777777">
      <w:pPr>
        <w:spacing w:before="120" w:after="0"/>
        <w:ind w:left="1440" w:hanging="720"/>
        <w:rPr>
          <w:rFonts w:cstheme="minorHAnsi"/>
        </w:rPr>
      </w:pPr>
      <w:r w:rsidRPr="00962BB9">
        <w:rPr>
          <w:rFonts w:cstheme="minorHAnsi"/>
        </w:rPr>
        <w:t>•</w:t>
      </w:r>
      <w:r w:rsidRPr="00962BB9">
        <w:rPr>
          <w:rFonts w:cstheme="minorHAnsi"/>
        </w:rPr>
        <w:tab/>
      </w:r>
      <w:r w:rsidRPr="00962BB9">
        <w:rPr>
          <w:rFonts w:cstheme="minorHAnsi"/>
        </w:rPr>
        <w:t>Audit facility records.</w:t>
      </w:r>
    </w:p>
    <w:p w:rsidR="00454A34" w:rsidRPr="00962BB9" w:rsidP="000C04C0" w14:paraId="43A8270C" w14:textId="77777777">
      <w:pPr>
        <w:spacing w:before="120" w:after="0"/>
        <w:ind w:left="1440" w:hanging="720"/>
        <w:rPr>
          <w:rFonts w:cstheme="minorHAnsi"/>
        </w:rPr>
      </w:pPr>
      <w:r w:rsidRPr="00962BB9">
        <w:rPr>
          <w:rFonts w:cstheme="minorHAnsi"/>
        </w:rPr>
        <w:t>•</w:t>
      </w:r>
      <w:r w:rsidRPr="00962BB9">
        <w:rPr>
          <w:rFonts w:cstheme="minorHAnsi"/>
        </w:rPr>
        <w:tab/>
      </w:r>
      <w:r w:rsidRPr="00962BB9">
        <w:rPr>
          <w:rFonts w:cstheme="minorHAnsi"/>
        </w:rPr>
        <w:t>Input, analyze, and maintain data in the Enforcement and Compliance History Online (ECHO) and ICIS.</w:t>
      </w:r>
    </w:p>
    <w:p w:rsidR="00454A34" w:rsidRPr="00962BB9" w:rsidP="00962BB9" w14:paraId="24EEDCBD" w14:textId="77777777">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454A34" w:rsidRPr="00962BB9" w:rsidP="00962BB9" w14:paraId="7A970F48"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454A34" w:rsidRPr="00163C69" w:rsidP="00854AAE" w14:paraId="10322815" w14:textId="77777777">
      <w:pPr>
        <w:spacing w:before="120" w:after="0"/>
        <w:rPr>
          <w:rFonts w:cstheme="minorHAnsi"/>
          <w:b/>
          <w:bCs/>
        </w:rPr>
      </w:pPr>
      <w:r w:rsidRPr="00163C69">
        <w:rPr>
          <w:rFonts w:eastAsiaTheme="majorEastAsia" w:cstheme="minorHAnsi"/>
          <w:b/>
          <w:bCs/>
        </w:rPr>
        <w:t>14b. Agency Labor Cost</w:t>
      </w:r>
    </w:p>
    <w:p w:rsidR="00454A34" w:rsidRPr="00314125" w:rsidP="000069AF" w14:paraId="6F3868E5" w14:textId="57895C27">
      <w:pPr>
        <w:pBdr>
          <w:top w:val="single" w:sz="6" w:space="0" w:color="FFFFFF"/>
          <w:left w:val="single" w:sz="6" w:space="0" w:color="FFFFFF"/>
          <w:bottom w:val="single" w:sz="6" w:space="0" w:color="FFFFFF"/>
          <w:right w:val="single" w:sz="6" w:space="0" w:color="FFFFFF"/>
        </w:pBdr>
        <w:spacing w:before="60"/>
        <w:rPr>
          <w:rFonts w:cstheme="minorHAnsi"/>
        </w:rPr>
      </w:pPr>
      <w:r w:rsidRPr="000069AF">
        <w:rPr>
          <w:rFonts w:cstheme="minorHAnsi"/>
          <w:color w:val="000000"/>
        </w:rPr>
        <w:t xml:space="preserve">The ‘burden’ to the Federal Government is attributed entirely to work performed by either Federal employees or government contractors. The only costs </w:t>
      </w:r>
      <w:r w:rsidRPr="000069AF">
        <w:rPr>
          <w:rFonts w:cstheme="minorHAnsi"/>
          <w:color w:val="000000"/>
        </w:rPr>
        <w:t>to</w:t>
      </w:r>
      <w:r w:rsidRPr="000069AF">
        <w:rPr>
          <w:rFonts w:cstheme="minorHAnsi"/>
          <w:color w:val="000000"/>
        </w:rPr>
        <w:t xml:space="preserve">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w:t>
      </w:r>
      <w:r w:rsidRPr="000069AF">
        <w:rPr>
          <w:rFonts w:cstheme="minorHAnsi"/>
          <w:color w:val="000000"/>
        </w:rPr>
        <w:t xml:space="preserve">Agency burden and cost during the three years of the ICR is estimated to be </w:t>
      </w:r>
      <w:r w:rsidRPr="00071CD7" w:rsidR="009D3724">
        <w:rPr>
          <w:rFonts w:cstheme="minorHAnsi"/>
        </w:rPr>
        <w:t>2</w:t>
      </w:r>
      <w:r w:rsidRPr="00071CD7" w:rsidR="00EB7203">
        <w:rPr>
          <w:rFonts w:cstheme="minorHAnsi"/>
        </w:rPr>
        <w:t>94</w:t>
      </w:r>
      <w:r w:rsidRPr="00071CD7">
        <w:rPr>
          <w:rFonts w:cstheme="minorHAnsi"/>
        </w:rPr>
        <w:t xml:space="preserve"> hours at a cost of $</w:t>
      </w:r>
      <w:r w:rsidRPr="00071CD7" w:rsidR="00EB7203">
        <w:rPr>
          <w:rFonts w:cstheme="minorHAnsi"/>
        </w:rPr>
        <w:t>16</w:t>
      </w:r>
      <w:r w:rsidRPr="00071CD7" w:rsidR="000071E5">
        <w:rPr>
          <w:rFonts w:cstheme="minorHAnsi"/>
        </w:rPr>
        <w:t>,</w:t>
      </w:r>
      <w:r w:rsidRPr="00071CD7" w:rsidR="00EB7203">
        <w:rPr>
          <w:rFonts w:cstheme="minorHAnsi"/>
        </w:rPr>
        <w:t>4</w:t>
      </w:r>
      <w:r w:rsidRPr="00071CD7" w:rsidR="000071E5">
        <w:rPr>
          <w:rFonts w:cstheme="minorHAnsi"/>
        </w:rPr>
        <w:t>00</w:t>
      </w:r>
      <w:r w:rsidRPr="00071CD7">
        <w:rPr>
          <w:rFonts w:cstheme="minorHAnsi"/>
        </w:rPr>
        <w:t>.</w:t>
      </w:r>
      <w:r w:rsidRPr="000069AF">
        <w:rPr>
          <w:rFonts w:cstheme="minorHAnsi"/>
          <w:color w:val="000000"/>
        </w:rPr>
        <w:t xml:space="preserve"> See Table 2: Average Annual EPA Burden and Cost</w:t>
      </w:r>
      <w:r w:rsidRPr="00181615">
        <w:rPr>
          <w:rFonts w:cstheme="minorHAnsi"/>
        </w:rPr>
        <w:t xml:space="preserve"> – </w:t>
      </w:r>
      <w:r w:rsidRPr="00181615">
        <w:rPr>
          <w:rFonts w:cstheme="minorHAnsi"/>
          <w:noProof/>
        </w:rPr>
        <w:t>NESHAP for Refractory Products Manufacturing (40 CFR Part 63, Subpart SSSSS) (Renewal)</w:t>
      </w:r>
      <w:r w:rsidRPr="00181615">
        <w:rPr>
          <w:rFonts w:cstheme="minorHAnsi"/>
        </w:rPr>
        <w:t>.</w:t>
      </w:r>
    </w:p>
    <w:p w:rsidR="00454A34" w:rsidRPr="000069AF" w:rsidP="000069AF" w14:paraId="621D0D0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454A34" w:rsidP="435E80BA" w14:paraId="0F89BEDB" w14:textId="77777777">
      <w:pPr>
        <w:pBdr>
          <w:top w:val="single" w:sz="6" w:space="0" w:color="FFFFFF"/>
          <w:left w:val="single" w:sz="6" w:space="0" w:color="FFFFFF"/>
          <w:bottom w:val="single" w:sz="6" w:space="0" w:color="FFFFFF"/>
          <w:right w:val="single" w:sz="6" w:space="0" w:color="FFFFFF"/>
        </w:pBdr>
        <w:spacing w:before="60"/>
        <w:rPr>
          <w:color w:val="000000"/>
        </w:rPr>
      </w:pPr>
      <w:r w:rsidRPr="000069AF">
        <w:rPr>
          <w:rFonts w:cstheme="minorHAnsi"/>
          <w:color w:val="000000"/>
        </w:rPr>
        <w:tab/>
      </w:r>
      <w:r w:rsidRPr="000069AF">
        <w:rPr>
          <w:rFonts w:cstheme="minorHAnsi"/>
          <w:color w:val="000000"/>
        </w:rPr>
        <w:tab/>
      </w:r>
      <w:r w:rsidRPr="435E80BA">
        <w:rPr>
          <w:color w:val="000000"/>
        </w:rPr>
        <w:t>Managerial</w:t>
      </w:r>
      <w:r w:rsidRPr="000069AF">
        <w:rPr>
          <w:rFonts w:cstheme="minorHAnsi"/>
          <w:color w:val="000000"/>
        </w:rPr>
        <w:tab/>
      </w:r>
      <w:r w:rsidRPr="435E80BA">
        <w:rPr>
          <w:color w:val="000000"/>
        </w:rPr>
        <w:t>$76.91 (GS-13, Step 5, $48.07 + 60%)</w:t>
      </w:r>
    </w:p>
    <w:p w:rsidR="00454A34" w:rsidP="000069AF" w14:paraId="326B8DF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r>
      <w:r w:rsidRPr="000069AF">
        <w:rPr>
          <w:rFonts w:cstheme="minorHAnsi"/>
          <w:color w:val="000000"/>
        </w:rPr>
        <w:t>Technical</w:t>
      </w:r>
      <w:r w:rsidRPr="000069AF">
        <w:rPr>
          <w:rFonts w:cstheme="minorHAnsi"/>
          <w:color w:val="000000"/>
        </w:rPr>
        <w:tab/>
      </w:r>
      <w:r w:rsidRPr="000069AF">
        <w:rPr>
          <w:rFonts w:cstheme="minorHAnsi"/>
          <w:color w:val="000000"/>
        </w:rPr>
        <w:t>$</w:t>
      </w:r>
      <w:r w:rsidRPr="00BF6C47">
        <w:rPr>
          <w:rFonts w:cstheme="minorHAnsi"/>
          <w:color w:val="000000"/>
        </w:rPr>
        <w:t>57.07 (GS-12, Step 1, $35.67 + 60%)</w:t>
      </w:r>
    </w:p>
    <w:p w:rsidR="00454A34" w:rsidRPr="000069AF" w:rsidP="000069AF" w14:paraId="6331C4E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r>
      <w:r w:rsidRPr="000069AF">
        <w:rPr>
          <w:rFonts w:cstheme="minorHAnsi"/>
          <w:color w:val="000000"/>
        </w:rPr>
        <w:t>Clerical</w:t>
      </w:r>
      <w:r w:rsidRPr="000069AF">
        <w:rPr>
          <w:rFonts w:cstheme="minorHAnsi"/>
          <w:color w:val="000000"/>
        </w:rPr>
        <w:tab/>
      </w:r>
      <w:r w:rsidRPr="000069AF">
        <w:rPr>
          <w:rFonts w:cstheme="minorHAnsi"/>
          <w:color w:val="000000"/>
        </w:rPr>
        <w:tab/>
      </w:r>
      <w:r w:rsidRPr="000069AF">
        <w:rPr>
          <w:rFonts w:cstheme="minorHAnsi"/>
          <w:color w:val="000000"/>
        </w:rPr>
        <w:t>$</w:t>
      </w:r>
      <w:r w:rsidRPr="00E30153">
        <w:rPr>
          <w:rFonts w:cstheme="minorHAnsi"/>
          <w:color w:val="000000"/>
        </w:rPr>
        <w:t>30.88 (GS-6, Step 3, $19.30+ 60%)</w:t>
      </w:r>
    </w:p>
    <w:p w:rsidR="00454A34" w:rsidRPr="000069AF" w:rsidP="000069AF" w14:paraId="075B7DA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454A34" w:rsidRPr="000069AF" w:rsidP="000069AF" w14:paraId="5BF132A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xml:space="preserve">. Details upon which this estimate is based appear at the end of this document in Table 2: Average Annual EPA Burden </w:t>
      </w:r>
      <w:r w:rsidRPr="000071E5">
        <w:rPr>
          <w:rFonts w:cstheme="minorHAnsi"/>
          <w:color w:val="000000"/>
        </w:rPr>
        <w:t>and Cost –</w:t>
      </w:r>
      <w:r w:rsidRPr="000071E5">
        <w:rPr>
          <w:rFonts w:cstheme="minorHAnsi"/>
          <w:noProof/>
          <w:color w:val="000000"/>
        </w:rPr>
        <w:t>NESHAP for Refractory Products Manufacturing (40 CFR Part 63, Subpart SSSSS) (Renewal)</w:t>
      </w:r>
      <w:r w:rsidRPr="000071E5">
        <w:rPr>
          <w:rFonts w:cstheme="minorHAnsi"/>
          <w:color w:val="000000"/>
        </w:rPr>
        <w:t>.</w:t>
      </w:r>
    </w:p>
    <w:p w:rsidR="00454A34" w:rsidRPr="00163C69" w:rsidP="00854AAE" w14:paraId="4F323F70" w14:textId="77777777">
      <w:pPr>
        <w:spacing w:before="120" w:after="0"/>
        <w:rPr>
          <w:rFonts w:cstheme="minorHAnsi"/>
          <w:b/>
          <w:bCs/>
        </w:rPr>
      </w:pPr>
      <w:r w:rsidRPr="00163C69">
        <w:rPr>
          <w:rFonts w:eastAsiaTheme="majorEastAsia" w:cstheme="minorHAnsi"/>
          <w:b/>
          <w:bCs/>
        </w:rPr>
        <w:t>14c. Agency Non-Labor Costs</w:t>
      </w:r>
    </w:p>
    <w:p w:rsidR="00454A34" w:rsidRPr="00BB3410" w:rsidP="00854AAE" w14:paraId="55B879B0" w14:textId="77777777">
      <w:pPr>
        <w:spacing w:before="60"/>
        <w:rPr>
          <w:rFonts w:cstheme="minorHAnsi"/>
        </w:rPr>
      </w:pPr>
      <w:r w:rsidRPr="00731652">
        <w:rPr>
          <w:rFonts w:cstheme="minorHAnsi"/>
        </w:rPr>
        <w:t xml:space="preserve">There </w:t>
      </w:r>
      <w:r w:rsidRPr="00731652">
        <w:rPr>
          <w:rFonts w:cstheme="minorHAnsi"/>
        </w:rPr>
        <w:t>are</w:t>
      </w:r>
      <w:r w:rsidRPr="00731652">
        <w:rPr>
          <w:rFonts w:cstheme="minorHAnsi"/>
        </w:rPr>
        <w:t xml:space="preserve"> no non-labor costs to the Agency associated with this information collection.</w:t>
      </w:r>
    </w:p>
    <w:p w:rsidR="00454A34" w:rsidRPr="00A737D8" w:rsidP="4BDBF0A0" w14:paraId="21213227" w14:textId="77777777">
      <w:pPr>
        <w:pStyle w:val="ListParagraph"/>
        <w:numPr>
          <w:ilvl w:val="0"/>
          <w:numId w:val="27"/>
        </w:numPr>
        <w:spacing w:before="240" w:after="0"/>
        <w:rPr>
          <w:b/>
          <w:bCs/>
        </w:rPr>
      </w:pPr>
      <w:r w:rsidRPr="00A737D8">
        <w:rPr>
          <w:b/>
          <w:bCs/>
        </w:rPr>
        <w:t xml:space="preserve">REASONS FOR </w:t>
      </w:r>
      <w:r w:rsidRPr="00A737D8">
        <w:rPr>
          <w:b/>
          <w:bCs/>
        </w:rPr>
        <w:t>CHANGE</w:t>
      </w:r>
      <w:r w:rsidRPr="00A737D8">
        <w:rPr>
          <w:b/>
          <w:bCs/>
        </w:rPr>
        <w:t xml:space="preserve"> IN BURDEN</w:t>
      </w:r>
    </w:p>
    <w:p w:rsidR="00454A34" w:rsidRPr="001F0834" w:rsidP="00854AAE" w14:paraId="118DB426"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8D3C47" w:rsidRPr="00660033" w:rsidP="00F97CD0" w14:paraId="4B1DB361" w14:textId="3D459957">
      <w:bookmarkStart w:id="1" w:name="_Hlk90214317"/>
      <w:r w:rsidRPr="00660033">
        <w:t>There is an adjustment increase in the total estimated burden as currently identified in the OMB Inventory of Approved Burdens. The change in the burden and cost estimates is due to a correction of the estimated person-</w:t>
      </w:r>
      <w:r w:rsidRPr="00660033">
        <w:t>hours</w:t>
      </w:r>
      <w:r w:rsidRPr="00660033">
        <w:t xml:space="preserve"> per occurrence and number of respondents per year for performance tests and reports. These estimates were updated in this ICR renewal based on </w:t>
      </w:r>
      <w:r>
        <w:t>information provided by</w:t>
      </w:r>
      <w:r w:rsidRPr="00660033">
        <w:t xml:space="preserve"> industry </w:t>
      </w:r>
      <w:r>
        <w:t xml:space="preserve">through </w:t>
      </w:r>
      <w:r w:rsidRPr="00660033">
        <w:t>consultation</w:t>
      </w:r>
      <w:r w:rsidR="00BF3FC1">
        <w:t xml:space="preserve"> as described in </w:t>
      </w:r>
      <w:r w:rsidR="00BE3539">
        <w:t>s</w:t>
      </w:r>
      <w:r w:rsidR="00BF3FC1">
        <w:t>ection 8 above</w:t>
      </w:r>
      <w:r w:rsidRPr="00660033">
        <w:t xml:space="preserve">. Additionally, the cost estimates increased due to the use of updated labor rates from the United States Department of Labor, Bureau of Labor Statistics from </w:t>
      </w:r>
      <w:r>
        <w:t>December 2023</w:t>
      </w:r>
      <w:r w:rsidRPr="00660033">
        <w:t xml:space="preserve">. The increase in burden and cost estimates was offset somewhat by corrections to remove burden and costs associated with notifications and reports of alternative fuel use. The rule does not allow alternative fuel use after November 19, 2021. The overall result is an increase in </w:t>
      </w:r>
      <w:r w:rsidRPr="00660033">
        <w:t>burden</w:t>
      </w:r>
      <w:r w:rsidRPr="00660033">
        <w:t xml:space="preserve"> hours and costs.</w:t>
      </w:r>
    </w:p>
    <w:p w:rsidR="008D3C47" w:rsidRPr="00BD1095" w:rsidP="00BE3539" w14:paraId="7AC8529A" w14:textId="343A2B4A">
      <w:pPr>
        <w:pBdr>
          <w:top w:val="single" w:sz="6" w:space="0" w:color="FFFFFF"/>
          <w:left w:val="single" w:sz="6" w:space="0" w:color="FFFFFF"/>
          <w:bottom w:val="single" w:sz="6" w:space="0" w:color="FFFFFF"/>
          <w:right w:val="single" w:sz="6" w:space="0" w:color="FFFFFF"/>
        </w:pBdr>
      </w:pPr>
      <w:r w:rsidRPr="00660033">
        <w:t xml:space="preserve">There is an increase in the capital/startup and operation and </w:t>
      </w:r>
      <w:r w:rsidRPr="00660033">
        <w:t>maintenance (O&amp;M)</w:t>
      </w:r>
      <w:r w:rsidRPr="00660033">
        <w:t xml:space="preserve"> costs as calculated in section </w:t>
      </w:r>
      <w:r w:rsidR="00D71E06">
        <w:t>13</w:t>
      </w:r>
      <w:r w:rsidRPr="00660033">
        <w:t xml:space="preserve"> compared with the costs in the previous ICR. The increase is due to </w:t>
      </w:r>
      <w:r w:rsidR="005B43B1">
        <w:t xml:space="preserve">cost increases </w:t>
      </w:r>
      <w:r w:rsidR="00006BE6">
        <w:t xml:space="preserve">from updating the CEPCI index to the 2023 index and </w:t>
      </w:r>
      <w:r w:rsidRPr="00660033">
        <w:t xml:space="preserve">corrections to the estimated costs for performance tests. The corrections are based on </w:t>
      </w:r>
      <w:r>
        <w:t>information provided by</w:t>
      </w:r>
      <w:r w:rsidRPr="00660033">
        <w:t xml:space="preserve"> industry </w:t>
      </w:r>
      <w:r>
        <w:t xml:space="preserve">through </w:t>
      </w:r>
      <w:r w:rsidRPr="00660033">
        <w:t>consultation</w:t>
      </w:r>
      <w:r w:rsidR="00043E32">
        <w:t xml:space="preserve"> as described in </w:t>
      </w:r>
      <w:r w:rsidR="00CB207C">
        <w:t>section 8 above</w:t>
      </w:r>
      <w:r w:rsidRPr="00660033">
        <w:t>.</w:t>
      </w:r>
      <w:bookmarkEnd w:id="1"/>
    </w:p>
    <w:p w:rsidR="00454A34" w:rsidRPr="00163C69" w:rsidP="4BDBF0A0" w14:paraId="0C4E2EAB" w14:textId="77777777">
      <w:pPr>
        <w:pStyle w:val="ListParagraph"/>
        <w:numPr>
          <w:ilvl w:val="0"/>
          <w:numId w:val="27"/>
        </w:numPr>
        <w:spacing w:before="240" w:after="0"/>
        <w:rPr>
          <w:b/>
          <w:bCs/>
        </w:rPr>
      </w:pPr>
      <w:r w:rsidRPr="4BDBF0A0">
        <w:rPr>
          <w:b/>
          <w:bCs/>
        </w:rPr>
        <w:t xml:space="preserve">PUBLICATION OF </w:t>
      </w:r>
      <w:r>
        <w:rPr>
          <w:b/>
          <w:bCs/>
        </w:rPr>
        <w:t>DATA</w:t>
      </w:r>
    </w:p>
    <w:p w:rsidR="00454A34" w:rsidRPr="001F0834" w:rsidP="00854AAE" w14:paraId="2E611B22" w14:textId="77777777">
      <w:pPr>
        <w:pBdr>
          <w:bottom w:val="single" w:sz="12" w:space="1" w:color="auto"/>
        </w:pBdr>
        <w:spacing w:before="60"/>
        <w:rPr>
          <w:rFonts w:cstheme="minorHAnsi"/>
          <w:bCs/>
          <w:i/>
          <w:iCs/>
        </w:rPr>
      </w:pPr>
      <w:r w:rsidRPr="001F0834">
        <w:rPr>
          <w:rFonts w:cstheme="minorHAnsi"/>
          <w:bCs/>
          <w:i/>
          <w:iCs/>
        </w:rPr>
        <w:t xml:space="preserve">For collections of information whose results will be published, outline plans for tabulation and publication. Address any complex analytical techniques that will be used. Provide the time schedule for </w:t>
      </w:r>
      <w:r w:rsidRPr="001F0834">
        <w:rPr>
          <w:rFonts w:cstheme="minorHAnsi"/>
          <w:bCs/>
          <w:i/>
          <w:iCs/>
        </w:rPr>
        <w:t>the entire project, including beginning and ending dates of the collection of information, completion of report, publication dates, and other actions.</w:t>
      </w:r>
    </w:p>
    <w:p w:rsidR="00454A34" w:rsidRPr="000C21A3" w:rsidP="007F11C3" w14:paraId="5E5AA5FD" w14:textId="3273EB02">
      <w:pPr>
        <w:pBdr>
          <w:top w:val="single" w:sz="6" w:space="0" w:color="FFFFFF"/>
          <w:left w:val="single" w:sz="6" w:space="0" w:color="FFFFFF"/>
          <w:bottom w:val="single" w:sz="6" w:space="0" w:color="FFFFFF"/>
          <w:right w:val="single" w:sz="6" w:space="0" w:color="FFFFFF"/>
        </w:pBdr>
        <w:rPr>
          <w:color w:val="FF0000"/>
        </w:rPr>
      </w:pPr>
      <w:r w:rsidRPr="007025A2">
        <w:t xml:space="preserve">All non-CBI data submitted electronically to the Agency through CEDRI </w:t>
      </w:r>
      <w:r w:rsidRPr="007025A2">
        <w:t>are</w:t>
      </w:r>
      <w:r w:rsidRPr="007025A2">
        <w:t xml:space="preserve"> available to the public for review and printing and are accessible using </w:t>
      </w:r>
      <w:r w:rsidRPr="007025A2">
        <w:t>WebFIRE</w:t>
      </w:r>
      <w:r w:rsidRPr="007025A2">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454A34" w:rsidRPr="00163C69" w:rsidP="4BDBF0A0" w14:paraId="569ED56B" w14:textId="77777777">
      <w:pPr>
        <w:pStyle w:val="ListParagraph"/>
        <w:numPr>
          <w:ilvl w:val="0"/>
          <w:numId w:val="27"/>
        </w:numPr>
        <w:spacing w:before="240" w:after="0"/>
        <w:rPr>
          <w:b/>
          <w:bCs/>
        </w:rPr>
      </w:pPr>
      <w:r w:rsidRPr="4BDBF0A0">
        <w:rPr>
          <w:b/>
          <w:bCs/>
        </w:rPr>
        <w:t xml:space="preserve">DISPLAY OF EXPIRATION DATE </w:t>
      </w:r>
    </w:p>
    <w:p w:rsidR="00454A34" w:rsidRPr="00F532D6" w:rsidP="00854AAE" w14:paraId="266E430A"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454A34" w:rsidRPr="00632312" w:rsidP="00854AAE" w14:paraId="6F0E8FF3" w14:textId="77777777">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454A34" w:rsidRPr="00163C69" w:rsidP="00854AAE" w14:paraId="1CB55BC2" w14:textId="77777777">
      <w:pPr>
        <w:pStyle w:val="ListParagraph"/>
        <w:numPr>
          <w:ilvl w:val="0"/>
          <w:numId w:val="27"/>
        </w:numPr>
        <w:spacing w:before="240" w:after="0"/>
        <w:rPr>
          <w:rFonts w:cstheme="minorHAnsi"/>
          <w:b/>
          <w:bCs/>
        </w:rPr>
      </w:pPr>
      <w:r w:rsidRPr="00163C69">
        <w:rPr>
          <w:rFonts w:cstheme="minorHAnsi"/>
          <w:b/>
          <w:bCs/>
        </w:rPr>
        <w:t>CERTIFICATION STATEMENT</w:t>
      </w:r>
    </w:p>
    <w:p w:rsidR="00454A34" w:rsidRPr="001F0834" w:rsidP="00854AAE" w14:paraId="748DEC54"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454A34" w:rsidRPr="00006BE6" w:rsidP="00006BE6" w14:paraId="6574835E" w14:textId="7F81F731">
      <w:pPr>
        <w:pBdr>
          <w:top w:val="single" w:sz="6" w:space="0" w:color="FFFFFF"/>
          <w:left w:val="single" w:sz="6" w:space="0" w:color="FFFFFF"/>
          <w:bottom w:val="single" w:sz="6" w:space="0" w:color="FFFFFF"/>
          <w:right w:val="single" w:sz="6" w:space="0" w:color="FFFFFF"/>
        </w:pBdr>
        <w:sectPr w:rsidSect="00454A34">
          <w:footerReference w:type="default" r:id="rId10"/>
          <w:pgSz w:w="12240" w:h="15840" w:orient="portrait"/>
          <w:pgMar w:top="1440" w:right="1440" w:bottom="1440" w:left="1440" w:header="720" w:footer="720" w:gutter="0"/>
          <w:pgNumType w:start="1"/>
          <w:cols w:space="720"/>
          <w:docGrid w:linePitch="360"/>
        </w:sectPr>
      </w:pPr>
      <w:r w:rsidRPr="003C16BD">
        <w:t>There are no exceptions to the topics of the certification statement.</w:t>
      </w:r>
      <w:r w:rsidRPr="00BB3410">
        <w:rPr>
          <w:rStyle w:val="normaltextrun"/>
          <w:rFonts w:cstheme="minorHAnsi"/>
          <w:color w:val="000000"/>
          <w:shd w:val="clear" w:color="auto" w:fill="FFFFFF"/>
        </w:rPr>
        <w:br w:type="page"/>
      </w:r>
    </w:p>
    <w:p w:rsidR="00EE3E02" w:rsidRPr="0044373B" w:rsidP="0044373B" w14:paraId="72E1CB09" w14:textId="69A391AB">
      <w:pPr>
        <w:spacing w:before="240"/>
        <w:rPr>
          <w:rFonts w:cstheme="minorHAnsi"/>
          <w:b/>
          <w:bCs/>
          <w:noProof/>
          <w:sz w:val="24"/>
          <w:szCs w:val="24"/>
        </w:rPr>
      </w:pPr>
      <w:r w:rsidRPr="001641AA">
        <w:rPr>
          <w:rFonts w:cstheme="minorHAnsi"/>
          <w:b/>
          <w:bCs/>
          <w:sz w:val="24"/>
          <w:szCs w:val="24"/>
        </w:rPr>
        <w:t xml:space="preserve">Table 1: Annual Respondent Burden and Cost </w:t>
      </w:r>
      <w:r w:rsidRPr="001D4D5C">
        <w:rPr>
          <w:rFonts w:cstheme="minorHAnsi"/>
          <w:b/>
          <w:bCs/>
          <w:sz w:val="24"/>
          <w:szCs w:val="24"/>
        </w:rPr>
        <w:t xml:space="preserve">– </w:t>
      </w:r>
      <w:r w:rsidRPr="001D4D5C">
        <w:rPr>
          <w:rFonts w:cstheme="minorHAnsi"/>
          <w:b/>
          <w:bCs/>
          <w:noProof/>
          <w:sz w:val="24"/>
          <w:szCs w:val="24"/>
        </w:rPr>
        <w:t>NESHAP for Refractory Products Manufacturing (40 CFR Part 63, Subpart SSSSS) (Renewal</w:t>
      </w:r>
      <w:r w:rsidR="0044373B">
        <w:rPr>
          <w:rFonts w:cstheme="minorHAnsi"/>
          <w:b/>
          <w:bCs/>
          <w:noProof/>
          <w:sz w:val="24"/>
          <w:szCs w:val="24"/>
        </w:rPr>
        <w:t>)</w:t>
      </w:r>
    </w:p>
    <w:tbl>
      <w:tblPr>
        <w:tblW w:w="14125" w:type="dxa"/>
        <w:jc w:val="center"/>
        <w:tblLook w:val="04A0"/>
      </w:tblPr>
      <w:tblGrid>
        <w:gridCol w:w="3685"/>
        <w:gridCol w:w="1260"/>
        <w:gridCol w:w="1440"/>
        <w:gridCol w:w="1530"/>
        <w:gridCol w:w="1306"/>
        <w:gridCol w:w="1304"/>
        <w:gridCol w:w="1350"/>
        <w:gridCol w:w="1170"/>
        <w:gridCol w:w="1080"/>
      </w:tblGrid>
      <w:tr w14:paraId="682BE267" w14:textId="77777777">
        <w:tblPrEx>
          <w:tblW w:w="14125" w:type="dxa"/>
          <w:jc w:val="center"/>
          <w:tblLook w:val="04A0"/>
        </w:tblPrEx>
        <w:trPr>
          <w:trHeight w:val="315"/>
          <w:jc w:val="center"/>
        </w:trPr>
        <w:tc>
          <w:tcPr>
            <w:tcW w:w="3685" w:type="dxa"/>
            <w:tcBorders>
              <w:top w:val="single" w:sz="4" w:space="0" w:color="auto"/>
              <w:left w:val="single" w:sz="4" w:space="0" w:color="auto"/>
              <w:bottom w:val="nil"/>
              <w:right w:val="single" w:sz="4" w:space="0" w:color="auto"/>
            </w:tcBorders>
            <w:shd w:val="clear" w:color="auto" w:fill="auto"/>
            <w:vAlign w:val="bottom"/>
            <w:hideMark/>
          </w:tcPr>
          <w:p w:rsidR="00EE3E02" w:rsidRPr="00113664" w14:paraId="5B371B65" w14:textId="77777777">
            <w:pPr>
              <w:rPr>
                <w:b/>
                <w:bCs/>
                <w:color w:val="000000"/>
                <w:sz w:val="20"/>
                <w:szCs w:val="20"/>
              </w:rPr>
            </w:pPr>
            <w:r w:rsidRPr="00113664">
              <w:rPr>
                <w:b/>
                <w:bCs/>
                <w:color w:val="000000"/>
                <w:sz w:val="20"/>
                <w:szCs w:val="20"/>
              </w:rPr>
              <w:t>Burden item</w:t>
            </w:r>
          </w:p>
        </w:tc>
        <w:tc>
          <w:tcPr>
            <w:tcW w:w="1260" w:type="dxa"/>
            <w:tcBorders>
              <w:top w:val="single" w:sz="4" w:space="0" w:color="auto"/>
              <w:left w:val="nil"/>
              <w:bottom w:val="nil"/>
              <w:right w:val="single" w:sz="4" w:space="0" w:color="auto"/>
            </w:tcBorders>
            <w:shd w:val="clear" w:color="auto" w:fill="auto"/>
            <w:vAlign w:val="bottom"/>
            <w:hideMark/>
          </w:tcPr>
          <w:p w:rsidR="00EE3E02" w:rsidRPr="00113664" w14:paraId="6C22C6BC" w14:textId="77777777">
            <w:pPr>
              <w:jc w:val="center"/>
              <w:rPr>
                <w:b/>
                <w:bCs/>
                <w:color w:val="000000"/>
                <w:sz w:val="20"/>
                <w:szCs w:val="20"/>
              </w:rPr>
            </w:pPr>
            <w:r w:rsidRPr="00113664">
              <w:rPr>
                <w:b/>
                <w:bCs/>
                <w:color w:val="000000"/>
                <w:sz w:val="20"/>
                <w:szCs w:val="20"/>
              </w:rPr>
              <w:t>(A)</w:t>
            </w:r>
          </w:p>
        </w:tc>
        <w:tc>
          <w:tcPr>
            <w:tcW w:w="1440" w:type="dxa"/>
            <w:tcBorders>
              <w:top w:val="single" w:sz="4" w:space="0" w:color="auto"/>
              <w:left w:val="nil"/>
              <w:bottom w:val="nil"/>
              <w:right w:val="single" w:sz="4" w:space="0" w:color="auto"/>
            </w:tcBorders>
            <w:shd w:val="clear" w:color="auto" w:fill="auto"/>
            <w:vAlign w:val="bottom"/>
            <w:hideMark/>
          </w:tcPr>
          <w:p w:rsidR="00EE3E02" w:rsidRPr="00113664" w14:paraId="0D2EFA5C" w14:textId="77777777">
            <w:pPr>
              <w:jc w:val="center"/>
              <w:rPr>
                <w:b/>
                <w:bCs/>
                <w:color w:val="000000"/>
                <w:sz w:val="20"/>
                <w:szCs w:val="20"/>
              </w:rPr>
            </w:pPr>
            <w:r w:rsidRPr="00113664">
              <w:rPr>
                <w:b/>
                <w:bCs/>
                <w:color w:val="000000"/>
                <w:sz w:val="20"/>
                <w:szCs w:val="20"/>
              </w:rPr>
              <w:t>(B)</w:t>
            </w:r>
          </w:p>
        </w:tc>
        <w:tc>
          <w:tcPr>
            <w:tcW w:w="1530" w:type="dxa"/>
            <w:tcBorders>
              <w:top w:val="single" w:sz="4" w:space="0" w:color="auto"/>
              <w:left w:val="nil"/>
              <w:bottom w:val="nil"/>
              <w:right w:val="single" w:sz="4" w:space="0" w:color="auto"/>
            </w:tcBorders>
            <w:shd w:val="clear" w:color="auto" w:fill="auto"/>
            <w:vAlign w:val="bottom"/>
            <w:hideMark/>
          </w:tcPr>
          <w:p w:rsidR="00EE3E02" w:rsidRPr="00113664" w14:paraId="5E4749CD" w14:textId="77777777">
            <w:pPr>
              <w:jc w:val="center"/>
              <w:rPr>
                <w:b/>
                <w:bCs/>
                <w:color w:val="000000"/>
                <w:sz w:val="20"/>
                <w:szCs w:val="20"/>
              </w:rPr>
            </w:pPr>
            <w:r w:rsidRPr="00113664">
              <w:rPr>
                <w:b/>
                <w:bCs/>
                <w:color w:val="000000"/>
                <w:sz w:val="20"/>
                <w:szCs w:val="20"/>
              </w:rPr>
              <w:t>(C)</w:t>
            </w:r>
          </w:p>
        </w:tc>
        <w:tc>
          <w:tcPr>
            <w:tcW w:w="1306" w:type="dxa"/>
            <w:tcBorders>
              <w:top w:val="single" w:sz="4" w:space="0" w:color="auto"/>
              <w:left w:val="nil"/>
              <w:bottom w:val="nil"/>
              <w:right w:val="single" w:sz="4" w:space="0" w:color="auto"/>
            </w:tcBorders>
            <w:shd w:val="clear" w:color="auto" w:fill="auto"/>
            <w:vAlign w:val="bottom"/>
            <w:hideMark/>
          </w:tcPr>
          <w:p w:rsidR="00EE3E02" w:rsidRPr="00113664" w14:paraId="6FE72805" w14:textId="77777777">
            <w:pPr>
              <w:jc w:val="center"/>
              <w:rPr>
                <w:b/>
                <w:bCs/>
                <w:color w:val="000000"/>
                <w:sz w:val="20"/>
                <w:szCs w:val="20"/>
              </w:rPr>
            </w:pPr>
            <w:r w:rsidRPr="00113664">
              <w:rPr>
                <w:b/>
                <w:bCs/>
                <w:color w:val="000000"/>
                <w:sz w:val="20"/>
                <w:szCs w:val="20"/>
              </w:rPr>
              <w:t>(D)</w:t>
            </w:r>
          </w:p>
        </w:tc>
        <w:tc>
          <w:tcPr>
            <w:tcW w:w="1304" w:type="dxa"/>
            <w:tcBorders>
              <w:top w:val="single" w:sz="4" w:space="0" w:color="auto"/>
              <w:left w:val="nil"/>
              <w:bottom w:val="nil"/>
              <w:right w:val="single" w:sz="4" w:space="0" w:color="auto"/>
            </w:tcBorders>
            <w:shd w:val="clear" w:color="auto" w:fill="auto"/>
            <w:vAlign w:val="bottom"/>
            <w:hideMark/>
          </w:tcPr>
          <w:p w:rsidR="00EE3E02" w:rsidRPr="00113664" w14:paraId="11F72CE6" w14:textId="77777777">
            <w:pPr>
              <w:jc w:val="center"/>
              <w:rPr>
                <w:b/>
                <w:bCs/>
                <w:color w:val="000000"/>
                <w:sz w:val="20"/>
                <w:szCs w:val="20"/>
              </w:rPr>
            </w:pPr>
            <w:r w:rsidRPr="00113664">
              <w:rPr>
                <w:b/>
                <w:bCs/>
                <w:color w:val="000000"/>
                <w:sz w:val="20"/>
                <w:szCs w:val="20"/>
              </w:rPr>
              <w:t>(E)</w:t>
            </w:r>
          </w:p>
        </w:tc>
        <w:tc>
          <w:tcPr>
            <w:tcW w:w="1350" w:type="dxa"/>
            <w:tcBorders>
              <w:top w:val="single" w:sz="4" w:space="0" w:color="auto"/>
              <w:left w:val="nil"/>
              <w:bottom w:val="nil"/>
              <w:right w:val="single" w:sz="4" w:space="0" w:color="auto"/>
            </w:tcBorders>
            <w:shd w:val="clear" w:color="auto" w:fill="auto"/>
            <w:vAlign w:val="bottom"/>
            <w:hideMark/>
          </w:tcPr>
          <w:p w:rsidR="00EE3E02" w:rsidRPr="00113664" w14:paraId="52822861" w14:textId="77777777">
            <w:pPr>
              <w:jc w:val="center"/>
              <w:rPr>
                <w:b/>
                <w:bCs/>
                <w:color w:val="000000"/>
                <w:sz w:val="20"/>
                <w:szCs w:val="20"/>
              </w:rPr>
            </w:pPr>
            <w:r w:rsidRPr="00113664">
              <w:rPr>
                <w:b/>
                <w:bCs/>
                <w:color w:val="000000"/>
                <w:sz w:val="20"/>
                <w:szCs w:val="20"/>
              </w:rPr>
              <w:t>(F)</w:t>
            </w:r>
          </w:p>
        </w:tc>
        <w:tc>
          <w:tcPr>
            <w:tcW w:w="1170" w:type="dxa"/>
            <w:tcBorders>
              <w:top w:val="single" w:sz="4" w:space="0" w:color="auto"/>
              <w:left w:val="nil"/>
              <w:bottom w:val="nil"/>
              <w:right w:val="single" w:sz="4" w:space="0" w:color="auto"/>
            </w:tcBorders>
            <w:shd w:val="clear" w:color="auto" w:fill="auto"/>
            <w:vAlign w:val="bottom"/>
            <w:hideMark/>
          </w:tcPr>
          <w:p w:rsidR="00EE3E02" w:rsidRPr="00113664" w14:paraId="6653ED40" w14:textId="77777777">
            <w:pPr>
              <w:jc w:val="center"/>
              <w:rPr>
                <w:b/>
                <w:bCs/>
                <w:color w:val="000000"/>
                <w:sz w:val="20"/>
                <w:szCs w:val="20"/>
              </w:rPr>
            </w:pPr>
            <w:r w:rsidRPr="00113664">
              <w:rPr>
                <w:b/>
                <w:bCs/>
                <w:color w:val="000000"/>
                <w:sz w:val="20"/>
                <w:szCs w:val="20"/>
              </w:rPr>
              <w:t>(G)</w:t>
            </w:r>
          </w:p>
        </w:tc>
        <w:tc>
          <w:tcPr>
            <w:tcW w:w="1080" w:type="dxa"/>
            <w:tcBorders>
              <w:top w:val="single" w:sz="4" w:space="0" w:color="auto"/>
              <w:left w:val="nil"/>
              <w:bottom w:val="nil"/>
              <w:right w:val="single" w:sz="4" w:space="0" w:color="auto"/>
            </w:tcBorders>
            <w:shd w:val="clear" w:color="auto" w:fill="auto"/>
            <w:vAlign w:val="bottom"/>
            <w:hideMark/>
          </w:tcPr>
          <w:p w:rsidR="00EE3E02" w:rsidRPr="00113664" w14:paraId="3CC18C30" w14:textId="77777777">
            <w:pPr>
              <w:jc w:val="center"/>
              <w:rPr>
                <w:b/>
                <w:bCs/>
                <w:color w:val="000000"/>
                <w:sz w:val="20"/>
                <w:szCs w:val="20"/>
              </w:rPr>
            </w:pPr>
            <w:r w:rsidRPr="00113664">
              <w:rPr>
                <w:b/>
                <w:bCs/>
                <w:color w:val="000000"/>
                <w:sz w:val="20"/>
                <w:szCs w:val="20"/>
              </w:rPr>
              <w:t>(H)</w:t>
            </w:r>
          </w:p>
        </w:tc>
      </w:tr>
      <w:tr w14:paraId="5D60B2B6" w14:textId="77777777">
        <w:tblPrEx>
          <w:tblW w:w="14125" w:type="dxa"/>
          <w:jc w:val="center"/>
          <w:tblLook w:val="04A0"/>
        </w:tblPrEx>
        <w:trPr>
          <w:trHeight w:val="1020"/>
          <w:jc w:val="center"/>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EE3E02" w:rsidRPr="00113664" w14:paraId="769988DE" w14:textId="77777777">
            <w:pPr>
              <w:rPr>
                <w:b/>
                <w:bCs/>
                <w:color w:val="000000"/>
                <w:sz w:val="20"/>
                <w:szCs w:val="20"/>
              </w:rPr>
            </w:pPr>
            <w:r w:rsidRPr="00113664">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EE3E02" w:rsidRPr="00113664" w14:paraId="7B24ABB9" w14:textId="77777777">
            <w:pPr>
              <w:jc w:val="center"/>
              <w:rPr>
                <w:b/>
                <w:bCs/>
                <w:color w:val="000000"/>
                <w:sz w:val="20"/>
                <w:szCs w:val="20"/>
              </w:rPr>
            </w:pPr>
            <w:r w:rsidRPr="00113664">
              <w:rPr>
                <w:b/>
                <w:bCs/>
                <w:color w:val="000000"/>
                <w:sz w:val="20"/>
                <w:szCs w:val="20"/>
              </w:rPr>
              <w:t>Person-hours per occurrence</w:t>
            </w:r>
          </w:p>
        </w:tc>
        <w:tc>
          <w:tcPr>
            <w:tcW w:w="1440" w:type="dxa"/>
            <w:tcBorders>
              <w:top w:val="nil"/>
              <w:left w:val="nil"/>
              <w:bottom w:val="single" w:sz="4" w:space="0" w:color="auto"/>
              <w:right w:val="single" w:sz="4" w:space="0" w:color="auto"/>
            </w:tcBorders>
            <w:shd w:val="clear" w:color="auto" w:fill="auto"/>
            <w:vAlign w:val="center"/>
            <w:hideMark/>
          </w:tcPr>
          <w:p w:rsidR="00EE3E02" w:rsidRPr="00113664" w14:paraId="48DCDACF" w14:textId="77777777">
            <w:pPr>
              <w:jc w:val="center"/>
              <w:rPr>
                <w:b/>
                <w:bCs/>
                <w:color w:val="000000"/>
                <w:sz w:val="20"/>
                <w:szCs w:val="20"/>
              </w:rPr>
            </w:pPr>
            <w:r w:rsidRPr="00113664">
              <w:rPr>
                <w:b/>
                <w:bCs/>
                <w:color w:val="000000"/>
                <w:sz w:val="20"/>
                <w:szCs w:val="20"/>
              </w:rPr>
              <w:t>No. of occurrences per respondent per year</w:t>
            </w:r>
          </w:p>
        </w:tc>
        <w:tc>
          <w:tcPr>
            <w:tcW w:w="1530" w:type="dxa"/>
            <w:tcBorders>
              <w:top w:val="nil"/>
              <w:left w:val="nil"/>
              <w:bottom w:val="single" w:sz="4" w:space="0" w:color="auto"/>
              <w:right w:val="single" w:sz="4" w:space="0" w:color="auto"/>
            </w:tcBorders>
            <w:shd w:val="clear" w:color="auto" w:fill="auto"/>
            <w:vAlign w:val="center"/>
            <w:hideMark/>
          </w:tcPr>
          <w:p w:rsidR="00EE3E02" w:rsidRPr="00113664" w14:paraId="5BC301C0" w14:textId="77777777">
            <w:pPr>
              <w:jc w:val="center"/>
              <w:rPr>
                <w:b/>
                <w:bCs/>
                <w:color w:val="000000"/>
                <w:sz w:val="20"/>
                <w:szCs w:val="20"/>
              </w:rPr>
            </w:pPr>
            <w:r w:rsidRPr="00113664">
              <w:rPr>
                <w:b/>
                <w:bCs/>
                <w:color w:val="000000"/>
                <w:sz w:val="20"/>
                <w:szCs w:val="20"/>
              </w:rPr>
              <w:t xml:space="preserve"> Person-hours per respondent per year (C=</w:t>
            </w:r>
            <w:r w:rsidRPr="00113664">
              <w:rPr>
                <w:b/>
                <w:bCs/>
                <w:color w:val="000000"/>
                <w:sz w:val="20"/>
                <w:szCs w:val="20"/>
              </w:rPr>
              <w:t>AxB</w:t>
            </w:r>
            <w:r w:rsidRPr="00113664">
              <w:rPr>
                <w:b/>
                <w:bCs/>
                <w:color w:val="000000"/>
                <w:sz w:val="20"/>
                <w:szCs w:val="20"/>
              </w:rPr>
              <w:t>)</w:t>
            </w:r>
          </w:p>
        </w:tc>
        <w:tc>
          <w:tcPr>
            <w:tcW w:w="1306" w:type="dxa"/>
            <w:tcBorders>
              <w:top w:val="nil"/>
              <w:left w:val="nil"/>
              <w:bottom w:val="single" w:sz="4" w:space="0" w:color="auto"/>
              <w:right w:val="single" w:sz="4" w:space="0" w:color="auto"/>
            </w:tcBorders>
            <w:shd w:val="clear" w:color="auto" w:fill="auto"/>
            <w:vAlign w:val="center"/>
            <w:hideMark/>
          </w:tcPr>
          <w:p w:rsidR="00EE3E02" w:rsidRPr="00113664" w14:paraId="632718AF" w14:textId="77777777">
            <w:pPr>
              <w:jc w:val="center"/>
              <w:rPr>
                <w:b/>
                <w:bCs/>
                <w:color w:val="000000"/>
                <w:sz w:val="20"/>
                <w:szCs w:val="20"/>
              </w:rPr>
            </w:pPr>
            <w:r w:rsidRPr="00113664">
              <w:rPr>
                <w:b/>
                <w:bCs/>
                <w:color w:val="000000"/>
                <w:sz w:val="20"/>
                <w:szCs w:val="20"/>
              </w:rPr>
              <w:t>Respondents per year</w:t>
            </w:r>
            <w:r>
              <w:rPr>
                <w:b/>
                <w:bCs/>
                <w:color w:val="000000"/>
                <w:sz w:val="20"/>
                <w:szCs w:val="20"/>
              </w:rPr>
              <w:t xml:space="preserve"> </w:t>
            </w:r>
            <w:r w:rsidRPr="00113664">
              <w:rPr>
                <w:b/>
                <w:bCs/>
                <w:color w:val="000000"/>
                <w:sz w:val="20"/>
                <w:szCs w:val="20"/>
                <w:vertAlign w:val="superscript"/>
              </w:rPr>
              <w:t>a</w:t>
            </w:r>
          </w:p>
        </w:tc>
        <w:tc>
          <w:tcPr>
            <w:tcW w:w="1304" w:type="dxa"/>
            <w:tcBorders>
              <w:top w:val="nil"/>
              <w:left w:val="nil"/>
              <w:bottom w:val="single" w:sz="4" w:space="0" w:color="auto"/>
              <w:right w:val="single" w:sz="4" w:space="0" w:color="auto"/>
            </w:tcBorders>
            <w:shd w:val="clear" w:color="auto" w:fill="auto"/>
            <w:vAlign w:val="center"/>
            <w:hideMark/>
          </w:tcPr>
          <w:p w:rsidR="00EE3E02" w:rsidRPr="00113664" w14:paraId="6DEAEE07" w14:textId="77777777">
            <w:pPr>
              <w:jc w:val="center"/>
              <w:rPr>
                <w:b/>
                <w:bCs/>
                <w:color w:val="000000"/>
                <w:sz w:val="20"/>
                <w:szCs w:val="20"/>
              </w:rPr>
            </w:pPr>
            <w:r w:rsidRPr="00113664">
              <w:rPr>
                <w:b/>
                <w:bCs/>
                <w:color w:val="000000"/>
                <w:sz w:val="20"/>
                <w:szCs w:val="20"/>
              </w:rPr>
              <w:t>Technical person-hours per year (E=</w:t>
            </w:r>
            <w:r w:rsidRPr="00113664">
              <w:rPr>
                <w:b/>
                <w:bCs/>
                <w:color w:val="000000"/>
                <w:sz w:val="20"/>
                <w:szCs w:val="20"/>
              </w:rPr>
              <w:t>CxD</w:t>
            </w:r>
            <w:r w:rsidRPr="00113664">
              <w:rPr>
                <w:b/>
                <w:bCs/>
                <w:color w:val="000000"/>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rsidR="00EE3E02" w:rsidRPr="00113664" w14:paraId="68BA776E" w14:textId="77777777">
            <w:pPr>
              <w:jc w:val="center"/>
              <w:rPr>
                <w:b/>
                <w:bCs/>
                <w:color w:val="000000"/>
                <w:sz w:val="20"/>
                <w:szCs w:val="20"/>
              </w:rPr>
            </w:pPr>
            <w:r w:rsidRPr="00113664">
              <w:rPr>
                <w:b/>
                <w:bCs/>
                <w:color w:val="000000"/>
                <w:sz w:val="20"/>
                <w:szCs w:val="20"/>
              </w:rPr>
              <w:t>Management person-hours per year (Ex0.05)</w:t>
            </w:r>
          </w:p>
        </w:tc>
        <w:tc>
          <w:tcPr>
            <w:tcW w:w="1170" w:type="dxa"/>
            <w:tcBorders>
              <w:top w:val="nil"/>
              <w:left w:val="nil"/>
              <w:bottom w:val="single" w:sz="4" w:space="0" w:color="auto"/>
              <w:right w:val="single" w:sz="4" w:space="0" w:color="auto"/>
            </w:tcBorders>
            <w:shd w:val="clear" w:color="auto" w:fill="auto"/>
            <w:vAlign w:val="center"/>
            <w:hideMark/>
          </w:tcPr>
          <w:p w:rsidR="00EE3E02" w:rsidRPr="00113664" w14:paraId="54849E96" w14:textId="77777777">
            <w:pPr>
              <w:jc w:val="center"/>
              <w:rPr>
                <w:b/>
                <w:bCs/>
                <w:color w:val="000000"/>
                <w:sz w:val="20"/>
                <w:szCs w:val="20"/>
              </w:rPr>
            </w:pPr>
            <w:r w:rsidRPr="00113664">
              <w:rPr>
                <w:b/>
                <w:bCs/>
                <w:color w:val="000000"/>
                <w:sz w:val="20"/>
                <w:szCs w:val="20"/>
              </w:rPr>
              <w:t>Clerical person-hours per year (Ex0.1)</w:t>
            </w:r>
          </w:p>
        </w:tc>
        <w:tc>
          <w:tcPr>
            <w:tcW w:w="1080" w:type="dxa"/>
            <w:tcBorders>
              <w:top w:val="nil"/>
              <w:left w:val="nil"/>
              <w:bottom w:val="single" w:sz="4" w:space="0" w:color="auto"/>
              <w:right w:val="single" w:sz="4" w:space="0" w:color="auto"/>
            </w:tcBorders>
            <w:shd w:val="clear" w:color="auto" w:fill="auto"/>
            <w:vAlign w:val="center"/>
            <w:hideMark/>
          </w:tcPr>
          <w:p w:rsidR="00EE3E02" w:rsidRPr="00113664" w14:paraId="7EC4C258" w14:textId="77777777">
            <w:pPr>
              <w:jc w:val="center"/>
              <w:rPr>
                <w:b/>
                <w:bCs/>
                <w:color w:val="000000"/>
                <w:sz w:val="20"/>
                <w:szCs w:val="20"/>
              </w:rPr>
            </w:pPr>
            <w:r w:rsidRPr="00113664">
              <w:rPr>
                <w:b/>
                <w:bCs/>
                <w:color w:val="000000"/>
                <w:sz w:val="20"/>
                <w:szCs w:val="20"/>
              </w:rPr>
              <w:t xml:space="preserve">Total Cost per year, $ </w:t>
            </w:r>
            <w:r w:rsidRPr="00113664">
              <w:rPr>
                <w:b/>
                <w:bCs/>
                <w:color w:val="000000"/>
                <w:sz w:val="20"/>
                <w:szCs w:val="20"/>
                <w:vertAlign w:val="superscript"/>
              </w:rPr>
              <w:t>b</w:t>
            </w:r>
          </w:p>
        </w:tc>
      </w:tr>
      <w:tr w14:paraId="7CBF0A36"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61B4DCFC" w14:textId="77777777">
            <w:pPr>
              <w:rPr>
                <w:sz w:val="20"/>
                <w:szCs w:val="20"/>
              </w:rPr>
            </w:pPr>
            <w:r w:rsidRPr="00113664">
              <w:rPr>
                <w:sz w:val="20"/>
                <w:szCs w:val="20"/>
              </w:rPr>
              <w:t>1.</w:t>
            </w:r>
            <w:r>
              <w:rPr>
                <w:sz w:val="20"/>
                <w:szCs w:val="20"/>
              </w:rPr>
              <w:t xml:space="preserve"> </w:t>
            </w:r>
            <w:r w:rsidRPr="00113664">
              <w:rPr>
                <w:sz w:val="20"/>
                <w:szCs w:val="20"/>
              </w:rPr>
              <w:t>Applications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3519" w:rsidRPr="00113664" w:rsidP="00EE3519" w14:paraId="728EACD3" w14:textId="6CC8988D">
            <w:pPr>
              <w:jc w:val="center"/>
              <w:rPr>
                <w:sz w:val="20"/>
                <w:szCs w:val="20"/>
              </w:rPr>
            </w:pPr>
            <w:r>
              <w:rPr>
                <w:sz w:val="20"/>
                <w:szCs w:val="20"/>
              </w:rPr>
              <w:t>N/A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E3519" w:rsidRPr="00113664" w:rsidP="00EE3519" w14:paraId="66890F77" w14:textId="705A2557">
            <w:pPr>
              <w:rPr>
                <w:rFonts w:ascii="Calibri" w:hAnsi="Calibri" w:cs="Calibri"/>
              </w:rPr>
            </w:pPr>
            <w:r>
              <w:rPr>
                <w:rFonts w:ascii="Calibri" w:hAnsi="Calibri" w:cs="Calibri"/>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EE3519" w:rsidRPr="00113664" w:rsidP="00EE3519" w14:paraId="332328F7" w14:textId="2EB358AC">
            <w:pPr>
              <w:rPr>
                <w:rFonts w:ascii="Calibri" w:hAnsi="Calibri" w:cs="Calibri"/>
              </w:rPr>
            </w:pPr>
            <w:r>
              <w:rPr>
                <w:rFonts w:ascii="Calibri" w:hAnsi="Calibri" w:cs="Calibri"/>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EE3519" w:rsidRPr="00113664" w:rsidP="00EE3519" w14:paraId="66E75250" w14:textId="6AEC44E3">
            <w:pPr>
              <w:rPr>
                <w:rFonts w:ascii="Calibri" w:hAnsi="Calibri" w:cs="Calibri"/>
              </w:rPr>
            </w:pPr>
            <w:r>
              <w:rPr>
                <w:rFonts w:ascii="Calibri" w:hAnsi="Calibri" w:cs="Calibri"/>
              </w:rPr>
              <w:t>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EE3519" w:rsidRPr="00113664" w:rsidP="00EE3519" w14:paraId="534DA4F2" w14:textId="1226B9B4">
            <w:pPr>
              <w:rPr>
                <w:rFonts w:ascii="Calibri" w:hAnsi="Calibri" w:cs="Calibri"/>
              </w:rPr>
            </w:pPr>
            <w:r>
              <w:rPr>
                <w:rFonts w:ascii="Calibri" w:hAnsi="Calibri" w:cs="Calibri"/>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EE3519" w:rsidRPr="00113664" w:rsidP="00EE3519" w14:paraId="64BDC89B" w14:textId="3B43E600">
            <w:pPr>
              <w:rPr>
                <w:rFonts w:ascii="Calibri" w:hAnsi="Calibri" w:cs="Calibri"/>
              </w:rPr>
            </w:pPr>
            <w:r>
              <w:rPr>
                <w:rFonts w:ascii="Calibri" w:hAnsi="Calibri" w:cs="Calibri"/>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EE3519" w:rsidRPr="00113664" w:rsidP="00EE3519" w14:paraId="5FC5C357" w14:textId="19BE39B2">
            <w:pPr>
              <w:rPr>
                <w:rFonts w:ascii="Calibri" w:hAnsi="Calibri" w:cs="Calibri"/>
              </w:rPr>
            </w:pPr>
            <w:r>
              <w:rPr>
                <w:rFonts w:ascii="Calibri" w:hAnsi="Calibri" w:cs="Calibri"/>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E3519" w:rsidRPr="00113664" w:rsidP="00EE3519" w14:paraId="40E3C310" w14:textId="7E775317">
            <w:pPr>
              <w:jc w:val="right"/>
              <w:rPr>
                <w:sz w:val="20"/>
                <w:szCs w:val="20"/>
              </w:rPr>
            </w:pPr>
            <w:r>
              <w:rPr>
                <w:sz w:val="20"/>
                <w:szCs w:val="20"/>
              </w:rPr>
              <w:t> </w:t>
            </w:r>
          </w:p>
        </w:tc>
      </w:tr>
      <w:tr w14:paraId="1AC6A64C"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47F7ABCF" w14:textId="77777777">
            <w:pPr>
              <w:rPr>
                <w:sz w:val="20"/>
                <w:szCs w:val="20"/>
              </w:rPr>
            </w:pPr>
            <w:r w:rsidRPr="00113664">
              <w:rPr>
                <w:sz w:val="20"/>
                <w:szCs w:val="20"/>
              </w:rPr>
              <w:t>2.</w:t>
            </w:r>
            <w:r>
              <w:rPr>
                <w:sz w:val="20"/>
                <w:szCs w:val="20"/>
              </w:rPr>
              <w:t xml:space="preserve"> </w:t>
            </w:r>
            <w:r w:rsidRPr="00113664">
              <w:rPr>
                <w:sz w:val="20"/>
                <w:szCs w:val="20"/>
              </w:rPr>
              <w:t>Survey and Studies</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0386F726" w14:textId="32B10CAE">
            <w:pPr>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6BC42333" w14:textId="336DC9DB">
            <w:pPr>
              <w:rPr>
                <w:rFonts w:ascii="Calibri" w:hAnsi="Calibri" w:cs="Calibri"/>
              </w:rPr>
            </w:pPr>
            <w:r>
              <w:rPr>
                <w:rFonts w:ascii="Calibri" w:hAnsi="Calibri" w:cs="Calibri"/>
              </w:rPr>
              <w:t> </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5E8756C8" w14:textId="27652DF6">
            <w:pPr>
              <w:rPr>
                <w:rFonts w:ascii="Calibri" w:hAnsi="Calibri" w:cs="Calibri"/>
              </w:rPr>
            </w:pPr>
            <w:r>
              <w:rPr>
                <w:rFonts w:ascii="Calibri" w:hAnsi="Calibri" w:cs="Calibri"/>
              </w:rPr>
              <w:t> </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09192F38" w14:textId="0F178887">
            <w:pPr>
              <w:rPr>
                <w:rFonts w:ascii="Calibri" w:hAnsi="Calibri" w:cs="Calibri"/>
              </w:rPr>
            </w:pPr>
            <w:r>
              <w:rPr>
                <w:rFonts w:ascii="Calibri" w:hAnsi="Calibri" w:cs="Calibri"/>
              </w:rPr>
              <w:t> </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263534C9" w14:textId="09E582A6">
            <w:pPr>
              <w:rPr>
                <w:rFonts w:ascii="Calibri" w:hAnsi="Calibri" w:cs="Calibri"/>
              </w:rPr>
            </w:pPr>
            <w:r>
              <w:rPr>
                <w:rFonts w:ascii="Calibri" w:hAnsi="Calibri" w:cs="Calibri"/>
              </w:rPr>
              <w:t> </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6236DAC2" w14:textId="3EFB8CE6">
            <w:pPr>
              <w:rPr>
                <w:rFonts w:ascii="Calibri" w:hAnsi="Calibri" w:cs="Calibri"/>
              </w:rPr>
            </w:pPr>
            <w:r>
              <w:rPr>
                <w:rFonts w:ascii="Calibri" w:hAnsi="Calibri" w:cs="Calibri"/>
              </w:rPr>
              <w:t> </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6D733936" w14:textId="1ED35181">
            <w:pPr>
              <w:rPr>
                <w:rFonts w:ascii="Calibri" w:hAnsi="Calibri" w:cs="Calibri"/>
              </w:rPr>
            </w:pPr>
            <w:r>
              <w:rPr>
                <w:rFonts w:ascii="Calibri" w:hAnsi="Calibri" w:cs="Calibri"/>
              </w:rPr>
              <w:t> </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7866CCAB" w14:textId="5F170015">
            <w:pPr>
              <w:jc w:val="right"/>
              <w:rPr>
                <w:sz w:val="20"/>
                <w:szCs w:val="20"/>
              </w:rPr>
            </w:pPr>
            <w:r>
              <w:rPr>
                <w:sz w:val="20"/>
                <w:szCs w:val="20"/>
              </w:rPr>
              <w:t> </w:t>
            </w:r>
          </w:p>
        </w:tc>
      </w:tr>
      <w:tr w14:paraId="4214E68D"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51E673EC" w14:textId="77777777">
            <w:pPr>
              <w:rPr>
                <w:sz w:val="20"/>
                <w:szCs w:val="20"/>
              </w:rPr>
            </w:pPr>
            <w:r w:rsidRPr="00113664">
              <w:rPr>
                <w:sz w:val="20"/>
                <w:szCs w:val="20"/>
              </w:rPr>
              <w:t>3.</w:t>
            </w:r>
            <w:r>
              <w:rPr>
                <w:sz w:val="20"/>
                <w:szCs w:val="20"/>
              </w:rPr>
              <w:t xml:space="preserve"> </w:t>
            </w:r>
            <w:r w:rsidRPr="00113664">
              <w:rPr>
                <w:sz w:val="20"/>
                <w:szCs w:val="20"/>
              </w:rPr>
              <w:t>Reporting Requirements</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10F9F510" w14:textId="771ECA80">
            <w:pPr>
              <w:rPr>
                <w:rFonts w:ascii="Calibri" w:hAnsi="Calibri" w:cs="Calibri"/>
              </w:rPr>
            </w:pPr>
            <w:r>
              <w:rPr>
                <w:rFonts w:ascii="Calibri" w:hAnsi="Calibri" w:cs="Calibri"/>
              </w:rPr>
              <w:t> </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603B0F7F" w14:textId="32CD743A">
            <w:pPr>
              <w:rPr>
                <w:rFonts w:ascii="Calibri" w:hAnsi="Calibri" w:cs="Calibri"/>
              </w:rPr>
            </w:pPr>
            <w:r>
              <w:rPr>
                <w:rFonts w:ascii="Calibri" w:hAnsi="Calibri" w:cs="Calibri"/>
              </w:rPr>
              <w:t> </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54CE6D2D" w14:textId="4284318A">
            <w:pPr>
              <w:rPr>
                <w:rFonts w:ascii="Calibri" w:hAnsi="Calibri" w:cs="Calibri"/>
              </w:rPr>
            </w:pPr>
            <w:r>
              <w:rPr>
                <w:rFonts w:ascii="Calibri" w:hAnsi="Calibri" w:cs="Calibri"/>
              </w:rPr>
              <w:t> </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0E3F42B9" w14:textId="535B8F5E">
            <w:pPr>
              <w:rPr>
                <w:rFonts w:ascii="Calibri" w:hAnsi="Calibri" w:cs="Calibri"/>
              </w:rPr>
            </w:pPr>
            <w:r>
              <w:rPr>
                <w:rFonts w:ascii="Calibri" w:hAnsi="Calibri" w:cs="Calibri"/>
              </w:rPr>
              <w:t> </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2BEF71D9" w14:textId="30649027">
            <w:pPr>
              <w:rPr>
                <w:rFonts w:ascii="Calibri" w:hAnsi="Calibri" w:cs="Calibri"/>
              </w:rPr>
            </w:pPr>
            <w:r>
              <w:rPr>
                <w:rFonts w:ascii="Calibri" w:hAnsi="Calibri" w:cs="Calibri"/>
              </w:rPr>
              <w:t> </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1BEF65FB" w14:textId="61867B0E">
            <w:pPr>
              <w:rPr>
                <w:rFonts w:ascii="Calibri" w:hAnsi="Calibri" w:cs="Calibri"/>
              </w:rPr>
            </w:pPr>
            <w:r>
              <w:rPr>
                <w:rFonts w:ascii="Calibri" w:hAnsi="Calibri" w:cs="Calibri"/>
              </w:rPr>
              <w:t> </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4A2800FC" w14:textId="4C67DF4C">
            <w:pPr>
              <w:rPr>
                <w:rFonts w:ascii="Calibri" w:hAnsi="Calibri" w:cs="Calibri"/>
              </w:rPr>
            </w:pPr>
            <w:r>
              <w:rPr>
                <w:rFonts w:ascii="Calibri" w:hAnsi="Calibri" w:cs="Calibri"/>
              </w:rPr>
              <w:t> </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7BBAA33A" w14:textId="1B843DEF">
            <w:pPr>
              <w:jc w:val="right"/>
              <w:rPr>
                <w:sz w:val="20"/>
                <w:szCs w:val="20"/>
              </w:rPr>
            </w:pPr>
            <w:r>
              <w:rPr>
                <w:sz w:val="20"/>
                <w:szCs w:val="20"/>
              </w:rPr>
              <w:t> </w:t>
            </w:r>
          </w:p>
        </w:tc>
      </w:tr>
      <w:tr w14:paraId="41167AB4"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EE3519" w:rsidRPr="00113664" w:rsidP="00EE3519" w14:paraId="36DD7A14" w14:textId="77777777">
            <w:pPr>
              <w:rPr>
                <w:sz w:val="20"/>
                <w:szCs w:val="20"/>
              </w:rPr>
            </w:pPr>
            <w:r w:rsidRPr="00113664">
              <w:rPr>
                <w:sz w:val="20"/>
                <w:szCs w:val="20"/>
              </w:rPr>
              <w:t>A.</w:t>
            </w:r>
            <w:r>
              <w:rPr>
                <w:sz w:val="20"/>
                <w:szCs w:val="20"/>
              </w:rPr>
              <w:t xml:space="preserve"> </w:t>
            </w:r>
            <w:r w:rsidRPr="00113664">
              <w:rPr>
                <w:sz w:val="20"/>
                <w:szCs w:val="20"/>
              </w:rPr>
              <w:t xml:space="preserve">Familiarization with the regulatory requirements </w:t>
            </w:r>
            <w:r w:rsidRPr="00113664">
              <w:rPr>
                <w:sz w:val="20"/>
                <w:szCs w:val="20"/>
                <w:vertAlign w:val="superscript"/>
              </w:rPr>
              <w:t>c</w:t>
            </w:r>
            <w:r w:rsidRPr="00113664">
              <w:rPr>
                <w:sz w:val="20"/>
                <w:szCs w:val="20"/>
              </w:rPr>
              <w:t xml:space="preserve">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69A11659" w14:textId="6EBCEE2D">
            <w:pPr>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63E3404D" w14:textId="5D5B7051">
            <w:pPr>
              <w:jc w:val="center"/>
              <w:rPr>
                <w:sz w:val="20"/>
                <w:szCs w:val="20"/>
              </w:rPr>
            </w:pPr>
            <w:r>
              <w:rPr>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2026C05D" w14:textId="087E6C82">
            <w:pPr>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09AE62F7" w14:textId="4F91C53F">
            <w:pPr>
              <w:jc w:val="center"/>
              <w:rPr>
                <w:sz w:val="20"/>
                <w:szCs w:val="20"/>
              </w:rPr>
            </w:pPr>
            <w:r>
              <w:rPr>
                <w:sz w:val="20"/>
                <w:szCs w:val="20"/>
              </w:rPr>
              <w:t>3</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02175388" w14:textId="54953B11">
            <w:pPr>
              <w:jc w:val="center"/>
              <w:rPr>
                <w:sz w:val="20"/>
                <w:szCs w:val="20"/>
              </w:rPr>
            </w:pPr>
            <w:r>
              <w:rPr>
                <w:sz w:val="20"/>
                <w:szCs w:val="20"/>
              </w:rPr>
              <w:t>6</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53EC4BEA" w14:textId="577D5E58">
            <w:pPr>
              <w:jc w:val="center"/>
              <w:rPr>
                <w:sz w:val="20"/>
                <w:szCs w:val="20"/>
              </w:rPr>
            </w:pPr>
            <w:r>
              <w:rPr>
                <w:sz w:val="20"/>
                <w:szCs w:val="20"/>
              </w:rPr>
              <w:t>0.3</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2B29431A" w14:textId="32926C75">
            <w:pPr>
              <w:jc w:val="center"/>
              <w:rPr>
                <w:sz w:val="20"/>
                <w:szCs w:val="20"/>
              </w:rPr>
            </w:pPr>
            <w:r>
              <w:rPr>
                <w:sz w:val="20"/>
                <w:szCs w:val="20"/>
              </w:rPr>
              <w:t>0.6</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690006EC" w14:textId="5B315E54">
            <w:pPr>
              <w:jc w:val="right"/>
              <w:rPr>
                <w:sz w:val="20"/>
                <w:szCs w:val="20"/>
              </w:rPr>
            </w:pPr>
            <w:r>
              <w:rPr>
                <w:sz w:val="20"/>
                <w:szCs w:val="20"/>
              </w:rPr>
              <w:t xml:space="preserve">$945 </w:t>
            </w:r>
          </w:p>
        </w:tc>
      </w:tr>
      <w:tr w14:paraId="641588DC"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166E259B" w14:textId="77777777">
            <w:pPr>
              <w:rPr>
                <w:sz w:val="20"/>
                <w:szCs w:val="20"/>
              </w:rPr>
            </w:pPr>
            <w:r w:rsidRPr="00113664">
              <w:rPr>
                <w:sz w:val="20"/>
                <w:szCs w:val="20"/>
              </w:rPr>
              <w:t>B.</w:t>
            </w:r>
            <w:r>
              <w:rPr>
                <w:sz w:val="20"/>
                <w:szCs w:val="20"/>
              </w:rPr>
              <w:t xml:space="preserve"> </w:t>
            </w:r>
            <w:r w:rsidRPr="00113664">
              <w:rPr>
                <w:sz w:val="20"/>
                <w:szCs w:val="20"/>
              </w:rPr>
              <w:t>Required activities</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1AA57976" w14:textId="6996A1EA">
            <w:pPr>
              <w:rPr>
                <w:rFonts w:ascii="Calibri" w:hAnsi="Calibri" w:cs="Calibri"/>
              </w:rPr>
            </w:pPr>
            <w:r>
              <w:rPr>
                <w:rFonts w:ascii="Calibri" w:hAnsi="Calibri" w:cs="Calibri"/>
              </w:rPr>
              <w:t> </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593168A6" w14:textId="5954FDBC">
            <w:pPr>
              <w:rPr>
                <w:rFonts w:ascii="Calibri" w:hAnsi="Calibri" w:cs="Calibri"/>
              </w:rPr>
            </w:pPr>
            <w:r>
              <w:rPr>
                <w:rFonts w:ascii="Calibri" w:hAnsi="Calibri" w:cs="Calibri"/>
              </w:rPr>
              <w:t> </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57889EC4" w14:textId="3965F517">
            <w:pPr>
              <w:rPr>
                <w:rFonts w:ascii="Calibri" w:hAnsi="Calibri" w:cs="Calibri"/>
              </w:rPr>
            </w:pPr>
            <w:r>
              <w:rPr>
                <w:rFonts w:ascii="Calibri" w:hAnsi="Calibri" w:cs="Calibri"/>
              </w:rPr>
              <w:t> </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2F3FA5B6" w14:textId="7A8467DF">
            <w:pPr>
              <w:jc w:val="center"/>
              <w:rPr>
                <w:sz w:val="20"/>
                <w:szCs w:val="20"/>
              </w:rPr>
            </w:pPr>
            <w:r>
              <w:rPr>
                <w:sz w:val="20"/>
                <w:szCs w:val="20"/>
              </w:rPr>
              <w:t> </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37C50F29" w14:textId="28809CFD">
            <w:pPr>
              <w:rPr>
                <w:rFonts w:ascii="Calibri" w:hAnsi="Calibri" w:cs="Calibri"/>
              </w:rPr>
            </w:pPr>
            <w:r>
              <w:rPr>
                <w:rFonts w:ascii="Calibri" w:hAnsi="Calibri" w:cs="Calibri"/>
              </w:rPr>
              <w:t> </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1DE35BC8" w14:textId="28CFD4A4">
            <w:pPr>
              <w:rPr>
                <w:rFonts w:ascii="Calibri" w:hAnsi="Calibri" w:cs="Calibri"/>
              </w:rPr>
            </w:pPr>
            <w:r>
              <w:rPr>
                <w:rFonts w:ascii="Calibri" w:hAnsi="Calibri" w:cs="Calibri"/>
              </w:rPr>
              <w:t> </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3644D0DD" w14:textId="298FAA55">
            <w:pPr>
              <w:rPr>
                <w:rFonts w:ascii="Calibri" w:hAnsi="Calibri" w:cs="Calibri"/>
              </w:rPr>
            </w:pPr>
            <w:r>
              <w:rPr>
                <w:rFonts w:ascii="Calibri" w:hAnsi="Calibri" w:cs="Calibri"/>
              </w:rPr>
              <w:t> </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090D7386" w14:textId="475CC425">
            <w:pPr>
              <w:jc w:val="right"/>
              <w:rPr>
                <w:sz w:val="20"/>
                <w:szCs w:val="20"/>
              </w:rPr>
            </w:pPr>
            <w:r>
              <w:rPr>
                <w:sz w:val="20"/>
                <w:szCs w:val="20"/>
              </w:rPr>
              <w:t> </w:t>
            </w:r>
          </w:p>
        </w:tc>
      </w:tr>
      <w:tr w14:paraId="63AB1675"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29304E11" w14:textId="77777777">
            <w:pPr>
              <w:ind w:left="420"/>
              <w:rPr>
                <w:sz w:val="20"/>
                <w:szCs w:val="20"/>
              </w:rPr>
            </w:pPr>
            <w:r w:rsidRPr="00113664">
              <w:rPr>
                <w:sz w:val="20"/>
                <w:szCs w:val="20"/>
              </w:rPr>
              <w:t>Develop an operation, maintenance, monitoring plan</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3D2FBC77" w14:textId="6E2E3B3A">
            <w:pPr>
              <w:jc w:val="center"/>
              <w:rPr>
                <w:sz w:val="20"/>
                <w:szCs w:val="20"/>
              </w:rPr>
            </w:pPr>
            <w:r>
              <w:rPr>
                <w:sz w:val="20"/>
                <w:szCs w:val="20"/>
              </w:rPr>
              <w:t>32</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6B5DF659" w14:textId="5361CBDE">
            <w:pPr>
              <w:jc w:val="center"/>
              <w:rPr>
                <w:sz w:val="20"/>
                <w:szCs w:val="20"/>
              </w:rPr>
            </w:pPr>
            <w:r>
              <w:rPr>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0EC09B5D" w14:textId="74BC41E7">
            <w:pPr>
              <w:jc w:val="center"/>
              <w:rPr>
                <w:sz w:val="20"/>
                <w:szCs w:val="20"/>
              </w:rPr>
            </w:pPr>
            <w:r>
              <w:rPr>
                <w:sz w:val="20"/>
                <w:szCs w:val="20"/>
              </w:rPr>
              <w:t>32</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0E14E8F9" w14:textId="30F116C0">
            <w:pPr>
              <w:jc w:val="center"/>
              <w:rPr>
                <w:sz w:val="20"/>
                <w:szCs w:val="20"/>
              </w:rPr>
            </w:pPr>
            <w:r>
              <w:rPr>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533A560C" w14:textId="787EDCE4">
            <w:pPr>
              <w:jc w:val="center"/>
              <w:rPr>
                <w:sz w:val="20"/>
                <w:szCs w:val="20"/>
              </w:rPr>
            </w:pPr>
            <w:r>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0003F00B" w14:textId="61E4734F">
            <w:pPr>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321C75C4" w14:textId="725BB9D3">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08DEBAA6" w14:textId="201D4501">
            <w:pPr>
              <w:jc w:val="right"/>
              <w:rPr>
                <w:sz w:val="20"/>
                <w:szCs w:val="20"/>
              </w:rPr>
            </w:pPr>
            <w:r>
              <w:rPr>
                <w:sz w:val="20"/>
                <w:szCs w:val="20"/>
              </w:rPr>
              <w:t xml:space="preserve">$0 </w:t>
            </w:r>
          </w:p>
        </w:tc>
      </w:tr>
      <w:tr w14:paraId="37D7353D"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358965C7" w14:textId="77777777">
            <w:pPr>
              <w:ind w:left="420"/>
              <w:rPr>
                <w:sz w:val="20"/>
                <w:szCs w:val="20"/>
              </w:rPr>
            </w:pPr>
            <w:r w:rsidRPr="00113664">
              <w:rPr>
                <w:sz w:val="20"/>
                <w:szCs w:val="20"/>
              </w:rPr>
              <w:t xml:space="preserve">Update operation, maintenance, monitoring plan </w:t>
            </w:r>
            <w:r w:rsidRPr="00113664">
              <w:rPr>
                <w:sz w:val="20"/>
                <w:szCs w:val="20"/>
                <w:vertAlign w:val="superscript"/>
              </w:rPr>
              <w:t>d</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73124839" w14:textId="26449CE8">
            <w:pPr>
              <w:jc w:val="center"/>
              <w:rPr>
                <w:sz w:val="20"/>
                <w:szCs w:val="20"/>
              </w:rPr>
            </w:pPr>
            <w:r>
              <w:rPr>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1F69B71C" w14:textId="21C2D11F">
            <w:pPr>
              <w:jc w:val="center"/>
              <w:rPr>
                <w:sz w:val="20"/>
                <w:szCs w:val="20"/>
              </w:rPr>
            </w:pPr>
            <w:r>
              <w:rPr>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35A25F26" w14:textId="4939504A">
            <w:pPr>
              <w:jc w:val="center"/>
              <w:rPr>
                <w:sz w:val="20"/>
                <w:szCs w:val="20"/>
              </w:rPr>
            </w:pPr>
            <w:r>
              <w:rPr>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31291490" w14:textId="7D627832">
            <w:pPr>
              <w:jc w:val="center"/>
              <w:rPr>
                <w:sz w:val="20"/>
                <w:szCs w:val="20"/>
              </w:rPr>
            </w:pPr>
            <w:r>
              <w:rPr>
                <w:sz w:val="20"/>
                <w:szCs w:val="20"/>
              </w:rPr>
              <w:t>1</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1006B766" w14:textId="2976827B">
            <w:pPr>
              <w:jc w:val="center"/>
              <w:rPr>
                <w:sz w:val="20"/>
                <w:szCs w:val="20"/>
              </w:rPr>
            </w:pPr>
            <w:r>
              <w:rPr>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6CB68AC9" w14:textId="210C64B2">
            <w:pPr>
              <w:jc w:val="center"/>
              <w:rPr>
                <w:sz w:val="20"/>
                <w:szCs w:val="20"/>
              </w:rPr>
            </w:pPr>
            <w:r>
              <w:rPr>
                <w:sz w:val="20"/>
                <w:szCs w:val="20"/>
              </w:rPr>
              <w:t>0.2</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31F72CD8" w14:textId="062E6F3E">
            <w:pPr>
              <w:jc w:val="center"/>
              <w:rPr>
                <w:sz w:val="20"/>
                <w:szCs w:val="20"/>
              </w:rPr>
            </w:pPr>
            <w:r>
              <w:rPr>
                <w:sz w:val="20"/>
                <w:szCs w:val="20"/>
              </w:rPr>
              <w:t>0.4</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72801CA1" w14:textId="2B9EA239">
            <w:pPr>
              <w:jc w:val="right"/>
              <w:rPr>
                <w:sz w:val="20"/>
                <w:szCs w:val="20"/>
              </w:rPr>
            </w:pPr>
            <w:r>
              <w:rPr>
                <w:sz w:val="20"/>
                <w:szCs w:val="20"/>
              </w:rPr>
              <w:t xml:space="preserve">$630 </w:t>
            </w:r>
          </w:p>
        </w:tc>
      </w:tr>
      <w:tr w14:paraId="3D86F56A" w14:textId="77777777">
        <w:tblPrEx>
          <w:tblW w:w="14125" w:type="dxa"/>
          <w:jc w:val="center"/>
          <w:tblLook w:val="04A0"/>
        </w:tblPrEx>
        <w:trPr>
          <w:trHeight w:val="39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56223C9A" w14:textId="77777777">
            <w:pPr>
              <w:ind w:firstLine="400" w:firstLineChars="200"/>
              <w:rPr>
                <w:sz w:val="20"/>
                <w:szCs w:val="20"/>
              </w:rPr>
            </w:pPr>
            <w:r w:rsidRPr="00113664">
              <w:rPr>
                <w:sz w:val="20"/>
                <w:szCs w:val="20"/>
              </w:rPr>
              <w:t xml:space="preserve">Performance tests and reports </w:t>
            </w:r>
            <w:r w:rsidRPr="00113664">
              <w:rPr>
                <w:sz w:val="20"/>
                <w:szCs w:val="20"/>
                <w:vertAlign w:val="superscript"/>
              </w:rPr>
              <w:t>e</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7A7BB8CF" w14:textId="5631BD35">
            <w:pPr>
              <w:jc w:val="center"/>
              <w:rPr>
                <w:sz w:val="20"/>
                <w:szCs w:val="20"/>
              </w:rPr>
            </w:pPr>
            <w:r>
              <w:rPr>
                <w:sz w:val="20"/>
                <w:szCs w:val="20"/>
              </w:rPr>
              <w:t>75</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776DC75F" w14:textId="72DA716B">
            <w:pPr>
              <w:jc w:val="center"/>
              <w:rPr>
                <w:sz w:val="20"/>
                <w:szCs w:val="20"/>
              </w:rPr>
            </w:pPr>
            <w:r>
              <w:rPr>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49867030" w14:textId="05746D91">
            <w:pPr>
              <w:jc w:val="center"/>
              <w:rPr>
                <w:sz w:val="20"/>
                <w:szCs w:val="20"/>
              </w:rPr>
            </w:pPr>
            <w:r>
              <w:rPr>
                <w:sz w:val="20"/>
                <w:szCs w:val="20"/>
              </w:rPr>
              <w:t>75</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458AB1D6" w14:textId="243E0429">
            <w:pPr>
              <w:jc w:val="center"/>
              <w:rPr>
                <w:sz w:val="20"/>
                <w:szCs w:val="20"/>
              </w:rPr>
            </w:pPr>
            <w:r>
              <w:rPr>
                <w:sz w:val="20"/>
                <w:szCs w:val="20"/>
              </w:rPr>
              <w:t>1.8</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74D534C2" w14:textId="77694184">
            <w:pPr>
              <w:jc w:val="center"/>
              <w:rPr>
                <w:sz w:val="20"/>
                <w:szCs w:val="20"/>
              </w:rPr>
            </w:pPr>
            <w:r>
              <w:rPr>
                <w:sz w:val="20"/>
                <w:szCs w:val="20"/>
              </w:rPr>
              <w:t>135</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3255E466" w14:textId="481BCEFD">
            <w:pPr>
              <w:jc w:val="center"/>
              <w:rPr>
                <w:sz w:val="20"/>
                <w:szCs w:val="20"/>
              </w:rPr>
            </w:pPr>
            <w:r>
              <w:rPr>
                <w:sz w:val="20"/>
                <w:szCs w:val="20"/>
              </w:rPr>
              <w:t>6.75</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2427E284" w14:textId="59EAA9C7">
            <w:pPr>
              <w:jc w:val="center"/>
              <w:rPr>
                <w:sz w:val="20"/>
                <w:szCs w:val="20"/>
              </w:rPr>
            </w:pPr>
            <w:r>
              <w:rPr>
                <w:sz w:val="20"/>
                <w:szCs w:val="20"/>
              </w:rPr>
              <w:t>13.5</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2929A40B" w14:textId="4045FE31">
            <w:pPr>
              <w:jc w:val="right"/>
              <w:rPr>
                <w:sz w:val="20"/>
                <w:szCs w:val="20"/>
              </w:rPr>
            </w:pPr>
            <w:r>
              <w:rPr>
                <w:sz w:val="20"/>
                <w:szCs w:val="20"/>
              </w:rPr>
              <w:t xml:space="preserve">$21,263 </w:t>
            </w:r>
          </w:p>
        </w:tc>
      </w:tr>
      <w:tr w14:paraId="33629CB2"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7D81BEEB" w14:textId="77777777">
            <w:pPr>
              <w:ind w:firstLine="400" w:firstLineChars="200"/>
              <w:rPr>
                <w:sz w:val="20"/>
                <w:szCs w:val="20"/>
              </w:rPr>
            </w:pPr>
            <w:r w:rsidRPr="00113664">
              <w:rPr>
                <w:sz w:val="20"/>
                <w:szCs w:val="20"/>
              </w:rPr>
              <w:t xml:space="preserve">Performance retests and reports </w:t>
            </w:r>
            <w:r w:rsidRPr="00113664">
              <w:rPr>
                <w:sz w:val="20"/>
                <w:szCs w:val="20"/>
                <w:vertAlign w:val="superscript"/>
              </w:rPr>
              <w:t>e</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75862E49" w14:textId="18524833">
            <w:pPr>
              <w:jc w:val="center"/>
              <w:rPr>
                <w:sz w:val="20"/>
                <w:szCs w:val="20"/>
              </w:rPr>
            </w:pPr>
            <w:r>
              <w:rPr>
                <w:sz w:val="20"/>
                <w:szCs w:val="20"/>
              </w:rPr>
              <w:t>24</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37AA9C88" w14:textId="064EF786">
            <w:pPr>
              <w:jc w:val="center"/>
              <w:rPr>
                <w:sz w:val="20"/>
                <w:szCs w:val="20"/>
              </w:rPr>
            </w:pPr>
            <w:r>
              <w:rPr>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2743EA8B" w14:textId="5A7CC46E">
            <w:pPr>
              <w:jc w:val="center"/>
              <w:rPr>
                <w:sz w:val="20"/>
                <w:szCs w:val="20"/>
              </w:rPr>
            </w:pPr>
            <w:r>
              <w:rPr>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7389A7DE" w14:textId="35A23D8F">
            <w:pPr>
              <w:jc w:val="center"/>
              <w:rPr>
                <w:sz w:val="20"/>
                <w:szCs w:val="20"/>
              </w:rPr>
            </w:pPr>
            <w:r>
              <w:rPr>
                <w:sz w:val="20"/>
                <w:szCs w:val="20"/>
              </w:rPr>
              <w:t>0.2</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02F9D388" w14:textId="70076FEB">
            <w:pPr>
              <w:jc w:val="center"/>
              <w:rPr>
                <w:sz w:val="20"/>
                <w:szCs w:val="20"/>
              </w:rPr>
            </w:pPr>
            <w:r>
              <w:rPr>
                <w:sz w:val="20"/>
                <w:szCs w:val="20"/>
              </w:rPr>
              <w:t>4.8</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4534C0D4" w14:textId="67383F8B">
            <w:pPr>
              <w:jc w:val="center"/>
              <w:rPr>
                <w:sz w:val="20"/>
                <w:szCs w:val="20"/>
              </w:rPr>
            </w:pPr>
            <w:r>
              <w:rPr>
                <w:sz w:val="20"/>
                <w:szCs w:val="20"/>
              </w:rPr>
              <w:t>0.24</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13D6563E" w14:textId="0D908B79">
            <w:pPr>
              <w:jc w:val="center"/>
              <w:rPr>
                <w:sz w:val="20"/>
                <w:szCs w:val="20"/>
              </w:rPr>
            </w:pPr>
            <w:r>
              <w:rPr>
                <w:sz w:val="20"/>
                <w:szCs w:val="20"/>
              </w:rPr>
              <w:t>0.48</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20B74F1C" w14:textId="19B20785">
            <w:pPr>
              <w:jc w:val="right"/>
              <w:rPr>
                <w:sz w:val="20"/>
                <w:szCs w:val="20"/>
              </w:rPr>
            </w:pPr>
            <w:r>
              <w:rPr>
                <w:sz w:val="20"/>
                <w:szCs w:val="20"/>
              </w:rPr>
              <w:t xml:space="preserve">$756 </w:t>
            </w:r>
          </w:p>
        </w:tc>
      </w:tr>
      <w:tr w14:paraId="185E3F42"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692222FE" w14:textId="77777777">
            <w:pPr>
              <w:ind w:firstLine="400" w:firstLineChars="200"/>
              <w:rPr>
                <w:sz w:val="20"/>
                <w:szCs w:val="20"/>
              </w:rPr>
            </w:pPr>
            <w:r w:rsidRPr="00113664">
              <w:rPr>
                <w:sz w:val="20"/>
                <w:szCs w:val="20"/>
              </w:rPr>
              <w:t xml:space="preserve">Initial CMS performance evaluation </w:t>
            </w:r>
            <w:r w:rsidRPr="00113664">
              <w:rPr>
                <w:sz w:val="20"/>
                <w:szCs w:val="20"/>
                <w:vertAlign w:val="superscript"/>
              </w:rPr>
              <w:t>f</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5DA54B4E" w14:textId="2231C12E">
            <w:pPr>
              <w:jc w:val="center"/>
              <w:rPr>
                <w:sz w:val="20"/>
                <w:szCs w:val="20"/>
              </w:rPr>
            </w:pPr>
            <w:r>
              <w:rPr>
                <w:sz w:val="20"/>
                <w:szCs w:val="20"/>
              </w:rPr>
              <w:t>12</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2946D1CB" w14:textId="6FCDE765">
            <w:pPr>
              <w:jc w:val="center"/>
              <w:rPr>
                <w:sz w:val="20"/>
                <w:szCs w:val="20"/>
              </w:rPr>
            </w:pPr>
            <w:r>
              <w:rPr>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1CEB2626" w14:textId="4777D2A0">
            <w:pPr>
              <w:jc w:val="center"/>
              <w:rPr>
                <w:sz w:val="20"/>
                <w:szCs w:val="20"/>
              </w:rPr>
            </w:pPr>
            <w:r>
              <w:rPr>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04234BA3" w14:textId="32836190">
            <w:pPr>
              <w:jc w:val="center"/>
              <w:rPr>
                <w:sz w:val="20"/>
                <w:szCs w:val="20"/>
              </w:rPr>
            </w:pPr>
            <w:r>
              <w:rPr>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591958CC" w14:textId="19DDA6A5">
            <w:pPr>
              <w:jc w:val="center"/>
              <w:rPr>
                <w:sz w:val="20"/>
                <w:szCs w:val="20"/>
              </w:rPr>
            </w:pPr>
            <w:r>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3C7066DF" w14:textId="536A3EAE">
            <w:pPr>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3F274DE8" w14:textId="6F5DCDB8">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61E48F67" w14:textId="2229FF48">
            <w:pPr>
              <w:jc w:val="right"/>
              <w:rPr>
                <w:sz w:val="20"/>
                <w:szCs w:val="20"/>
              </w:rPr>
            </w:pPr>
            <w:r>
              <w:rPr>
                <w:sz w:val="20"/>
                <w:szCs w:val="20"/>
              </w:rPr>
              <w:t xml:space="preserve">$0 </w:t>
            </w:r>
          </w:p>
        </w:tc>
      </w:tr>
      <w:tr w14:paraId="2EC23D14"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72AD7C79" w14:textId="77777777">
            <w:pPr>
              <w:ind w:firstLine="400" w:firstLineChars="200"/>
              <w:rPr>
                <w:sz w:val="20"/>
                <w:szCs w:val="20"/>
              </w:rPr>
            </w:pPr>
            <w:r w:rsidRPr="00113664">
              <w:rPr>
                <w:sz w:val="20"/>
                <w:szCs w:val="20"/>
              </w:rPr>
              <w:t xml:space="preserve">Initial CEMS demonstration </w:t>
            </w:r>
            <w:r w:rsidRPr="00113664">
              <w:rPr>
                <w:sz w:val="20"/>
                <w:szCs w:val="20"/>
                <w:vertAlign w:val="superscript"/>
              </w:rPr>
              <w:t>g</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048D2253" w14:textId="0729997D">
            <w:pPr>
              <w:jc w:val="center"/>
              <w:rPr>
                <w:sz w:val="20"/>
                <w:szCs w:val="20"/>
              </w:rPr>
            </w:pPr>
            <w:r>
              <w:rPr>
                <w:sz w:val="20"/>
                <w:szCs w:val="20"/>
              </w:rPr>
              <w:t>229</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356A8113" w14:textId="1DBC9F6E">
            <w:pPr>
              <w:jc w:val="center"/>
              <w:rPr>
                <w:sz w:val="20"/>
                <w:szCs w:val="20"/>
              </w:rPr>
            </w:pPr>
            <w:r>
              <w:rPr>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51E69536" w14:textId="08A2DC88">
            <w:pPr>
              <w:jc w:val="center"/>
              <w:rPr>
                <w:sz w:val="20"/>
                <w:szCs w:val="20"/>
              </w:rPr>
            </w:pPr>
            <w:r>
              <w:rPr>
                <w:sz w:val="20"/>
                <w:szCs w:val="20"/>
              </w:rPr>
              <w:t>229</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15F71442" w14:textId="06E5F63E">
            <w:pPr>
              <w:jc w:val="center"/>
              <w:rPr>
                <w:sz w:val="20"/>
                <w:szCs w:val="20"/>
              </w:rPr>
            </w:pPr>
            <w:r>
              <w:rPr>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42D0E112" w14:textId="72FB25E0">
            <w:pPr>
              <w:jc w:val="center"/>
              <w:rPr>
                <w:sz w:val="20"/>
                <w:szCs w:val="20"/>
              </w:rPr>
            </w:pPr>
            <w:r>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6257591C" w14:textId="2C9CACFC">
            <w:pPr>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4C0284C0" w14:textId="055BA1AF">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17ABA413" w14:textId="3A34DAA0">
            <w:pPr>
              <w:jc w:val="right"/>
              <w:rPr>
                <w:sz w:val="20"/>
                <w:szCs w:val="20"/>
              </w:rPr>
            </w:pPr>
            <w:r>
              <w:rPr>
                <w:sz w:val="20"/>
                <w:szCs w:val="20"/>
              </w:rPr>
              <w:t xml:space="preserve">$0 </w:t>
            </w:r>
          </w:p>
        </w:tc>
      </w:tr>
      <w:tr w14:paraId="0568CEFA"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EE3519" w:rsidRPr="00113664" w:rsidP="00EE3519" w14:paraId="6CADE960" w14:textId="77777777">
            <w:pPr>
              <w:ind w:left="420" w:hanging="1"/>
              <w:rPr>
                <w:sz w:val="20"/>
                <w:szCs w:val="20"/>
              </w:rPr>
            </w:pPr>
            <w:r w:rsidRPr="00113664">
              <w:rPr>
                <w:sz w:val="20"/>
                <w:szCs w:val="20"/>
              </w:rPr>
              <w:t xml:space="preserve">Quarterly Appendix F audits of CEMS (THC) </w:t>
            </w:r>
            <w:r w:rsidRPr="00113664">
              <w:rPr>
                <w:sz w:val="20"/>
                <w:szCs w:val="20"/>
                <w:vertAlign w:val="superscript"/>
              </w:rPr>
              <w:t>g</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66DF0228" w14:textId="4E8EF84E">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1462A328" w14:textId="5C6D7786">
            <w:pPr>
              <w:jc w:val="center"/>
              <w:rPr>
                <w:sz w:val="20"/>
                <w:szCs w:val="20"/>
              </w:rPr>
            </w:pPr>
            <w:r>
              <w:rPr>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2719FB37" w14:textId="08D35B7A">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2AC743F9" w14:textId="6EBB6427">
            <w:pPr>
              <w:jc w:val="center"/>
              <w:rPr>
                <w:sz w:val="20"/>
                <w:szCs w:val="20"/>
              </w:rPr>
            </w:pPr>
            <w:r>
              <w:rPr>
                <w:sz w:val="20"/>
                <w:szCs w:val="20"/>
              </w:rPr>
              <w:t> </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39877CE0" w14:textId="234F4661">
            <w:pPr>
              <w:jc w:val="center"/>
              <w:rPr>
                <w:sz w:val="20"/>
                <w:szCs w:val="20"/>
              </w:rPr>
            </w:pPr>
            <w:r>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1DCE79EA" w14:textId="7E53216D">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1527C600" w14:textId="7C6F7BAA">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31E3A61F" w14:textId="7172F9FA">
            <w:pPr>
              <w:jc w:val="right"/>
              <w:rPr>
                <w:sz w:val="20"/>
                <w:szCs w:val="20"/>
              </w:rPr>
            </w:pPr>
            <w:r>
              <w:rPr>
                <w:sz w:val="20"/>
                <w:szCs w:val="20"/>
              </w:rPr>
              <w:t> </w:t>
            </w:r>
          </w:p>
        </w:tc>
      </w:tr>
      <w:tr w14:paraId="4763A106"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EE3519" w:rsidRPr="00113664" w:rsidP="00EE3519" w14:paraId="20D90CE3" w14:textId="77777777">
            <w:pPr>
              <w:ind w:firstLine="420"/>
              <w:rPr>
                <w:sz w:val="20"/>
                <w:szCs w:val="20"/>
              </w:rPr>
            </w:pPr>
            <w:r w:rsidRPr="00113664">
              <w:rPr>
                <w:sz w:val="20"/>
                <w:szCs w:val="20"/>
              </w:rPr>
              <w:t>a)</w:t>
            </w:r>
            <w:r>
              <w:rPr>
                <w:sz w:val="20"/>
                <w:szCs w:val="20"/>
              </w:rPr>
              <w:t xml:space="preserve"> </w:t>
            </w:r>
            <w:r w:rsidRPr="00113664">
              <w:rPr>
                <w:sz w:val="20"/>
                <w:szCs w:val="20"/>
              </w:rPr>
              <w:t xml:space="preserve">RATA audit (one per year)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41D01F8E" w14:textId="31D4C5CB">
            <w:pPr>
              <w:jc w:val="center"/>
              <w:rPr>
                <w:sz w:val="20"/>
                <w:szCs w:val="20"/>
              </w:rPr>
            </w:pPr>
            <w:r>
              <w:rPr>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6857622D" w14:textId="14ECBD70">
            <w:pPr>
              <w:jc w:val="center"/>
              <w:rPr>
                <w:sz w:val="20"/>
                <w:szCs w:val="20"/>
              </w:rPr>
            </w:pPr>
            <w:r>
              <w:rPr>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7B5E3F25" w14:textId="0D91EE52">
            <w:pPr>
              <w:jc w:val="center"/>
              <w:rPr>
                <w:sz w:val="20"/>
                <w:szCs w:val="20"/>
              </w:rPr>
            </w:pPr>
            <w:r>
              <w:rPr>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69A976BC" w14:textId="20CBD4D0">
            <w:pPr>
              <w:jc w:val="center"/>
              <w:rPr>
                <w:sz w:val="20"/>
                <w:szCs w:val="20"/>
              </w:rPr>
            </w:pPr>
            <w:r>
              <w:rPr>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253CF3B9" w14:textId="69DE6C2A">
            <w:pPr>
              <w:jc w:val="center"/>
              <w:rPr>
                <w:sz w:val="20"/>
                <w:szCs w:val="20"/>
              </w:rPr>
            </w:pPr>
            <w:r>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2E5EC97D" w14:textId="37D82915">
            <w:pPr>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05648C9E" w14:textId="557804C2">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7D733275" w14:textId="63E9DC57">
            <w:pPr>
              <w:jc w:val="right"/>
              <w:rPr>
                <w:sz w:val="20"/>
                <w:szCs w:val="20"/>
              </w:rPr>
            </w:pPr>
            <w:r>
              <w:rPr>
                <w:sz w:val="20"/>
                <w:szCs w:val="20"/>
              </w:rPr>
              <w:t xml:space="preserve">$0 </w:t>
            </w:r>
          </w:p>
        </w:tc>
      </w:tr>
      <w:tr w14:paraId="4627251A"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EE3519" w:rsidRPr="00113664" w:rsidP="00EE3519" w14:paraId="54253A05" w14:textId="77777777">
            <w:pPr>
              <w:ind w:firstLine="420"/>
              <w:rPr>
                <w:sz w:val="20"/>
                <w:szCs w:val="20"/>
              </w:rPr>
            </w:pPr>
            <w:r w:rsidRPr="00113664">
              <w:rPr>
                <w:sz w:val="20"/>
                <w:szCs w:val="20"/>
              </w:rPr>
              <w:t>b)</w:t>
            </w:r>
            <w:r>
              <w:rPr>
                <w:sz w:val="20"/>
                <w:szCs w:val="20"/>
              </w:rPr>
              <w:t xml:space="preserve"> </w:t>
            </w:r>
            <w:r w:rsidRPr="00113664">
              <w:rPr>
                <w:sz w:val="20"/>
                <w:szCs w:val="20"/>
              </w:rPr>
              <w:t xml:space="preserve">RAA audit (three per year)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332FBFAA" w14:textId="094C9992">
            <w:pPr>
              <w:jc w:val="center"/>
              <w:rPr>
                <w:sz w:val="20"/>
                <w:szCs w:val="20"/>
              </w:rPr>
            </w:pPr>
            <w:r>
              <w:rPr>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49D89B2C" w14:textId="1CF799A4">
            <w:pPr>
              <w:jc w:val="center"/>
              <w:rPr>
                <w:sz w:val="20"/>
                <w:szCs w:val="20"/>
              </w:rPr>
            </w:pPr>
            <w:r>
              <w:rPr>
                <w:sz w:val="20"/>
                <w:szCs w:val="20"/>
              </w:rPr>
              <w:t>3</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15C5CC97" w14:textId="3306C52C">
            <w:pPr>
              <w:jc w:val="center"/>
              <w:rPr>
                <w:sz w:val="20"/>
                <w:szCs w:val="20"/>
              </w:rPr>
            </w:pPr>
            <w:r>
              <w:rPr>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60467C05" w14:textId="5B321373">
            <w:pPr>
              <w:jc w:val="center"/>
              <w:rPr>
                <w:sz w:val="20"/>
                <w:szCs w:val="20"/>
              </w:rPr>
            </w:pPr>
            <w:r>
              <w:rPr>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0B10AA61" w14:textId="2C62813E">
            <w:pPr>
              <w:jc w:val="center"/>
              <w:rPr>
                <w:sz w:val="20"/>
                <w:szCs w:val="20"/>
              </w:rPr>
            </w:pPr>
            <w:r>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1965078F" w14:textId="0C0F6A1A">
            <w:pPr>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53DFB4E4" w14:textId="5429B82B">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482B74A8" w14:textId="7740FE85">
            <w:pPr>
              <w:jc w:val="right"/>
              <w:rPr>
                <w:sz w:val="20"/>
                <w:szCs w:val="20"/>
              </w:rPr>
            </w:pPr>
            <w:r>
              <w:rPr>
                <w:sz w:val="20"/>
                <w:szCs w:val="20"/>
              </w:rPr>
              <w:t xml:space="preserve">$0 </w:t>
            </w:r>
          </w:p>
        </w:tc>
      </w:tr>
      <w:tr w14:paraId="4FFD51A7"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EE3519" w:rsidRPr="00113664" w:rsidP="00EE3519" w14:paraId="66C728A4" w14:textId="77777777">
            <w:pPr>
              <w:ind w:firstLine="420"/>
              <w:rPr>
                <w:sz w:val="20"/>
                <w:szCs w:val="20"/>
              </w:rPr>
            </w:pPr>
            <w:r w:rsidRPr="00113664">
              <w:rPr>
                <w:sz w:val="20"/>
                <w:szCs w:val="20"/>
              </w:rPr>
              <w:t>c)</w:t>
            </w:r>
            <w:r>
              <w:rPr>
                <w:sz w:val="20"/>
                <w:szCs w:val="20"/>
              </w:rPr>
              <w:t xml:space="preserve"> </w:t>
            </w:r>
            <w:r w:rsidRPr="00113664">
              <w:rPr>
                <w:sz w:val="20"/>
                <w:szCs w:val="20"/>
              </w:rPr>
              <w:t>Daily calibration and operation</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016EFF63" w14:textId="77C23207">
            <w:pPr>
              <w:jc w:val="center"/>
              <w:rPr>
                <w:sz w:val="20"/>
                <w:szCs w:val="20"/>
              </w:rPr>
            </w:pPr>
            <w:r>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1A482A58" w14:textId="381EBE57">
            <w:pPr>
              <w:jc w:val="center"/>
              <w:rPr>
                <w:sz w:val="20"/>
                <w:szCs w:val="20"/>
              </w:rPr>
            </w:pPr>
            <w:r>
              <w:rPr>
                <w:sz w:val="20"/>
                <w:szCs w:val="20"/>
              </w:rPr>
              <w:t>365</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5D8D4058" w14:textId="4F2D9142">
            <w:pPr>
              <w:jc w:val="center"/>
              <w:rPr>
                <w:sz w:val="20"/>
                <w:szCs w:val="20"/>
              </w:rPr>
            </w:pPr>
            <w:r>
              <w:rPr>
                <w:sz w:val="20"/>
                <w:szCs w:val="20"/>
              </w:rPr>
              <w:t>365</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0EEA552A" w14:textId="51F452B7">
            <w:pPr>
              <w:jc w:val="center"/>
              <w:rPr>
                <w:sz w:val="20"/>
                <w:szCs w:val="20"/>
              </w:rPr>
            </w:pPr>
            <w:r>
              <w:rPr>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4ED1D851" w14:textId="5C3D5749">
            <w:pPr>
              <w:jc w:val="center"/>
              <w:rPr>
                <w:sz w:val="20"/>
                <w:szCs w:val="20"/>
              </w:rPr>
            </w:pPr>
            <w:r>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63646DC5" w14:textId="1A727CD6">
            <w:pPr>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1ED4104F" w14:textId="6ED20E52">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48827633" w14:textId="3C563236">
            <w:pPr>
              <w:jc w:val="right"/>
              <w:rPr>
                <w:sz w:val="20"/>
                <w:szCs w:val="20"/>
              </w:rPr>
            </w:pPr>
            <w:r>
              <w:rPr>
                <w:sz w:val="20"/>
                <w:szCs w:val="20"/>
              </w:rPr>
              <w:t xml:space="preserve">$0 </w:t>
            </w:r>
          </w:p>
        </w:tc>
      </w:tr>
      <w:tr w14:paraId="3CA31967"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44324650" w14:textId="77777777">
            <w:pPr>
              <w:rPr>
                <w:sz w:val="20"/>
                <w:szCs w:val="20"/>
              </w:rPr>
            </w:pPr>
            <w:r w:rsidRPr="00113664">
              <w:rPr>
                <w:sz w:val="20"/>
                <w:szCs w:val="20"/>
              </w:rPr>
              <w:t>C.</w:t>
            </w:r>
            <w:r>
              <w:rPr>
                <w:sz w:val="20"/>
                <w:szCs w:val="20"/>
              </w:rPr>
              <w:t xml:space="preserve"> </w:t>
            </w:r>
            <w:r w:rsidRPr="00113664">
              <w:rPr>
                <w:sz w:val="20"/>
                <w:szCs w:val="20"/>
              </w:rPr>
              <w:t>Create information</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57C05250" w14:textId="5ED200C5">
            <w:pPr>
              <w:jc w:val="center"/>
              <w:rPr>
                <w:sz w:val="20"/>
                <w:szCs w:val="20"/>
              </w:rPr>
            </w:pPr>
            <w:r>
              <w:rPr>
                <w:sz w:val="20"/>
                <w:szCs w:val="20"/>
              </w:rPr>
              <w:t>See 3B</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0822AC72" w14:textId="40858A11">
            <w:pPr>
              <w:rPr>
                <w:rFonts w:ascii="Calibri" w:hAnsi="Calibri" w:cs="Calibri"/>
              </w:rPr>
            </w:pPr>
            <w:r>
              <w:rPr>
                <w:rFonts w:ascii="Calibri" w:hAnsi="Calibri" w:cs="Calibri"/>
              </w:rPr>
              <w:t> </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353E3BAD" w14:textId="6C99493D">
            <w:pPr>
              <w:rPr>
                <w:rFonts w:ascii="Calibri" w:hAnsi="Calibri" w:cs="Calibri"/>
              </w:rPr>
            </w:pPr>
            <w:r>
              <w:rPr>
                <w:rFonts w:ascii="Calibri" w:hAnsi="Calibri" w:cs="Calibri"/>
              </w:rPr>
              <w:t> </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2F842069" w14:textId="1E0B7128">
            <w:pPr>
              <w:jc w:val="center"/>
              <w:rPr>
                <w:sz w:val="20"/>
                <w:szCs w:val="20"/>
              </w:rPr>
            </w:pPr>
            <w:r>
              <w:rPr>
                <w:sz w:val="20"/>
                <w:szCs w:val="20"/>
              </w:rPr>
              <w:t> </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7ADC1756" w14:textId="13A8F37E">
            <w:pPr>
              <w:rPr>
                <w:rFonts w:ascii="Calibri" w:hAnsi="Calibri" w:cs="Calibri"/>
              </w:rPr>
            </w:pPr>
            <w:r>
              <w:rPr>
                <w:rFonts w:ascii="Calibri" w:hAnsi="Calibri" w:cs="Calibri"/>
              </w:rPr>
              <w:t> </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68782B1C" w14:textId="1CE3BEA0">
            <w:pPr>
              <w:rPr>
                <w:rFonts w:ascii="Calibri" w:hAnsi="Calibri" w:cs="Calibri"/>
              </w:rPr>
            </w:pPr>
            <w:r>
              <w:rPr>
                <w:rFonts w:ascii="Calibri" w:hAnsi="Calibri" w:cs="Calibri"/>
              </w:rPr>
              <w:t> </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651ACE86" w14:textId="7D7D09A4">
            <w:pPr>
              <w:rPr>
                <w:rFonts w:ascii="Calibri" w:hAnsi="Calibri" w:cs="Calibri"/>
              </w:rPr>
            </w:pPr>
            <w:r>
              <w:rPr>
                <w:rFonts w:ascii="Calibri" w:hAnsi="Calibri" w:cs="Calibri"/>
              </w:rPr>
              <w:t> </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5071E676" w14:textId="16AE4246">
            <w:pPr>
              <w:jc w:val="right"/>
              <w:rPr>
                <w:sz w:val="20"/>
                <w:szCs w:val="20"/>
              </w:rPr>
            </w:pPr>
            <w:r>
              <w:rPr>
                <w:sz w:val="20"/>
                <w:szCs w:val="20"/>
              </w:rPr>
              <w:t> </w:t>
            </w:r>
          </w:p>
        </w:tc>
      </w:tr>
      <w:tr w14:paraId="6BC5EE4B"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58126AC5" w14:textId="77777777">
            <w:pPr>
              <w:rPr>
                <w:sz w:val="20"/>
                <w:szCs w:val="20"/>
              </w:rPr>
            </w:pPr>
            <w:r w:rsidRPr="00113664">
              <w:rPr>
                <w:sz w:val="20"/>
                <w:szCs w:val="20"/>
              </w:rPr>
              <w:t>D.</w:t>
            </w:r>
            <w:r>
              <w:rPr>
                <w:sz w:val="20"/>
                <w:szCs w:val="20"/>
              </w:rPr>
              <w:t xml:space="preserve"> </w:t>
            </w:r>
            <w:r w:rsidRPr="00113664">
              <w:rPr>
                <w:sz w:val="20"/>
                <w:szCs w:val="20"/>
              </w:rPr>
              <w:t>Gather existing information</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5596E60D" w14:textId="1A47556D">
            <w:pPr>
              <w:jc w:val="center"/>
              <w:rPr>
                <w:sz w:val="20"/>
                <w:szCs w:val="20"/>
              </w:rPr>
            </w:pPr>
            <w:r>
              <w:rPr>
                <w:sz w:val="20"/>
                <w:szCs w:val="20"/>
              </w:rPr>
              <w:t>See 3B</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19045C70" w14:textId="7C77F844">
            <w:pPr>
              <w:rPr>
                <w:rFonts w:ascii="Calibri" w:hAnsi="Calibri" w:cs="Calibri"/>
              </w:rPr>
            </w:pPr>
            <w:r>
              <w:rPr>
                <w:rFonts w:ascii="Calibri" w:hAnsi="Calibri" w:cs="Calibri"/>
              </w:rPr>
              <w:t> </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575AF4C0" w14:textId="38BAD5F5">
            <w:pPr>
              <w:rPr>
                <w:rFonts w:ascii="Calibri" w:hAnsi="Calibri" w:cs="Calibri"/>
              </w:rPr>
            </w:pPr>
            <w:r>
              <w:rPr>
                <w:rFonts w:ascii="Calibri" w:hAnsi="Calibri" w:cs="Calibri"/>
              </w:rPr>
              <w:t> </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576C4F34" w14:textId="3A1C78B0">
            <w:pPr>
              <w:jc w:val="center"/>
              <w:rPr>
                <w:sz w:val="20"/>
                <w:szCs w:val="20"/>
              </w:rPr>
            </w:pPr>
            <w:r>
              <w:rPr>
                <w:sz w:val="20"/>
                <w:szCs w:val="20"/>
              </w:rPr>
              <w:t> </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7127557B" w14:textId="7714D97F">
            <w:pPr>
              <w:rPr>
                <w:rFonts w:ascii="Calibri" w:hAnsi="Calibri" w:cs="Calibri"/>
              </w:rPr>
            </w:pPr>
            <w:r>
              <w:rPr>
                <w:rFonts w:ascii="Calibri" w:hAnsi="Calibri" w:cs="Calibri"/>
              </w:rPr>
              <w:t> </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0D07367D" w14:textId="01F31F2F">
            <w:pPr>
              <w:rPr>
                <w:rFonts w:ascii="Calibri" w:hAnsi="Calibri" w:cs="Calibri"/>
              </w:rPr>
            </w:pPr>
            <w:r>
              <w:rPr>
                <w:rFonts w:ascii="Calibri" w:hAnsi="Calibri" w:cs="Calibri"/>
              </w:rPr>
              <w:t> </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68C214FA" w14:textId="0590582D">
            <w:pPr>
              <w:rPr>
                <w:rFonts w:ascii="Calibri" w:hAnsi="Calibri" w:cs="Calibri"/>
              </w:rPr>
            </w:pPr>
            <w:r>
              <w:rPr>
                <w:rFonts w:ascii="Calibri" w:hAnsi="Calibri" w:cs="Calibri"/>
              </w:rPr>
              <w:t> </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78ABA42B" w14:textId="6DF8D6AC">
            <w:pPr>
              <w:jc w:val="right"/>
              <w:rPr>
                <w:sz w:val="20"/>
                <w:szCs w:val="20"/>
              </w:rPr>
            </w:pPr>
            <w:r>
              <w:rPr>
                <w:sz w:val="20"/>
                <w:szCs w:val="20"/>
              </w:rPr>
              <w:t> </w:t>
            </w:r>
          </w:p>
        </w:tc>
      </w:tr>
      <w:tr w14:paraId="79E87DB9"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2353AA02" w14:textId="77777777">
            <w:pPr>
              <w:rPr>
                <w:sz w:val="20"/>
                <w:szCs w:val="20"/>
              </w:rPr>
            </w:pPr>
            <w:r w:rsidRPr="00113664">
              <w:rPr>
                <w:sz w:val="20"/>
                <w:szCs w:val="20"/>
              </w:rPr>
              <w:t>E.</w:t>
            </w:r>
            <w:r>
              <w:rPr>
                <w:sz w:val="20"/>
                <w:szCs w:val="20"/>
              </w:rPr>
              <w:t xml:space="preserve"> </w:t>
            </w:r>
            <w:r w:rsidRPr="00113664">
              <w:rPr>
                <w:sz w:val="20"/>
                <w:szCs w:val="20"/>
              </w:rPr>
              <w:t>Write report</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5BADE4D1" w14:textId="6F4A64ED">
            <w:pPr>
              <w:rPr>
                <w:rFonts w:ascii="Calibri" w:hAnsi="Calibri" w:cs="Calibri"/>
              </w:rPr>
            </w:pPr>
            <w:r>
              <w:rPr>
                <w:rFonts w:ascii="Calibri" w:hAnsi="Calibri" w:cs="Calibri"/>
              </w:rPr>
              <w:t> </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39301AD1" w14:textId="143185E7">
            <w:pPr>
              <w:rPr>
                <w:rFonts w:ascii="Calibri" w:hAnsi="Calibri" w:cs="Calibri"/>
              </w:rPr>
            </w:pPr>
            <w:r>
              <w:rPr>
                <w:rFonts w:ascii="Calibri" w:hAnsi="Calibri" w:cs="Calibri"/>
              </w:rPr>
              <w:t> </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05818531" w14:textId="25877853">
            <w:pPr>
              <w:rPr>
                <w:rFonts w:ascii="Calibri" w:hAnsi="Calibri" w:cs="Calibri"/>
              </w:rPr>
            </w:pPr>
            <w:r>
              <w:rPr>
                <w:rFonts w:ascii="Calibri" w:hAnsi="Calibri" w:cs="Calibri"/>
              </w:rPr>
              <w:t> </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54DF644B" w14:textId="32EC2FF6">
            <w:pPr>
              <w:jc w:val="center"/>
              <w:rPr>
                <w:sz w:val="20"/>
                <w:szCs w:val="20"/>
              </w:rPr>
            </w:pPr>
            <w:r>
              <w:rPr>
                <w:sz w:val="20"/>
                <w:szCs w:val="20"/>
              </w:rPr>
              <w:t> </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191773A1" w14:textId="46BA58B6">
            <w:pPr>
              <w:rPr>
                <w:rFonts w:ascii="Calibri" w:hAnsi="Calibri" w:cs="Calibri"/>
              </w:rPr>
            </w:pPr>
            <w:r>
              <w:rPr>
                <w:rFonts w:ascii="Calibri" w:hAnsi="Calibri" w:cs="Calibri"/>
              </w:rPr>
              <w:t> </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33BBADEC" w14:textId="3315A79D">
            <w:pPr>
              <w:rPr>
                <w:rFonts w:ascii="Calibri" w:hAnsi="Calibri" w:cs="Calibri"/>
              </w:rPr>
            </w:pPr>
            <w:r>
              <w:rPr>
                <w:rFonts w:ascii="Calibri" w:hAnsi="Calibri" w:cs="Calibri"/>
              </w:rPr>
              <w:t> </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420C06AF" w14:textId="0D18F742">
            <w:pPr>
              <w:rPr>
                <w:rFonts w:ascii="Calibri" w:hAnsi="Calibri" w:cs="Calibri"/>
              </w:rPr>
            </w:pPr>
            <w:r>
              <w:rPr>
                <w:rFonts w:ascii="Calibri" w:hAnsi="Calibri" w:cs="Calibri"/>
              </w:rPr>
              <w:t> </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62693A25" w14:textId="502D15B9">
            <w:pPr>
              <w:jc w:val="right"/>
              <w:rPr>
                <w:sz w:val="20"/>
                <w:szCs w:val="20"/>
              </w:rPr>
            </w:pPr>
            <w:r>
              <w:rPr>
                <w:sz w:val="20"/>
                <w:szCs w:val="20"/>
              </w:rPr>
              <w:t> </w:t>
            </w:r>
          </w:p>
        </w:tc>
      </w:tr>
      <w:tr w14:paraId="7C3855C3"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672C0BB4" w14:textId="77777777">
            <w:pPr>
              <w:ind w:firstLine="400" w:firstLineChars="200"/>
              <w:rPr>
                <w:sz w:val="20"/>
                <w:szCs w:val="20"/>
              </w:rPr>
            </w:pPr>
            <w:r w:rsidRPr="00113664">
              <w:rPr>
                <w:sz w:val="20"/>
                <w:szCs w:val="20"/>
              </w:rPr>
              <w:t>Notification of applicability</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1FC9EF01" w14:textId="63B896B9">
            <w:pPr>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20E2C172" w14:textId="7C523F21">
            <w:pPr>
              <w:jc w:val="center"/>
              <w:rPr>
                <w:sz w:val="20"/>
                <w:szCs w:val="20"/>
              </w:rPr>
            </w:pPr>
            <w:r>
              <w:rPr>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36240237" w14:textId="7136C390">
            <w:pPr>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1E75BC9E" w14:textId="6400E257">
            <w:pPr>
              <w:jc w:val="center"/>
              <w:rPr>
                <w:sz w:val="20"/>
                <w:szCs w:val="20"/>
              </w:rPr>
            </w:pPr>
            <w:r>
              <w:rPr>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25D1BB90" w14:textId="1920FDC8">
            <w:pPr>
              <w:jc w:val="center"/>
              <w:rPr>
                <w:sz w:val="20"/>
                <w:szCs w:val="20"/>
              </w:rPr>
            </w:pPr>
            <w:r>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7A1545B2" w14:textId="28F21DB4">
            <w:pPr>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1D1FBB52" w14:textId="69F0FA26">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656203CA" w14:textId="4F52C8B7">
            <w:pPr>
              <w:jc w:val="right"/>
              <w:rPr>
                <w:sz w:val="20"/>
                <w:szCs w:val="20"/>
              </w:rPr>
            </w:pPr>
            <w:r>
              <w:rPr>
                <w:sz w:val="20"/>
                <w:szCs w:val="20"/>
              </w:rPr>
              <w:t xml:space="preserve">$0 </w:t>
            </w:r>
          </w:p>
        </w:tc>
      </w:tr>
      <w:tr w14:paraId="75EDF7B7"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183F23EF" w14:textId="77777777">
            <w:pPr>
              <w:ind w:left="420" w:hanging="1"/>
              <w:rPr>
                <w:sz w:val="20"/>
                <w:szCs w:val="20"/>
              </w:rPr>
            </w:pPr>
            <w:r w:rsidRPr="00113664">
              <w:rPr>
                <w:sz w:val="20"/>
                <w:szCs w:val="20"/>
              </w:rPr>
              <w:t>Notification of construction/reconstruction</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495258AC" w14:textId="1160CA7B">
            <w:pPr>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772097F2" w14:textId="65A2DE26">
            <w:pPr>
              <w:jc w:val="center"/>
              <w:rPr>
                <w:sz w:val="20"/>
                <w:szCs w:val="20"/>
              </w:rPr>
            </w:pPr>
            <w:r>
              <w:rPr>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38721A79" w14:textId="622CEBDD">
            <w:pPr>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0C6E5BAB" w14:textId="660F81FA">
            <w:pPr>
              <w:jc w:val="center"/>
              <w:rPr>
                <w:sz w:val="20"/>
                <w:szCs w:val="20"/>
              </w:rPr>
            </w:pPr>
            <w:r>
              <w:rPr>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00BF5C15" w14:textId="4CBE4421">
            <w:pPr>
              <w:jc w:val="center"/>
              <w:rPr>
                <w:sz w:val="20"/>
                <w:szCs w:val="20"/>
              </w:rPr>
            </w:pPr>
            <w:r>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483C4481" w14:textId="0999427C">
            <w:pPr>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4B1CEF84" w14:textId="08EC0CF5">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301D7A6A" w14:textId="0B4836A3">
            <w:pPr>
              <w:jc w:val="right"/>
              <w:rPr>
                <w:sz w:val="20"/>
                <w:szCs w:val="20"/>
              </w:rPr>
            </w:pPr>
            <w:r>
              <w:rPr>
                <w:sz w:val="20"/>
                <w:szCs w:val="20"/>
              </w:rPr>
              <w:t xml:space="preserve">$0 </w:t>
            </w:r>
          </w:p>
        </w:tc>
      </w:tr>
      <w:tr w14:paraId="182AA87D"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4545250F" w14:textId="77777777">
            <w:pPr>
              <w:ind w:left="420" w:hanging="1"/>
              <w:rPr>
                <w:sz w:val="20"/>
                <w:szCs w:val="20"/>
              </w:rPr>
            </w:pPr>
            <w:r w:rsidRPr="00113664">
              <w:rPr>
                <w:sz w:val="20"/>
                <w:szCs w:val="20"/>
              </w:rPr>
              <w:t xml:space="preserve">Notification of anticipated startup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08AB9AC7" w14:textId="6F2B2706">
            <w:pPr>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3A5D6E1B" w14:textId="3A244EF0">
            <w:pPr>
              <w:jc w:val="center"/>
              <w:rPr>
                <w:sz w:val="20"/>
                <w:szCs w:val="20"/>
              </w:rPr>
            </w:pPr>
            <w:r>
              <w:rPr>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2D55C2EC" w14:textId="6248994E">
            <w:pPr>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4E23ABA7" w14:textId="06E3FFAE">
            <w:pPr>
              <w:jc w:val="center"/>
              <w:rPr>
                <w:sz w:val="20"/>
                <w:szCs w:val="20"/>
              </w:rPr>
            </w:pPr>
            <w:r>
              <w:rPr>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497D104A" w14:textId="38DE5FFA">
            <w:pPr>
              <w:jc w:val="center"/>
              <w:rPr>
                <w:sz w:val="20"/>
                <w:szCs w:val="20"/>
              </w:rPr>
            </w:pPr>
            <w:r>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5DE6D2EE" w14:textId="29227F65">
            <w:pPr>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7B36CB73" w14:textId="1D7319C6">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0027F690" w14:textId="0717A14C">
            <w:pPr>
              <w:jc w:val="right"/>
              <w:rPr>
                <w:sz w:val="20"/>
                <w:szCs w:val="20"/>
              </w:rPr>
            </w:pPr>
            <w:r>
              <w:rPr>
                <w:sz w:val="20"/>
                <w:szCs w:val="20"/>
              </w:rPr>
              <w:t xml:space="preserve">$0 </w:t>
            </w:r>
          </w:p>
        </w:tc>
      </w:tr>
      <w:tr w14:paraId="08165808"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378E8367" w14:textId="77777777">
            <w:pPr>
              <w:ind w:left="420" w:hanging="1"/>
              <w:rPr>
                <w:sz w:val="20"/>
                <w:szCs w:val="20"/>
              </w:rPr>
            </w:pPr>
            <w:r w:rsidRPr="00113664">
              <w:rPr>
                <w:sz w:val="20"/>
                <w:szCs w:val="20"/>
              </w:rPr>
              <w:t>Notification of actual startup</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7153CCE7" w14:textId="2876E3BC">
            <w:pPr>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36E8BF11" w14:textId="761D4CC8">
            <w:pPr>
              <w:jc w:val="center"/>
              <w:rPr>
                <w:sz w:val="20"/>
                <w:szCs w:val="20"/>
              </w:rPr>
            </w:pPr>
            <w:r>
              <w:rPr>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19F6C07A" w14:textId="6D4C06F1">
            <w:pPr>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2A42BEDF" w14:textId="2F09B87C">
            <w:pPr>
              <w:jc w:val="center"/>
              <w:rPr>
                <w:sz w:val="20"/>
                <w:szCs w:val="20"/>
              </w:rPr>
            </w:pPr>
            <w:r>
              <w:rPr>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5DA12D7A" w14:textId="7EFD96F5">
            <w:pPr>
              <w:jc w:val="center"/>
              <w:rPr>
                <w:sz w:val="20"/>
                <w:szCs w:val="20"/>
              </w:rPr>
            </w:pPr>
            <w:r>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0B5A9191" w14:textId="3554D659">
            <w:pPr>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2C8F1EE6" w14:textId="00A492EE">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09A13261" w14:textId="18889440">
            <w:pPr>
              <w:jc w:val="right"/>
              <w:rPr>
                <w:sz w:val="20"/>
                <w:szCs w:val="20"/>
              </w:rPr>
            </w:pPr>
            <w:r>
              <w:rPr>
                <w:sz w:val="20"/>
                <w:szCs w:val="20"/>
              </w:rPr>
              <w:t xml:space="preserve">$0 </w:t>
            </w:r>
          </w:p>
        </w:tc>
      </w:tr>
      <w:tr w14:paraId="24FD89C4"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5C3BE580" w14:textId="77777777">
            <w:pPr>
              <w:ind w:left="420" w:hanging="1"/>
              <w:rPr>
                <w:color w:val="000000"/>
                <w:sz w:val="20"/>
                <w:szCs w:val="20"/>
              </w:rPr>
            </w:pPr>
            <w:r w:rsidRPr="00113664">
              <w:rPr>
                <w:color w:val="000000"/>
                <w:sz w:val="20"/>
                <w:szCs w:val="20"/>
              </w:rPr>
              <w:t xml:space="preserve">Notification of performance test </w:t>
            </w:r>
            <w:r w:rsidRPr="00113664">
              <w:rPr>
                <w:color w:val="000000"/>
                <w:sz w:val="20"/>
                <w:szCs w:val="20"/>
                <w:vertAlign w:val="superscript"/>
              </w:rPr>
              <w:t>e</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00E03AFE" w14:textId="493E9EE4">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3543CD6F" w14:textId="175A9480">
            <w:pPr>
              <w:jc w:val="center"/>
              <w:rPr>
                <w:color w:val="000000"/>
                <w:sz w:val="20"/>
                <w:szCs w:val="20"/>
              </w:rPr>
            </w:pPr>
            <w:r>
              <w:rPr>
                <w:color w:val="000000"/>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052CE6C8" w14:textId="5283D103">
            <w:pPr>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269E4243" w14:textId="7324851A">
            <w:pPr>
              <w:jc w:val="center"/>
              <w:rPr>
                <w:color w:val="000000"/>
                <w:sz w:val="20"/>
                <w:szCs w:val="20"/>
              </w:rPr>
            </w:pPr>
            <w:r>
              <w:rPr>
                <w:color w:val="000000"/>
                <w:sz w:val="20"/>
                <w:szCs w:val="20"/>
              </w:rPr>
              <w:t>2</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2060DDFE" w14:textId="0B217042">
            <w:pPr>
              <w:jc w:val="center"/>
              <w:rPr>
                <w:color w:val="000000"/>
                <w:sz w:val="20"/>
                <w:szCs w:val="20"/>
              </w:rPr>
            </w:pPr>
            <w:r>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3F312CB5" w14:textId="4C51806C">
            <w:pPr>
              <w:jc w:val="center"/>
              <w:rPr>
                <w:color w:val="000000"/>
                <w:sz w:val="20"/>
                <w:szCs w:val="20"/>
              </w:rPr>
            </w:pPr>
            <w:r>
              <w:rPr>
                <w:color w:val="000000"/>
                <w:sz w:val="20"/>
                <w:szCs w:val="20"/>
              </w:rPr>
              <w:t>0.2</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5C8CEC43" w14:textId="59F6E084">
            <w:pPr>
              <w:jc w:val="center"/>
              <w:rPr>
                <w:color w:val="000000"/>
                <w:sz w:val="20"/>
                <w:szCs w:val="20"/>
              </w:rPr>
            </w:pPr>
            <w:r>
              <w:rPr>
                <w:color w:val="000000"/>
                <w:sz w:val="20"/>
                <w:szCs w:val="20"/>
              </w:rPr>
              <w:t>0.4</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2550BA08" w14:textId="547D9647">
            <w:pPr>
              <w:jc w:val="right"/>
              <w:rPr>
                <w:color w:val="000000"/>
                <w:sz w:val="20"/>
                <w:szCs w:val="20"/>
              </w:rPr>
            </w:pPr>
            <w:r>
              <w:rPr>
                <w:sz w:val="20"/>
                <w:szCs w:val="20"/>
              </w:rPr>
              <w:t xml:space="preserve">$630 </w:t>
            </w:r>
          </w:p>
        </w:tc>
      </w:tr>
      <w:tr w14:paraId="30975A75"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2D9AFB45" w14:textId="77777777">
            <w:pPr>
              <w:ind w:left="420" w:hanging="1"/>
              <w:rPr>
                <w:color w:val="000000"/>
                <w:sz w:val="20"/>
                <w:szCs w:val="20"/>
              </w:rPr>
            </w:pPr>
            <w:r w:rsidRPr="00113664">
              <w:rPr>
                <w:color w:val="000000"/>
                <w:sz w:val="20"/>
                <w:szCs w:val="20"/>
              </w:rPr>
              <w:t xml:space="preserve">Notification of compliance status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E3519" w:rsidRPr="00113664" w:rsidP="00EE3519" w14:paraId="2DA66274" w14:textId="6AC4A2CB">
            <w:pPr>
              <w:jc w:val="center"/>
              <w:rPr>
                <w:color w:val="000000"/>
                <w:sz w:val="20"/>
                <w:szCs w:val="20"/>
              </w:rPr>
            </w:pPr>
            <w:r>
              <w:rPr>
                <w:color w:val="000000"/>
                <w:sz w:val="20"/>
                <w:szCs w:val="20"/>
              </w:rPr>
              <w:t>16</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631BD48E" w14:textId="46DF6F2B">
            <w:pPr>
              <w:jc w:val="center"/>
              <w:rPr>
                <w:color w:val="000000"/>
                <w:sz w:val="20"/>
                <w:szCs w:val="20"/>
              </w:rPr>
            </w:pPr>
            <w:r>
              <w:rPr>
                <w:color w:val="000000"/>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3DB63250" w14:textId="36EF25B5">
            <w:pPr>
              <w:jc w:val="center"/>
              <w:rPr>
                <w:sz w:val="20"/>
                <w:szCs w:val="20"/>
              </w:rPr>
            </w:pPr>
            <w:r>
              <w:rPr>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11B50207" w14:textId="31FF030A">
            <w:pPr>
              <w:jc w:val="center"/>
              <w:rPr>
                <w:color w:val="000000"/>
                <w:sz w:val="20"/>
                <w:szCs w:val="20"/>
              </w:rPr>
            </w:pPr>
            <w:r>
              <w:rPr>
                <w:color w:val="000000"/>
                <w:sz w:val="20"/>
                <w:szCs w:val="20"/>
              </w:rPr>
              <w:t>2</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681B8DA6" w14:textId="529453CB">
            <w:pPr>
              <w:jc w:val="center"/>
              <w:rPr>
                <w:color w:val="000000"/>
                <w:sz w:val="20"/>
                <w:szCs w:val="20"/>
              </w:rPr>
            </w:pPr>
            <w:r>
              <w:rPr>
                <w:color w:val="000000"/>
                <w:sz w:val="20"/>
                <w:szCs w:val="20"/>
              </w:rPr>
              <w:t>32</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0416019C" w14:textId="2D39CC9E">
            <w:pPr>
              <w:jc w:val="center"/>
              <w:rPr>
                <w:color w:val="000000"/>
                <w:sz w:val="20"/>
                <w:szCs w:val="20"/>
              </w:rPr>
            </w:pPr>
            <w:r>
              <w:rPr>
                <w:color w:val="000000"/>
                <w:sz w:val="20"/>
                <w:szCs w:val="20"/>
              </w:rPr>
              <w:t>1.6</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5B486B27" w14:textId="460045B8">
            <w:pPr>
              <w:jc w:val="center"/>
              <w:rPr>
                <w:color w:val="000000"/>
                <w:sz w:val="20"/>
                <w:szCs w:val="20"/>
              </w:rPr>
            </w:pPr>
            <w:r>
              <w:rPr>
                <w:color w:val="000000"/>
                <w:sz w:val="20"/>
                <w:szCs w:val="20"/>
              </w:rPr>
              <w:t>3.2</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04439AD4" w14:textId="1D7B4EF2">
            <w:pPr>
              <w:jc w:val="right"/>
              <w:rPr>
                <w:color w:val="000000"/>
                <w:sz w:val="20"/>
                <w:szCs w:val="20"/>
              </w:rPr>
            </w:pPr>
            <w:r>
              <w:rPr>
                <w:sz w:val="20"/>
                <w:szCs w:val="20"/>
              </w:rPr>
              <w:t xml:space="preserve">$5,040 </w:t>
            </w:r>
          </w:p>
        </w:tc>
      </w:tr>
      <w:tr w14:paraId="025666C5"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3976111F" w14:textId="77777777">
            <w:pPr>
              <w:ind w:left="420" w:hanging="1"/>
              <w:rPr>
                <w:color w:val="000000"/>
                <w:sz w:val="20"/>
                <w:szCs w:val="20"/>
              </w:rPr>
            </w:pPr>
            <w:r w:rsidRPr="00113664">
              <w:rPr>
                <w:color w:val="000000"/>
                <w:sz w:val="20"/>
                <w:szCs w:val="20"/>
              </w:rPr>
              <w:t xml:space="preserve">Notification of intent to use alternative fuel </w:t>
            </w:r>
            <w:r w:rsidRPr="00113664">
              <w:rPr>
                <w:color w:val="000000"/>
                <w:sz w:val="20"/>
                <w:szCs w:val="20"/>
                <w:vertAlign w:val="superscript"/>
              </w:rPr>
              <w:t>h</w:t>
            </w:r>
          </w:p>
        </w:tc>
        <w:tc>
          <w:tcPr>
            <w:tcW w:w="1260" w:type="dxa"/>
            <w:tcBorders>
              <w:top w:val="nil"/>
              <w:left w:val="nil"/>
              <w:bottom w:val="single" w:sz="4" w:space="0" w:color="auto"/>
              <w:right w:val="single" w:sz="4" w:space="0" w:color="auto"/>
            </w:tcBorders>
            <w:shd w:val="clear" w:color="auto" w:fill="auto"/>
            <w:vAlign w:val="center"/>
            <w:hideMark/>
          </w:tcPr>
          <w:p w:rsidR="00EE3519" w:rsidRPr="00113664" w:rsidP="00EE3519" w14:paraId="017BAB35" w14:textId="24514055">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0063B4AC" w14:textId="7F028B2D">
            <w:pPr>
              <w:jc w:val="center"/>
              <w:rPr>
                <w:color w:val="000000"/>
                <w:sz w:val="20"/>
                <w:szCs w:val="20"/>
              </w:rPr>
            </w:pPr>
            <w:r>
              <w:rPr>
                <w:color w:val="000000"/>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0C16E89B" w14:textId="2F312FC2">
            <w:pPr>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65E6312C" w14:textId="21842E66">
            <w:pPr>
              <w:jc w:val="center"/>
              <w:rPr>
                <w:color w:val="000000"/>
                <w:sz w:val="20"/>
                <w:szCs w:val="20"/>
              </w:rPr>
            </w:pPr>
            <w:r>
              <w:rPr>
                <w:color w:val="000000"/>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4AF95587" w14:textId="59CCFF63">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5A52EF23" w14:textId="2FB868FA">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3AACFC6A" w14:textId="27FBC749">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195C3B2A" w14:textId="374FFEE2">
            <w:pPr>
              <w:jc w:val="right"/>
              <w:rPr>
                <w:color w:val="000000"/>
                <w:sz w:val="20"/>
                <w:szCs w:val="20"/>
              </w:rPr>
            </w:pPr>
            <w:r>
              <w:rPr>
                <w:sz w:val="20"/>
                <w:szCs w:val="20"/>
              </w:rPr>
              <w:t xml:space="preserve">$0 </w:t>
            </w:r>
          </w:p>
        </w:tc>
      </w:tr>
      <w:tr w14:paraId="6C948DFB"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47B142FF" w14:textId="77777777">
            <w:pPr>
              <w:ind w:left="420" w:hanging="1"/>
              <w:rPr>
                <w:color w:val="000000"/>
                <w:sz w:val="20"/>
                <w:szCs w:val="20"/>
              </w:rPr>
            </w:pPr>
            <w:r w:rsidRPr="00113664">
              <w:rPr>
                <w:color w:val="000000"/>
                <w:sz w:val="20"/>
                <w:szCs w:val="20"/>
              </w:rPr>
              <w:t xml:space="preserve">Request approval to bypass the control device for maintenance </w:t>
            </w:r>
            <w:r w:rsidRPr="00113664">
              <w:rPr>
                <w:color w:val="000000"/>
                <w:sz w:val="20"/>
                <w:szCs w:val="20"/>
                <w:vertAlign w:val="superscript"/>
              </w:rPr>
              <w:t>i</w:t>
            </w:r>
          </w:p>
        </w:tc>
        <w:tc>
          <w:tcPr>
            <w:tcW w:w="1260" w:type="dxa"/>
            <w:tcBorders>
              <w:top w:val="nil"/>
              <w:left w:val="nil"/>
              <w:bottom w:val="single" w:sz="4" w:space="0" w:color="auto"/>
              <w:right w:val="single" w:sz="4" w:space="0" w:color="auto"/>
            </w:tcBorders>
            <w:shd w:val="clear" w:color="auto" w:fill="auto"/>
            <w:vAlign w:val="center"/>
            <w:hideMark/>
          </w:tcPr>
          <w:p w:rsidR="00EE3519" w:rsidRPr="00113664" w:rsidP="00EE3519" w14:paraId="766409A7" w14:textId="67FE4B51">
            <w:pPr>
              <w:jc w:val="center"/>
              <w:rPr>
                <w:sz w:val="20"/>
                <w:szCs w:val="20"/>
              </w:rPr>
            </w:pPr>
            <w:r>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76D3346A" w14:textId="026D469F">
            <w:pPr>
              <w:jc w:val="center"/>
              <w:rPr>
                <w:sz w:val="20"/>
                <w:szCs w:val="20"/>
              </w:rPr>
            </w:pPr>
            <w:r>
              <w:rPr>
                <w:sz w:val="20"/>
                <w:szCs w:val="20"/>
              </w:rPr>
              <w:t>6</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1F8EC451" w14:textId="2F3E5519">
            <w:pPr>
              <w:jc w:val="center"/>
              <w:rPr>
                <w:sz w:val="20"/>
                <w:szCs w:val="20"/>
              </w:rPr>
            </w:pPr>
            <w:r>
              <w:rPr>
                <w:sz w:val="20"/>
                <w:szCs w:val="20"/>
              </w:rPr>
              <w:t>6</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430E0A01" w14:textId="6CE3D6A4">
            <w:pPr>
              <w:jc w:val="center"/>
              <w:rPr>
                <w:sz w:val="20"/>
                <w:szCs w:val="20"/>
              </w:rPr>
            </w:pPr>
            <w:r>
              <w:rPr>
                <w:sz w:val="20"/>
                <w:szCs w:val="20"/>
              </w:rPr>
              <w:t>1</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0CA29325" w14:textId="648AD09E">
            <w:pPr>
              <w:jc w:val="center"/>
              <w:rPr>
                <w:color w:val="000000"/>
                <w:sz w:val="20"/>
                <w:szCs w:val="20"/>
              </w:rPr>
            </w:pPr>
            <w:r>
              <w:rPr>
                <w:color w:val="000000"/>
                <w:sz w:val="20"/>
                <w:szCs w:val="20"/>
              </w:rPr>
              <w:t>6</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53F3B08E" w14:textId="03452A8E">
            <w:pPr>
              <w:jc w:val="center"/>
              <w:rPr>
                <w:color w:val="000000"/>
                <w:sz w:val="20"/>
                <w:szCs w:val="20"/>
              </w:rPr>
            </w:pPr>
            <w:r>
              <w:rPr>
                <w:color w:val="000000"/>
                <w:sz w:val="20"/>
                <w:szCs w:val="20"/>
              </w:rPr>
              <w:t>0.3</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46C927AE" w14:textId="7A1313CF">
            <w:pPr>
              <w:jc w:val="center"/>
              <w:rPr>
                <w:color w:val="000000"/>
                <w:sz w:val="20"/>
                <w:szCs w:val="20"/>
              </w:rPr>
            </w:pPr>
            <w:r>
              <w:rPr>
                <w:color w:val="000000"/>
                <w:sz w:val="20"/>
                <w:szCs w:val="20"/>
              </w:rPr>
              <w:t>0.6</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2E040DDC" w14:textId="1E32193C">
            <w:pPr>
              <w:jc w:val="right"/>
              <w:rPr>
                <w:color w:val="000000"/>
                <w:sz w:val="20"/>
                <w:szCs w:val="20"/>
              </w:rPr>
            </w:pPr>
            <w:r>
              <w:rPr>
                <w:sz w:val="20"/>
                <w:szCs w:val="20"/>
              </w:rPr>
              <w:t xml:space="preserve">$945 </w:t>
            </w:r>
          </w:p>
        </w:tc>
      </w:tr>
      <w:tr w14:paraId="5F587728"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1A17C6F4" w14:textId="77777777">
            <w:pPr>
              <w:ind w:left="420" w:hanging="1"/>
              <w:rPr>
                <w:color w:val="000000"/>
                <w:sz w:val="20"/>
                <w:szCs w:val="20"/>
              </w:rPr>
            </w:pPr>
            <w:r w:rsidRPr="00113664">
              <w:rPr>
                <w:color w:val="000000"/>
                <w:sz w:val="20"/>
                <w:szCs w:val="20"/>
              </w:rPr>
              <w:t xml:space="preserve">Semi-annual compliance report with deviations </w:t>
            </w:r>
            <w:r w:rsidRPr="00113664">
              <w:rPr>
                <w:color w:val="000000"/>
                <w:sz w:val="20"/>
                <w:szCs w:val="20"/>
                <w:vertAlign w:val="superscript"/>
              </w:rPr>
              <w:t>j</w:t>
            </w:r>
          </w:p>
        </w:tc>
        <w:tc>
          <w:tcPr>
            <w:tcW w:w="1260" w:type="dxa"/>
            <w:tcBorders>
              <w:top w:val="nil"/>
              <w:left w:val="nil"/>
              <w:bottom w:val="single" w:sz="4" w:space="0" w:color="auto"/>
              <w:right w:val="single" w:sz="4" w:space="0" w:color="auto"/>
            </w:tcBorders>
            <w:shd w:val="clear" w:color="auto" w:fill="auto"/>
            <w:vAlign w:val="center"/>
            <w:hideMark/>
          </w:tcPr>
          <w:p w:rsidR="00EE3519" w:rsidRPr="00113664" w:rsidP="00EE3519" w14:paraId="1D38405B" w14:textId="0328DBAF">
            <w:pPr>
              <w:jc w:val="center"/>
              <w:rPr>
                <w:color w:val="000000"/>
                <w:sz w:val="20"/>
                <w:szCs w:val="20"/>
              </w:rPr>
            </w:pPr>
            <w:r>
              <w:rPr>
                <w:color w:val="000000"/>
                <w:sz w:val="20"/>
                <w:szCs w:val="20"/>
              </w:rPr>
              <w:t>16</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1209A200" w14:textId="48075432">
            <w:pPr>
              <w:jc w:val="center"/>
              <w:rPr>
                <w:color w:val="000000"/>
                <w:sz w:val="20"/>
                <w:szCs w:val="20"/>
              </w:rPr>
            </w:pPr>
            <w:r>
              <w:rPr>
                <w:color w:val="000000"/>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1698A3A8" w14:textId="1A59D79F">
            <w:pPr>
              <w:jc w:val="center"/>
              <w:rPr>
                <w:sz w:val="20"/>
                <w:szCs w:val="20"/>
              </w:rPr>
            </w:pPr>
            <w:r>
              <w:rPr>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78CB2CB5" w14:textId="548C6316">
            <w:pPr>
              <w:jc w:val="center"/>
              <w:rPr>
                <w:color w:val="000000"/>
                <w:sz w:val="20"/>
                <w:szCs w:val="20"/>
              </w:rPr>
            </w:pPr>
            <w:r>
              <w:rPr>
                <w:color w:val="000000"/>
                <w:sz w:val="20"/>
                <w:szCs w:val="20"/>
              </w:rPr>
              <w:t>2</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257F234D" w14:textId="38D074F3">
            <w:pPr>
              <w:jc w:val="center"/>
              <w:rPr>
                <w:color w:val="000000"/>
                <w:sz w:val="20"/>
                <w:szCs w:val="20"/>
              </w:rPr>
            </w:pPr>
            <w:r>
              <w:rPr>
                <w:color w:val="000000"/>
                <w:sz w:val="20"/>
                <w:szCs w:val="20"/>
              </w:rPr>
              <w:t>32</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197A0B14" w14:textId="58A0611B">
            <w:pPr>
              <w:jc w:val="center"/>
              <w:rPr>
                <w:color w:val="000000"/>
                <w:sz w:val="20"/>
                <w:szCs w:val="20"/>
              </w:rPr>
            </w:pPr>
            <w:r>
              <w:rPr>
                <w:color w:val="000000"/>
                <w:sz w:val="20"/>
                <w:szCs w:val="20"/>
              </w:rPr>
              <w:t>1.6</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7A07CA64" w14:textId="4F4306CE">
            <w:pPr>
              <w:jc w:val="center"/>
              <w:rPr>
                <w:color w:val="000000"/>
                <w:sz w:val="20"/>
                <w:szCs w:val="20"/>
              </w:rPr>
            </w:pPr>
            <w:r>
              <w:rPr>
                <w:color w:val="000000"/>
                <w:sz w:val="20"/>
                <w:szCs w:val="20"/>
              </w:rPr>
              <w:t>3.2</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17EC4D26" w14:textId="26A020F4">
            <w:pPr>
              <w:jc w:val="right"/>
              <w:rPr>
                <w:color w:val="000000"/>
                <w:sz w:val="20"/>
                <w:szCs w:val="20"/>
              </w:rPr>
            </w:pPr>
            <w:r>
              <w:rPr>
                <w:sz w:val="20"/>
                <w:szCs w:val="20"/>
              </w:rPr>
              <w:t xml:space="preserve">$5,040 </w:t>
            </w:r>
          </w:p>
        </w:tc>
      </w:tr>
      <w:tr w14:paraId="22BA9C48"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5FE016E4" w14:textId="77777777">
            <w:pPr>
              <w:ind w:left="420" w:hanging="1"/>
              <w:rPr>
                <w:color w:val="000000"/>
                <w:sz w:val="20"/>
                <w:szCs w:val="20"/>
              </w:rPr>
            </w:pPr>
            <w:r w:rsidRPr="00113664">
              <w:rPr>
                <w:color w:val="000000"/>
                <w:sz w:val="20"/>
                <w:szCs w:val="20"/>
              </w:rPr>
              <w:t xml:space="preserve">Semi-annual compliance report with no deviations </w:t>
            </w:r>
            <w:r w:rsidRPr="00113664">
              <w:rPr>
                <w:color w:val="000000"/>
                <w:sz w:val="20"/>
                <w:szCs w:val="20"/>
                <w:vertAlign w:val="superscript"/>
              </w:rPr>
              <w:t>k</w:t>
            </w:r>
          </w:p>
        </w:tc>
        <w:tc>
          <w:tcPr>
            <w:tcW w:w="1260" w:type="dxa"/>
            <w:tcBorders>
              <w:top w:val="nil"/>
              <w:left w:val="nil"/>
              <w:bottom w:val="single" w:sz="4" w:space="0" w:color="auto"/>
              <w:right w:val="single" w:sz="4" w:space="0" w:color="auto"/>
            </w:tcBorders>
            <w:shd w:val="clear" w:color="auto" w:fill="auto"/>
            <w:vAlign w:val="center"/>
            <w:hideMark/>
          </w:tcPr>
          <w:p w:rsidR="00EE3519" w:rsidRPr="00113664" w:rsidP="00EE3519" w14:paraId="32DB0F1B" w14:textId="3CEE64F1">
            <w:pPr>
              <w:jc w:val="center"/>
              <w:rPr>
                <w:color w:val="000000"/>
                <w:sz w:val="20"/>
                <w:szCs w:val="20"/>
              </w:rPr>
            </w:pPr>
            <w:r>
              <w:rPr>
                <w:color w:val="000000"/>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18DF5654" w14:textId="345943F3">
            <w:pPr>
              <w:jc w:val="center"/>
              <w:rPr>
                <w:color w:val="000000"/>
                <w:sz w:val="20"/>
                <w:szCs w:val="20"/>
              </w:rPr>
            </w:pPr>
            <w:r>
              <w:rPr>
                <w:color w:val="000000"/>
                <w:sz w:val="20"/>
                <w:szCs w:val="20"/>
              </w:rPr>
              <w:t>2</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4AFF8DFC" w14:textId="468DC2BF">
            <w:pPr>
              <w:jc w:val="center"/>
              <w:rPr>
                <w:sz w:val="20"/>
                <w:szCs w:val="20"/>
              </w:rPr>
            </w:pPr>
            <w:r>
              <w:rPr>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48F6E299" w14:textId="6DD47C08">
            <w:pPr>
              <w:jc w:val="center"/>
              <w:rPr>
                <w:color w:val="000000"/>
                <w:sz w:val="20"/>
                <w:szCs w:val="20"/>
              </w:rPr>
            </w:pPr>
            <w:r>
              <w:rPr>
                <w:color w:val="000000"/>
                <w:sz w:val="20"/>
                <w:szCs w:val="20"/>
              </w:rPr>
              <w:t>2</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425FF08F" w14:textId="27E2814E">
            <w:pPr>
              <w:jc w:val="center"/>
              <w:rPr>
                <w:color w:val="000000"/>
                <w:sz w:val="20"/>
                <w:szCs w:val="20"/>
              </w:rPr>
            </w:pPr>
            <w:r>
              <w:rPr>
                <w:color w:val="000000"/>
                <w:sz w:val="20"/>
                <w:szCs w:val="20"/>
              </w:rPr>
              <w:t>32</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759C63C8" w14:textId="5B49D7AC">
            <w:pPr>
              <w:jc w:val="center"/>
              <w:rPr>
                <w:color w:val="000000"/>
                <w:sz w:val="20"/>
                <w:szCs w:val="20"/>
              </w:rPr>
            </w:pPr>
            <w:r>
              <w:rPr>
                <w:color w:val="000000"/>
                <w:sz w:val="20"/>
                <w:szCs w:val="20"/>
              </w:rPr>
              <w:t>1.6</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0BACD497" w14:textId="4FB57862">
            <w:pPr>
              <w:jc w:val="center"/>
              <w:rPr>
                <w:color w:val="000000"/>
                <w:sz w:val="20"/>
                <w:szCs w:val="20"/>
              </w:rPr>
            </w:pPr>
            <w:r>
              <w:rPr>
                <w:color w:val="000000"/>
                <w:sz w:val="20"/>
                <w:szCs w:val="20"/>
              </w:rPr>
              <w:t>3.2</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00644BBF" w14:textId="1FB8F28C">
            <w:pPr>
              <w:jc w:val="right"/>
              <w:rPr>
                <w:color w:val="000000"/>
                <w:sz w:val="20"/>
                <w:szCs w:val="20"/>
              </w:rPr>
            </w:pPr>
            <w:r>
              <w:rPr>
                <w:sz w:val="20"/>
                <w:szCs w:val="20"/>
              </w:rPr>
              <w:t xml:space="preserve">$5,040 </w:t>
            </w:r>
          </w:p>
        </w:tc>
      </w:tr>
      <w:tr w14:paraId="58639284"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6C0A2AFB" w14:textId="77777777">
            <w:pPr>
              <w:ind w:firstLine="400" w:firstLineChars="200"/>
              <w:rPr>
                <w:color w:val="000000"/>
                <w:sz w:val="20"/>
                <w:szCs w:val="20"/>
              </w:rPr>
            </w:pPr>
            <w:r w:rsidRPr="00113664">
              <w:rPr>
                <w:color w:val="000000"/>
                <w:sz w:val="20"/>
                <w:szCs w:val="20"/>
              </w:rPr>
              <w:t xml:space="preserve">Report </w:t>
            </w:r>
            <w:r w:rsidRPr="00113664">
              <w:rPr>
                <w:color w:val="000000"/>
                <w:sz w:val="20"/>
                <w:szCs w:val="20"/>
              </w:rPr>
              <w:t>of</w:t>
            </w:r>
            <w:r w:rsidRPr="00113664">
              <w:rPr>
                <w:color w:val="000000"/>
                <w:sz w:val="20"/>
                <w:szCs w:val="20"/>
              </w:rPr>
              <w:t xml:space="preserve"> alternative fuel use </w:t>
            </w:r>
            <w:r w:rsidRPr="00113664">
              <w:rPr>
                <w:color w:val="000000"/>
                <w:sz w:val="20"/>
                <w:szCs w:val="20"/>
                <w:vertAlign w:val="superscript"/>
              </w:rPr>
              <w:t>l</w:t>
            </w:r>
          </w:p>
        </w:tc>
        <w:tc>
          <w:tcPr>
            <w:tcW w:w="1260" w:type="dxa"/>
            <w:tcBorders>
              <w:top w:val="nil"/>
              <w:left w:val="nil"/>
              <w:bottom w:val="single" w:sz="4" w:space="0" w:color="auto"/>
              <w:right w:val="single" w:sz="4" w:space="0" w:color="auto"/>
            </w:tcBorders>
            <w:shd w:val="clear" w:color="auto" w:fill="auto"/>
            <w:vAlign w:val="center"/>
            <w:hideMark/>
          </w:tcPr>
          <w:p w:rsidR="00EE3519" w:rsidRPr="00113664" w:rsidP="00EE3519" w14:paraId="5D1FC995" w14:textId="78AD9A08">
            <w:pPr>
              <w:jc w:val="center"/>
              <w:rPr>
                <w:color w:val="000000"/>
                <w:sz w:val="20"/>
                <w:szCs w:val="20"/>
              </w:rPr>
            </w:pPr>
            <w:r>
              <w:rPr>
                <w:color w:val="000000"/>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27853046" w14:textId="57CC22F5">
            <w:pPr>
              <w:jc w:val="center"/>
              <w:rPr>
                <w:color w:val="000000"/>
                <w:sz w:val="20"/>
                <w:szCs w:val="20"/>
              </w:rPr>
            </w:pPr>
            <w:r>
              <w:rPr>
                <w:color w:val="000000"/>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3B99AA6C" w14:textId="5C4DB6DA">
            <w:pPr>
              <w:jc w:val="center"/>
              <w:rPr>
                <w:sz w:val="20"/>
                <w:szCs w:val="20"/>
              </w:rPr>
            </w:pPr>
            <w:r>
              <w:rPr>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112BC588" w14:textId="6091AC9A">
            <w:pPr>
              <w:jc w:val="center"/>
              <w:rPr>
                <w:color w:val="000000"/>
                <w:sz w:val="20"/>
                <w:szCs w:val="20"/>
              </w:rPr>
            </w:pPr>
            <w:r>
              <w:rPr>
                <w:color w:val="000000"/>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5745B325" w14:textId="0046243D">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27F669E2" w14:textId="08B09FE8">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3348DBF8" w14:textId="5DEBAFA0">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0D2B7CE8" w14:textId="3F041951">
            <w:pPr>
              <w:jc w:val="right"/>
              <w:rPr>
                <w:color w:val="000000"/>
                <w:sz w:val="20"/>
                <w:szCs w:val="20"/>
              </w:rPr>
            </w:pPr>
            <w:r>
              <w:rPr>
                <w:sz w:val="20"/>
                <w:szCs w:val="20"/>
              </w:rPr>
              <w:t xml:space="preserve">$0 </w:t>
            </w:r>
          </w:p>
        </w:tc>
      </w:tr>
      <w:tr w14:paraId="06CE1750"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7EF8C1AB" w14:textId="77777777">
            <w:pPr>
              <w:rPr>
                <w:b/>
                <w:bCs/>
                <w:i/>
                <w:iCs/>
                <w:color w:val="000000"/>
                <w:sz w:val="20"/>
                <w:szCs w:val="20"/>
              </w:rPr>
            </w:pPr>
            <w:r w:rsidRPr="00113664">
              <w:rPr>
                <w:b/>
                <w:bCs/>
                <w:i/>
                <w:iCs/>
                <w:color w:val="000000"/>
                <w:sz w:val="20"/>
                <w:szCs w:val="20"/>
              </w:rPr>
              <w:t>Subtotal for Reporting Requirements</w:t>
            </w:r>
          </w:p>
        </w:tc>
        <w:tc>
          <w:tcPr>
            <w:tcW w:w="1260" w:type="dxa"/>
            <w:tcBorders>
              <w:top w:val="nil"/>
              <w:left w:val="nil"/>
              <w:bottom w:val="single" w:sz="4" w:space="0" w:color="auto"/>
              <w:right w:val="single" w:sz="4" w:space="0" w:color="auto"/>
            </w:tcBorders>
            <w:shd w:val="clear" w:color="auto" w:fill="auto"/>
            <w:vAlign w:val="center"/>
            <w:hideMark/>
          </w:tcPr>
          <w:p w:rsidR="00EE3519" w:rsidRPr="00113664" w:rsidP="00EE3519" w14:paraId="282AB6A8" w14:textId="77777777">
            <w:pPr>
              <w:rPr>
                <w:rFonts w:ascii="Calibri" w:hAnsi="Calibri" w:cs="Calibri"/>
                <w:b/>
                <w:bCs/>
                <w:i/>
                <w:iCs/>
                <w:color w:val="000000"/>
              </w:rPr>
            </w:pPr>
            <w:r w:rsidRPr="00113664">
              <w:rPr>
                <w:rFonts w:ascii="Calibri" w:hAnsi="Calibri" w:cs="Calibri"/>
                <w:b/>
                <w:bCs/>
                <w:i/>
                <w:iCs/>
                <w:color w:val="000000"/>
              </w:rPr>
              <w:t> </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09AE167D" w14:textId="77777777">
            <w:pPr>
              <w:rPr>
                <w:rFonts w:ascii="Calibri" w:hAnsi="Calibri" w:cs="Calibri"/>
                <w:b/>
                <w:bCs/>
                <w:i/>
                <w:iCs/>
                <w:color w:val="000000"/>
              </w:rPr>
            </w:pPr>
            <w:r w:rsidRPr="00113664">
              <w:rPr>
                <w:rFonts w:ascii="Calibri" w:hAnsi="Calibri" w:cs="Calibri"/>
                <w:b/>
                <w:bCs/>
                <w:i/>
                <w:iCs/>
                <w:color w:val="000000"/>
              </w:rPr>
              <w:t> </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76A16983" w14:textId="77777777">
            <w:pPr>
              <w:rPr>
                <w:rFonts w:ascii="Calibri" w:hAnsi="Calibri" w:cs="Calibri"/>
                <w:b/>
                <w:bCs/>
                <w:i/>
                <w:iCs/>
                <w:color w:val="000000"/>
              </w:rPr>
            </w:pPr>
            <w:r w:rsidRPr="00113664">
              <w:rPr>
                <w:rFonts w:ascii="Calibri" w:hAnsi="Calibri" w:cs="Calibri"/>
                <w:b/>
                <w:bCs/>
                <w:i/>
                <w:iCs/>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2959B7F5" w14:textId="77777777">
            <w:pPr>
              <w:rPr>
                <w:rFonts w:ascii="Calibri" w:hAnsi="Calibri" w:cs="Calibri"/>
                <w:b/>
                <w:bCs/>
                <w:i/>
                <w:iCs/>
                <w:color w:val="000000"/>
              </w:rPr>
            </w:pPr>
            <w:r w:rsidRPr="00113664">
              <w:rPr>
                <w:rFonts w:ascii="Calibri" w:hAnsi="Calibri" w:cs="Calibri"/>
                <w:b/>
                <w:bCs/>
                <w:i/>
                <w:iCs/>
                <w:color w:val="000000"/>
              </w:rPr>
              <w:t> </w:t>
            </w:r>
          </w:p>
        </w:tc>
        <w:tc>
          <w:tcPr>
            <w:tcW w:w="3824" w:type="dxa"/>
            <w:gridSpan w:val="3"/>
            <w:tcBorders>
              <w:top w:val="single" w:sz="4" w:space="0" w:color="auto"/>
              <w:left w:val="nil"/>
              <w:bottom w:val="single" w:sz="4" w:space="0" w:color="auto"/>
              <w:right w:val="single" w:sz="4" w:space="0" w:color="000000"/>
            </w:tcBorders>
            <w:shd w:val="clear" w:color="auto" w:fill="auto"/>
            <w:vAlign w:val="center"/>
            <w:hideMark/>
          </w:tcPr>
          <w:p w:rsidR="00EE3519" w:rsidRPr="00113664" w:rsidP="00EE3519" w14:paraId="71F30519" w14:textId="77777777">
            <w:pPr>
              <w:jc w:val="center"/>
              <w:rPr>
                <w:b/>
                <w:bCs/>
                <w:i/>
                <w:iCs/>
                <w:color w:val="000000"/>
                <w:sz w:val="20"/>
                <w:szCs w:val="20"/>
              </w:rPr>
            </w:pPr>
            <w:r>
              <w:rPr>
                <w:b/>
                <w:bCs/>
                <w:i/>
                <w:iCs/>
                <w:color w:val="000000"/>
                <w:sz w:val="20"/>
                <w:szCs w:val="20"/>
              </w:rPr>
              <w:t>294</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13177AC8" w14:textId="44197FE7">
            <w:pPr>
              <w:jc w:val="right"/>
              <w:rPr>
                <w:b/>
                <w:bCs/>
                <w:i/>
                <w:iCs/>
                <w:color w:val="000000"/>
                <w:sz w:val="20"/>
                <w:szCs w:val="20"/>
              </w:rPr>
            </w:pPr>
            <w:r w:rsidRPr="00113664">
              <w:rPr>
                <w:b/>
                <w:bCs/>
                <w:i/>
                <w:iCs/>
                <w:color w:val="000000"/>
                <w:sz w:val="20"/>
                <w:szCs w:val="20"/>
              </w:rPr>
              <w:t>$</w:t>
            </w:r>
            <w:r>
              <w:rPr>
                <w:b/>
                <w:bCs/>
                <w:i/>
                <w:iCs/>
                <w:color w:val="000000"/>
                <w:sz w:val="20"/>
                <w:szCs w:val="20"/>
              </w:rPr>
              <w:t>40,290</w:t>
            </w:r>
          </w:p>
        </w:tc>
      </w:tr>
      <w:tr w14:paraId="54EFB5EC"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E3519" w:rsidRPr="00113664" w:rsidP="00EE3519" w14:paraId="2B610492" w14:textId="77777777">
            <w:pPr>
              <w:rPr>
                <w:color w:val="000000"/>
                <w:sz w:val="20"/>
                <w:szCs w:val="20"/>
              </w:rPr>
            </w:pPr>
            <w:r w:rsidRPr="00113664">
              <w:rPr>
                <w:color w:val="000000"/>
                <w:sz w:val="20"/>
                <w:szCs w:val="20"/>
              </w:rPr>
              <w:t>4.</w:t>
            </w:r>
            <w:r>
              <w:rPr>
                <w:color w:val="000000"/>
                <w:sz w:val="20"/>
                <w:szCs w:val="20"/>
              </w:rPr>
              <w:t xml:space="preserve"> </w:t>
            </w:r>
            <w:r w:rsidRPr="00113664">
              <w:rPr>
                <w:color w:val="000000"/>
                <w:sz w:val="20"/>
                <w:szCs w:val="20"/>
              </w:rPr>
              <w:t>Recordkeeping Requirements</w:t>
            </w:r>
          </w:p>
        </w:tc>
        <w:tc>
          <w:tcPr>
            <w:tcW w:w="1260" w:type="dxa"/>
            <w:tcBorders>
              <w:top w:val="nil"/>
              <w:left w:val="nil"/>
              <w:bottom w:val="single" w:sz="4" w:space="0" w:color="auto"/>
              <w:right w:val="single" w:sz="4" w:space="0" w:color="auto"/>
            </w:tcBorders>
            <w:shd w:val="clear" w:color="auto" w:fill="auto"/>
            <w:vAlign w:val="center"/>
            <w:hideMark/>
          </w:tcPr>
          <w:p w:rsidR="00EE3519" w:rsidRPr="00113664" w:rsidP="00EE3519" w14:paraId="43F92AD5" w14:textId="77777777">
            <w:pPr>
              <w:rPr>
                <w:rFonts w:ascii="Calibri" w:hAnsi="Calibri" w:cs="Calibri"/>
                <w:color w:val="000000"/>
              </w:rPr>
            </w:pPr>
            <w:r w:rsidRPr="00113664">
              <w:rPr>
                <w:rFonts w:ascii="Calibri" w:hAnsi="Calibri" w:cs="Calibri"/>
                <w:color w:val="000000"/>
              </w:rPr>
              <w:t> </w:t>
            </w:r>
          </w:p>
        </w:tc>
        <w:tc>
          <w:tcPr>
            <w:tcW w:w="1440" w:type="dxa"/>
            <w:tcBorders>
              <w:top w:val="nil"/>
              <w:left w:val="nil"/>
              <w:bottom w:val="single" w:sz="4" w:space="0" w:color="auto"/>
              <w:right w:val="single" w:sz="4" w:space="0" w:color="auto"/>
            </w:tcBorders>
            <w:shd w:val="clear" w:color="auto" w:fill="auto"/>
            <w:vAlign w:val="center"/>
            <w:hideMark/>
          </w:tcPr>
          <w:p w:rsidR="00EE3519" w:rsidRPr="00113664" w:rsidP="00EE3519" w14:paraId="48ED0665" w14:textId="77777777">
            <w:pPr>
              <w:rPr>
                <w:rFonts w:ascii="Calibri" w:hAnsi="Calibri" w:cs="Calibri"/>
                <w:color w:val="000000"/>
              </w:rPr>
            </w:pPr>
            <w:r w:rsidRPr="00113664">
              <w:rPr>
                <w:rFonts w:ascii="Calibri" w:hAnsi="Calibri" w:cs="Calibri"/>
                <w:color w:val="000000"/>
              </w:rPr>
              <w:t> </w:t>
            </w:r>
          </w:p>
        </w:tc>
        <w:tc>
          <w:tcPr>
            <w:tcW w:w="1530" w:type="dxa"/>
            <w:tcBorders>
              <w:top w:val="nil"/>
              <w:left w:val="nil"/>
              <w:bottom w:val="single" w:sz="4" w:space="0" w:color="auto"/>
              <w:right w:val="single" w:sz="4" w:space="0" w:color="auto"/>
            </w:tcBorders>
            <w:shd w:val="clear" w:color="auto" w:fill="auto"/>
            <w:vAlign w:val="center"/>
            <w:hideMark/>
          </w:tcPr>
          <w:p w:rsidR="00EE3519" w:rsidRPr="00113664" w:rsidP="00EE3519" w14:paraId="481B2270" w14:textId="77777777">
            <w:pPr>
              <w:rPr>
                <w:rFonts w:ascii="Calibri" w:hAnsi="Calibri" w:cs="Calibri"/>
                <w:color w:val="000000"/>
              </w:rPr>
            </w:pPr>
            <w:r w:rsidRPr="00113664">
              <w:rPr>
                <w:rFonts w:ascii="Calibri" w:hAnsi="Calibri" w:cs="Calibr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EE3519" w:rsidRPr="00113664" w:rsidP="00EE3519" w14:paraId="5405030B" w14:textId="77777777">
            <w:pPr>
              <w:rPr>
                <w:rFonts w:ascii="Calibri" w:hAnsi="Calibri" w:cs="Calibri"/>
                <w:color w:val="000000"/>
              </w:rPr>
            </w:pPr>
            <w:r w:rsidRPr="00113664">
              <w:rPr>
                <w:rFonts w:ascii="Calibri" w:hAnsi="Calibri" w:cs="Calibri"/>
                <w:color w:val="000000"/>
              </w:rPr>
              <w:t> </w:t>
            </w:r>
          </w:p>
        </w:tc>
        <w:tc>
          <w:tcPr>
            <w:tcW w:w="1304" w:type="dxa"/>
            <w:tcBorders>
              <w:top w:val="nil"/>
              <w:left w:val="nil"/>
              <w:bottom w:val="single" w:sz="4" w:space="0" w:color="auto"/>
              <w:right w:val="single" w:sz="4" w:space="0" w:color="auto"/>
            </w:tcBorders>
            <w:shd w:val="clear" w:color="auto" w:fill="auto"/>
            <w:vAlign w:val="center"/>
            <w:hideMark/>
          </w:tcPr>
          <w:p w:rsidR="00EE3519" w:rsidRPr="00113664" w:rsidP="00EE3519" w14:paraId="5F52AD76" w14:textId="77777777">
            <w:pPr>
              <w:rPr>
                <w:rFonts w:ascii="Calibri" w:hAnsi="Calibri" w:cs="Calibri"/>
                <w:color w:val="000000"/>
              </w:rPr>
            </w:pPr>
            <w:r w:rsidRPr="00113664">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vAlign w:val="center"/>
            <w:hideMark/>
          </w:tcPr>
          <w:p w:rsidR="00EE3519" w:rsidRPr="00113664" w:rsidP="00EE3519" w14:paraId="01D57A5D" w14:textId="77777777">
            <w:pPr>
              <w:rPr>
                <w:rFonts w:ascii="Calibri" w:hAnsi="Calibri" w:cs="Calibri"/>
                <w:color w:val="000000"/>
              </w:rPr>
            </w:pPr>
            <w:r w:rsidRPr="00113664">
              <w:rPr>
                <w:rFonts w:ascii="Calibri"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rsidR="00EE3519" w:rsidRPr="00113664" w:rsidP="00EE3519" w14:paraId="75C3E3E0" w14:textId="77777777">
            <w:pPr>
              <w:rPr>
                <w:rFonts w:ascii="Calibri" w:hAnsi="Calibri" w:cs="Calibri"/>
                <w:color w:val="000000"/>
              </w:rPr>
            </w:pPr>
            <w:r w:rsidRPr="00113664">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rsidR="00EE3519" w:rsidRPr="00113664" w:rsidP="00EE3519" w14:paraId="7709FB04" w14:textId="77777777">
            <w:pPr>
              <w:jc w:val="right"/>
              <w:rPr>
                <w:color w:val="000000"/>
                <w:sz w:val="20"/>
                <w:szCs w:val="20"/>
              </w:rPr>
            </w:pPr>
            <w:r w:rsidRPr="00113664">
              <w:rPr>
                <w:color w:val="000000"/>
                <w:sz w:val="20"/>
                <w:szCs w:val="20"/>
              </w:rPr>
              <w:t> </w:t>
            </w:r>
          </w:p>
        </w:tc>
      </w:tr>
      <w:tr w14:paraId="54315A93"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F577D4" w:rsidRPr="00113664" w:rsidP="00F577D4" w14:paraId="0B23071D" w14:textId="77777777">
            <w:pPr>
              <w:rPr>
                <w:color w:val="000000"/>
                <w:sz w:val="20"/>
                <w:szCs w:val="20"/>
              </w:rPr>
            </w:pPr>
            <w:r w:rsidRPr="00113664">
              <w:rPr>
                <w:color w:val="000000"/>
                <w:sz w:val="20"/>
                <w:szCs w:val="20"/>
              </w:rPr>
              <w:t>A.</w:t>
            </w:r>
            <w:r>
              <w:rPr>
                <w:color w:val="000000"/>
                <w:sz w:val="20"/>
                <w:szCs w:val="20"/>
              </w:rPr>
              <w:t xml:space="preserve"> </w:t>
            </w:r>
            <w:r w:rsidRPr="00113664">
              <w:rPr>
                <w:color w:val="000000"/>
                <w:sz w:val="20"/>
                <w:szCs w:val="20"/>
              </w:rPr>
              <w:t xml:space="preserve">Familiarization with rule requirements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7D4" w:rsidRPr="00113664" w:rsidP="00F577D4" w14:paraId="59D497FC" w14:textId="0BD1CA73">
            <w:pPr>
              <w:jc w:val="center"/>
              <w:rPr>
                <w:sz w:val="20"/>
                <w:szCs w:val="20"/>
              </w:rPr>
            </w:pPr>
            <w:r>
              <w:rPr>
                <w:sz w:val="20"/>
                <w:szCs w:val="20"/>
              </w:rPr>
              <w:t>See 3A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F577D4" w:rsidRPr="00EB3CE3" w:rsidP="00F577D4" w14:paraId="4BD77E14" w14:textId="4638BD10">
            <w:pPr>
              <w:jc w:val="center"/>
              <w:rPr>
                <w:sz w:val="20"/>
                <w:szCs w:val="20"/>
              </w:rPr>
            </w:pPr>
            <w:r>
              <w:rPr>
                <w:strike/>
                <w:color w:val="FF0000"/>
                <w:sz w:val="20"/>
                <w:szCs w:val="20"/>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F577D4" w:rsidRPr="00EB3CE3" w:rsidP="00F577D4" w14:paraId="250CB5CF" w14:textId="3A02B8A7">
            <w:pPr>
              <w:jc w:val="center"/>
              <w:rPr>
                <w:sz w:val="20"/>
                <w:szCs w:val="20"/>
              </w:rPr>
            </w:pPr>
            <w:r>
              <w:rPr>
                <w:strike/>
                <w:color w:val="FF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F577D4" w:rsidRPr="00EB3CE3" w:rsidP="00F577D4" w14:paraId="73A7994B" w14:textId="6E2B58BD">
            <w:pPr>
              <w:jc w:val="center"/>
              <w:rPr>
                <w:sz w:val="20"/>
                <w:szCs w:val="20"/>
              </w:rPr>
            </w:pPr>
            <w:r>
              <w:rPr>
                <w:strike/>
                <w:color w:val="FF0000"/>
                <w:sz w:val="20"/>
                <w:szCs w:val="20"/>
              </w:rPr>
              <w:t>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F577D4" w:rsidRPr="00EB3CE3" w:rsidP="00F577D4" w14:paraId="7FB0BCF1" w14:textId="42BBD946">
            <w:pPr>
              <w:jc w:val="center"/>
              <w:rPr>
                <w:sz w:val="20"/>
                <w:szCs w:val="20"/>
              </w:rPr>
            </w:pPr>
            <w:r>
              <w:rPr>
                <w:strike/>
                <w:color w:val="FF0000"/>
                <w:sz w:val="20"/>
                <w:szCs w:val="20"/>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F577D4" w:rsidRPr="00EB3CE3" w:rsidP="00F577D4" w14:paraId="3A4D5C91" w14:textId="663F3873">
            <w:pPr>
              <w:jc w:val="center"/>
              <w:rPr>
                <w:sz w:val="20"/>
                <w:szCs w:val="20"/>
              </w:rPr>
            </w:pPr>
            <w:r>
              <w:rPr>
                <w:strike/>
                <w:color w:val="FF0000"/>
                <w:sz w:val="20"/>
                <w:szCs w:val="20"/>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577D4" w:rsidRPr="00EB3CE3" w:rsidP="00F577D4" w14:paraId="44E4F99F" w14:textId="2CABC436">
            <w:pPr>
              <w:jc w:val="center"/>
              <w:rPr>
                <w:sz w:val="20"/>
                <w:szCs w:val="20"/>
              </w:rPr>
            </w:pPr>
            <w:r>
              <w:rPr>
                <w:strike/>
                <w:color w:val="FF0000"/>
                <w:sz w:val="20"/>
                <w:szCs w:val="20"/>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577D4" w:rsidRPr="00EB3CE3" w:rsidP="00F577D4" w14:paraId="1F492586" w14:textId="2B8F70FF">
            <w:pPr>
              <w:jc w:val="right"/>
              <w:rPr>
                <w:sz w:val="20"/>
                <w:szCs w:val="20"/>
              </w:rPr>
            </w:pPr>
            <w:r>
              <w:rPr>
                <w:strike/>
                <w:color w:val="FF0000"/>
                <w:sz w:val="20"/>
                <w:szCs w:val="20"/>
              </w:rPr>
              <w:t> </w:t>
            </w:r>
          </w:p>
        </w:tc>
      </w:tr>
      <w:tr w14:paraId="7149C4FB"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F577D4" w:rsidRPr="00113664" w:rsidP="00F577D4" w14:paraId="046C8B87" w14:textId="77777777">
            <w:pPr>
              <w:rPr>
                <w:color w:val="000000"/>
                <w:sz w:val="20"/>
                <w:szCs w:val="20"/>
              </w:rPr>
            </w:pPr>
            <w:r w:rsidRPr="00113664">
              <w:rPr>
                <w:color w:val="000000"/>
                <w:sz w:val="20"/>
                <w:szCs w:val="20"/>
              </w:rPr>
              <w:t>B.</w:t>
            </w:r>
            <w:r>
              <w:rPr>
                <w:color w:val="000000"/>
                <w:sz w:val="20"/>
                <w:szCs w:val="20"/>
              </w:rPr>
              <w:t xml:space="preserve"> </w:t>
            </w:r>
            <w:r w:rsidRPr="00113664">
              <w:rPr>
                <w:color w:val="000000"/>
                <w:sz w:val="20"/>
                <w:szCs w:val="20"/>
              </w:rPr>
              <w:t>Plan activities</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F577D4" w:rsidRPr="00113664" w:rsidP="00F577D4" w14:paraId="53317084" w14:textId="395545C3">
            <w:pPr>
              <w:jc w:val="center"/>
              <w:rPr>
                <w:color w:val="000000"/>
                <w:sz w:val="20"/>
                <w:szCs w:val="20"/>
              </w:rPr>
            </w:pPr>
            <w:r>
              <w:rPr>
                <w:color w:val="000000"/>
                <w:sz w:val="20"/>
                <w:szCs w:val="20"/>
              </w:rPr>
              <w:t>See 4E</w:t>
            </w:r>
          </w:p>
        </w:tc>
        <w:tc>
          <w:tcPr>
            <w:tcW w:w="1440" w:type="dxa"/>
            <w:tcBorders>
              <w:top w:val="nil"/>
              <w:left w:val="nil"/>
              <w:bottom w:val="single" w:sz="4" w:space="0" w:color="auto"/>
              <w:right w:val="single" w:sz="4" w:space="0" w:color="auto"/>
            </w:tcBorders>
            <w:shd w:val="clear" w:color="auto" w:fill="auto"/>
            <w:vAlign w:val="center"/>
            <w:hideMark/>
          </w:tcPr>
          <w:p w:rsidR="00F577D4" w:rsidRPr="00113664" w:rsidP="00F577D4" w14:paraId="2AB653D1" w14:textId="29A3CB88">
            <w:pPr>
              <w:rPr>
                <w:rFonts w:ascii="Calibri" w:hAnsi="Calibri" w:cs="Calibri"/>
                <w:color w:val="000000"/>
              </w:rPr>
            </w:pPr>
            <w:r>
              <w:rPr>
                <w:rFonts w:ascii="Calibri" w:hAnsi="Calibri" w:cs="Calibri"/>
                <w:color w:val="000000"/>
              </w:rPr>
              <w:t> </w:t>
            </w:r>
          </w:p>
        </w:tc>
        <w:tc>
          <w:tcPr>
            <w:tcW w:w="1530" w:type="dxa"/>
            <w:tcBorders>
              <w:top w:val="nil"/>
              <w:left w:val="nil"/>
              <w:bottom w:val="single" w:sz="4" w:space="0" w:color="auto"/>
              <w:right w:val="single" w:sz="4" w:space="0" w:color="auto"/>
            </w:tcBorders>
            <w:shd w:val="clear" w:color="auto" w:fill="auto"/>
            <w:vAlign w:val="center"/>
            <w:hideMark/>
          </w:tcPr>
          <w:p w:rsidR="00F577D4" w:rsidRPr="00113664" w:rsidP="00F577D4" w14:paraId="2FBA46ED" w14:textId="784FF576">
            <w:pPr>
              <w:rPr>
                <w:rFonts w:ascii="Calibri" w:hAnsi="Calibri" w:cs="Calibri"/>
                <w:color w:val="000000"/>
              </w:rPr>
            </w:pPr>
            <w:r>
              <w:rPr>
                <w:rFonts w:ascii="Calibri" w:hAnsi="Calibri" w:cs="Calibr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F577D4" w:rsidRPr="00113664" w:rsidP="00F577D4" w14:paraId="183FCF50" w14:textId="4B592590">
            <w:pPr>
              <w:rPr>
                <w:rFonts w:ascii="Calibri" w:hAnsi="Calibri" w:cs="Calibri"/>
                <w:color w:val="000000"/>
              </w:rPr>
            </w:pPr>
            <w:r>
              <w:rPr>
                <w:rFonts w:ascii="Calibri" w:hAnsi="Calibri" w:cs="Calibri"/>
                <w:color w:val="000000"/>
              </w:rPr>
              <w:t> </w:t>
            </w:r>
          </w:p>
        </w:tc>
        <w:tc>
          <w:tcPr>
            <w:tcW w:w="1304" w:type="dxa"/>
            <w:tcBorders>
              <w:top w:val="nil"/>
              <w:left w:val="nil"/>
              <w:bottom w:val="single" w:sz="4" w:space="0" w:color="auto"/>
              <w:right w:val="single" w:sz="4" w:space="0" w:color="auto"/>
            </w:tcBorders>
            <w:shd w:val="clear" w:color="auto" w:fill="auto"/>
            <w:vAlign w:val="center"/>
            <w:hideMark/>
          </w:tcPr>
          <w:p w:rsidR="00F577D4" w:rsidRPr="00113664" w:rsidP="00F577D4" w14:paraId="6300E20A" w14:textId="2523E4C4">
            <w:pPr>
              <w:rPr>
                <w:rFonts w:ascii="Calibri" w:hAnsi="Calibri" w:cs="Calibri"/>
                <w:color w:val="000000"/>
              </w:rPr>
            </w:pPr>
            <w:r>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vAlign w:val="center"/>
            <w:hideMark/>
          </w:tcPr>
          <w:p w:rsidR="00F577D4" w:rsidRPr="00113664" w:rsidP="00F577D4" w14:paraId="33EC7964" w14:textId="019119DB">
            <w:pPr>
              <w:rPr>
                <w:rFonts w:ascii="Calibri" w:hAnsi="Calibri" w:cs="Calibri"/>
                <w:color w:val="000000"/>
              </w:rPr>
            </w:pPr>
            <w:r>
              <w:rPr>
                <w:rFonts w:ascii="Calibri"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rsidR="00F577D4" w:rsidRPr="00113664" w:rsidP="00F577D4" w14:paraId="11F9D06A" w14:textId="3B83B64A">
            <w:pPr>
              <w:rPr>
                <w:rFonts w:ascii="Calibri" w:hAnsi="Calibri" w:cs="Calibri"/>
                <w:color w:val="000000"/>
              </w:rPr>
            </w:pPr>
            <w:r>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rsidR="00F577D4" w:rsidRPr="00113664" w:rsidP="00F577D4" w14:paraId="37BD393E" w14:textId="4439AA3F">
            <w:pPr>
              <w:jc w:val="right"/>
              <w:rPr>
                <w:color w:val="000000"/>
                <w:sz w:val="20"/>
                <w:szCs w:val="20"/>
              </w:rPr>
            </w:pPr>
            <w:r>
              <w:rPr>
                <w:color w:val="000000"/>
                <w:sz w:val="20"/>
                <w:szCs w:val="20"/>
              </w:rPr>
              <w:t> </w:t>
            </w:r>
          </w:p>
        </w:tc>
      </w:tr>
      <w:tr w14:paraId="04F0431D"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F577D4" w:rsidRPr="00113664" w:rsidP="00F577D4" w14:paraId="3616B9A2" w14:textId="77777777">
            <w:pPr>
              <w:rPr>
                <w:color w:val="000000"/>
                <w:sz w:val="20"/>
                <w:szCs w:val="20"/>
              </w:rPr>
            </w:pPr>
            <w:r w:rsidRPr="00113664">
              <w:rPr>
                <w:color w:val="000000"/>
                <w:sz w:val="20"/>
                <w:szCs w:val="20"/>
              </w:rPr>
              <w:t>C.</w:t>
            </w:r>
            <w:r>
              <w:rPr>
                <w:color w:val="000000"/>
                <w:sz w:val="20"/>
                <w:szCs w:val="20"/>
              </w:rPr>
              <w:t xml:space="preserve"> </w:t>
            </w:r>
            <w:r w:rsidRPr="00113664">
              <w:rPr>
                <w:color w:val="000000"/>
                <w:sz w:val="20"/>
                <w:szCs w:val="20"/>
              </w:rPr>
              <w:t xml:space="preserve">Implement activities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F577D4" w:rsidRPr="00113664" w:rsidP="00F577D4" w14:paraId="20DC5DC9" w14:textId="3C1CE0B3">
            <w:pPr>
              <w:jc w:val="center"/>
              <w:rPr>
                <w:color w:val="000000"/>
                <w:sz w:val="20"/>
                <w:szCs w:val="20"/>
              </w:rPr>
            </w:pPr>
            <w:r>
              <w:rPr>
                <w:color w:val="000000"/>
                <w:sz w:val="20"/>
                <w:szCs w:val="20"/>
              </w:rPr>
              <w:t>See 4E</w:t>
            </w:r>
          </w:p>
        </w:tc>
        <w:tc>
          <w:tcPr>
            <w:tcW w:w="1440" w:type="dxa"/>
            <w:tcBorders>
              <w:top w:val="nil"/>
              <w:left w:val="nil"/>
              <w:bottom w:val="single" w:sz="4" w:space="0" w:color="auto"/>
              <w:right w:val="single" w:sz="4" w:space="0" w:color="auto"/>
            </w:tcBorders>
            <w:shd w:val="clear" w:color="auto" w:fill="auto"/>
            <w:vAlign w:val="center"/>
            <w:hideMark/>
          </w:tcPr>
          <w:p w:rsidR="00F577D4" w:rsidRPr="00113664" w:rsidP="00F577D4" w14:paraId="4106AB01" w14:textId="7DB30EC5">
            <w:pPr>
              <w:rPr>
                <w:rFonts w:ascii="Calibri" w:hAnsi="Calibri" w:cs="Calibri"/>
                <w:color w:val="000000"/>
              </w:rPr>
            </w:pPr>
            <w:r>
              <w:rPr>
                <w:rFonts w:ascii="Calibri" w:hAnsi="Calibri" w:cs="Calibri"/>
                <w:color w:val="000000"/>
              </w:rPr>
              <w:t> </w:t>
            </w:r>
          </w:p>
        </w:tc>
        <w:tc>
          <w:tcPr>
            <w:tcW w:w="1530" w:type="dxa"/>
            <w:tcBorders>
              <w:top w:val="nil"/>
              <w:left w:val="nil"/>
              <w:bottom w:val="single" w:sz="4" w:space="0" w:color="auto"/>
              <w:right w:val="single" w:sz="4" w:space="0" w:color="auto"/>
            </w:tcBorders>
            <w:shd w:val="clear" w:color="auto" w:fill="auto"/>
            <w:vAlign w:val="center"/>
            <w:hideMark/>
          </w:tcPr>
          <w:p w:rsidR="00F577D4" w:rsidRPr="00113664" w:rsidP="00F577D4" w14:paraId="37DB2E0A" w14:textId="1C18FF68">
            <w:pPr>
              <w:rPr>
                <w:rFonts w:ascii="Calibri" w:hAnsi="Calibri" w:cs="Calibri"/>
                <w:color w:val="000000"/>
              </w:rPr>
            </w:pPr>
            <w:r>
              <w:rPr>
                <w:rFonts w:ascii="Calibri" w:hAnsi="Calibri" w:cs="Calibr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F577D4" w:rsidRPr="00113664" w:rsidP="00F577D4" w14:paraId="6E8205F4" w14:textId="6C24D100">
            <w:pPr>
              <w:rPr>
                <w:rFonts w:ascii="Calibri" w:hAnsi="Calibri" w:cs="Calibri"/>
                <w:color w:val="000000"/>
              </w:rPr>
            </w:pPr>
            <w:r>
              <w:rPr>
                <w:rFonts w:ascii="Calibri" w:hAnsi="Calibri" w:cs="Calibri"/>
                <w:color w:val="000000"/>
              </w:rPr>
              <w:t> </w:t>
            </w:r>
          </w:p>
        </w:tc>
        <w:tc>
          <w:tcPr>
            <w:tcW w:w="1304" w:type="dxa"/>
            <w:tcBorders>
              <w:top w:val="nil"/>
              <w:left w:val="nil"/>
              <w:bottom w:val="single" w:sz="4" w:space="0" w:color="auto"/>
              <w:right w:val="single" w:sz="4" w:space="0" w:color="auto"/>
            </w:tcBorders>
            <w:shd w:val="clear" w:color="auto" w:fill="auto"/>
            <w:vAlign w:val="center"/>
            <w:hideMark/>
          </w:tcPr>
          <w:p w:rsidR="00F577D4" w:rsidRPr="00113664" w:rsidP="00F577D4" w14:paraId="0D2B570F" w14:textId="5FDAFA0D">
            <w:pPr>
              <w:rPr>
                <w:rFonts w:ascii="Calibri" w:hAnsi="Calibri" w:cs="Calibri"/>
                <w:color w:val="000000"/>
              </w:rPr>
            </w:pPr>
            <w:r>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vAlign w:val="center"/>
            <w:hideMark/>
          </w:tcPr>
          <w:p w:rsidR="00F577D4" w:rsidRPr="00113664" w:rsidP="00F577D4" w14:paraId="52B77FD6" w14:textId="1861486C">
            <w:pPr>
              <w:rPr>
                <w:rFonts w:ascii="Calibri" w:hAnsi="Calibri" w:cs="Calibri"/>
                <w:color w:val="000000"/>
              </w:rPr>
            </w:pPr>
            <w:r>
              <w:rPr>
                <w:rFonts w:ascii="Calibri"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rsidR="00F577D4" w:rsidRPr="00113664" w:rsidP="00F577D4" w14:paraId="64B02715" w14:textId="6F50DC0B">
            <w:pPr>
              <w:rPr>
                <w:rFonts w:ascii="Calibri" w:hAnsi="Calibri" w:cs="Calibri"/>
                <w:color w:val="000000"/>
              </w:rPr>
            </w:pPr>
            <w:r>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rsidR="00F577D4" w:rsidRPr="00113664" w:rsidP="00F577D4" w14:paraId="54D83183" w14:textId="54D1AFDD">
            <w:pPr>
              <w:jc w:val="right"/>
              <w:rPr>
                <w:color w:val="000000"/>
                <w:sz w:val="20"/>
                <w:szCs w:val="20"/>
              </w:rPr>
            </w:pPr>
            <w:r>
              <w:rPr>
                <w:color w:val="000000"/>
                <w:sz w:val="20"/>
                <w:szCs w:val="20"/>
              </w:rPr>
              <w:t> </w:t>
            </w:r>
          </w:p>
        </w:tc>
      </w:tr>
      <w:tr w14:paraId="42A21AAA"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F577D4" w:rsidRPr="00113664" w:rsidP="00F577D4" w14:paraId="104B5ED1" w14:textId="77777777">
            <w:pPr>
              <w:rPr>
                <w:color w:val="000000"/>
                <w:sz w:val="20"/>
                <w:szCs w:val="20"/>
              </w:rPr>
            </w:pPr>
            <w:r w:rsidRPr="00113664">
              <w:rPr>
                <w:color w:val="000000"/>
                <w:sz w:val="20"/>
                <w:szCs w:val="20"/>
              </w:rPr>
              <w:t>D.</w:t>
            </w:r>
            <w:r>
              <w:rPr>
                <w:color w:val="000000"/>
                <w:sz w:val="20"/>
                <w:szCs w:val="20"/>
              </w:rPr>
              <w:t xml:space="preserve"> </w:t>
            </w:r>
            <w:r w:rsidRPr="00113664">
              <w:rPr>
                <w:color w:val="000000"/>
                <w:sz w:val="20"/>
                <w:szCs w:val="20"/>
              </w:rPr>
              <w:t>Develop record system</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F577D4" w:rsidRPr="00113664" w:rsidP="00F577D4" w14:paraId="36814301" w14:textId="49720DDE">
            <w:pPr>
              <w:jc w:val="center"/>
              <w:rPr>
                <w:color w:val="000000"/>
                <w:sz w:val="20"/>
                <w:szCs w:val="20"/>
              </w:rPr>
            </w:pPr>
            <w:r>
              <w:rPr>
                <w:color w:val="000000"/>
                <w:sz w:val="20"/>
                <w:szCs w:val="20"/>
              </w:rPr>
              <w:t>See 4E</w:t>
            </w:r>
          </w:p>
        </w:tc>
        <w:tc>
          <w:tcPr>
            <w:tcW w:w="1440" w:type="dxa"/>
            <w:tcBorders>
              <w:top w:val="nil"/>
              <w:left w:val="nil"/>
              <w:bottom w:val="single" w:sz="4" w:space="0" w:color="auto"/>
              <w:right w:val="single" w:sz="4" w:space="0" w:color="auto"/>
            </w:tcBorders>
            <w:shd w:val="clear" w:color="auto" w:fill="auto"/>
            <w:vAlign w:val="center"/>
            <w:hideMark/>
          </w:tcPr>
          <w:p w:rsidR="00F577D4" w:rsidRPr="00113664" w:rsidP="00F577D4" w14:paraId="17F4575B" w14:textId="66E96C04">
            <w:pPr>
              <w:rPr>
                <w:rFonts w:ascii="Calibri" w:hAnsi="Calibri" w:cs="Calibri"/>
                <w:color w:val="000000"/>
              </w:rPr>
            </w:pPr>
            <w:r>
              <w:rPr>
                <w:rFonts w:ascii="Calibri" w:hAnsi="Calibri" w:cs="Calibri"/>
                <w:color w:val="000000"/>
              </w:rPr>
              <w:t> </w:t>
            </w:r>
          </w:p>
        </w:tc>
        <w:tc>
          <w:tcPr>
            <w:tcW w:w="1530" w:type="dxa"/>
            <w:tcBorders>
              <w:top w:val="nil"/>
              <w:left w:val="nil"/>
              <w:bottom w:val="single" w:sz="4" w:space="0" w:color="auto"/>
              <w:right w:val="single" w:sz="4" w:space="0" w:color="auto"/>
            </w:tcBorders>
            <w:shd w:val="clear" w:color="auto" w:fill="auto"/>
            <w:vAlign w:val="center"/>
            <w:hideMark/>
          </w:tcPr>
          <w:p w:rsidR="00F577D4" w:rsidRPr="00113664" w:rsidP="00F577D4" w14:paraId="13C7F74F" w14:textId="27F4150B">
            <w:pPr>
              <w:rPr>
                <w:rFonts w:ascii="Calibri" w:hAnsi="Calibri" w:cs="Calibri"/>
                <w:color w:val="000000"/>
              </w:rPr>
            </w:pPr>
            <w:r>
              <w:rPr>
                <w:rFonts w:ascii="Calibri" w:hAnsi="Calibri" w:cs="Calibr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F577D4" w:rsidRPr="00113664" w:rsidP="00F577D4" w14:paraId="79673C7B" w14:textId="51C9F66D">
            <w:pPr>
              <w:rPr>
                <w:rFonts w:ascii="Calibri" w:hAnsi="Calibri" w:cs="Calibri"/>
                <w:color w:val="000000"/>
              </w:rPr>
            </w:pPr>
            <w:r>
              <w:rPr>
                <w:rFonts w:ascii="Calibri" w:hAnsi="Calibri" w:cs="Calibri"/>
                <w:color w:val="000000"/>
              </w:rPr>
              <w:t> </w:t>
            </w:r>
          </w:p>
        </w:tc>
        <w:tc>
          <w:tcPr>
            <w:tcW w:w="1304" w:type="dxa"/>
            <w:tcBorders>
              <w:top w:val="nil"/>
              <w:left w:val="nil"/>
              <w:bottom w:val="single" w:sz="4" w:space="0" w:color="auto"/>
              <w:right w:val="single" w:sz="4" w:space="0" w:color="auto"/>
            </w:tcBorders>
            <w:shd w:val="clear" w:color="auto" w:fill="auto"/>
            <w:vAlign w:val="center"/>
            <w:hideMark/>
          </w:tcPr>
          <w:p w:rsidR="00F577D4" w:rsidRPr="00113664" w:rsidP="00F577D4" w14:paraId="08883006" w14:textId="249D01FA">
            <w:pPr>
              <w:rPr>
                <w:rFonts w:ascii="Calibri" w:hAnsi="Calibri" w:cs="Calibri"/>
                <w:color w:val="000000"/>
              </w:rPr>
            </w:pPr>
            <w:r>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vAlign w:val="center"/>
            <w:hideMark/>
          </w:tcPr>
          <w:p w:rsidR="00F577D4" w:rsidRPr="00113664" w:rsidP="00F577D4" w14:paraId="6BA71B09" w14:textId="574B17E0">
            <w:pPr>
              <w:rPr>
                <w:rFonts w:ascii="Calibri" w:hAnsi="Calibri" w:cs="Calibri"/>
                <w:color w:val="000000"/>
              </w:rPr>
            </w:pPr>
            <w:r>
              <w:rPr>
                <w:rFonts w:ascii="Calibri"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rsidR="00F577D4" w:rsidRPr="00113664" w:rsidP="00F577D4" w14:paraId="04C525B4" w14:textId="01CC9D45">
            <w:pPr>
              <w:rPr>
                <w:rFonts w:ascii="Calibri" w:hAnsi="Calibri" w:cs="Calibri"/>
                <w:color w:val="000000"/>
              </w:rPr>
            </w:pPr>
            <w:r>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rsidR="00F577D4" w:rsidRPr="00113664" w:rsidP="00F577D4" w14:paraId="1A442091" w14:textId="78A3E327">
            <w:pPr>
              <w:jc w:val="right"/>
              <w:rPr>
                <w:color w:val="000000"/>
                <w:sz w:val="20"/>
                <w:szCs w:val="20"/>
              </w:rPr>
            </w:pPr>
            <w:r>
              <w:rPr>
                <w:color w:val="000000"/>
                <w:sz w:val="20"/>
                <w:szCs w:val="20"/>
              </w:rPr>
              <w:t xml:space="preserve"> </w:t>
            </w:r>
          </w:p>
        </w:tc>
      </w:tr>
      <w:tr w14:paraId="5F312DDB"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F577D4" w:rsidRPr="00113664" w:rsidP="00F577D4" w14:paraId="5FE5CA3E" w14:textId="77777777">
            <w:pPr>
              <w:rPr>
                <w:color w:val="000000"/>
                <w:sz w:val="20"/>
                <w:szCs w:val="20"/>
              </w:rPr>
            </w:pPr>
            <w:r w:rsidRPr="00113664">
              <w:rPr>
                <w:color w:val="000000"/>
                <w:sz w:val="20"/>
                <w:szCs w:val="20"/>
              </w:rPr>
              <w:t>E.</w:t>
            </w:r>
            <w:r>
              <w:rPr>
                <w:color w:val="000000"/>
                <w:sz w:val="20"/>
                <w:szCs w:val="20"/>
              </w:rPr>
              <w:t xml:space="preserve"> </w:t>
            </w:r>
            <w:r w:rsidRPr="00113664">
              <w:rPr>
                <w:color w:val="000000"/>
                <w:sz w:val="20"/>
                <w:szCs w:val="20"/>
              </w:rPr>
              <w:t>Time to enter information</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F577D4" w:rsidRPr="00113664" w:rsidP="00F577D4" w14:paraId="0D8C883D" w14:textId="506A6B4A">
            <w:pPr>
              <w:rPr>
                <w:rFonts w:ascii="Calibri" w:hAnsi="Calibri" w:cs="Calibri"/>
                <w:color w:val="000000"/>
              </w:rPr>
            </w:pPr>
            <w:r>
              <w:rPr>
                <w:rFonts w:ascii="Calibri" w:hAnsi="Calibri" w:cs="Calibri"/>
                <w:color w:val="000000"/>
              </w:rPr>
              <w:t> </w:t>
            </w:r>
          </w:p>
        </w:tc>
        <w:tc>
          <w:tcPr>
            <w:tcW w:w="1440" w:type="dxa"/>
            <w:tcBorders>
              <w:top w:val="nil"/>
              <w:left w:val="nil"/>
              <w:bottom w:val="single" w:sz="4" w:space="0" w:color="auto"/>
              <w:right w:val="single" w:sz="4" w:space="0" w:color="auto"/>
            </w:tcBorders>
            <w:shd w:val="clear" w:color="auto" w:fill="auto"/>
            <w:vAlign w:val="center"/>
            <w:hideMark/>
          </w:tcPr>
          <w:p w:rsidR="00F577D4" w:rsidRPr="00113664" w:rsidP="00F577D4" w14:paraId="63534C39" w14:textId="0D9CB4A1">
            <w:pPr>
              <w:rPr>
                <w:rFonts w:ascii="Calibri" w:hAnsi="Calibri" w:cs="Calibri"/>
                <w:color w:val="000000"/>
              </w:rPr>
            </w:pPr>
            <w:r>
              <w:rPr>
                <w:rFonts w:ascii="Calibri" w:hAnsi="Calibri" w:cs="Calibri"/>
                <w:color w:val="000000"/>
              </w:rPr>
              <w:t> </w:t>
            </w:r>
          </w:p>
        </w:tc>
        <w:tc>
          <w:tcPr>
            <w:tcW w:w="1530" w:type="dxa"/>
            <w:tcBorders>
              <w:top w:val="nil"/>
              <w:left w:val="nil"/>
              <w:bottom w:val="single" w:sz="4" w:space="0" w:color="auto"/>
              <w:right w:val="single" w:sz="4" w:space="0" w:color="auto"/>
            </w:tcBorders>
            <w:shd w:val="clear" w:color="auto" w:fill="auto"/>
            <w:vAlign w:val="center"/>
            <w:hideMark/>
          </w:tcPr>
          <w:p w:rsidR="00F577D4" w:rsidRPr="00113664" w:rsidP="00F577D4" w14:paraId="0DA00C2A" w14:textId="1A36C2E6">
            <w:pPr>
              <w:rPr>
                <w:rFonts w:ascii="Calibri" w:hAnsi="Calibri" w:cs="Calibri"/>
                <w:color w:val="000000"/>
              </w:rPr>
            </w:pPr>
            <w:r>
              <w:rPr>
                <w:rFonts w:ascii="Calibri" w:hAnsi="Calibri" w:cs="Calibr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F577D4" w:rsidRPr="00113664" w:rsidP="00F577D4" w14:paraId="4FFF587C" w14:textId="3DCD7E6E">
            <w:pPr>
              <w:rPr>
                <w:rFonts w:ascii="Calibri" w:hAnsi="Calibri" w:cs="Calibri"/>
                <w:color w:val="000000"/>
              </w:rPr>
            </w:pPr>
            <w:r>
              <w:rPr>
                <w:rFonts w:ascii="Calibri" w:hAnsi="Calibri" w:cs="Calibri"/>
                <w:color w:val="000000"/>
              </w:rPr>
              <w:t> </w:t>
            </w:r>
          </w:p>
        </w:tc>
        <w:tc>
          <w:tcPr>
            <w:tcW w:w="1304" w:type="dxa"/>
            <w:tcBorders>
              <w:top w:val="nil"/>
              <w:left w:val="nil"/>
              <w:bottom w:val="single" w:sz="4" w:space="0" w:color="auto"/>
              <w:right w:val="single" w:sz="4" w:space="0" w:color="auto"/>
            </w:tcBorders>
            <w:shd w:val="clear" w:color="auto" w:fill="auto"/>
            <w:vAlign w:val="center"/>
            <w:hideMark/>
          </w:tcPr>
          <w:p w:rsidR="00F577D4" w:rsidRPr="00113664" w:rsidP="00F577D4" w14:paraId="11F273DA" w14:textId="0C6DC90E">
            <w:pPr>
              <w:rPr>
                <w:rFonts w:ascii="Calibri" w:hAnsi="Calibri" w:cs="Calibri"/>
                <w:color w:val="000000"/>
              </w:rPr>
            </w:pPr>
            <w:r>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vAlign w:val="center"/>
            <w:hideMark/>
          </w:tcPr>
          <w:p w:rsidR="00F577D4" w:rsidRPr="00113664" w:rsidP="00F577D4" w14:paraId="1D532DC4" w14:textId="698A65A9">
            <w:pPr>
              <w:rPr>
                <w:rFonts w:ascii="Calibri" w:hAnsi="Calibri" w:cs="Calibri"/>
                <w:color w:val="000000"/>
              </w:rPr>
            </w:pPr>
            <w:r>
              <w:rPr>
                <w:rFonts w:ascii="Calibri"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rsidR="00F577D4" w:rsidRPr="00113664" w:rsidP="00F577D4" w14:paraId="1B0F7B31" w14:textId="0D2EF82C">
            <w:pPr>
              <w:rPr>
                <w:rFonts w:ascii="Calibri" w:hAnsi="Calibri" w:cs="Calibri"/>
                <w:color w:val="000000"/>
              </w:rPr>
            </w:pPr>
            <w:r>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rsidR="00F577D4" w:rsidRPr="00113664" w:rsidP="00F577D4" w14:paraId="3BF5C91D" w14:textId="5DA2F2E2">
            <w:pPr>
              <w:jc w:val="right"/>
              <w:rPr>
                <w:color w:val="000000"/>
                <w:sz w:val="20"/>
                <w:szCs w:val="20"/>
              </w:rPr>
            </w:pPr>
            <w:r>
              <w:rPr>
                <w:color w:val="000000"/>
                <w:sz w:val="20"/>
                <w:szCs w:val="20"/>
              </w:rPr>
              <w:t> </w:t>
            </w:r>
          </w:p>
        </w:tc>
      </w:tr>
      <w:tr w14:paraId="4AAA2AA5"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F577D4" w:rsidRPr="00113664" w:rsidP="00F577D4" w14:paraId="7CB91FF8" w14:textId="77777777">
            <w:pPr>
              <w:ind w:left="420" w:hanging="1"/>
              <w:rPr>
                <w:color w:val="000000"/>
                <w:sz w:val="20"/>
                <w:szCs w:val="20"/>
              </w:rPr>
            </w:pPr>
            <w:r w:rsidRPr="00113664">
              <w:rPr>
                <w:color w:val="000000"/>
                <w:sz w:val="20"/>
                <w:szCs w:val="20"/>
              </w:rPr>
              <w:t>Records of all information required by standards</w:t>
            </w:r>
            <w:r w:rsidRPr="00113664">
              <w:rPr>
                <w:color w:val="000000"/>
                <w:sz w:val="20"/>
                <w:szCs w:val="20"/>
                <w:vertAlign w:val="superscript"/>
              </w:rPr>
              <w:t xml:space="preserve"> m</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F577D4" w:rsidRPr="00113664" w:rsidP="00F577D4" w14:paraId="650C5F22" w14:textId="4A9FA434">
            <w:pPr>
              <w:jc w:val="center"/>
              <w:rPr>
                <w:color w:val="000000"/>
                <w:sz w:val="20"/>
                <w:szCs w:val="20"/>
              </w:rPr>
            </w:pPr>
            <w:r>
              <w:rPr>
                <w:color w:val="000000"/>
                <w:sz w:val="20"/>
                <w:szCs w:val="20"/>
              </w:rPr>
              <w:t>0.25</w:t>
            </w:r>
          </w:p>
        </w:tc>
        <w:tc>
          <w:tcPr>
            <w:tcW w:w="1440" w:type="dxa"/>
            <w:tcBorders>
              <w:top w:val="nil"/>
              <w:left w:val="nil"/>
              <w:bottom w:val="single" w:sz="4" w:space="0" w:color="auto"/>
              <w:right w:val="single" w:sz="4" w:space="0" w:color="auto"/>
            </w:tcBorders>
            <w:shd w:val="clear" w:color="auto" w:fill="auto"/>
            <w:vAlign w:val="center"/>
            <w:hideMark/>
          </w:tcPr>
          <w:p w:rsidR="00F577D4" w:rsidRPr="00113664" w:rsidP="00F577D4" w14:paraId="26AA86E0" w14:textId="534F19E1">
            <w:pPr>
              <w:jc w:val="center"/>
              <w:rPr>
                <w:color w:val="000000"/>
                <w:sz w:val="20"/>
                <w:szCs w:val="20"/>
              </w:rPr>
            </w:pPr>
            <w:r>
              <w:rPr>
                <w:color w:val="000000"/>
                <w:sz w:val="20"/>
                <w:szCs w:val="20"/>
              </w:rPr>
              <w:t>52</w:t>
            </w:r>
          </w:p>
        </w:tc>
        <w:tc>
          <w:tcPr>
            <w:tcW w:w="1530" w:type="dxa"/>
            <w:tcBorders>
              <w:top w:val="nil"/>
              <w:left w:val="nil"/>
              <w:bottom w:val="single" w:sz="4" w:space="0" w:color="auto"/>
              <w:right w:val="single" w:sz="4" w:space="0" w:color="auto"/>
            </w:tcBorders>
            <w:shd w:val="clear" w:color="auto" w:fill="auto"/>
            <w:vAlign w:val="center"/>
            <w:hideMark/>
          </w:tcPr>
          <w:p w:rsidR="00F577D4" w:rsidRPr="00113664" w:rsidP="00F577D4" w14:paraId="77050BF3" w14:textId="59CD1151">
            <w:pPr>
              <w:jc w:val="center"/>
              <w:rPr>
                <w:sz w:val="20"/>
                <w:szCs w:val="20"/>
              </w:rPr>
            </w:pPr>
            <w:r>
              <w:rPr>
                <w:sz w:val="20"/>
                <w:szCs w:val="20"/>
              </w:rPr>
              <w:t>13</w:t>
            </w:r>
          </w:p>
        </w:tc>
        <w:tc>
          <w:tcPr>
            <w:tcW w:w="1306" w:type="dxa"/>
            <w:tcBorders>
              <w:top w:val="nil"/>
              <w:left w:val="nil"/>
              <w:bottom w:val="single" w:sz="4" w:space="0" w:color="auto"/>
              <w:right w:val="single" w:sz="4" w:space="0" w:color="auto"/>
            </w:tcBorders>
            <w:shd w:val="clear" w:color="auto" w:fill="auto"/>
            <w:vAlign w:val="center"/>
            <w:hideMark/>
          </w:tcPr>
          <w:p w:rsidR="00F577D4" w:rsidRPr="00113664" w:rsidP="00F577D4" w14:paraId="17A85B8C" w14:textId="407EB668">
            <w:pPr>
              <w:jc w:val="center"/>
              <w:rPr>
                <w:color w:val="000000"/>
                <w:sz w:val="20"/>
                <w:szCs w:val="20"/>
              </w:rPr>
            </w:pPr>
            <w:r>
              <w:rPr>
                <w:color w:val="000000"/>
                <w:sz w:val="20"/>
                <w:szCs w:val="20"/>
              </w:rPr>
              <w:t>3</w:t>
            </w:r>
          </w:p>
        </w:tc>
        <w:tc>
          <w:tcPr>
            <w:tcW w:w="1304" w:type="dxa"/>
            <w:tcBorders>
              <w:top w:val="nil"/>
              <w:left w:val="nil"/>
              <w:bottom w:val="single" w:sz="4" w:space="0" w:color="auto"/>
              <w:right w:val="single" w:sz="4" w:space="0" w:color="auto"/>
            </w:tcBorders>
            <w:shd w:val="clear" w:color="auto" w:fill="auto"/>
            <w:vAlign w:val="center"/>
            <w:hideMark/>
          </w:tcPr>
          <w:p w:rsidR="00F577D4" w:rsidRPr="00113664" w:rsidP="00F577D4" w14:paraId="30CCBD7C" w14:textId="290704D4">
            <w:pPr>
              <w:jc w:val="center"/>
              <w:rPr>
                <w:color w:val="000000"/>
                <w:sz w:val="20"/>
                <w:szCs w:val="20"/>
              </w:rPr>
            </w:pPr>
            <w:r>
              <w:rPr>
                <w:color w:val="000000"/>
                <w:sz w:val="20"/>
                <w:szCs w:val="20"/>
              </w:rPr>
              <w:t>39</w:t>
            </w:r>
          </w:p>
        </w:tc>
        <w:tc>
          <w:tcPr>
            <w:tcW w:w="1350" w:type="dxa"/>
            <w:tcBorders>
              <w:top w:val="nil"/>
              <w:left w:val="nil"/>
              <w:bottom w:val="single" w:sz="4" w:space="0" w:color="auto"/>
              <w:right w:val="single" w:sz="4" w:space="0" w:color="auto"/>
            </w:tcBorders>
            <w:shd w:val="clear" w:color="auto" w:fill="auto"/>
            <w:vAlign w:val="center"/>
            <w:hideMark/>
          </w:tcPr>
          <w:p w:rsidR="00F577D4" w:rsidRPr="00113664" w:rsidP="00F577D4" w14:paraId="398E1DA8" w14:textId="78AF3FDA">
            <w:pPr>
              <w:jc w:val="center"/>
              <w:rPr>
                <w:color w:val="000000"/>
                <w:sz w:val="20"/>
                <w:szCs w:val="20"/>
              </w:rPr>
            </w:pPr>
            <w:r>
              <w:rPr>
                <w:color w:val="000000"/>
                <w:sz w:val="20"/>
                <w:szCs w:val="20"/>
              </w:rPr>
              <w:t>1.95</w:t>
            </w:r>
          </w:p>
        </w:tc>
        <w:tc>
          <w:tcPr>
            <w:tcW w:w="1170" w:type="dxa"/>
            <w:tcBorders>
              <w:top w:val="nil"/>
              <w:left w:val="nil"/>
              <w:bottom w:val="single" w:sz="4" w:space="0" w:color="auto"/>
              <w:right w:val="single" w:sz="4" w:space="0" w:color="auto"/>
            </w:tcBorders>
            <w:shd w:val="clear" w:color="auto" w:fill="auto"/>
            <w:vAlign w:val="center"/>
            <w:hideMark/>
          </w:tcPr>
          <w:p w:rsidR="00F577D4" w:rsidRPr="00113664" w:rsidP="00F577D4" w14:paraId="1C14872E" w14:textId="631194C1">
            <w:pPr>
              <w:jc w:val="center"/>
              <w:rPr>
                <w:color w:val="000000"/>
                <w:sz w:val="20"/>
                <w:szCs w:val="20"/>
              </w:rPr>
            </w:pPr>
            <w:r>
              <w:rPr>
                <w:color w:val="000000"/>
                <w:sz w:val="20"/>
                <w:szCs w:val="20"/>
              </w:rPr>
              <w:t>3.9</w:t>
            </w:r>
          </w:p>
        </w:tc>
        <w:tc>
          <w:tcPr>
            <w:tcW w:w="1080" w:type="dxa"/>
            <w:tcBorders>
              <w:top w:val="nil"/>
              <w:left w:val="nil"/>
              <w:bottom w:val="single" w:sz="4" w:space="0" w:color="auto"/>
              <w:right w:val="single" w:sz="4" w:space="0" w:color="auto"/>
            </w:tcBorders>
            <w:shd w:val="clear" w:color="auto" w:fill="auto"/>
            <w:vAlign w:val="center"/>
            <w:hideMark/>
          </w:tcPr>
          <w:p w:rsidR="00F577D4" w:rsidRPr="00113664" w:rsidP="00F577D4" w14:paraId="5A92BEAF" w14:textId="5BE0E4FC">
            <w:pPr>
              <w:jc w:val="right"/>
              <w:rPr>
                <w:color w:val="000000"/>
                <w:sz w:val="20"/>
                <w:szCs w:val="20"/>
              </w:rPr>
            </w:pPr>
            <w:r>
              <w:rPr>
                <w:sz w:val="20"/>
                <w:szCs w:val="20"/>
              </w:rPr>
              <w:t xml:space="preserve">$6,143 </w:t>
            </w:r>
          </w:p>
        </w:tc>
      </w:tr>
      <w:tr w14:paraId="40EF638A"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F577D4" w:rsidRPr="00113664" w:rsidP="00F577D4" w14:paraId="7D32EB6E" w14:textId="77777777">
            <w:pPr>
              <w:rPr>
                <w:color w:val="000000"/>
                <w:sz w:val="20"/>
                <w:szCs w:val="20"/>
              </w:rPr>
            </w:pPr>
            <w:r w:rsidRPr="00113664">
              <w:rPr>
                <w:color w:val="000000"/>
                <w:sz w:val="20"/>
                <w:szCs w:val="20"/>
              </w:rPr>
              <w:t>F.</w:t>
            </w:r>
            <w:r>
              <w:rPr>
                <w:color w:val="000000"/>
                <w:sz w:val="20"/>
                <w:szCs w:val="20"/>
              </w:rPr>
              <w:t xml:space="preserve"> </w:t>
            </w:r>
            <w:r w:rsidRPr="00113664">
              <w:rPr>
                <w:color w:val="000000"/>
                <w:sz w:val="20"/>
                <w:szCs w:val="20"/>
              </w:rPr>
              <w:t>Time to train personnel</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F577D4" w:rsidRPr="00113664" w:rsidP="00F577D4" w14:paraId="257EE5F4" w14:textId="48043104">
            <w:pPr>
              <w:jc w:val="center"/>
              <w:rPr>
                <w:color w:val="000000"/>
                <w:sz w:val="20"/>
                <w:szCs w:val="20"/>
              </w:rPr>
            </w:pPr>
            <w:r>
              <w:rPr>
                <w:color w:val="000000"/>
                <w:sz w:val="20"/>
                <w:szCs w:val="20"/>
              </w:rPr>
              <w:t>20</w:t>
            </w:r>
          </w:p>
        </w:tc>
        <w:tc>
          <w:tcPr>
            <w:tcW w:w="1440" w:type="dxa"/>
            <w:tcBorders>
              <w:top w:val="nil"/>
              <w:left w:val="nil"/>
              <w:bottom w:val="single" w:sz="4" w:space="0" w:color="auto"/>
              <w:right w:val="single" w:sz="4" w:space="0" w:color="auto"/>
            </w:tcBorders>
            <w:shd w:val="clear" w:color="auto" w:fill="auto"/>
            <w:vAlign w:val="center"/>
            <w:hideMark/>
          </w:tcPr>
          <w:p w:rsidR="00F577D4" w:rsidRPr="00113664" w:rsidP="00F577D4" w14:paraId="10489963" w14:textId="20679037">
            <w:pPr>
              <w:jc w:val="center"/>
              <w:rPr>
                <w:color w:val="000000"/>
                <w:sz w:val="20"/>
                <w:szCs w:val="20"/>
              </w:rPr>
            </w:pPr>
            <w:r>
              <w:rPr>
                <w:color w:val="000000"/>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F577D4" w:rsidRPr="00113664" w:rsidP="00F577D4" w14:paraId="4C3112FA" w14:textId="647BF309">
            <w:pPr>
              <w:jc w:val="center"/>
              <w:rPr>
                <w:sz w:val="20"/>
                <w:szCs w:val="20"/>
              </w:rPr>
            </w:pPr>
            <w:r>
              <w:rPr>
                <w:sz w:val="20"/>
                <w:szCs w:val="20"/>
              </w:rPr>
              <w:t>20</w:t>
            </w:r>
          </w:p>
        </w:tc>
        <w:tc>
          <w:tcPr>
            <w:tcW w:w="1306" w:type="dxa"/>
            <w:tcBorders>
              <w:top w:val="nil"/>
              <w:left w:val="nil"/>
              <w:bottom w:val="single" w:sz="4" w:space="0" w:color="auto"/>
              <w:right w:val="single" w:sz="4" w:space="0" w:color="auto"/>
            </w:tcBorders>
            <w:shd w:val="clear" w:color="auto" w:fill="auto"/>
            <w:vAlign w:val="center"/>
            <w:hideMark/>
          </w:tcPr>
          <w:p w:rsidR="00F577D4" w:rsidRPr="00113664" w:rsidP="00F577D4" w14:paraId="11B1DA83" w14:textId="42AEF160">
            <w:pPr>
              <w:jc w:val="center"/>
              <w:rPr>
                <w:color w:val="000000"/>
                <w:sz w:val="20"/>
                <w:szCs w:val="20"/>
              </w:rPr>
            </w:pPr>
            <w:r>
              <w:rPr>
                <w:color w:val="000000"/>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F577D4" w:rsidRPr="00113664" w:rsidP="00F577D4" w14:paraId="6F189753" w14:textId="4F7CEE54">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577D4" w:rsidRPr="00113664" w:rsidP="00F577D4" w14:paraId="1D722CC9" w14:textId="73B340F9">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F577D4" w:rsidRPr="00113664" w:rsidP="00F577D4" w14:paraId="402CE892" w14:textId="62029873">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F577D4" w:rsidRPr="00113664" w:rsidP="00F577D4" w14:paraId="15E302CE" w14:textId="32A8159D">
            <w:pPr>
              <w:jc w:val="right"/>
              <w:rPr>
                <w:color w:val="000000"/>
                <w:sz w:val="20"/>
                <w:szCs w:val="20"/>
              </w:rPr>
            </w:pPr>
            <w:r>
              <w:rPr>
                <w:sz w:val="20"/>
                <w:szCs w:val="20"/>
              </w:rPr>
              <w:t xml:space="preserve">$0 </w:t>
            </w:r>
          </w:p>
        </w:tc>
      </w:tr>
      <w:tr w14:paraId="1BE74F8E"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F577D4" w:rsidRPr="00113664" w:rsidP="00F577D4" w14:paraId="3ACA82A5" w14:textId="77777777">
            <w:pPr>
              <w:rPr>
                <w:color w:val="000000"/>
                <w:sz w:val="20"/>
                <w:szCs w:val="20"/>
              </w:rPr>
            </w:pPr>
            <w:r w:rsidRPr="00113664">
              <w:rPr>
                <w:color w:val="000000"/>
                <w:sz w:val="20"/>
                <w:szCs w:val="20"/>
              </w:rPr>
              <w:t xml:space="preserve">G. Time to transmit or disclose information </w:t>
            </w:r>
            <w:r w:rsidRPr="00113664">
              <w:rPr>
                <w:color w:val="000000"/>
                <w:sz w:val="20"/>
                <w:szCs w:val="20"/>
                <w:vertAlign w:val="superscript"/>
              </w:rPr>
              <w:t>n</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F577D4" w:rsidRPr="00113664" w:rsidP="00F577D4" w14:paraId="0602C1CC" w14:textId="65D12389">
            <w:pPr>
              <w:jc w:val="center"/>
              <w:rPr>
                <w:color w:val="000000"/>
                <w:sz w:val="20"/>
                <w:szCs w:val="20"/>
              </w:rPr>
            </w:pPr>
            <w:r>
              <w:rPr>
                <w:color w:val="000000"/>
                <w:sz w:val="20"/>
                <w:szCs w:val="20"/>
              </w:rPr>
              <w:t>0.25</w:t>
            </w:r>
          </w:p>
        </w:tc>
        <w:tc>
          <w:tcPr>
            <w:tcW w:w="1440" w:type="dxa"/>
            <w:tcBorders>
              <w:top w:val="nil"/>
              <w:left w:val="nil"/>
              <w:bottom w:val="single" w:sz="4" w:space="0" w:color="auto"/>
              <w:right w:val="single" w:sz="4" w:space="0" w:color="auto"/>
            </w:tcBorders>
            <w:shd w:val="clear" w:color="auto" w:fill="auto"/>
            <w:vAlign w:val="center"/>
            <w:hideMark/>
          </w:tcPr>
          <w:p w:rsidR="00F577D4" w:rsidRPr="00113664" w:rsidP="00F577D4" w14:paraId="32D15805" w14:textId="64D4AF5F">
            <w:pPr>
              <w:jc w:val="center"/>
              <w:rPr>
                <w:color w:val="000000"/>
                <w:sz w:val="20"/>
                <w:szCs w:val="20"/>
              </w:rPr>
            </w:pPr>
            <w:r>
              <w:rPr>
                <w:color w:val="000000"/>
                <w:sz w:val="20"/>
                <w:szCs w:val="20"/>
              </w:rPr>
              <w:t>3</w:t>
            </w:r>
          </w:p>
        </w:tc>
        <w:tc>
          <w:tcPr>
            <w:tcW w:w="1530" w:type="dxa"/>
            <w:tcBorders>
              <w:top w:val="nil"/>
              <w:left w:val="nil"/>
              <w:bottom w:val="single" w:sz="4" w:space="0" w:color="auto"/>
              <w:right w:val="single" w:sz="4" w:space="0" w:color="auto"/>
            </w:tcBorders>
            <w:shd w:val="clear" w:color="auto" w:fill="auto"/>
            <w:vAlign w:val="center"/>
            <w:hideMark/>
          </w:tcPr>
          <w:p w:rsidR="00F577D4" w:rsidRPr="00113664" w:rsidP="00F577D4" w14:paraId="242A9867" w14:textId="3A6B731C">
            <w:pPr>
              <w:jc w:val="center"/>
              <w:rPr>
                <w:sz w:val="20"/>
                <w:szCs w:val="20"/>
              </w:rPr>
            </w:pPr>
            <w:r>
              <w:rPr>
                <w:sz w:val="20"/>
                <w:szCs w:val="20"/>
              </w:rPr>
              <w:t>0.75</w:t>
            </w:r>
          </w:p>
        </w:tc>
        <w:tc>
          <w:tcPr>
            <w:tcW w:w="1306" w:type="dxa"/>
            <w:tcBorders>
              <w:top w:val="nil"/>
              <w:left w:val="nil"/>
              <w:bottom w:val="single" w:sz="4" w:space="0" w:color="auto"/>
              <w:right w:val="single" w:sz="4" w:space="0" w:color="auto"/>
            </w:tcBorders>
            <w:shd w:val="clear" w:color="auto" w:fill="auto"/>
            <w:vAlign w:val="center"/>
            <w:hideMark/>
          </w:tcPr>
          <w:p w:rsidR="00F577D4" w:rsidRPr="00113664" w:rsidP="00F577D4" w14:paraId="11256011" w14:textId="75FD7AC3">
            <w:pPr>
              <w:jc w:val="center"/>
              <w:rPr>
                <w:color w:val="000000"/>
                <w:sz w:val="20"/>
                <w:szCs w:val="20"/>
              </w:rPr>
            </w:pPr>
            <w:r>
              <w:rPr>
                <w:color w:val="000000"/>
                <w:sz w:val="20"/>
                <w:szCs w:val="20"/>
              </w:rPr>
              <w:t>3</w:t>
            </w:r>
          </w:p>
        </w:tc>
        <w:tc>
          <w:tcPr>
            <w:tcW w:w="1304" w:type="dxa"/>
            <w:tcBorders>
              <w:top w:val="nil"/>
              <w:left w:val="nil"/>
              <w:bottom w:val="single" w:sz="4" w:space="0" w:color="auto"/>
              <w:right w:val="single" w:sz="4" w:space="0" w:color="auto"/>
            </w:tcBorders>
            <w:shd w:val="clear" w:color="auto" w:fill="auto"/>
            <w:vAlign w:val="center"/>
            <w:hideMark/>
          </w:tcPr>
          <w:p w:rsidR="00F577D4" w:rsidRPr="00113664" w:rsidP="00F577D4" w14:paraId="61E32BF0" w14:textId="07C75B37">
            <w:pPr>
              <w:jc w:val="center"/>
              <w:rPr>
                <w:color w:val="000000"/>
                <w:sz w:val="20"/>
                <w:szCs w:val="20"/>
              </w:rPr>
            </w:pPr>
            <w:r>
              <w:rPr>
                <w:color w:val="000000"/>
                <w:sz w:val="20"/>
                <w:szCs w:val="20"/>
              </w:rPr>
              <w:t>2.25</w:t>
            </w:r>
          </w:p>
        </w:tc>
        <w:tc>
          <w:tcPr>
            <w:tcW w:w="1350" w:type="dxa"/>
            <w:tcBorders>
              <w:top w:val="nil"/>
              <w:left w:val="nil"/>
              <w:bottom w:val="single" w:sz="4" w:space="0" w:color="auto"/>
              <w:right w:val="single" w:sz="4" w:space="0" w:color="auto"/>
            </w:tcBorders>
            <w:shd w:val="clear" w:color="auto" w:fill="auto"/>
            <w:vAlign w:val="center"/>
            <w:hideMark/>
          </w:tcPr>
          <w:p w:rsidR="00F577D4" w:rsidRPr="00113664" w:rsidP="00F577D4" w14:paraId="63198621" w14:textId="3EDE9B87">
            <w:pPr>
              <w:jc w:val="center"/>
              <w:rPr>
                <w:color w:val="000000"/>
                <w:sz w:val="20"/>
                <w:szCs w:val="20"/>
              </w:rPr>
            </w:pPr>
            <w:r>
              <w:rPr>
                <w:color w:val="000000"/>
                <w:sz w:val="20"/>
                <w:szCs w:val="20"/>
              </w:rPr>
              <w:t>0.1125</w:t>
            </w:r>
          </w:p>
        </w:tc>
        <w:tc>
          <w:tcPr>
            <w:tcW w:w="1170" w:type="dxa"/>
            <w:tcBorders>
              <w:top w:val="nil"/>
              <w:left w:val="nil"/>
              <w:bottom w:val="single" w:sz="4" w:space="0" w:color="auto"/>
              <w:right w:val="single" w:sz="4" w:space="0" w:color="auto"/>
            </w:tcBorders>
            <w:shd w:val="clear" w:color="auto" w:fill="auto"/>
            <w:vAlign w:val="center"/>
            <w:hideMark/>
          </w:tcPr>
          <w:p w:rsidR="00F577D4" w:rsidRPr="00113664" w:rsidP="00F577D4" w14:paraId="653B8810" w14:textId="36ACE5F1">
            <w:pPr>
              <w:jc w:val="center"/>
              <w:rPr>
                <w:color w:val="000000"/>
                <w:sz w:val="20"/>
                <w:szCs w:val="20"/>
              </w:rPr>
            </w:pPr>
            <w:r>
              <w:rPr>
                <w:color w:val="000000"/>
                <w:sz w:val="20"/>
                <w:szCs w:val="20"/>
              </w:rPr>
              <w:t>0.225</w:t>
            </w:r>
          </w:p>
        </w:tc>
        <w:tc>
          <w:tcPr>
            <w:tcW w:w="1080" w:type="dxa"/>
            <w:tcBorders>
              <w:top w:val="nil"/>
              <w:left w:val="nil"/>
              <w:bottom w:val="single" w:sz="4" w:space="0" w:color="auto"/>
              <w:right w:val="single" w:sz="4" w:space="0" w:color="auto"/>
            </w:tcBorders>
            <w:shd w:val="clear" w:color="auto" w:fill="auto"/>
            <w:vAlign w:val="center"/>
            <w:hideMark/>
          </w:tcPr>
          <w:p w:rsidR="00F577D4" w:rsidRPr="00113664" w:rsidP="00F577D4" w14:paraId="37DFB31E" w14:textId="2DAE1E05">
            <w:pPr>
              <w:jc w:val="right"/>
              <w:rPr>
                <w:color w:val="000000"/>
                <w:sz w:val="20"/>
                <w:szCs w:val="20"/>
              </w:rPr>
            </w:pPr>
            <w:r>
              <w:rPr>
                <w:sz w:val="20"/>
                <w:szCs w:val="20"/>
              </w:rPr>
              <w:t xml:space="preserve">$354 </w:t>
            </w:r>
          </w:p>
        </w:tc>
      </w:tr>
      <w:tr w14:paraId="5B908BC4"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F577D4" w:rsidRPr="00113664" w:rsidP="00F577D4" w14:paraId="13E3C345" w14:textId="77777777">
            <w:pPr>
              <w:rPr>
                <w:color w:val="000000"/>
                <w:sz w:val="20"/>
                <w:szCs w:val="20"/>
              </w:rPr>
            </w:pPr>
            <w:r w:rsidRPr="00113664">
              <w:rPr>
                <w:color w:val="000000"/>
                <w:sz w:val="20"/>
                <w:szCs w:val="20"/>
              </w:rPr>
              <w:t xml:space="preserve">H. Time for audits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F577D4" w:rsidRPr="00113664" w:rsidP="00F577D4" w14:paraId="23C6E8E3" w14:textId="3DA2B8FB">
            <w:pPr>
              <w:jc w:val="center"/>
              <w:rPr>
                <w:color w:val="000000"/>
                <w:sz w:val="20"/>
                <w:szCs w:val="20"/>
              </w:rPr>
            </w:pPr>
            <w:r>
              <w:rPr>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F577D4" w:rsidRPr="00113664" w:rsidP="00F577D4" w14:paraId="20E1167F" w14:textId="4A849562">
            <w:pPr>
              <w:rPr>
                <w:rFonts w:ascii="Calibri" w:hAnsi="Calibri" w:cs="Calibri"/>
                <w:color w:val="000000"/>
              </w:rPr>
            </w:pPr>
            <w:r>
              <w:rPr>
                <w:rFonts w:ascii="Calibri" w:hAnsi="Calibri" w:cs="Calibri"/>
                <w:color w:val="000000"/>
              </w:rPr>
              <w:t> </w:t>
            </w:r>
          </w:p>
        </w:tc>
        <w:tc>
          <w:tcPr>
            <w:tcW w:w="1530" w:type="dxa"/>
            <w:tcBorders>
              <w:top w:val="nil"/>
              <w:left w:val="nil"/>
              <w:bottom w:val="single" w:sz="4" w:space="0" w:color="auto"/>
              <w:right w:val="single" w:sz="4" w:space="0" w:color="auto"/>
            </w:tcBorders>
            <w:shd w:val="clear" w:color="auto" w:fill="auto"/>
            <w:vAlign w:val="center"/>
            <w:hideMark/>
          </w:tcPr>
          <w:p w:rsidR="00F577D4" w:rsidRPr="00113664" w:rsidP="00F577D4" w14:paraId="7628CB4B" w14:textId="1A747861">
            <w:pPr>
              <w:rPr>
                <w:rFonts w:ascii="Calibri" w:hAnsi="Calibri" w:cs="Calibri"/>
                <w:color w:val="000000"/>
              </w:rPr>
            </w:pPr>
            <w:r>
              <w:rPr>
                <w:rFonts w:ascii="Calibri" w:hAnsi="Calibri" w:cs="Calibr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F577D4" w:rsidRPr="00113664" w:rsidP="00F577D4" w14:paraId="160BEF30" w14:textId="4B43E807">
            <w:pPr>
              <w:rPr>
                <w:rFonts w:ascii="Calibri" w:hAnsi="Calibri" w:cs="Calibri"/>
                <w:color w:val="000000"/>
              </w:rPr>
            </w:pPr>
            <w:r>
              <w:rPr>
                <w:rFonts w:ascii="Calibri" w:hAnsi="Calibri" w:cs="Calibri"/>
                <w:color w:val="000000"/>
              </w:rPr>
              <w:t> </w:t>
            </w:r>
          </w:p>
        </w:tc>
        <w:tc>
          <w:tcPr>
            <w:tcW w:w="1304" w:type="dxa"/>
            <w:tcBorders>
              <w:top w:val="nil"/>
              <w:left w:val="nil"/>
              <w:bottom w:val="single" w:sz="4" w:space="0" w:color="auto"/>
              <w:right w:val="single" w:sz="4" w:space="0" w:color="auto"/>
            </w:tcBorders>
            <w:shd w:val="clear" w:color="auto" w:fill="auto"/>
            <w:vAlign w:val="center"/>
            <w:hideMark/>
          </w:tcPr>
          <w:p w:rsidR="00F577D4" w:rsidRPr="00113664" w:rsidP="00F577D4" w14:paraId="62E3D07D" w14:textId="538EAF99">
            <w:pPr>
              <w:rPr>
                <w:rFonts w:ascii="Calibri" w:hAnsi="Calibri" w:cs="Calibri"/>
                <w:color w:val="000000"/>
              </w:rPr>
            </w:pPr>
            <w:r>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vAlign w:val="center"/>
            <w:hideMark/>
          </w:tcPr>
          <w:p w:rsidR="00F577D4" w:rsidRPr="00113664" w:rsidP="00F577D4" w14:paraId="58C23342" w14:textId="49315ACB">
            <w:pPr>
              <w:rPr>
                <w:rFonts w:ascii="Calibri" w:hAnsi="Calibri" w:cs="Calibri"/>
                <w:color w:val="000000"/>
              </w:rPr>
            </w:pPr>
            <w:r>
              <w:rPr>
                <w:rFonts w:ascii="Calibri"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rsidR="00F577D4" w:rsidRPr="00113664" w:rsidP="00F577D4" w14:paraId="2D3561BD" w14:textId="76674356">
            <w:pPr>
              <w:rPr>
                <w:rFonts w:ascii="Calibri" w:hAnsi="Calibri" w:cs="Calibri"/>
                <w:color w:val="000000"/>
              </w:rPr>
            </w:pPr>
            <w:r>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rsidR="00F577D4" w:rsidRPr="00113664" w:rsidP="00F577D4" w14:paraId="73F365AD" w14:textId="7D1809D8">
            <w:pPr>
              <w:jc w:val="right"/>
              <w:rPr>
                <w:color w:val="000000"/>
                <w:sz w:val="20"/>
                <w:szCs w:val="20"/>
              </w:rPr>
            </w:pPr>
            <w:r>
              <w:rPr>
                <w:color w:val="000000"/>
                <w:sz w:val="20"/>
                <w:szCs w:val="20"/>
              </w:rPr>
              <w:t> </w:t>
            </w:r>
          </w:p>
        </w:tc>
      </w:tr>
      <w:tr w14:paraId="2162C8DB"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F577D4" w:rsidRPr="00113664" w:rsidP="00F577D4" w14:paraId="534ECA06" w14:textId="77777777">
            <w:pPr>
              <w:rPr>
                <w:b/>
                <w:bCs/>
                <w:i/>
                <w:iCs/>
                <w:color w:val="000000"/>
                <w:sz w:val="20"/>
                <w:szCs w:val="20"/>
              </w:rPr>
            </w:pPr>
            <w:r w:rsidRPr="00113664">
              <w:rPr>
                <w:b/>
                <w:bCs/>
                <w:i/>
                <w:iCs/>
                <w:color w:val="000000"/>
                <w:sz w:val="20"/>
                <w:szCs w:val="20"/>
              </w:rPr>
              <w:t>Subtotal for</w:t>
            </w:r>
            <w:r>
              <w:rPr>
                <w:b/>
                <w:bCs/>
                <w:i/>
                <w:iCs/>
                <w:color w:val="000000"/>
                <w:sz w:val="20"/>
                <w:szCs w:val="20"/>
              </w:rPr>
              <w:t xml:space="preserve"> </w:t>
            </w:r>
            <w:r w:rsidRPr="00113664">
              <w:rPr>
                <w:b/>
                <w:bCs/>
                <w:i/>
                <w:iCs/>
                <w:color w:val="000000"/>
                <w:sz w:val="20"/>
                <w:szCs w:val="20"/>
              </w:rPr>
              <w:t>Recordkeeping Requirements</w:t>
            </w:r>
          </w:p>
        </w:tc>
        <w:tc>
          <w:tcPr>
            <w:tcW w:w="1260" w:type="dxa"/>
            <w:tcBorders>
              <w:top w:val="nil"/>
              <w:left w:val="nil"/>
              <w:bottom w:val="single" w:sz="4" w:space="0" w:color="auto"/>
              <w:right w:val="single" w:sz="4" w:space="0" w:color="auto"/>
            </w:tcBorders>
            <w:shd w:val="clear" w:color="auto" w:fill="auto"/>
            <w:vAlign w:val="center"/>
            <w:hideMark/>
          </w:tcPr>
          <w:p w:rsidR="00F577D4" w:rsidRPr="00113664" w:rsidP="00F577D4" w14:paraId="10A930A2" w14:textId="77777777">
            <w:pPr>
              <w:rPr>
                <w:b/>
                <w:bCs/>
                <w:i/>
                <w:iCs/>
                <w:color w:val="000000"/>
                <w:sz w:val="20"/>
                <w:szCs w:val="20"/>
              </w:rPr>
            </w:pPr>
            <w:r w:rsidRPr="00113664">
              <w:rPr>
                <w:b/>
                <w:bCs/>
                <w:i/>
                <w:iCs/>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F577D4" w:rsidRPr="00113664" w:rsidP="00F577D4" w14:paraId="45BB7245" w14:textId="77777777">
            <w:pPr>
              <w:rPr>
                <w:b/>
                <w:bCs/>
                <w:i/>
                <w:iCs/>
                <w:color w:val="000000"/>
                <w:sz w:val="20"/>
                <w:szCs w:val="20"/>
              </w:rPr>
            </w:pPr>
            <w:r w:rsidRPr="00113664">
              <w:rPr>
                <w:b/>
                <w:bCs/>
                <w:i/>
                <w:iCs/>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rsidR="00F577D4" w:rsidRPr="00113664" w:rsidP="00F577D4" w14:paraId="431B9C7B" w14:textId="77777777">
            <w:pPr>
              <w:rPr>
                <w:b/>
                <w:bCs/>
                <w:i/>
                <w:iCs/>
                <w:color w:val="000000"/>
                <w:sz w:val="20"/>
                <w:szCs w:val="20"/>
              </w:rPr>
            </w:pPr>
            <w:r w:rsidRPr="00113664">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577D4" w:rsidRPr="00113664" w:rsidP="00F577D4" w14:paraId="154EE53D" w14:textId="77777777">
            <w:pPr>
              <w:rPr>
                <w:b/>
                <w:bCs/>
                <w:i/>
                <w:iCs/>
                <w:color w:val="000000"/>
                <w:sz w:val="20"/>
                <w:szCs w:val="20"/>
              </w:rPr>
            </w:pPr>
            <w:r w:rsidRPr="00113664">
              <w:rPr>
                <w:b/>
                <w:bCs/>
                <w:i/>
                <w:iCs/>
                <w:color w:val="000000"/>
                <w:sz w:val="20"/>
                <w:szCs w:val="20"/>
              </w:rPr>
              <w:t> </w:t>
            </w:r>
          </w:p>
        </w:tc>
        <w:tc>
          <w:tcPr>
            <w:tcW w:w="3824" w:type="dxa"/>
            <w:gridSpan w:val="3"/>
            <w:tcBorders>
              <w:top w:val="single" w:sz="4" w:space="0" w:color="auto"/>
              <w:left w:val="nil"/>
              <w:bottom w:val="single" w:sz="4" w:space="0" w:color="auto"/>
              <w:right w:val="single" w:sz="4" w:space="0" w:color="000000"/>
            </w:tcBorders>
            <w:shd w:val="clear" w:color="auto" w:fill="auto"/>
            <w:vAlign w:val="center"/>
            <w:hideMark/>
          </w:tcPr>
          <w:p w:rsidR="00F577D4" w:rsidRPr="00113664" w:rsidP="00F577D4" w14:paraId="0EBD24BD" w14:textId="77777777">
            <w:pPr>
              <w:jc w:val="center"/>
              <w:rPr>
                <w:b/>
                <w:bCs/>
                <w:i/>
                <w:iCs/>
                <w:color w:val="000000"/>
                <w:sz w:val="20"/>
                <w:szCs w:val="20"/>
              </w:rPr>
            </w:pPr>
            <w:r w:rsidRPr="00113664">
              <w:rPr>
                <w:b/>
                <w:bCs/>
                <w:i/>
                <w:iCs/>
                <w:color w:val="000000"/>
                <w:sz w:val="20"/>
                <w:szCs w:val="20"/>
              </w:rPr>
              <w:t>47</w:t>
            </w:r>
          </w:p>
        </w:tc>
        <w:tc>
          <w:tcPr>
            <w:tcW w:w="1080" w:type="dxa"/>
            <w:tcBorders>
              <w:top w:val="nil"/>
              <w:left w:val="nil"/>
              <w:bottom w:val="single" w:sz="4" w:space="0" w:color="auto"/>
              <w:right w:val="single" w:sz="4" w:space="0" w:color="auto"/>
            </w:tcBorders>
            <w:shd w:val="clear" w:color="auto" w:fill="auto"/>
            <w:vAlign w:val="center"/>
            <w:hideMark/>
          </w:tcPr>
          <w:p w:rsidR="00F577D4" w:rsidRPr="00113664" w:rsidP="00F577D4" w14:paraId="09371665" w14:textId="5E596652">
            <w:pPr>
              <w:jc w:val="right"/>
              <w:rPr>
                <w:b/>
                <w:bCs/>
                <w:i/>
                <w:iCs/>
                <w:color w:val="000000"/>
                <w:sz w:val="20"/>
                <w:szCs w:val="20"/>
              </w:rPr>
            </w:pPr>
            <w:r w:rsidRPr="00113664">
              <w:rPr>
                <w:b/>
                <w:bCs/>
                <w:i/>
                <w:iCs/>
                <w:color w:val="000000"/>
                <w:sz w:val="20"/>
                <w:szCs w:val="20"/>
              </w:rPr>
              <w:t>$</w:t>
            </w:r>
            <w:r>
              <w:rPr>
                <w:b/>
                <w:bCs/>
                <w:i/>
                <w:iCs/>
                <w:color w:val="000000"/>
                <w:sz w:val="20"/>
                <w:szCs w:val="20"/>
              </w:rPr>
              <w:t>6,497</w:t>
            </w:r>
          </w:p>
        </w:tc>
      </w:tr>
      <w:tr w14:paraId="695DEFFE" w14:textId="77777777">
        <w:tblPrEx>
          <w:tblW w:w="14125" w:type="dxa"/>
          <w:jc w:val="center"/>
          <w:tblLook w:val="04A0"/>
        </w:tblPrEx>
        <w:trPr>
          <w:trHeight w:val="960"/>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F577D4" w:rsidRPr="00113664" w:rsidP="00F577D4" w14:paraId="65C03AD2" w14:textId="77777777">
            <w:pPr>
              <w:rPr>
                <w:b/>
                <w:bCs/>
                <w:sz w:val="20"/>
                <w:szCs w:val="20"/>
              </w:rPr>
            </w:pPr>
            <w:r w:rsidRPr="00113664">
              <w:rPr>
                <w:b/>
                <w:bCs/>
                <w:sz w:val="20"/>
                <w:szCs w:val="20"/>
              </w:rPr>
              <w:t xml:space="preserve">TOTAL ANNUAL BURDEN AND COSTS (rounded): </w:t>
            </w:r>
            <w:r w:rsidRPr="00113664">
              <w:rPr>
                <w:b/>
                <w:bCs/>
                <w:sz w:val="20"/>
                <w:szCs w:val="20"/>
                <w:vertAlign w:val="superscript"/>
              </w:rPr>
              <w:t>o</w:t>
            </w:r>
          </w:p>
        </w:tc>
        <w:tc>
          <w:tcPr>
            <w:tcW w:w="1260" w:type="dxa"/>
            <w:tcBorders>
              <w:top w:val="nil"/>
              <w:left w:val="nil"/>
              <w:bottom w:val="single" w:sz="4" w:space="0" w:color="auto"/>
              <w:right w:val="single" w:sz="4" w:space="0" w:color="auto"/>
            </w:tcBorders>
            <w:shd w:val="clear" w:color="auto" w:fill="auto"/>
            <w:vAlign w:val="center"/>
            <w:hideMark/>
          </w:tcPr>
          <w:p w:rsidR="00F577D4" w:rsidRPr="00113664" w:rsidP="00F577D4" w14:paraId="1A9D6C26" w14:textId="77777777">
            <w:pPr>
              <w:rPr>
                <w:rFonts w:ascii="Calibri" w:hAnsi="Calibri" w:cs="Calibri"/>
                <w:color w:val="000000"/>
              </w:rPr>
            </w:pPr>
            <w:r w:rsidRPr="00113664">
              <w:rPr>
                <w:rFonts w:ascii="Calibri" w:hAnsi="Calibri" w:cs="Calibri"/>
                <w:color w:val="000000"/>
              </w:rPr>
              <w:t> </w:t>
            </w:r>
          </w:p>
        </w:tc>
        <w:tc>
          <w:tcPr>
            <w:tcW w:w="1440" w:type="dxa"/>
            <w:tcBorders>
              <w:top w:val="nil"/>
              <w:left w:val="nil"/>
              <w:bottom w:val="single" w:sz="4" w:space="0" w:color="auto"/>
              <w:right w:val="single" w:sz="4" w:space="0" w:color="auto"/>
            </w:tcBorders>
            <w:shd w:val="clear" w:color="auto" w:fill="auto"/>
            <w:vAlign w:val="center"/>
            <w:hideMark/>
          </w:tcPr>
          <w:p w:rsidR="00F577D4" w:rsidRPr="00113664" w:rsidP="00F577D4" w14:paraId="244AA9D3" w14:textId="77777777">
            <w:pPr>
              <w:rPr>
                <w:rFonts w:ascii="Calibri" w:hAnsi="Calibri" w:cs="Calibri"/>
                <w:color w:val="000000"/>
              </w:rPr>
            </w:pPr>
            <w:r w:rsidRPr="00113664">
              <w:rPr>
                <w:rFonts w:ascii="Calibri" w:hAnsi="Calibri" w:cs="Calibri"/>
                <w:color w:val="000000"/>
              </w:rPr>
              <w:t> </w:t>
            </w:r>
          </w:p>
        </w:tc>
        <w:tc>
          <w:tcPr>
            <w:tcW w:w="1530" w:type="dxa"/>
            <w:tcBorders>
              <w:top w:val="nil"/>
              <w:left w:val="nil"/>
              <w:bottom w:val="single" w:sz="4" w:space="0" w:color="auto"/>
              <w:right w:val="single" w:sz="4" w:space="0" w:color="auto"/>
            </w:tcBorders>
            <w:shd w:val="clear" w:color="auto" w:fill="auto"/>
            <w:vAlign w:val="center"/>
            <w:hideMark/>
          </w:tcPr>
          <w:p w:rsidR="00F577D4" w:rsidRPr="00113664" w:rsidP="00F577D4" w14:paraId="5F61CA15" w14:textId="77777777">
            <w:pPr>
              <w:rPr>
                <w:rFonts w:ascii="Calibri" w:hAnsi="Calibri" w:cs="Calibri"/>
                <w:color w:val="000000"/>
              </w:rPr>
            </w:pPr>
            <w:r w:rsidRPr="00113664">
              <w:rPr>
                <w:rFonts w:ascii="Calibri" w:hAnsi="Calibri" w:cs="Calibr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F577D4" w:rsidRPr="00113664" w:rsidP="00F577D4" w14:paraId="45927DF1" w14:textId="77777777">
            <w:pPr>
              <w:rPr>
                <w:rFonts w:ascii="Calibri" w:hAnsi="Calibri" w:cs="Calibri"/>
                <w:color w:val="000000"/>
              </w:rPr>
            </w:pPr>
            <w:r w:rsidRPr="00113664">
              <w:rPr>
                <w:rFonts w:ascii="Calibri" w:hAnsi="Calibri" w:cs="Calibri"/>
                <w:color w:val="000000"/>
              </w:rPr>
              <w:t> </w:t>
            </w:r>
          </w:p>
        </w:tc>
        <w:tc>
          <w:tcPr>
            <w:tcW w:w="3824" w:type="dxa"/>
            <w:gridSpan w:val="3"/>
            <w:tcBorders>
              <w:top w:val="single" w:sz="4" w:space="0" w:color="auto"/>
              <w:left w:val="nil"/>
              <w:bottom w:val="single" w:sz="4" w:space="0" w:color="auto"/>
              <w:right w:val="single" w:sz="4" w:space="0" w:color="000000"/>
            </w:tcBorders>
            <w:shd w:val="clear" w:color="auto" w:fill="auto"/>
            <w:vAlign w:val="center"/>
            <w:hideMark/>
          </w:tcPr>
          <w:p w:rsidR="00F577D4" w:rsidRPr="00113664" w:rsidP="00F577D4" w14:paraId="1FF65920" w14:textId="77777777">
            <w:pPr>
              <w:jc w:val="center"/>
              <w:rPr>
                <w:b/>
                <w:bCs/>
                <w:color w:val="000000"/>
                <w:sz w:val="20"/>
                <w:szCs w:val="20"/>
              </w:rPr>
            </w:pPr>
            <w:r>
              <w:rPr>
                <w:b/>
                <w:bCs/>
                <w:color w:val="000000"/>
                <w:sz w:val="20"/>
                <w:szCs w:val="20"/>
              </w:rPr>
              <w:t>341</w:t>
            </w:r>
          </w:p>
        </w:tc>
        <w:tc>
          <w:tcPr>
            <w:tcW w:w="1080" w:type="dxa"/>
            <w:tcBorders>
              <w:top w:val="nil"/>
              <w:left w:val="nil"/>
              <w:bottom w:val="single" w:sz="4" w:space="0" w:color="auto"/>
              <w:right w:val="single" w:sz="4" w:space="0" w:color="auto"/>
            </w:tcBorders>
            <w:shd w:val="clear" w:color="auto" w:fill="auto"/>
            <w:vAlign w:val="center"/>
            <w:hideMark/>
          </w:tcPr>
          <w:p w:rsidR="00F577D4" w:rsidRPr="00113664" w:rsidP="00F577D4" w14:paraId="48C5DA8B" w14:textId="24B6927E">
            <w:pPr>
              <w:jc w:val="right"/>
              <w:rPr>
                <w:b/>
                <w:bCs/>
                <w:color w:val="000000"/>
                <w:sz w:val="20"/>
                <w:szCs w:val="20"/>
              </w:rPr>
            </w:pPr>
            <w:r w:rsidRPr="00113664">
              <w:rPr>
                <w:b/>
                <w:bCs/>
                <w:color w:val="000000"/>
                <w:sz w:val="20"/>
                <w:szCs w:val="20"/>
              </w:rPr>
              <w:t>$</w:t>
            </w:r>
            <w:r>
              <w:rPr>
                <w:b/>
                <w:bCs/>
                <w:color w:val="000000"/>
                <w:sz w:val="20"/>
                <w:szCs w:val="20"/>
              </w:rPr>
              <w:t>46,800</w:t>
            </w:r>
          </w:p>
        </w:tc>
      </w:tr>
      <w:tr w14:paraId="4736E4D0"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nil"/>
            </w:tcBorders>
            <w:shd w:val="clear" w:color="auto" w:fill="auto"/>
            <w:noWrap/>
            <w:vAlign w:val="bottom"/>
            <w:hideMark/>
          </w:tcPr>
          <w:p w:rsidR="00F577D4" w:rsidRPr="00113664" w:rsidP="00F577D4" w14:paraId="54D6F91C" w14:textId="77777777">
            <w:pPr>
              <w:rPr>
                <w:b/>
                <w:bCs/>
                <w:sz w:val="20"/>
                <w:szCs w:val="20"/>
              </w:rPr>
            </w:pPr>
            <w:r w:rsidRPr="00113664">
              <w:rPr>
                <w:b/>
                <w:bCs/>
                <w:sz w:val="20"/>
                <w:szCs w:val="20"/>
              </w:rPr>
              <w:t xml:space="preserve">TOTAL CAPITAL/O&amp;M COST (rounded): </w:t>
            </w:r>
            <w:r w:rsidRPr="00113664">
              <w:rPr>
                <w:b/>
                <w:bCs/>
                <w:sz w:val="20"/>
                <w:szCs w:val="20"/>
                <w:vertAlign w:val="superscript"/>
              </w:rPr>
              <w:t>o</w:t>
            </w:r>
          </w:p>
        </w:tc>
        <w:tc>
          <w:tcPr>
            <w:tcW w:w="1260" w:type="dxa"/>
            <w:tcBorders>
              <w:top w:val="nil"/>
              <w:left w:val="nil"/>
              <w:bottom w:val="single" w:sz="4" w:space="0" w:color="auto"/>
              <w:right w:val="nil"/>
            </w:tcBorders>
            <w:shd w:val="clear" w:color="auto" w:fill="auto"/>
            <w:noWrap/>
            <w:vAlign w:val="center"/>
            <w:hideMark/>
          </w:tcPr>
          <w:p w:rsidR="00F577D4" w:rsidRPr="00113664" w:rsidP="00F577D4" w14:paraId="561F923E" w14:textId="77777777">
            <w:pPr>
              <w:rPr>
                <w:rFonts w:ascii="Calibri" w:hAnsi="Calibri" w:cs="Calibri"/>
                <w:b/>
                <w:bCs/>
              </w:rPr>
            </w:pPr>
            <w:r w:rsidRPr="00113664">
              <w:rPr>
                <w:rFonts w:ascii="Calibri" w:hAnsi="Calibri" w:cs="Calibri"/>
                <w:b/>
                <w:bCs/>
              </w:rPr>
              <w:t> </w:t>
            </w:r>
          </w:p>
        </w:tc>
        <w:tc>
          <w:tcPr>
            <w:tcW w:w="1440" w:type="dxa"/>
            <w:tcBorders>
              <w:top w:val="nil"/>
              <w:left w:val="nil"/>
              <w:bottom w:val="single" w:sz="4" w:space="0" w:color="auto"/>
              <w:right w:val="nil"/>
            </w:tcBorders>
            <w:shd w:val="clear" w:color="auto" w:fill="auto"/>
            <w:noWrap/>
            <w:vAlign w:val="center"/>
            <w:hideMark/>
          </w:tcPr>
          <w:p w:rsidR="00F577D4" w:rsidRPr="00113664" w:rsidP="00F577D4" w14:paraId="143A4405" w14:textId="77777777">
            <w:pPr>
              <w:rPr>
                <w:rFonts w:ascii="Calibri" w:hAnsi="Calibri" w:cs="Calibri"/>
                <w:b/>
                <w:bCs/>
              </w:rPr>
            </w:pPr>
            <w:r w:rsidRPr="00113664">
              <w:rPr>
                <w:rFonts w:ascii="Calibri" w:hAnsi="Calibri" w:cs="Calibri"/>
                <w:b/>
                <w:bCs/>
              </w:rPr>
              <w:t> </w:t>
            </w:r>
          </w:p>
        </w:tc>
        <w:tc>
          <w:tcPr>
            <w:tcW w:w="1530" w:type="dxa"/>
            <w:tcBorders>
              <w:top w:val="nil"/>
              <w:left w:val="nil"/>
              <w:bottom w:val="single" w:sz="4" w:space="0" w:color="auto"/>
              <w:right w:val="nil"/>
            </w:tcBorders>
            <w:shd w:val="clear" w:color="auto" w:fill="auto"/>
            <w:noWrap/>
            <w:vAlign w:val="center"/>
            <w:hideMark/>
          </w:tcPr>
          <w:p w:rsidR="00F577D4" w:rsidRPr="00113664" w:rsidP="00F577D4" w14:paraId="1A503216" w14:textId="77777777">
            <w:pPr>
              <w:rPr>
                <w:rFonts w:ascii="Calibri" w:hAnsi="Calibri" w:cs="Calibri"/>
                <w:b/>
                <w:bCs/>
              </w:rPr>
            </w:pPr>
            <w:r w:rsidRPr="00113664">
              <w:rPr>
                <w:rFonts w:ascii="Calibri" w:hAnsi="Calibri" w:cs="Calibri"/>
                <w:b/>
                <w:bCs/>
              </w:rPr>
              <w:t> </w:t>
            </w:r>
          </w:p>
        </w:tc>
        <w:tc>
          <w:tcPr>
            <w:tcW w:w="1306" w:type="dxa"/>
            <w:tcBorders>
              <w:top w:val="nil"/>
              <w:left w:val="nil"/>
              <w:bottom w:val="single" w:sz="4" w:space="0" w:color="auto"/>
              <w:right w:val="nil"/>
            </w:tcBorders>
            <w:shd w:val="clear" w:color="auto" w:fill="auto"/>
            <w:noWrap/>
            <w:vAlign w:val="center"/>
            <w:hideMark/>
          </w:tcPr>
          <w:p w:rsidR="00F577D4" w:rsidRPr="00113664" w:rsidP="00F577D4" w14:paraId="119E274C" w14:textId="77777777">
            <w:pPr>
              <w:rPr>
                <w:rFonts w:ascii="Calibri" w:hAnsi="Calibri" w:cs="Calibri"/>
                <w:b/>
                <w:bCs/>
              </w:rPr>
            </w:pPr>
            <w:r w:rsidRPr="00113664">
              <w:rPr>
                <w:rFonts w:ascii="Calibri" w:hAnsi="Calibri" w:cs="Calibri"/>
                <w:b/>
                <w:bCs/>
              </w:rPr>
              <w:t> </w:t>
            </w:r>
          </w:p>
        </w:tc>
        <w:tc>
          <w:tcPr>
            <w:tcW w:w="1304" w:type="dxa"/>
            <w:tcBorders>
              <w:top w:val="nil"/>
              <w:left w:val="nil"/>
              <w:bottom w:val="single" w:sz="4" w:space="0" w:color="auto"/>
              <w:right w:val="nil"/>
            </w:tcBorders>
            <w:shd w:val="clear" w:color="auto" w:fill="auto"/>
            <w:noWrap/>
            <w:vAlign w:val="center"/>
            <w:hideMark/>
          </w:tcPr>
          <w:p w:rsidR="00F577D4" w:rsidRPr="00113664" w:rsidP="00F577D4" w14:paraId="7B565603" w14:textId="77777777">
            <w:pPr>
              <w:rPr>
                <w:rFonts w:ascii="Calibri" w:hAnsi="Calibri" w:cs="Calibri"/>
                <w:b/>
                <w:bCs/>
              </w:rPr>
            </w:pPr>
            <w:r w:rsidRPr="00113664">
              <w:rPr>
                <w:rFonts w:ascii="Calibri" w:hAnsi="Calibri" w:cs="Calibri"/>
                <w:b/>
                <w:bCs/>
              </w:rPr>
              <w:t> </w:t>
            </w:r>
          </w:p>
        </w:tc>
        <w:tc>
          <w:tcPr>
            <w:tcW w:w="1350" w:type="dxa"/>
            <w:tcBorders>
              <w:top w:val="nil"/>
              <w:left w:val="nil"/>
              <w:bottom w:val="single" w:sz="4" w:space="0" w:color="auto"/>
              <w:right w:val="nil"/>
            </w:tcBorders>
            <w:shd w:val="clear" w:color="auto" w:fill="auto"/>
            <w:noWrap/>
            <w:vAlign w:val="center"/>
            <w:hideMark/>
          </w:tcPr>
          <w:p w:rsidR="00F577D4" w:rsidRPr="00113664" w:rsidP="00F577D4" w14:paraId="3A2EB544" w14:textId="77777777">
            <w:pPr>
              <w:rPr>
                <w:rFonts w:ascii="Calibri" w:hAnsi="Calibri" w:cs="Calibri"/>
                <w:b/>
                <w:bCs/>
              </w:rPr>
            </w:pPr>
            <w:r w:rsidRPr="00113664">
              <w:rPr>
                <w:rFonts w:ascii="Calibri" w:hAnsi="Calibri" w:cs="Calibri"/>
                <w:b/>
                <w:bCs/>
              </w:rPr>
              <w:t> </w:t>
            </w:r>
          </w:p>
        </w:tc>
        <w:tc>
          <w:tcPr>
            <w:tcW w:w="1170" w:type="dxa"/>
            <w:tcBorders>
              <w:top w:val="nil"/>
              <w:left w:val="nil"/>
              <w:bottom w:val="single" w:sz="4" w:space="0" w:color="auto"/>
              <w:right w:val="single" w:sz="4" w:space="0" w:color="auto"/>
            </w:tcBorders>
            <w:shd w:val="clear" w:color="auto" w:fill="auto"/>
            <w:noWrap/>
            <w:vAlign w:val="center"/>
            <w:hideMark/>
          </w:tcPr>
          <w:p w:rsidR="00F577D4" w:rsidRPr="00113664" w:rsidP="00F577D4" w14:paraId="2CECB511" w14:textId="77777777">
            <w:pPr>
              <w:rPr>
                <w:rFonts w:ascii="Calibri" w:hAnsi="Calibri" w:cs="Calibri"/>
                <w:b/>
                <w:bCs/>
              </w:rPr>
            </w:pPr>
            <w:r w:rsidRPr="00113664">
              <w:rPr>
                <w:rFonts w:ascii="Calibri" w:hAnsi="Calibri" w:cs="Calibri"/>
                <w:b/>
                <w:bCs/>
              </w:rPr>
              <w:t> </w:t>
            </w:r>
          </w:p>
        </w:tc>
        <w:tc>
          <w:tcPr>
            <w:tcW w:w="1080" w:type="dxa"/>
            <w:tcBorders>
              <w:top w:val="nil"/>
              <w:left w:val="nil"/>
              <w:bottom w:val="single" w:sz="4" w:space="0" w:color="auto"/>
              <w:right w:val="single" w:sz="4" w:space="0" w:color="auto"/>
            </w:tcBorders>
            <w:shd w:val="clear" w:color="auto" w:fill="auto"/>
            <w:noWrap/>
            <w:vAlign w:val="center"/>
            <w:hideMark/>
          </w:tcPr>
          <w:p w:rsidR="00F577D4" w:rsidRPr="00113664" w:rsidP="00F577D4" w14:paraId="0FEB0BF8" w14:textId="4DD878BE">
            <w:pPr>
              <w:jc w:val="right"/>
              <w:rPr>
                <w:b/>
                <w:bCs/>
                <w:sz w:val="20"/>
                <w:szCs w:val="20"/>
              </w:rPr>
            </w:pPr>
            <w:r w:rsidRPr="00113664">
              <w:rPr>
                <w:b/>
                <w:bCs/>
                <w:sz w:val="20"/>
                <w:szCs w:val="20"/>
              </w:rPr>
              <w:t>$</w:t>
            </w:r>
            <w:r w:rsidR="006C7F7F">
              <w:rPr>
                <w:b/>
                <w:bCs/>
                <w:sz w:val="20"/>
                <w:szCs w:val="20"/>
              </w:rPr>
              <w:t>87,000</w:t>
            </w:r>
          </w:p>
        </w:tc>
      </w:tr>
      <w:tr w14:paraId="52429765" w14:textId="77777777">
        <w:tblPrEx>
          <w:tblW w:w="14125" w:type="dxa"/>
          <w:jc w:val="center"/>
          <w:tblLook w:val="04A0"/>
        </w:tblPrEx>
        <w:trPr>
          <w:trHeight w:val="315"/>
          <w:jc w:val="center"/>
        </w:trPr>
        <w:tc>
          <w:tcPr>
            <w:tcW w:w="3685" w:type="dxa"/>
            <w:tcBorders>
              <w:top w:val="nil"/>
              <w:left w:val="single" w:sz="4" w:space="0" w:color="auto"/>
              <w:bottom w:val="single" w:sz="4" w:space="0" w:color="auto"/>
              <w:right w:val="nil"/>
            </w:tcBorders>
            <w:shd w:val="clear" w:color="auto" w:fill="auto"/>
            <w:noWrap/>
            <w:vAlign w:val="bottom"/>
            <w:hideMark/>
          </w:tcPr>
          <w:p w:rsidR="00F577D4" w:rsidRPr="00113664" w:rsidP="00F577D4" w14:paraId="1FF4D07D" w14:textId="77777777">
            <w:pPr>
              <w:rPr>
                <w:b/>
                <w:bCs/>
                <w:sz w:val="20"/>
                <w:szCs w:val="20"/>
              </w:rPr>
            </w:pPr>
            <w:r w:rsidRPr="00113664">
              <w:rPr>
                <w:b/>
                <w:bCs/>
                <w:sz w:val="20"/>
                <w:szCs w:val="20"/>
              </w:rPr>
              <w:t xml:space="preserve">GRAND TOTAL (rounded): </w:t>
            </w:r>
            <w:r w:rsidRPr="00113664">
              <w:rPr>
                <w:b/>
                <w:bCs/>
                <w:sz w:val="20"/>
                <w:szCs w:val="20"/>
                <w:vertAlign w:val="superscript"/>
              </w:rPr>
              <w:t>o</w:t>
            </w:r>
          </w:p>
        </w:tc>
        <w:tc>
          <w:tcPr>
            <w:tcW w:w="1260" w:type="dxa"/>
            <w:tcBorders>
              <w:top w:val="nil"/>
              <w:left w:val="nil"/>
              <w:bottom w:val="single" w:sz="4" w:space="0" w:color="auto"/>
              <w:right w:val="nil"/>
            </w:tcBorders>
            <w:shd w:val="clear" w:color="auto" w:fill="auto"/>
            <w:noWrap/>
            <w:vAlign w:val="center"/>
            <w:hideMark/>
          </w:tcPr>
          <w:p w:rsidR="00F577D4" w:rsidRPr="00113664" w:rsidP="00F577D4" w14:paraId="0DEF057C" w14:textId="77777777">
            <w:pPr>
              <w:rPr>
                <w:rFonts w:ascii="Calibri" w:hAnsi="Calibri" w:cs="Calibri"/>
                <w:b/>
                <w:bCs/>
              </w:rPr>
            </w:pPr>
            <w:r w:rsidRPr="00113664">
              <w:rPr>
                <w:rFonts w:ascii="Calibri" w:hAnsi="Calibri" w:cs="Calibri"/>
                <w:b/>
                <w:bCs/>
              </w:rPr>
              <w:t> </w:t>
            </w:r>
          </w:p>
        </w:tc>
        <w:tc>
          <w:tcPr>
            <w:tcW w:w="1440" w:type="dxa"/>
            <w:tcBorders>
              <w:top w:val="nil"/>
              <w:left w:val="nil"/>
              <w:bottom w:val="single" w:sz="4" w:space="0" w:color="auto"/>
              <w:right w:val="nil"/>
            </w:tcBorders>
            <w:shd w:val="clear" w:color="auto" w:fill="auto"/>
            <w:noWrap/>
            <w:vAlign w:val="center"/>
            <w:hideMark/>
          </w:tcPr>
          <w:p w:rsidR="00F577D4" w:rsidRPr="00113664" w:rsidP="00F577D4" w14:paraId="25B210C2" w14:textId="77777777">
            <w:pPr>
              <w:rPr>
                <w:rFonts w:ascii="Calibri" w:hAnsi="Calibri" w:cs="Calibri"/>
                <w:b/>
                <w:bCs/>
              </w:rPr>
            </w:pPr>
            <w:r w:rsidRPr="00113664">
              <w:rPr>
                <w:rFonts w:ascii="Calibri" w:hAnsi="Calibri" w:cs="Calibri"/>
                <w:b/>
                <w:bCs/>
              </w:rPr>
              <w:t> </w:t>
            </w:r>
          </w:p>
        </w:tc>
        <w:tc>
          <w:tcPr>
            <w:tcW w:w="1530" w:type="dxa"/>
            <w:tcBorders>
              <w:top w:val="nil"/>
              <w:left w:val="nil"/>
              <w:bottom w:val="single" w:sz="4" w:space="0" w:color="auto"/>
              <w:right w:val="nil"/>
            </w:tcBorders>
            <w:shd w:val="clear" w:color="auto" w:fill="auto"/>
            <w:noWrap/>
            <w:vAlign w:val="center"/>
            <w:hideMark/>
          </w:tcPr>
          <w:p w:rsidR="00F577D4" w:rsidRPr="00113664" w:rsidP="00F577D4" w14:paraId="3B39AA7C" w14:textId="77777777">
            <w:pPr>
              <w:rPr>
                <w:rFonts w:ascii="Calibri" w:hAnsi="Calibri" w:cs="Calibri"/>
                <w:b/>
                <w:bCs/>
              </w:rPr>
            </w:pPr>
            <w:r w:rsidRPr="00113664">
              <w:rPr>
                <w:rFonts w:ascii="Calibri" w:hAnsi="Calibri" w:cs="Calibri"/>
                <w:b/>
                <w:bCs/>
              </w:rPr>
              <w:t> </w:t>
            </w:r>
          </w:p>
        </w:tc>
        <w:tc>
          <w:tcPr>
            <w:tcW w:w="1306" w:type="dxa"/>
            <w:tcBorders>
              <w:top w:val="nil"/>
              <w:left w:val="nil"/>
              <w:bottom w:val="single" w:sz="4" w:space="0" w:color="auto"/>
              <w:right w:val="nil"/>
            </w:tcBorders>
            <w:shd w:val="clear" w:color="auto" w:fill="auto"/>
            <w:noWrap/>
            <w:vAlign w:val="center"/>
            <w:hideMark/>
          </w:tcPr>
          <w:p w:rsidR="00F577D4" w:rsidRPr="00113664" w:rsidP="00F577D4" w14:paraId="2E4E1FE1" w14:textId="77777777">
            <w:pPr>
              <w:rPr>
                <w:rFonts w:ascii="Calibri" w:hAnsi="Calibri" w:cs="Calibri"/>
                <w:b/>
                <w:bCs/>
              </w:rPr>
            </w:pPr>
            <w:r w:rsidRPr="00113664">
              <w:rPr>
                <w:rFonts w:ascii="Calibri" w:hAnsi="Calibri" w:cs="Calibri"/>
                <w:b/>
                <w:bCs/>
              </w:rPr>
              <w:t> </w:t>
            </w:r>
          </w:p>
        </w:tc>
        <w:tc>
          <w:tcPr>
            <w:tcW w:w="1304" w:type="dxa"/>
            <w:tcBorders>
              <w:top w:val="nil"/>
              <w:left w:val="nil"/>
              <w:bottom w:val="single" w:sz="4" w:space="0" w:color="auto"/>
              <w:right w:val="nil"/>
            </w:tcBorders>
            <w:shd w:val="clear" w:color="auto" w:fill="auto"/>
            <w:noWrap/>
            <w:vAlign w:val="center"/>
            <w:hideMark/>
          </w:tcPr>
          <w:p w:rsidR="00F577D4" w:rsidRPr="00113664" w:rsidP="00F577D4" w14:paraId="0629C37F" w14:textId="77777777">
            <w:pPr>
              <w:rPr>
                <w:rFonts w:ascii="Calibri" w:hAnsi="Calibri" w:cs="Calibri"/>
                <w:b/>
                <w:bCs/>
              </w:rPr>
            </w:pPr>
            <w:r w:rsidRPr="00113664">
              <w:rPr>
                <w:rFonts w:ascii="Calibri" w:hAnsi="Calibri" w:cs="Calibri"/>
                <w:b/>
                <w:bCs/>
              </w:rPr>
              <w:t> </w:t>
            </w:r>
          </w:p>
        </w:tc>
        <w:tc>
          <w:tcPr>
            <w:tcW w:w="1350" w:type="dxa"/>
            <w:tcBorders>
              <w:top w:val="nil"/>
              <w:left w:val="nil"/>
              <w:bottom w:val="single" w:sz="4" w:space="0" w:color="auto"/>
              <w:right w:val="nil"/>
            </w:tcBorders>
            <w:shd w:val="clear" w:color="auto" w:fill="auto"/>
            <w:noWrap/>
            <w:vAlign w:val="center"/>
            <w:hideMark/>
          </w:tcPr>
          <w:p w:rsidR="00F577D4" w:rsidRPr="00113664" w:rsidP="00F577D4" w14:paraId="0B3DA0ED" w14:textId="77777777">
            <w:pPr>
              <w:rPr>
                <w:rFonts w:ascii="Calibri" w:hAnsi="Calibri" w:cs="Calibri"/>
                <w:b/>
                <w:bCs/>
              </w:rPr>
            </w:pPr>
            <w:r w:rsidRPr="00113664">
              <w:rPr>
                <w:rFonts w:ascii="Calibri" w:hAnsi="Calibri" w:cs="Calibri"/>
                <w:b/>
                <w:bCs/>
              </w:rPr>
              <w:t> </w:t>
            </w:r>
          </w:p>
        </w:tc>
        <w:tc>
          <w:tcPr>
            <w:tcW w:w="1170" w:type="dxa"/>
            <w:tcBorders>
              <w:top w:val="nil"/>
              <w:left w:val="nil"/>
              <w:bottom w:val="single" w:sz="4" w:space="0" w:color="auto"/>
              <w:right w:val="single" w:sz="4" w:space="0" w:color="auto"/>
            </w:tcBorders>
            <w:shd w:val="clear" w:color="auto" w:fill="auto"/>
            <w:noWrap/>
            <w:vAlign w:val="center"/>
            <w:hideMark/>
          </w:tcPr>
          <w:p w:rsidR="00F577D4" w:rsidRPr="00113664" w:rsidP="00F577D4" w14:paraId="56536A01" w14:textId="77777777">
            <w:pPr>
              <w:rPr>
                <w:rFonts w:ascii="Calibri" w:hAnsi="Calibri" w:cs="Calibri"/>
                <w:b/>
                <w:bCs/>
              </w:rPr>
            </w:pPr>
            <w:r w:rsidRPr="00113664">
              <w:rPr>
                <w:rFonts w:ascii="Calibri" w:hAnsi="Calibri" w:cs="Calibri"/>
                <w:b/>
                <w:bCs/>
              </w:rPr>
              <w:t> </w:t>
            </w:r>
          </w:p>
        </w:tc>
        <w:tc>
          <w:tcPr>
            <w:tcW w:w="1080" w:type="dxa"/>
            <w:tcBorders>
              <w:top w:val="nil"/>
              <w:left w:val="nil"/>
              <w:bottom w:val="single" w:sz="4" w:space="0" w:color="auto"/>
              <w:right w:val="single" w:sz="4" w:space="0" w:color="auto"/>
            </w:tcBorders>
            <w:shd w:val="clear" w:color="auto" w:fill="auto"/>
            <w:noWrap/>
            <w:vAlign w:val="center"/>
            <w:hideMark/>
          </w:tcPr>
          <w:p w:rsidR="00F577D4" w:rsidRPr="00113664" w:rsidP="00F577D4" w14:paraId="59169442" w14:textId="3CCA83C5">
            <w:pPr>
              <w:jc w:val="right"/>
              <w:rPr>
                <w:b/>
                <w:bCs/>
                <w:sz w:val="20"/>
                <w:szCs w:val="20"/>
              </w:rPr>
            </w:pPr>
            <w:r w:rsidRPr="00113664">
              <w:rPr>
                <w:b/>
                <w:bCs/>
                <w:sz w:val="20"/>
                <w:szCs w:val="20"/>
              </w:rPr>
              <w:t>$</w:t>
            </w:r>
            <w:r w:rsidR="006C7F7F">
              <w:rPr>
                <w:b/>
                <w:bCs/>
                <w:sz w:val="20"/>
                <w:szCs w:val="20"/>
              </w:rPr>
              <w:t>134,000</w:t>
            </w:r>
          </w:p>
        </w:tc>
      </w:tr>
      <w:tr w14:paraId="5002EE33" w14:textId="77777777">
        <w:tblPrEx>
          <w:tblW w:w="14125" w:type="dxa"/>
          <w:jc w:val="center"/>
          <w:tblLook w:val="04A0"/>
        </w:tblPrEx>
        <w:trPr>
          <w:trHeight w:val="300"/>
          <w:jc w:val="center"/>
        </w:trPr>
        <w:tc>
          <w:tcPr>
            <w:tcW w:w="3685" w:type="dxa"/>
            <w:tcBorders>
              <w:top w:val="nil"/>
              <w:left w:val="nil"/>
              <w:bottom w:val="nil"/>
              <w:right w:val="nil"/>
            </w:tcBorders>
            <w:shd w:val="clear" w:color="auto" w:fill="auto"/>
            <w:noWrap/>
            <w:vAlign w:val="bottom"/>
            <w:hideMark/>
          </w:tcPr>
          <w:p w:rsidR="00F577D4" w:rsidRPr="00113664" w:rsidP="00F577D4" w14:paraId="5FB6DB5A" w14:textId="77777777">
            <w:pPr>
              <w:jc w:val="right"/>
              <w:rPr>
                <w:b/>
                <w:bCs/>
                <w:sz w:val="20"/>
                <w:szCs w:val="20"/>
              </w:rPr>
            </w:pPr>
          </w:p>
        </w:tc>
        <w:tc>
          <w:tcPr>
            <w:tcW w:w="1260" w:type="dxa"/>
            <w:tcBorders>
              <w:top w:val="nil"/>
              <w:left w:val="nil"/>
              <w:bottom w:val="nil"/>
              <w:right w:val="nil"/>
            </w:tcBorders>
            <w:shd w:val="clear" w:color="auto" w:fill="auto"/>
            <w:noWrap/>
            <w:vAlign w:val="bottom"/>
            <w:hideMark/>
          </w:tcPr>
          <w:p w:rsidR="00F577D4" w:rsidRPr="00113664" w:rsidP="00F577D4" w14:paraId="0509E77D" w14:textId="77777777">
            <w:pPr>
              <w:rPr>
                <w:sz w:val="20"/>
                <w:szCs w:val="20"/>
              </w:rPr>
            </w:pPr>
          </w:p>
        </w:tc>
        <w:tc>
          <w:tcPr>
            <w:tcW w:w="1440" w:type="dxa"/>
            <w:tcBorders>
              <w:top w:val="nil"/>
              <w:left w:val="nil"/>
              <w:bottom w:val="nil"/>
              <w:right w:val="nil"/>
            </w:tcBorders>
            <w:shd w:val="clear" w:color="auto" w:fill="auto"/>
            <w:noWrap/>
            <w:vAlign w:val="bottom"/>
            <w:hideMark/>
          </w:tcPr>
          <w:p w:rsidR="00F577D4" w:rsidRPr="00113664" w:rsidP="00F577D4" w14:paraId="68024714" w14:textId="77777777">
            <w:pPr>
              <w:rPr>
                <w:sz w:val="20"/>
                <w:szCs w:val="20"/>
              </w:rPr>
            </w:pPr>
          </w:p>
        </w:tc>
        <w:tc>
          <w:tcPr>
            <w:tcW w:w="1530" w:type="dxa"/>
            <w:tcBorders>
              <w:top w:val="nil"/>
              <w:left w:val="nil"/>
              <w:bottom w:val="nil"/>
              <w:right w:val="nil"/>
            </w:tcBorders>
            <w:shd w:val="clear" w:color="auto" w:fill="auto"/>
            <w:noWrap/>
            <w:vAlign w:val="bottom"/>
            <w:hideMark/>
          </w:tcPr>
          <w:p w:rsidR="00F577D4" w:rsidRPr="00113664" w:rsidP="00F577D4" w14:paraId="3A6DAB99" w14:textId="77777777">
            <w:pPr>
              <w:rPr>
                <w:sz w:val="20"/>
                <w:szCs w:val="20"/>
              </w:rPr>
            </w:pPr>
          </w:p>
        </w:tc>
        <w:tc>
          <w:tcPr>
            <w:tcW w:w="1306" w:type="dxa"/>
            <w:tcBorders>
              <w:top w:val="nil"/>
              <w:left w:val="nil"/>
              <w:bottom w:val="nil"/>
              <w:right w:val="nil"/>
            </w:tcBorders>
            <w:shd w:val="clear" w:color="auto" w:fill="auto"/>
            <w:noWrap/>
            <w:vAlign w:val="bottom"/>
            <w:hideMark/>
          </w:tcPr>
          <w:p w:rsidR="00F577D4" w:rsidRPr="00113664" w:rsidP="00F577D4" w14:paraId="1C5CE48D" w14:textId="77777777">
            <w:pPr>
              <w:rPr>
                <w:sz w:val="20"/>
                <w:szCs w:val="20"/>
              </w:rPr>
            </w:pPr>
          </w:p>
        </w:tc>
        <w:tc>
          <w:tcPr>
            <w:tcW w:w="1304" w:type="dxa"/>
            <w:tcBorders>
              <w:top w:val="nil"/>
              <w:left w:val="nil"/>
              <w:bottom w:val="nil"/>
              <w:right w:val="nil"/>
            </w:tcBorders>
            <w:shd w:val="clear" w:color="auto" w:fill="auto"/>
            <w:noWrap/>
            <w:vAlign w:val="bottom"/>
            <w:hideMark/>
          </w:tcPr>
          <w:p w:rsidR="00F577D4" w:rsidRPr="00113664" w:rsidP="00F577D4" w14:paraId="32B8B224" w14:textId="77777777">
            <w:pPr>
              <w:rPr>
                <w:sz w:val="20"/>
                <w:szCs w:val="20"/>
              </w:rPr>
            </w:pPr>
          </w:p>
        </w:tc>
        <w:tc>
          <w:tcPr>
            <w:tcW w:w="1350" w:type="dxa"/>
            <w:tcBorders>
              <w:top w:val="nil"/>
              <w:left w:val="nil"/>
              <w:bottom w:val="nil"/>
              <w:right w:val="nil"/>
            </w:tcBorders>
            <w:shd w:val="clear" w:color="auto" w:fill="auto"/>
            <w:noWrap/>
            <w:vAlign w:val="bottom"/>
            <w:hideMark/>
          </w:tcPr>
          <w:p w:rsidR="00F577D4" w:rsidRPr="00113664" w:rsidP="00F577D4" w14:paraId="7296DC67" w14:textId="77777777">
            <w:pPr>
              <w:rPr>
                <w:sz w:val="20"/>
                <w:szCs w:val="20"/>
              </w:rPr>
            </w:pPr>
          </w:p>
        </w:tc>
        <w:tc>
          <w:tcPr>
            <w:tcW w:w="1170" w:type="dxa"/>
            <w:tcBorders>
              <w:top w:val="nil"/>
              <w:left w:val="nil"/>
              <w:bottom w:val="nil"/>
              <w:right w:val="nil"/>
            </w:tcBorders>
            <w:shd w:val="clear" w:color="auto" w:fill="auto"/>
            <w:noWrap/>
            <w:vAlign w:val="bottom"/>
            <w:hideMark/>
          </w:tcPr>
          <w:p w:rsidR="00F577D4" w:rsidRPr="00113664" w:rsidP="00F577D4" w14:paraId="209246A5" w14:textId="77777777">
            <w:pPr>
              <w:rPr>
                <w:sz w:val="20"/>
                <w:szCs w:val="20"/>
              </w:rPr>
            </w:pPr>
          </w:p>
        </w:tc>
        <w:tc>
          <w:tcPr>
            <w:tcW w:w="1080" w:type="dxa"/>
            <w:tcBorders>
              <w:top w:val="nil"/>
              <w:left w:val="nil"/>
              <w:bottom w:val="nil"/>
              <w:right w:val="nil"/>
            </w:tcBorders>
            <w:shd w:val="clear" w:color="auto" w:fill="auto"/>
            <w:noWrap/>
            <w:vAlign w:val="bottom"/>
            <w:hideMark/>
          </w:tcPr>
          <w:p w:rsidR="00F577D4" w:rsidRPr="00113664" w:rsidP="00F577D4" w14:paraId="26ACD8B9" w14:textId="77777777">
            <w:pPr>
              <w:rPr>
                <w:sz w:val="20"/>
                <w:szCs w:val="20"/>
              </w:rPr>
            </w:pPr>
          </w:p>
        </w:tc>
      </w:tr>
      <w:tr w14:paraId="5112E148" w14:textId="77777777">
        <w:tblPrEx>
          <w:tblW w:w="14125" w:type="dxa"/>
          <w:jc w:val="center"/>
          <w:tblLook w:val="04A0"/>
        </w:tblPrEx>
        <w:trPr>
          <w:trHeight w:val="255"/>
          <w:jc w:val="center"/>
        </w:trPr>
        <w:tc>
          <w:tcPr>
            <w:tcW w:w="3685" w:type="dxa"/>
            <w:tcBorders>
              <w:top w:val="nil"/>
              <w:left w:val="nil"/>
              <w:bottom w:val="nil"/>
              <w:right w:val="nil"/>
            </w:tcBorders>
            <w:shd w:val="clear" w:color="auto" w:fill="auto"/>
            <w:noWrap/>
            <w:hideMark/>
          </w:tcPr>
          <w:p w:rsidR="00F577D4" w:rsidRPr="00113664" w:rsidP="00F577D4" w14:paraId="1B78EED3" w14:textId="77777777">
            <w:pPr>
              <w:rPr>
                <w:b/>
                <w:bCs/>
                <w:color w:val="000000"/>
                <w:sz w:val="20"/>
                <w:szCs w:val="20"/>
              </w:rPr>
            </w:pPr>
            <w:r w:rsidRPr="00113664">
              <w:rPr>
                <w:b/>
                <w:bCs/>
                <w:color w:val="000000"/>
                <w:sz w:val="20"/>
                <w:szCs w:val="20"/>
              </w:rPr>
              <w:t>Assumptions:</w:t>
            </w:r>
          </w:p>
        </w:tc>
        <w:tc>
          <w:tcPr>
            <w:tcW w:w="1260" w:type="dxa"/>
            <w:tcBorders>
              <w:top w:val="nil"/>
              <w:left w:val="nil"/>
              <w:bottom w:val="nil"/>
              <w:right w:val="nil"/>
            </w:tcBorders>
            <w:shd w:val="clear" w:color="auto" w:fill="auto"/>
            <w:noWrap/>
            <w:hideMark/>
          </w:tcPr>
          <w:p w:rsidR="00F577D4" w:rsidRPr="00113664" w:rsidP="00F577D4" w14:paraId="096ED565" w14:textId="77777777">
            <w:pPr>
              <w:rPr>
                <w:b/>
                <w:bCs/>
                <w:color w:val="000000"/>
                <w:sz w:val="20"/>
                <w:szCs w:val="20"/>
              </w:rPr>
            </w:pPr>
          </w:p>
        </w:tc>
        <w:tc>
          <w:tcPr>
            <w:tcW w:w="1440" w:type="dxa"/>
            <w:tcBorders>
              <w:top w:val="nil"/>
              <w:left w:val="nil"/>
              <w:bottom w:val="nil"/>
              <w:right w:val="nil"/>
            </w:tcBorders>
            <w:shd w:val="clear" w:color="auto" w:fill="auto"/>
            <w:noWrap/>
            <w:hideMark/>
          </w:tcPr>
          <w:p w:rsidR="00F577D4" w:rsidRPr="00113664" w:rsidP="00F577D4" w14:paraId="7BFD34C4" w14:textId="77777777">
            <w:pPr>
              <w:rPr>
                <w:sz w:val="20"/>
                <w:szCs w:val="20"/>
              </w:rPr>
            </w:pPr>
          </w:p>
        </w:tc>
        <w:tc>
          <w:tcPr>
            <w:tcW w:w="1530" w:type="dxa"/>
            <w:tcBorders>
              <w:top w:val="nil"/>
              <w:left w:val="nil"/>
              <w:bottom w:val="nil"/>
              <w:right w:val="nil"/>
            </w:tcBorders>
            <w:shd w:val="clear" w:color="auto" w:fill="auto"/>
            <w:noWrap/>
            <w:hideMark/>
          </w:tcPr>
          <w:p w:rsidR="00F577D4" w:rsidRPr="00113664" w:rsidP="00F577D4" w14:paraId="3BDE426F" w14:textId="77777777">
            <w:pPr>
              <w:rPr>
                <w:sz w:val="20"/>
                <w:szCs w:val="20"/>
              </w:rPr>
            </w:pPr>
          </w:p>
        </w:tc>
        <w:tc>
          <w:tcPr>
            <w:tcW w:w="1306" w:type="dxa"/>
            <w:tcBorders>
              <w:top w:val="nil"/>
              <w:left w:val="nil"/>
              <w:bottom w:val="nil"/>
              <w:right w:val="nil"/>
            </w:tcBorders>
            <w:shd w:val="clear" w:color="auto" w:fill="auto"/>
            <w:noWrap/>
            <w:hideMark/>
          </w:tcPr>
          <w:p w:rsidR="00F577D4" w:rsidRPr="00113664" w:rsidP="00F577D4" w14:paraId="58A76048" w14:textId="77777777">
            <w:pPr>
              <w:rPr>
                <w:sz w:val="20"/>
                <w:szCs w:val="20"/>
              </w:rPr>
            </w:pPr>
          </w:p>
        </w:tc>
        <w:tc>
          <w:tcPr>
            <w:tcW w:w="1304" w:type="dxa"/>
            <w:tcBorders>
              <w:top w:val="nil"/>
              <w:left w:val="nil"/>
              <w:bottom w:val="nil"/>
              <w:right w:val="nil"/>
            </w:tcBorders>
            <w:shd w:val="clear" w:color="auto" w:fill="auto"/>
            <w:noWrap/>
            <w:hideMark/>
          </w:tcPr>
          <w:p w:rsidR="00F577D4" w:rsidRPr="00113664" w:rsidP="00F577D4" w14:paraId="2825A0B2" w14:textId="77777777">
            <w:pPr>
              <w:rPr>
                <w:sz w:val="20"/>
                <w:szCs w:val="20"/>
              </w:rPr>
            </w:pPr>
          </w:p>
        </w:tc>
        <w:tc>
          <w:tcPr>
            <w:tcW w:w="1350" w:type="dxa"/>
            <w:tcBorders>
              <w:top w:val="nil"/>
              <w:left w:val="nil"/>
              <w:bottom w:val="nil"/>
              <w:right w:val="nil"/>
            </w:tcBorders>
            <w:shd w:val="clear" w:color="auto" w:fill="auto"/>
            <w:noWrap/>
            <w:hideMark/>
          </w:tcPr>
          <w:p w:rsidR="00F577D4" w:rsidRPr="00113664" w:rsidP="00F577D4" w14:paraId="46928DC7" w14:textId="77777777">
            <w:pPr>
              <w:rPr>
                <w:sz w:val="20"/>
                <w:szCs w:val="20"/>
              </w:rPr>
            </w:pPr>
          </w:p>
        </w:tc>
        <w:tc>
          <w:tcPr>
            <w:tcW w:w="1170" w:type="dxa"/>
            <w:tcBorders>
              <w:top w:val="nil"/>
              <w:left w:val="nil"/>
              <w:bottom w:val="nil"/>
              <w:right w:val="nil"/>
            </w:tcBorders>
            <w:shd w:val="clear" w:color="auto" w:fill="auto"/>
            <w:noWrap/>
            <w:hideMark/>
          </w:tcPr>
          <w:p w:rsidR="00F577D4" w:rsidRPr="00113664" w:rsidP="00F577D4" w14:paraId="7F55DF36" w14:textId="77777777">
            <w:pPr>
              <w:rPr>
                <w:sz w:val="20"/>
                <w:szCs w:val="20"/>
              </w:rPr>
            </w:pPr>
          </w:p>
        </w:tc>
        <w:tc>
          <w:tcPr>
            <w:tcW w:w="1080" w:type="dxa"/>
            <w:tcBorders>
              <w:top w:val="nil"/>
              <w:left w:val="nil"/>
              <w:bottom w:val="nil"/>
              <w:right w:val="nil"/>
            </w:tcBorders>
            <w:shd w:val="clear" w:color="auto" w:fill="auto"/>
            <w:noWrap/>
            <w:hideMark/>
          </w:tcPr>
          <w:p w:rsidR="00F577D4" w:rsidRPr="00113664" w:rsidP="00F577D4" w14:paraId="1C61053E" w14:textId="77777777">
            <w:pPr>
              <w:rPr>
                <w:sz w:val="20"/>
                <w:szCs w:val="20"/>
              </w:rPr>
            </w:pPr>
          </w:p>
        </w:tc>
      </w:tr>
      <w:tr w14:paraId="6C890131" w14:textId="77777777">
        <w:tblPrEx>
          <w:tblW w:w="14125" w:type="dxa"/>
          <w:jc w:val="center"/>
          <w:tblLook w:val="04A0"/>
        </w:tblPrEx>
        <w:trPr>
          <w:trHeight w:val="630"/>
          <w:jc w:val="center"/>
        </w:trPr>
        <w:tc>
          <w:tcPr>
            <w:tcW w:w="14125" w:type="dxa"/>
            <w:gridSpan w:val="9"/>
            <w:tcBorders>
              <w:top w:val="nil"/>
              <w:left w:val="nil"/>
              <w:bottom w:val="nil"/>
              <w:right w:val="nil"/>
            </w:tcBorders>
            <w:shd w:val="clear" w:color="auto" w:fill="auto"/>
            <w:hideMark/>
          </w:tcPr>
          <w:p w:rsidR="00F577D4" w:rsidRPr="00113664" w:rsidP="00F577D4" w14:paraId="5C59651D" w14:textId="77777777">
            <w:pPr>
              <w:rPr>
                <w:color w:val="000000"/>
                <w:sz w:val="20"/>
                <w:szCs w:val="20"/>
              </w:rPr>
            </w:pPr>
            <w:r w:rsidRPr="00113664">
              <w:rPr>
                <w:color w:val="000000"/>
                <w:sz w:val="20"/>
                <w:szCs w:val="20"/>
                <w:vertAlign w:val="superscript"/>
              </w:rPr>
              <w:t>a</w:t>
            </w:r>
            <w:r w:rsidRPr="00113664">
              <w:rPr>
                <w:color w:val="000000"/>
                <w:sz w:val="20"/>
                <w:szCs w:val="20"/>
              </w:rPr>
              <w:t xml:space="preserve"> We have assumed that the average number of respondents that will be subject to the rule will be three. There will be no additional new source per year that will become subject to the rule over the 3-year period of this ICR.</w:t>
            </w:r>
          </w:p>
        </w:tc>
      </w:tr>
      <w:tr w14:paraId="134593BC" w14:textId="77777777">
        <w:tblPrEx>
          <w:tblW w:w="14125" w:type="dxa"/>
          <w:jc w:val="center"/>
          <w:tblLook w:val="04A0"/>
        </w:tblPrEx>
        <w:trPr>
          <w:trHeight w:val="1062"/>
          <w:jc w:val="center"/>
        </w:trPr>
        <w:tc>
          <w:tcPr>
            <w:tcW w:w="14125" w:type="dxa"/>
            <w:gridSpan w:val="9"/>
            <w:tcBorders>
              <w:top w:val="nil"/>
              <w:left w:val="nil"/>
              <w:bottom w:val="nil"/>
              <w:right w:val="nil"/>
            </w:tcBorders>
            <w:shd w:val="clear" w:color="auto" w:fill="auto"/>
            <w:hideMark/>
          </w:tcPr>
          <w:p w:rsidR="00F577D4" w:rsidRPr="00113664" w:rsidP="00F577D4" w14:paraId="5EFFB813" w14:textId="271C8A59">
            <w:pPr>
              <w:rPr>
                <w:color w:val="000000"/>
                <w:sz w:val="20"/>
                <w:szCs w:val="20"/>
              </w:rPr>
            </w:pPr>
            <w:r w:rsidRPr="00113664">
              <w:rPr>
                <w:color w:val="000000"/>
                <w:sz w:val="20"/>
                <w:szCs w:val="20"/>
                <w:vertAlign w:val="superscript"/>
              </w:rPr>
              <w:t>b</w:t>
            </w:r>
            <w:r w:rsidRPr="00113664">
              <w:rPr>
                <w:color w:val="000000"/>
                <w:sz w:val="20"/>
                <w:szCs w:val="20"/>
              </w:rPr>
              <w:t xml:space="preserve"> </w:t>
            </w:r>
            <w:r w:rsidRPr="0026542B" w:rsidR="0026542B">
              <w:rPr>
                <w:color w:val="000000"/>
                <w:sz w:val="20"/>
                <w:szCs w:val="20"/>
              </w:rPr>
              <w:t>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39A064EF" w14:textId="77777777">
        <w:tblPrEx>
          <w:tblW w:w="14125" w:type="dxa"/>
          <w:jc w:val="center"/>
          <w:tblLook w:val="04A0"/>
        </w:tblPrEx>
        <w:trPr>
          <w:trHeight w:val="378"/>
          <w:jc w:val="center"/>
        </w:trPr>
        <w:tc>
          <w:tcPr>
            <w:tcW w:w="14125" w:type="dxa"/>
            <w:gridSpan w:val="9"/>
            <w:tcBorders>
              <w:top w:val="nil"/>
              <w:left w:val="nil"/>
              <w:bottom w:val="nil"/>
              <w:right w:val="nil"/>
            </w:tcBorders>
            <w:shd w:val="clear" w:color="auto" w:fill="auto"/>
            <w:hideMark/>
          </w:tcPr>
          <w:p w:rsidR="00F577D4" w:rsidRPr="00113664" w:rsidP="00F577D4" w14:paraId="6F415D2C" w14:textId="77777777">
            <w:pPr>
              <w:rPr>
                <w:color w:val="000000"/>
                <w:sz w:val="20"/>
                <w:szCs w:val="20"/>
              </w:rPr>
            </w:pPr>
            <w:r w:rsidRPr="00113664">
              <w:rPr>
                <w:color w:val="000000"/>
                <w:sz w:val="20"/>
                <w:szCs w:val="20"/>
                <w:vertAlign w:val="superscript"/>
              </w:rPr>
              <w:t>c</w:t>
            </w:r>
            <w:r w:rsidRPr="00113664">
              <w:rPr>
                <w:color w:val="000000"/>
                <w:sz w:val="20"/>
                <w:szCs w:val="20"/>
              </w:rPr>
              <w:t xml:space="preserve"> </w:t>
            </w:r>
            <w:r w:rsidRPr="00875533">
              <w:rPr>
                <w:color w:val="000000"/>
                <w:sz w:val="20"/>
                <w:szCs w:val="20"/>
              </w:rPr>
              <w:t>We have assumed that the number of person-hours per occurrence is an average over 3 years of Year 1 (5), Year 2 (0.5), and Year 3(0.5) with more effort in Year 1.</w:t>
            </w:r>
          </w:p>
        </w:tc>
      </w:tr>
      <w:tr w14:paraId="7914D9F6" w14:textId="77777777">
        <w:tblPrEx>
          <w:tblW w:w="14125" w:type="dxa"/>
          <w:jc w:val="center"/>
          <w:tblLook w:val="04A0"/>
        </w:tblPrEx>
        <w:trPr>
          <w:trHeight w:val="315"/>
          <w:jc w:val="center"/>
        </w:trPr>
        <w:tc>
          <w:tcPr>
            <w:tcW w:w="14125" w:type="dxa"/>
            <w:gridSpan w:val="9"/>
            <w:tcBorders>
              <w:top w:val="nil"/>
              <w:left w:val="nil"/>
              <w:bottom w:val="nil"/>
              <w:right w:val="nil"/>
            </w:tcBorders>
            <w:shd w:val="clear" w:color="auto" w:fill="auto"/>
            <w:noWrap/>
            <w:hideMark/>
          </w:tcPr>
          <w:p w:rsidR="00F577D4" w:rsidRPr="00113664" w:rsidP="00F577D4" w14:paraId="594CF9B7" w14:textId="77777777">
            <w:pPr>
              <w:rPr>
                <w:color w:val="000000"/>
                <w:sz w:val="20"/>
                <w:szCs w:val="20"/>
              </w:rPr>
            </w:pPr>
            <w:r w:rsidRPr="00113664">
              <w:rPr>
                <w:color w:val="000000"/>
                <w:sz w:val="20"/>
                <w:szCs w:val="20"/>
                <w:vertAlign w:val="superscript"/>
              </w:rPr>
              <w:t>d</w:t>
            </w:r>
            <w:r w:rsidRPr="00113664">
              <w:rPr>
                <w:color w:val="000000"/>
                <w:sz w:val="20"/>
                <w:szCs w:val="20"/>
              </w:rPr>
              <w:t xml:space="preserve"> We have assumed that all three facilities will need to update their plan, for an average number of respondents of 1 per year.</w:t>
            </w:r>
          </w:p>
        </w:tc>
      </w:tr>
      <w:tr w14:paraId="4014579D" w14:textId="77777777">
        <w:tblPrEx>
          <w:tblW w:w="14125" w:type="dxa"/>
          <w:jc w:val="center"/>
          <w:tblLook w:val="04A0"/>
        </w:tblPrEx>
        <w:trPr>
          <w:trHeight w:val="1200"/>
          <w:jc w:val="center"/>
        </w:trPr>
        <w:tc>
          <w:tcPr>
            <w:tcW w:w="14125" w:type="dxa"/>
            <w:gridSpan w:val="9"/>
            <w:tcBorders>
              <w:top w:val="nil"/>
              <w:left w:val="nil"/>
              <w:bottom w:val="nil"/>
              <w:right w:val="nil"/>
            </w:tcBorders>
            <w:shd w:val="clear" w:color="auto" w:fill="auto"/>
            <w:hideMark/>
          </w:tcPr>
          <w:p w:rsidR="00F577D4" w:rsidRPr="00875533" w:rsidP="00F577D4" w14:paraId="2FFAB591" w14:textId="77777777">
            <w:pPr>
              <w:rPr>
                <w:sz w:val="20"/>
                <w:szCs w:val="20"/>
              </w:rPr>
            </w:pPr>
            <w:r w:rsidRPr="00875533">
              <w:rPr>
                <w:sz w:val="20"/>
                <w:szCs w:val="20"/>
                <w:vertAlign w:val="superscript"/>
              </w:rPr>
              <w:t>e</w:t>
            </w:r>
            <w:r w:rsidRPr="00875533">
              <w:rPr>
                <w:sz w:val="20"/>
                <w:szCs w:val="20"/>
              </w:rPr>
              <w:t xml:space="preserve"> </w:t>
            </w:r>
            <w:r w:rsidRPr="00875533">
              <w:rPr>
                <w:sz w:val="20"/>
                <w:szCs w:val="20"/>
              </w:rPr>
              <w:t>The</w:t>
            </w:r>
            <w:r w:rsidRPr="00875533">
              <w:rPr>
                <w:sz w:val="20"/>
                <w:szCs w:val="20"/>
              </w:rPr>
              <w:t xml:space="preserve"> </w:t>
            </w:r>
            <w:r w:rsidRPr="00875533">
              <w:rPr>
                <w:sz w:val="20"/>
                <w:szCs w:val="20"/>
              </w:rPr>
              <w:t>person-hours per response</w:t>
            </w:r>
            <w:r w:rsidRPr="00875533">
              <w:rPr>
                <w:sz w:val="20"/>
                <w:szCs w:val="20"/>
              </w:rPr>
              <w:t xml:space="preserve"> account for tests on both continuous and batch sources. Tests for continuous sources may be shorter than average and tests for batch sources may be longer than average. In addition, we have assumed that the respondents per year is 1.8 for performance testing since there are effectively 9 separate sets of tests that would have to be done every 5 years across the three facilities. This estimate of 9 tests is based on EPA's previous estimate of 4 tests for 2 facilities plus 5 additional sources being tested based on industry comments received for the ICR renewal. We have also assumed that one test will need to be redone </w:t>
            </w:r>
            <w:r w:rsidRPr="00875533">
              <w:rPr>
                <w:sz w:val="20"/>
                <w:szCs w:val="20"/>
              </w:rPr>
              <w:t>each</w:t>
            </w:r>
            <w:r w:rsidRPr="00875533">
              <w:rPr>
                <w:sz w:val="20"/>
                <w:szCs w:val="20"/>
              </w:rPr>
              <w:t xml:space="preserve"> five years, or 0.2 respondents per year.</w:t>
            </w:r>
          </w:p>
        </w:tc>
      </w:tr>
      <w:tr w14:paraId="1A1DBA75" w14:textId="77777777">
        <w:tblPrEx>
          <w:tblW w:w="14125" w:type="dxa"/>
          <w:jc w:val="center"/>
          <w:tblLook w:val="04A0"/>
        </w:tblPrEx>
        <w:trPr>
          <w:trHeight w:val="315"/>
          <w:jc w:val="center"/>
        </w:trPr>
        <w:tc>
          <w:tcPr>
            <w:tcW w:w="14125" w:type="dxa"/>
            <w:gridSpan w:val="9"/>
            <w:tcBorders>
              <w:top w:val="nil"/>
              <w:left w:val="nil"/>
              <w:bottom w:val="nil"/>
              <w:right w:val="nil"/>
            </w:tcBorders>
            <w:shd w:val="clear" w:color="auto" w:fill="auto"/>
            <w:hideMark/>
          </w:tcPr>
          <w:p w:rsidR="00F577D4" w:rsidRPr="00113664" w:rsidP="00F577D4" w14:paraId="6771F700" w14:textId="77777777">
            <w:pPr>
              <w:rPr>
                <w:color w:val="000000"/>
                <w:sz w:val="20"/>
                <w:szCs w:val="20"/>
              </w:rPr>
            </w:pPr>
            <w:r w:rsidRPr="00113664">
              <w:rPr>
                <w:color w:val="000000"/>
                <w:sz w:val="20"/>
                <w:szCs w:val="20"/>
                <w:vertAlign w:val="superscript"/>
              </w:rPr>
              <w:t>f</w:t>
            </w:r>
            <w:r w:rsidRPr="00113664">
              <w:rPr>
                <w:color w:val="000000"/>
                <w:sz w:val="20"/>
                <w:szCs w:val="20"/>
              </w:rPr>
              <w:t xml:space="preserve"> We assume 12 hours are required to complete the CMS performance evaluation. This activity only applies to new sources.</w:t>
            </w:r>
          </w:p>
        </w:tc>
      </w:tr>
      <w:tr w14:paraId="2B6DC9CC" w14:textId="77777777">
        <w:tblPrEx>
          <w:tblW w:w="14125" w:type="dxa"/>
          <w:jc w:val="center"/>
          <w:tblLook w:val="04A0"/>
        </w:tblPrEx>
        <w:trPr>
          <w:trHeight w:val="315"/>
          <w:jc w:val="center"/>
        </w:trPr>
        <w:tc>
          <w:tcPr>
            <w:tcW w:w="14125" w:type="dxa"/>
            <w:gridSpan w:val="9"/>
            <w:tcBorders>
              <w:top w:val="nil"/>
              <w:left w:val="nil"/>
              <w:bottom w:val="nil"/>
              <w:right w:val="nil"/>
            </w:tcBorders>
            <w:shd w:val="clear" w:color="auto" w:fill="auto"/>
            <w:hideMark/>
          </w:tcPr>
          <w:p w:rsidR="00F577D4" w:rsidRPr="00113664" w:rsidP="00F577D4" w14:paraId="0186CCDC" w14:textId="77777777">
            <w:pPr>
              <w:rPr>
                <w:color w:val="000000"/>
                <w:sz w:val="20"/>
                <w:szCs w:val="20"/>
              </w:rPr>
            </w:pPr>
            <w:r w:rsidRPr="00113664">
              <w:rPr>
                <w:color w:val="000000"/>
                <w:sz w:val="20"/>
                <w:szCs w:val="20"/>
                <w:vertAlign w:val="superscript"/>
              </w:rPr>
              <w:t>g</w:t>
            </w:r>
            <w:r w:rsidRPr="00113664">
              <w:rPr>
                <w:color w:val="000000"/>
                <w:sz w:val="20"/>
                <w:szCs w:val="20"/>
              </w:rPr>
              <w:t xml:space="preserve"> We have assumed that there are no existing respondents required to comply using THC CEMS.</w:t>
            </w:r>
          </w:p>
        </w:tc>
      </w:tr>
      <w:tr w14:paraId="0723B1F7" w14:textId="77777777">
        <w:tblPrEx>
          <w:tblW w:w="14125" w:type="dxa"/>
          <w:jc w:val="center"/>
          <w:tblLook w:val="04A0"/>
        </w:tblPrEx>
        <w:trPr>
          <w:trHeight w:val="315"/>
          <w:jc w:val="center"/>
        </w:trPr>
        <w:tc>
          <w:tcPr>
            <w:tcW w:w="14125" w:type="dxa"/>
            <w:gridSpan w:val="9"/>
            <w:tcBorders>
              <w:top w:val="nil"/>
              <w:left w:val="nil"/>
              <w:bottom w:val="nil"/>
              <w:right w:val="nil"/>
            </w:tcBorders>
            <w:shd w:val="clear" w:color="auto" w:fill="auto"/>
            <w:hideMark/>
          </w:tcPr>
          <w:p w:rsidR="00F577D4" w:rsidRPr="00113664" w:rsidP="00F577D4" w14:paraId="2DE36197" w14:textId="77777777">
            <w:pPr>
              <w:rPr>
                <w:color w:val="000000"/>
                <w:sz w:val="20"/>
                <w:szCs w:val="20"/>
              </w:rPr>
            </w:pPr>
            <w:r w:rsidRPr="00113664">
              <w:rPr>
                <w:color w:val="000000"/>
                <w:sz w:val="20"/>
                <w:szCs w:val="20"/>
                <w:vertAlign w:val="superscript"/>
              </w:rPr>
              <w:t>h</w:t>
            </w:r>
            <w:r w:rsidRPr="00113664">
              <w:rPr>
                <w:color w:val="000000"/>
                <w:sz w:val="20"/>
                <w:szCs w:val="20"/>
              </w:rPr>
              <w:t xml:space="preserve"> § 63.9812(f) states that on and after November 19, 2021, facilities may not use a fuel other than natural gas or equivalent to fire the affected kiln.</w:t>
            </w:r>
          </w:p>
        </w:tc>
      </w:tr>
      <w:tr w14:paraId="63418CFE" w14:textId="77777777">
        <w:tblPrEx>
          <w:tblW w:w="14125" w:type="dxa"/>
          <w:jc w:val="center"/>
          <w:tblLook w:val="04A0"/>
        </w:tblPrEx>
        <w:trPr>
          <w:trHeight w:val="615"/>
          <w:jc w:val="center"/>
        </w:trPr>
        <w:tc>
          <w:tcPr>
            <w:tcW w:w="14125" w:type="dxa"/>
            <w:gridSpan w:val="9"/>
            <w:tcBorders>
              <w:top w:val="nil"/>
              <w:left w:val="nil"/>
              <w:bottom w:val="nil"/>
              <w:right w:val="nil"/>
            </w:tcBorders>
            <w:shd w:val="clear" w:color="auto" w:fill="auto"/>
            <w:hideMark/>
          </w:tcPr>
          <w:p w:rsidR="00F577D4" w:rsidRPr="00113664" w:rsidP="00F577D4" w14:paraId="7F6F133A" w14:textId="77777777">
            <w:pPr>
              <w:rPr>
                <w:color w:val="000000"/>
                <w:sz w:val="20"/>
                <w:szCs w:val="20"/>
              </w:rPr>
            </w:pPr>
            <w:r w:rsidRPr="00113664">
              <w:rPr>
                <w:color w:val="000000"/>
                <w:sz w:val="20"/>
                <w:szCs w:val="20"/>
                <w:vertAlign w:val="superscript"/>
              </w:rPr>
              <w:t>i</w:t>
            </w:r>
            <w:r w:rsidRPr="00113664">
              <w:rPr>
                <w:color w:val="000000"/>
                <w:sz w:val="20"/>
                <w:szCs w:val="20"/>
              </w:rPr>
              <w:t xml:space="preserve"> Facilities must request approval to bypass the control device for each instance of control device maintenance. The estimated number of requests per year is based on information from industry regarding the types of scheduled routine maintenance.</w:t>
            </w:r>
          </w:p>
        </w:tc>
      </w:tr>
      <w:tr w14:paraId="5799D918" w14:textId="77777777">
        <w:tblPrEx>
          <w:tblW w:w="14125" w:type="dxa"/>
          <w:jc w:val="center"/>
          <w:tblLook w:val="04A0"/>
        </w:tblPrEx>
        <w:trPr>
          <w:trHeight w:val="315"/>
          <w:jc w:val="center"/>
        </w:trPr>
        <w:tc>
          <w:tcPr>
            <w:tcW w:w="14125" w:type="dxa"/>
            <w:gridSpan w:val="9"/>
            <w:tcBorders>
              <w:top w:val="nil"/>
              <w:left w:val="nil"/>
              <w:bottom w:val="nil"/>
              <w:right w:val="nil"/>
            </w:tcBorders>
            <w:shd w:val="clear" w:color="auto" w:fill="auto"/>
            <w:noWrap/>
            <w:hideMark/>
          </w:tcPr>
          <w:p w:rsidR="00F577D4" w:rsidRPr="00113664" w:rsidP="00F577D4" w14:paraId="64CAEAAD" w14:textId="77777777">
            <w:pPr>
              <w:rPr>
                <w:color w:val="000000"/>
                <w:sz w:val="20"/>
                <w:szCs w:val="20"/>
              </w:rPr>
            </w:pPr>
            <w:r w:rsidRPr="00113664">
              <w:rPr>
                <w:color w:val="000000"/>
                <w:sz w:val="20"/>
                <w:szCs w:val="20"/>
                <w:vertAlign w:val="superscript"/>
              </w:rPr>
              <w:t>j</w:t>
            </w:r>
            <w:r w:rsidRPr="00113664">
              <w:rPr>
                <w:color w:val="000000"/>
                <w:sz w:val="20"/>
                <w:szCs w:val="20"/>
              </w:rPr>
              <w:t xml:space="preserve"> We have assumed that two respondents will report a deviation once per year.</w:t>
            </w:r>
          </w:p>
        </w:tc>
      </w:tr>
      <w:tr w14:paraId="2849A51E" w14:textId="77777777">
        <w:tblPrEx>
          <w:tblW w:w="14125" w:type="dxa"/>
          <w:jc w:val="center"/>
          <w:tblLook w:val="04A0"/>
        </w:tblPrEx>
        <w:trPr>
          <w:trHeight w:val="315"/>
          <w:jc w:val="center"/>
        </w:trPr>
        <w:tc>
          <w:tcPr>
            <w:tcW w:w="14125" w:type="dxa"/>
            <w:gridSpan w:val="9"/>
            <w:tcBorders>
              <w:top w:val="nil"/>
              <w:left w:val="nil"/>
              <w:bottom w:val="nil"/>
              <w:right w:val="nil"/>
            </w:tcBorders>
            <w:shd w:val="clear" w:color="auto" w:fill="auto"/>
            <w:noWrap/>
            <w:hideMark/>
          </w:tcPr>
          <w:p w:rsidR="00F577D4" w:rsidRPr="00113664" w:rsidP="00F577D4" w14:paraId="442A5D49" w14:textId="77777777">
            <w:pPr>
              <w:rPr>
                <w:color w:val="000000"/>
                <w:sz w:val="20"/>
                <w:szCs w:val="20"/>
              </w:rPr>
            </w:pPr>
            <w:r w:rsidRPr="00113664">
              <w:rPr>
                <w:color w:val="000000"/>
                <w:sz w:val="20"/>
                <w:szCs w:val="20"/>
                <w:vertAlign w:val="superscript"/>
              </w:rPr>
              <w:t>k</w:t>
            </w:r>
            <w:r w:rsidRPr="00113664">
              <w:rPr>
                <w:color w:val="000000"/>
                <w:sz w:val="20"/>
                <w:szCs w:val="20"/>
              </w:rPr>
              <w:t xml:space="preserve"> We have assumed that one respondent will report no deviations on a semi-annual basis and the other two respondents will report no deviations for one of the two semi-annual reports per year.</w:t>
            </w:r>
          </w:p>
        </w:tc>
      </w:tr>
      <w:tr w14:paraId="1E383433" w14:textId="77777777">
        <w:tblPrEx>
          <w:tblW w:w="14125" w:type="dxa"/>
          <w:jc w:val="center"/>
          <w:tblLook w:val="04A0"/>
        </w:tblPrEx>
        <w:trPr>
          <w:trHeight w:val="315"/>
          <w:jc w:val="center"/>
        </w:trPr>
        <w:tc>
          <w:tcPr>
            <w:tcW w:w="14125" w:type="dxa"/>
            <w:gridSpan w:val="9"/>
            <w:tcBorders>
              <w:top w:val="nil"/>
              <w:left w:val="nil"/>
              <w:bottom w:val="nil"/>
              <w:right w:val="nil"/>
            </w:tcBorders>
            <w:shd w:val="clear" w:color="auto" w:fill="auto"/>
            <w:noWrap/>
            <w:hideMark/>
          </w:tcPr>
          <w:p w:rsidR="00F577D4" w:rsidRPr="00113664" w:rsidP="00F577D4" w14:paraId="2C504372" w14:textId="77777777">
            <w:pPr>
              <w:rPr>
                <w:color w:val="000000"/>
                <w:sz w:val="20"/>
                <w:szCs w:val="20"/>
              </w:rPr>
            </w:pPr>
            <w:r w:rsidRPr="00113664">
              <w:rPr>
                <w:color w:val="000000"/>
                <w:sz w:val="20"/>
                <w:szCs w:val="20"/>
                <w:vertAlign w:val="superscript"/>
              </w:rPr>
              <w:t>l</w:t>
            </w:r>
            <w:r w:rsidRPr="00113664">
              <w:rPr>
                <w:color w:val="000000"/>
                <w:sz w:val="20"/>
                <w:szCs w:val="20"/>
              </w:rPr>
              <w:t xml:space="preserve"> § 63.9814(g) states that on and after November 19, 2021, facilities may not use </w:t>
            </w:r>
            <w:r w:rsidRPr="00113664">
              <w:rPr>
                <w:color w:val="000000"/>
                <w:sz w:val="20"/>
                <w:szCs w:val="20"/>
              </w:rPr>
              <w:t>a fuel</w:t>
            </w:r>
            <w:r w:rsidRPr="00113664">
              <w:rPr>
                <w:color w:val="000000"/>
                <w:sz w:val="20"/>
                <w:szCs w:val="20"/>
              </w:rPr>
              <w:t xml:space="preserve"> other than natural gas or equivalent to fire the affected kiln.</w:t>
            </w:r>
          </w:p>
        </w:tc>
      </w:tr>
      <w:tr w14:paraId="7B170342" w14:textId="77777777">
        <w:tblPrEx>
          <w:tblW w:w="14125" w:type="dxa"/>
          <w:jc w:val="center"/>
          <w:tblLook w:val="04A0"/>
        </w:tblPrEx>
        <w:trPr>
          <w:trHeight w:val="315"/>
          <w:jc w:val="center"/>
        </w:trPr>
        <w:tc>
          <w:tcPr>
            <w:tcW w:w="14125" w:type="dxa"/>
            <w:gridSpan w:val="9"/>
            <w:tcBorders>
              <w:top w:val="nil"/>
              <w:left w:val="nil"/>
              <w:bottom w:val="nil"/>
              <w:right w:val="nil"/>
            </w:tcBorders>
            <w:shd w:val="clear" w:color="auto" w:fill="auto"/>
            <w:noWrap/>
            <w:hideMark/>
          </w:tcPr>
          <w:p w:rsidR="00F577D4" w:rsidRPr="00113664" w:rsidP="00F577D4" w14:paraId="6D373C73" w14:textId="77777777">
            <w:pPr>
              <w:rPr>
                <w:color w:val="000000"/>
                <w:sz w:val="20"/>
                <w:szCs w:val="20"/>
              </w:rPr>
            </w:pPr>
            <w:r w:rsidRPr="00113664">
              <w:rPr>
                <w:color w:val="000000"/>
                <w:sz w:val="20"/>
                <w:szCs w:val="20"/>
                <w:vertAlign w:val="superscript"/>
              </w:rPr>
              <w:t>m</w:t>
            </w:r>
            <w:r w:rsidRPr="00113664">
              <w:rPr>
                <w:color w:val="000000"/>
                <w:sz w:val="20"/>
                <w:szCs w:val="20"/>
              </w:rPr>
              <w:t xml:space="preserve"> We have assumed that information will be recorded once per week for 52 weeks per year.</w:t>
            </w:r>
          </w:p>
        </w:tc>
      </w:tr>
      <w:tr w14:paraId="33BF10EA" w14:textId="77777777">
        <w:tblPrEx>
          <w:tblW w:w="14125" w:type="dxa"/>
          <w:jc w:val="center"/>
          <w:tblLook w:val="04A0"/>
        </w:tblPrEx>
        <w:trPr>
          <w:trHeight w:val="600"/>
          <w:jc w:val="center"/>
        </w:trPr>
        <w:tc>
          <w:tcPr>
            <w:tcW w:w="14125" w:type="dxa"/>
            <w:gridSpan w:val="9"/>
            <w:tcBorders>
              <w:top w:val="nil"/>
              <w:left w:val="nil"/>
              <w:bottom w:val="nil"/>
              <w:right w:val="nil"/>
            </w:tcBorders>
            <w:shd w:val="clear" w:color="auto" w:fill="auto"/>
            <w:hideMark/>
          </w:tcPr>
          <w:p w:rsidR="00F577D4" w:rsidRPr="00113664" w:rsidP="00F577D4" w14:paraId="3CE4E201" w14:textId="77777777">
            <w:pPr>
              <w:rPr>
                <w:color w:val="000000"/>
                <w:sz w:val="20"/>
                <w:szCs w:val="20"/>
              </w:rPr>
            </w:pPr>
            <w:r w:rsidRPr="00113664">
              <w:rPr>
                <w:color w:val="000000"/>
                <w:sz w:val="20"/>
                <w:szCs w:val="20"/>
                <w:vertAlign w:val="superscript"/>
              </w:rPr>
              <w:t xml:space="preserve">n </w:t>
            </w:r>
            <w:r w:rsidRPr="00113664">
              <w:rPr>
                <w:color w:val="000000"/>
                <w:sz w:val="20"/>
                <w:szCs w:val="20"/>
              </w:rPr>
              <w:t>We</w:t>
            </w:r>
            <w:r w:rsidRPr="00113664">
              <w:rPr>
                <w:color w:val="000000"/>
                <w:sz w:val="20"/>
                <w:szCs w:val="20"/>
              </w:rPr>
              <w:t xml:space="preserve"> have assumed that it will take 0.25 hours for information to be transmitted or disclosed, and two semi-annual reports with at least one more report (e.g. notification of fuel change) will be submitted annually.</w:t>
            </w:r>
          </w:p>
        </w:tc>
      </w:tr>
      <w:tr w14:paraId="33E93943" w14:textId="77777777">
        <w:tblPrEx>
          <w:tblW w:w="14125" w:type="dxa"/>
          <w:jc w:val="center"/>
          <w:tblLook w:val="04A0"/>
        </w:tblPrEx>
        <w:trPr>
          <w:trHeight w:val="315"/>
          <w:jc w:val="center"/>
        </w:trPr>
        <w:tc>
          <w:tcPr>
            <w:tcW w:w="14125" w:type="dxa"/>
            <w:gridSpan w:val="9"/>
            <w:tcBorders>
              <w:top w:val="nil"/>
              <w:left w:val="nil"/>
              <w:bottom w:val="nil"/>
              <w:right w:val="nil"/>
            </w:tcBorders>
            <w:shd w:val="clear" w:color="auto" w:fill="auto"/>
            <w:noWrap/>
            <w:hideMark/>
          </w:tcPr>
          <w:p w:rsidR="00F577D4" w:rsidRPr="00113664" w:rsidP="00F577D4" w14:paraId="43F89E99" w14:textId="77777777">
            <w:pPr>
              <w:rPr>
                <w:color w:val="000000"/>
                <w:sz w:val="20"/>
                <w:szCs w:val="20"/>
              </w:rPr>
            </w:pPr>
            <w:r w:rsidRPr="00113664">
              <w:rPr>
                <w:color w:val="000000"/>
                <w:sz w:val="20"/>
                <w:szCs w:val="20"/>
                <w:vertAlign w:val="superscript"/>
              </w:rPr>
              <w:t>o</w:t>
            </w:r>
            <w:r w:rsidRPr="00113664">
              <w:rPr>
                <w:color w:val="000000"/>
                <w:sz w:val="20"/>
                <w:szCs w:val="20"/>
              </w:rPr>
              <w:t xml:space="preserve"> Totals</w:t>
            </w:r>
            <w:r w:rsidRPr="00113664">
              <w:rPr>
                <w:color w:val="000000"/>
                <w:sz w:val="20"/>
                <w:szCs w:val="20"/>
              </w:rPr>
              <w:t xml:space="preserve"> have been rounded to 3 significant values. Figures may not </w:t>
            </w:r>
            <w:r w:rsidRPr="00113664">
              <w:rPr>
                <w:color w:val="000000"/>
                <w:sz w:val="20"/>
                <w:szCs w:val="20"/>
              </w:rPr>
              <w:t>add</w:t>
            </w:r>
            <w:r w:rsidRPr="00113664">
              <w:rPr>
                <w:color w:val="000000"/>
                <w:sz w:val="20"/>
                <w:szCs w:val="20"/>
              </w:rPr>
              <w:t xml:space="preserve"> exactly due to rounding.</w:t>
            </w:r>
          </w:p>
        </w:tc>
      </w:tr>
      <w:tr w14:paraId="4D7B4D65" w14:textId="77777777">
        <w:tblPrEx>
          <w:tblW w:w="14125" w:type="dxa"/>
          <w:jc w:val="center"/>
          <w:tblLook w:val="04A0"/>
        </w:tblPrEx>
        <w:trPr>
          <w:trHeight w:val="315"/>
          <w:jc w:val="center"/>
        </w:trPr>
        <w:tc>
          <w:tcPr>
            <w:tcW w:w="14125" w:type="dxa"/>
            <w:gridSpan w:val="9"/>
            <w:tcBorders>
              <w:top w:val="nil"/>
              <w:left w:val="nil"/>
              <w:bottom w:val="nil"/>
              <w:right w:val="nil"/>
            </w:tcBorders>
            <w:shd w:val="clear" w:color="auto" w:fill="auto"/>
            <w:noWrap/>
            <w:hideMark/>
          </w:tcPr>
          <w:p w:rsidR="00F577D4" w:rsidRPr="00113664" w:rsidP="00F577D4" w14:paraId="1546857A" w14:textId="402DEF23">
            <w:pPr>
              <w:rPr>
                <w:color w:val="000000"/>
                <w:sz w:val="20"/>
                <w:szCs w:val="20"/>
              </w:rPr>
            </w:pPr>
          </w:p>
        </w:tc>
      </w:tr>
    </w:tbl>
    <w:p w:rsidR="00992DE9" w:rsidRPr="001D4D5C" w:rsidP="001641AA" w14:paraId="097AB35B" w14:textId="77777777">
      <w:pPr>
        <w:spacing w:before="240"/>
        <w:rPr>
          <w:rFonts w:cstheme="minorHAnsi"/>
          <w:b/>
          <w:bCs/>
          <w:sz w:val="24"/>
          <w:szCs w:val="24"/>
        </w:rPr>
      </w:pPr>
    </w:p>
    <w:p w:rsidR="00F7120A" w:rsidRPr="00F7120A" w:rsidP="00F7120A" w14:paraId="54098F7E" w14:textId="5A68B560">
      <w:pPr>
        <w:spacing w:before="240"/>
        <w:rPr>
          <w:rFonts w:cstheme="minorHAnsi"/>
          <w:b/>
          <w:bCs/>
          <w:noProof/>
          <w:sz w:val="24"/>
          <w:szCs w:val="24"/>
        </w:rPr>
      </w:pPr>
      <w:r w:rsidRPr="001D4D5C">
        <w:rPr>
          <w:rFonts w:cstheme="minorHAnsi"/>
          <w:b/>
          <w:bCs/>
          <w:sz w:val="24"/>
          <w:szCs w:val="24"/>
        </w:rPr>
        <w:t xml:space="preserve">Table 2: Average Annual EPA Burden and Cost – </w:t>
      </w:r>
      <w:r w:rsidRPr="001D4D5C">
        <w:rPr>
          <w:rFonts w:cstheme="minorHAnsi"/>
          <w:b/>
          <w:bCs/>
          <w:noProof/>
          <w:sz w:val="24"/>
          <w:szCs w:val="24"/>
        </w:rPr>
        <w:t>NESHAP for Refractory Products Manufacturing (40 CFR Part 63, Subpart SSSSS) (Renewal</w:t>
      </w:r>
      <w:r>
        <w:rPr>
          <w:rFonts w:cstheme="minorHAnsi"/>
          <w:b/>
          <w:bCs/>
          <w:noProof/>
          <w:sz w:val="24"/>
          <w:szCs w:val="24"/>
        </w:rPr>
        <w:t>)</w:t>
      </w:r>
    </w:p>
    <w:tbl>
      <w:tblPr>
        <w:tblW w:w="14215" w:type="dxa"/>
        <w:jc w:val="center"/>
        <w:tblLook w:val="04A0"/>
      </w:tblPr>
      <w:tblGrid>
        <w:gridCol w:w="4225"/>
        <w:gridCol w:w="1350"/>
        <w:gridCol w:w="1350"/>
        <w:gridCol w:w="1350"/>
        <w:gridCol w:w="900"/>
        <w:gridCol w:w="1440"/>
        <w:gridCol w:w="1350"/>
        <w:gridCol w:w="1170"/>
        <w:gridCol w:w="1080"/>
      </w:tblGrid>
      <w:tr w14:paraId="148EA3EE" w14:textId="77777777">
        <w:tblPrEx>
          <w:tblW w:w="14215" w:type="dxa"/>
          <w:jc w:val="center"/>
          <w:tblLook w:val="04A0"/>
        </w:tblPrEx>
        <w:trPr>
          <w:trHeight w:val="300"/>
          <w:jc w:val="center"/>
        </w:trPr>
        <w:tc>
          <w:tcPr>
            <w:tcW w:w="4225" w:type="dxa"/>
            <w:tcBorders>
              <w:top w:val="single" w:sz="4" w:space="0" w:color="auto"/>
              <w:left w:val="single" w:sz="4" w:space="0" w:color="auto"/>
              <w:bottom w:val="nil"/>
              <w:right w:val="single" w:sz="4" w:space="0" w:color="auto"/>
            </w:tcBorders>
            <w:shd w:val="clear" w:color="auto" w:fill="auto"/>
            <w:noWrap/>
            <w:vAlign w:val="bottom"/>
            <w:hideMark/>
          </w:tcPr>
          <w:p w:rsidR="00F7120A" w:rsidRPr="00CD6E56" w14:paraId="0DD2ACD1" w14:textId="77777777">
            <w:pPr>
              <w:rPr>
                <w:b/>
                <w:bCs/>
                <w:color w:val="000000"/>
                <w:sz w:val="20"/>
                <w:szCs w:val="20"/>
              </w:rPr>
            </w:pPr>
            <w:r w:rsidRPr="00CD6E56">
              <w:rPr>
                <w:b/>
                <w:bCs/>
                <w:color w:val="000000"/>
                <w:sz w:val="20"/>
                <w:szCs w:val="20"/>
              </w:rPr>
              <w:t>Activity</w:t>
            </w:r>
          </w:p>
        </w:tc>
        <w:tc>
          <w:tcPr>
            <w:tcW w:w="1350" w:type="dxa"/>
            <w:tcBorders>
              <w:top w:val="single" w:sz="4" w:space="0" w:color="auto"/>
              <w:left w:val="nil"/>
              <w:bottom w:val="nil"/>
              <w:right w:val="single" w:sz="4" w:space="0" w:color="auto"/>
            </w:tcBorders>
            <w:shd w:val="clear" w:color="auto" w:fill="auto"/>
            <w:noWrap/>
            <w:vAlign w:val="bottom"/>
            <w:hideMark/>
          </w:tcPr>
          <w:p w:rsidR="00F7120A" w:rsidRPr="00CD6E56" w14:paraId="663C91CF" w14:textId="77777777">
            <w:pPr>
              <w:jc w:val="center"/>
              <w:rPr>
                <w:b/>
                <w:bCs/>
                <w:color w:val="000000"/>
                <w:sz w:val="20"/>
                <w:szCs w:val="20"/>
              </w:rPr>
            </w:pPr>
            <w:r w:rsidRPr="00CD6E56">
              <w:rPr>
                <w:b/>
                <w:bCs/>
                <w:color w:val="000000"/>
                <w:sz w:val="20"/>
                <w:szCs w:val="20"/>
              </w:rPr>
              <w:t>(A)</w:t>
            </w:r>
          </w:p>
        </w:tc>
        <w:tc>
          <w:tcPr>
            <w:tcW w:w="1350" w:type="dxa"/>
            <w:tcBorders>
              <w:top w:val="single" w:sz="4" w:space="0" w:color="auto"/>
              <w:left w:val="nil"/>
              <w:bottom w:val="nil"/>
              <w:right w:val="single" w:sz="4" w:space="0" w:color="auto"/>
            </w:tcBorders>
            <w:shd w:val="clear" w:color="auto" w:fill="auto"/>
            <w:noWrap/>
            <w:vAlign w:val="bottom"/>
            <w:hideMark/>
          </w:tcPr>
          <w:p w:rsidR="00F7120A" w:rsidRPr="00CD6E56" w14:paraId="3CB2A1C5" w14:textId="77777777">
            <w:pPr>
              <w:jc w:val="center"/>
              <w:rPr>
                <w:b/>
                <w:bCs/>
                <w:color w:val="000000"/>
                <w:sz w:val="20"/>
                <w:szCs w:val="20"/>
              </w:rPr>
            </w:pPr>
            <w:r w:rsidRPr="00CD6E56">
              <w:rPr>
                <w:b/>
                <w:bCs/>
                <w:color w:val="000000"/>
                <w:sz w:val="20"/>
                <w:szCs w:val="20"/>
              </w:rPr>
              <w:t>(B)</w:t>
            </w:r>
          </w:p>
        </w:tc>
        <w:tc>
          <w:tcPr>
            <w:tcW w:w="1350" w:type="dxa"/>
            <w:tcBorders>
              <w:top w:val="single" w:sz="4" w:space="0" w:color="auto"/>
              <w:left w:val="nil"/>
              <w:bottom w:val="nil"/>
              <w:right w:val="single" w:sz="4" w:space="0" w:color="auto"/>
            </w:tcBorders>
            <w:shd w:val="clear" w:color="auto" w:fill="auto"/>
            <w:noWrap/>
            <w:vAlign w:val="bottom"/>
            <w:hideMark/>
          </w:tcPr>
          <w:p w:rsidR="00F7120A" w:rsidRPr="00CD6E56" w14:paraId="2BF4C7CD" w14:textId="77777777">
            <w:pPr>
              <w:jc w:val="center"/>
              <w:rPr>
                <w:b/>
                <w:bCs/>
                <w:color w:val="000000"/>
                <w:sz w:val="20"/>
                <w:szCs w:val="20"/>
              </w:rPr>
            </w:pPr>
            <w:r w:rsidRPr="00CD6E56">
              <w:rPr>
                <w:b/>
                <w:bCs/>
                <w:color w:val="000000"/>
                <w:sz w:val="20"/>
                <w:szCs w:val="20"/>
              </w:rPr>
              <w:t>(C)</w:t>
            </w:r>
          </w:p>
        </w:tc>
        <w:tc>
          <w:tcPr>
            <w:tcW w:w="900" w:type="dxa"/>
            <w:tcBorders>
              <w:top w:val="single" w:sz="4" w:space="0" w:color="auto"/>
              <w:left w:val="nil"/>
              <w:bottom w:val="nil"/>
              <w:right w:val="single" w:sz="4" w:space="0" w:color="auto"/>
            </w:tcBorders>
            <w:shd w:val="clear" w:color="auto" w:fill="auto"/>
            <w:noWrap/>
            <w:vAlign w:val="bottom"/>
            <w:hideMark/>
          </w:tcPr>
          <w:p w:rsidR="00F7120A" w:rsidRPr="00CD6E56" w14:paraId="68A1D704" w14:textId="77777777">
            <w:pPr>
              <w:jc w:val="center"/>
              <w:rPr>
                <w:b/>
                <w:bCs/>
                <w:color w:val="000000"/>
                <w:sz w:val="20"/>
                <w:szCs w:val="20"/>
              </w:rPr>
            </w:pPr>
            <w:r w:rsidRPr="00CD6E56">
              <w:rPr>
                <w:b/>
                <w:bCs/>
                <w:color w:val="000000"/>
                <w:sz w:val="20"/>
                <w:szCs w:val="20"/>
              </w:rPr>
              <w:t>(D)</w:t>
            </w:r>
          </w:p>
        </w:tc>
        <w:tc>
          <w:tcPr>
            <w:tcW w:w="1440" w:type="dxa"/>
            <w:tcBorders>
              <w:top w:val="single" w:sz="4" w:space="0" w:color="auto"/>
              <w:left w:val="nil"/>
              <w:bottom w:val="nil"/>
              <w:right w:val="single" w:sz="4" w:space="0" w:color="auto"/>
            </w:tcBorders>
            <w:shd w:val="clear" w:color="auto" w:fill="auto"/>
            <w:noWrap/>
            <w:vAlign w:val="bottom"/>
            <w:hideMark/>
          </w:tcPr>
          <w:p w:rsidR="00F7120A" w:rsidRPr="00CD6E56" w14:paraId="23C2A29A" w14:textId="77777777">
            <w:pPr>
              <w:jc w:val="center"/>
              <w:rPr>
                <w:b/>
                <w:bCs/>
                <w:color w:val="000000"/>
                <w:sz w:val="20"/>
                <w:szCs w:val="20"/>
              </w:rPr>
            </w:pPr>
            <w:r w:rsidRPr="00CD6E56">
              <w:rPr>
                <w:b/>
                <w:bCs/>
                <w:color w:val="000000"/>
                <w:sz w:val="20"/>
                <w:szCs w:val="20"/>
              </w:rPr>
              <w:t>(E)</w:t>
            </w:r>
          </w:p>
        </w:tc>
        <w:tc>
          <w:tcPr>
            <w:tcW w:w="1350" w:type="dxa"/>
            <w:tcBorders>
              <w:top w:val="single" w:sz="4" w:space="0" w:color="auto"/>
              <w:left w:val="nil"/>
              <w:bottom w:val="nil"/>
              <w:right w:val="single" w:sz="4" w:space="0" w:color="auto"/>
            </w:tcBorders>
            <w:shd w:val="clear" w:color="auto" w:fill="auto"/>
            <w:noWrap/>
            <w:vAlign w:val="bottom"/>
            <w:hideMark/>
          </w:tcPr>
          <w:p w:rsidR="00F7120A" w:rsidRPr="00CD6E56" w14:paraId="7CE4A1DE" w14:textId="77777777">
            <w:pPr>
              <w:jc w:val="center"/>
              <w:rPr>
                <w:b/>
                <w:bCs/>
                <w:color w:val="000000"/>
                <w:sz w:val="20"/>
                <w:szCs w:val="20"/>
              </w:rPr>
            </w:pPr>
            <w:r w:rsidRPr="00CD6E56">
              <w:rPr>
                <w:b/>
                <w:bCs/>
                <w:color w:val="000000"/>
                <w:sz w:val="20"/>
                <w:szCs w:val="20"/>
              </w:rPr>
              <w:t>(F)</w:t>
            </w:r>
          </w:p>
        </w:tc>
        <w:tc>
          <w:tcPr>
            <w:tcW w:w="1170" w:type="dxa"/>
            <w:tcBorders>
              <w:top w:val="single" w:sz="4" w:space="0" w:color="auto"/>
              <w:left w:val="nil"/>
              <w:bottom w:val="nil"/>
              <w:right w:val="single" w:sz="4" w:space="0" w:color="auto"/>
            </w:tcBorders>
            <w:shd w:val="clear" w:color="auto" w:fill="auto"/>
            <w:noWrap/>
            <w:vAlign w:val="bottom"/>
            <w:hideMark/>
          </w:tcPr>
          <w:p w:rsidR="00F7120A" w:rsidRPr="00CD6E56" w14:paraId="6A22BD21" w14:textId="77777777">
            <w:pPr>
              <w:jc w:val="center"/>
              <w:rPr>
                <w:b/>
                <w:bCs/>
                <w:color w:val="000000"/>
                <w:sz w:val="20"/>
                <w:szCs w:val="20"/>
              </w:rPr>
            </w:pPr>
            <w:r w:rsidRPr="00CD6E56">
              <w:rPr>
                <w:b/>
                <w:bCs/>
                <w:color w:val="000000"/>
                <w:sz w:val="20"/>
                <w:szCs w:val="20"/>
              </w:rPr>
              <w:t>(G)</w:t>
            </w:r>
          </w:p>
        </w:tc>
        <w:tc>
          <w:tcPr>
            <w:tcW w:w="1080" w:type="dxa"/>
            <w:tcBorders>
              <w:top w:val="single" w:sz="4" w:space="0" w:color="auto"/>
              <w:left w:val="nil"/>
              <w:bottom w:val="nil"/>
              <w:right w:val="single" w:sz="4" w:space="0" w:color="auto"/>
            </w:tcBorders>
            <w:shd w:val="clear" w:color="auto" w:fill="auto"/>
            <w:noWrap/>
            <w:vAlign w:val="bottom"/>
            <w:hideMark/>
          </w:tcPr>
          <w:p w:rsidR="00F7120A" w:rsidRPr="00CD6E56" w14:paraId="51BE8204" w14:textId="77777777">
            <w:pPr>
              <w:jc w:val="center"/>
              <w:rPr>
                <w:b/>
                <w:bCs/>
                <w:color w:val="000000"/>
                <w:sz w:val="20"/>
                <w:szCs w:val="20"/>
              </w:rPr>
            </w:pPr>
            <w:r w:rsidRPr="00CD6E56">
              <w:rPr>
                <w:b/>
                <w:bCs/>
                <w:color w:val="000000"/>
                <w:sz w:val="20"/>
                <w:szCs w:val="20"/>
              </w:rPr>
              <w:t>(H)</w:t>
            </w:r>
          </w:p>
        </w:tc>
      </w:tr>
      <w:tr w14:paraId="2E8C56E2" w14:textId="77777777">
        <w:tblPrEx>
          <w:tblW w:w="14215" w:type="dxa"/>
          <w:jc w:val="center"/>
          <w:tblLook w:val="04A0"/>
        </w:tblPrEx>
        <w:trPr>
          <w:trHeight w:val="1275"/>
          <w:jc w:val="center"/>
        </w:trPr>
        <w:tc>
          <w:tcPr>
            <w:tcW w:w="4225" w:type="dxa"/>
            <w:tcBorders>
              <w:top w:val="nil"/>
              <w:left w:val="single" w:sz="4" w:space="0" w:color="auto"/>
              <w:bottom w:val="single" w:sz="4" w:space="0" w:color="auto"/>
              <w:right w:val="single" w:sz="4" w:space="0" w:color="auto"/>
            </w:tcBorders>
            <w:shd w:val="clear" w:color="auto" w:fill="auto"/>
            <w:vAlign w:val="bottom"/>
            <w:hideMark/>
          </w:tcPr>
          <w:p w:rsidR="00F7120A" w:rsidRPr="00CD6E56" w14:paraId="3F339816" w14:textId="77777777">
            <w:pPr>
              <w:rPr>
                <w:b/>
                <w:bCs/>
                <w:color w:val="000000"/>
                <w:sz w:val="20"/>
                <w:szCs w:val="20"/>
              </w:rPr>
            </w:pPr>
            <w:r w:rsidRPr="00CD6E56">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7120A" w:rsidRPr="00CD6E56" w14:paraId="395E476E" w14:textId="77777777">
            <w:pPr>
              <w:jc w:val="center"/>
              <w:rPr>
                <w:b/>
                <w:bCs/>
                <w:color w:val="000000"/>
                <w:sz w:val="20"/>
                <w:szCs w:val="20"/>
              </w:rPr>
            </w:pPr>
            <w:r w:rsidRPr="00CD6E56">
              <w:rPr>
                <w:b/>
                <w:bCs/>
                <w:color w:val="000000"/>
                <w:sz w:val="20"/>
                <w:szCs w:val="20"/>
              </w:rPr>
              <w:t>EPA person-hours per occurrence</w:t>
            </w:r>
          </w:p>
        </w:tc>
        <w:tc>
          <w:tcPr>
            <w:tcW w:w="1350" w:type="dxa"/>
            <w:tcBorders>
              <w:top w:val="nil"/>
              <w:left w:val="nil"/>
              <w:bottom w:val="single" w:sz="4" w:space="0" w:color="auto"/>
              <w:right w:val="single" w:sz="4" w:space="0" w:color="auto"/>
            </w:tcBorders>
            <w:shd w:val="clear" w:color="auto" w:fill="auto"/>
            <w:vAlign w:val="center"/>
            <w:hideMark/>
          </w:tcPr>
          <w:p w:rsidR="00F7120A" w:rsidRPr="00CD6E56" w14:paraId="70E70CB7" w14:textId="77777777">
            <w:pPr>
              <w:jc w:val="center"/>
              <w:rPr>
                <w:b/>
                <w:bCs/>
                <w:color w:val="000000"/>
                <w:sz w:val="20"/>
                <w:szCs w:val="20"/>
              </w:rPr>
            </w:pPr>
            <w:r w:rsidRPr="00CD6E56">
              <w:rPr>
                <w:b/>
                <w:bCs/>
                <w:color w:val="000000"/>
                <w:sz w:val="20"/>
                <w:szCs w:val="20"/>
              </w:rPr>
              <w:t>No</w:t>
            </w:r>
            <w:r w:rsidRPr="00CD6E56">
              <w:rPr>
                <w:b/>
                <w:bCs/>
                <w:color w:val="000000"/>
                <w:sz w:val="20"/>
                <w:szCs w:val="20"/>
              </w:rPr>
              <w:t>. of</w:t>
            </w:r>
            <w:r w:rsidRPr="00CD6E56">
              <w:rPr>
                <w:b/>
                <w:bCs/>
                <w:color w:val="000000"/>
                <w:sz w:val="20"/>
                <w:szCs w:val="20"/>
              </w:rPr>
              <w:t xml:space="preserve"> occurrences per plant per year</w:t>
            </w:r>
          </w:p>
        </w:tc>
        <w:tc>
          <w:tcPr>
            <w:tcW w:w="1350" w:type="dxa"/>
            <w:tcBorders>
              <w:top w:val="nil"/>
              <w:left w:val="nil"/>
              <w:bottom w:val="single" w:sz="4" w:space="0" w:color="auto"/>
              <w:right w:val="single" w:sz="4" w:space="0" w:color="auto"/>
            </w:tcBorders>
            <w:shd w:val="clear" w:color="auto" w:fill="auto"/>
            <w:vAlign w:val="center"/>
            <w:hideMark/>
          </w:tcPr>
          <w:p w:rsidR="00F7120A" w:rsidRPr="00CD6E56" w14:paraId="6ADFCCCD" w14:textId="77777777">
            <w:pPr>
              <w:jc w:val="center"/>
              <w:rPr>
                <w:b/>
                <w:bCs/>
                <w:color w:val="000000"/>
                <w:sz w:val="20"/>
                <w:szCs w:val="20"/>
              </w:rPr>
            </w:pPr>
            <w:r w:rsidRPr="00CD6E56">
              <w:rPr>
                <w:b/>
                <w:bCs/>
                <w:color w:val="000000"/>
                <w:sz w:val="20"/>
                <w:szCs w:val="20"/>
              </w:rPr>
              <w:t xml:space="preserve">EPA </w:t>
            </w:r>
            <w:r w:rsidRPr="00CD6E56">
              <w:rPr>
                <w:b/>
                <w:bCs/>
                <w:color w:val="000000"/>
                <w:sz w:val="20"/>
                <w:szCs w:val="20"/>
              </w:rPr>
              <w:t>person-hours</w:t>
            </w:r>
            <w:r w:rsidRPr="00CD6E56">
              <w:rPr>
                <w:b/>
                <w:bCs/>
                <w:color w:val="000000"/>
                <w:sz w:val="20"/>
                <w:szCs w:val="20"/>
              </w:rPr>
              <w:t xml:space="preserve"> per plant per year (C=</w:t>
            </w:r>
            <w:r w:rsidRPr="00CD6E56">
              <w:rPr>
                <w:b/>
                <w:bCs/>
                <w:color w:val="000000"/>
                <w:sz w:val="20"/>
                <w:szCs w:val="20"/>
              </w:rPr>
              <w:t>AxB</w:t>
            </w:r>
            <w:r w:rsidRPr="00CD6E56">
              <w:rPr>
                <w:b/>
                <w:bCs/>
                <w:color w:val="000000"/>
                <w:sz w:val="20"/>
                <w:szCs w:val="20"/>
              </w:rPr>
              <w:t>)</w:t>
            </w:r>
          </w:p>
        </w:tc>
        <w:tc>
          <w:tcPr>
            <w:tcW w:w="900" w:type="dxa"/>
            <w:tcBorders>
              <w:top w:val="nil"/>
              <w:left w:val="nil"/>
              <w:bottom w:val="single" w:sz="4" w:space="0" w:color="auto"/>
              <w:right w:val="single" w:sz="4" w:space="0" w:color="auto"/>
            </w:tcBorders>
            <w:shd w:val="clear" w:color="auto" w:fill="auto"/>
            <w:vAlign w:val="center"/>
            <w:hideMark/>
          </w:tcPr>
          <w:p w:rsidR="00F7120A" w:rsidRPr="00CD6E56" w14:paraId="26C0CC49" w14:textId="77777777">
            <w:pPr>
              <w:jc w:val="center"/>
              <w:rPr>
                <w:b/>
                <w:bCs/>
                <w:color w:val="000000"/>
                <w:sz w:val="20"/>
                <w:szCs w:val="20"/>
              </w:rPr>
            </w:pPr>
            <w:r w:rsidRPr="00CD6E56">
              <w:rPr>
                <w:b/>
                <w:bCs/>
                <w:color w:val="000000"/>
                <w:sz w:val="20"/>
                <w:szCs w:val="20"/>
              </w:rPr>
              <w:t>Plants per year</w:t>
            </w:r>
            <w:r>
              <w:rPr>
                <w:b/>
                <w:bCs/>
                <w:color w:val="000000"/>
                <w:sz w:val="20"/>
                <w:szCs w:val="20"/>
              </w:rPr>
              <w:t xml:space="preserve"> </w:t>
            </w:r>
            <w:r w:rsidRPr="00CD6E56">
              <w:rPr>
                <w:b/>
                <w:bCs/>
                <w:color w:val="000000"/>
                <w:sz w:val="20"/>
                <w:szCs w:val="20"/>
                <w:vertAlign w:val="superscript"/>
              </w:rPr>
              <w:t>a</w:t>
            </w:r>
          </w:p>
        </w:tc>
        <w:tc>
          <w:tcPr>
            <w:tcW w:w="1440" w:type="dxa"/>
            <w:tcBorders>
              <w:top w:val="nil"/>
              <w:left w:val="nil"/>
              <w:bottom w:val="single" w:sz="4" w:space="0" w:color="auto"/>
              <w:right w:val="single" w:sz="4" w:space="0" w:color="auto"/>
            </w:tcBorders>
            <w:shd w:val="clear" w:color="auto" w:fill="auto"/>
            <w:vAlign w:val="center"/>
            <w:hideMark/>
          </w:tcPr>
          <w:p w:rsidR="00F7120A" w:rsidRPr="00CD6E56" w14:paraId="4D69D114" w14:textId="77777777">
            <w:pPr>
              <w:jc w:val="center"/>
              <w:rPr>
                <w:b/>
                <w:bCs/>
                <w:color w:val="000000"/>
                <w:sz w:val="20"/>
                <w:szCs w:val="20"/>
              </w:rPr>
            </w:pPr>
            <w:r w:rsidRPr="00CD6E56">
              <w:rPr>
                <w:b/>
                <w:bCs/>
                <w:color w:val="000000"/>
                <w:sz w:val="20"/>
                <w:szCs w:val="20"/>
              </w:rPr>
              <w:t>Technical person-hours per year (E=</w:t>
            </w:r>
            <w:r w:rsidRPr="00CD6E56">
              <w:rPr>
                <w:b/>
                <w:bCs/>
                <w:color w:val="000000"/>
                <w:sz w:val="20"/>
                <w:szCs w:val="20"/>
              </w:rPr>
              <w:t>CxD</w:t>
            </w:r>
            <w:r w:rsidRPr="00CD6E56">
              <w:rPr>
                <w:b/>
                <w:bCs/>
                <w:color w:val="000000"/>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rsidR="00F7120A" w:rsidRPr="00CD6E56" w14:paraId="6F86CDD2" w14:textId="77777777">
            <w:pPr>
              <w:jc w:val="center"/>
              <w:rPr>
                <w:b/>
                <w:bCs/>
                <w:color w:val="000000"/>
                <w:sz w:val="20"/>
                <w:szCs w:val="20"/>
              </w:rPr>
            </w:pPr>
            <w:r w:rsidRPr="00CD6E56">
              <w:rPr>
                <w:b/>
                <w:bCs/>
                <w:color w:val="000000"/>
                <w:sz w:val="20"/>
                <w:szCs w:val="20"/>
              </w:rPr>
              <w:t>Management person-hours per year (Ex0.05)</w:t>
            </w:r>
          </w:p>
        </w:tc>
        <w:tc>
          <w:tcPr>
            <w:tcW w:w="1170" w:type="dxa"/>
            <w:tcBorders>
              <w:top w:val="nil"/>
              <w:left w:val="nil"/>
              <w:bottom w:val="single" w:sz="4" w:space="0" w:color="auto"/>
              <w:right w:val="single" w:sz="4" w:space="0" w:color="auto"/>
            </w:tcBorders>
            <w:shd w:val="clear" w:color="auto" w:fill="auto"/>
            <w:vAlign w:val="center"/>
            <w:hideMark/>
          </w:tcPr>
          <w:p w:rsidR="00F7120A" w:rsidRPr="00CD6E56" w14:paraId="2192DE29" w14:textId="77777777">
            <w:pPr>
              <w:jc w:val="center"/>
              <w:rPr>
                <w:b/>
                <w:bCs/>
                <w:color w:val="000000"/>
                <w:sz w:val="20"/>
                <w:szCs w:val="20"/>
              </w:rPr>
            </w:pPr>
            <w:r w:rsidRPr="00CD6E56">
              <w:rPr>
                <w:b/>
                <w:bCs/>
                <w:color w:val="000000"/>
                <w:sz w:val="20"/>
                <w:szCs w:val="20"/>
              </w:rPr>
              <w:t>Clerical person-hours per year (Ex0.1)</w:t>
            </w:r>
          </w:p>
        </w:tc>
        <w:tc>
          <w:tcPr>
            <w:tcW w:w="1080" w:type="dxa"/>
            <w:tcBorders>
              <w:top w:val="nil"/>
              <w:left w:val="nil"/>
              <w:bottom w:val="single" w:sz="4" w:space="0" w:color="auto"/>
              <w:right w:val="single" w:sz="4" w:space="0" w:color="auto"/>
            </w:tcBorders>
            <w:shd w:val="clear" w:color="auto" w:fill="auto"/>
            <w:vAlign w:val="center"/>
            <w:hideMark/>
          </w:tcPr>
          <w:p w:rsidR="00F7120A" w:rsidRPr="00CD6E56" w14:paraId="1A61A1E4" w14:textId="77777777">
            <w:pPr>
              <w:jc w:val="center"/>
              <w:rPr>
                <w:b/>
                <w:bCs/>
                <w:color w:val="000000"/>
                <w:sz w:val="20"/>
                <w:szCs w:val="20"/>
              </w:rPr>
            </w:pPr>
            <w:r w:rsidRPr="00CD6E56">
              <w:rPr>
                <w:b/>
                <w:bCs/>
                <w:color w:val="000000"/>
                <w:sz w:val="20"/>
                <w:szCs w:val="20"/>
              </w:rPr>
              <w:t xml:space="preserve">Total Cost per year, $ </w:t>
            </w:r>
            <w:r w:rsidRPr="00CD6E56">
              <w:rPr>
                <w:b/>
                <w:bCs/>
                <w:color w:val="000000"/>
                <w:sz w:val="20"/>
                <w:szCs w:val="20"/>
                <w:vertAlign w:val="superscript"/>
              </w:rPr>
              <w:t>b</w:t>
            </w:r>
          </w:p>
        </w:tc>
      </w:tr>
      <w:tr w14:paraId="0187EF9F" w14:textId="77777777">
        <w:tblPrEx>
          <w:tblW w:w="14215" w:type="dxa"/>
          <w:jc w:val="center"/>
          <w:tblLook w:val="04A0"/>
        </w:tblPrEx>
        <w:trPr>
          <w:trHeight w:val="33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58EDF8A3" w14:textId="77777777">
            <w:pPr>
              <w:rPr>
                <w:color w:val="000000"/>
                <w:sz w:val="20"/>
                <w:szCs w:val="20"/>
              </w:rPr>
            </w:pPr>
            <w:r w:rsidRPr="00CD6E56">
              <w:rPr>
                <w:color w:val="000000"/>
                <w:sz w:val="20"/>
                <w:szCs w:val="20"/>
              </w:rPr>
              <w:t>Attend initial performance test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4FED" w:rsidRPr="00CD6E56" w:rsidP="00B44FED" w14:paraId="3C686B91" w14:textId="2CEEFE08">
            <w:pPr>
              <w:jc w:val="center"/>
              <w:rPr>
                <w:color w:val="000000"/>
                <w:sz w:val="20"/>
                <w:szCs w:val="20"/>
              </w:rPr>
            </w:pPr>
            <w:r>
              <w:rPr>
                <w:color w:val="000000"/>
                <w:sz w:val="20"/>
                <w:szCs w:val="20"/>
              </w:rPr>
              <w:t>48</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B44FED" w:rsidRPr="00CD6E56" w:rsidP="00B44FED" w14:paraId="0CF3782A" w14:textId="3F6B243E">
            <w:pPr>
              <w:jc w:val="center"/>
              <w:rPr>
                <w:color w:val="000000"/>
                <w:sz w:val="20"/>
                <w:szCs w:val="20"/>
              </w:rPr>
            </w:pPr>
            <w:r>
              <w:rPr>
                <w:color w:val="000000"/>
                <w:sz w:val="20"/>
                <w:szCs w:val="20"/>
              </w:rPr>
              <w:t>1</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B44FED" w:rsidRPr="00CD6E56" w:rsidP="00B44FED" w14:paraId="7355989B" w14:textId="79FAD2EE">
            <w:pPr>
              <w:jc w:val="center"/>
              <w:rPr>
                <w:color w:val="000000"/>
                <w:sz w:val="20"/>
                <w:szCs w:val="20"/>
              </w:rPr>
            </w:pPr>
            <w:r>
              <w:rPr>
                <w:color w:val="000000"/>
                <w:sz w:val="20"/>
                <w:szCs w:val="20"/>
              </w:rPr>
              <w:t>48</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B44FED" w:rsidRPr="00CD6E56" w:rsidP="00B44FED" w14:paraId="35CC58BD" w14:textId="56E64578">
            <w:pPr>
              <w:jc w:val="center"/>
              <w:rPr>
                <w:color w:val="000000"/>
                <w:sz w:val="20"/>
                <w:szCs w:val="20"/>
              </w:rPr>
            </w:pPr>
            <w:r>
              <w:rPr>
                <w:color w:val="000000"/>
                <w:sz w:val="20"/>
                <w:szCs w:val="20"/>
              </w:rPr>
              <w:t>1.8</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B44FED" w:rsidRPr="00CD6E56" w:rsidP="00B44FED" w14:paraId="7B7509D2" w14:textId="43CAF289">
            <w:pPr>
              <w:jc w:val="center"/>
              <w:rPr>
                <w:color w:val="000000"/>
                <w:sz w:val="20"/>
                <w:szCs w:val="20"/>
              </w:rPr>
            </w:pPr>
            <w:r>
              <w:rPr>
                <w:color w:val="000000"/>
                <w:sz w:val="20"/>
                <w:szCs w:val="20"/>
              </w:rPr>
              <w:t>86.4</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B44FED" w:rsidRPr="00CD6E56" w:rsidP="00B44FED" w14:paraId="5406C236" w14:textId="052B6E30">
            <w:pPr>
              <w:jc w:val="center"/>
              <w:rPr>
                <w:color w:val="000000"/>
                <w:sz w:val="20"/>
                <w:szCs w:val="20"/>
              </w:rPr>
            </w:pPr>
            <w:r>
              <w:rPr>
                <w:color w:val="000000"/>
                <w:sz w:val="20"/>
                <w:szCs w:val="20"/>
              </w:rPr>
              <w:t>4.32</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B44FED" w:rsidRPr="00CD6E56" w:rsidP="00B44FED" w14:paraId="22557473" w14:textId="163DB86F">
            <w:pPr>
              <w:jc w:val="center"/>
              <w:rPr>
                <w:color w:val="000000"/>
                <w:sz w:val="20"/>
                <w:szCs w:val="20"/>
              </w:rPr>
            </w:pPr>
            <w:r>
              <w:rPr>
                <w:color w:val="000000"/>
                <w:sz w:val="20"/>
                <w:szCs w:val="20"/>
              </w:rPr>
              <w:t>8.64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B44FED" w:rsidRPr="00CD6E56" w:rsidP="00B44FED" w14:paraId="436129A8" w14:textId="1F5A1C2A">
            <w:pPr>
              <w:jc w:val="right"/>
              <w:rPr>
                <w:color w:val="000000"/>
                <w:sz w:val="20"/>
                <w:szCs w:val="20"/>
              </w:rPr>
            </w:pPr>
            <w:r>
              <w:rPr>
                <w:color w:val="000000"/>
                <w:sz w:val="20"/>
                <w:szCs w:val="20"/>
              </w:rPr>
              <w:t xml:space="preserve">$5,530 </w:t>
            </w:r>
          </w:p>
        </w:tc>
      </w:tr>
      <w:tr w14:paraId="7F87EA23" w14:textId="77777777">
        <w:tblPrEx>
          <w:tblW w:w="14215" w:type="dxa"/>
          <w:jc w:val="center"/>
          <w:tblLook w:val="04A0"/>
        </w:tblPrEx>
        <w:trPr>
          <w:trHeight w:val="33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57005537" w14:textId="77777777">
            <w:pPr>
              <w:rPr>
                <w:color w:val="000000"/>
                <w:sz w:val="20"/>
                <w:szCs w:val="20"/>
              </w:rPr>
            </w:pPr>
            <w:r w:rsidRPr="00CD6E56">
              <w:rPr>
                <w:color w:val="000000"/>
                <w:sz w:val="20"/>
                <w:szCs w:val="20"/>
              </w:rPr>
              <w:t>Attend repeat performance test</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42D21080" w14:textId="4C43338E">
            <w:pPr>
              <w:rPr>
                <w:rFonts w:ascii="Calibri" w:hAnsi="Calibri" w:cs="Calibri"/>
                <w:color w:val="000000"/>
              </w:rPr>
            </w:pPr>
            <w:r>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0FCFC490" w14:textId="0FF604BE">
            <w:pPr>
              <w:rPr>
                <w:rFonts w:ascii="Calibri" w:hAnsi="Calibri" w:cs="Calibri"/>
                <w:color w:val="000000"/>
              </w:rPr>
            </w:pPr>
            <w:r>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30B4756C" w14:textId="39B1AC12">
            <w:pPr>
              <w:rPr>
                <w:rFonts w:ascii="Calibri" w:hAnsi="Calibri" w:cs="Calibri"/>
                <w:color w:val="000000"/>
              </w:rPr>
            </w:pPr>
            <w:r>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1609710D" w14:textId="0A4D4B31">
            <w:pPr>
              <w:rPr>
                <w:rFonts w:ascii="Calibri" w:hAnsi="Calibri" w:cs="Calibri"/>
                <w:color w:val="000000"/>
              </w:rPr>
            </w:pPr>
            <w:r>
              <w:rPr>
                <w:rFonts w:ascii="Calibri" w:hAnsi="Calibri" w:cs="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0342B7C6" w14:textId="064CE043">
            <w:pPr>
              <w:rPr>
                <w:rFonts w:ascii="Calibri" w:hAnsi="Calibri" w:cs="Calibri"/>
                <w:color w:val="000000"/>
              </w:rPr>
            </w:pPr>
            <w:r>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3190D550" w14:textId="27E7D933">
            <w:pPr>
              <w:rPr>
                <w:rFonts w:ascii="Calibri" w:hAnsi="Calibri" w:cs="Calibri"/>
                <w:color w:val="000000"/>
              </w:rPr>
            </w:pPr>
            <w:r>
              <w:rPr>
                <w:rFonts w:ascii="Calibri" w:hAnsi="Calibri"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1C542241" w14:textId="62C71718">
            <w:pPr>
              <w:rPr>
                <w:rFonts w:ascii="Calibri" w:hAnsi="Calibri" w:cs="Calibri"/>
                <w:color w:val="000000"/>
              </w:rPr>
            </w:pPr>
            <w:r>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62B2C6F7" w14:textId="194A3F76">
            <w:pPr>
              <w:jc w:val="right"/>
              <w:rPr>
                <w:color w:val="000000"/>
                <w:sz w:val="20"/>
                <w:szCs w:val="20"/>
              </w:rPr>
            </w:pPr>
            <w:r>
              <w:rPr>
                <w:color w:val="000000"/>
                <w:sz w:val="20"/>
                <w:szCs w:val="20"/>
              </w:rPr>
              <w:t> </w:t>
            </w:r>
          </w:p>
        </w:tc>
      </w:tr>
      <w:tr w14:paraId="2DA070D4" w14:textId="77777777">
        <w:tblPrEx>
          <w:tblW w:w="14215" w:type="dxa"/>
          <w:jc w:val="center"/>
          <w:tblLook w:val="04A0"/>
        </w:tblPrEx>
        <w:trPr>
          <w:trHeight w:val="33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1C2E3CF3" w14:textId="77777777">
            <w:pPr>
              <w:rPr>
                <w:color w:val="000000"/>
                <w:sz w:val="20"/>
                <w:szCs w:val="20"/>
              </w:rPr>
            </w:pPr>
            <w:r w:rsidRPr="00CD6E56">
              <w:rPr>
                <w:color w:val="000000"/>
                <w:sz w:val="20"/>
                <w:szCs w:val="20"/>
              </w:rPr>
              <w:t>Retesting preparation</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34E4F00C" w14:textId="27697105">
            <w:pPr>
              <w:jc w:val="center"/>
              <w:rPr>
                <w:color w:val="000000"/>
                <w:sz w:val="20"/>
                <w:szCs w:val="20"/>
              </w:rPr>
            </w:pPr>
            <w:r>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4DD9D7EC" w14:textId="0799CB0B">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393D513A" w14:textId="06D1BB27">
            <w:pPr>
              <w:jc w:val="center"/>
              <w:rPr>
                <w:color w:val="000000"/>
                <w:sz w:val="20"/>
                <w:szCs w:val="20"/>
              </w:rPr>
            </w:pPr>
            <w:r>
              <w:rPr>
                <w:color w:val="000000"/>
                <w:sz w:val="20"/>
                <w:szCs w:val="20"/>
              </w:rPr>
              <w:t>8</w:t>
            </w:r>
          </w:p>
        </w:tc>
        <w:tc>
          <w:tcPr>
            <w:tcW w:w="90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0061E568" w14:textId="678CA5A1">
            <w:pPr>
              <w:jc w:val="center"/>
              <w:rPr>
                <w:color w:val="000000"/>
                <w:sz w:val="20"/>
                <w:szCs w:val="20"/>
              </w:rPr>
            </w:pPr>
            <w:r>
              <w:rPr>
                <w:color w:val="000000"/>
                <w:sz w:val="20"/>
                <w:szCs w:val="20"/>
              </w:rPr>
              <w:t>0.2</w:t>
            </w:r>
          </w:p>
        </w:tc>
        <w:tc>
          <w:tcPr>
            <w:tcW w:w="144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46AA7743" w14:textId="369D1C41">
            <w:pPr>
              <w:jc w:val="center"/>
              <w:rPr>
                <w:color w:val="000000"/>
                <w:sz w:val="20"/>
                <w:szCs w:val="20"/>
              </w:rPr>
            </w:pPr>
            <w:r>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14AE0CD3" w14:textId="0BE17790">
            <w:pPr>
              <w:jc w:val="center"/>
              <w:rPr>
                <w:color w:val="000000"/>
                <w:sz w:val="20"/>
                <w:szCs w:val="20"/>
              </w:rPr>
            </w:pPr>
            <w:r>
              <w:rPr>
                <w:color w:val="000000"/>
                <w:sz w:val="20"/>
                <w:szCs w:val="20"/>
              </w:rPr>
              <w:t>0.08</w:t>
            </w:r>
          </w:p>
        </w:tc>
        <w:tc>
          <w:tcPr>
            <w:tcW w:w="117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742EC773" w14:textId="1FF046B6">
            <w:pPr>
              <w:jc w:val="center"/>
              <w:rPr>
                <w:color w:val="000000"/>
                <w:sz w:val="20"/>
                <w:szCs w:val="20"/>
              </w:rPr>
            </w:pPr>
            <w:r>
              <w:rPr>
                <w:color w:val="000000"/>
                <w:sz w:val="20"/>
                <w:szCs w:val="20"/>
              </w:rPr>
              <w:t>0.16</w:t>
            </w:r>
          </w:p>
        </w:tc>
        <w:tc>
          <w:tcPr>
            <w:tcW w:w="108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41A68DF3" w14:textId="1B38A9C5">
            <w:pPr>
              <w:jc w:val="right"/>
              <w:rPr>
                <w:color w:val="000000"/>
                <w:sz w:val="20"/>
                <w:szCs w:val="20"/>
              </w:rPr>
            </w:pPr>
            <w:r>
              <w:rPr>
                <w:color w:val="000000"/>
                <w:sz w:val="20"/>
                <w:szCs w:val="20"/>
              </w:rPr>
              <w:t xml:space="preserve">$102 </w:t>
            </w:r>
          </w:p>
        </w:tc>
      </w:tr>
      <w:tr w14:paraId="4F4C5E15" w14:textId="77777777">
        <w:tblPrEx>
          <w:tblW w:w="14215" w:type="dxa"/>
          <w:jc w:val="center"/>
          <w:tblLook w:val="04A0"/>
        </w:tblPrEx>
        <w:trPr>
          <w:trHeight w:val="33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7F154EC7" w14:textId="77777777">
            <w:pPr>
              <w:rPr>
                <w:color w:val="000000"/>
                <w:sz w:val="20"/>
                <w:szCs w:val="20"/>
              </w:rPr>
            </w:pPr>
            <w:r w:rsidRPr="00CD6E56">
              <w:rPr>
                <w:color w:val="000000"/>
                <w:sz w:val="20"/>
                <w:szCs w:val="20"/>
              </w:rPr>
              <w:t>Retesting</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6F7C195B" w14:textId="0AC64A88">
            <w:pPr>
              <w:jc w:val="center"/>
              <w:rPr>
                <w:color w:val="000000"/>
                <w:sz w:val="20"/>
                <w:szCs w:val="20"/>
              </w:rPr>
            </w:pPr>
            <w:r>
              <w:rPr>
                <w:color w:val="000000"/>
                <w:sz w:val="20"/>
                <w:szCs w:val="20"/>
              </w:rPr>
              <w:t>20</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06E5BC03" w14:textId="700147D2">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366A6D9F" w14:textId="6FC8076A">
            <w:pPr>
              <w:jc w:val="center"/>
              <w:rPr>
                <w:color w:val="000000"/>
                <w:sz w:val="20"/>
                <w:szCs w:val="20"/>
              </w:rPr>
            </w:pPr>
            <w:r>
              <w:rPr>
                <w:color w:val="000000"/>
                <w:sz w:val="20"/>
                <w:szCs w:val="20"/>
              </w:rPr>
              <w:t>20</w:t>
            </w:r>
          </w:p>
        </w:tc>
        <w:tc>
          <w:tcPr>
            <w:tcW w:w="90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2BFC3EE2" w14:textId="6614CBC3">
            <w:pPr>
              <w:jc w:val="center"/>
              <w:rPr>
                <w:color w:val="000000"/>
                <w:sz w:val="20"/>
                <w:szCs w:val="20"/>
              </w:rPr>
            </w:pPr>
            <w:r>
              <w:rPr>
                <w:color w:val="000000"/>
                <w:sz w:val="20"/>
                <w:szCs w:val="20"/>
              </w:rPr>
              <w:t>0.2</w:t>
            </w:r>
          </w:p>
        </w:tc>
        <w:tc>
          <w:tcPr>
            <w:tcW w:w="144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070540F1" w14:textId="3041CFDF">
            <w:pPr>
              <w:jc w:val="center"/>
              <w:rPr>
                <w:color w:val="000000"/>
                <w:sz w:val="20"/>
                <w:szCs w:val="20"/>
              </w:rPr>
            </w:pPr>
            <w:r>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6F99130C" w14:textId="420EA954">
            <w:pPr>
              <w:jc w:val="center"/>
              <w:rPr>
                <w:color w:val="000000"/>
                <w:sz w:val="20"/>
                <w:szCs w:val="20"/>
              </w:rPr>
            </w:pPr>
            <w:r>
              <w:rPr>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5E7CA7B9" w14:textId="7E51977B">
            <w:pPr>
              <w:jc w:val="center"/>
              <w:rPr>
                <w:color w:val="000000"/>
                <w:sz w:val="20"/>
                <w:szCs w:val="20"/>
              </w:rPr>
            </w:pPr>
            <w:r>
              <w:rPr>
                <w:color w:val="000000"/>
                <w:sz w:val="20"/>
                <w:szCs w:val="20"/>
              </w:rPr>
              <w:t>0.4</w:t>
            </w:r>
          </w:p>
        </w:tc>
        <w:tc>
          <w:tcPr>
            <w:tcW w:w="108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6F3B417D" w14:textId="339DB975">
            <w:pPr>
              <w:jc w:val="right"/>
              <w:rPr>
                <w:color w:val="000000"/>
                <w:sz w:val="20"/>
                <w:szCs w:val="20"/>
              </w:rPr>
            </w:pPr>
            <w:r>
              <w:rPr>
                <w:color w:val="000000"/>
                <w:sz w:val="20"/>
                <w:szCs w:val="20"/>
              </w:rPr>
              <w:t xml:space="preserve">$256 </w:t>
            </w:r>
          </w:p>
        </w:tc>
      </w:tr>
      <w:tr w14:paraId="60ED0BC1" w14:textId="77777777">
        <w:tblPrEx>
          <w:tblW w:w="14215" w:type="dxa"/>
          <w:jc w:val="center"/>
          <w:tblLook w:val="04A0"/>
        </w:tblPrEx>
        <w:trPr>
          <w:trHeight w:val="33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3FC22744" w14:textId="77777777">
            <w:pPr>
              <w:rPr>
                <w:color w:val="000000"/>
                <w:sz w:val="20"/>
                <w:szCs w:val="20"/>
              </w:rPr>
            </w:pPr>
            <w:r w:rsidRPr="00CD6E56">
              <w:rPr>
                <w:color w:val="000000"/>
                <w:sz w:val="20"/>
                <w:szCs w:val="20"/>
              </w:rPr>
              <w:t>Report review</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16693B2A" w14:textId="74C217AB">
            <w:pPr>
              <w:rPr>
                <w:rFonts w:ascii="Calibri" w:hAnsi="Calibri" w:cs="Calibri"/>
                <w:color w:val="000000"/>
              </w:rPr>
            </w:pPr>
            <w:r>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5E0F7D78" w14:textId="510775F1">
            <w:pPr>
              <w:rPr>
                <w:rFonts w:ascii="Calibri" w:hAnsi="Calibri" w:cs="Calibri"/>
                <w:color w:val="000000"/>
              </w:rPr>
            </w:pPr>
            <w:r>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134D3BD0" w14:textId="2AC01207">
            <w:pPr>
              <w:rPr>
                <w:rFonts w:ascii="Calibri" w:hAnsi="Calibri" w:cs="Calibri"/>
                <w:color w:val="000000"/>
              </w:rPr>
            </w:pPr>
            <w:r>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14FC5E87" w14:textId="4B4492B2">
            <w:pPr>
              <w:rPr>
                <w:rFonts w:ascii="Calibri" w:hAnsi="Calibri" w:cs="Calibri"/>
                <w:color w:val="000000"/>
              </w:rPr>
            </w:pPr>
            <w:r>
              <w:rPr>
                <w:rFonts w:ascii="Calibri" w:hAnsi="Calibri" w:cs="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30C30ADB" w14:textId="7DFA8B48">
            <w:pPr>
              <w:rPr>
                <w:rFonts w:ascii="Calibri" w:hAnsi="Calibri" w:cs="Calibri"/>
                <w:color w:val="000000"/>
              </w:rPr>
            </w:pPr>
            <w:r>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458434AC" w14:textId="100317C3">
            <w:pPr>
              <w:rPr>
                <w:rFonts w:ascii="Calibri" w:hAnsi="Calibri" w:cs="Calibri"/>
                <w:color w:val="000000"/>
              </w:rPr>
            </w:pPr>
            <w:r>
              <w:rPr>
                <w:rFonts w:ascii="Calibri" w:hAnsi="Calibri"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7BE57E67" w14:textId="397B354B">
            <w:pPr>
              <w:rPr>
                <w:rFonts w:ascii="Calibri" w:hAnsi="Calibri" w:cs="Calibri"/>
                <w:color w:val="000000"/>
              </w:rPr>
            </w:pPr>
            <w:r>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2E2F200B" w14:textId="25D39B4D">
            <w:pPr>
              <w:jc w:val="right"/>
              <w:rPr>
                <w:color w:val="000000"/>
                <w:sz w:val="20"/>
                <w:szCs w:val="20"/>
              </w:rPr>
            </w:pPr>
            <w:r>
              <w:rPr>
                <w:color w:val="000000"/>
                <w:sz w:val="20"/>
                <w:szCs w:val="20"/>
              </w:rPr>
              <w:t> </w:t>
            </w:r>
          </w:p>
        </w:tc>
      </w:tr>
      <w:tr w14:paraId="18343608" w14:textId="77777777">
        <w:tblPrEx>
          <w:tblW w:w="14215" w:type="dxa"/>
          <w:jc w:val="center"/>
          <w:tblLook w:val="04A0"/>
        </w:tblPrEx>
        <w:trPr>
          <w:trHeight w:val="33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00E8C914" w14:textId="77777777">
            <w:pPr>
              <w:ind w:firstLine="400" w:firstLineChars="200"/>
              <w:rPr>
                <w:color w:val="000000"/>
                <w:sz w:val="20"/>
                <w:szCs w:val="20"/>
              </w:rPr>
            </w:pPr>
            <w:r w:rsidRPr="00CD6E56">
              <w:rPr>
                <w:color w:val="000000"/>
                <w:sz w:val="20"/>
                <w:szCs w:val="20"/>
              </w:rPr>
              <w:t>Notification of applicability</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7D76AF32" w14:textId="1EFAF907">
            <w:pPr>
              <w:jc w:val="center"/>
              <w:rPr>
                <w:color w:val="000000"/>
                <w:sz w:val="20"/>
                <w:szCs w:val="20"/>
              </w:rPr>
            </w:pPr>
            <w:r>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4D2C1470" w14:textId="5F6B9B99">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2F18FB0F" w14:textId="486CA096">
            <w:pPr>
              <w:jc w:val="center"/>
              <w:rPr>
                <w:color w:val="000000"/>
                <w:sz w:val="20"/>
                <w:szCs w:val="20"/>
              </w:rPr>
            </w:pPr>
            <w:r>
              <w:rPr>
                <w:color w:val="000000"/>
                <w:sz w:val="20"/>
                <w:szCs w:val="20"/>
              </w:rPr>
              <w:t>2</w:t>
            </w:r>
          </w:p>
        </w:tc>
        <w:tc>
          <w:tcPr>
            <w:tcW w:w="90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6C643747" w14:textId="2706F913">
            <w:pPr>
              <w:jc w:val="center"/>
              <w:rPr>
                <w:color w:val="000000"/>
                <w:sz w:val="20"/>
                <w:szCs w:val="20"/>
              </w:rPr>
            </w:pPr>
            <w:r>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5BA98DE9" w14:textId="5497A134">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12B60BDF" w14:textId="01129045">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6CF236E3" w14:textId="58BD053B">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23308A3E" w14:textId="1F21C00D">
            <w:pPr>
              <w:jc w:val="right"/>
              <w:rPr>
                <w:color w:val="000000"/>
                <w:sz w:val="20"/>
                <w:szCs w:val="20"/>
              </w:rPr>
            </w:pPr>
            <w:r>
              <w:rPr>
                <w:color w:val="000000"/>
                <w:sz w:val="20"/>
                <w:szCs w:val="20"/>
              </w:rPr>
              <w:t xml:space="preserve">$0 </w:t>
            </w:r>
          </w:p>
        </w:tc>
      </w:tr>
      <w:tr w14:paraId="4CA8F2D8" w14:textId="77777777">
        <w:tblPrEx>
          <w:tblW w:w="14215" w:type="dxa"/>
          <w:jc w:val="center"/>
          <w:tblLook w:val="04A0"/>
        </w:tblPrEx>
        <w:trPr>
          <w:trHeight w:val="33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26098BA7" w14:textId="77777777">
            <w:pPr>
              <w:ind w:firstLine="400" w:firstLineChars="200"/>
              <w:rPr>
                <w:color w:val="000000"/>
                <w:sz w:val="20"/>
                <w:szCs w:val="20"/>
              </w:rPr>
            </w:pPr>
            <w:r w:rsidRPr="00CD6E56">
              <w:rPr>
                <w:color w:val="000000"/>
                <w:sz w:val="20"/>
                <w:szCs w:val="20"/>
              </w:rPr>
              <w:t>Notification of construction/reconstruction</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573F48BA" w14:textId="3AFC6529">
            <w:pPr>
              <w:jc w:val="center"/>
              <w:rPr>
                <w:color w:val="000000"/>
                <w:sz w:val="20"/>
                <w:szCs w:val="20"/>
              </w:rPr>
            </w:pPr>
            <w:r>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31D5F737" w14:textId="45B60300">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7879C52E" w14:textId="326C1FEA">
            <w:pPr>
              <w:jc w:val="center"/>
              <w:rPr>
                <w:color w:val="000000"/>
                <w:sz w:val="20"/>
                <w:szCs w:val="20"/>
              </w:rPr>
            </w:pPr>
            <w:r>
              <w:rPr>
                <w:color w:val="000000"/>
                <w:sz w:val="20"/>
                <w:szCs w:val="20"/>
              </w:rPr>
              <w:t>2</w:t>
            </w:r>
          </w:p>
        </w:tc>
        <w:tc>
          <w:tcPr>
            <w:tcW w:w="90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728E6B7F" w14:textId="20445019">
            <w:pPr>
              <w:jc w:val="center"/>
              <w:rPr>
                <w:color w:val="000000"/>
                <w:sz w:val="20"/>
                <w:szCs w:val="20"/>
              </w:rPr>
            </w:pPr>
            <w:r>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5CBED5A8" w14:textId="5616757B">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201764E0" w14:textId="146146A0">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3C85ACDB" w14:textId="76F5D4CD">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6F453256" w14:textId="055C2791">
            <w:pPr>
              <w:jc w:val="right"/>
              <w:rPr>
                <w:color w:val="000000"/>
                <w:sz w:val="20"/>
                <w:szCs w:val="20"/>
              </w:rPr>
            </w:pPr>
            <w:r>
              <w:rPr>
                <w:color w:val="000000"/>
                <w:sz w:val="20"/>
                <w:szCs w:val="20"/>
              </w:rPr>
              <w:t xml:space="preserve">$0 </w:t>
            </w:r>
          </w:p>
        </w:tc>
      </w:tr>
      <w:tr w14:paraId="6338977D" w14:textId="77777777">
        <w:tblPrEx>
          <w:tblW w:w="14215" w:type="dxa"/>
          <w:jc w:val="center"/>
          <w:tblLook w:val="04A0"/>
        </w:tblPrEx>
        <w:trPr>
          <w:trHeight w:val="33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08792E00" w14:textId="77777777">
            <w:pPr>
              <w:ind w:firstLine="400" w:firstLineChars="200"/>
              <w:rPr>
                <w:color w:val="000000"/>
                <w:sz w:val="20"/>
                <w:szCs w:val="20"/>
              </w:rPr>
            </w:pPr>
            <w:r w:rsidRPr="00CD6E56">
              <w:rPr>
                <w:color w:val="000000"/>
                <w:sz w:val="20"/>
                <w:szCs w:val="20"/>
              </w:rPr>
              <w:t>Notification of anticipated startup</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2BE66E33" w14:textId="6B644F73">
            <w:pPr>
              <w:jc w:val="center"/>
              <w:rPr>
                <w:color w:val="000000"/>
                <w:sz w:val="20"/>
                <w:szCs w:val="20"/>
              </w:rPr>
            </w:pPr>
            <w:r>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421E56D8" w14:textId="3E72F97E">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20F67EC7" w14:textId="5ADB92FA">
            <w:pPr>
              <w:jc w:val="center"/>
              <w:rPr>
                <w:color w:val="000000"/>
                <w:sz w:val="20"/>
                <w:szCs w:val="20"/>
              </w:rPr>
            </w:pPr>
            <w:r>
              <w:rPr>
                <w:color w:val="000000"/>
                <w:sz w:val="20"/>
                <w:szCs w:val="20"/>
              </w:rPr>
              <w:t>2</w:t>
            </w:r>
          </w:p>
        </w:tc>
        <w:tc>
          <w:tcPr>
            <w:tcW w:w="90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2B6A57C2" w14:textId="57D824E3">
            <w:pPr>
              <w:jc w:val="center"/>
              <w:rPr>
                <w:color w:val="000000"/>
                <w:sz w:val="20"/>
                <w:szCs w:val="20"/>
              </w:rPr>
            </w:pPr>
            <w:r>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29B5818C" w14:textId="59219793">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3337AA0F" w14:textId="1519672A">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7983BEE3" w14:textId="6E839A2C">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4E3F0892" w14:textId="2BF67A23">
            <w:pPr>
              <w:jc w:val="right"/>
              <w:rPr>
                <w:color w:val="000000"/>
                <w:sz w:val="20"/>
                <w:szCs w:val="20"/>
              </w:rPr>
            </w:pPr>
            <w:r>
              <w:rPr>
                <w:color w:val="000000"/>
                <w:sz w:val="20"/>
                <w:szCs w:val="20"/>
              </w:rPr>
              <w:t xml:space="preserve">$0 </w:t>
            </w:r>
          </w:p>
        </w:tc>
      </w:tr>
      <w:tr w14:paraId="1794D331" w14:textId="77777777">
        <w:tblPrEx>
          <w:tblW w:w="14215" w:type="dxa"/>
          <w:jc w:val="center"/>
          <w:tblLook w:val="04A0"/>
        </w:tblPrEx>
        <w:trPr>
          <w:trHeight w:val="33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0D187712" w14:textId="77777777">
            <w:pPr>
              <w:ind w:firstLine="400" w:firstLineChars="200"/>
              <w:rPr>
                <w:color w:val="000000"/>
                <w:sz w:val="20"/>
                <w:szCs w:val="20"/>
              </w:rPr>
            </w:pPr>
            <w:r w:rsidRPr="00CD6E56">
              <w:rPr>
                <w:color w:val="000000"/>
                <w:sz w:val="20"/>
                <w:szCs w:val="20"/>
              </w:rPr>
              <w:t>Notification of actual startup</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7E9CAD26" w14:textId="20671795">
            <w:pPr>
              <w:jc w:val="center"/>
              <w:rPr>
                <w:color w:val="000000"/>
                <w:sz w:val="20"/>
                <w:szCs w:val="20"/>
              </w:rPr>
            </w:pPr>
            <w:r>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5BAB932C" w14:textId="62C7A3F7">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6039EF4D" w14:textId="765FA5F4">
            <w:pPr>
              <w:jc w:val="center"/>
              <w:rPr>
                <w:color w:val="000000"/>
                <w:sz w:val="20"/>
                <w:szCs w:val="20"/>
              </w:rPr>
            </w:pPr>
            <w:r>
              <w:rPr>
                <w:color w:val="000000"/>
                <w:sz w:val="20"/>
                <w:szCs w:val="20"/>
              </w:rPr>
              <w:t>2</w:t>
            </w:r>
          </w:p>
        </w:tc>
        <w:tc>
          <w:tcPr>
            <w:tcW w:w="90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299E4187" w14:textId="7D89CF0B">
            <w:pPr>
              <w:jc w:val="center"/>
              <w:rPr>
                <w:color w:val="000000"/>
                <w:sz w:val="20"/>
                <w:szCs w:val="20"/>
              </w:rPr>
            </w:pPr>
            <w:r>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3744A8BE" w14:textId="588D93D4">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600A4C8D" w14:textId="536115E9">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06279AA9" w14:textId="63825E3D">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38650C47" w14:textId="3D3FCEF8">
            <w:pPr>
              <w:jc w:val="right"/>
              <w:rPr>
                <w:color w:val="000000"/>
                <w:sz w:val="20"/>
                <w:szCs w:val="20"/>
              </w:rPr>
            </w:pPr>
            <w:r>
              <w:rPr>
                <w:color w:val="000000"/>
                <w:sz w:val="20"/>
                <w:szCs w:val="20"/>
              </w:rPr>
              <w:t xml:space="preserve">$0 </w:t>
            </w:r>
          </w:p>
        </w:tc>
      </w:tr>
      <w:tr w14:paraId="769BB0BB" w14:textId="77777777">
        <w:tblPrEx>
          <w:tblW w:w="14215" w:type="dxa"/>
          <w:jc w:val="center"/>
          <w:tblLook w:val="04A0"/>
        </w:tblPrEx>
        <w:trPr>
          <w:trHeight w:val="33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4376B8A5" w14:textId="77777777">
            <w:pPr>
              <w:ind w:firstLine="400" w:firstLineChars="200"/>
              <w:rPr>
                <w:color w:val="000000"/>
                <w:sz w:val="20"/>
                <w:szCs w:val="20"/>
              </w:rPr>
            </w:pPr>
            <w:r w:rsidRPr="00CD6E56">
              <w:rPr>
                <w:color w:val="000000"/>
                <w:sz w:val="20"/>
                <w:szCs w:val="20"/>
              </w:rPr>
              <w:t>Notification of</w:t>
            </w:r>
            <w:r>
              <w:rPr>
                <w:color w:val="000000"/>
                <w:sz w:val="20"/>
                <w:szCs w:val="20"/>
              </w:rPr>
              <w:t xml:space="preserve"> </w:t>
            </w:r>
            <w:r w:rsidRPr="00CD6E56">
              <w:rPr>
                <w:color w:val="000000"/>
                <w:sz w:val="20"/>
                <w:szCs w:val="20"/>
              </w:rPr>
              <w:t>performance test</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3C967479" w14:textId="4A64755F">
            <w:pPr>
              <w:jc w:val="center"/>
              <w:rPr>
                <w:color w:val="000000"/>
                <w:sz w:val="20"/>
                <w:szCs w:val="20"/>
              </w:rPr>
            </w:pPr>
            <w:r>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72FF1A53" w14:textId="5653D66E">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3FA1D039" w14:textId="2553DBE1">
            <w:pPr>
              <w:jc w:val="center"/>
              <w:rPr>
                <w:color w:val="000000"/>
                <w:sz w:val="20"/>
                <w:szCs w:val="20"/>
              </w:rPr>
            </w:pPr>
            <w:r>
              <w:rPr>
                <w:color w:val="000000"/>
                <w:sz w:val="20"/>
                <w:szCs w:val="20"/>
              </w:rPr>
              <w:t>2</w:t>
            </w:r>
          </w:p>
        </w:tc>
        <w:tc>
          <w:tcPr>
            <w:tcW w:w="90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3DBDEE1A" w14:textId="008CC5C7">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3A643BA7" w14:textId="21C5248F">
            <w:pPr>
              <w:jc w:val="center"/>
              <w:rPr>
                <w:color w:val="000000"/>
                <w:sz w:val="20"/>
                <w:szCs w:val="20"/>
              </w:rPr>
            </w:pPr>
            <w:r>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32515833" w14:textId="75403BC0">
            <w:pPr>
              <w:jc w:val="center"/>
              <w:rPr>
                <w:color w:val="000000"/>
                <w:sz w:val="20"/>
                <w:szCs w:val="20"/>
              </w:rPr>
            </w:pPr>
            <w:r>
              <w:rPr>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75B170E5" w14:textId="2B75837A">
            <w:pPr>
              <w:jc w:val="center"/>
              <w:rPr>
                <w:color w:val="000000"/>
                <w:sz w:val="20"/>
                <w:szCs w:val="20"/>
              </w:rPr>
            </w:pPr>
            <w:r>
              <w:rPr>
                <w:color w:val="000000"/>
                <w:sz w:val="20"/>
                <w:szCs w:val="20"/>
              </w:rPr>
              <w:t>0.4</w:t>
            </w:r>
          </w:p>
        </w:tc>
        <w:tc>
          <w:tcPr>
            <w:tcW w:w="108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3344EF43" w14:textId="324F4CBB">
            <w:pPr>
              <w:jc w:val="right"/>
              <w:rPr>
                <w:color w:val="000000"/>
                <w:sz w:val="20"/>
                <w:szCs w:val="20"/>
              </w:rPr>
            </w:pPr>
            <w:r>
              <w:rPr>
                <w:color w:val="000000"/>
                <w:sz w:val="20"/>
                <w:szCs w:val="20"/>
              </w:rPr>
              <w:t xml:space="preserve">$256 </w:t>
            </w:r>
          </w:p>
        </w:tc>
      </w:tr>
      <w:tr w14:paraId="419BB07C" w14:textId="77777777">
        <w:tblPrEx>
          <w:tblW w:w="14215" w:type="dxa"/>
          <w:jc w:val="center"/>
          <w:tblLook w:val="04A0"/>
        </w:tblPrEx>
        <w:trPr>
          <w:trHeight w:val="33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4DD7FC81" w14:textId="77777777">
            <w:pPr>
              <w:ind w:firstLine="400" w:firstLineChars="200"/>
              <w:rPr>
                <w:color w:val="000000"/>
                <w:sz w:val="20"/>
                <w:szCs w:val="20"/>
              </w:rPr>
            </w:pPr>
            <w:r w:rsidRPr="00CD6E56">
              <w:rPr>
                <w:color w:val="000000"/>
                <w:sz w:val="20"/>
                <w:szCs w:val="20"/>
              </w:rPr>
              <w:t>Notification of compliance status</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71FEC364" w14:textId="493A0F93">
            <w:pPr>
              <w:jc w:val="center"/>
              <w:rPr>
                <w:color w:val="000000"/>
                <w:sz w:val="20"/>
                <w:szCs w:val="20"/>
              </w:rPr>
            </w:pPr>
            <w:r>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559ACE0F" w14:textId="337421CE">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2EE003AC" w14:textId="376AF076">
            <w:pPr>
              <w:jc w:val="center"/>
              <w:rPr>
                <w:color w:val="000000"/>
                <w:sz w:val="20"/>
                <w:szCs w:val="20"/>
              </w:rPr>
            </w:pPr>
            <w:r>
              <w:rPr>
                <w:color w:val="000000"/>
                <w:sz w:val="20"/>
                <w:szCs w:val="20"/>
              </w:rPr>
              <w:t>2</w:t>
            </w:r>
          </w:p>
        </w:tc>
        <w:tc>
          <w:tcPr>
            <w:tcW w:w="90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62F99860" w14:textId="03EEE56C">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1C57923D" w14:textId="0CDDF56D">
            <w:pPr>
              <w:jc w:val="center"/>
              <w:rPr>
                <w:color w:val="000000"/>
                <w:sz w:val="20"/>
                <w:szCs w:val="20"/>
              </w:rPr>
            </w:pPr>
            <w:r>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6691EF32" w14:textId="05E1DA8C">
            <w:pPr>
              <w:jc w:val="center"/>
              <w:rPr>
                <w:color w:val="000000"/>
                <w:sz w:val="20"/>
                <w:szCs w:val="20"/>
              </w:rPr>
            </w:pPr>
            <w:r>
              <w:rPr>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0792447C" w14:textId="76147012">
            <w:pPr>
              <w:jc w:val="center"/>
              <w:rPr>
                <w:color w:val="000000"/>
                <w:sz w:val="20"/>
                <w:szCs w:val="20"/>
              </w:rPr>
            </w:pPr>
            <w:r>
              <w:rPr>
                <w:color w:val="000000"/>
                <w:sz w:val="20"/>
                <w:szCs w:val="20"/>
              </w:rPr>
              <w:t>0.4</w:t>
            </w:r>
          </w:p>
        </w:tc>
        <w:tc>
          <w:tcPr>
            <w:tcW w:w="108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1159EB11" w14:textId="1E6A02C7">
            <w:pPr>
              <w:jc w:val="right"/>
              <w:rPr>
                <w:color w:val="000000"/>
                <w:sz w:val="20"/>
                <w:szCs w:val="20"/>
              </w:rPr>
            </w:pPr>
            <w:r>
              <w:rPr>
                <w:color w:val="000000"/>
                <w:sz w:val="20"/>
                <w:szCs w:val="20"/>
              </w:rPr>
              <w:t xml:space="preserve">$256 </w:t>
            </w:r>
          </w:p>
        </w:tc>
      </w:tr>
      <w:tr w14:paraId="74875BE3" w14:textId="77777777">
        <w:tblPrEx>
          <w:tblW w:w="14215" w:type="dxa"/>
          <w:jc w:val="center"/>
          <w:tblLook w:val="04A0"/>
        </w:tblPrEx>
        <w:trPr>
          <w:trHeight w:val="33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0CCE5F90" w14:textId="77777777">
            <w:pPr>
              <w:ind w:firstLine="400" w:firstLineChars="200"/>
              <w:rPr>
                <w:color w:val="000000"/>
                <w:sz w:val="20"/>
                <w:szCs w:val="20"/>
              </w:rPr>
            </w:pPr>
            <w:r w:rsidRPr="00CD6E56">
              <w:rPr>
                <w:color w:val="000000"/>
                <w:sz w:val="20"/>
                <w:szCs w:val="20"/>
              </w:rPr>
              <w:t xml:space="preserve">Notification of intent to use alternative fuel </w:t>
            </w:r>
            <w:r w:rsidRPr="00CD6E56">
              <w:rPr>
                <w:color w:val="000000"/>
                <w:vertAlign w:val="superscript"/>
              </w:rPr>
              <w:t>c</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6434DAF9" w14:textId="6C975428">
            <w:pPr>
              <w:jc w:val="center"/>
              <w:rPr>
                <w:color w:val="000000"/>
                <w:sz w:val="20"/>
                <w:szCs w:val="20"/>
              </w:rPr>
            </w:pPr>
            <w:r>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5AC15D1E" w14:textId="6A3F1BFA">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471E3FDC" w14:textId="1D9CF2FD">
            <w:pPr>
              <w:jc w:val="center"/>
              <w:rPr>
                <w:color w:val="000000"/>
                <w:sz w:val="20"/>
                <w:szCs w:val="20"/>
              </w:rPr>
            </w:pPr>
            <w:r>
              <w:rPr>
                <w:color w:val="000000"/>
                <w:sz w:val="20"/>
                <w:szCs w:val="20"/>
              </w:rPr>
              <w:t>2</w:t>
            </w:r>
          </w:p>
        </w:tc>
        <w:tc>
          <w:tcPr>
            <w:tcW w:w="90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6E84AD57" w14:textId="2F70F2F4">
            <w:pPr>
              <w:jc w:val="center"/>
              <w:rPr>
                <w:color w:val="000000"/>
                <w:sz w:val="20"/>
                <w:szCs w:val="20"/>
              </w:rPr>
            </w:pPr>
            <w:r>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72FADB50" w14:textId="0040FA37">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1CBC7DE2" w14:textId="3FE807BD">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0635F749" w14:textId="46353ADB">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5F5C5720" w14:textId="75750F6B">
            <w:pPr>
              <w:jc w:val="right"/>
              <w:rPr>
                <w:color w:val="000000"/>
                <w:sz w:val="20"/>
                <w:szCs w:val="20"/>
              </w:rPr>
            </w:pPr>
            <w:r>
              <w:rPr>
                <w:color w:val="000000"/>
                <w:sz w:val="20"/>
                <w:szCs w:val="20"/>
              </w:rPr>
              <w:t xml:space="preserve">$0 </w:t>
            </w:r>
          </w:p>
        </w:tc>
      </w:tr>
      <w:tr w14:paraId="6D5EF0E4" w14:textId="77777777">
        <w:tblPrEx>
          <w:tblW w:w="14215" w:type="dxa"/>
          <w:jc w:val="center"/>
          <w:tblLook w:val="04A0"/>
        </w:tblPrEx>
        <w:trPr>
          <w:trHeight w:val="33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07DCF793" w14:textId="77777777">
            <w:pPr>
              <w:ind w:left="420" w:hanging="1"/>
              <w:rPr>
                <w:color w:val="000000"/>
                <w:sz w:val="20"/>
                <w:szCs w:val="20"/>
              </w:rPr>
            </w:pPr>
            <w:r w:rsidRPr="00CD6E56">
              <w:rPr>
                <w:color w:val="000000"/>
                <w:sz w:val="20"/>
                <w:szCs w:val="20"/>
              </w:rPr>
              <w:t xml:space="preserve">Request for approval to bypass the control </w:t>
            </w:r>
            <w:r w:rsidRPr="00CD6E56">
              <w:rPr>
                <w:color w:val="000000"/>
                <w:sz w:val="20"/>
                <w:szCs w:val="20"/>
              </w:rPr>
              <w:t>device for maintenance</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4312694A" w14:textId="1AA2E582">
            <w:pPr>
              <w:jc w:val="center"/>
              <w:rPr>
                <w:color w:val="000000"/>
                <w:sz w:val="20"/>
                <w:szCs w:val="20"/>
              </w:rPr>
            </w:pPr>
            <w:r>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345E2023" w14:textId="4597A312">
            <w:pPr>
              <w:jc w:val="center"/>
              <w:rPr>
                <w:color w:val="000000"/>
                <w:sz w:val="20"/>
                <w:szCs w:val="20"/>
              </w:rPr>
            </w:pPr>
            <w:r>
              <w:rPr>
                <w:color w:val="000000"/>
                <w:sz w:val="20"/>
                <w:szCs w:val="20"/>
              </w:rPr>
              <w:t>6</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1A03B9E8" w14:textId="72203B38">
            <w:pPr>
              <w:jc w:val="center"/>
              <w:rPr>
                <w:color w:val="000000"/>
                <w:sz w:val="20"/>
                <w:szCs w:val="20"/>
              </w:rPr>
            </w:pPr>
            <w:r>
              <w:rPr>
                <w:color w:val="000000"/>
                <w:sz w:val="20"/>
                <w:szCs w:val="20"/>
              </w:rPr>
              <w:t>12</w:t>
            </w:r>
          </w:p>
        </w:tc>
        <w:tc>
          <w:tcPr>
            <w:tcW w:w="90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1BFFAEEF" w14:textId="090445F9">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3AE6BC66" w14:textId="2188AA6F">
            <w:pPr>
              <w:jc w:val="center"/>
              <w:rPr>
                <w:color w:val="000000"/>
                <w:sz w:val="20"/>
                <w:szCs w:val="20"/>
              </w:rPr>
            </w:pPr>
            <w:r>
              <w:rPr>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40D66A06" w14:textId="63265844">
            <w:pPr>
              <w:jc w:val="center"/>
              <w:rPr>
                <w:color w:val="000000"/>
                <w:sz w:val="20"/>
                <w:szCs w:val="20"/>
              </w:rPr>
            </w:pPr>
            <w:r>
              <w:rPr>
                <w:color w:val="000000"/>
                <w:sz w:val="20"/>
                <w:szCs w:val="20"/>
              </w:rPr>
              <w:t>0.6</w:t>
            </w:r>
          </w:p>
        </w:tc>
        <w:tc>
          <w:tcPr>
            <w:tcW w:w="117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7CAE4144" w14:textId="322890F7">
            <w:pPr>
              <w:jc w:val="center"/>
              <w:rPr>
                <w:color w:val="000000"/>
                <w:sz w:val="20"/>
                <w:szCs w:val="20"/>
              </w:rPr>
            </w:pPr>
            <w:r>
              <w:rPr>
                <w:color w:val="000000"/>
                <w:sz w:val="20"/>
                <w:szCs w:val="20"/>
              </w:rPr>
              <w:t>1.2</w:t>
            </w:r>
          </w:p>
        </w:tc>
        <w:tc>
          <w:tcPr>
            <w:tcW w:w="108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440ACCC8" w14:textId="25F23A54">
            <w:pPr>
              <w:jc w:val="right"/>
              <w:rPr>
                <w:color w:val="000000"/>
                <w:sz w:val="20"/>
                <w:szCs w:val="20"/>
              </w:rPr>
            </w:pPr>
            <w:r>
              <w:rPr>
                <w:color w:val="000000"/>
                <w:sz w:val="20"/>
                <w:szCs w:val="20"/>
              </w:rPr>
              <w:t xml:space="preserve">$768 </w:t>
            </w:r>
          </w:p>
        </w:tc>
      </w:tr>
      <w:tr w14:paraId="16A702F3" w14:textId="77777777">
        <w:tblPrEx>
          <w:tblW w:w="14215" w:type="dxa"/>
          <w:jc w:val="center"/>
          <w:tblLook w:val="04A0"/>
        </w:tblPrEx>
        <w:trPr>
          <w:trHeight w:val="33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6E4C4BAB" w14:textId="77777777">
            <w:pPr>
              <w:ind w:firstLine="400" w:firstLineChars="200"/>
              <w:rPr>
                <w:color w:val="000000"/>
                <w:sz w:val="20"/>
                <w:szCs w:val="20"/>
              </w:rPr>
            </w:pPr>
            <w:r w:rsidRPr="00CD6E56">
              <w:rPr>
                <w:color w:val="000000"/>
                <w:sz w:val="20"/>
                <w:szCs w:val="20"/>
              </w:rPr>
              <w:t xml:space="preserve">Review performance test report </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7FFFCE3C" w14:textId="1AF4C88B">
            <w:pPr>
              <w:jc w:val="center"/>
              <w:rPr>
                <w:color w:val="000000"/>
                <w:sz w:val="20"/>
                <w:szCs w:val="20"/>
              </w:rPr>
            </w:pPr>
            <w:r>
              <w:rPr>
                <w:color w:val="000000"/>
                <w:sz w:val="20"/>
                <w:szCs w:val="20"/>
              </w:rPr>
              <w:t>40</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1397E263" w14:textId="0A4BD4BF">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44D4BCEB" w14:textId="567EA412">
            <w:pPr>
              <w:jc w:val="center"/>
              <w:rPr>
                <w:color w:val="000000"/>
                <w:sz w:val="20"/>
                <w:szCs w:val="20"/>
              </w:rPr>
            </w:pPr>
            <w:r>
              <w:rPr>
                <w:color w:val="000000"/>
                <w:sz w:val="20"/>
                <w:szCs w:val="20"/>
              </w:rPr>
              <w:t>40</w:t>
            </w:r>
          </w:p>
        </w:tc>
        <w:tc>
          <w:tcPr>
            <w:tcW w:w="90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30604BC1" w14:textId="051A033F">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7946F06B" w14:textId="3006FA9A">
            <w:pPr>
              <w:jc w:val="center"/>
              <w:rPr>
                <w:color w:val="000000"/>
                <w:sz w:val="20"/>
                <w:szCs w:val="20"/>
              </w:rPr>
            </w:pPr>
            <w:r>
              <w:rPr>
                <w:color w:val="000000"/>
                <w:sz w:val="20"/>
                <w:szCs w:val="20"/>
              </w:rPr>
              <w:t>80</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318239C0" w14:textId="2D7DFEAF">
            <w:pPr>
              <w:jc w:val="center"/>
              <w:rPr>
                <w:color w:val="000000"/>
                <w:sz w:val="20"/>
                <w:szCs w:val="20"/>
              </w:rPr>
            </w:pPr>
            <w:r>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6BEE3E68" w14:textId="0442614B">
            <w:pPr>
              <w:jc w:val="center"/>
              <w:rPr>
                <w:color w:val="000000"/>
                <w:sz w:val="20"/>
                <w:szCs w:val="20"/>
              </w:rPr>
            </w:pPr>
            <w:r>
              <w:rPr>
                <w:color w:val="000000"/>
                <w:sz w:val="20"/>
                <w:szCs w:val="20"/>
              </w:rPr>
              <w:t>8</w:t>
            </w:r>
          </w:p>
        </w:tc>
        <w:tc>
          <w:tcPr>
            <w:tcW w:w="108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2DDD1CCF" w14:textId="3BB6E70A">
            <w:pPr>
              <w:jc w:val="right"/>
              <w:rPr>
                <w:color w:val="000000"/>
                <w:sz w:val="20"/>
                <w:szCs w:val="20"/>
              </w:rPr>
            </w:pPr>
            <w:r>
              <w:rPr>
                <w:color w:val="000000"/>
                <w:sz w:val="20"/>
                <w:szCs w:val="20"/>
              </w:rPr>
              <w:t xml:space="preserve">$5,120 </w:t>
            </w:r>
          </w:p>
        </w:tc>
      </w:tr>
      <w:tr w14:paraId="67BF029D" w14:textId="77777777">
        <w:tblPrEx>
          <w:tblW w:w="14215" w:type="dxa"/>
          <w:jc w:val="center"/>
          <w:tblLook w:val="04A0"/>
        </w:tblPrEx>
        <w:trPr>
          <w:trHeight w:val="33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2028DE46" w14:textId="77777777">
            <w:pPr>
              <w:rPr>
                <w:color w:val="000000"/>
                <w:sz w:val="20"/>
                <w:szCs w:val="20"/>
              </w:rPr>
            </w:pPr>
            <w:r w:rsidRPr="00CD6E56">
              <w:rPr>
                <w:color w:val="000000"/>
                <w:sz w:val="20"/>
                <w:szCs w:val="20"/>
              </w:rPr>
              <w:t>Semi-annual compliance reports</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5AE3ED88" w14:textId="54E290E5">
            <w:pPr>
              <w:rPr>
                <w:rFonts w:ascii="Calibri" w:hAnsi="Calibri" w:cs="Calibri"/>
                <w:color w:val="000000"/>
              </w:rPr>
            </w:pPr>
            <w:r>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751C6CE5" w14:textId="5580B6AE">
            <w:pPr>
              <w:rPr>
                <w:rFonts w:ascii="Calibri" w:hAnsi="Calibri" w:cs="Calibri"/>
                <w:color w:val="000000"/>
              </w:rPr>
            </w:pPr>
            <w:r>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5E8A7C02" w14:textId="350F5DE4">
            <w:pPr>
              <w:rPr>
                <w:rFonts w:ascii="Calibri" w:hAnsi="Calibri" w:cs="Calibri"/>
                <w:color w:val="000000"/>
              </w:rPr>
            </w:pPr>
            <w:r>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01C44B72" w14:textId="589A75A8">
            <w:pPr>
              <w:rPr>
                <w:rFonts w:ascii="Calibri" w:hAnsi="Calibri" w:cs="Calibri"/>
                <w:color w:val="000000"/>
              </w:rPr>
            </w:pPr>
            <w:r>
              <w:rPr>
                <w:rFonts w:ascii="Calibri" w:hAnsi="Calibri" w:cs="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628F0B69" w14:textId="019A86E9">
            <w:pPr>
              <w:rPr>
                <w:rFonts w:ascii="Calibri" w:hAnsi="Calibri" w:cs="Calibri"/>
                <w:color w:val="000000"/>
              </w:rPr>
            </w:pPr>
            <w:r>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24B5A16D" w14:textId="600CFC2C">
            <w:pPr>
              <w:rPr>
                <w:rFonts w:ascii="Calibri" w:hAnsi="Calibri" w:cs="Calibri"/>
                <w:color w:val="000000"/>
              </w:rPr>
            </w:pPr>
            <w:r>
              <w:rPr>
                <w:rFonts w:ascii="Calibri" w:hAnsi="Calibri"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66FE9AC0" w14:textId="5A725014">
            <w:pPr>
              <w:rPr>
                <w:rFonts w:ascii="Calibri" w:hAnsi="Calibri" w:cs="Calibri"/>
                <w:color w:val="000000"/>
              </w:rPr>
            </w:pPr>
            <w:r>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5083B4E1" w14:textId="634C7D4E">
            <w:pPr>
              <w:jc w:val="right"/>
              <w:rPr>
                <w:color w:val="000000"/>
                <w:sz w:val="20"/>
                <w:szCs w:val="20"/>
              </w:rPr>
            </w:pPr>
            <w:r>
              <w:rPr>
                <w:color w:val="000000"/>
                <w:sz w:val="20"/>
                <w:szCs w:val="20"/>
              </w:rPr>
              <w:t> </w:t>
            </w:r>
          </w:p>
        </w:tc>
      </w:tr>
      <w:tr w14:paraId="6DD7FF9B" w14:textId="77777777">
        <w:tblPrEx>
          <w:tblW w:w="14215" w:type="dxa"/>
          <w:jc w:val="center"/>
          <w:tblLook w:val="04A0"/>
        </w:tblPrEx>
        <w:trPr>
          <w:trHeight w:val="33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25D429F0" w14:textId="77777777">
            <w:pPr>
              <w:ind w:firstLine="400" w:firstLineChars="200"/>
              <w:rPr>
                <w:color w:val="000000"/>
                <w:sz w:val="20"/>
                <w:szCs w:val="20"/>
              </w:rPr>
            </w:pPr>
            <w:r w:rsidRPr="00CD6E56">
              <w:rPr>
                <w:color w:val="000000"/>
                <w:sz w:val="20"/>
                <w:szCs w:val="20"/>
              </w:rPr>
              <w:t xml:space="preserve">Deviation </w:t>
            </w:r>
            <w:r w:rsidRPr="00CD6E56">
              <w:rPr>
                <w:color w:val="000000"/>
                <w:vertAlign w:val="superscript"/>
              </w:rPr>
              <w:t>d</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57599B0D" w14:textId="4DD028FB">
            <w:pPr>
              <w:jc w:val="center"/>
              <w:rPr>
                <w:color w:val="000000"/>
                <w:sz w:val="20"/>
                <w:szCs w:val="20"/>
              </w:rPr>
            </w:pPr>
            <w:r>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239E2AC6" w14:textId="168EABAB">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05DBBABC" w14:textId="47602C5C">
            <w:pPr>
              <w:jc w:val="center"/>
              <w:rPr>
                <w:color w:val="000000"/>
                <w:sz w:val="20"/>
                <w:szCs w:val="20"/>
              </w:rPr>
            </w:pPr>
            <w:r>
              <w:rPr>
                <w:color w:val="000000"/>
                <w:sz w:val="20"/>
                <w:szCs w:val="20"/>
              </w:rPr>
              <w:t>16</w:t>
            </w:r>
          </w:p>
        </w:tc>
        <w:tc>
          <w:tcPr>
            <w:tcW w:w="90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599778BD" w14:textId="447C3B77">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22FFDE94" w14:textId="031AC34E">
            <w:pPr>
              <w:jc w:val="center"/>
              <w:rPr>
                <w:color w:val="000000"/>
                <w:sz w:val="20"/>
                <w:szCs w:val="20"/>
              </w:rPr>
            </w:pPr>
            <w:r>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4D0A872A" w14:textId="3FB71A9E">
            <w:pPr>
              <w:jc w:val="center"/>
              <w:rPr>
                <w:color w:val="000000"/>
                <w:sz w:val="20"/>
                <w:szCs w:val="20"/>
              </w:rPr>
            </w:pPr>
            <w:r>
              <w:rPr>
                <w:color w:val="000000"/>
                <w:sz w:val="20"/>
                <w:szCs w:val="20"/>
              </w:rPr>
              <w:t>1.6</w:t>
            </w:r>
          </w:p>
        </w:tc>
        <w:tc>
          <w:tcPr>
            <w:tcW w:w="117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27F04754" w14:textId="7E96C81D">
            <w:pPr>
              <w:jc w:val="center"/>
              <w:rPr>
                <w:color w:val="000000"/>
                <w:sz w:val="20"/>
                <w:szCs w:val="20"/>
              </w:rPr>
            </w:pPr>
            <w:r>
              <w:rPr>
                <w:color w:val="000000"/>
                <w:sz w:val="20"/>
                <w:szCs w:val="20"/>
              </w:rPr>
              <w:t>3.2</w:t>
            </w:r>
          </w:p>
        </w:tc>
        <w:tc>
          <w:tcPr>
            <w:tcW w:w="108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47ED18AA" w14:textId="700A35FE">
            <w:pPr>
              <w:jc w:val="right"/>
              <w:rPr>
                <w:color w:val="000000"/>
                <w:sz w:val="20"/>
                <w:szCs w:val="20"/>
              </w:rPr>
            </w:pPr>
            <w:r>
              <w:rPr>
                <w:color w:val="000000"/>
                <w:sz w:val="20"/>
                <w:szCs w:val="20"/>
              </w:rPr>
              <w:t xml:space="preserve">$2,048 </w:t>
            </w:r>
          </w:p>
        </w:tc>
      </w:tr>
      <w:tr w14:paraId="3B980D47" w14:textId="77777777">
        <w:tblPrEx>
          <w:tblW w:w="14215" w:type="dxa"/>
          <w:jc w:val="center"/>
          <w:tblLook w:val="04A0"/>
        </w:tblPrEx>
        <w:trPr>
          <w:trHeight w:val="33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1275D2F3" w14:textId="77777777">
            <w:pPr>
              <w:ind w:firstLine="400" w:firstLineChars="200"/>
              <w:rPr>
                <w:color w:val="000000"/>
                <w:sz w:val="20"/>
                <w:szCs w:val="20"/>
              </w:rPr>
            </w:pPr>
            <w:r w:rsidRPr="00CD6E56">
              <w:rPr>
                <w:color w:val="000000"/>
                <w:sz w:val="20"/>
                <w:szCs w:val="20"/>
              </w:rPr>
              <w:t xml:space="preserve">No Deviation </w:t>
            </w:r>
            <w:r w:rsidRPr="00CD6E56">
              <w:rPr>
                <w:color w:val="000000"/>
                <w:vertAlign w:val="superscript"/>
              </w:rPr>
              <w:t>e</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4D2A6EA5" w14:textId="1BEE958E">
            <w:pPr>
              <w:jc w:val="center"/>
              <w:rPr>
                <w:color w:val="000000"/>
                <w:sz w:val="20"/>
                <w:szCs w:val="20"/>
              </w:rPr>
            </w:pPr>
            <w:r>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6FE39CE2" w14:textId="4025762A">
            <w:pPr>
              <w:jc w:val="center"/>
              <w:rPr>
                <w:color w:val="000000"/>
                <w:sz w:val="20"/>
                <w:szCs w:val="20"/>
              </w:rPr>
            </w:pPr>
            <w:r>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0A068E5B" w14:textId="579A8CCC">
            <w:pPr>
              <w:jc w:val="center"/>
              <w:rPr>
                <w:color w:val="000000"/>
                <w:sz w:val="20"/>
                <w:szCs w:val="20"/>
              </w:rPr>
            </w:pPr>
            <w:r>
              <w:rPr>
                <w:color w:val="000000"/>
                <w:sz w:val="20"/>
                <w:szCs w:val="20"/>
              </w:rPr>
              <w:t>16</w:t>
            </w:r>
          </w:p>
        </w:tc>
        <w:tc>
          <w:tcPr>
            <w:tcW w:w="90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388FDD1A" w14:textId="42957B0D">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0221F016" w14:textId="0A924E01">
            <w:pPr>
              <w:jc w:val="center"/>
              <w:rPr>
                <w:color w:val="000000"/>
                <w:sz w:val="20"/>
                <w:szCs w:val="20"/>
              </w:rPr>
            </w:pPr>
            <w:r>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6B0433F6" w14:textId="5A97105C">
            <w:pPr>
              <w:jc w:val="center"/>
              <w:rPr>
                <w:color w:val="000000"/>
                <w:sz w:val="20"/>
                <w:szCs w:val="20"/>
              </w:rPr>
            </w:pPr>
            <w:r>
              <w:rPr>
                <w:color w:val="000000"/>
                <w:sz w:val="20"/>
                <w:szCs w:val="20"/>
              </w:rPr>
              <w:t>1.6</w:t>
            </w:r>
          </w:p>
        </w:tc>
        <w:tc>
          <w:tcPr>
            <w:tcW w:w="117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1B4A5883" w14:textId="03443645">
            <w:pPr>
              <w:jc w:val="center"/>
              <w:rPr>
                <w:color w:val="000000"/>
                <w:sz w:val="20"/>
                <w:szCs w:val="20"/>
              </w:rPr>
            </w:pPr>
            <w:r>
              <w:rPr>
                <w:color w:val="000000"/>
                <w:sz w:val="20"/>
                <w:szCs w:val="20"/>
              </w:rPr>
              <w:t>3.2</w:t>
            </w:r>
          </w:p>
        </w:tc>
        <w:tc>
          <w:tcPr>
            <w:tcW w:w="108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0E32529D" w14:textId="13603A12">
            <w:pPr>
              <w:jc w:val="right"/>
              <w:rPr>
                <w:color w:val="000000"/>
                <w:sz w:val="20"/>
                <w:szCs w:val="20"/>
              </w:rPr>
            </w:pPr>
            <w:r>
              <w:rPr>
                <w:color w:val="000000"/>
                <w:sz w:val="20"/>
                <w:szCs w:val="20"/>
              </w:rPr>
              <w:t xml:space="preserve">$2,048 </w:t>
            </w:r>
          </w:p>
        </w:tc>
      </w:tr>
      <w:tr w14:paraId="45CB952D" w14:textId="77777777">
        <w:tblPrEx>
          <w:tblW w:w="14215" w:type="dxa"/>
          <w:jc w:val="center"/>
          <w:tblLook w:val="04A0"/>
        </w:tblPrEx>
        <w:trPr>
          <w:trHeight w:val="33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53423821" w14:textId="77777777">
            <w:pPr>
              <w:rPr>
                <w:color w:val="000000"/>
                <w:sz w:val="20"/>
                <w:szCs w:val="20"/>
              </w:rPr>
            </w:pPr>
            <w:r w:rsidRPr="006146FA">
              <w:rPr>
                <w:sz w:val="20"/>
                <w:szCs w:val="20"/>
              </w:rPr>
              <w:t xml:space="preserve">Report </w:t>
            </w:r>
            <w:r w:rsidRPr="00CD6E56">
              <w:rPr>
                <w:color w:val="000000"/>
                <w:sz w:val="20"/>
                <w:szCs w:val="20"/>
              </w:rPr>
              <w:t>of</w:t>
            </w:r>
            <w:r w:rsidRPr="00CD6E56">
              <w:rPr>
                <w:color w:val="000000"/>
                <w:sz w:val="20"/>
                <w:szCs w:val="20"/>
              </w:rPr>
              <w:t xml:space="preserve"> alternative fuel use </w:t>
            </w:r>
            <w:r w:rsidRPr="00CD6E56">
              <w:rPr>
                <w:color w:val="000000"/>
                <w:vertAlign w:val="superscript"/>
              </w:rPr>
              <w:t>f</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2E7033F0" w14:textId="42E0A3D4">
            <w:pPr>
              <w:jc w:val="center"/>
              <w:rPr>
                <w:color w:val="000000"/>
                <w:sz w:val="20"/>
                <w:szCs w:val="20"/>
              </w:rPr>
            </w:pPr>
            <w:r>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218551E2" w14:textId="118284C0">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12A320D3" w14:textId="3A714011">
            <w:pPr>
              <w:jc w:val="center"/>
              <w:rPr>
                <w:color w:val="000000"/>
                <w:sz w:val="20"/>
                <w:szCs w:val="20"/>
              </w:rPr>
            </w:pPr>
            <w:r>
              <w:rPr>
                <w:color w:val="000000"/>
                <w:sz w:val="20"/>
                <w:szCs w:val="20"/>
              </w:rPr>
              <w:t>2</w:t>
            </w:r>
          </w:p>
        </w:tc>
        <w:tc>
          <w:tcPr>
            <w:tcW w:w="90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172EEA57" w14:textId="77F4B91F">
            <w:pPr>
              <w:jc w:val="center"/>
              <w:rPr>
                <w:color w:val="000000"/>
                <w:sz w:val="20"/>
                <w:szCs w:val="20"/>
              </w:rPr>
            </w:pPr>
            <w:r>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7DE0BB1B" w14:textId="71AE99C0">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31770128" w14:textId="7B9617AC">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3D74293B" w14:textId="3B404594">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2C5EA423" w14:textId="1BB97638">
            <w:pPr>
              <w:jc w:val="right"/>
              <w:rPr>
                <w:color w:val="000000"/>
                <w:sz w:val="20"/>
                <w:szCs w:val="20"/>
              </w:rPr>
            </w:pPr>
            <w:r>
              <w:rPr>
                <w:color w:val="000000"/>
                <w:sz w:val="20"/>
                <w:szCs w:val="20"/>
              </w:rPr>
              <w:t xml:space="preserve">$0 </w:t>
            </w:r>
          </w:p>
        </w:tc>
      </w:tr>
      <w:tr w14:paraId="2AE008CF" w14:textId="77777777">
        <w:tblPrEx>
          <w:tblW w:w="14215" w:type="dxa"/>
          <w:jc w:val="center"/>
          <w:tblLook w:val="04A0"/>
        </w:tblPrEx>
        <w:trPr>
          <w:trHeight w:val="33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B44FED" w:rsidRPr="00CD6E56" w:rsidP="00B44FED" w14:paraId="2E26BD9C" w14:textId="77777777">
            <w:pPr>
              <w:rPr>
                <w:b/>
                <w:bCs/>
                <w:color w:val="000000"/>
                <w:sz w:val="20"/>
                <w:szCs w:val="20"/>
              </w:rPr>
            </w:pPr>
            <w:r w:rsidRPr="00CD6E56">
              <w:rPr>
                <w:b/>
                <w:bCs/>
                <w:color w:val="000000"/>
                <w:sz w:val="20"/>
                <w:szCs w:val="20"/>
              </w:rPr>
              <w:t xml:space="preserve">TOTAL ANNUAL BURDEN AND COST (rounded) </w:t>
            </w:r>
            <w:r w:rsidRPr="00CD6E56">
              <w:rPr>
                <w:b/>
                <w:bCs/>
                <w:color w:val="000000"/>
                <w:sz w:val="20"/>
                <w:szCs w:val="20"/>
                <w:vertAlign w:val="superscript"/>
              </w:rPr>
              <w:t>g</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1F44D07B" w14:textId="77777777">
            <w:pPr>
              <w:rPr>
                <w:rFonts w:ascii="Calibri" w:hAnsi="Calibri" w:cs="Calibri"/>
                <w:color w:val="000000"/>
              </w:rPr>
            </w:pPr>
            <w:r w:rsidRPr="00CD6E56">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2DFECB1D" w14:textId="77777777">
            <w:pPr>
              <w:rPr>
                <w:rFonts w:ascii="Calibri" w:hAnsi="Calibri" w:cs="Calibri"/>
                <w:color w:val="000000"/>
              </w:rPr>
            </w:pPr>
            <w:r w:rsidRPr="00CD6E56">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22C2D581" w14:textId="77777777">
            <w:pPr>
              <w:rPr>
                <w:rFonts w:ascii="Calibri" w:hAnsi="Calibri" w:cs="Calibri"/>
                <w:color w:val="000000"/>
              </w:rPr>
            </w:pPr>
            <w:r w:rsidRPr="00CD6E56">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278571A8" w14:textId="77777777">
            <w:pPr>
              <w:rPr>
                <w:rFonts w:ascii="Calibri" w:hAnsi="Calibri" w:cs="Calibri"/>
                <w:color w:val="000000"/>
              </w:rPr>
            </w:pPr>
            <w:r w:rsidRPr="00CD6E56">
              <w:rPr>
                <w:rFonts w:ascii="Calibri" w:hAnsi="Calibri" w:cs="Calibri"/>
                <w:color w:val="000000"/>
              </w:rPr>
              <w:t> </w:t>
            </w:r>
          </w:p>
        </w:tc>
        <w:tc>
          <w:tcPr>
            <w:tcW w:w="39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44FED" w:rsidRPr="00CD6E56" w:rsidP="00B44FED" w14:paraId="456611EC" w14:textId="77777777">
            <w:pPr>
              <w:jc w:val="center"/>
              <w:rPr>
                <w:b/>
                <w:bCs/>
                <w:color w:val="000000"/>
                <w:sz w:val="20"/>
                <w:szCs w:val="20"/>
              </w:rPr>
            </w:pPr>
            <w:r w:rsidRPr="00CD6E56">
              <w:rPr>
                <w:b/>
                <w:bCs/>
                <w:color w:val="000000"/>
                <w:sz w:val="20"/>
                <w:szCs w:val="20"/>
              </w:rPr>
              <w:t>294</w:t>
            </w:r>
          </w:p>
        </w:tc>
        <w:tc>
          <w:tcPr>
            <w:tcW w:w="1080" w:type="dxa"/>
            <w:tcBorders>
              <w:top w:val="nil"/>
              <w:left w:val="nil"/>
              <w:bottom w:val="single" w:sz="4" w:space="0" w:color="auto"/>
              <w:right w:val="single" w:sz="4" w:space="0" w:color="auto"/>
            </w:tcBorders>
            <w:shd w:val="clear" w:color="auto" w:fill="auto"/>
            <w:noWrap/>
            <w:vAlign w:val="bottom"/>
            <w:hideMark/>
          </w:tcPr>
          <w:p w:rsidR="00B44FED" w:rsidRPr="00CD6E56" w:rsidP="00B44FED" w14:paraId="77CA670B" w14:textId="28BF3B2C">
            <w:pPr>
              <w:jc w:val="right"/>
              <w:rPr>
                <w:b/>
                <w:bCs/>
                <w:color w:val="000000"/>
                <w:sz w:val="20"/>
                <w:szCs w:val="20"/>
              </w:rPr>
            </w:pPr>
            <w:r w:rsidRPr="00CD6E56">
              <w:rPr>
                <w:b/>
                <w:bCs/>
                <w:color w:val="000000"/>
                <w:sz w:val="20"/>
                <w:szCs w:val="20"/>
              </w:rPr>
              <w:t>$1</w:t>
            </w:r>
            <w:r>
              <w:rPr>
                <w:b/>
                <w:bCs/>
                <w:color w:val="000000"/>
                <w:sz w:val="20"/>
                <w:szCs w:val="20"/>
              </w:rPr>
              <w:t>6</w:t>
            </w:r>
            <w:r w:rsidRPr="00CD6E56">
              <w:rPr>
                <w:b/>
                <w:bCs/>
                <w:color w:val="000000"/>
                <w:sz w:val="20"/>
                <w:szCs w:val="20"/>
              </w:rPr>
              <w:t>,</w:t>
            </w:r>
            <w:r>
              <w:rPr>
                <w:b/>
                <w:bCs/>
                <w:color w:val="000000"/>
                <w:sz w:val="20"/>
                <w:szCs w:val="20"/>
              </w:rPr>
              <w:t>4</w:t>
            </w:r>
            <w:r w:rsidRPr="00CD6E56">
              <w:rPr>
                <w:b/>
                <w:bCs/>
                <w:color w:val="000000"/>
                <w:sz w:val="20"/>
                <w:szCs w:val="20"/>
              </w:rPr>
              <w:t xml:space="preserve">00 </w:t>
            </w:r>
          </w:p>
        </w:tc>
      </w:tr>
      <w:tr w14:paraId="25DEEDC3" w14:textId="77777777">
        <w:tblPrEx>
          <w:tblW w:w="14215" w:type="dxa"/>
          <w:jc w:val="center"/>
          <w:tblLook w:val="04A0"/>
        </w:tblPrEx>
        <w:trPr>
          <w:trHeight w:val="255"/>
          <w:jc w:val="center"/>
        </w:trPr>
        <w:tc>
          <w:tcPr>
            <w:tcW w:w="4225" w:type="dxa"/>
            <w:tcBorders>
              <w:top w:val="nil"/>
              <w:left w:val="nil"/>
              <w:bottom w:val="nil"/>
              <w:right w:val="nil"/>
            </w:tcBorders>
            <w:shd w:val="clear" w:color="auto" w:fill="auto"/>
            <w:noWrap/>
            <w:vAlign w:val="bottom"/>
            <w:hideMark/>
          </w:tcPr>
          <w:p w:rsidR="00B44FED" w:rsidRPr="00CD6E56" w:rsidP="00B44FED" w14:paraId="6FBEB1C2" w14:textId="77777777">
            <w:pPr>
              <w:rPr>
                <w:b/>
                <w:bCs/>
                <w:color w:val="000000"/>
                <w:sz w:val="20"/>
                <w:szCs w:val="20"/>
              </w:rPr>
            </w:pPr>
          </w:p>
        </w:tc>
        <w:tc>
          <w:tcPr>
            <w:tcW w:w="1350" w:type="dxa"/>
            <w:tcBorders>
              <w:top w:val="nil"/>
              <w:left w:val="nil"/>
              <w:bottom w:val="nil"/>
              <w:right w:val="nil"/>
            </w:tcBorders>
            <w:shd w:val="clear" w:color="auto" w:fill="auto"/>
            <w:noWrap/>
            <w:vAlign w:val="bottom"/>
            <w:hideMark/>
          </w:tcPr>
          <w:p w:rsidR="00B44FED" w:rsidRPr="00CD6E56" w:rsidP="00B44FED" w14:paraId="01B6410A" w14:textId="77777777">
            <w:pPr>
              <w:rPr>
                <w:sz w:val="20"/>
                <w:szCs w:val="20"/>
              </w:rPr>
            </w:pPr>
          </w:p>
        </w:tc>
        <w:tc>
          <w:tcPr>
            <w:tcW w:w="1350" w:type="dxa"/>
            <w:tcBorders>
              <w:top w:val="nil"/>
              <w:left w:val="nil"/>
              <w:bottom w:val="nil"/>
              <w:right w:val="nil"/>
            </w:tcBorders>
            <w:shd w:val="clear" w:color="auto" w:fill="auto"/>
            <w:noWrap/>
            <w:vAlign w:val="bottom"/>
            <w:hideMark/>
          </w:tcPr>
          <w:p w:rsidR="00B44FED" w:rsidRPr="00CD6E56" w:rsidP="00B44FED" w14:paraId="47E9BCED" w14:textId="77777777">
            <w:pPr>
              <w:rPr>
                <w:sz w:val="20"/>
                <w:szCs w:val="20"/>
              </w:rPr>
            </w:pPr>
          </w:p>
        </w:tc>
        <w:tc>
          <w:tcPr>
            <w:tcW w:w="1350" w:type="dxa"/>
            <w:tcBorders>
              <w:top w:val="nil"/>
              <w:left w:val="nil"/>
              <w:bottom w:val="nil"/>
              <w:right w:val="nil"/>
            </w:tcBorders>
            <w:shd w:val="clear" w:color="auto" w:fill="auto"/>
            <w:noWrap/>
            <w:vAlign w:val="bottom"/>
            <w:hideMark/>
          </w:tcPr>
          <w:p w:rsidR="00B44FED" w:rsidRPr="00CD6E56" w:rsidP="00B44FED" w14:paraId="6D01B4F3" w14:textId="77777777">
            <w:pPr>
              <w:rPr>
                <w:sz w:val="20"/>
                <w:szCs w:val="20"/>
              </w:rPr>
            </w:pPr>
          </w:p>
        </w:tc>
        <w:tc>
          <w:tcPr>
            <w:tcW w:w="900" w:type="dxa"/>
            <w:tcBorders>
              <w:top w:val="nil"/>
              <w:left w:val="nil"/>
              <w:bottom w:val="nil"/>
              <w:right w:val="nil"/>
            </w:tcBorders>
            <w:shd w:val="clear" w:color="auto" w:fill="auto"/>
            <w:noWrap/>
            <w:vAlign w:val="bottom"/>
            <w:hideMark/>
          </w:tcPr>
          <w:p w:rsidR="00B44FED" w:rsidRPr="00CD6E56" w:rsidP="00B44FED" w14:paraId="7587D1D9" w14:textId="77777777">
            <w:pPr>
              <w:rPr>
                <w:sz w:val="20"/>
                <w:szCs w:val="20"/>
              </w:rPr>
            </w:pPr>
          </w:p>
        </w:tc>
        <w:tc>
          <w:tcPr>
            <w:tcW w:w="1440" w:type="dxa"/>
            <w:tcBorders>
              <w:top w:val="nil"/>
              <w:left w:val="nil"/>
              <w:bottom w:val="nil"/>
              <w:right w:val="nil"/>
            </w:tcBorders>
            <w:shd w:val="clear" w:color="auto" w:fill="auto"/>
            <w:noWrap/>
            <w:vAlign w:val="bottom"/>
            <w:hideMark/>
          </w:tcPr>
          <w:p w:rsidR="00B44FED" w:rsidRPr="00CD6E56" w:rsidP="00B44FED" w14:paraId="768A7088" w14:textId="77777777">
            <w:pPr>
              <w:rPr>
                <w:sz w:val="20"/>
                <w:szCs w:val="20"/>
              </w:rPr>
            </w:pPr>
          </w:p>
        </w:tc>
        <w:tc>
          <w:tcPr>
            <w:tcW w:w="1350" w:type="dxa"/>
            <w:tcBorders>
              <w:top w:val="nil"/>
              <w:left w:val="nil"/>
              <w:bottom w:val="nil"/>
              <w:right w:val="nil"/>
            </w:tcBorders>
            <w:shd w:val="clear" w:color="auto" w:fill="auto"/>
            <w:noWrap/>
            <w:vAlign w:val="bottom"/>
            <w:hideMark/>
          </w:tcPr>
          <w:p w:rsidR="00B44FED" w:rsidRPr="00CD6E56" w:rsidP="00B44FED" w14:paraId="380C179B" w14:textId="77777777">
            <w:pPr>
              <w:rPr>
                <w:sz w:val="20"/>
                <w:szCs w:val="20"/>
              </w:rPr>
            </w:pPr>
          </w:p>
        </w:tc>
        <w:tc>
          <w:tcPr>
            <w:tcW w:w="1170" w:type="dxa"/>
            <w:tcBorders>
              <w:top w:val="nil"/>
              <w:left w:val="nil"/>
              <w:bottom w:val="nil"/>
              <w:right w:val="nil"/>
            </w:tcBorders>
            <w:shd w:val="clear" w:color="auto" w:fill="auto"/>
            <w:noWrap/>
            <w:vAlign w:val="bottom"/>
            <w:hideMark/>
          </w:tcPr>
          <w:p w:rsidR="00B44FED" w:rsidRPr="00CD6E56" w:rsidP="00B44FED" w14:paraId="42F25513" w14:textId="77777777">
            <w:pPr>
              <w:rPr>
                <w:sz w:val="20"/>
                <w:szCs w:val="20"/>
              </w:rPr>
            </w:pPr>
          </w:p>
        </w:tc>
        <w:tc>
          <w:tcPr>
            <w:tcW w:w="1080" w:type="dxa"/>
            <w:tcBorders>
              <w:top w:val="nil"/>
              <w:left w:val="nil"/>
              <w:bottom w:val="nil"/>
              <w:right w:val="nil"/>
            </w:tcBorders>
            <w:shd w:val="clear" w:color="auto" w:fill="auto"/>
            <w:noWrap/>
            <w:vAlign w:val="bottom"/>
            <w:hideMark/>
          </w:tcPr>
          <w:p w:rsidR="00B44FED" w:rsidRPr="00CD6E56" w:rsidP="00B44FED" w14:paraId="65B6837B" w14:textId="77777777">
            <w:pPr>
              <w:rPr>
                <w:sz w:val="20"/>
                <w:szCs w:val="20"/>
              </w:rPr>
            </w:pPr>
          </w:p>
        </w:tc>
      </w:tr>
      <w:tr w14:paraId="57F4E6E3" w14:textId="77777777">
        <w:tblPrEx>
          <w:tblW w:w="14215" w:type="dxa"/>
          <w:jc w:val="center"/>
          <w:tblLook w:val="04A0"/>
        </w:tblPrEx>
        <w:trPr>
          <w:trHeight w:val="255"/>
          <w:jc w:val="center"/>
        </w:trPr>
        <w:tc>
          <w:tcPr>
            <w:tcW w:w="4225" w:type="dxa"/>
            <w:tcBorders>
              <w:top w:val="nil"/>
              <w:left w:val="nil"/>
              <w:bottom w:val="nil"/>
              <w:right w:val="nil"/>
            </w:tcBorders>
            <w:shd w:val="clear" w:color="auto" w:fill="auto"/>
            <w:noWrap/>
            <w:hideMark/>
          </w:tcPr>
          <w:p w:rsidR="00B44FED" w:rsidRPr="00CD6E56" w:rsidP="00B44FED" w14:paraId="745410C7" w14:textId="77777777">
            <w:pPr>
              <w:rPr>
                <w:b/>
                <w:bCs/>
                <w:color w:val="000000"/>
                <w:sz w:val="20"/>
                <w:szCs w:val="20"/>
              </w:rPr>
            </w:pPr>
            <w:r w:rsidRPr="00CD6E56">
              <w:rPr>
                <w:b/>
                <w:bCs/>
                <w:color w:val="000000"/>
                <w:sz w:val="20"/>
                <w:szCs w:val="20"/>
              </w:rPr>
              <w:t>Assumptions:</w:t>
            </w:r>
          </w:p>
        </w:tc>
        <w:tc>
          <w:tcPr>
            <w:tcW w:w="1350" w:type="dxa"/>
            <w:tcBorders>
              <w:top w:val="nil"/>
              <w:left w:val="nil"/>
              <w:bottom w:val="nil"/>
              <w:right w:val="nil"/>
            </w:tcBorders>
            <w:shd w:val="clear" w:color="auto" w:fill="auto"/>
            <w:noWrap/>
            <w:vAlign w:val="bottom"/>
            <w:hideMark/>
          </w:tcPr>
          <w:p w:rsidR="00B44FED" w:rsidRPr="00CD6E56" w:rsidP="00B44FED" w14:paraId="5814924F" w14:textId="77777777">
            <w:pPr>
              <w:rPr>
                <w:b/>
                <w:bCs/>
                <w:color w:val="000000"/>
                <w:sz w:val="20"/>
                <w:szCs w:val="20"/>
              </w:rPr>
            </w:pPr>
          </w:p>
        </w:tc>
        <w:tc>
          <w:tcPr>
            <w:tcW w:w="1350" w:type="dxa"/>
            <w:tcBorders>
              <w:top w:val="nil"/>
              <w:left w:val="nil"/>
              <w:bottom w:val="nil"/>
              <w:right w:val="nil"/>
            </w:tcBorders>
            <w:shd w:val="clear" w:color="auto" w:fill="auto"/>
            <w:noWrap/>
            <w:vAlign w:val="bottom"/>
            <w:hideMark/>
          </w:tcPr>
          <w:p w:rsidR="00B44FED" w:rsidRPr="00CD6E56" w:rsidP="00B44FED" w14:paraId="283DCFD2" w14:textId="77777777">
            <w:pPr>
              <w:rPr>
                <w:sz w:val="20"/>
                <w:szCs w:val="20"/>
              </w:rPr>
            </w:pPr>
          </w:p>
        </w:tc>
        <w:tc>
          <w:tcPr>
            <w:tcW w:w="1350" w:type="dxa"/>
            <w:tcBorders>
              <w:top w:val="nil"/>
              <w:left w:val="nil"/>
              <w:bottom w:val="nil"/>
              <w:right w:val="nil"/>
            </w:tcBorders>
            <w:shd w:val="clear" w:color="auto" w:fill="auto"/>
            <w:noWrap/>
            <w:vAlign w:val="bottom"/>
            <w:hideMark/>
          </w:tcPr>
          <w:p w:rsidR="00B44FED" w:rsidRPr="00CD6E56" w:rsidP="00B44FED" w14:paraId="665A6D13" w14:textId="77777777">
            <w:pPr>
              <w:rPr>
                <w:sz w:val="20"/>
                <w:szCs w:val="20"/>
              </w:rPr>
            </w:pPr>
          </w:p>
        </w:tc>
        <w:tc>
          <w:tcPr>
            <w:tcW w:w="900" w:type="dxa"/>
            <w:tcBorders>
              <w:top w:val="nil"/>
              <w:left w:val="nil"/>
              <w:bottom w:val="nil"/>
              <w:right w:val="nil"/>
            </w:tcBorders>
            <w:shd w:val="clear" w:color="auto" w:fill="auto"/>
            <w:noWrap/>
            <w:vAlign w:val="bottom"/>
            <w:hideMark/>
          </w:tcPr>
          <w:p w:rsidR="00B44FED" w:rsidRPr="00CD6E56" w:rsidP="00B44FED" w14:paraId="36175E2D" w14:textId="77777777">
            <w:pPr>
              <w:rPr>
                <w:sz w:val="20"/>
                <w:szCs w:val="20"/>
              </w:rPr>
            </w:pPr>
          </w:p>
        </w:tc>
        <w:tc>
          <w:tcPr>
            <w:tcW w:w="1440" w:type="dxa"/>
            <w:tcBorders>
              <w:top w:val="nil"/>
              <w:left w:val="nil"/>
              <w:bottom w:val="nil"/>
              <w:right w:val="nil"/>
            </w:tcBorders>
            <w:shd w:val="clear" w:color="auto" w:fill="auto"/>
            <w:noWrap/>
            <w:vAlign w:val="bottom"/>
            <w:hideMark/>
          </w:tcPr>
          <w:p w:rsidR="00B44FED" w:rsidRPr="00CD6E56" w:rsidP="00B44FED" w14:paraId="3984A9E2" w14:textId="77777777">
            <w:pPr>
              <w:rPr>
                <w:sz w:val="20"/>
                <w:szCs w:val="20"/>
              </w:rPr>
            </w:pPr>
          </w:p>
        </w:tc>
        <w:tc>
          <w:tcPr>
            <w:tcW w:w="1350" w:type="dxa"/>
            <w:tcBorders>
              <w:top w:val="nil"/>
              <w:left w:val="nil"/>
              <w:bottom w:val="nil"/>
              <w:right w:val="nil"/>
            </w:tcBorders>
            <w:shd w:val="clear" w:color="auto" w:fill="auto"/>
            <w:noWrap/>
            <w:vAlign w:val="bottom"/>
            <w:hideMark/>
          </w:tcPr>
          <w:p w:rsidR="00B44FED" w:rsidRPr="00CD6E56" w:rsidP="00B44FED" w14:paraId="31760C28" w14:textId="77777777">
            <w:pPr>
              <w:rPr>
                <w:sz w:val="20"/>
                <w:szCs w:val="20"/>
              </w:rPr>
            </w:pPr>
          </w:p>
        </w:tc>
        <w:tc>
          <w:tcPr>
            <w:tcW w:w="1170" w:type="dxa"/>
            <w:tcBorders>
              <w:top w:val="nil"/>
              <w:left w:val="nil"/>
              <w:bottom w:val="nil"/>
              <w:right w:val="nil"/>
            </w:tcBorders>
            <w:shd w:val="clear" w:color="auto" w:fill="auto"/>
            <w:noWrap/>
            <w:vAlign w:val="bottom"/>
            <w:hideMark/>
          </w:tcPr>
          <w:p w:rsidR="00B44FED" w:rsidRPr="00CD6E56" w:rsidP="00B44FED" w14:paraId="18BD3832" w14:textId="77777777">
            <w:pPr>
              <w:rPr>
                <w:sz w:val="20"/>
                <w:szCs w:val="20"/>
              </w:rPr>
            </w:pPr>
          </w:p>
        </w:tc>
        <w:tc>
          <w:tcPr>
            <w:tcW w:w="1080" w:type="dxa"/>
            <w:tcBorders>
              <w:top w:val="nil"/>
              <w:left w:val="nil"/>
              <w:bottom w:val="nil"/>
              <w:right w:val="nil"/>
            </w:tcBorders>
            <w:shd w:val="clear" w:color="auto" w:fill="auto"/>
            <w:noWrap/>
            <w:vAlign w:val="bottom"/>
            <w:hideMark/>
          </w:tcPr>
          <w:p w:rsidR="00B44FED" w:rsidRPr="00CD6E56" w:rsidP="00B44FED" w14:paraId="2E218B97" w14:textId="77777777">
            <w:pPr>
              <w:rPr>
                <w:sz w:val="20"/>
                <w:szCs w:val="20"/>
              </w:rPr>
            </w:pPr>
          </w:p>
        </w:tc>
      </w:tr>
      <w:tr w14:paraId="68493113" w14:textId="77777777">
        <w:tblPrEx>
          <w:tblW w:w="14215" w:type="dxa"/>
          <w:jc w:val="center"/>
          <w:tblLook w:val="04A0"/>
        </w:tblPrEx>
        <w:trPr>
          <w:trHeight w:val="570"/>
          <w:jc w:val="center"/>
        </w:trPr>
        <w:tc>
          <w:tcPr>
            <w:tcW w:w="14215" w:type="dxa"/>
            <w:gridSpan w:val="9"/>
            <w:tcBorders>
              <w:top w:val="nil"/>
              <w:left w:val="nil"/>
              <w:bottom w:val="nil"/>
              <w:right w:val="nil"/>
            </w:tcBorders>
            <w:shd w:val="clear" w:color="auto" w:fill="auto"/>
            <w:hideMark/>
          </w:tcPr>
          <w:p w:rsidR="00B44FED" w:rsidRPr="00CD6E56" w:rsidP="00B44FED" w14:paraId="694A73CB" w14:textId="77777777">
            <w:pPr>
              <w:rPr>
                <w:color w:val="000000"/>
                <w:sz w:val="20"/>
                <w:szCs w:val="20"/>
              </w:rPr>
            </w:pPr>
            <w:r w:rsidRPr="00CD6E56">
              <w:rPr>
                <w:color w:val="000000"/>
                <w:sz w:val="20"/>
                <w:szCs w:val="20"/>
                <w:vertAlign w:val="superscript"/>
              </w:rPr>
              <w:t>a</w:t>
            </w:r>
            <w:r w:rsidRPr="00CD6E56">
              <w:rPr>
                <w:color w:val="000000"/>
                <w:sz w:val="20"/>
                <w:szCs w:val="20"/>
              </w:rPr>
              <w:t xml:space="preserve"> We have assumed that the average number of respondents that will be subject to the rule will be three. There will be no additional new source per year that will become subject to the rule over the 3-year period of this ICR.</w:t>
            </w:r>
          </w:p>
        </w:tc>
      </w:tr>
      <w:tr w14:paraId="3F579D67" w14:textId="77777777">
        <w:tblPrEx>
          <w:tblW w:w="14215" w:type="dxa"/>
          <w:jc w:val="center"/>
          <w:tblLook w:val="04A0"/>
        </w:tblPrEx>
        <w:trPr>
          <w:trHeight w:val="870"/>
          <w:jc w:val="center"/>
        </w:trPr>
        <w:tc>
          <w:tcPr>
            <w:tcW w:w="14215" w:type="dxa"/>
            <w:gridSpan w:val="9"/>
            <w:tcBorders>
              <w:top w:val="nil"/>
              <w:left w:val="nil"/>
              <w:bottom w:val="nil"/>
              <w:right w:val="nil"/>
            </w:tcBorders>
            <w:shd w:val="clear" w:color="auto" w:fill="auto"/>
            <w:hideMark/>
          </w:tcPr>
          <w:p w:rsidR="00B44FED" w:rsidRPr="00CD6E56" w:rsidP="00B44FED" w14:paraId="5AEC892E" w14:textId="22E3B26C">
            <w:pPr>
              <w:rPr>
                <w:color w:val="000000"/>
                <w:sz w:val="20"/>
                <w:szCs w:val="20"/>
              </w:rPr>
            </w:pPr>
            <w:r w:rsidRPr="00CD6E56">
              <w:rPr>
                <w:color w:val="000000"/>
                <w:sz w:val="20"/>
                <w:szCs w:val="20"/>
                <w:vertAlign w:val="superscript"/>
              </w:rPr>
              <w:t>b</w:t>
            </w:r>
            <w:r>
              <w:rPr>
                <w:color w:val="000000"/>
                <w:sz w:val="20"/>
                <w:szCs w:val="20"/>
              </w:rPr>
              <w:t xml:space="preserve"> </w:t>
            </w:r>
            <w:r w:rsidRPr="00B44FED">
              <w:rPr>
                <w:color w:val="000000"/>
                <w:sz w:val="20"/>
                <w:szCs w:val="20"/>
              </w:rPr>
              <w:t xml:space="preserve">This cost is based on the average hourly labor rate as follows: Managerial $76.91 (GS-13, Step 5, $48.07 + 60%); Technical $57.07 (GS-12, Step 1, $35.67 + 60%); and Clerical $30.88 (GS-6, Step 3, $19.30+ 60%). This ICR assumes that Managerial hours are 5 percent of </w:t>
            </w:r>
            <w:r w:rsidRPr="00B44FED">
              <w:rPr>
                <w:color w:val="000000"/>
                <w:sz w:val="20"/>
                <w:szCs w:val="20"/>
              </w:rPr>
              <w:t>Technical</w:t>
            </w:r>
            <w:r w:rsidRPr="00B44FED">
              <w:rPr>
                <w:color w:val="000000"/>
                <w:sz w:val="20"/>
                <w:szCs w:val="20"/>
              </w:rPr>
              <w:t xml:space="preserve">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r>
      <w:tr w14:paraId="31C1A3DC" w14:textId="77777777">
        <w:tblPrEx>
          <w:tblW w:w="14215" w:type="dxa"/>
          <w:jc w:val="center"/>
          <w:tblLook w:val="04A0"/>
        </w:tblPrEx>
        <w:trPr>
          <w:trHeight w:val="315"/>
          <w:jc w:val="center"/>
        </w:trPr>
        <w:tc>
          <w:tcPr>
            <w:tcW w:w="14215" w:type="dxa"/>
            <w:gridSpan w:val="9"/>
            <w:tcBorders>
              <w:top w:val="nil"/>
              <w:left w:val="nil"/>
              <w:bottom w:val="nil"/>
              <w:right w:val="nil"/>
            </w:tcBorders>
            <w:shd w:val="clear" w:color="auto" w:fill="auto"/>
            <w:noWrap/>
            <w:hideMark/>
          </w:tcPr>
          <w:p w:rsidR="00B44FED" w:rsidRPr="00CD6E56" w:rsidP="00B44FED" w14:paraId="1F3E3D48" w14:textId="77777777">
            <w:pPr>
              <w:rPr>
                <w:color w:val="000000"/>
                <w:sz w:val="20"/>
                <w:szCs w:val="20"/>
              </w:rPr>
            </w:pPr>
            <w:r w:rsidRPr="00CD6E56">
              <w:rPr>
                <w:color w:val="000000"/>
                <w:sz w:val="20"/>
                <w:szCs w:val="20"/>
                <w:vertAlign w:val="superscript"/>
              </w:rPr>
              <w:t>c</w:t>
            </w:r>
            <w:r w:rsidRPr="00CD6E56">
              <w:rPr>
                <w:color w:val="000000"/>
                <w:sz w:val="20"/>
                <w:szCs w:val="20"/>
              </w:rPr>
              <w:t xml:space="preserve"> § 63.9812(f) states that on and after November 19, 2021, facilities may not use </w:t>
            </w:r>
            <w:r w:rsidRPr="00CD6E56">
              <w:rPr>
                <w:color w:val="000000"/>
                <w:sz w:val="20"/>
                <w:szCs w:val="20"/>
              </w:rPr>
              <w:t>a fuel</w:t>
            </w:r>
            <w:r w:rsidRPr="00CD6E56">
              <w:rPr>
                <w:color w:val="000000"/>
                <w:sz w:val="20"/>
                <w:szCs w:val="20"/>
              </w:rPr>
              <w:t xml:space="preserve"> other than natural gas or equivalent to fire the affected kiln.</w:t>
            </w:r>
          </w:p>
        </w:tc>
      </w:tr>
      <w:tr w14:paraId="6B96AE1D" w14:textId="77777777">
        <w:tblPrEx>
          <w:tblW w:w="14215" w:type="dxa"/>
          <w:jc w:val="center"/>
          <w:tblLook w:val="04A0"/>
        </w:tblPrEx>
        <w:trPr>
          <w:trHeight w:val="315"/>
          <w:jc w:val="center"/>
        </w:trPr>
        <w:tc>
          <w:tcPr>
            <w:tcW w:w="14215" w:type="dxa"/>
            <w:gridSpan w:val="9"/>
            <w:tcBorders>
              <w:top w:val="nil"/>
              <w:left w:val="nil"/>
              <w:bottom w:val="nil"/>
              <w:right w:val="nil"/>
            </w:tcBorders>
            <w:shd w:val="clear" w:color="auto" w:fill="auto"/>
            <w:noWrap/>
            <w:hideMark/>
          </w:tcPr>
          <w:p w:rsidR="00B44FED" w:rsidRPr="00CD6E56" w:rsidP="00B44FED" w14:paraId="6CB80B4E" w14:textId="77777777">
            <w:pPr>
              <w:rPr>
                <w:color w:val="000000"/>
                <w:sz w:val="20"/>
                <w:szCs w:val="20"/>
              </w:rPr>
            </w:pPr>
            <w:r w:rsidRPr="00CD6E56">
              <w:rPr>
                <w:color w:val="000000"/>
                <w:sz w:val="20"/>
                <w:szCs w:val="20"/>
                <w:vertAlign w:val="superscript"/>
              </w:rPr>
              <w:t>d</w:t>
            </w:r>
            <w:r w:rsidRPr="00CD6E56">
              <w:rPr>
                <w:color w:val="000000"/>
                <w:sz w:val="20"/>
                <w:szCs w:val="20"/>
              </w:rPr>
              <w:t xml:space="preserve"> We</w:t>
            </w:r>
            <w:r w:rsidRPr="00CD6E56">
              <w:rPr>
                <w:color w:val="000000"/>
                <w:sz w:val="20"/>
                <w:szCs w:val="20"/>
              </w:rPr>
              <w:t xml:space="preserve"> have assumed that two respondents will report deviations once a year.</w:t>
            </w:r>
          </w:p>
        </w:tc>
      </w:tr>
      <w:tr w14:paraId="09796662" w14:textId="77777777">
        <w:tblPrEx>
          <w:tblW w:w="14215" w:type="dxa"/>
          <w:jc w:val="center"/>
          <w:tblLook w:val="04A0"/>
        </w:tblPrEx>
        <w:trPr>
          <w:trHeight w:val="315"/>
          <w:jc w:val="center"/>
        </w:trPr>
        <w:tc>
          <w:tcPr>
            <w:tcW w:w="14215" w:type="dxa"/>
            <w:gridSpan w:val="9"/>
            <w:tcBorders>
              <w:top w:val="nil"/>
              <w:left w:val="nil"/>
              <w:bottom w:val="nil"/>
              <w:right w:val="nil"/>
            </w:tcBorders>
            <w:shd w:val="clear" w:color="auto" w:fill="auto"/>
            <w:noWrap/>
            <w:hideMark/>
          </w:tcPr>
          <w:p w:rsidR="00B44FED" w:rsidRPr="00CD6E56" w:rsidP="00B44FED" w14:paraId="0EA27544" w14:textId="77777777">
            <w:pPr>
              <w:rPr>
                <w:color w:val="000000"/>
                <w:sz w:val="20"/>
                <w:szCs w:val="20"/>
              </w:rPr>
            </w:pPr>
            <w:r w:rsidRPr="00CD6E56">
              <w:rPr>
                <w:color w:val="000000"/>
                <w:sz w:val="20"/>
                <w:szCs w:val="20"/>
                <w:vertAlign w:val="superscript"/>
              </w:rPr>
              <w:t>e</w:t>
            </w:r>
            <w:r w:rsidRPr="00CD6E56">
              <w:rPr>
                <w:color w:val="000000"/>
                <w:sz w:val="20"/>
                <w:szCs w:val="20"/>
              </w:rPr>
              <w:t xml:space="preserve"> We have assumed that one respondent will report no deviations twice a year and that the other two respondents will report no deviations for one of the two semi-annual reports.</w:t>
            </w:r>
          </w:p>
        </w:tc>
      </w:tr>
      <w:tr w14:paraId="2D90923E" w14:textId="77777777">
        <w:tblPrEx>
          <w:tblW w:w="14215" w:type="dxa"/>
          <w:jc w:val="center"/>
          <w:tblLook w:val="04A0"/>
        </w:tblPrEx>
        <w:trPr>
          <w:trHeight w:val="315"/>
          <w:jc w:val="center"/>
        </w:trPr>
        <w:tc>
          <w:tcPr>
            <w:tcW w:w="14215" w:type="dxa"/>
            <w:gridSpan w:val="9"/>
            <w:tcBorders>
              <w:top w:val="nil"/>
              <w:left w:val="nil"/>
              <w:bottom w:val="nil"/>
              <w:right w:val="nil"/>
            </w:tcBorders>
            <w:shd w:val="clear" w:color="auto" w:fill="auto"/>
            <w:noWrap/>
            <w:hideMark/>
          </w:tcPr>
          <w:p w:rsidR="00B44FED" w:rsidRPr="00CD6E56" w:rsidP="00B44FED" w14:paraId="11596551" w14:textId="77777777">
            <w:pPr>
              <w:rPr>
                <w:color w:val="000000"/>
                <w:sz w:val="20"/>
                <w:szCs w:val="20"/>
              </w:rPr>
            </w:pPr>
            <w:r w:rsidRPr="00CD6E56">
              <w:rPr>
                <w:color w:val="000000"/>
                <w:sz w:val="20"/>
                <w:szCs w:val="20"/>
                <w:vertAlign w:val="superscript"/>
              </w:rPr>
              <w:t>f</w:t>
            </w:r>
            <w:r w:rsidRPr="00CD6E56">
              <w:rPr>
                <w:color w:val="000000"/>
                <w:sz w:val="20"/>
                <w:szCs w:val="20"/>
              </w:rPr>
              <w:t xml:space="preserve"> § 63.9814(g) states that on and after November 19, 2021, facilities may not use </w:t>
            </w:r>
            <w:r w:rsidRPr="00CD6E56">
              <w:rPr>
                <w:color w:val="000000"/>
                <w:sz w:val="20"/>
                <w:szCs w:val="20"/>
              </w:rPr>
              <w:t>a fuel</w:t>
            </w:r>
            <w:r w:rsidRPr="00CD6E56">
              <w:rPr>
                <w:color w:val="000000"/>
                <w:sz w:val="20"/>
                <w:szCs w:val="20"/>
              </w:rPr>
              <w:t xml:space="preserve"> other than natural gas or equivalent to fire the affected kiln.</w:t>
            </w:r>
          </w:p>
        </w:tc>
      </w:tr>
      <w:tr w14:paraId="2AF2E128" w14:textId="77777777">
        <w:tblPrEx>
          <w:tblW w:w="14215" w:type="dxa"/>
          <w:jc w:val="center"/>
          <w:tblLook w:val="04A0"/>
        </w:tblPrEx>
        <w:trPr>
          <w:trHeight w:val="315"/>
          <w:jc w:val="center"/>
        </w:trPr>
        <w:tc>
          <w:tcPr>
            <w:tcW w:w="14215" w:type="dxa"/>
            <w:gridSpan w:val="9"/>
            <w:tcBorders>
              <w:top w:val="nil"/>
              <w:left w:val="nil"/>
              <w:bottom w:val="nil"/>
              <w:right w:val="nil"/>
            </w:tcBorders>
            <w:shd w:val="clear" w:color="auto" w:fill="auto"/>
            <w:noWrap/>
            <w:hideMark/>
          </w:tcPr>
          <w:p w:rsidR="00B44FED" w:rsidRPr="00CD6E56" w:rsidP="00B44FED" w14:paraId="1E4728BF" w14:textId="77777777">
            <w:pPr>
              <w:rPr>
                <w:color w:val="000000"/>
                <w:sz w:val="20"/>
                <w:szCs w:val="20"/>
              </w:rPr>
            </w:pPr>
            <w:r w:rsidRPr="00CD6E56">
              <w:rPr>
                <w:color w:val="000000"/>
                <w:sz w:val="20"/>
                <w:szCs w:val="20"/>
                <w:vertAlign w:val="superscript"/>
              </w:rPr>
              <w:t>g</w:t>
            </w:r>
            <w:r w:rsidRPr="00CD6E56">
              <w:rPr>
                <w:color w:val="000000"/>
                <w:sz w:val="20"/>
                <w:szCs w:val="20"/>
              </w:rPr>
              <w:t xml:space="preserve"> Totals have been rounded to 3 significant values.</w:t>
            </w:r>
            <w:r>
              <w:rPr>
                <w:color w:val="000000"/>
                <w:sz w:val="20"/>
                <w:szCs w:val="20"/>
              </w:rPr>
              <w:t xml:space="preserve"> </w:t>
            </w:r>
            <w:r w:rsidRPr="00CD6E56">
              <w:rPr>
                <w:color w:val="000000"/>
                <w:sz w:val="20"/>
                <w:szCs w:val="20"/>
              </w:rPr>
              <w:t xml:space="preserve">Figures may not </w:t>
            </w:r>
            <w:r w:rsidRPr="00CD6E56">
              <w:rPr>
                <w:color w:val="000000"/>
                <w:sz w:val="20"/>
                <w:szCs w:val="20"/>
              </w:rPr>
              <w:t>add</w:t>
            </w:r>
            <w:r w:rsidRPr="00CD6E56">
              <w:rPr>
                <w:color w:val="000000"/>
                <w:sz w:val="20"/>
                <w:szCs w:val="20"/>
              </w:rPr>
              <w:t xml:space="preserve"> exactly due to rounding.</w:t>
            </w:r>
          </w:p>
        </w:tc>
      </w:tr>
    </w:tbl>
    <w:p w:rsidR="00F7120A" w:rsidRPr="00D54DCD" w:rsidP="00F7120A" w14:paraId="42B49718" w14:textId="77777777">
      <w:pPr>
        <w:rPr>
          <w:b/>
          <w:bCs/>
          <w:color w:val="000000"/>
        </w:rPr>
      </w:pPr>
    </w:p>
    <w:p w:rsidR="0044373B" w:rsidRPr="007F5384" w:rsidP="001641AA" w14:paraId="114DB506" w14:textId="77777777">
      <w:pPr>
        <w:spacing w:before="240"/>
        <w:rPr>
          <w:rFonts w:cstheme="minorHAnsi"/>
          <w:b/>
          <w:bCs/>
          <w:sz w:val="24"/>
          <w:szCs w:val="24"/>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2CEDA5" w14:textId="77777777">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F12869" w14:paraId="7AFEE363" w14:textId="77777777">
            <w:pPr>
              <w:spacing w:line="120" w:lineRule="exact"/>
              <w:rPr>
                <w:color w:val="000000"/>
              </w:rPr>
            </w:pPr>
          </w:p>
          <w:p w:rsidR="00F12869" w14:paraId="1F664334"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516B1DAE" w14:textId="77777777">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F12869" w14:paraId="23A59EEC" w14:textId="77777777">
            <w:pPr>
              <w:spacing w:line="120" w:lineRule="exact"/>
              <w:rPr>
                <w:b/>
                <w:bCs/>
                <w:color w:val="000000"/>
              </w:rPr>
            </w:pPr>
          </w:p>
          <w:p w:rsidR="00F12869" w14:paraId="23CE7E41"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F12869" w14:paraId="43CE5822" w14:textId="77777777">
            <w:pPr>
              <w:spacing w:line="120" w:lineRule="exact"/>
              <w:rPr>
                <w:color w:val="000000"/>
                <w:sz w:val="18"/>
                <w:szCs w:val="18"/>
              </w:rPr>
            </w:pPr>
          </w:p>
          <w:p w:rsidR="00F12869" w14:paraId="5E17E5F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F12869" w14:paraId="55DF32B7" w14:textId="77777777">
            <w:pPr>
              <w:spacing w:line="120" w:lineRule="exact"/>
              <w:rPr>
                <w:color w:val="000000"/>
                <w:sz w:val="18"/>
                <w:szCs w:val="18"/>
              </w:rPr>
            </w:pPr>
          </w:p>
          <w:p w:rsidR="00F12869" w14:paraId="6EA97078"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F12869" w14:paraId="754C8B33" w14:textId="77777777">
            <w:pPr>
              <w:spacing w:line="120" w:lineRule="exact"/>
              <w:rPr>
                <w:color w:val="000000"/>
                <w:sz w:val="18"/>
                <w:szCs w:val="18"/>
              </w:rPr>
            </w:pPr>
          </w:p>
          <w:p w:rsidR="00F12869" w14:paraId="14851B0A"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63CA22F" w14:textId="77777777">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F12869" w14:paraId="155E8E41" w14:textId="77777777">
            <w:pPr>
              <w:spacing w:line="120" w:lineRule="exact"/>
              <w:rPr>
                <w:color w:val="000000"/>
                <w:sz w:val="18"/>
                <w:szCs w:val="18"/>
              </w:rPr>
            </w:pPr>
          </w:p>
          <w:p w:rsidR="00F12869" w14:paraId="6784189F"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F12869" w14:paraId="51B170C4"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F12869" w14:paraId="1F3FE35A" w14:textId="77777777">
            <w:pPr>
              <w:spacing w:line="120" w:lineRule="exact"/>
              <w:rPr>
                <w:color w:val="000000"/>
                <w:sz w:val="20"/>
                <w:szCs w:val="20"/>
              </w:rPr>
            </w:pPr>
          </w:p>
          <w:p w:rsidR="00F12869" w14:paraId="7101A67E"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F12869" w14:paraId="675D35D1" w14:textId="0E80E49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sidR="003B07CD">
              <w:rPr>
                <w:color w:val="000000"/>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tcPr>
          <w:p w:rsidR="00F12869" w14:paraId="7DE6917A" w14:textId="77777777">
            <w:pPr>
              <w:spacing w:line="120" w:lineRule="exact"/>
              <w:rPr>
                <w:color w:val="000000"/>
                <w:sz w:val="20"/>
                <w:szCs w:val="20"/>
              </w:rPr>
            </w:pPr>
          </w:p>
          <w:p w:rsidR="00F12869" w14:paraId="1167ED8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F12869" w14:paraId="5B0F553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F12869" w14:paraId="7643FEC8" w14:textId="77777777">
            <w:pPr>
              <w:spacing w:line="120" w:lineRule="exact"/>
              <w:rPr>
                <w:color w:val="000000"/>
                <w:sz w:val="20"/>
                <w:szCs w:val="20"/>
              </w:rPr>
            </w:pPr>
          </w:p>
          <w:p w:rsidR="00F12869" w14:paraId="2992318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F12869" w14:paraId="6882A6B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F12869" w14:paraId="774192F0" w14:textId="77777777">
            <w:pPr>
              <w:spacing w:line="120" w:lineRule="exact"/>
              <w:rPr>
                <w:color w:val="000000"/>
                <w:sz w:val="20"/>
                <w:szCs w:val="20"/>
              </w:rPr>
            </w:pPr>
          </w:p>
          <w:p w:rsidR="00F12869" w14:paraId="29AEFBB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F12869" w14:paraId="38FAB4E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F12869" w14:paraId="04FAE893" w14:textId="77777777">
            <w:pPr>
              <w:spacing w:line="120" w:lineRule="exact"/>
              <w:rPr>
                <w:color w:val="000000"/>
                <w:sz w:val="20"/>
                <w:szCs w:val="20"/>
              </w:rPr>
            </w:pPr>
          </w:p>
          <w:p w:rsidR="00F12869" w14:paraId="28B8FD09"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F12869" w14:paraId="5BD00D7F"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F12869" w14:paraId="57A2A91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4C803DEB" w14:textId="77777777">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F12869" w14:paraId="2F26909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F12869" w:rsidRPr="0067187C" w14:paraId="7586789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67187C">
              <w:rPr>
                <w:sz w:val="20"/>
                <w:szCs w:val="20"/>
              </w:rPr>
              <w:t>0</w:t>
            </w:r>
          </w:p>
        </w:tc>
        <w:tc>
          <w:tcPr>
            <w:tcW w:w="1282" w:type="dxa"/>
            <w:tcBorders>
              <w:top w:val="single" w:sz="8" w:space="0" w:color="000000"/>
              <w:left w:val="single" w:sz="6" w:space="0" w:color="000000"/>
              <w:bottom w:val="single" w:sz="6" w:space="0" w:color="000000"/>
              <w:right w:val="single" w:sz="6" w:space="0" w:color="000000"/>
            </w:tcBorders>
          </w:tcPr>
          <w:p w:rsidR="00F12869" w:rsidRPr="0067187C" w14:paraId="42CD942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67187C">
              <w:rPr>
                <w:sz w:val="20"/>
                <w:szCs w:val="20"/>
              </w:rPr>
              <w:t>3</w:t>
            </w:r>
          </w:p>
        </w:tc>
        <w:tc>
          <w:tcPr>
            <w:tcW w:w="2070" w:type="dxa"/>
            <w:tcBorders>
              <w:top w:val="single" w:sz="8" w:space="0" w:color="000000"/>
              <w:left w:val="single" w:sz="6" w:space="0" w:color="000000"/>
              <w:bottom w:val="single" w:sz="6" w:space="0" w:color="000000"/>
              <w:right w:val="single" w:sz="6" w:space="0" w:color="000000"/>
            </w:tcBorders>
          </w:tcPr>
          <w:p w:rsidR="00F12869" w:rsidRPr="0067187C" w14:paraId="63BA28E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67187C">
              <w:rPr>
                <w:sz w:val="20"/>
                <w:szCs w:val="20"/>
              </w:rPr>
              <w:t>0</w:t>
            </w:r>
          </w:p>
        </w:tc>
        <w:tc>
          <w:tcPr>
            <w:tcW w:w="1800" w:type="dxa"/>
            <w:tcBorders>
              <w:top w:val="single" w:sz="8" w:space="0" w:color="000000"/>
              <w:left w:val="single" w:sz="6" w:space="0" w:color="000000"/>
              <w:bottom w:val="single" w:sz="6" w:space="0" w:color="000000"/>
              <w:right w:val="single" w:sz="6" w:space="0" w:color="000000"/>
            </w:tcBorders>
          </w:tcPr>
          <w:p w:rsidR="00F12869" w:rsidRPr="0067187C" w14:paraId="77C1479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67187C">
              <w:rPr>
                <w:sz w:val="20"/>
                <w:szCs w:val="20"/>
              </w:rPr>
              <w:t>0</w:t>
            </w:r>
          </w:p>
        </w:tc>
        <w:tc>
          <w:tcPr>
            <w:tcW w:w="1710" w:type="dxa"/>
            <w:tcBorders>
              <w:top w:val="single" w:sz="8" w:space="0" w:color="000000"/>
              <w:left w:val="single" w:sz="6" w:space="0" w:color="000000"/>
              <w:bottom w:val="single" w:sz="6" w:space="0" w:color="000000"/>
              <w:right w:val="single" w:sz="8" w:space="0" w:color="000000"/>
            </w:tcBorders>
          </w:tcPr>
          <w:p w:rsidR="00F12869" w:rsidRPr="0067187C" w14:paraId="4CE37159"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67187C">
              <w:rPr>
                <w:sz w:val="20"/>
                <w:szCs w:val="20"/>
              </w:rPr>
              <w:t>3</w:t>
            </w:r>
          </w:p>
        </w:tc>
      </w:tr>
      <w:tr w14:paraId="4A935E9D" w14:textId="77777777">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F12869" w14:paraId="6ED4515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F12869" w:rsidRPr="0067187C" w14:paraId="6242335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67187C">
              <w:rPr>
                <w:sz w:val="20"/>
                <w:szCs w:val="20"/>
              </w:rPr>
              <w:t>0</w:t>
            </w:r>
          </w:p>
        </w:tc>
        <w:tc>
          <w:tcPr>
            <w:tcW w:w="1282" w:type="dxa"/>
            <w:tcBorders>
              <w:top w:val="single" w:sz="6" w:space="0" w:color="000000"/>
              <w:left w:val="single" w:sz="6" w:space="0" w:color="000000"/>
              <w:bottom w:val="single" w:sz="6" w:space="0" w:color="000000"/>
              <w:right w:val="single" w:sz="6" w:space="0" w:color="000000"/>
            </w:tcBorders>
          </w:tcPr>
          <w:p w:rsidR="00F12869" w:rsidRPr="0067187C" w14:paraId="20B7EF9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67187C">
              <w:rPr>
                <w:sz w:val="20"/>
                <w:szCs w:val="20"/>
              </w:rPr>
              <w:t>3</w:t>
            </w:r>
          </w:p>
        </w:tc>
        <w:tc>
          <w:tcPr>
            <w:tcW w:w="2070" w:type="dxa"/>
            <w:tcBorders>
              <w:top w:val="single" w:sz="6" w:space="0" w:color="000000"/>
              <w:left w:val="single" w:sz="6" w:space="0" w:color="000000"/>
              <w:bottom w:val="single" w:sz="6" w:space="0" w:color="000000"/>
              <w:right w:val="single" w:sz="6" w:space="0" w:color="000000"/>
            </w:tcBorders>
          </w:tcPr>
          <w:p w:rsidR="00F12869" w:rsidRPr="0067187C" w14:paraId="4B6E3D2E"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67187C">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rsidR="00F12869" w:rsidRPr="0067187C" w14:paraId="5F2DEDB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67187C">
              <w:rPr>
                <w:sz w:val="20"/>
                <w:szCs w:val="20"/>
              </w:rPr>
              <w:t>0</w:t>
            </w:r>
          </w:p>
        </w:tc>
        <w:tc>
          <w:tcPr>
            <w:tcW w:w="1710" w:type="dxa"/>
            <w:tcBorders>
              <w:top w:val="single" w:sz="6" w:space="0" w:color="000000"/>
              <w:left w:val="single" w:sz="6" w:space="0" w:color="000000"/>
              <w:bottom w:val="single" w:sz="6" w:space="0" w:color="000000"/>
              <w:right w:val="single" w:sz="8" w:space="0" w:color="000000"/>
            </w:tcBorders>
          </w:tcPr>
          <w:p w:rsidR="00F12869" w:rsidRPr="0067187C" w14:paraId="0004934B"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67187C">
              <w:rPr>
                <w:sz w:val="20"/>
                <w:szCs w:val="20"/>
              </w:rPr>
              <w:t>3</w:t>
            </w:r>
          </w:p>
        </w:tc>
      </w:tr>
      <w:tr w14:paraId="3920F533" w14:textId="77777777">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F12869" w14:paraId="12A199F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F12869" w:rsidRPr="0067187C" w14:paraId="5C9D1DEE"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67187C">
              <w:rPr>
                <w:sz w:val="20"/>
                <w:szCs w:val="20"/>
              </w:rPr>
              <w:t>0</w:t>
            </w:r>
          </w:p>
        </w:tc>
        <w:tc>
          <w:tcPr>
            <w:tcW w:w="1282" w:type="dxa"/>
            <w:tcBorders>
              <w:top w:val="single" w:sz="6" w:space="0" w:color="000000"/>
              <w:left w:val="single" w:sz="6" w:space="0" w:color="000000"/>
              <w:bottom w:val="single" w:sz="6" w:space="0" w:color="000000"/>
              <w:right w:val="single" w:sz="6" w:space="0" w:color="000000"/>
            </w:tcBorders>
          </w:tcPr>
          <w:p w:rsidR="00F12869" w:rsidRPr="0067187C" w14:paraId="129214F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67187C">
              <w:rPr>
                <w:sz w:val="20"/>
                <w:szCs w:val="20"/>
              </w:rPr>
              <w:t>3</w:t>
            </w:r>
          </w:p>
        </w:tc>
        <w:tc>
          <w:tcPr>
            <w:tcW w:w="2070" w:type="dxa"/>
            <w:tcBorders>
              <w:top w:val="single" w:sz="6" w:space="0" w:color="000000"/>
              <w:left w:val="single" w:sz="6" w:space="0" w:color="000000"/>
              <w:bottom w:val="single" w:sz="6" w:space="0" w:color="000000"/>
              <w:right w:val="single" w:sz="6" w:space="0" w:color="000000"/>
            </w:tcBorders>
          </w:tcPr>
          <w:p w:rsidR="00F12869" w:rsidRPr="0067187C" w14:paraId="093A4775"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67187C">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rsidR="00F12869" w:rsidRPr="0067187C" w14:paraId="1BD4082E"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67187C">
              <w:rPr>
                <w:sz w:val="20"/>
                <w:szCs w:val="20"/>
              </w:rPr>
              <w:t>0</w:t>
            </w:r>
          </w:p>
        </w:tc>
        <w:tc>
          <w:tcPr>
            <w:tcW w:w="1710" w:type="dxa"/>
            <w:tcBorders>
              <w:top w:val="single" w:sz="6" w:space="0" w:color="000000"/>
              <w:left w:val="single" w:sz="6" w:space="0" w:color="000000"/>
              <w:bottom w:val="single" w:sz="6" w:space="0" w:color="000000"/>
              <w:right w:val="single" w:sz="8" w:space="0" w:color="000000"/>
            </w:tcBorders>
          </w:tcPr>
          <w:p w:rsidR="00F12869" w:rsidRPr="0067187C" w14:paraId="304A9AC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67187C">
              <w:rPr>
                <w:sz w:val="20"/>
                <w:szCs w:val="20"/>
              </w:rPr>
              <w:t>3</w:t>
            </w:r>
          </w:p>
        </w:tc>
      </w:tr>
      <w:tr w14:paraId="592EED10" w14:textId="77777777">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vAlign w:val="center"/>
          </w:tcPr>
          <w:p w:rsidR="00F12869" w14:paraId="406B79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F12869" w:rsidRPr="0067187C" w14:paraId="762A748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67187C">
              <w:rPr>
                <w:sz w:val="20"/>
                <w:szCs w:val="20"/>
              </w:rPr>
              <w:t>0</w:t>
            </w:r>
          </w:p>
        </w:tc>
        <w:tc>
          <w:tcPr>
            <w:tcW w:w="1282" w:type="dxa"/>
            <w:tcBorders>
              <w:top w:val="single" w:sz="6" w:space="0" w:color="000000"/>
              <w:left w:val="single" w:sz="6" w:space="0" w:color="000000"/>
              <w:bottom w:val="single" w:sz="8" w:space="0" w:color="000000"/>
              <w:right w:val="single" w:sz="6" w:space="0" w:color="000000"/>
            </w:tcBorders>
          </w:tcPr>
          <w:p w:rsidR="00F12869" w:rsidRPr="0067187C" w14:paraId="55C4EDE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67187C">
              <w:rPr>
                <w:sz w:val="20"/>
                <w:szCs w:val="20"/>
              </w:rPr>
              <w:t>3</w:t>
            </w:r>
          </w:p>
        </w:tc>
        <w:tc>
          <w:tcPr>
            <w:tcW w:w="2070" w:type="dxa"/>
            <w:tcBorders>
              <w:top w:val="single" w:sz="6" w:space="0" w:color="000000"/>
              <w:left w:val="single" w:sz="6" w:space="0" w:color="000000"/>
              <w:bottom w:val="single" w:sz="8" w:space="0" w:color="000000"/>
              <w:right w:val="single" w:sz="6" w:space="0" w:color="000000"/>
            </w:tcBorders>
          </w:tcPr>
          <w:p w:rsidR="00F12869" w:rsidRPr="0067187C" w14:paraId="7EE6A96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67187C">
              <w:rPr>
                <w:sz w:val="20"/>
                <w:szCs w:val="20"/>
              </w:rPr>
              <w:t>0</w:t>
            </w:r>
          </w:p>
        </w:tc>
        <w:tc>
          <w:tcPr>
            <w:tcW w:w="1800" w:type="dxa"/>
            <w:tcBorders>
              <w:top w:val="single" w:sz="6" w:space="0" w:color="000000"/>
              <w:left w:val="single" w:sz="6" w:space="0" w:color="000000"/>
              <w:bottom w:val="single" w:sz="8" w:space="0" w:color="000000"/>
              <w:right w:val="single" w:sz="6" w:space="0" w:color="000000"/>
            </w:tcBorders>
          </w:tcPr>
          <w:p w:rsidR="00F12869" w:rsidRPr="0067187C" w14:paraId="71FCC38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67187C">
              <w:rPr>
                <w:sz w:val="20"/>
                <w:szCs w:val="20"/>
              </w:rPr>
              <w:t>0</w:t>
            </w:r>
          </w:p>
        </w:tc>
        <w:tc>
          <w:tcPr>
            <w:tcW w:w="1710" w:type="dxa"/>
            <w:tcBorders>
              <w:top w:val="single" w:sz="6" w:space="0" w:color="000000"/>
              <w:left w:val="single" w:sz="6" w:space="0" w:color="000000"/>
              <w:bottom w:val="single" w:sz="8" w:space="0" w:color="000000"/>
              <w:right w:val="single" w:sz="8" w:space="0" w:color="000000"/>
            </w:tcBorders>
          </w:tcPr>
          <w:p w:rsidR="00F12869" w:rsidRPr="0067187C" w14:paraId="08E520FB"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67187C">
              <w:rPr>
                <w:sz w:val="20"/>
                <w:szCs w:val="20"/>
              </w:rPr>
              <w:t>3</w:t>
            </w:r>
          </w:p>
        </w:tc>
      </w:tr>
    </w:tbl>
    <w:p w:rsidR="003B07CD" w:rsidP="003B07CD" w14:paraId="70FA5970" w14:textId="62F307EF">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a</w:t>
      </w:r>
      <w:r>
        <w:rPr>
          <w:color w:val="000000"/>
        </w:rPr>
        <w:t xml:space="preserve"> </w:t>
      </w:r>
      <w:r>
        <w:rPr>
          <w:color w:val="000000"/>
          <w:sz w:val="20"/>
          <w:szCs w:val="20"/>
        </w:rPr>
        <w:t>New</w:t>
      </w:r>
      <w:r>
        <w:rPr>
          <w:color w:val="000000"/>
          <w:sz w:val="20"/>
          <w:szCs w:val="20"/>
        </w:rPr>
        <w:t xml:space="preserve"> respondents include sources with constructed, reconstructed and modified affected facilities.</w:t>
      </w:r>
    </w:p>
    <w:p w:rsidR="00454A34" w:rsidP="00BB3410" w14:paraId="49527DBB" w14:textId="77777777">
      <w:pPr>
        <w:pStyle w:val="ListParagraph"/>
        <w:spacing w:before="240"/>
        <w:ind w:left="0"/>
        <w:rPr>
          <w:rFonts w:cstheme="minorHAnsi"/>
          <w:b/>
          <w:bCs/>
          <w:sz w:val="24"/>
          <w:szCs w:val="24"/>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7D511484" w14:textId="77777777">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D260ED" w14:paraId="70ABDEA3" w14:textId="77777777">
            <w:pPr>
              <w:spacing w:line="120" w:lineRule="exact"/>
              <w:rPr>
                <w:color w:val="000000"/>
              </w:rPr>
            </w:pPr>
          </w:p>
          <w:p w:rsidR="00D260ED" w14:paraId="0C88F5F9"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7438BA3D" w14:textId="77777777">
        <w:tblPrEx>
          <w:tblW w:w="9180" w:type="dxa"/>
          <w:tblInd w:w="201" w:type="dxa"/>
          <w:tblLayout w:type="fixed"/>
          <w:tblCellMar>
            <w:left w:w="111" w:type="dxa"/>
            <w:right w:w="111" w:type="dxa"/>
          </w:tblCellMar>
          <w:tblLook w:val="0000"/>
        </w:tblPrEx>
        <w:tc>
          <w:tcPr>
            <w:tcW w:w="2700" w:type="dxa"/>
          </w:tcPr>
          <w:p w:rsidR="00D260ED" w14:paraId="2A8CFB99" w14:textId="77777777">
            <w:pPr>
              <w:spacing w:line="120" w:lineRule="exact"/>
              <w:jc w:val="center"/>
              <w:rPr>
                <w:b/>
                <w:bCs/>
                <w:color w:val="000000"/>
                <w:sz w:val="18"/>
                <w:szCs w:val="18"/>
              </w:rPr>
            </w:pPr>
          </w:p>
          <w:p w:rsidR="00D260ED" w14:paraId="7D9CE8E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D260ED" w14:paraId="07A0F63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D260ED" w14:paraId="45114F8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D260ED" w14:paraId="4423C6F4" w14:textId="77777777">
            <w:pPr>
              <w:spacing w:line="120" w:lineRule="exact"/>
              <w:jc w:val="center"/>
              <w:rPr>
                <w:color w:val="000000"/>
                <w:sz w:val="18"/>
                <w:szCs w:val="18"/>
              </w:rPr>
            </w:pPr>
          </w:p>
          <w:p w:rsidR="00D260ED" w14:paraId="2B94563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D260ED" w14:paraId="74BCFC3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D260ED" w14:paraId="11256BB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D260ED" w14:paraId="63A2A7FE" w14:textId="77777777">
            <w:pPr>
              <w:spacing w:line="120" w:lineRule="exact"/>
              <w:jc w:val="center"/>
              <w:rPr>
                <w:color w:val="000000"/>
                <w:sz w:val="18"/>
                <w:szCs w:val="18"/>
              </w:rPr>
            </w:pPr>
          </w:p>
          <w:p w:rsidR="00D260ED" w14:paraId="7213AAE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D260ED" w14:paraId="7790C59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D260ED" w14:paraId="07F867E8"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D260ED" w14:paraId="5FB6D81E" w14:textId="77777777">
            <w:pPr>
              <w:spacing w:line="120" w:lineRule="exact"/>
              <w:jc w:val="center"/>
              <w:rPr>
                <w:color w:val="000000"/>
                <w:sz w:val="18"/>
                <w:szCs w:val="18"/>
              </w:rPr>
            </w:pPr>
          </w:p>
          <w:p w:rsidR="00D260ED" w14:paraId="048DD08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D260ED" w14:paraId="4F8514B8"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Pr>
                <w:color w:val="000000"/>
                <w:sz w:val="18"/>
                <w:szCs w:val="18"/>
              </w:rPr>
              <w:t>But</w:t>
            </w:r>
            <w:r>
              <w:rPr>
                <w:color w:val="000000"/>
                <w:sz w:val="18"/>
                <w:szCs w:val="18"/>
              </w:rPr>
              <w:t xml:space="preserve"> Do Not Submit Reports</w:t>
            </w:r>
          </w:p>
        </w:tc>
        <w:tc>
          <w:tcPr>
            <w:tcW w:w="2070" w:type="dxa"/>
          </w:tcPr>
          <w:p w:rsidR="00D260ED" w14:paraId="3F78BC99" w14:textId="77777777">
            <w:pPr>
              <w:spacing w:line="120" w:lineRule="exact"/>
              <w:jc w:val="center"/>
              <w:rPr>
                <w:color w:val="000000"/>
                <w:sz w:val="18"/>
                <w:szCs w:val="18"/>
              </w:rPr>
            </w:pPr>
          </w:p>
          <w:p w:rsidR="00D260ED" w14:paraId="15E806B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D260ED" w14:paraId="01553DE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D260ED" w14:paraId="3E343742"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2105D304" w14:textId="77777777">
        <w:tblPrEx>
          <w:tblW w:w="9180" w:type="dxa"/>
          <w:tblInd w:w="201" w:type="dxa"/>
          <w:tblLayout w:type="fixed"/>
          <w:tblCellMar>
            <w:left w:w="111" w:type="dxa"/>
            <w:right w:w="111" w:type="dxa"/>
          </w:tblCellMar>
          <w:tblLook w:val="0000"/>
        </w:tblPrEx>
        <w:trPr>
          <w:trHeight w:val="366"/>
        </w:trPr>
        <w:tc>
          <w:tcPr>
            <w:tcW w:w="2700" w:type="dxa"/>
            <w:vAlign w:val="center"/>
          </w:tcPr>
          <w:p w:rsidR="00D260ED" w:rsidRPr="00212237" w14:paraId="3F4DA49B"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12237">
              <w:rPr>
                <w:sz w:val="18"/>
                <w:szCs w:val="18"/>
              </w:rPr>
              <w:t>Notification of applicability</w:t>
            </w:r>
          </w:p>
        </w:tc>
        <w:tc>
          <w:tcPr>
            <w:tcW w:w="1260" w:type="dxa"/>
            <w:vAlign w:val="center"/>
          </w:tcPr>
          <w:p w:rsidR="00D260ED" w:rsidRPr="00212237" w14:paraId="20B09E4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0</w:t>
            </w:r>
          </w:p>
        </w:tc>
        <w:tc>
          <w:tcPr>
            <w:tcW w:w="1260" w:type="dxa"/>
            <w:vAlign w:val="center"/>
          </w:tcPr>
          <w:p w:rsidR="00D260ED" w:rsidRPr="00212237" w14:paraId="32B41C8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1</w:t>
            </w:r>
          </w:p>
        </w:tc>
        <w:tc>
          <w:tcPr>
            <w:tcW w:w="1890" w:type="dxa"/>
            <w:vAlign w:val="center"/>
          </w:tcPr>
          <w:p w:rsidR="00D260ED" w:rsidRPr="00212237" w14:paraId="42B8072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0</w:t>
            </w:r>
          </w:p>
        </w:tc>
        <w:tc>
          <w:tcPr>
            <w:tcW w:w="2070" w:type="dxa"/>
            <w:vAlign w:val="center"/>
          </w:tcPr>
          <w:p w:rsidR="00D260ED" w:rsidRPr="00212237" w14:paraId="28F6D99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0</w:t>
            </w:r>
          </w:p>
        </w:tc>
      </w:tr>
      <w:tr w14:paraId="4216CB51" w14:textId="77777777">
        <w:tblPrEx>
          <w:tblW w:w="9180" w:type="dxa"/>
          <w:tblInd w:w="201" w:type="dxa"/>
          <w:tblLayout w:type="fixed"/>
          <w:tblCellMar>
            <w:left w:w="111" w:type="dxa"/>
            <w:right w:w="111" w:type="dxa"/>
          </w:tblCellMar>
          <w:tblLook w:val="0000"/>
        </w:tblPrEx>
        <w:trPr>
          <w:trHeight w:val="366"/>
        </w:trPr>
        <w:tc>
          <w:tcPr>
            <w:tcW w:w="2700" w:type="dxa"/>
            <w:vAlign w:val="center"/>
          </w:tcPr>
          <w:p w:rsidR="00D260ED" w:rsidRPr="00212237" w14:paraId="777D0888"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12237">
              <w:rPr>
                <w:sz w:val="18"/>
                <w:szCs w:val="18"/>
              </w:rPr>
              <w:t>Notification of construction/reconstruction</w:t>
            </w:r>
          </w:p>
        </w:tc>
        <w:tc>
          <w:tcPr>
            <w:tcW w:w="1260" w:type="dxa"/>
            <w:vAlign w:val="center"/>
          </w:tcPr>
          <w:p w:rsidR="00D260ED" w:rsidRPr="00212237" w14:paraId="12BD3F9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0</w:t>
            </w:r>
          </w:p>
        </w:tc>
        <w:tc>
          <w:tcPr>
            <w:tcW w:w="1260" w:type="dxa"/>
            <w:vAlign w:val="center"/>
          </w:tcPr>
          <w:p w:rsidR="00D260ED" w:rsidRPr="00212237" w14:paraId="013C88C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1</w:t>
            </w:r>
          </w:p>
        </w:tc>
        <w:tc>
          <w:tcPr>
            <w:tcW w:w="1890" w:type="dxa"/>
            <w:vAlign w:val="center"/>
          </w:tcPr>
          <w:p w:rsidR="00D260ED" w:rsidRPr="00212237" w14:paraId="0A56F6E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0</w:t>
            </w:r>
          </w:p>
        </w:tc>
        <w:tc>
          <w:tcPr>
            <w:tcW w:w="2070" w:type="dxa"/>
            <w:vAlign w:val="center"/>
          </w:tcPr>
          <w:p w:rsidR="00D260ED" w:rsidRPr="00212237" w14:paraId="4549FA5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0</w:t>
            </w:r>
          </w:p>
        </w:tc>
      </w:tr>
      <w:tr w14:paraId="3CCB2BEF" w14:textId="77777777">
        <w:tblPrEx>
          <w:tblW w:w="9180" w:type="dxa"/>
          <w:tblInd w:w="201" w:type="dxa"/>
          <w:tblLayout w:type="fixed"/>
          <w:tblCellMar>
            <w:left w:w="111" w:type="dxa"/>
            <w:right w:w="111" w:type="dxa"/>
          </w:tblCellMar>
          <w:tblLook w:val="0000"/>
        </w:tblPrEx>
        <w:trPr>
          <w:trHeight w:val="366"/>
        </w:trPr>
        <w:tc>
          <w:tcPr>
            <w:tcW w:w="2700" w:type="dxa"/>
            <w:vAlign w:val="center"/>
          </w:tcPr>
          <w:p w:rsidR="00D260ED" w:rsidRPr="00212237" w14:paraId="7F82B871"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12237">
              <w:rPr>
                <w:sz w:val="18"/>
                <w:szCs w:val="18"/>
              </w:rPr>
              <w:t>Notification of anticipated startup</w:t>
            </w:r>
          </w:p>
        </w:tc>
        <w:tc>
          <w:tcPr>
            <w:tcW w:w="1260" w:type="dxa"/>
            <w:vAlign w:val="center"/>
          </w:tcPr>
          <w:p w:rsidR="00D260ED" w:rsidRPr="00212237" w14:paraId="54EAB4F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0</w:t>
            </w:r>
          </w:p>
        </w:tc>
        <w:tc>
          <w:tcPr>
            <w:tcW w:w="1260" w:type="dxa"/>
            <w:vAlign w:val="center"/>
          </w:tcPr>
          <w:p w:rsidR="00D260ED" w:rsidRPr="00212237" w14:paraId="4B2D79E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1</w:t>
            </w:r>
          </w:p>
        </w:tc>
        <w:tc>
          <w:tcPr>
            <w:tcW w:w="1890" w:type="dxa"/>
            <w:vAlign w:val="center"/>
          </w:tcPr>
          <w:p w:rsidR="00D260ED" w:rsidRPr="00212237" w14:paraId="2AAAEE7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0</w:t>
            </w:r>
          </w:p>
        </w:tc>
        <w:tc>
          <w:tcPr>
            <w:tcW w:w="2070" w:type="dxa"/>
            <w:vAlign w:val="center"/>
          </w:tcPr>
          <w:p w:rsidR="00D260ED" w:rsidRPr="00212237" w14:paraId="7A8AE04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0</w:t>
            </w:r>
          </w:p>
        </w:tc>
      </w:tr>
      <w:tr w14:paraId="1C0726C6" w14:textId="77777777">
        <w:tblPrEx>
          <w:tblW w:w="9180" w:type="dxa"/>
          <w:tblInd w:w="201" w:type="dxa"/>
          <w:tblLayout w:type="fixed"/>
          <w:tblCellMar>
            <w:left w:w="111" w:type="dxa"/>
            <w:right w:w="111" w:type="dxa"/>
          </w:tblCellMar>
          <w:tblLook w:val="0000"/>
        </w:tblPrEx>
        <w:trPr>
          <w:trHeight w:val="366"/>
        </w:trPr>
        <w:tc>
          <w:tcPr>
            <w:tcW w:w="2700" w:type="dxa"/>
            <w:vAlign w:val="center"/>
          </w:tcPr>
          <w:p w:rsidR="00D260ED" w:rsidRPr="00212237" w14:paraId="59613A60"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12237">
              <w:rPr>
                <w:sz w:val="18"/>
                <w:szCs w:val="18"/>
              </w:rPr>
              <w:t>Notification of actual startup</w:t>
            </w:r>
          </w:p>
        </w:tc>
        <w:tc>
          <w:tcPr>
            <w:tcW w:w="1260" w:type="dxa"/>
            <w:vAlign w:val="center"/>
          </w:tcPr>
          <w:p w:rsidR="00D260ED" w:rsidRPr="00212237" w14:paraId="02096AD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0</w:t>
            </w:r>
          </w:p>
        </w:tc>
        <w:tc>
          <w:tcPr>
            <w:tcW w:w="1260" w:type="dxa"/>
            <w:vAlign w:val="center"/>
          </w:tcPr>
          <w:p w:rsidR="00D260ED" w:rsidRPr="00212237" w14:paraId="3E5383A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1</w:t>
            </w:r>
          </w:p>
        </w:tc>
        <w:tc>
          <w:tcPr>
            <w:tcW w:w="1890" w:type="dxa"/>
            <w:vAlign w:val="center"/>
          </w:tcPr>
          <w:p w:rsidR="00D260ED" w:rsidRPr="00212237" w14:paraId="24EE928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0</w:t>
            </w:r>
          </w:p>
        </w:tc>
        <w:tc>
          <w:tcPr>
            <w:tcW w:w="2070" w:type="dxa"/>
            <w:vAlign w:val="center"/>
          </w:tcPr>
          <w:p w:rsidR="00D260ED" w:rsidRPr="00212237" w14:paraId="6F79503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0</w:t>
            </w:r>
          </w:p>
        </w:tc>
      </w:tr>
      <w:tr w14:paraId="4E3E4C7F" w14:textId="77777777">
        <w:tblPrEx>
          <w:tblW w:w="9180" w:type="dxa"/>
          <w:tblInd w:w="201" w:type="dxa"/>
          <w:tblLayout w:type="fixed"/>
          <w:tblCellMar>
            <w:left w:w="111" w:type="dxa"/>
            <w:right w:w="111" w:type="dxa"/>
          </w:tblCellMar>
          <w:tblLook w:val="0000"/>
        </w:tblPrEx>
        <w:trPr>
          <w:trHeight w:val="366"/>
        </w:trPr>
        <w:tc>
          <w:tcPr>
            <w:tcW w:w="2700" w:type="dxa"/>
            <w:vAlign w:val="center"/>
          </w:tcPr>
          <w:p w:rsidR="00D260ED" w:rsidRPr="00212237" w14:paraId="596736D8"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12237">
              <w:rPr>
                <w:sz w:val="18"/>
                <w:szCs w:val="18"/>
              </w:rPr>
              <w:t>Notification of performance test</w:t>
            </w:r>
          </w:p>
        </w:tc>
        <w:tc>
          <w:tcPr>
            <w:tcW w:w="1260" w:type="dxa"/>
            <w:vAlign w:val="center"/>
          </w:tcPr>
          <w:p w:rsidR="00D260ED" w:rsidRPr="00212237" w14:paraId="67AFF02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c>
          <w:tcPr>
            <w:tcW w:w="1260" w:type="dxa"/>
            <w:vAlign w:val="center"/>
          </w:tcPr>
          <w:p w:rsidR="00D260ED" w:rsidRPr="00212237" w14:paraId="639D19C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1</w:t>
            </w:r>
          </w:p>
        </w:tc>
        <w:tc>
          <w:tcPr>
            <w:tcW w:w="1890" w:type="dxa"/>
            <w:vAlign w:val="center"/>
          </w:tcPr>
          <w:p w:rsidR="00D260ED" w:rsidRPr="00212237" w14:paraId="1CF1D82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0</w:t>
            </w:r>
          </w:p>
        </w:tc>
        <w:tc>
          <w:tcPr>
            <w:tcW w:w="2070" w:type="dxa"/>
            <w:vAlign w:val="center"/>
          </w:tcPr>
          <w:p w:rsidR="00D260ED" w:rsidRPr="00212237" w14:paraId="04FF391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r>
      <w:tr w14:paraId="584A215B" w14:textId="77777777">
        <w:tblPrEx>
          <w:tblW w:w="9180" w:type="dxa"/>
          <w:tblInd w:w="201" w:type="dxa"/>
          <w:tblLayout w:type="fixed"/>
          <w:tblCellMar>
            <w:left w:w="111" w:type="dxa"/>
            <w:right w:w="111" w:type="dxa"/>
          </w:tblCellMar>
          <w:tblLook w:val="0000"/>
        </w:tblPrEx>
        <w:trPr>
          <w:trHeight w:val="366"/>
        </w:trPr>
        <w:tc>
          <w:tcPr>
            <w:tcW w:w="2700" w:type="dxa"/>
            <w:vAlign w:val="center"/>
          </w:tcPr>
          <w:p w:rsidR="00D260ED" w:rsidRPr="00212237" w14:paraId="47098ADD"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12237">
              <w:rPr>
                <w:sz w:val="18"/>
                <w:szCs w:val="18"/>
              </w:rPr>
              <w:t>Notification of compliance status</w:t>
            </w:r>
          </w:p>
        </w:tc>
        <w:tc>
          <w:tcPr>
            <w:tcW w:w="1260" w:type="dxa"/>
            <w:vAlign w:val="center"/>
          </w:tcPr>
          <w:p w:rsidR="00D260ED" w:rsidRPr="00212237" w14:paraId="54211B3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c>
          <w:tcPr>
            <w:tcW w:w="1260" w:type="dxa"/>
            <w:vAlign w:val="center"/>
          </w:tcPr>
          <w:p w:rsidR="00D260ED" w:rsidRPr="00212237" w14:paraId="151F2D5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1</w:t>
            </w:r>
          </w:p>
        </w:tc>
        <w:tc>
          <w:tcPr>
            <w:tcW w:w="1890" w:type="dxa"/>
            <w:vAlign w:val="center"/>
          </w:tcPr>
          <w:p w:rsidR="00D260ED" w:rsidRPr="00212237" w14:paraId="681BE45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0</w:t>
            </w:r>
          </w:p>
        </w:tc>
        <w:tc>
          <w:tcPr>
            <w:tcW w:w="2070" w:type="dxa"/>
            <w:vAlign w:val="center"/>
          </w:tcPr>
          <w:p w:rsidR="00D260ED" w:rsidRPr="00212237" w14:paraId="1114714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r>
      <w:tr w14:paraId="7905990D" w14:textId="77777777">
        <w:tblPrEx>
          <w:tblW w:w="9180" w:type="dxa"/>
          <w:tblInd w:w="201" w:type="dxa"/>
          <w:tblLayout w:type="fixed"/>
          <w:tblCellMar>
            <w:left w:w="111" w:type="dxa"/>
            <w:right w:w="111" w:type="dxa"/>
          </w:tblCellMar>
          <w:tblLook w:val="0000"/>
        </w:tblPrEx>
        <w:trPr>
          <w:trHeight w:val="366"/>
        </w:trPr>
        <w:tc>
          <w:tcPr>
            <w:tcW w:w="2700" w:type="dxa"/>
            <w:vAlign w:val="center"/>
          </w:tcPr>
          <w:p w:rsidR="00D260ED" w:rsidRPr="00212237" w14:paraId="2EEE903A"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12237">
              <w:rPr>
                <w:sz w:val="18"/>
                <w:szCs w:val="18"/>
              </w:rPr>
              <w:t>Notification of intent to use alternative fuel</w:t>
            </w:r>
          </w:p>
        </w:tc>
        <w:tc>
          <w:tcPr>
            <w:tcW w:w="1260" w:type="dxa"/>
            <w:vAlign w:val="center"/>
          </w:tcPr>
          <w:p w:rsidR="00D260ED" w:rsidRPr="00212237" w14:paraId="111FD7B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vAlign w:val="center"/>
          </w:tcPr>
          <w:p w:rsidR="00D260ED" w:rsidRPr="00212237" w14:paraId="0DA253E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1</w:t>
            </w:r>
          </w:p>
        </w:tc>
        <w:tc>
          <w:tcPr>
            <w:tcW w:w="1890" w:type="dxa"/>
            <w:vAlign w:val="center"/>
          </w:tcPr>
          <w:p w:rsidR="00D260ED" w:rsidRPr="00212237" w14:paraId="2778A98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0</w:t>
            </w:r>
          </w:p>
        </w:tc>
        <w:tc>
          <w:tcPr>
            <w:tcW w:w="2070" w:type="dxa"/>
            <w:vAlign w:val="center"/>
          </w:tcPr>
          <w:p w:rsidR="00D260ED" w:rsidRPr="00212237" w14:paraId="5B0C116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14:paraId="7664F749" w14:textId="77777777">
        <w:tblPrEx>
          <w:tblW w:w="9180" w:type="dxa"/>
          <w:tblInd w:w="201" w:type="dxa"/>
          <w:tblLayout w:type="fixed"/>
          <w:tblCellMar>
            <w:left w:w="111" w:type="dxa"/>
            <w:right w:w="111" w:type="dxa"/>
          </w:tblCellMar>
          <w:tblLook w:val="0000"/>
        </w:tblPrEx>
        <w:trPr>
          <w:trHeight w:val="366"/>
        </w:trPr>
        <w:tc>
          <w:tcPr>
            <w:tcW w:w="2700" w:type="dxa"/>
            <w:vAlign w:val="center"/>
          </w:tcPr>
          <w:p w:rsidR="00D260ED" w:rsidRPr="00212237" w14:paraId="66CD7DBC"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12237">
              <w:rPr>
                <w:sz w:val="18"/>
                <w:szCs w:val="18"/>
              </w:rPr>
              <w:t>Request</w:t>
            </w:r>
            <w:r w:rsidRPr="00212237">
              <w:rPr>
                <w:sz w:val="18"/>
                <w:szCs w:val="18"/>
              </w:rPr>
              <w:t xml:space="preserve"> approval to bypass the control device for maintenance</w:t>
            </w:r>
          </w:p>
        </w:tc>
        <w:tc>
          <w:tcPr>
            <w:tcW w:w="1260" w:type="dxa"/>
            <w:vAlign w:val="center"/>
          </w:tcPr>
          <w:p w:rsidR="00D260ED" w:rsidRPr="00212237" w14:paraId="745D726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1</w:t>
            </w:r>
          </w:p>
        </w:tc>
        <w:tc>
          <w:tcPr>
            <w:tcW w:w="1260" w:type="dxa"/>
            <w:vAlign w:val="center"/>
          </w:tcPr>
          <w:p w:rsidR="00D260ED" w:rsidRPr="00212237" w14:paraId="3FFBDDB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6</w:t>
            </w:r>
          </w:p>
        </w:tc>
        <w:tc>
          <w:tcPr>
            <w:tcW w:w="1890" w:type="dxa"/>
            <w:vAlign w:val="center"/>
          </w:tcPr>
          <w:p w:rsidR="00D260ED" w:rsidRPr="00212237" w14:paraId="3C74D9B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0</w:t>
            </w:r>
          </w:p>
        </w:tc>
        <w:tc>
          <w:tcPr>
            <w:tcW w:w="2070" w:type="dxa"/>
            <w:vAlign w:val="center"/>
          </w:tcPr>
          <w:p w:rsidR="00D260ED" w:rsidRPr="00212237" w14:paraId="69D047F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6</w:t>
            </w:r>
          </w:p>
        </w:tc>
      </w:tr>
      <w:tr w14:paraId="36C9310F" w14:textId="77777777">
        <w:tblPrEx>
          <w:tblW w:w="9180" w:type="dxa"/>
          <w:tblInd w:w="201" w:type="dxa"/>
          <w:tblLayout w:type="fixed"/>
          <w:tblCellMar>
            <w:left w:w="111" w:type="dxa"/>
            <w:right w:w="111" w:type="dxa"/>
          </w:tblCellMar>
          <w:tblLook w:val="0000"/>
        </w:tblPrEx>
        <w:trPr>
          <w:trHeight w:val="366"/>
        </w:trPr>
        <w:tc>
          <w:tcPr>
            <w:tcW w:w="2700" w:type="dxa"/>
            <w:vAlign w:val="center"/>
          </w:tcPr>
          <w:p w:rsidR="00D260ED" w:rsidRPr="00212237" w14:paraId="1A6FACB3"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12237">
              <w:rPr>
                <w:sz w:val="18"/>
                <w:szCs w:val="18"/>
              </w:rPr>
              <w:t>Semi-annual compliance report with deviations</w:t>
            </w:r>
          </w:p>
        </w:tc>
        <w:tc>
          <w:tcPr>
            <w:tcW w:w="1260" w:type="dxa"/>
            <w:vAlign w:val="center"/>
          </w:tcPr>
          <w:p w:rsidR="00D260ED" w:rsidRPr="00212237" w14:paraId="4941083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2</w:t>
            </w:r>
          </w:p>
        </w:tc>
        <w:tc>
          <w:tcPr>
            <w:tcW w:w="1260" w:type="dxa"/>
            <w:vAlign w:val="center"/>
          </w:tcPr>
          <w:p w:rsidR="00D260ED" w:rsidRPr="00212237" w14:paraId="5EE456B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1</w:t>
            </w:r>
          </w:p>
        </w:tc>
        <w:tc>
          <w:tcPr>
            <w:tcW w:w="1890" w:type="dxa"/>
            <w:vAlign w:val="center"/>
          </w:tcPr>
          <w:p w:rsidR="00D260ED" w:rsidRPr="00212237" w14:paraId="78DF30D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0</w:t>
            </w:r>
          </w:p>
        </w:tc>
        <w:tc>
          <w:tcPr>
            <w:tcW w:w="2070" w:type="dxa"/>
            <w:vAlign w:val="center"/>
          </w:tcPr>
          <w:p w:rsidR="00D260ED" w:rsidRPr="00212237" w14:paraId="2561DF8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2</w:t>
            </w:r>
          </w:p>
        </w:tc>
      </w:tr>
      <w:tr w14:paraId="74843136" w14:textId="77777777">
        <w:tblPrEx>
          <w:tblW w:w="9180" w:type="dxa"/>
          <w:tblInd w:w="201" w:type="dxa"/>
          <w:tblLayout w:type="fixed"/>
          <w:tblCellMar>
            <w:left w:w="111" w:type="dxa"/>
            <w:right w:w="111" w:type="dxa"/>
          </w:tblCellMar>
          <w:tblLook w:val="0000"/>
        </w:tblPrEx>
        <w:trPr>
          <w:trHeight w:val="366"/>
        </w:trPr>
        <w:tc>
          <w:tcPr>
            <w:tcW w:w="2700" w:type="dxa"/>
            <w:vAlign w:val="center"/>
          </w:tcPr>
          <w:p w:rsidR="00D260ED" w:rsidRPr="00212237" w14:paraId="5F6BDF51"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12237">
              <w:rPr>
                <w:sz w:val="18"/>
                <w:szCs w:val="18"/>
              </w:rPr>
              <w:t>Semi-annual compliance report with no deviations</w:t>
            </w:r>
          </w:p>
        </w:tc>
        <w:tc>
          <w:tcPr>
            <w:tcW w:w="1260" w:type="dxa"/>
            <w:vAlign w:val="center"/>
          </w:tcPr>
          <w:p w:rsidR="00D260ED" w:rsidRPr="00212237" w14:paraId="4863229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2</w:t>
            </w:r>
          </w:p>
        </w:tc>
        <w:tc>
          <w:tcPr>
            <w:tcW w:w="1260" w:type="dxa"/>
            <w:vAlign w:val="center"/>
          </w:tcPr>
          <w:p w:rsidR="00D260ED" w:rsidRPr="00212237" w14:paraId="1E32872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2</w:t>
            </w:r>
          </w:p>
        </w:tc>
        <w:tc>
          <w:tcPr>
            <w:tcW w:w="1890" w:type="dxa"/>
            <w:vAlign w:val="center"/>
          </w:tcPr>
          <w:p w:rsidR="00D260ED" w:rsidRPr="00212237" w14:paraId="1377683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0</w:t>
            </w:r>
          </w:p>
        </w:tc>
        <w:tc>
          <w:tcPr>
            <w:tcW w:w="2070" w:type="dxa"/>
            <w:vAlign w:val="center"/>
          </w:tcPr>
          <w:p w:rsidR="00D260ED" w:rsidRPr="00212237" w14:paraId="66E4D9C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4</w:t>
            </w:r>
          </w:p>
        </w:tc>
      </w:tr>
      <w:tr w14:paraId="6CBC2F8A" w14:textId="77777777">
        <w:tblPrEx>
          <w:tblW w:w="9180" w:type="dxa"/>
          <w:tblInd w:w="201" w:type="dxa"/>
          <w:tblLayout w:type="fixed"/>
          <w:tblCellMar>
            <w:left w:w="111" w:type="dxa"/>
            <w:right w:w="111" w:type="dxa"/>
          </w:tblCellMar>
          <w:tblLook w:val="0000"/>
        </w:tblPrEx>
        <w:trPr>
          <w:trHeight w:val="366"/>
        </w:trPr>
        <w:tc>
          <w:tcPr>
            <w:tcW w:w="2700" w:type="dxa"/>
            <w:vAlign w:val="center"/>
          </w:tcPr>
          <w:p w:rsidR="00D260ED" w:rsidRPr="00212237" w14:paraId="0E60D71C"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12237">
              <w:rPr>
                <w:sz w:val="18"/>
                <w:szCs w:val="18"/>
              </w:rPr>
              <w:t xml:space="preserve">Report </w:t>
            </w:r>
            <w:r w:rsidRPr="00212237">
              <w:rPr>
                <w:sz w:val="18"/>
                <w:szCs w:val="18"/>
              </w:rPr>
              <w:t>of</w:t>
            </w:r>
            <w:r w:rsidRPr="00212237">
              <w:rPr>
                <w:sz w:val="18"/>
                <w:szCs w:val="18"/>
              </w:rPr>
              <w:t xml:space="preserve"> alternative fuel use</w:t>
            </w:r>
          </w:p>
        </w:tc>
        <w:tc>
          <w:tcPr>
            <w:tcW w:w="1260" w:type="dxa"/>
            <w:vAlign w:val="center"/>
          </w:tcPr>
          <w:p w:rsidR="00D260ED" w:rsidRPr="00212237" w14:paraId="342915A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vAlign w:val="center"/>
          </w:tcPr>
          <w:p w:rsidR="00D260ED" w:rsidRPr="00212237" w14:paraId="272F8DC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1</w:t>
            </w:r>
          </w:p>
        </w:tc>
        <w:tc>
          <w:tcPr>
            <w:tcW w:w="1890" w:type="dxa"/>
            <w:vAlign w:val="center"/>
          </w:tcPr>
          <w:p w:rsidR="00D260ED" w:rsidRPr="00212237" w14:paraId="665E6E9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0</w:t>
            </w:r>
          </w:p>
        </w:tc>
        <w:tc>
          <w:tcPr>
            <w:tcW w:w="2070" w:type="dxa"/>
            <w:vAlign w:val="center"/>
          </w:tcPr>
          <w:p w:rsidR="00D260ED" w:rsidRPr="00212237" w14:paraId="4FC5A79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14:paraId="270D2962" w14:textId="77777777">
        <w:tblPrEx>
          <w:tblW w:w="9180" w:type="dxa"/>
          <w:tblInd w:w="201" w:type="dxa"/>
          <w:tblLayout w:type="fixed"/>
          <w:tblCellMar>
            <w:left w:w="111" w:type="dxa"/>
            <w:right w:w="111" w:type="dxa"/>
          </w:tblCellMar>
          <w:tblLook w:val="0000"/>
        </w:tblPrEx>
        <w:trPr>
          <w:trHeight w:val="366"/>
        </w:trPr>
        <w:tc>
          <w:tcPr>
            <w:tcW w:w="2700" w:type="dxa"/>
            <w:vAlign w:val="center"/>
          </w:tcPr>
          <w:p w:rsidR="00D260ED" w:rsidRPr="00212237" w14:paraId="0A78A47E"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12237">
              <w:rPr>
                <w:sz w:val="18"/>
                <w:szCs w:val="18"/>
              </w:rPr>
              <w:t>Performance testing results</w:t>
            </w:r>
          </w:p>
        </w:tc>
        <w:tc>
          <w:tcPr>
            <w:tcW w:w="1260" w:type="dxa"/>
            <w:vAlign w:val="center"/>
          </w:tcPr>
          <w:p w:rsidR="00D260ED" w:rsidRPr="00212237" w14:paraId="514B23D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c>
          <w:tcPr>
            <w:tcW w:w="1260" w:type="dxa"/>
            <w:vAlign w:val="center"/>
          </w:tcPr>
          <w:p w:rsidR="00D260ED" w:rsidRPr="00212237" w14:paraId="4AAB573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1</w:t>
            </w:r>
          </w:p>
        </w:tc>
        <w:tc>
          <w:tcPr>
            <w:tcW w:w="1890" w:type="dxa"/>
            <w:vAlign w:val="center"/>
          </w:tcPr>
          <w:p w:rsidR="00D260ED" w:rsidRPr="00212237" w14:paraId="2A3E67F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12237">
              <w:rPr>
                <w:sz w:val="18"/>
                <w:szCs w:val="18"/>
              </w:rPr>
              <w:t>0</w:t>
            </w:r>
          </w:p>
        </w:tc>
        <w:tc>
          <w:tcPr>
            <w:tcW w:w="2070" w:type="dxa"/>
            <w:vAlign w:val="center"/>
          </w:tcPr>
          <w:p w:rsidR="00D260ED" w:rsidRPr="00212237" w14:paraId="37287B4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r>
      <w:tr w14:paraId="4430CD84" w14:textId="77777777">
        <w:tblPrEx>
          <w:tblW w:w="9180" w:type="dxa"/>
          <w:tblInd w:w="201" w:type="dxa"/>
          <w:tblLayout w:type="fixed"/>
          <w:tblCellMar>
            <w:left w:w="111" w:type="dxa"/>
            <w:right w:w="111" w:type="dxa"/>
          </w:tblCellMar>
          <w:tblLook w:val="0000"/>
        </w:tblPrEx>
        <w:trPr>
          <w:trHeight w:val="366"/>
        </w:trPr>
        <w:tc>
          <w:tcPr>
            <w:tcW w:w="2700" w:type="dxa"/>
            <w:vAlign w:val="center"/>
          </w:tcPr>
          <w:p w:rsidR="00D260ED" w14:paraId="3EF953FE"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D260ED" w14:paraId="7E18045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D260ED" w14:paraId="7A6CAD3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D260ED" w14:paraId="363D143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rsidR="00D260ED" w14:paraId="603DF6C5" w14:textId="77777777">
            <w:pPr>
              <w:pBdr>
                <w:top w:val="single" w:sz="6" w:space="0" w:color="FFFFFF"/>
                <w:left w:val="single" w:sz="6" w:space="0" w:color="FFFFFF"/>
                <w:bottom w:val="single" w:sz="6" w:space="0" w:color="FFFFFF"/>
                <w:right w:val="single" w:sz="6" w:space="0" w:color="FFFFFF"/>
              </w:pBdr>
              <w:jc w:val="center"/>
              <w:rPr>
                <w:color w:val="FF0000"/>
                <w:sz w:val="18"/>
                <w:szCs w:val="18"/>
              </w:rPr>
            </w:pPr>
            <w:r w:rsidRPr="00212237">
              <w:rPr>
                <w:sz w:val="18"/>
                <w:szCs w:val="18"/>
              </w:rPr>
              <w:t>18</w:t>
            </w:r>
          </w:p>
        </w:tc>
      </w:tr>
    </w:tbl>
    <w:p w:rsidR="003B07CD" w:rsidP="00BB3410" w14:paraId="1E5D5490" w14:textId="77777777">
      <w:pPr>
        <w:pStyle w:val="ListParagraph"/>
        <w:spacing w:before="240"/>
        <w:ind w:left="0"/>
        <w:rPr>
          <w:rFonts w:cstheme="minorHAnsi"/>
          <w:b/>
          <w:bCs/>
          <w:sz w:val="24"/>
          <w:szCs w:val="24"/>
        </w:rPr>
      </w:pPr>
    </w:p>
    <w:p w:rsidR="00454A34" w:rsidP="00BB3410" w14:paraId="477ACAF6" w14:textId="77777777">
      <w:pPr>
        <w:pStyle w:val="ListParagraph"/>
        <w:spacing w:before="240"/>
        <w:ind w:left="0"/>
        <w:rPr>
          <w:rFonts w:cstheme="minorHAnsi"/>
          <w:b/>
          <w:bCs/>
          <w:sz w:val="24"/>
          <w:szCs w:val="24"/>
        </w:rPr>
      </w:pPr>
    </w:p>
    <w:p w:rsidR="00C35774" w14:paraId="4CC913D0" w14:textId="4960D66D">
      <w:pPr>
        <w:rPr>
          <w:rFonts w:cstheme="minorHAnsi"/>
          <w:b/>
          <w:bCs/>
          <w:sz w:val="24"/>
          <w:szCs w:val="24"/>
        </w:rPr>
      </w:pPr>
      <w:r>
        <w:rPr>
          <w:rFonts w:cstheme="minorHAnsi"/>
          <w:b/>
          <w:bCs/>
          <w:sz w:val="24"/>
          <w:szCs w:val="24"/>
        </w:rPr>
        <w:br w:type="page"/>
      </w:r>
    </w:p>
    <w:p w:rsidR="00454A34" w:rsidP="00BB3410" w14:paraId="230EE905" w14:textId="77777777">
      <w:pPr>
        <w:pStyle w:val="ListParagraph"/>
        <w:spacing w:before="240"/>
        <w:ind w:left="0"/>
        <w:rPr>
          <w:rFonts w:cstheme="minorHAnsi"/>
          <w:b/>
          <w:bCs/>
          <w:sz w:val="24"/>
          <w:szCs w:val="24"/>
        </w:rPr>
        <w:sectPr w:rsidSect="00454A34">
          <w:pgSz w:w="15840" w:h="12240" w:orient="landscape"/>
          <w:pgMar w:top="1440" w:right="1440" w:bottom="1440" w:left="1440" w:header="720" w:footer="720" w:gutter="0"/>
          <w:cols w:space="720"/>
          <w:docGrid w:linePitch="360"/>
        </w:sectPr>
      </w:pPr>
    </w:p>
    <w:tbl>
      <w:tblPr>
        <w:tblW w:w="9020" w:type="dxa"/>
        <w:tblInd w:w="113" w:type="dxa"/>
        <w:tblLook w:val="04A0"/>
      </w:tblPr>
      <w:tblGrid>
        <w:gridCol w:w="1280"/>
        <w:gridCol w:w="1498"/>
        <w:gridCol w:w="1296"/>
        <w:gridCol w:w="1498"/>
        <w:gridCol w:w="1252"/>
        <w:gridCol w:w="1296"/>
        <w:gridCol w:w="901"/>
      </w:tblGrid>
      <w:tr w14:paraId="7F19DDDA" w14:textId="77777777" w:rsidTr="00650FCB">
        <w:tblPrEx>
          <w:tblW w:w="9020" w:type="dxa"/>
          <w:tblInd w:w="113" w:type="dxa"/>
          <w:tblLook w:val="04A0"/>
        </w:tblPrEx>
        <w:trPr>
          <w:trHeight w:val="330"/>
        </w:trPr>
        <w:tc>
          <w:tcPr>
            <w:tcW w:w="9020" w:type="dxa"/>
            <w:gridSpan w:val="7"/>
            <w:tcBorders>
              <w:top w:val="single" w:sz="4" w:space="0" w:color="auto"/>
              <w:left w:val="single" w:sz="4" w:space="0" w:color="auto"/>
              <w:bottom w:val="nil"/>
              <w:right w:val="single" w:sz="4" w:space="0" w:color="auto"/>
            </w:tcBorders>
            <w:shd w:val="clear" w:color="auto" w:fill="auto"/>
            <w:vAlign w:val="center"/>
            <w:hideMark/>
          </w:tcPr>
          <w:p w:rsidR="00650FCB" w:rsidRPr="00650FCB" w:rsidP="00650FCB" w14:paraId="10FAC30F" w14:textId="77777777">
            <w:pPr>
              <w:spacing w:after="0" w:line="240" w:lineRule="auto"/>
              <w:jc w:val="center"/>
              <w:rPr>
                <w:rFonts w:eastAsia="Times New Roman" w:cstheme="minorHAnsi"/>
                <w:b/>
                <w:bCs/>
                <w:color w:val="000000"/>
                <w:sz w:val="24"/>
                <w:szCs w:val="24"/>
              </w:rPr>
            </w:pPr>
            <w:r w:rsidRPr="00650FCB">
              <w:rPr>
                <w:rFonts w:eastAsia="Times New Roman" w:cstheme="minorHAnsi"/>
                <w:b/>
                <w:bCs/>
                <w:color w:val="000000"/>
                <w:sz w:val="24"/>
                <w:szCs w:val="24"/>
              </w:rPr>
              <w:t>Capital/Startup vs. Operation and Maintenance (O&amp;M) Costs</w:t>
            </w:r>
          </w:p>
        </w:tc>
      </w:tr>
      <w:tr w14:paraId="59DAD0E6" w14:textId="77777777" w:rsidTr="00650FCB">
        <w:tblPrEx>
          <w:tblW w:w="9020" w:type="dxa"/>
          <w:tblInd w:w="113" w:type="dxa"/>
          <w:tblLook w:val="04A0"/>
        </w:tblPrEx>
        <w:trPr>
          <w:trHeight w:val="522"/>
        </w:trPr>
        <w:tc>
          <w:tcPr>
            <w:tcW w:w="1280" w:type="dxa"/>
            <w:tcBorders>
              <w:top w:val="single" w:sz="4" w:space="0" w:color="auto"/>
              <w:left w:val="single" w:sz="4" w:space="0" w:color="auto"/>
              <w:bottom w:val="single" w:sz="4" w:space="0" w:color="auto"/>
              <w:right w:val="nil"/>
            </w:tcBorders>
            <w:shd w:val="clear" w:color="auto" w:fill="auto"/>
            <w:vAlign w:val="center"/>
            <w:hideMark/>
          </w:tcPr>
          <w:p w:rsidR="00650FCB" w:rsidRPr="00650FCB" w:rsidP="00650FCB" w14:paraId="1E60F85F" w14:textId="77777777">
            <w:pPr>
              <w:spacing w:after="0" w:line="240" w:lineRule="auto"/>
              <w:jc w:val="center"/>
              <w:rPr>
                <w:rFonts w:eastAsia="Times New Roman" w:cstheme="minorHAnsi"/>
                <w:b/>
                <w:bCs/>
                <w:color w:val="000000"/>
                <w:sz w:val="20"/>
                <w:szCs w:val="20"/>
              </w:rPr>
            </w:pPr>
            <w:r w:rsidRPr="00650FCB">
              <w:rPr>
                <w:rFonts w:eastAsia="Times New Roman" w:cstheme="minorHAnsi"/>
                <w:b/>
                <w:bCs/>
                <w:color w:val="000000"/>
                <w:sz w:val="20"/>
                <w:szCs w:val="20"/>
              </w:rPr>
              <w:t>(A)</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0FCB" w:rsidRPr="00650FCB" w:rsidP="00650FCB" w14:paraId="092517E0" w14:textId="77777777">
            <w:pPr>
              <w:spacing w:after="0" w:line="240" w:lineRule="auto"/>
              <w:jc w:val="center"/>
              <w:rPr>
                <w:rFonts w:eastAsia="Times New Roman" w:cstheme="minorHAnsi"/>
                <w:b/>
                <w:bCs/>
                <w:color w:val="000000"/>
                <w:sz w:val="20"/>
                <w:szCs w:val="20"/>
              </w:rPr>
            </w:pPr>
            <w:r w:rsidRPr="00650FCB">
              <w:rPr>
                <w:rFonts w:eastAsia="Times New Roman" w:cstheme="minorHAnsi"/>
                <w:b/>
                <w:bCs/>
                <w:color w:val="000000"/>
                <w:sz w:val="20"/>
                <w:szCs w:val="20"/>
              </w:rPr>
              <w:t>(B)</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650FCB" w:rsidRPr="00650FCB" w:rsidP="00650FCB" w14:paraId="6F11AB2A" w14:textId="77777777">
            <w:pPr>
              <w:spacing w:after="0" w:line="240" w:lineRule="auto"/>
              <w:jc w:val="center"/>
              <w:rPr>
                <w:rFonts w:eastAsia="Times New Roman" w:cstheme="minorHAnsi"/>
                <w:b/>
                <w:bCs/>
                <w:color w:val="000000"/>
                <w:sz w:val="20"/>
                <w:szCs w:val="20"/>
              </w:rPr>
            </w:pPr>
            <w:r w:rsidRPr="00650FCB">
              <w:rPr>
                <w:rFonts w:eastAsia="Times New Roman" w:cstheme="minorHAnsi"/>
                <w:b/>
                <w:bCs/>
                <w:color w:val="000000"/>
                <w:sz w:val="20"/>
                <w:szCs w:val="20"/>
              </w:rPr>
              <w:t>(C)</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650FCB" w:rsidRPr="00650FCB" w:rsidP="00650FCB" w14:paraId="13E04C58" w14:textId="77777777">
            <w:pPr>
              <w:spacing w:after="0" w:line="240" w:lineRule="auto"/>
              <w:jc w:val="center"/>
              <w:rPr>
                <w:rFonts w:eastAsia="Times New Roman" w:cstheme="minorHAnsi"/>
                <w:b/>
                <w:bCs/>
                <w:color w:val="000000"/>
                <w:sz w:val="20"/>
                <w:szCs w:val="20"/>
              </w:rPr>
            </w:pPr>
            <w:r w:rsidRPr="00650FCB">
              <w:rPr>
                <w:rFonts w:eastAsia="Times New Roman" w:cstheme="minorHAnsi"/>
                <w:b/>
                <w:bCs/>
                <w:color w:val="000000"/>
                <w:sz w:val="20"/>
                <w:szCs w:val="20"/>
              </w:rPr>
              <w:t>(D)</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650FCB" w:rsidRPr="00650FCB" w:rsidP="00650FCB" w14:paraId="1EDD769B" w14:textId="77777777">
            <w:pPr>
              <w:spacing w:after="0" w:line="240" w:lineRule="auto"/>
              <w:jc w:val="center"/>
              <w:rPr>
                <w:rFonts w:eastAsia="Times New Roman" w:cstheme="minorHAnsi"/>
                <w:b/>
                <w:bCs/>
                <w:color w:val="000000"/>
                <w:sz w:val="20"/>
                <w:szCs w:val="20"/>
              </w:rPr>
            </w:pPr>
            <w:r w:rsidRPr="00650FCB">
              <w:rPr>
                <w:rFonts w:eastAsia="Times New Roman" w:cstheme="minorHAnsi"/>
                <w:b/>
                <w:bCs/>
                <w:color w:val="000000"/>
                <w:sz w:val="20"/>
                <w:szCs w:val="20"/>
              </w:rPr>
              <w:t>(E)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650FCB" w:rsidRPr="00650FCB" w:rsidP="00650FCB" w14:paraId="311BD959" w14:textId="77777777">
            <w:pPr>
              <w:spacing w:after="0" w:line="240" w:lineRule="auto"/>
              <w:jc w:val="center"/>
              <w:rPr>
                <w:rFonts w:eastAsia="Times New Roman" w:cstheme="minorHAnsi"/>
                <w:b/>
                <w:bCs/>
                <w:color w:val="000000"/>
                <w:sz w:val="20"/>
                <w:szCs w:val="20"/>
              </w:rPr>
            </w:pPr>
            <w:r w:rsidRPr="00650FCB">
              <w:rPr>
                <w:rFonts w:eastAsia="Times New Roman" w:cstheme="minorHAnsi"/>
                <w:b/>
                <w:bCs/>
                <w:color w:val="000000"/>
                <w:sz w:val="20"/>
                <w:szCs w:val="20"/>
              </w:rPr>
              <w:t>(F)</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50FCB" w:rsidRPr="00650FCB" w:rsidP="00650FCB" w14:paraId="146DF849" w14:textId="77777777">
            <w:pPr>
              <w:spacing w:after="0" w:line="240" w:lineRule="auto"/>
              <w:jc w:val="center"/>
              <w:rPr>
                <w:rFonts w:eastAsia="Times New Roman" w:cstheme="minorHAnsi"/>
                <w:b/>
                <w:bCs/>
                <w:color w:val="000000"/>
                <w:sz w:val="20"/>
                <w:szCs w:val="20"/>
              </w:rPr>
            </w:pPr>
            <w:r w:rsidRPr="00650FCB">
              <w:rPr>
                <w:rFonts w:eastAsia="Times New Roman" w:cstheme="minorHAnsi"/>
                <w:b/>
                <w:bCs/>
                <w:color w:val="000000"/>
                <w:sz w:val="20"/>
                <w:szCs w:val="20"/>
              </w:rPr>
              <w:t>(G)</w:t>
            </w:r>
          </w:p>
        </w:tc>
      </w:tr>
      <w:tr w14:paraId="4FB839CB" w14:textId="77777777" w:rsidTr="00650FCB">
        <w:tblPrEx>
          <w:tblW w:w="9020" w:type="dxa"/>
          <w:tblInd w:w="113" w:type="dxa"/>
          <w:tblLook w:val="04A0"/>
        </w:tblPrEx>
        <w:trPr>
          <w:trHeight w:val="825"/>
        </w:trPr>
        <w:tc>
          <w:tcPr>
            <w:tcW w:w="1280" w:type="dxa"/>
            <w:tcBorders>
              <w:top w:val="nil"/>
              <w:left w:val="single" w:sz="4" w:space="0" w:color="auto"/>
              <w:bottom w:val="single" w:sz="4" w:space="0" w:color="auto"/>
              <w:right w:val="nil"/>
            </w:tcBorders>
            <w:shd w:val="clear" w:color="auto" w:fill="auto"/>
            <w:vAlign w:val="center"/>
            <w:hideMark/>
          </w:tcPr>
          <w:p w:rsidR="00650FCB" w:rsidRPr="00650FCB" w:rsidP="00650FCB" w14:paraId="3A8CF33A" w14:textId="77777777">
            <w:pPr>
              <w:spacing w:after="0" w:line="240" w:lineRule="auto"/>
              <w:jc w:val="center"/>
              <w:rPr>
                <w:rFonts w:eastAsia="Times New Roman" w:cstheme="minorHAnsi"/>
                <w:b/>
                <w:bCs/>
                <w:color w:val="000000"/>
                <w:sz w:val="20"/>
                <w:szCs w:val="20"/>
              </w:rPr>
            </w:pPr>
            <w:r w:rsidRPr="00650FCB">
              <w:rPr>
                <w:rFonts w:eastAsia="Times New Roman" w:cstheme="minorHAnsi"/>
                <w:b/>
                <w:bCs/>
                <w:color w:val="000000"/>
                <w:sz w:val="20"/>
                <w:szCs w:val="20"/>
              </w:rPr>
              <w:t>Continuous Monitoring Device</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rsidR="00650FCB" w:rsidRPr="00650FCB" w:rsidP="00650FCB" w14:paraId="4C5BD295" w14:textId="77777777">
            <w:pPr>
              <w:spacing w:after="0" w:line="240" w:lineRule="auto"/>
              <w:jc w:val="center"/>
              <w:rPr>
                <w:rFonts w:eastAsia="Times New Roman" w:cstheme="minorHAnsi"/>
                <w:b/>
                <w:bCs/>
                <w:color w:val="000000"/>
                <w:sz w:val="20"/>
                <w:szCs w:val="20"/>
              </w:rPr>
            </w:pPr>
            <w:r w:rsidRPr="00650FCB">
              <w:rPr>
                <w:rFonts w:eastAsia="Times New Roman" w:cstheme="minorHAnsi"/>
                <w:b/>
                <w:bCs/>
                <w:color w:val="000000"/>
                <w:sz w:val="20"/>
                <w:szCs w:val="20"/>
              </w:rPr>
              <w:t>Capital/Startup Cost for One Respondent</w:t>
            </w:r>
          </w:p>
        </w:tc>
        <w:tc>
          <w:tcPr>
            <w:tcW w:w="1200" w:type="dxa"/>
            <w:tcBorders>
              <w:top w:val="nil"/>
              <w:left w:val="nil"/>
              <w:bottom w:val="single" w:sz="4" w:space="0" w:color="auto"/>
              <w:right w:val="single" w:sz="4" w:space="0" w:color="auto"/>
            </w:tcBorders>
            <w:shd w:val="clear" w:color="auto" w:fill="auto"/>
            <w:vAlign w:val="center"/>
            <w:hideMark/>
          </w:tcPr>
          <w:p w:rsidR="00650FCB" w:rsidRPr="00650FCB" w:rsidP="00650FCB" w14:paraId="79AA8826" w14:textId="77777777">
            <w:pPr>
              <w:spacing w:after="0" w:line="240" w:lineRule="auto"/>
              <w:jc w:val="center"/>
              <w:rPr>
                <w:rFonts w:eastAsia="Times New Roman" w:cstheme="minorHAnsi"/>
                <w:b/>
                <w:bCs/>
                <w:color w:val="000000"/>
                <w:sz w:val="20"/>
                <w:szCs w:val="20"/>
              </w:rPr>
            </w:pPr>
            <w:r w:rsidRPr="00650FCB">
              <w:rPr>
                <w:rFonts w:eastAsia="Times New Roman" w:cstheme="minorHAnsi"/>
                <w:b/>
                <w:bCs/>
                <w:color w:val="000000"/>
                <w:sz w:val="20"/>
                <w:szCs w:val="20"/>
              </w:rPr>
              <w:t>Number of New Respondents</w:t>
            </w:r>
          </w:p>
        </w:tc>
        <w:tc>
          <w:tcPr>
            <w:tcW w:w="1380" w:type="dxa"/>
            <w:tcBorders>
              <w:top w:val="nil"/>
              <w:left w:val="nil"/>
              <w:bottom w:val="single" w:sz="4" w:space="0" w:color="auto"/>
              <w:right w:val="single" w:sz="4" w:space="0" w:color="auto"/>
            </w:tcBorders>
            <w:shd w:val="clear" w:color="auto" w:fill="auto"/>
            <w:vAlign w:val="center"/>
            <w:hideMark/>
          </w:tcPr>
          <w:p w:rsidR="00650FCB" w:rsidRPr="00650FCB" w:rsidP="00650FCB" w14:paraId="1E361AD5" w14:textId="77777777">
            <w:pPr>
              <w:spacing w:after="0" w:line="240" w:lineRule="auto"/>
              <w:jc w:val="center"/>
              <w:rPr>
                <w:rFonts w:eastAsia="Times New Roman" w:cstheme="minorHAnsi"/>
                <w:b/>
                <w:bCs/>
                <w:color w:val="000000"/>
                <w:sz w:val="20"/>
                <w:szCs w:val="20"/>
              </w:rPr>
            </w:pPr>
            <w:r w:rsidRPr="00650FCB">
              <w:rPr>
                <w:rFonts w:eastAsia="Times New Roman" w:cstheme="minorHAnsi"/>
                <w:b/>
                <w:bCs/>
                <w:color w:val="000000"/>
                <w:sz w:val="20"/>
                <w:szCs w:val="20"/>
              </w:rPr>
              <w:t>Total Capital/Startup Cost, (B x C)</w:t>
            </w:r>
          </w:p>
        </w:tc>
        <w:tc>
          <w:tcPr>
            <w:tcW w:w="1320" w:type="dxa"/>
            <w:tcBorders>
              <w:top w:val="nil"/>
              <w:left w:val="nil"/>
              <w:bottom w:val="single" w:sz="4" w:space="0" w:color="auto"/>
              <w:right w:val="single" w:sz="4" w:space="0" w:color="auto"/>
            </w:tcBorders>
            <w:shd w:val="clear" w:color="auto" w:fill="auto"/>
            <w:vAlign w:val="center"/>
            <w:hideMark/>
          </w:tcPr>
          <w:p w:rsidR="00650FCB" w:rsidRPr="00650FCB" w:rsidP="00650FCB" w14:paraId="1CB02F21" w14:textId="77777777">
            <w:pPr>
              <w:spacing w:after="0" w:line="240" w:lineRule="auto"/>
              <w:jc w:val="center"/>
              <w:rPr>
                <w:rFonts w:eastAsia="Times New Roman" w:cstheme="minorHAnsi"/>
                <w:b/>
                <w:bCs/>
                <w:color w:val="000000"/>
                <w:sz w:val="20"/>
                <w:szCs w:val="20"/>
              </w:rPr>
            </w:pPr>
            <w:r w:rsidRPr="00650FCB">
              <w:rPr>
                <w:rFonts w:eastAsia="Times New Roman" w:cstheme="minorHAnsi"/>
                <w:b/>
                <w:bCs/>
                <w:color w:val="000000"/>
                <w:sz w:val="20"/>
                <w:szCs w:val="20"/>
              </w:rPr>
              <w:t xml:space="preserve">Annual O&amp;M Costs for One Respondent </w:t>
            </w:r>
            <w:r w:rsidRPr="00650FCB">
              <w:rPr>
                <w:rFonts w:eastAsia="Times New Roman" w:cstheme="minorHAnsi"/>
                <w:b/>
                <w:bCs/>
                <w:color w:val="000000"/>
                <w:sz w:val="20"/>
                <w:szCs w:val="20"/>
                <w:vertAlign w:val="superscript"/>
              </w:rPr>
              <w:t>a</w:t>
            </w:r>
          </w:p>
        </w:tc>
        <w:tc>
          <w:tcPr>
            <w:tcW w:w="1240" w:type="dxa"/>
            <w:tcBorders>
              <w:top w:val="nil"/>
              <w:left w:val="nil"/>
              <w:bottom w:val="single" w:sz="4" w:space="0" w:color="auto"/>
              <w:right w:val="single" w:sz="4" w:space="0" w:color="auto"/>
            </w:tcBorders>
            <w:shd w:val="clear" w:color="auto" w:fill="auto"/>
            <w:vAlign w:val="center"/>
            <w:hideMark/>
          </w:tcPr>
          <w:p w:rsidR="00650FCB" w:rsidRPr="00650FCB" w:rsidP="00650FCB" w14:paraId="2E0CBEFC" w14:textId="77777777">
            <w:pPr>
              <w:spacing w:after="0" w:line="240" w:lineRule="auto"/>
              <w:jc w:val="center"/>
              <w:rPr>
                <w:rFonts w:eastAsia="Times New Roman" w:cstheme="minorHAnsi"/>
                <w:b/>
                <w:bCs/>
                <w:color w:val="000000"/>
                <w:sz w:val="20"/>
                <w:szCs w:val="20"/>
              </w:rPr>
            </w:pPr>
            <w:r w:rsidRPr="00650FCB">
              <w:rPr>
                <w:rFonts w:eastAsia="Times New Roman" w:cstheme="minorHAnsi"/>
                <w:b/>
                <w:bCs/>
                <w:color w:val="000000"/>
                <w:sz w:val="20"/>
                <w:szCs w:val="20"/>
              </w:rPr>
              <w:t>Number of Respondents with O&amp;M</w:t>
            </w:r>
          </w:p>
        </w:tc>
        <w:tc>
          <w:tcPr>
            <w:tcW w:w="1180" w:type="dxa"/>
            <w:tcBorders>
              <w:top w:val="nil"/>
              <w:left w:val="nil"/>
              <w:bottom w:val="single" w:sz="4" w:space="0" w:color="auto"/>
              <w:right w:val="single" w:sz="4" w:space="0" w:color="auto"/>
            </w:tcBorders>
            <w:shd w:val="clear" w:color="auto" w:fill="auto"/>
            <w:vAlign w:val="center"/>
            <w:hideMark/>
          </w:tcPr>
          <w:p w:rsidR="00650FCB" w:rsidRPr="00650FCB" w:rsidP="00650FCB" w14:paraId="3A0793A7" w14:textId="77777777">
            <w:pPr>
              <w:spacing w:after="0" w:line="240" w:lineRule="auto"/>
              <w:jc w:val="center"/>
              <w:rPr>
                <w:rFonts w:eastAsia="Times New Roman" w:cstheme="minorHAnsi"/>
                <w:b/>
                <w:bCs/>
                <w:color w:val="000000"/>
                <w:sz w:val="20"/>
                <w:szCs w:val="20"/>
              </w:rPr>
            </w:pPr>
            <w:r w:rsidRPr="00650FCB">
              <w:rPr>
                <w:rFonts w:eastAsia="Times New Roman" w:cstheme="minorHAnsi"/>
                <w:b/>
                <w:bCs/>
                <w:color w:val="000000"/>
                <w:sz w:val="20"/>
                <w:szCs w:val="20"/>
              </w:rPr>
              <w:t>Total O&amp;M, (E x F)</w:t>
            </w:r>
          </w:p>
        </w:tc>
      </w:tr>
      <w:tr w14:paraId="2B559239" w14:textId="77777777" w:rsidTr="00650FCB">
        <w:tblPrEx>
          <w:tblW w:w="9020" w:type="dxa"/>
          <w:tblInd w:w="113" w:type="dxa"/>
          <w:tblLook w:val="04A0"/>
        </w:tblPrEx>
        <w:trPr>
          <w:trHeight w:val="108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650FCB" w:rsidRPr="00650FCB" w:rsidP="00650FCB" w14:paraId="698E0F90" w14:textId="77777777">
            <w:pPr>
              <w:spacing w:after="0" w:line="240" w:lineRule="auto"/>
              <w:rPr>
                <w:rFonts w:eastAsia="Times New Roman" w:cstheme="minorHAnsi"/>
                <w:color w:val="000000"/>
                <w:sz w:val="20"/>
                <w:szCs w:val="20"/>
              </w:rPr>
            </w:pPr>
            <w:r w:rsidRPr="00650FCB">
              <w:rPr>
                <w:rFonts w:eastAsia="Times New Roman" w:cstheme="minorHAnsi"/>
                <w:color w:val="000000"/>
                <w:sz w:val="20"/>
                <w:szCs w:val="20"/>
              </w:rPr>
              <w:t xml:space="preserve">Continuous parameter monitoring system </w:t>
            </w:r>
            <w:r w:rsidRPr="00650FCB">
              <w:rPr>
                <w:rFonts w:eastAsia="Times New Roman" w:cstheme="minorHAnsi"/>
                <w:color w:val="000000"/>
                <w:sz w:val="20"/>
                <w:szCs w:val="20"/>
                <w:vertAlign w:val="superscript"/>
              </w:rPr>
              <w:t>b</w:t>
            </w:r>
          </w:p>
        </w:tc>
        <w:tc>
          <w:tcPr>
            <w:tcW w:w="1420" w:type="dxa"/>
            <w:tcBorders>
              <w:top w:val="nil"/>
              <w:left w:val="nil"/>
              <w:bottom w:val="single" w:sz="4" w:space="0" w:color="auto"/>
              <w:right w:val="single" w:sz="4" w:space="0" w:color="auto"/>
            </w:tcBorders>
            <w:shd w:val="clear" w:color="auto" w:fill="auto"/>
            <w:vAlign w:val="center"/>
            <w:hideMark/>
          </w:tcPr>
          <w:p w:rsidR="00650FCB" w:rsidRPr="00650FCB" w:rsidP="00650FCB" w14:paraId="09F7F9F5"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 xml:space="preserve">$25,715 </w:t>
            </w:r>
          </w:p>
        </w:tc>
        <w:tc>
          <w:tcPr>
            <w:tcW w:w="1200" w:type="dxa"/>
            <w:tcBorders>
              <w:top w:val="nil"/>
              <w:left w:val="nil"/>
              <w:bottom w:val="single" w:sz="4" w:space="0" w:color="auto"/>
              <w:right w:val="single" w:sz="4" w:space="0" w:color="auto"/>
            </w:tcBorders>
            <w:shd w:val="clear" w:color="auto" w:fill="auto"/>
            <w:vAlign w:val="center"/>
            <w:hideMark/>
          </w:tcPr>
          <w:p w:rsidR="00650FCB" w:rsidRPr="00650FCB" w:rsidP="00650FCB" w14:paraId="093CDC09"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650FCB" w:rsidRPr="00650FCB" w:rsidP="00650FCB" w14:paraId="7ED2094D"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 xml:space="preserve">$0 </w:t>
            </w:r>
          </w:p>
        </w:tc>
        <w:tc>
          <w:tcPr>
            <w:tcW w:w="1320" w:type="dxa"/>
            <w:tcBorders>
              <w:top w:val="nil"/>
              <w:left w:val="nil"/>
              <w:bottom w:val="single" w:sz="4" w:space="0" w:color="auto"/>
              <w:right w:val="single" w:sz="4" w:space="0" w:color="auto"/>
            </w:tcBorders>
            <w:shd w:val="clear" w:color="auto" w:fill="auto"/>
            <w:vAlign w:val="center"/>
            <w:hideMark/>
          </w:tcPr>
          <w:p w:rsidR="00650FCB" w:rsidRPr="00650FCB" w:rsidP="00650FCB" w14:paraId="5ABBCC7A"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 xml:space="preserve">$581 </w:t>
            </w:r>
          </w:p>
        </w:tc>
        <w:tc>
          <w:tcPr>
            <w:tcW w:w="1240" w:type="dxa"/>
            <w:tcBorders>
              <w:top w:val="nil"/>
              <w:left w:val="nil"/>
              <w:bottom w:val="single" w:sz="4" w:space="0" w:color="auto"/>
              <w:right w:val="single" w:sz="4" w:space="0" w:color="auto"/>
            </w:tcBorders>
            <w:shd w:val="clear" w:color="auto" w:fill="auto"/>
            <w:vAlign w:val="center"/>
            <w:hideMark/>
          </w:tcPr>
          <w:p w:rsidR="00650FCB" w:rsidRPr="00650FCB" w:rsidP="00650FCB" w14:paraId="71A047BF"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3</w:t>
            </w:r>
          </w:p>
        </w:tc>
        <w:tc>
          <w:tcPr>
            <w:tcW w:w="1180" w:type="dxa"/>
            <w:tcBorders>
              <w:top w:val="nil"/>
              <w:left w:val="nil"/>
              <w:bottom w:val="single" w:sz="4" w:space="0" w:color="auto"/>
              <w:right w:val="single" w:sz="4" w:space="0" w:color="auto"/>
            </w:tcBorders>
            <w:shd w:val="clear" w:color="auto" w:fill="auto"/>
            <w:vAlign w:val="center"/>
            <w:hideMark/>
          </w:tcPr>
          <w:p w:rsidR="00650FCB" w:rsidRPr="00650FCB" w:rsidP="00650FCB" w14:paraId="2CED6C04"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 xml:space="preserve">$1,743 </w:t>
            </w:r>
          </w:p>
        </w:tc>
      </w:tr>
      <w:tr w14:paraId="141C010A" w14:textId="77777777" w:rsidTr="00650FCB">
        <w:tblPrEx>
          <w:tblW w:w="9020" w:type="dxa"/>
          <w:tblInd w:w="113" w:type="dxa"/>
          <w:tblLook w:val="04A0"/>
        </w:tblPrEx>
        <w:trPr>
          <w:trHeight w:val="84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650FCB" w:rsidRPr="00650FCB" w:rsidP="00650FCB" w14:paraId="0CD7541A" w14:textId="77777777">
            <w:pPr>
              <w:spacing w:after="0" w:line="240" w:lineRule="auto"/>
              <w:rPr>
                <w:rFonts w:eastAsia="Times New Roman" w:cstheme="minorHAnsi"/>
                <w:color w:val="000000"/>
                <w:sz w:val="20"/>
                <w:szCs w:val="20"/>
              </w:rPr>
            </w:pPr>
            <w:r w:rsidRPr="00650FCB">
              <w:rPr>
                <w:rFonts w:eastAsia="Times New Roman" w:cstheme="minorHAnsi"/>
                <w:color w:val="000000"/>
                <w:sz w:val="20"/>
                <w:szCs w:val="20"/>
              </w:rPr>
              <w:t xml:space="preserve">Visible emissions checks </w:t>
            </w:r>
            <w:r w:rsidRPr="00650FCB">
              <w:rPr>
                <w:rFonts w:eastAsia="Times New Roman" w:cstheme="minorHAnsi"/>
                <w:color w:val="000000"/>
                <w:sz w:val="20"/>
                <w:szCs w:val="20"/>
                <w:vertAlign w:val="superscript"/>
              </w:rPr>
              <w:t>c</w:t>
            </w:r>
          </w:p>
        </w:tc>
        <w:tc>
          <w:tcPr>
            <w:tcW w:w="1420" w:type="dxa"/>
            <w:tcBorders>
              <w:top w:val="nil"/>
              <w:left w:val="nil"/>
              <w:bottom w:val="single" w:sz="4" w:space="0" w:color="auto"/>
              <w:right w:val="single" w:sz="4" w:space="0" w:color="auto"/>
            </w:tcBorders>
            <w:shd w:val="clear" w:color="auto" w:fill="auto"/>
            <w:vAlign w:val="center"/>
            <w:hideMark/>
          </w:tcPr>
          <w:p w:rsidR="00650FCB" w:rsidRPr="00650FCB" w:rsidP="00650FCB" w14:paraId="3BC2102F"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650FCB" w:rsidRPr="00650FCB" w:rsidP="00650FCB" w14:paraId="1EF3B165"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650FCB" w:rsidRPr="00650FCB" w:rsidP="00650FCB" w14:paraId="05E92CC3"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650FCB" w:rsidRPr="00650FCB" w:rsidP="00650FCB" w14:paraId="5D66E9BD"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 xml:space="preserve">$12,645 </w:t>
            </w:r>
          </w:p>
        </w:tc>
        <w:tc>
          <w:tcPr>
            <w:tcW w:w="1240" w:type="dxa"/>
            <w:tcBorders>
              <w:top w:val="nil"/>
              <w:left w:val="nil"/>
              <w:bottom w:val="single" w:sz="4" w:space="0" w:color="auto"/>
              <w:right w:val="single" w:sz="4" w:space="0" w:color="auto"/>
            </w:tcBorders>
            <w:shd w:val="clear" w:color="auto" w:fill="auto"/>
            <w:vAlign w:val="center"/>
            <w:hideMark/>
          </w:tcPr>
          <w:p w:rsidR="00650FCB" w:rsidRPr="00650FCB" w:rsidP="00650FCB" w14:paraId="5021DAA4"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2</w:t>
            </w:r>
          </w:p>
        </w:tc>
        <w:tc>
          <w:tcPr>
            <w:tcW w:w="1180" w:type="dxa"/>
            <w:tcBorders>
              <w:top w:val="nil"/>
              <w:left w:val="nil"/>
              <w:bottom w:val="single" w:sz="4" w:space="0" w:color="auto"/>
              <w:right w:val="single" w:sz="4" w:space="0" w:color="auto"/>
            </w:tcBorders>
            <w:shd w:val="clear" w:color="auto" w:fill="auto"/>
            <w:vAlign w:val="center"/>
            <w:hideMark/>
          </w:tcPr>
          <w:p w:rsidR="00650FCB" w:rsidRPr="00650FCB" w:rsidP="00650FCB" w14:paraId="3DCD9D65"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 xml:space="preserve">$25,289 </w:t>
            </w:r>
          </w:p>
        </w:tc>
      </w:tr>
      <w:tr w14:paraId="4363F6DE" w14:textId="77777777" w:rsidTr="00650FCB">
        <w:tblPrEx>
          <w:tblW w:w="9020" w:type="dxa"/>
          <w:tblInd w:w="113" w:type="dxa"/>
          <w:tblLook w:val="04A0"/>
        </w:tblPrEx>
        <w:trPr>
          <w:trHeight w:val="5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650FCB" w:rsidRPr="00650FCB" w:rsidP="00650FCB" w14:paraId="11608BD7" w14:textId="77777777">
            <w:pPr>
              <w:spacing w:after="0" w:line="240" w:lineRule="auto"/>
              <w:rPr>
                <w:rFonts w:eastAsia="Times New Roman" w:cstheme="minorHAnsi"/>
                <w:color w:val="000000"/>
                <w:sz w:val="20"/>
                <w:szCs w:val="20"/>
              </w:rPr>
            </w:pPr>
            <w:r w:rsidRPr="00650FCB">
              <w:rPr>
                <w:rFonts w:eastAsia="Times New Roman" w:cstheme="minorHAnsi"/>
                <w:color w:val="000000"/>
                <w:sz w:val="20"/>
                <w:szCs w:val="20"/>
              </w:rPr>
              <w:t xml:space="preserve">Performance Testing </w:t>
            </w:r>
            <w:r w:rsidRPr="00650FCB">
              <w:rPr>
                <w:rFonts w:eastAsia="Times New Roman" w:cstheme="minorHAnsi"/>
                <w:color w:val="000000"/>
                <w:sz w:val="20"/>
                <w:szCs w:val="20"/>
                <w:vertAlign w:val="superscript"/>
              </w:rPr>
              <w:t>d</w:t>
            </w:r>
          </w:p>
        </w:tc>
        <w:tc>
          <w:tcPr>
            <w:tcW w:w="1420" w:type="dxa"/>
            <w:tcBorders>
              <w:top w:val="nil"/>
              <w:left w:val="nil"/>
              <w:bottom w:val="single" w:sz="4" w:space="0" w:color="auto"/>
              <w:right w:val="single" w:sz="4" w:space="0" w:color="auto"/>
            </w:tcBorders>
            <w:shd w:val="clear" w:color="auto" w:fill="auto"/>
            <w:vAlign w:val="center"/>
            <w:hideMark/>
          </w:tcPr>
          <w:p w:rsidR="00650FCB" w:rsidRPr="00650FCB" w:rsidP="00650FCB" w14:paraId="3FE17B37"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650FCB" w:rsidRPr="00650FCB" w:rsidP="00650FCB" w14:paraId="4840CB17"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650FCB" w:rsidRPr="00650FCB" w:rsidP="00650FCB" w14:paraId="78BC1096"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 xml:space="preserve">$60,000 </w:t>
            </w:r>
          </w:p>
        </w:tc>
        <w:tc>
          <w:tcPr>
            <w:tcW w:w="1320" w:type="dxa"/>
            <w:tcBorders>
              <w:top w:val="nil"/>
              <w:left w:val="nil"/>
              <w:bottom w:val="single" w:sz="4" w:space="0" w:color="auto"/>
              <w:right w:val="single" w:sz="4" w:space="0" w:color="auto"/>
            </w:tcBorders>
            <w:shd w:val="clear" w:color="auto" w:fill="auto"/>
            <w:vAlign w:val="center"/>
            <w:hideMark/>
          </w:tcPr>
          <w:p w:rsidR="00650FCB" w:rsidRPr="00650FCB" w:rsidP="00650FCB" w14:paraId="61D54586"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650FCB" w:rsidRPr="00650FCB" w:rsidP="00650FCB" w14:paraId="4DD90969"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650FCB" w:rsidRPr="00650FCB" w:rsidP="00650FCB" w14:paraId="1A4AD1EB"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 </w:t>
            </w:r>
          </w:p>
        </w:tc>
      </w:tr>
      <w:tr w14:paraId="0E077F2F" w14:textId="77777777" w:rsidTr="00650FCB">
        <w:tblPrEx>
          <w:tblW w:w="9020" w:type="dxa"/>
          <w:tblInd w:w="113" w:type="dxa"/>
          <w:tblLook w:val="04A0"/>
        </w:tblPrEx>
        <w:trPr>
          <w:trHeight w:val="57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650FCB" w:rsidRPr="00650FCB" w:rsidP="00650FCB" w14:paraId="6D027BF6" w14:textId="77777777">
            <w:pPr>
              <w:spacing w:after="0" w:line="240" w:lineRule="auto"/>
              <w:rPr>
                <w:rFonts w:eastAsia="Times New Roman" w:cstheme="minorHAnsi"/>
                <w:color w:val="000000"/>
                <w:sz w:val="20"/>
                <w:szCs w:val="20"/>
              </w:rPr>
            </w:pPr>
            <w:r w:rsidRPr="00650FCB">
              <w:rPr>
                <w:rFonts w:eastAsia="Times New Roman" w:cstheme="minorHAnsi"/>
                <w:color w:val="000000"/>
                <w:sz w:val="20"/>
                <w:szCs w:val="20"/>
              </w:rPr>
              <w:t xml:space="preserve">Total (rounded) </w:t>
            </w:r>
            <w:r w:rsidRPr="00650FCB">
              <w:rPr>
                <w:rFonts w:eastAsia="Times New Roman" w:cstheme="minorHAnsi"/>
                <w:color w:val="000000"/>
                <w:sz w:val="20"/>
                <w:szCs w:val="20"/>
                <w:vertAlign w:val="superscript"/>
              </w:rPr>
              <w:t>e</w:t>
            </w:r>
          </w:p>
        </w:tc>
        <w:tc>
          <w:tcPr>
            <w:tcW w:w="1420" w:type="dxa"/>
            <w:tcBorders>
              <w:top w:val="nil"/>
              <w:left w:val="nil"/>
              <w:bottom w:val="single" w:sz="4" w:space="0" w:color="auto"/>
              <w:right w:val="single" w:sz="4" w:space="0" w:color="auto"/>
            </w:tcBorders>
            <w:shd w:val="clear" w:color="auto" w:fill="auto"/>
            <w:vAlign w:val="center"/>
            <w:hideMark/>
          </w:tcPr>
          <w:p w:rsidR="00650FCB" w:rsidRPr="00650FCB" w:rsidP="00650FCB" w14:paraId="135A79FE"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650FCB" w:rsidRPr="00650FCB" w:rsidP="00650FCB" w14:paraId="1106AEDD"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650FCB" w:rsidRPr="00650FCB" w:rsidP="00650FCB" w14:paraId="486F007E"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 xml:space="preserve">$60,000 </w:t>
            </w:r>
          </w:p>
        </w:tc>
        <w:tc>
          <w:tcPr>
            <w:tcW w:w="1320" w:type="dxa"/>
            <w:tcBorders>
              <w:top w:val="nil"/>
              <w:left w:val="nil"/>
              <w:bottom w:val="single" w:sz="4" w:space="0" w:color="auto"/>
              <w:right w:val="single" w:sz="4" w:space="0" w:color="auto"/>
            </w:tcBorders>
            <w:shd w:val="clear" w:color="auto" w:fill="auto"/>
            <w:vAlign w:val="center"/>
            <w:hideMark/>
          </w:tcPr>
          <w:p w:rsidR="00650FCB" w:rsidRPr="00650FCB" w:rsidP="00650FCB" w14:paraId="6572C20E"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650FCB" w:rsidRPr="00650FCB" w:rsidP="00650FCB" w14:paraId="7E8B7C95"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650FCB" w:rsidRPr="00650FCB" w:rsidP="00650FCB" w14:paraId="483756BD" w14:textId="77777777">
            <w:pPr>
              <w:spacing w:after="0" w:line="240" w:lineRule="auto"/>
              <w:jc w:val="center"/>
              <w:rPr>
                <w:rFonts w:eastAsia="Times New Roman" w:cstheme="minorHAnsi"/>
                <w:color w:val="000000"/>
                <w:sz w:val="20"/>
                <w:szCs w:val="20"/>
              </w:rPr>
            </w:pPr>
            <w:r w:rsidRPr="00650FCB">
              <w:rPr>
                <w:rFonts w:eastAsia="Times New Roman" w:cstheme="minorHAnsi"/>
                <w:color w:val="000000"/>
                <w:sz w:val="20"/>
                <w:szCs w:val="20"/>
              </w:rPr>
              <w:t xml:space="preserve">$27,000 </w:t>
            </w:r>
          </w:p>
        </w:tc>
      </w:tr>
      <w:tr w14:paraId="2CB1D533" w14:textId="77777777" w:rsidTr="00650FCB">
        <w:tblPrEx>
          <w:tblW w:w="9020" w:type="dxa"/>
          <w:tblInd w:w="113" w:type="dxa"/>
          <w:tblLook w:val="04A0"/>
        </w:tblPrEx>
        <w:trPr>
          <w:trHeight w:val="630"/>
        </w:trPr>
        <w:tc>
          <w:tcPr>
            <w:tcW w:w="9020" w:type="dxa"/>
            <w:gridSpan w:val="7"/>
            <w:tcBorders>
              <w:top w:val="single" w:sz="4" w:space="0" w:color="auto"/>
              <w:left w:val="nil"/>
              <w:bottom w:val="nil"/>
              <w:right w:val="nil"/>
            </w:tcBorders>
            <w:shd w:val="clear" w:color="auto" w:fill="auto"/>
            <w:vAlign w:val="center"/>
            <w:hideMark/>
          </w:tcPr>
          <w:p w:rsidR="00650FCB" w:rsidRPr="00650FCB" w:rsidP="00650FCB" w14:paraId="50A6DE7A" w14:textId="1B1A3EAA">
            <w:pPr>
              <w:spacing w:after="0" w:line="240" w:lineRule="auto"/>
              <w:rPr>
                <w:rFonts w:eastAsia="Times New Roman" w:cstheme="minorHAnsi"/>
                <w:color w:val="000000"/>
                <w:sz w:val="20"/>
                <w:szCs w:val="20"/>
              </w:rPr>
            </w:pPr>
            <w:r w:rsidRPr="00650FCB">
              <w:rPr>
                <w:rFonts w:eastAsia="Times New Roman" w:cstheme="minorHAnsi"/>
                <w:color w:val="000000"/>
                <w:sz w:val="20"/>
                <w:szCs w:val="20"/>
                <w:vertAlign w:val="superscript"/>
              </w:rPr>
              <w:t>a</w:t>
            </w:r>
            <w:r w:rsidRPr="00650FCB">
              <w:rPr>
                <w:rFonts w:eastAsia="Times New Roman" w:cstheme="minorHAnsi"/>
                <w:color w:val="000000"/>
                <w:sz w:val="20"/>
                <w:szCs w:val="20"/>
              </w:rPr>
              <w:t xml:space="preserve"> Capital</w:t>
            </w:r>
            <w:r w:rsidRPr="00650FCB">
              <w:rPr>
                <w:rFonts w:eastAsia="Times New Roman" w:cstheme="minorHAnsi"/>
                <w:color w:val="000000"/>
                <w:sz w:val="20"/>
                <w:szCs w:val="20"/>
              </w:rPr>
              <w:t xml:space="preserve">/Startup and Annual O&amp;M costs have been updated from 2009 to 2023 (Continuous parameter monitoring system) and 2021 to 2023 (Visible emissions checks) using the CEPCI Index. </w:t>
            </w:r>
          </w:p>
        </w:tc>
      </w:tr>
      <w:tr w14:paraId="45A3F30A" w14:textId="77777777" w:rsidTr="00650FCB">
        <w:tblPrEx>
          <w:tblW w:w="9020" w:type="dxa"/>
          <w:tblInd w:w="113" w:type="dxa"/>
          <w:tblLook w:val="04A0"/>
        </w:tblPrEx>
        <w:trPr>
          <w:trHeight w:val="315"/>
        </w:trPr>
        <w:tc>
          <w:tcPr>
            <w:tcW w:w="9020" w:type="dxa"/>
            <w:gridSpan w:val="7"/>
            <w:tcBorders>
              <w:top w:val="nil"/>
              <w:left w:val="nil"/>
              <w:bottom w:val="nil"/>
              <w:right w:val="nil"/>
            </w:tcBorders>
            <w:shd w:val="clear" w:color="auto" w:fill="auto"/>
            <w:noWrap/>
            <w:vAlign w:val="center"/>
            <w:hideMark/>
          </w:tcPr>
          <w:p w:rsidR="00650FCB" w:rsidRPr="00650FCB" w:rsidP="00650FCB" w14:paraId="3D4CC810" w14:textId="77777777">
            <w:pPr>
              <w:spacing w:after="0" w:line="240" w:lineRule="auto"/>
              <w:rPr>
                <w:rFonts w:eastAsia="Times New Roman" w:cstheme="minorHAnsi"/>
                <w:color w:val="000000"/>
                <w:sz w:val="20"/>
                <w:szCs w:val="20"/>
              </w:rPr>
            </w:pPr>
            <w:r w:rsidRPr="00650FCB">
              <w:rPr>
                <w:rFonts w:eastAsia="Times New Roman" w:cstheme="minorHAnsi"/>
                <w:color w:val="000000"/>
                <w:sz w:val="20"/>
                <w:szCs w:val="20"/>
                <w:vertAlign w:val="superscript"/>
              </w:rPr>
              <w:t>b</w:t>
            </w:r>
            <w:r w:rsidRPr="00650FCB">
              <w:rPr>
                <w:rFonts w:eastAsia="Times New Roman" w:cstheme="minorHAnsi"/>
                <w:color w:val="000000"/>
                <w:sz w:val="20"/>
                <w:szCs w:val="20"/>
              </w:rPr>
              <w:t xml:space="preserve"> It is assumed that no existing sources have installed CEMS.</w:t>
            </w:r>
          </w:p>
        </w:tc>
      </w:tr>
      <w:tr w14:paraId="17F39961" w14:textId="77777777" w:rsidTr="00650FCB">
        <w:tblPrEx>
          <w:tblW w:w="9020" w:type="dxa"/>
          <w:tblInd w:w="113" w:type="dxa"/>
          <w:tblLook w:val="04A0"/>
        </w:tblPrEx>
        <w:trPr>
          <w:trHeight w:val="630"/>
        </w:trPr>
        <w:tc>
          <w:tcPr>
            <w:tcW w:w="9020" w:type="dxa"/>
            <w:gridSpan w:val="7"/>
            <w:tcBorders>
              <w:top w:val="nil"/>
              <w:left w:val="nil"/>
              <w:bottom w:val="nil"/>
              <w:right w:val="nil"/>
            </w:tcBorders>
            <w:shd w:val="clear" w:color="auto" w:fill="auto"/>
            <w:vAlign w:val="center"/>
            <w:hideMark/>
          </w:tcPr>
          <w:p w:rsidR="00650FCB" w:rsidRPr="00650FCB" w:rsidP="00650FCB" w14:paraId="3DAFAFAF" w14:textId="77777777">
            <w:pPr>
              <w:spacing w:after="0" w:line="240" w:lineRule="auto"/>
              <w:rPr>
                <w:rFonts w:eastAsia="Times New Roman" w:cstheme="minorHAnsi"/>
                <w:color w:val="000000"/>
                <w:sz w:val="20"/>
                <w:szCs w:val="20"/>
              </w:rPr>
            </w:pPr>
            <w:r w:rsidRPr="00650FCB">
              <w:rPr>
                <w:rFonts w:eastAsia="Times New Roman" w:cstheme="minorHAnsi"/>
                <w:color w:val="000000"/>
                <w:sz w:val="20"/>
                <w:szCs w:val="20"/>
                <w:vertAlign w:val="superscript"/>
              </w:rPr>
              <w:t>c</w:t>
            </w:r>
            <w:r w:rsidRPr="00650FCB">
              <w:rPr>
                <w:rFonts w:eastAsia="Times New Roman" w:cstheme="minorHAnsi"/>
                <w:color w:val="000000"/>
                <w:sz w:val="20"/>
                <w:szCs w:val="20"/>
              </w:rPr>
              <w:t xml:space="preserve"> Required for compliance with the proposed particulate matter standards for clay refractory kilns. There are two facilities with clay refractory kilns.</w:t>
            </w:r>
          </w:p>
        </w:tc>
      </w:tr>
      <w:tr w14:paraId="4D387F20" w14:textId="77777777" w:rsidTr="00650FCB">
        <w:tblPrEx>
          <w:tblW w:w="9020" w:type="dxa"/>
          <w:tblInd w:w="113" w:type="dxa"/>
          <w:tblLook w:val="04A0"/>
        </w:tblPrEx>
        <w:trPr>
          <w:trHeight w:val="840"/>
        </w:trPr>
        <w:tc>
          <w:tcPr>
            <w:tcW w:w="9020" w:type="dxa"/>
            <w:gridSpan w:val="7"/>
            <w:tcBorders>
              <w:top w:val="nil"/>
              <w:left w:val="nil"/>
              <w:bottom w:val="nil"/>
              <w:right w:val="nil"/>
            </w:tcBorders>
            <w:shd w:val="clear" w:color="auto" w:fill="auto"/>
            <w:vAlign w:val="bottom"/>
            <w:hideMark/>
          </w:tcPr>
          <w:p w:rsidR="00650FCB" w:rsidRPr="00650FCB" w:rsidP="00650FCB" w14:paraId="774FD8AE" w14:textId="77777777">
            <w:pPr>
              <w:spacing w:after="0" w:line="240" w:lineRule="auto"/>
              <w:rPr>
                <w:rFonts w:eastAsia="Times New Roman" w:cstheme="minorHAnsi"/>
                <w:color w:val="000000"/>
                <w:sz w:val="20"/>
                <w:szCs w:val="20"/>
              </w:rPr>
            </w:pPr>
            <w:r w:rsidRPr="00650FCB">
              <w:rPr>
                <w:rFonts w:eastAsia="Times New Roman" w:cstheme="minorHAnsi"/>
                <w:color w:val="000000"/>
                <w:sz w:val="20"/>
                <w:szCs w:val="20"/>
                <w:vertAlign w:val="superscript"/>
              </w:rPr>
              <w:t>d</w:t>
            </w:r>
            <w:r w:rsidRPr="00650FCB">
              <w:rPr>
                <w:rFonts w:eastAsia="Times New Roman" w:cstheme="minorHAnsi"/>
                <w:color w:val="000000"/>
                <w:sz w:val="20"/>
                <w:szCs w:val="20"/>
              </w:rPr>
              <w:t xml:space="preserve"> Respondents</w:t>
            </w:r>
            <w:r w:rsidRPr="00650FCB">
              <w:rPr>
                <w:rFonts w:eastAsia="Times New Roman" w:cstheme="minorHAnsi"/>
                <w:color w:val="000000"/>
                <w:sz w:val="20"/>
                <w:szCs w:val="20"/>
              </w:rPr>
              <w:t xml:space="preserve"> with affected sources are required to conduct performance testing to demonstrate compliance every 5 years. Across the 3 years of the ICR, the cost of the tests conducted in each year is estimated to be $60,000 per year.</w:t>
            </w:r>
          </w:p>
        </w:tc>
      </w:tr>
      <w:tr w14:paraId="27244EE7" w14:textId="77777777" w:rsidTr="00650FCB">
        <w:tblPrEx>
          <w:tblW w:w="9020" w:type="dxa"/>
          <w:tblInd w:w="113" w:type="dxa"/>
          <w:tblLook w:val="04A0"/>
        </w:tblPrEx>
        <w:trPr>
          <w:trHeight w:val="315"/>
        </w:trPr>
        <w:tc>
          <w:tcPr>
            <w:tcW w:w="9020" w:type="dxa"/>
            <w:gridSpan w:val="7"/>
            <w:tcBorders>
              <w:top w:val="nil"/>
              <w:left w:val="nil"/>
              <w:bottom w:val="nil"/>
              <w:right w:val="nil"/>
            </w:tcBorders>
            <w:shd w:val="clear" w:color="auto" w:fill="auto"/>
            <w:noWrap/>
            <w:vAlign w:val="center"/>
            <w:hideMark/>
          </w:tcPr>
          <w:p w:rsidR="00650FCB" w:rsidRPr="00650FCB" w:rsidP="00650FCB" w14:paraId="0B71C878" w14:textId="77777777">
            <w:pPr>
              <w:spacing w:after="0" w:line="240" w:lineRule="auto"/>
              <w:rPr>
                <w:rFonts w:eastAsia="Times New Roman" w:cstheme="minorHAnsi"/>
                <w:color w:val="000000"/>
                <w:sz w:val="20"/>
                <w:szCs w:val="20"/>
              </w:rPr>
            </w:pPr>
            <w:r w:rsidRPr="00650FCB">
              <w:rPr>
                <w:rFonts w:eastAsia="Times New Roman" w:cstheme="minorHAnsi"/>
                <w:color w:val="000000"/>
                <w:sz w:val="20"/>
                <w:szCs w:val="20"/>
                <w:vertAlign w:val="superscript"/>
              </w:rPr>
              <w:t>e</w:t>
            </w:r>
            <w:r w:rsidRPr="00650FCB">
              <w:rPr>
                <w:rFonts w:eastAsia="Times New Roman" w:cstheme="minorHAnsi"/>
                <w:color w:val="000000"/>
                <w:sz w:val="20"/>
                <w:szCs w:val="20"/>
              </w:rPr>
              <w:t xml:space="preserve"> Totals have been rounded to 3 significant figures. Figures may not </w:t>
            </w:r>
            <w:r w:rsidRPr="00650FCB">
              <w:rPr>
                <w:rFonts w:eastAsia="Times New Roman" w:cstheme="minorHAnsi"/>
                <w:color w:val="000000"/>
                <w:sz w:val="20"/>
                <w:szCs w:val="20"/>
              </w:rPr>
              <w:t>add</w:t>
            </w:r>
            <w:r w:rsidRPr="00650FCB">
              <w:rPr>
                <w:rFonts w:eastAsia="Times New Roman" w:cstheme="minorHAnsi"/>
                <w:color w:val="000000"/>
                <w:sz w:val="20"/>
                <w:szCs w:val="20"/>
              </w:rPr>
              <w:t xml:space="preserve"> exactly due to rounding.</w:t>
            </w:r>
          </w:p>
        </w:tc>
      </w:tr>
    </w:tbl>
    <w:p w:rsidR="00454A34" w:rsidRPr="00BB3410" w:rsidP="00BB3410" w14:paraId="5909E13C" w14:textId="77777777">
      <w:pPr>
        <w:pStyle w:val="ListParagraph"/>
        <w:spacing w:before="240"/>
        <w:ind w:left="0"/>
        <w:rPr>
          <w:rFonts w:cstheme="minorHAnsi"/>
          <w:sz w:val="24"/>
          <w:szCs w:val="24"/>
        </w:rPr>
      </w:pPr>
    </w:p>
    <w:sectPr w:rsidSect="00454A34">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4A34" w14:paraId="72A0F740" w14:textId="77777777">
    <w:pPr>
      <w:framePr w:wrap="notBeside" w:hAnchor="text" w:xAlign="center"/>
    </w:pPr>
    <w:r>
      <w:fldChar w:fldCharType="begin"/>
    </w:r>
    <w:r>
      <w:instrText xml:space="preserve"> PAGE  </w:instrText>
    </w:r>
    <w:r>
      <w:fldChar w:fldCharType="separate"/>
    </w:r>
    <w:r>
      <w:rPr>
        <w:noProof/>
      </w:rPr>
      <w:t>2</w:t>
    </w:r>
    <w:r>
      <w:fldChar w:fldCharType="end"/>
    </w:r>
  </w:p>
  <w:p w:rsidR="00454A34" w14:paraId="243A594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84D0B" w:rsidP="002335AB" w14:paraId="56BD17FD" w14:textId="77777777">
      <w:pPr>
        <w:spacing w:after="0" w:line="240" w:lineRule="auto"/>
      </w:pPr>
      <w:r>
        <w:separator/>
      </w:r>
    </w:p>
  </w:footnote>
  <w:footnote w:type="continuationSeparator" w:id="1">
    <w:p w:rsidR="00984D0B" w:rsidP="002335AB" w14:paraId="63C7B45E" w14:textId="77777777">
      <w:pPr>
        <w:spacing w:after="0" w:line="240" w:lineRule="auto"/>
      </w:pPr>
      <w:r>
        <w:continuationSeparator/>
      </w:r>
    </w:p>
  </w:footnote>
  <w:footnote w:type="continuationNotice" w:id="2">
    <w:p w:rsidR="00984D0B" w14:paraId="09D7C38C" w14:textId="77777777">
      <w:pPr>
        <w:spacing w:after="0" w:line="240" w:lineRule="auto"/>
      </w:pPr>
    </w:p>
  </w:footnote>
  <w:footnote w:id="3">
    <w:p w:rsidR="006A4E44" w:rsidP="006A4E44" w14:paraId="10730624" w14:textId="77777777">
      <w:pPr>
        <w:pStyle w:val="FootnoteText"/>
      </w:pPr>
      <w:r w:rsidRPr="00D42764">
        <w:rPr>
          <w:rStyle w:val="FootnoteReference"/>
        </w:rPr>
        <w:footnoteRef/>
      </w:r>
      <w:r w:rsidRPr="00D42764">
        <w:rPr>
          <w:vertAlign w:val="superscript"/>
        </w:rPr>
        <w:t xml:space="preserve"> </w:t>
      </w:r>
      <w:r>
        <w:t xml:space="preserve">The November 2021 revisions </w:t>
      </w:r>
      <w:r w:rsidRPr="00D42764">
        <w:t>eliminate</w:t>
      </w:r>
      <w:r>
        <w:t>d</w:t>
      </w:r>
      <w:r w:rsidRPr="00D42764">
        <w:t xml:space="preserve"> the startup, shutdown, and malfunction (SSM) exemption; remove</w:t>
      </w:r>
      <w:r>
        <w:t>d</w:t>
      </w:r>
      <w:r w:rsidRPr="00D42764">
        <w:t xml:space="preserve"> the SSM plan and SSM recordkeeping requirements; require</w:t>
      </w:r>
      <w:r>
        <w:t>d</w:t>
      </w:r>
      <w:r w:rsidRPr="00D42764">
        <w:t xml:space="preserve"> electronic submittal of performance test results; add</w:t>
      </w:r>
      <w:r>
        <w:t>ed</w:t>
      </w:r>
      <w:r w:rsidRPr="00D42764">
        <w:t xml:space="preserve"> standards for mercury and non-mercury metal HAP from new and existing clay refractory kilns</w:t>
      </w:r>
      <w:r>
        <w:t>;</w:t>
      </w:r>
      <w:r w:rsidRPr="00D42764">
        <w:t xml:space="preserve"> add</w:t>
      </w:r>
      <w:r>
        <w:t>ed</w:t>
      </w:r>
      <w:r w:rsidRPr="00D42764">
        <w:t xml:space="preserve"> requirements around alternative standard during times of routine control device maintenance; and ma</w:t>
      </w:r>
      <w:r>
        <w:t>d</w:t>
      </w:r>
      <w:r w:rsidRPr="00D42764">
        <w:t>e miscellaneous technical and editorial changes.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1">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1">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1">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15:restartNumberingAfterBreak="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15:restartNumberingAfterBreak="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AF"/>
    <w:rsid w:val="000069C3"/>
    <w:rsid w:val="00006BE6"/>
    <w:rsid w:val="00006C95"/>
    <w:rsid w:val="000071E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305E"/>
    <w:rsid w:val="00043E32"/>
    <w:rsid w:val="0004467E"/>
    <w:rsid w:val="000452DC"/>
    <w:rsid w:val="000457D3"/>
    <w:rsid w:val="000459E3"/>
    <w:rsid w:val="000461BA"/>
    <w:rsid w:val="00047160"/>
    <w:rsid w:val="00050BB4"/>
    <w:rsid w:val="00051045"/>
    <w:rsid w:val="000521D6"/>
    <w:rsid w:val="00053570"/>
    <w:rsid w:val="000544D0"/>
    <w:rsid w:val="0005572E"/>
    <w:rsid w:val="0005629D"/>
    <w:rsid w:val="0005783D"/>
    <w:rsid w:val="00060163"/>
    <w:rsid w:val="0006085E"/>
    <w:rsid w:val="0006128A"/>
    <w:rsid w:val="00061A77"/>
    <w:rsid w:val="00061BCE"/>
    <w:rsid w:val="00062260"/>
    <w:rsid w:val="00063CA7"/>
    <w:rsid w:val="00065167"/>
    <w:rsid w:val="00065411"/>
    <w:rsid w:val="00066059"/>
    <w:rsid w:val="00070074"/>
    <w:rsid w:val="00071CD7"/>
    <w:rsid w:val="000728E0"/>
    <w:rsid w:val="00073C3D"/>
    <w:rsid w:val="000746BB"/>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1BAA"/>
    <w:rsid w:val="000A397C"/>
    <w:rsid w:val="000A4527"/>
    <w:rsid w:val="000B3576"/>
    <w:rsid w:val="000B461B"/>
    <w:rsid w:val="000B61F2"/>
    <w:rsid w:val="000B71D1"/>
    <w:rsid w:val="000B7BBA"/>
    <w:rsid w:val="000C04C0"/>
    <w:rsid w:val="000C21A3"/>
    <w:rsid w:val="000C3F51"/>
    <w:rsid w:val="000C41A7"/>
    <w:rsid w:val="000C43C8"/>
    <w:rsid w:val="000C4C43"/>
    <w:rsid w:val="000C570E"/>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7B"/>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0DB22"/>
    <w:rsid w:val="00111663"/>
    <w:rsid w:val="00112360"/>
    <w:rsid w:val="00112675"/>
    <w:rsid w:val="001134CE"/>
    <w:rsid w:val="00113664"/>
    <w:rsid w:val="001141DA"/>
    <w:rsid w:val="00116064"/>
    <w:rsid w:val="001172FE"/>
    <w:rsid w:val="00117FE1"/>
    <w:rsid w:val="001235F7"/>
    <w:rsid w:val="0013006A"/>
    <w:rsid w:val="00130CF9"/>
    <w:rsid w:val="001310E0"/>
    <w:rsid w:val="00132921"/>
    <w:rsid w:val="001329B3"/>
    <w:rsid w:val="00135EAD"/>
    <w:rsid w:val="00136237"/>
    <w:rsid w:val="00137EB8"/>
    <w:rsid w:val="00141AC2"/>
    <w:rsid w:val="00145DAE"/>
    <w:rsid w:val="00147B68"/>
    <w:rsid w:val="00147CE7"/>
    <w:rsid w:val="0015084F"/>
    <w:rsid w:val="00152A80"/>
    <w:rsid w:val="0015347D"/>
    <w:rsid w:val="00160461"/>
    <w:rsid w:val="00161846"/>
    <w:rsid w:val="001636DA"/>
    <w:rsid w:val="00163C69"/>
    <w:rsid w:val="00164169"/>
    <w:rsid w:val="001641AA"/>
    <w:rsid w:val="0016658D"/>
    <w:rsid w:val="00166B27"/>
    <w:rsid w:val="00170329"/>
    <w:rsid w:val="00170689"/>
    <w:rsid w:val="00170EB8"/>
    <w:rsid w:val="00171DC0"/>
    <w:rsid w:val="00173337"/>
    <w:rsid w:val="00173422"/>
    <w:rsid w:val="00173E50"/>
    <w:rsid w:val="00176BA8"/>
    <w:rsid w:val="001775F3"/>
    <w:rsid w:val="00180511"/>
    <w:rsid w:val="00181615"/>
    <w:rsid w:val="00181CB8"/>
    <w:rsid w:val="00184011"/>
    <w:rsid w:val="00185251"/>
    <w:rsid w:val="00185B4B"/>
    <w:rsid w:val="001912D6"/>
    <w:rsid w:val="0019149E"/>
    <w:rsid w:val="0019182F"/>
    <w:rsid w:val="00191C72"/>
    <w:rsid w:val="001925B3"/>
    <w:rsid w:val="0019580A"/>
    <w:rsid w:val="00195BEB"/>
    <w:rsid w:val="00197A23"/>
    <w:rsid w:val="001A20B0"/>
    <w:rsid w:val="001A21A7"/>
    <w:rsid w:val="001A3351"/>
    <w:rsid w:val="001A53A7"/>
    <w:rsid w:val="001A74AB"/>
    <w:rsid w:val="001A76B3"/>
    <w:rsid w:val="001A7DEF"/>
    <w:rsid w:val="001B1773"/>
    <w:rsid w:val="001B1962"/>
    <w:rsid w:val="001B2D25"/>
    <w:rsid w:val="001B4565"/>
    <w:rsid w:val="001B46D7"/>
    <w:rsid w:val="001B4BEC"/>
    <w:rsid w:val="001B7B47"/>
    <w:rsid w:val="001C0151"/>
    <w:rsid w:val="001C04B9"/>
    <w:rsid w:val="001C260A"/>
    <w:rsid w:val="001C2D48"/>
    <w:rsid w:val="001C3106"/>
    <w:rsid w:val="001C3D5A"/>
    <w:rsid w:val="001C4634"/>
    <w:rsid w:val="001C4B53"/>
    <w:rsid w:val="001C6741"/>
    <w:rsid w:val="001C7470"/>
    <w:rsid w:val="001C7D35"/>
    <w:rsid w:val="001C7D52"/>
    <w:rsid w:val="001D01BB"/>
    <w:rsid w:val="001D050B"/>
    <w:rsid w:val="001D294E"/>
    <w:rsid w:val="001D2CC2"/>
    <w:rsid w:val="001D47F8"/>
    <w:rsid w:val="001D4CDC"/>
    <w:rsid w:val="001D4D40"/>
    <w:rsid w:val="001D4D5C"/>
    <w:rsid w:val="001D4F2F"/>
    <w:rsid w:val="001D51D8"/>
    <w:rsid w:val="001D5CED"/>
    <w:rsid w:val="001E0924"/>
    <w:rsid w:val="001E211E"/>
    <w:rsid w:val="001E3777"/>
    <w:rsid w:val="001E3A31"/>
    <w:rsid w:val="001E43D7"/>
    <w:rsid w:val="001E534A"/>
    <w:rsid w:val="001E548A"/>
    <w:rsid w:val="001E54C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07451"/>
    <w:rsid w:val="00210EB2"/>
    <w:rsid w:val="00210F2E"/>
    <w:rsid w:val="00211627"/>
    <w:rsid w:val="00212237"/>
    <w:rsid w:val="0021345A"/>
    <w:rsid w:val="00213AE6"/>
    <w:rsid w:val="00216C6A"/>
    <w:rsid w:val="00220258"/>
    <w:rsid w:val="00222530"/>
    <w:rsid w:val="0022259D"/>
    <w:rsid w:val="0022416D"/>
    <w:rsid w:val="00224BB3"/>
    <w:rsid w:val="00224D61"/>
    <w:rsid w:val="00224F14"/>
    <w:rsid w:val="00225464"/>
    <w:rsid w:val="002263BE"/>
    <w:rsid w:val="00226D49"/>
    <w:rsid w:val="0022710C"/>
    <w:rsid w:val="002272EE"/>
    <w:rsid w:val="00227759"/>
    <w:rsid w:val="00230F45"/>
    <w:rsid w:val="00233342"/>
    <w:rsid w:val="002335AB"/>
    <w:rsid w:val="00234B8D"/>
    <w:rsid w:val="002350D5"/>
    <w:rsid w:val="002351F8"/>
    <w:rsid w:val="00235E79"/>
    <w:rsid w:val="002360BC"/>
    <w:rsid w:val="00240E9D"/>
    <w:rsid w:val="00240F23"/>
    <w:rsid w:val="0024175E"/>
    <w:rsid w:val="002420F2"/>
    <w:rsid w:val="002455F0"/>
    <w:rsid w:val="0024599B"/>
    <w:rsid w:val="00246A7E"/>
    <w:rsid w:val="00247198"/>
    <w:rsid w:val="0025051F"/>
    <w:rsid w:val="00251151"/>
    <w:rsid w:val="002528E2"/>
    <w:rsid w:val="00252A4E"/>
    <w:rsid w:val="0025319A"/>
    <w:rsid w:val="00253DBC"/>
    <w:rsid w:val="0025617C"/>
    <w:rsid w:val="0026050F"/>
    <w:rsid w:val="00260FB7"/>
    <w:rsid w:val="002648CF"/>
    <w:rsid w:val="0026542B"/>
    <w:rsid w:val="00265FE7"/>
    <w:rsid w:val="00270940"/>
    <w:rsid w:val="0027326A"/>
    <w:rsid w:val="002732F9"/>
    <w:rsid w:val="00276624"/>
    <w:rsid w:val="0027766D"/>
    <w:rsid w:val="00277A03"/>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33D6"/>
    <w:rsid w:val="00295B71"/>
    <w:rsid w:val="00295CBD"/>
    <w:rsid w:val="0029755D"/>
    <w:rsid w:val="002A43D0"/>
    <w:rsid w:val="002A53EC"/>
    <w:rsid w:val="002A6075"/>
    <w:rsid w:val="002A6516"/>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D6C59"/>
    <w:rsid w:val="002E0316"/>
    <w:rsid w:val="002E0999"/>
    <w:rsid w:val="002E2569"/>
    <w:rsid w:val="002E2BD2"/>
    <w:rsid w:val="002E4E93"/>
    <w:rsid w:val="002E5BAD"/>
    <w:rsid w:val="002E6047"/>
    <w:rsid w:val="002E6D1D"/>
    <w:rsid w:val="002E6F8A"/>
    <w:rsid w:val="002F0614"/>
    <w:rsid w:val="002F077A"/>
    <w:rsid w:val="002F10BE"/>
    <w:rsid w:val="002F13DA"/>
    <w:rsid w:val="002F15EB"/>
    <w:rsid w:val="002F3CE0"/>
    <w:rsid w:val="002F6A76"/>
    <w:rsid w:val="00300363"/>
    <w:rsid w:val="003005BB"/>
    <w:rsid w:val="00303DE5"/>
    <w:rsid w:val="00304842"/>
    <w:rsid w:val="003060D3"/>
    <w:rsid w:val="00306608"/>
    <w:rsid w:val="00307411"/>
    <w:rsid w:val="00310FDB"/>
    <w:rsid w:val="00312370"/>
    <w:rsid w:val="00312F28"/>
    <w:rsid w:val="003132A5"/>
    <w:rsid w:val="00313941"/>
    <w:rsid w:val="00314125"/>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33FD3"/>
    <w:rsid w:val="00342882"/>
    <w:rsid w:val="00342DB5"/>
    <w:rsid w:val="00343CEF"/>
    <w:rsid w:val="00344CB0"/>
    <w:rsid w:val="003467C8"/>
    <w:rsid w:val="00347C3C"/>
    <w:rsid w:val="0035079F"/>
    <w:rsid w:val="003527C1"/>
    <w:rsid w:val="00352C25"/>
    <w:rsid w:val="00355A93"/>
    <w:rsid w:val="003565B6"/>
    <w:rsid w:val="00356A66"/>
    <w:rsid w:val="00357418"/>
    <w:rsid w:val="0036059B"/>
    <w:rsid w:val="00360B75"/>
    <w:rsid w:val="00361737"/>
    <w:rsid w:val="00363F41"/>
    <w:rsid w:val="00366D56"/>
    <w:rsid w:val="00367871"/>
    <w:rsid w:val="00367DAD"/>
    <w:rsid w:val="0037007A"/>
    <w:rsid w:val="0037342A"/>
    <w:rsid w:val="00373CC8"/>
    <w:rsid w:val="00374E24"/>
    <w:rsid w:val="00375E2A"/>
    <w:rsid w:val="00376609"/>
    <w:rsid w:val="00380506"/>
    <w:rsid w:val="0038330C"/>
    <w:rsid w:val="00384F36"/>
    <w:rsid w:val="003856DC"/>
    <w:rsid w:val="00386F1A"/>
    <w:rsid w:val="003901B8"/>
    <w:rsid w:val="003963EE"/>
    <w:rsid w:val="003A0E52"/>
    <w:rsid w:val="003A1D0D"/>
    <w:rsid w:val="003A38FB"/>
    <w:rsid w:val="003A41A0"/>
    <w:rsid w:val="003A6BEF"/>
    <w:rsid w:val="003B04B9"/>
    <w:rsid w:val="003B07CD"/>
    <w:rsid w:val="003B0A8F"/>
    <w:rsid w:val="003B153D"/>
    <w:rsid w:val="003B4D4F"/>
    <w:rsid w:val="003B5E30"/>
    <w:rsid w:val="003C0ACA"/>
    <w:rsid w:val="003C0DBC"/>
    <w:rsid w:val="003C1314"/>
    <w:rsid w:val="003C16BD"/>
    <w:rsid w:val="003C2B04"/>
    <w:rsid w:val="003C321D"/>
    <w:rsid w:val="003C5631"/>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133B"/>
    <w:rsid w:val="003E4B7A"/>
    <w:rsid w:val="003E5AAE"/>
    <w:rsid w:val="003E5D61"/>
    <w:rsid w:val="003E7E56"/>
    <w:rsid w:val="003F0A11"/>
    <w:rsid w:val="003F1F7D"/>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5F7C"/>
    <w:rsid w:val="00417612"/>
    <w:rsid w:val="0042383B"/>
    <w:rsid w:val="0042409F"/>
    <w:rsid w:val="00424DDE"/>
    <w:rsid w:val="00424F93"/>
    <w:rsid w:val="004252C1"/>
    <w:rsid w:val="0042541E"/>
    <w:rsid w:val="00427079"/>
    <w:rsid w:val="004306A8"/>
    <w:rsid w:val="00430EDC"/>
    <w:rsid w:val="00430FA6"/>
    <w:rsid w:val="00431D3F"/>
    <w:rsid w:val="00432AC2"/>
    <w:rsid w:val="0043515D"/>
    <w:rsid w:val="00436FD0"/>
    <w:rsid w:val="00437139"/>
    <w:rsid w:val="004411F8"/>
    <w:rsid w:val="00441783"/>
    <w:rsid w:val="004420DA"/>
    <w:rsid w:val="0044373B"/>
    <w:rsid w:val="00444707"/>
    <w:rsid w:val="004455F6"/>
    <w:rsid w:val="00445751"/>
    <w:rsid w:val="004465D5"/>
    <w:rsid w:val="004468C2"/>
    <w:rsid w:val="00446B8D"/>
    <w:rsid w:val="00450C44"/>
    <w:rsid w:val="00454A34"/>
    <w:rsid w:val="004561F5"/>
    <w:rsid w:val="00456E33"/>
    <w:rsid w:val="004600ED"/>
    <w:rsid w:val="004620CA"/>
    <w:rsid w:val="00463285"/>
    <w:rsid w:val="00465846"/>
    <w:rsid w:val="00466349"/>
    <w:rsid w:val="00466B43"/>
    <w:rsid w:val="00470E22"/>
    <w:rsid w:val="00472D33"/>
    <w:rsid w:val="0047357E"/>
    <w:rsid w:val="00475BA6"/>
    <w:rsid w:val="00477D70"/>
    <w:rsid w:val="004831CC"/>
    <w:rsid w:val="00485567"/>
    <w:rsid w:val="004855BE"/>
    <w:rsid w:val="00486860"/>
    <w:rsid w:val="00491CC3"/>
    <w:rsid w:val="00491ED9"/>
    <w:rsid w:val="00492617"/>
    <w:rsid w:val="00495623"/>
    <w:rsid w:val="00495BC7"/>
    <w:rsid w:val="00496F19"/>
    <w:rsid w:val="0049718B"/>
    <w:rsid w:val="004A007F"/>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287"/>
    <w:rsid w:val="004F1426"/>
    <w:rsid w:val="004F3C8A"/>
    <w:rsid w:val="004F4CDB"/>
    <w:rsid w:val="004F4FDD"/>
    <w:rsid w:val="004F6CF4"/>
    <w:rsid w:val="0050085E"/>
    <w:rsid w:val="005016D0"/>
    <w:rsid w:val="00501DE1"/>
    <w:rsid w:val="005024CE"/>
    <w:rsid w:val="00502BAA"/>
    <w:rsid w:val="00504949"/>
    <w:rsid w:val="00506171"/>
    <w:rsid w:val="005062F5"/>
    <w:rsid w:val="00510B40"/>
    <w:rsid w:val="00510C48"/>
    <w:rsid w:val="005119F4"/>
    <w:rsid w:val="00511DDD"/>
    <w:rsid w:val="00512F2D"/>
    <w:rsid w:val="00513479"/>
    <w:rsid w:val="0051499C"/>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6ACA"/>
    <w:rsid w:val="005372F7"/>
    <w:rsid w:val="00537322"/>
    <w:rsid w:val="00540C95"/>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1A3"/>
    <w:rsid w:val="005723B9"/>
    <w:rsid w:val="005726BA"/>
    <w:rsid w:val="0057299B"/>
    <w:rsid w:val="00574C83"/>
    <w:rsid w:val="005810DF"/>
    <w:rsid w:val="00583101"/>
    <w:rsid w:val="005836B3"/>
    <w:rsid w:val="00583AAC"/>
    <w:rsid w:val="00584D72"/>
    <w:rsid w:val="0058662D"/>
    <w:rsid w:val="005900C3"/>
    <w:rsid w:val="00590A21"/>
    <w:rsid w:val="005932EC"/>
    <w:rsid w:val="005966D8"/>
    <w:rsid w:val="0059769C"/>
    <w:rsid w:val="00597A92"/>
    <w:rsid w:val="005A0F75"/>
    <w:rsid w:val="005A129A"/>
    <w:rsid w:val="005A2ABF"/>
    <w:rsid w:val="005A35B4"/>
    <w:rsid w:val="005A422E"/>
    <w:rsid w:val="005A472E"/>
    <w:rsid w:val="005A5A0B"/>
    <w:rsid w:val="005A7235"/>
    <w:rsid w:val="005A7BA6"/>
    <w:rsid w:val="005B4322"/>
    <w:rsid w:val="005B43B1"/>
    <w:rsid w:val="005B499E"/>
    <w:rsid w:val="005B5DA7"/>
    <w:rsid w:val="005B6A8D"/>
    <w:rsid w:val="005C195D"/>
    <w:rsid w:val="005C2031"/>
    <w:rsid w:val="005D0ACB"/>
    <w:rsid w:val="005D140B"/>
    <w:rsid w:val="005D1C36"/>
    <w:rsid w:val="005D1F2E"/>
    <w:rsid w:val="005D2654"/>
    <w:rsid w:val="005D2D34"/>
    <w:rsid w:val="005D2E6F"/>
    <w:rsid w:val="005D5624"/>
    <w:rsid w:val="005D5865"/>
    <w:rsid w:val="005D5F1D"/>
    <w:rsid w:val="005E03A2"/>
    <w:rsid w:val="005E35C4"/>
    <w:rsid w:val="005E4A7B"/>
    <w:rsid w:val="005E4C2F"/>
    <w:rsid w:val="005E588F"/>
    <w:rsid w:val="005E5BEC"/>
    <w:rsid w:val="005E5D2D"/>
    <w:rsid w:val="005E6FAB"/>
    <w:rsid w:val="005F1234"/>
    <w:rsid w:val="005F13AA"/>
    <w:rsid w:val="005F3529"/>
    <w:rsid w:val="005F484B"/>
    <w:rsid w:val="005F5F0A"/>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46FA"/>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2312"/>
    <w:rsid w:val="00635E63"/>
    <w:rsid w:val="006364B9"/>
    <w:rsid w:val="00637244"/>
    <w:rsid w:val="00640646"/>
    <w:rsid w:val="006406C5"/>
    <w:rsid w:val="00640DB6"/>
    <w:rsid w:val="00641D69"/>
    <w:rsid w:val="00642467"/>
    <w:rsid w:val="00642D76"/>
    <w:rsid w:val="00643FF8"/>
    <w:rsid w:val="00644EBE"/>
    <w:rsid w:val="00645A18"/>
    <w:rsid w:val="00645B0D"/>
    <w:rsid w:val="00650FCB"/>
    <w:rsid w:val="00651606"/>
    <w:rsid w:val="0065161C"/>
    <w:rsid w:val="00652B35"/>
    <w:rsid w:val="00652EE5"/>
    <w:rsid w:val="00653D08"/>
    <w:rsid w:val="0065454C"/>
    <w:rsid w:val="00660027"/>
    <w:rsid w:val="00660033"/>
    <w:rsid w:val="00660B98"/>
    <w:rsid w:val="00665EAF"/>
    <w:rsid w:val="00666566"/>
    <w:rsid w:val="00666D5A"/>
    <w:rsid w:val="00670897"/>
    <w:rsid w:val="0067187C"/>
    <w:rsid w:val="00672A20"/>
    <w:rsid w:val="00673341"/>
    <w:rsid w:val="006737EC"/>
    <w:rsid w:val="006739CE"/>
    <w:rsid w:val="00674EEC"/>
    <w:rsid w:val="0068304A"/>
    <w:rsid w:val="00683207"/>
    <w:rsid w:val="00686D59"/>
    <w:rsid w:val="00687254"/>
    <w:rsid w:val="00687583"/>
    <w:rsid w:val="00691828"/>
    <w:rsid w:val="00691A07"/>
    <w:rsid w:val="00692B88"/>
    <w:rsid w:val="00693D40"/>
    <w:rsid w:val="00694627"/>
    <w:rsid w:val="006971C6"/>
    <w:rsid w:val="00697598"/>
    <w:rsid w:val="006A01ED"/>
    <w:rsid w:val="006A0C6C"/>
    <w:rsid w:val="006A173F"/>
    <w:rsid w:val="006A1AC5"/>
    <w:rsid w:val="006A231D"/>
    <w:rsid w:val="006A29EB"/>
    <w:rsid w:val="006A4E44"/>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3BEC"/>
    <w:rsid w:val="006C4CAA"/>
    <w:rsid w:val="006C68A7"/>
    <w:rsid w:val="006C780F"/>
    <w:rsid w:val="006C79DB"/>
    <w:rsid w:val="006C7F7F"/>
    <w:rsid w:val="006D09D6"/>
    <w:rsid w:val="006D1400"/>
    <w:rsid w:val="006D419B"/>
    <w:rsid w:val="006D6C61"/>
    <w:rsid w:val="006D7A1A"/>
    <w:rsid w:val="006E009D"/>
    <w:rsid w:val="006E0122"/>
    <w:rsid w:val="006E0960"/>
    <w:rsid w:val="006E116F"/>
    <w:rsid w:val="006E13FF"/>
    <w:rsid w:val="006E197A"/>
    <w:rsid w:val="006E1DC0"/>
    <w:rsid w:val="006E41A4"/>
    <w:rsid w:val="006E4817"/>
    <w:rsid w:val="006E550C"/>
    <w:rsid w:val="006E6819"/>
    <w:rsid w:val="006E6A2C"/>
    <w:rsid w:val="006E6C7E"/>
    <w:rsid w:val="006E7D37"/>
    <w:rsid w:val="006F1F1D"/>
    <w:rsid w:val="006F4946"/>
    <w:rsid w:val="00700983"/>
    <w:rsid w:val="007020F8"/>
    <w:rsid w:val="007025A2"/>
    <w:rsid w:val="007029CB"/>
    <w:rsid w:val="00702E91"/>
    <w:rsid w:val="00702F36"/>
    <w:rsid w:val="00703FEF"/>
    <w:rsid w:val="00704459"/>
    <w:rsid w:val="007045C4"/>
    <w:rsid w:val="00704CBA"/>
    <w:rsid w:val="00706B15"/>
    <w:rsid w:val="00706F41"/>
    <w:rsid w:val="007072D8"/>
    <w:rsid w:val="00710A21"/>
    <w:rsid w:val="00711B89"/>
    <w:rsid w:val="00712749"/>
    <w:rsid w:val="007128E1"/>
    <w:rsid w:val="007139DB"/>
    <w:rsid w:val="00714D14"/>
    <w:rsid w:val="00714E66"/>
    <w:rsid w:val="007167A3"/>
    <w:rsid w:val="00716971"/>
    <w:rsid w:val="007169A1"/>
    <w:rsid w:val="00716CE1"/>
    <w:rsid w:val="00716D1D"/>
    <w:rsid w:val="00724442"/>
    <w:rsid w:val="00724815"/>
    <w:rsid w:val="00726EFA"/>
    <w:rsid w:val="007279D9"/>
    <w:rsid w:val="00731652"/>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13BA"/>
    <w:rsid w:val="007534F8"/>
    <w:rsid w:val="0075404F"/>
    <w:rsid w:val="0075537F"/>
    <w:rsid w:val="007558ED"/>
    <w:rsid w:val="007560F1"/>
    <w:rsid w:val="00761145"/>
    <w:rsid w:val="00762228"/>
    <w:rsid w:val="00763E34"/>
    <w:rsid w:val="00764EF9"/>
    <w:rsid w:val="007674E8"/>
    <w:rsid w:val="00770A34"/>
    <w:rsid w:val="00770FC4"/>
    <w:rsid w:val="007711BC"/>
    <w:rsid w:val="007713C7"/>
    <w:rsid w:val="00772C87"/>
    <w:rsid w:val="00772D61"/>
    <w:rsid w:val="00775025"/>
    <w:rsid w:val="00776596"/>
    <w:rsid w:val="00776C0D"/>
    <w:rsid w:val="0077747C"/>
    <w:rsid w:val="00780787"/>
    <w:rsid w:val="007837C6"/>
    <w:rsid w:val="007838DA"/>
    <w:rsid w:val="0078463B"/>
    <w:rsid w:val="007853D4"/>
    <w:rsid w:val="0078577F"/>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4FD8"/>
    <w:rsid w:val="007A5180"/>
    <w:rsid w:val="007A5A6C"/>
    <w:rsid w:val="007A5EE5"/>
    <w:rsid w:val="007B00E3"/>
    <w:rsid w:val="007B14AA"/>
    <w:rsid w:val="007B22C1"/>
    <w:rsid w:val="007B2A30"/>
    <w:rsid w:val="007B41DD"/>
    <w:rsid w:val="007B5199"/>
    <w:rsid w:val="007B5773"/>
    <w:rsid w:val="007B74AA"/>
    <w:rsid w:val="007C1CA2"/>
    <w:rsid w:val="007C285F"/>
    <w:rsid w:val="007C3A41"/>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E4D"/>
    <w:rsid w:val="007E3E42"/>
    <w:rsid w:val="007E403E"/>
    <w:rsid w:val="007E4B86"/>
    <w:rsid w:val="007E6E0D"/>
    <w:rsid w:val="007F11C3"/>
    <w:rsid w:val="007F1FD4"/>
    <w:rsid w:val="007F246C"/>
    <w:rsid w:val="007F2A90"/>
    <w:rsid w:val="007F3613"/>
    <w:rsid w:val="007F5265"/>
    <w:rsid w:val="007F5384"/>
    <w:rsid w:val="007F60B7"/>
    <w:rsid w:val="007F7757"/>
    <w:rsid w:val="0080187D"/>
    <w:rsid w:val="00802495"/>
    <w:rsid w:val="0080293D"/>
    <w:rsid w:val="00802D56"/>
    <w:rsid w:val="00803457"/>
    <w:rsid w:val="008042DB"/>
    <w:rsid w:val="00806D50"/>
    <w:rsid w:val="00807B4F"/>
    <w:rsid w:val="00810C64"/>
    <w:rsid w:val="00811D22"/>
    <w:rsid w:val="00811FC2"/>
    <w:rsid w:val="008144DD"/>
    <w:rsid w:val="0081485B"/>
    <w:rsid w:val="00814975"/>
    <w:rsid w:val="00815A4C"/>
    <w:rsid w:val="00816010"/>
    <w:rsid w:val="008201BE"/>
    <w:rsid w:val="008202C9"/>
    <w:rsid w:val="008208CD"/>
    <w:rsid w:val="008219AA"/>
    <w:rsid w:val="00823357"/>
    <w:rsid w:val="008240E3"/>
    <w:rsid w:val="00824837"/>
    <w:rsid w:val="00827596"/>
    <w:rsid w:val="0082798D"/>
    <w:rsid w:val="00830F44"/>
    <w:rsid w:val="008310D5"/>
    <w:rsid w:val="008316D7"/>
    <w:rsid w:val="00831944"/>
    <w:rsid w:val="00831B47"/>
    <w:rsid w:val="008343F1"/>
    <w:rsid w:val="008366C7"/>
    <w:rsid w:val="008366EC"/>
    <w:rsid w:val="00840657"/>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451D"/>
    <w:rsid w:val="00854AAE"/>
    <w:rsid w:val="00856CDB"/>
    <w:rsid w:val="00860243"/>
    <w:rsid w:val="00862ACA"/>
    <w:rsid w:val="00863B5C"/>
    <w:rsid w:val="00863E35"/>
    <w:rsid w:val="0086480C"/>
    <w:rsid w:val="0086680C"/>
    <w:rsid w:val="00866A4F"/>
    <w:rsid w:val="00866F44"/>
    <w:rsid w:val="00870F86"/>
    <w:rsid w:val="00873EFF"/>
    <w:rsid w:val="008749E8"/>
    <w:rsid w:val="00875533"/>
    <w:rsid w:val="00876774"/>
    <w:rsid w:val="00876C6F"/>
    <w:rsid w:val="008803DA"/>
    <w:rsid w:val="00881794"/>
    <w:rsid w:val="00881CAD"/>
    <w:rsid w:val="0088333B"/>
    <w:rsid w:val="00883A58"/>
    <w:rsid w:val="0089326A"/>
    <w:rsid w:val="0089358E"/>
    <w:rsid w:val="00893F67"/>
    <w:rsid w:val="00895D9D"/>
    <w:rsid w:val="00895E6F"/>
    <w:rsid w:val="008A0297"/>
    <w:rsid w:val="008A034D"/>
    <w:rsid w:val="008A1004"/>
    <w:rsid w:val="008A15C2"/>
    <w:rsid w:val="008A2C8A"/>
    <w:rsid w:val="008A2F96"/>
    <w:rsid w:val="008A34CB"/>
    <w:rsid w:val="008A474D"/>
    <w:rsid w:val="008A6835"/>
    <w:rsid w:val="008A789F"/>
    <w:rsid w:val="008B0300"/>
    <w:rsid w:val="008B07A2"/>
    <w:rsid w:val="008B170E"/>
    <w:rsid w:val="008B37A1"/>
    <w:rsid w:val="008B4625"/>
    <w:rsid w:val="008B467F"/>
    <w:rsid w:val="008B57B0"/>
    <w:rsid w:val="008C06CB"/>
    <w:rsid w:val="008C0C83"/>
    <w:rsid w:val="008C582D"/>
    <w:rsid w:val="008C6A5F"/>
    <w:rsid w:val="008C7F35"/>
    <w:rsid w:val="008D0B32"/>
    <w:rsid w:val="008D1FD9"/>
    <w:rsid w:val="008D2A1E"/>
    <w:rsid w:val="008D2CA0"/>
    <w:rsid w:val="008D3B33"/>
    <w:rsid w:val="008D3C47"/>
    <w:rsid w:val="008D4703"/>
    <w:rsid w:val="008D5AA2"/>
    <w:rsid w:val="008D61B2"/>
    <w:rsid w:val="008D659E"/>
    <w:rsid w:val="008D6656"/>
    <w:rsid w:val="008E1CF0"/>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C"/>
    <w:rsid w:val="00900E6F"/>
    <w:rsid w:val="00901BFD"/>
    <w:rsid w:val="00901C53"/>
    <w:rsid w:val="00902767"/>
    <w:rsid w:val="00902BB7"/>
    <w:rsid w:val="009048BF"/>
    <w:rsid w:val="00911E06"/>
    <w:rsid w:val="009124E7"/>
    <w:rsid w:val="00912F15"/>
    <w:rsid w:val="00914C6B"/>
    <w:rsid w:val="0091556B"/>
    <w:rsid w:val="00916658"/>
    <w:rsid w:val="00916674"/>
    <w:rsid w:val="00916D23"/>
    <w:rsid w:val="0091768B"/>
    <w:rsid w:val="00921B62"/>
    <w:rsid w:val="00922AA7"/>
    <w:rsid w:val="00922C6F"/>
    <w:rsid w:val="00922D6B"/>
    <w:rsid w:val="00923155"/>
    <w:rsid w:val="00925391"/>
    <w:rsid w:val="009254E0"/>
    <w:rsid w:val="00925AC1"/>
    <w:rsid w:val="00925CEA"/>
    <w:rsid w:val="00927A0F"/>
    <w:rsid w:val="00927A30"/>
    <w:rsid w:val="00927DC6"/>
    <w:rsid w:val="0093123F"/>
    <w:rsid w:val="00931E9D"/>
    <w:rsid w:val="009328B3"/>
    <w:rsid w:val="00934B86"/>
    <w:rsid w:val="00936A54"/>
    <w:rsid w:val="00937543"/>
    <w:rsid w:val="00937AC9"/>
    <w:rsid w:val="00940165"/>
    <w:rsid w:val="009409E4"/>
    <w:rsid w:val="00940B0E"/>
    <w:rsid w:val="00940F81"/>
    <w:rsid w:val="00941552"/>
    <w:rsid w:val="009429A4"/>
    <w:rsid w:val="00942B82"/>
    <w:rsid w:val="00943169"/>
    <w:rsid w:val="0094321E"/>
    <w:rsid w:val="00943C5A"/>
    <w:rsid w:val="00944273"/>
    <w:rsid w:val="00944C1D"/>
    <w:rsid w:val="00945D12"/>
    <w:rsid w:val="00946AF5"/>
    <w:rsid w:val="0095227C"/>
    <w:rsid w:val="009523A7"/>
    <w:rsid w:val="009523F2"/>
    <w:rsid w:val="00953FB7"/>
    <w:rsid w:val="009551C5"/>
    <w:rsid w:val="00956636"/>
    <w:rsid w:val="00961FE9"/>
    <w:rsid w:val="009620C0"/>
    <w:rsid w:val="009628DB"/>
    <w:rsid w:val="00962BB9"/>
    <w:rsid w:val="00963312"/>
    <w:rsid w:val="0096386A"/>
    <w:rsid w:val="0096508A"/>
    <w:rsid w:val="00965ABF"/>
    <w:rsid w:val="00971823"/>
    <w:rsid w:val="00971A41"/>
    <w:rsid w:val="00975BE8"/>
    <w:rsid w:val="00976A58"/>
    <w:rsid w:val="00977AA1"/>
    <w:rsid w:val="00980058"/>
    <w:rsid w:val="00982445"/>
    <w:rsid w:val="00982777"/>
    <w:rsid w:val="00982C40"/>
    <w:rsid w:val="0098375D"/>
    <w:rsid w:val="00983A60"/>
    <w:rsid w:val="00984D0B"/>
    <w:rsid w:val="00986137"/>
    <w:rsid w:val="00986389"/>
    <w:rsid w:val="009872CD"/>
    <w:rsid w:val="00987A8B"/>
    <w:rsid w:val="00987C8D"/>
    <w:rsid w:val="00990A46"/>
    <w:rsid w:val="00990AB9"/>
    <w:rsid w:val="009912BB"/>
    <w:rsid w:val="009920E2"/>
    <w:rsid w:val="00992DE9"/>
    <w:rsid w:val="00994217"/>
    <w:rsid w:val="00994618"/>
    <w:rsid w:val="00996B9F"/>
    <w:rsid w:val="00996CD5"/>
    <w:rsid w:val="00997E71"/>
    <w:rsid w:val="009A09EC"/>
    <w:rsid w:val="009A0E02"/>
    <w:rsid w:val="009A151F"/>
    <w:rsid w:val="009A24BC"/>
    <w:rsid w:val="009A442C"/>
    <w:rsid w:val="009A5C07"/>
    <w:rsid w:val="009A6AF8"/>
    <w:rsid w:val="009A7ED7"/>
    <w:rsid w:val="009A7EF0"/>
    <w:rsid w:val="009B0FD3"/>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4F33"/>
    <w:rsid w:val="009C66BD"/>
    <w:rsid w:val="009D040F"/>
    <w:rsid w:val="009D043F"/>
    <w:rsid w:val="009D090E"/>
    <w:rsid w:val="009D1603"/>
    <w:rsid w:val="009D1FF1"/>
    <w:rsid w:val="009D23AF"/>
    <w:rsid w:val="009D2F92"/>
    <w:rsid w:val="009D3724"/>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4E6"/>
    <w:rsid w:val="009F06DE"/>
    <w:rsid w:val="009F1184"/>
    <w:rsid w:val="009F1E00"/>
    <w:rsid w:val="009F3011"/>
    <w:rsid w:val="009F45ED"/>
    <w:rsid w:val="00A02D1A"/>
    <w:rsid w:val="00A03078"/>
    <w:rsid w:val="00A0627A"/>
    <w:rsid w:val="00A10781"/>
    <w:rsid w:val="00A10C30"/>
    <w:rsid w:val="00A12B93"/>
    <w:rsid w:val="00A12BD8"/>
    <w:rsid w:val="00A15F64"/>
    <w:rsid w:val="00A227AA"/>
    <w:rsid w:val="00A233E0"/>
    <w:rsid w:val="00A24F5B"/>
    <w:rsid w:val="00A259D5"/>
    <w:rsid w:val="00A26353"/>
    <w:rsid w:val="00A266EE"/>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4598"/>
    <w:rsid w:val="00A55764"/>
    <w:rsid w:val="00A56C84"/>
    <w:rsid w:val="00A60384"/>
    <w:rsid w:val="00A6282F"/>
    <w:rsid w:val="00A62AFA"/>
    <w:rsid w:val="00A64B54"/>
    <w:rsid w:val="00A67FC6"/>
    <w:rsid w:val="00A68791"/>
    <w:rsid w:val="00A71201"/>
    <w:rsid w:val="00A71397"/>
    <w:rsid w:val="00A71F84"/>
    <w:rsid w:val="00A72199"/>
    <w:rsid w:val="00A72623"/>
    <w:rsid w:val="00A737D8"/>
    <w:rsid w:val="00A7542C"/>
    <w:rsid w:val="00A768D2"/>
    <w:rsid w:val="00A80A27"/>
    <w:rsid w:val="00A816BC"/>
    <w:rsid w:val="00A82647"/>
    <w:rsid w:val="00A8542E"/>
    <w:rsid w:val="00A8593A"/>
    <w:rsid w:val="00A85B44"/>
    <w:rsid w:val="00A9188B"/>
    <w:rsid w:val="00A91EFC"/>
    <w:rsid w:val="00A955EC"/>
    <w:rsid w:val="00A9734E"/>
    <w:rsid w:val="00A975AC"/>
    <w:rsid w:val="00A97EE9"/>
    <w:rsid w:val="00AA26C8"/>
    <w:rsid w:val="00AA2AE3"/>
    <w:rsid w:val="00AA3857"/>
    <w:rsid w:val="00AA4A5E"/>
    <w:rsid w:val="00AA4F24"/>
    <w:rsid w:val="00AA5BD7"/>
    <w:rsid w:val="00AA659B"/>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13A"/>
    <w:rsid w:val="00AE2594"/>
    <w:rsid w:val="00AE274D"/>
    <w:rsid w:val="00AE3624"/>
    <w:rsid w:val="00AE3760"/>
    <w:rsid w:val="00AE3894"/>
    <w:rsid w:val="00AE3D51"/>
    <w:rsid w:val="00AE3F7E"/>
    <w:rsid w:val="00AE63B1"/>
    <w:rsid w:val="00AE70A5"/>
    <w:rsid w:val="00AE7A5F"/>
    <w:rsid w:val="00AE7BE7"/>
    <w:rsid w:val="00AE7FC5"/>
    <w:rsid w:val="00AF2486"/>
    <w:rsid w:val="00AF24FA"/>
    <w:rsid w:val="00AF280C"/>
    <w:rsid w:val="00AF3D20"/>
    <w:rsid w:val="00AF4218"/>
    <w:rsid w:val="00AF481E"/>
    <w:rsid w:val="00AF6F5C"/>
    <w:rsid w:val="00B027C5"/>
    <w:rsid w:val="00B02874"/>
    <w:rsid w:val="00B044B2"/>
    <w:rsid w:val="00B04655"/>
    <w:rsid w:val="00B04A5C"/>
    <w:rsid w:val="00B06750"/>
    <w:rsid w:val="00B07337"/>
    <w:rsid w:val="00B11B2A"/>
    <w:rsid w:val="00B13545"/>
    <w:rsid w:val="00B13DEC"/>
    <w:rsid w:val="00B15AEE"/>
    <w:rsid w:val="00B15B9E"/>
    <w:rsid w:val="00B222EC"/>
    <w:rsid w:val="00B22810"/>
    <w:rsid w:val="00B228E2"/>
    <w:rsid w:val="00B22F84"/>
    <w:rsid w:val="00B2326A"/>
    <w:rsid w:val="00B23E0D"/>
    <w:rsid w:val="00B24852"/>
    <w:rsid w:val="00B26757"/>
    <w:rsid w:val="00B31C31"/>
    <w:rsid w:val="00B37C28"/>
    <w:rsid w:val="00B400AE"/>
    <w:rsid w:val="00B434D7"/>
    <w:rsid w:val="00B44FED"/>
    <w:rsid w:val="00B45BEF"/>
    <w:rsid w:val="00B47058"/>
    <w:rsid w:val="00B5068E"/>
    <w:rsid w:val="00B51024"/>
    <w:rsid w:val="00B51070"/>
    <w:rsid w:val="00B524A9"/>
    <w:rsid w:val="00B603E4"/>
    <w:rsid w:val="00B619E9"/>
    <w:rsid w:val="00B62988"/>
    <w:rsid w:val="00B6361B"/>
    <w:rsid w:val="00B63B97"/>
    <w:rsid w:val="00B65237"/>
    <w:rsid w:val="00B666CD"/>
    <w:rsid w:val="00B67894"/>
    <w:rsid w:val="00B713F7"/>
    <w:rsid w:val="00B72371"/>
    <w:rsid w:val="00B737EF"/>
    <w:rsid w:val="00B74D25"/>
    <w:rsid w:val="00B7519D"/>
    <w:rsid w:val="00B77C81"/>
    <w:rsid w:val="00B80F76"/>
    <w:rsid w:val="00B818B8"/>
    <w:rsid w:val="00B81A2E"/>
    <w:rsid w:val="00B82E99"/>
    <w:rsid w:val="00B83587"/>
    <w:rsid w:val="00B8407F"/>
    <w:rsid w:val="00B8491D"/>
    <w:rsid w:val="00B85B34"/>
    <w:rsid w:val="00B8623A"/>
    <w:rsid w:val="00B8742C"/>
    <w:rsid w:val="00B9008B"/>
    <w:rsid w:val="00B90437"/>
    <w:rsid w:val="00B92005"/>
    <w:rsid w:val="00B92284"/>
    <w:rsid w:val="00B92D89"/>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579"/>
    <w:rsid w:val="00BB49A7"/>
    <w:rsid w:val="00BB49C0"/>
    <w:rsid w:val="00BB6F4C"/>
    <w:rsid w:val="00BB6FB5"/>
    <w:rsid w:val="00BB753F"/>
    <w:rsid w:val="00BB7977"/>
    <w:rsid w:val="00BB7DA0"/>
    <w:rsid w:val="00BB7FF2"/>
    <w:rsid w:val="00BC0B1A"/>
    <w:rsid w:val="00BC1522"/>
    <w:rsid w:val="00BC1BF0"/>
    <w:rsid w:val="00BC3541"/>
    <w:rsid w:val="00BC3DD2"/>
    <w:rsid w:val="00BC61D6"/>
    <w:rsid w:val="00BD1095"/>
    <w:rsid w:val="00BD12E4"/>
    <w:rsid w:val="00BD6B16"/>
    <w:rsid w:val="00BE03A9"/>
    <w:rsid w:val="00BE12E1"/>
    <w:rsid w:val="00BE1B26"/>
    <w:rsid w:val="00BE1F44"/>
    <w:rsid w:val="00BE3539"/>
    <w:rsid w:val="00BE3D6F"/>
    <w:rsid w:val="00BE4548"/>
    <w:rsid w:val="00BE53BF"/>
    <w:rsid w:val="00BE63D7"/>
    <w:rsid w:val="00BE63F6"/>
    <w:rsid w:val="00BF0CAD"/>
    <w:rsid w:val="00BF2700"/>
    <w:rsid w:val="00BF2A34"/>
    <w:rsid w:val="00BF2DF6"/>
    <w:rsid w:val="00BF3FC1"/>
    <w:rsid w:val="00BF5699"/>
    <w:rsid w:val="00BF6721"/>
    <w:rsid w:val="00BF6C47"/>
    <w:rsid w:val="00C02D9A"/>
    <w:rsid w:val="00C033E9"/>
    <w:rsid w:val="00C0389F"/>
    <w:rsid w:val="00C04326"/>
    <w:rsid w:val="00C046AD"/>
    <w:rsid w:val="00C054E3"/>
    <w:rsid w:val="00C066B7"/>
    <w:rsid w:val="00C07AAE"/>
    <w:rsid w:val="00C07D74"/>
    <w:rsid w:val="00C10087"/>
    <w:rsid w:val="00C11581"/>
    <w:rsid w:val="00C11ED5"/>
    <w:rsid w:val="00C13B84"/>
    <w:rsid w:val="00C14B7B"/>
    <w:rsid w:val="00C14D9D"/>
    <w:rsid w:val="00C1628D"/>
    <w:rsid w:val="00C20372"/>
    <w:rsid w:val="00C2356F"/>
    <w:rsid w:val="00C24C6C"/>
    <w:rsid w:val="00C25A7A"/>
    <w:rsid w:val="00C2600C"/>
    <w:rsid w:val="00C26DDC"/>
    <w:rsid w:val="00C27150"/>
    <w:rsid w:val="00C30469"/>
    <w:rsid w:val="00C3183C"/>
    <w:rsid w:val="00C31EAF"/>
    <w:rsid w:val="00C32359"/>
    <w:rsid w:val="00C32D5B"/>
    <w:rsid w:val="00C33E98"/>
    <w:rsid w:val="00C347F1"/>
    <w:rsid w:val="00C34842"/>
    <w:rsid w:val="00C35774"/>
    <w:rsid w:val="00C36AEE"/>
    <w:rsid w:val="00C36E61"/>
    <w:rsid w:val="00C375CA"/>
    <w:rsid w:val="00C4086C"/>
    <w:rsid w:val="00C4298A"/>
    <w:rsid w:val="00C42F7B"/>
    <w:rsid w:val="00C441E0"/>
    <w:rsid w:val="00C44A9E"/>
    <w:rsid w:val="00C457F1"/>
    <w:rsid w:val="00C45979"/>
    <w:rsid w:val="00C47AFE"/>
    <w:rsid w:val="00C51D4B"/>
    <w:rsid w:val="00C538F7"/>
    <w:rsid w:val="00C541C4"/>
    <w:rsid w:val="00C54E17"/>
    <w:rsid w:val="00C54FDB"/>
    <w:rsid w:val="00C57166"/>
    <w:rsid w:val="00C573BC"/>
    <w:rsid w:val="00C60DDA"/>
    <w:rsid w:val="00C613DC"/>
    <w:rsid w:val="00C620F0"/>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7F9"/>
    <w:rsid w:val="00CA5AE4"/>
    <w:rsid w:val="00CA6D14"/>
    <w:rsid w:val="00CA7D74"/>
    <w:rsid w:val="00CB02A1"/>
    <w:rsid w:val="00CB038B"/>
    <w:rsid w:val="00CB1797"/>
    <w:rsid w:val="00CB207C"/>
    <w:rsid w:val="00CB4B04"/>
    <w:rsid w:val="00CB6AD7"/>
    <w:rsid w:val="00CC03C4"/>
    <w:rsid w:val="00CC17A4"/>
    <w:rsid w:val="00CC2643"/>
    <w:rsid w:val="00CC338D"/>
    <w:rsid w:val="00CC3C26"/>
    <w:rsid w:val="00CC43C3"/>
    <w:rsid w:val="00CC43C5"/>
    <w:rsid w:val="00CC43CD"/>
    <w:rsid w:val="00CC4618"/>
    <w:rsid w:val="00CD1614"/>
    <w:rsid w:val="00CD1836"/>
    <w:rsid w:val="00CD1FF2"/>
    <w:rsid w:val="00CD206D"/>
    <w:rsid w:val="00CD275E"/>
    <w:rsid w:val="00CD2EF7"/>
    <w:rsid w:val="00CD38AB"/>
    <w:rsid w:val="00CD4100"/>
    <w:rsid w:val="00CD4338"/>
    <w:rsid w:val="00CD4809"/>
    <w:rsid w:val="00CD5A92"/>
    <w:rsid w:val="00CD6ACD"/>
    <w:rsid w:val="00CD6E56"/>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0ED"/>
    <w:rsid w:val="00D26124"/>
    <w:rsid w:val="00D31DCE"/>
    <w:rsid w:val="00D33817"/>
    <w:rsid w:val="00D36464"/>
    <w:rsid w:val="00D3661C"/>
    <w:rsid w:val="00D37D03"/>
    <w:rsid w:val="00D37D3F"/>
    <w:rsid w:val="00D414EB"/>
    <w:rsid w:val="00D4260C"/>
    <w:rsid w:val="00D42764"/>
    <w:rsid w:val="00D43278"/>
    <w:rsid w:val="00D432B7"/>
    <w:rsid w:val="00D437E5"/>
    <w:rsid w:val="00D4483E"/>
    <w:rsid w:val="00D4591C"/>
    <w:rsid w:val="00D45C8A"/>
    <w:rsid w:val="00D46A33"/>
    <w:rsid w:val="00D47C16"/>
    <w:rsid w:val="00D47C2B"/>
    <w:rsid w:val="00D47CB3"/>
    <w:rsid w:val="00D50C3C"/>
    <w:rsid w:val="00D51356"/>
    <w:rsid w:val="00D517F0"/>
    <w:rsid w:val="00D5260D"/>
    <w:rsid w:val="00D54334"/>
    <w:rsid w:val="00D544EC"/>
    <w:rsid w:val="00D54DCD"/>
    <w:rsid w:val="00D55926"/>
    <w:rsid w:val="00D55EB1"/>
    <w:rsid w:val="00D57716"/>
    <w:rsid w:val="00D61203"/>
    <w:rsid w:val="00D61EDC"/>
    <w:rsid w:val="00D64254"/>
    <w:rsid w:val="00D71532"/>
    <w:rsid w:val="00D71E06"/>
    <w:rsid w:val="00D73509"/>
    <w:rsid w:val="00D73DBE"/>
    <w:rsid w:val="00D73E09"/>
    <w:rsid w:val="00D74290"/>
    <w:rsid w:val="00D74D4B"/>
    <w:rsid w:val="00D76DB3"/>
    <w:rsid w:val="00D77C8D"/>
    <w:rsid w:val="00D87764"/>
    <w:rsid w:val="00D90653"/>
    <w:rsid w:val="00D92ED6"/>
    <w:rsid w:val="00D9599C"/>
    <w:rsid w:val="00DA4019"/>
    <w:rsid w:val="00DA4E0C"/>
    <w:rsid w:val="00DA53F8"/>
    <w:rsid w:val="00DA56A6"/>
    <w:rsid w:val="00DA7843"/>
    <w:rsid w:val="00DA7E80"/>
    <w:rsid w:val="00DB0E66"/>
    <w:rsid w:val="00DB13CB"/>
    <w:rsid w:val="00DB30C5"/>
    <w:rsid w:val="00DB523F"/>
    <w:rsid w:val="00DB52E0"/>
    <w:rsid w:val="00DB5E95"/>
    <w:rsid w:val="00DB6062"/>
    <w:rsid w:val="00DB7775"/>
    <w:rsid w:val="00DB799B"/>
    <w:rsid w:val="00DC1889"/>
    <w:rsid w:val="00DC1EEC"/>
    <w:rsid w:val="00DC2A17"/>
    <w:rsid w:val="00DC2D99"/>
    <w:rsid w:val="00DC57CD"/>
    <w:rsid w:val="00DC6593"/>
    <w:rsid w:val="00DD2682"/>
    <w:rsid w:val="00DD35B0"/>
    <w:rsid w:val="00DD4E7A"/>
    <w:rsid w:val="00DD6533"/>
    <w:rsid w:val="00DD718B"/>
    <w:rsid w:val="00DE15D8"/>
    <w:rsid w:val="00DE26D9"/>
    <w:rsid w:val="00DE3DF8"/>
    <w:rsid w:val="00DE4BC3"/>
    <w:rsid w:val="00DE4E0C"/>
    <w:rsid w:val="00DE50FF"/>
    <w:rsid w:val="00DE5FD4"/>
    <w:rsid w:val="00DE60DC"/>
    <w:rsid w:val="00DE68CB"/>
    <w:rsid w:val="00DF0955"/>
    <w:rsid w:val="00DF3AA1"/>
    <w:rsid w:val="00DF4973"/>
    <w:rsid w:val="00DF6030"/>
    <w:rsid w:val="00DF7E5D"/>
    <w:rsid w:val="00E00589"/>
    <w:rsid w:val="00E0220E"/>
    <w:rsid w:val="00E034D9"/>
    <w:rsid w:val="00E03FC8"/>
    <w:rsid w:val="00E0400A"/>
    <w:rsid w:val="00E04947"/>
    <w:rsid w:val="00E076DF"/>
    <w:rsid w:val="00E10927"/>
    <w:rsid w:val="00E1154E"/>
    <w:rsid w:val="00E128B1"/>
    <w:rsid w:val="00E14467"/>
    <w:rsid w:val="00E14BF3"/>
    <w:rsid w:val="00E16410"/>
    <w:rsid w:val="00E205A3"/>
    <w:rsid w:val="00E225CC"/>
    <w:rsid w:val="00E2389F"/>
    <w:rsid w:val="00E25157"/>
    <w:rsid w:val="00E27F78"/>
    <w:rsid w:val="00E30153"/>
    <w:rsid w:val="00E30F8E"/>
    <w:rsid w:val="00E3122D"/>
    <w:rsid w:val="00E33FC1"/>
    <w:rsid w:val="00E3518D"/>
    <w:rsid w:val="00E35BF8"/>
    <w:rsid w:val="00E367FA"/>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60C3"/>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1F47"/>
    <w:rsid w:val="00EA3AE4"/>
    <w:rsid w:val="00EA4A33"/>
    <w:rsid w:val="00EA58E6"/>
    <w:rsid w:val="00EA5D83"/>
    <w:rsid w:val="00EA6184"/>
    <w:rsid w:val="00EA6BDC"/>
    <w:rsid w:val="00EA7FBF"/>
    <w:rsid w:val="00EB00A2"/>
    <w:rsid w:val="00EB0A8E"/>
    <w:rsid w:val="00EB0C83"/>
    <w:rsid w:val="00EB1912"/>
    <w:rsid w:val="00EB1C08"/>
    <w:rsid w:val="00EB2A3A"/>
    <w:rsid w:val="00EB34A6"/>
    <w:rsid w:val="00EB3CE3"/>
    <w:rsid w:val="00EB4C2F"/>
    <w:rsid w:val="00EB7203"/>
    <w:rsid w:val="00EB7EC4"/>
    <w:rsid w:val="00EC04E3"/>
    <w:rsid w:val="00EC0D68"/>
    <w:rsid w:val="00EC1141"/>
    <w:rsid w:val="00EC11F9"/>
    <w:rsid w:val="00EC122D"/>
    <w:rsid w:val="00EC1979"/>
    <w:rsid w:val="00EC1EAB"/>
    <w:rsid w:val="00EC230D"/>
    <w:rsid w:val="00EC33B2"/>
    <w:rsid w:val="00EC5598"/>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3519"/>
    <w:rsid w:val="00EE3E02"/>
    <w:rsid w:val="00EE4CF4"/>
    <w:rsid w:val="00EE5AC9"/>
    <w:rsid w:val="00EE68B7"/>
    <w:rsid w:val="00EE7609"/>
    <w:rsid w:val="00EE782C"/>
    <w:rsid w:val="00EF2E9D"/>
    <w:rsid w:val="00EF3B34"/>
    <w:rsid w:val="00EF71E8"/>
    <w:rsid w:val="00EF7A31"/>
    <w:rsid w:val="00EF7B2E"/>
    <w:rsid w:val="00EF7D9F"/>
    <w:rsid w:val="00F0015C"/>
    <w:rsid w:val="00F02003"/>
    <w:rsid w:val="00F02A64"/>
    <w:rsid w:val="00F0667A"/>
    <w:rsid w:val="00F0705E"/>
    <w:rsid w:val="00F071BE"/>
    <w:rsid w:val="00F07333"/>
    <w:rsid w:val="00F10CF0"/>
    <w:rsid w:val="00F12869"/>
    <w:rsid w:val="00F13918"/>
    <w:rsid w:val="00F15CFE"/>
    <w:rsid w:val="00F171C6"/>
    <w:rsid w:val="00F1773A"/>
    <w:rsid w:val="00F17AC5"/>
    <w:rsid w:val="00F17E88"/>
    <w:rsid w:val="00F17F8C"/>
    <w:rsid w:val="00F20097"/>
    <w:rsid w:val="00F2237E"/>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13DE"/>
    <w:rsid w:val="00F42EA6"/>
    <w:rsid w:val="00F43533"/>
    <w:rsid w:val="00F440BC"/>
    <w:rsid w:val="00F448CA"/>
    <w:rsid w:val="00F462DB"/>
    <w:rsid w:val="00F47EAC"/>
    <w:rsid w:val="00F5019F"/>
    <w:rsid w:val="00F50C29"/>
    <w:rsid w:val="00F51F05"/>
    <w:rsid w:val="00F532D6"/>
    <w:rsid w:val="00F56114"/>
    <w:rsid w:val="00F573CC"/>
    <w:rsid w:val="00F577D4"/>
    <w:rsid w:val="00F57EAD"/>
    <w:rsid w:val="00F601B4"/>
    <w:rsid w:val="00F613DA"/>
    <w:rsid w:val="00F62C65"/>
    <w:rsid w:val="00F63290"/>
    <w:rsid w:val="00F652A6"/>
    <w:rsid w:val="00F66728"/>
    <w:rsid w:val="00F67649"/>
    <w:rsid w:val="00F67B5E"/>
    <w:rsid w:val="00F67C9A"/>
    <w:rsid w:val="00F7072E"/>
    <w:rsid w:val="00F7120A"/>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97CD0"/>
    <w:rsid w:val="00FA0F0D"/>
    <w:rsid w:val="00FA243A"/>
    <w:rsid w:val="00FA4C93"/>
    <w:rsid w:val="00FA5FC1"/>
    <w:rsid w:val="00FA7931"/>
    <w:rsid w:val="00FB012C"/>
    <w:rsid w:val="00FB1D69"/>
    <w:rsid w:val="00FB2200"/>
    <w:rsid w:val="00FB28AA"/>
    <w:rsid w:val="00FB37E2"/>
    <w:rsid w:val="00FB38ED"/>
    <w:rsid w:val="00FB6E02"/>
    <w:rsid w:val="00FB72D9"/>
    <w:rsid w:val="00FB7E9F"/>
    <w:rsid w:val="00FC02BD"/>
    <w:rsid w:val="00FC02F4"/>
    <w:rsid w:val="00FC0F42"/>
    <w:rsid w:val="00FC1C02"/>
    <w:rsid w:val="00FC2365"/>
    <w:rsid w:val="00FC2C23"/>
    <w:rsid w:val="00FC4CC6"/>
    <w:rsid w:val="00FC4FBB"/>
    <w:rsid w:val="00FC53C7"/>
    <w:rsid w:val="00FC601F"/>
    <w:rsid w:val="00FC6545"/>
    <w:rsid w:val="00FC7E37"/>
    <w:rsid w:val="00FD0324"/>
    <w:rsid w:val="00FD071A"/>
    <w:rsid w:val="00FD0D81"/>
    <w:rsid w:val="00FD3EF8"/>
    <w:rsid w:val="00FD54EB"/>
    <w:rsid w:val="00FD7196"/>
    <w:rsid w:val="00FE090D"/>
    <w:rsid w:val="00FE0BEA"/>
    <w:rsid w:val="00FE0D6A"/>
    <w:rsid w:val="00FE1682"/>
    <w:rsid w:val="00FE247D"/>
    <w:rsid w:val="00FE2C1F"/>
    <w:rsid w:val="00FE463F"/>
    <w:rsid w:val="00FE4665"/>
    <w:rsid w:val="00FE539F"/>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991098"/>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E8B98B3"/>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1FDCFFE1"/>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8FC42C3"/>
    <w:rsid w:val="2912FBA6"/>
    <w:rsid w:val="2990A606"/>
    <w:rsid w:val="2A00A404"/>
    <w:rsid w:val="2A8EDDB9"/>
    <w:rsid w:val="2AA44433"/>
    <w:rsid w:val="2AB2567D"/>
    <w:rsid w:val="2B25D07E"/>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3E6B857"/>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4F7B29"/>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20A94D"/>
    <w:rsid w:val="435E80BA"/>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89F52E"/>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B97E23"/>
    <w:rsid w:val="6DE0BC65"/>
    <w:rsid w:val="6E6D5E88"/>
    <w:rsid w:val="6EBC1B3C"/>
    <w:rsid w:val="6EFA4A49"/>
    <w:rsid w:val="6F4FE255"/>
    <w:rsid w:val="6F6C6E4E"/>
    <w:rsid w:val="6F7C8CC6"/>
    <w:rsid w:val="6F800330"/>
    <w:rsid w:val="70B9CADB"/>
    <w:rsid w:val="70C1EA7D"/>
    <w:rsid w:val="71016B6C"/>
    <w:rsid w:val="71083EAF"/>
    <w:rsid w:val="71ABC321"/>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0DB228"/>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5693A20"/>
  <w15:docId w15:val="{B26D8B13-0957-4F0C-9889-7D9D22A0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2025-03-03T18:42:32+00:00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33098-BF7F-4D78-8529-0AFBF5D8899C}">
  <ds:schemaRefs>
    <ds:schemaRef ds:uri="http://purl.org/dc/dcmitype/"/>
    <ds:schemaRef ds:uri="http://purl.org/dc/term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4d6aed1e-57d3-46e3-9aba-f706adbce63b"/>
    <ds:schemaRef ds:uri="1891fcec-84c2-4840-9468-b51a784ab0d1"/>
    <ds:schemaRef ds:uri="http://purl.org/dc/elements/1.1/"/>
  </ds:schemaRefs>
</ds:datastoreItem>
</file>

<file path=customXml/itemProps2.xml><?xml version="1.0" encoding="utf-8"?>
<ds:datastoreItem xmlns:ds="http://schemas.openxmlformats.org/officeDocument/2006/customXml" ds:itemID="{DBD31C4D-0711-498D-BAFD-E4958EFB409A}">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C2FE49E4-0069-4C89-8B10-165646FAD9D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Scott, Montana</cp:lastModifiedBy>
  <cp:revision>125</cp:revision>
  <dcterms:created xsi:type="dcterms:W3CDTF">2024-11-13T19:17:00Z</dcterms:created>
  <dcterms:modified xsi:type="dcterms:W3CDTF">2025-05-01T17:57:07Z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