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EE2403" w:rsidP="58057418" w14:paraId="01E107D6" w14:textId="45E84A10">
      <w:r w:rsidRPr="58057418">
        <w:rPr>
          <w:b/>
          <w:bCs/>
        </w:rPr>
        <w:t>Title:</w:t>
      </w:r>
      <w:r w:rsidRPr="58057418" w:rsidR="001F34A5">
        <w:t xml:space="preserve"> </w:t>
      </w:r>
      <w:r w:rsidRPr="58057418" w:rsidR="53EB873C">
        <w:t>NESHAP for Plating and Polishing Area Sources (40 CFR Part 63, Subpart WWWWWW) (Renewal)</w:t>
      </w:r>
      <w:r w:rsidR="002C7322">
        <w:t xml:space="preserve"> </w:t>
      </w:r>
    </w:p>
    <w:p w:rsidR="00EE2403" w:rsidP="58057418" w14:paraId="49AAB65B" w14:textId="7F46B819">
      <w:pPr>
        <w:spacing w:line="240" w:lineRule="auto"/>
      </w:pPr>
      <w:r w:rsidRPr="58057418">
        <w:rPr>
          <w:b/>
          <w:bCs/>
        </w:rPr>
        <w:t>OMB Control Number:</w:t>
      </w:r>
      <w:r w:rsidRPr="58057418" w:rsidR="00BB432F">
        <w:t xml:space="preserve"> </w:t>
      </w:r>
      <w:r w:rsidRPr="58057418" w:rsidR="3E06FF5D">
        <w:t>2060-</w:t>
      </w:r>
      <w:r w:rsidRPr="58057418" w:rsidR="00791C8A">
        <w:t>0</w:t>
      </w:r>
      <w:r w:rsidR="00791C8A">
        <w:t>623</w:t>
      </w:r>
    </w:p>
    <w:p w:rsidR="00EE2403" w:rsidRPr="00BB3410" w:rsidP="58057418" w14:paraId="4FB77BCA" w14:textId="08D55DC1">
      <w:pPr>
        <w:spacing w:before="240" w:line="240" w:lineRule="auto"/>
      </w:pPr>
      <w:r w:rsidRPr="58057418">
        <w:rPr>
          <w:b/>
          <w:bCs/>
        </w:rPr>
        <w:t>EPA ICR Number:</w:t>
      </w:r>
      <w:r w:rsidRPr="58057418" w:rsidR="00BB432F">
        <w:t xml:space="preserve"> </w:t>
      </w:r>
      <w:r w:rsidRPr="58057418" w:rsidR="29C237A3">
        <w:t>2294.0</w:t>
      </w:r>
      <w:r w:rsidRPr="58057418" w:rsidR="3EEA7DEE">
        <w:t>7</w:t>
      </w:r>
    </w:p>
    <w:p w:rsidR="00BB432F" w:rsidP="4BDBF0A0" w14:paraId="4A8FC005" w14:textId="60F52E7A">
      <w:pPr>
        <w:spacing w:before="240"/>
      </w:pPr>
      <w:r w:rsidRPr="58057418">
        <w:rPr>
          <w:b/>
          <w:bCs/>
        </w:rPr>
        <w:t>Abstract:</w:t>
      </w:r>
      <w:r>
        <w:t xml:space="preserve"> </w:t>
      </w:r>
    </w:p>
    <w:p w:rsidR="00BB432F" w:rsidP="4BDBF0A0" w14:paraId="651076B5" w14:textId="4EAE69B0">
      <w:pPr>
        <w:spacing w:before="240"/>
      </w:pPr>
      <w:r>
        <w:t>The National Emission Standards for Hazardous Air Pollutants (NESHAP) for Plating and Polishing Area Sources (40 CFR Part 63, Subpart WWWWWW) were proposed on March 14, 2008; promulgated on July 1, 2008; and most-recently amended on both September 19, 2011 and November 19, 2020.</w:t>
      </w:r>
      <w:r>
        <w:rPr>
          <w:rStyle w:val="FootnoteReference"/>
        </w:rPr>
        <w:footnoteReference w:id="3"/>
      </w:r>
      <w:r>
        <w:t xml:space="preserve"> These regulations apply to both existing and new plating and polishing facilities that are an area source of hazardous air pollutant (HAP) emissions and that use one or more of the following metal HAP: cadmium, chromium, lead manganese, or nickel (hereafter referred to as the plating and polishing metal HAP). A plating and polishing facility is a plant site that is engaged in any of the following processes: non-chromium electroplating; electroless or non-electrolytic plating; other non-electrolytic metal coating processes such as chromate conversion coating, nickel acetate sealing, sodium dichromate sealing, and manganese phosphate coating, and thermal spraying; dry mechanical polishing of finished metals and formed products after plating or thermal spraying; electroforming; and electro-polishing. New facilities include those that commenced construction, </w:t>
      </w:r>
      <w:r w:rsidR="1F64BF27">
        <w:t>modification, or</w:t>
      </w:r>
      <w:r>
        <w:t xml:space="preserve"> reconstruction after the date of proposal. This information is being collected to assure compliance with 40 CFR Part 63, Subpart WWWWWW. </w:t>
      </w:r>
    </w:p>
    <w:p w:rsidR="00BB432F" w:rsidP="58057418" w14:paraId="6A3E928D" w14:textId="3A96CF2E">
      <w:pPr>
        <w:spacing w:before="24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35697" w:rsidRPr="005120A7" w:rsidP="005120A7" w14:paraId="0CCCAA74" w14:textId="16C92E1A">
      <w:pPr>
        <w:pBdr>
          <w:top w:val="single" w:sz="6" w:space="0" w:color="FFFFFF"/>
          <w:left w:val="single" w:sz="6" w:space="0" w:color="FFFFFF"/>
          <w:bottom w:val="single" w:sz="6" w:space="0" w:color="FFFFFF"/>
          <w:right w:val="single" w:sz="6" w:space="0" w:color="FFFFFF"/>
        </w:pBdr>
        <w:ind w:firstLine="720"/>
      </w:pPr>
      <w:bookmarkStart w:id="1" w:name="_Hlk505168273"/>
      <w:r w:rsidRPr="000C707E">
        <w:t>The Office of Management and Budget (OMB) approved the currently active ICR with the following Terms of Clearance</w:t>
      </w:r>
      <w:bookmarkEnd w:id="1"/>
      <w:r w:rsidRPr="000C707E">
        <w:t>:</w:t>
      </w:r>
    </w:p>
    <w:p w:rsidR="00C35697" w:rsidP="005120A7" w14:paraId="5914459F" w14:textId="48D3C9F0">
      <w:pPr>
        <w:spacing w:before="240"/>
        <w:ind w:left="720"/>
        <w:rPr>
          <w:color w:val="000000"/>
        </w:rPr>
      </w:pPr>
      <w:r>
        <w:rPr>
          <w:color w:val="000000"/>
        </w:rPr>
        <w:t>“</w:t>
      </w:r>
      <w:r w:rsidRPr="00C35697">
        <w:rPr>
          <w:color w:val="000000"/>
        </w:rPr>
        <w:t>In accordance with 5 CFR 1320, the information collection is approved for three years. As terms of clearance, however, the Agency is asked to ensure that clear and complete instructions exist for the forms included in this collection as part of its renewal request.</w:t>
      </w:r>
      <w:r>
        <w:rPr>
          <w:color w:val="000000"/>
        </w:rPr>
        <w:t>”</w:t>
      </w:r>
    </w:p>
    <w:p w:rsidR="00F11197" w:rsidRPr="00BB3410" w:rsidP="4BDBF0A0" w14:paraId="09ADCBED" w14:textId="1DB2455F">
      <w:pPr>
        <w:spacing w:before="240"/>
        <w:rPr>
          <w:color w:val="000000"/>
        </w:rPr>
      </w:pPr>
      <w:r>
        <w:rPr>
          <w:color w:val="000000"/>
        </w:rPr>
        <w:t xml:space="preserve">There are no forms required by this information collection. </w:t>
      </w:r>
      <w:r w:rsidR="00FB5141">
        <w:rPr>
          <w:color w:val="000000"/>
        </w:rPr>
        <w:t xml:space="preserve">However, the </w:t>
      </w:r>
      <w:r w:rsidRPr="004E6DE9" w:rsidR="001003D6">
        <w:t xml:space="preserve">regulatory text </w:t>
      </w:r>
      <w:r w:rsidRPr="004E6DE9" w:rsidR="00E44811">
        <w:t xml:space="preserve">relevant </w:t>
      </w:r>
      <w:r w:rsidR="00E44811">
        <w:t xml:space="preserve">to the information collection </w:t>
      </w:r>
      <w:r w:rsidRPr="004E6DE9" w:rsidR="001003D6">
        <w:t>is referenced in section 12(b) of this document. We have created a supplementary document including the regulatory text that describes the ICR requirements as identified in section 12(b) of this document</w:t>
      </w:r>
      <w:r w:rsidR="00182365">
        <w:t xml:space="preserve"> and </w:t>
      </w:r>
      <w:r w:rsidR="00D6350E">
        <w:t xml:space="preserve">which includes the </w:t>
      </w:r>
      <w:r w:rsidR="00182365">
        <w:t xml:space="preserve">general requirements for </w:t>
      </w:r>
      <w:r w:rsidR="00EF46C3">
        <w:t xml:space="preserve">content and </w:t>
      </w:r>
      <w:r w:rsidR="00182365">
        <w:t>submittal of reports</w:t>
      </w:r>
      <w:r w:rsidR="001003D6">
        <w:t xml:space="preserve">. </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58057418">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P="58057418" w14:paraId="0D5D4789" w14:textId="562DE327">
      <w:pPr>
        <w:pBdr>
          <w:top w:val="single" w:sz="6" w:space="0" w:color="FFFFFF"/>
          <w:left w:val="single" w:sz="6" w:space="0" w:color="FFFFFF"/>
          <w:bottom w:val="single" w:sz="6" w:space="0" w:color="FFFFFF"/>
          <w:right w:val="single" w:sz="6" w:space="0" w:color="FFFFFF"/>
        </w:pBdr>
      </w:pPr>
      <w:r w:rsidRPr="58057418">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653D08" w:rsidP="58057418" w14:paraId="390B56A3" w14:textId="373939C1">
      <w:pPr>
        <w:pBdr>
          <w:top w:val="single" w:sz="6" w:space="0" w:color="FFFFFF"/>
          <w:left w:val="single" w:sz="6" w:space="0" w:color="FFFFFF"/>
          <w:bottom w:val="single" w:sz="6" w:space="0" w:color="FFFFFF"/>
          <w:right w:val="single" w:sz="6" w:space="0" w:color="FFFFFF"/>
        </w:pBdr>
        <w:ind w:left="1440" w:right="1440"/>
      </w:pPr>
      <w:r w:rsidRPr="5805741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P="58057418" w14:paraId="250602FD" w14:textId="4002323A">
      <w:pPr>
        <w:pBdr>
          <w:top w:val="single" w:sz="6" w:space="0" w:color="FFFFFF"/>
          <w:left w:val="single" w:sz="6" w:space="0" w:color="FFFFFF"/>
          <w:bottom w:val="single" w:sz="6" w:space="0" w:color="FFFFFF"/>
          <w:right w:val="single" w:sz="6" w:space="0" w:color="FFFFFF"/>
        </w:pBdr>
        <w:rPr>
          <w:color w:val="000000" w:themeColor="text1"/>
        </w:rPr>
      </w:pPr>
      <w:r w:rsidRPr="58057418">
        <w:rPr>
          <w:color w:val="000000" w:themeColor="text1"/>
        </w:rPr>
        <w:t>In the Administrator's judgment,</w:t>
      </w:r>
      <w:r w:rsidRPr="58057418">
        <w:t xml:space="preserve"> </w:t>
      </w:r>
      <w:r w:rsidRPr="58057418" w:rsidR="50B4CCC2">
        <w:t>HAP emissions from plating and polishing facilities either cause or contribute</w:t>
      </w:r>
      <w:r w:rsidRPr="58057418">
        <w:t xml:space="preserve"> t</w:t>
      </w:r>
      <w:r w:rsidRPr="58057418">
        <w:rPr>
          <w:color w:val="000000" w:themeColor="text1"/>
        </w:rPr>
        <w:t xml:space="preserve">o air pollution that may reasonably be anticipated to endanger public health or welfare. Therefore, the </w:t>
      </w:r>
      <w:r w:rsidR="00AE70A5">
        <w:t>NESHAP</w:t>
      </w:r>
      <w:r w:rsidRPr="58057418">
        <w:rPr>
          <w:color w:val="FF0000"/>
        </w:rPr>
        <w:t xml:space="preserve"> </w:t>
      </w:r>
      <w:r w:rsidRPr="58057418">
        <w:rPr>
          <w:color w:val="000000" w:themeColor="text1"/>
        </w:rPr>
        <w:t>were promulgated for this source category at 40 CFR Part</w:t>
      </w:r>
      <w:r w:rsidRPr="58057418" w:rsidR="345E7EEB">
        <w:rPr>
          <w:color w:val="000000" w:themeColor="text1"/>
        </w:rPr>
        <w:t xml:space="preserve"> 63</w:t>
      </w:r>
      <w:r w:rsidRPr="58057418">
        <w:rPr>
          <w:color w:val="000000" w:themeColor="text1"/>
        </w:rPr>
        <w:t>,</w:t>
      </w:r>
      <w:r w:rsidRPr="58057418">
        <w:rPr>
          <w:b/>
          <w:bCs/>
          <w:i/>
          <w:iCs/>
          <w:color w:val="000000" w:themeColor="text1"/>
        </w:rPr>
        <w:t xml:space="preserve"> </w:t>
      </w:r>
      <w:r w:rsidRPr="58057418">
        <w:rPr>
          <w:color w:val="000000" w:themeColor="text1"/>
        </w:rPr>
        <w:t>Subpart</w:t>
      </w:r>
      <w:r w:rsidRPr="58057418" w:rsidR="0D9D77A9">
        <w:rPr>
          <w:color w:val="000000" w:themeColor="text1"/>
        </w:rPr>
        <w:t xml:space="preserve"> WWWWWW.</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58057418">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5317D6C4" w:rsidP="58057418" w14:paraId="3EC68F47" w14:textId="32D7BF90">
      <w:pPr>
        <w:pBdr>
          <w:top w:val="single" w:sz="6" w:space="0" w:color="FFFFFF"/>
          <w:left w:val="single" w:sz="6" w:space="0" w:color="FFFFFF"/>
          <w:bottom w:val="single" w:sz="6" w:space="0" w:color="FFFFFF"/>
          <w:right w:val="single" w:sz="6" w:space="0" w:color="FFFFFF"/>
        </w:pBdr>
      </w:pPr>
      <w:r w:rsidRPr="58057418">
        <w:t xml:space="preserve">The recordkeeping and reporting requirements in these standards ensure compliance with the applicable regulations which were promulgated in accordance with the Clean Air Act. The collected information is also used for targeting inspections and as evidence in legal proceedings. </w:t>
      </w:r>
    </w:p>
    <w:p w:rsidR="5317D6C4" w:rsidP="58057418" w14:paraId="42277689" w14:textId="0C4B52CA">
      <w:pPr>
        <w:pBdr>
          <w:top w:val="single" w:sz="6" w:space="0" w:color="FFFFFF"/>
          <w:left w:val="single" w:sz="6" w:space="0" w:color="FFFFFF"/>
          <w:bottom w:val="single" w:sz="6" w:space="0" w:color="FFFFFF"/>
          <w:right w:val="single" w:sz="6" w:space="0" w:color="FFFFFF"/>
        </w:pBdr>
      </w:pPr>
      <w:r w:rsidRPr="58057418">
        <w:t xml:space="preserve">Performance tests are required in order to determine an affected facility’s initial capability to comply with these emission standards. Continuous emission monitors are used to ensure compliance with these same standards at all times. During the performance test a record of the operating parameters under </w:t>
      </w:r>
      <w:r w:rsidRPr="58057418">
        <w:t xml:space="preserve">which compliance was achieved may be recorded and used to determine compliance in place of a continuous emission monitor. </w:t>
      </w:r>
    </w:p>
    <w:p w:rsidR="5317D6C4" w:rsidP="58057418" w14:paraId="67F34117" w14:textId="6DB76794">
      <w:pPr>
        <w:pBdr>
          <w:top w:val="single" w:sz="6" w:space="0" w:color="FFFFFF"/>
          <w:left w:val="single" w:sz="6" w:space="0" w:color="FFFFFF"/>
          <w:bottom w:val="single" w:sz="6" w:space="0" w:color="FFFFFF"/>
          <w:right w:val="single" w:sz="6" w:space="0" w:color="FFFFFF"/>
        </w:pBdr>
      </w:pPr>
      <w:r w:rsidRPr="58057418">
        <w:t xml:space="preserve">The notifications required in these standards are used to inform the Agency or delegated authority when a source becomes subject to the requirements of these regulations. The reviewing authority may then inspect the source to check if the leaks are being detected and repaired and that these standards are being met. The performance test may also be observed. </w:t>
      </w:r>
    </w:p>
    <w:p w:rsidR="5317D6C4" w:rsidP="58057418" w14:paraId="4C314C65" w14:textId="6A195902">
      <w:pPr>
        <w:pBdr>
          <w:top w:val="single" w:sz="6" w:space="0" w:color="FFFFFF"/>
          <w:left w:val="single" w:sz="6" w:space="0" w:color="FFFFFF"/>
          <w:bottom w:val="single" w:sz="6" w:space="0" w:color="FFFFFF"/>
          <w:right w:val="single" w:sz="6" w:space="0" w:color="FFFFFF"/>
        </w:pBdr>
      </w:pPr>
      <w:r w:rsidRPr="58057418">
        <w:t>The required annual reports 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58057418">
        <w:rPr>
          <w:color w:val="000000" w:themeColor="text1"/>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58057418" w14:paraId="6D4E7405" w14:textId="7E825541">
      <w:pPr>
        <w:pBdr>
          <w:top w:val="single" w:sz="6" w:space="0" w:color="FFFFFF"/>
          <w:left w:val="single" w:sz="6" w:space="0" w:color="FFFFFF"/>
          <w:bottom w:val="single" w:sz="6" w:space="0" w:color="FFFFFF"/>
          <w:right w:val="single" w:sz="6" w:space="0" w:color="FFFFFF"/>
        </w:pBdr>
        <w:rPr>
          <w:shd w:val="clear" w:color="auto" w:fill="FFFFFF"/>
        </w:rPr>
      </w:pPr>
      <w:bookmarkStart w:id="6"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w:t>
      </w:r>
      <w:r w:rsidRPr="000459E3">
        <w:rPr>
          <w:shd w:val="clear" w:color="auto" w:fill="FFFFFF"/>
        </w:rPr>
        <w:t>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6"/>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58057418">
        <w:rPr>
          <w:rFonts w:ascii="Calibri" w:hAnsi="Calibri" w:cs="Calibri"/>
          <w:i/>
          <w:iCs/>
          <w:color w:val="000000"/>
          <w:shd w:val="clear" w:color="auto" w:fill="FFFFFF"/>
        </w:rPr>
        <w:t>If the collection of information impacts small businesses or other small entities, describe any methods used to minimize burden.</w:t>
      </w:r>
    </w:p>
    <w:p w:rsidR="1F4BCFC2" w:rsidP="58057418" w14:paraId="1D4B1E3D" w14:textId="0AF72738">
      <w:r w:rsidRPr="58057418">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60941868">
      <w:pPr>
        <w:pBdr>
          <w:top w:val="single" w:sz="6" w:space="0" w:color="FFFFFF"/>
          <w:left w:val="single" w:sz="6" w:space="0" w:color="FFFFFF"/>
          <w:bottom w:val="single" w:sz="6" w:space="0" w:color="FFFFFF"/>
          <w:right w:val="single" w:sz="6" w:space="0" w:color="FFFFFF"/>
        </w:pBdr>
        <w:rPr>
          <w:color w:val="000000"/>
        </w:rPr>
      </w:pPr>
      <w:r>
        <w:rPr>
          <w:color w:val="000000"/>
        </w:rPr>
        <w:t>With the following exception, t</w:t>
      </w:r>
      <w:r w:rsidRPr="00253DBC">
        <w:rPr>
          <w:color w:val="000000"/>
        </w:rPr>
        <w:t>hese reporting or recordkeeping requirements do not violate any of the regulations promulgated by OMB under 5 CFR Part 1320, Section 1320.5.</w:t>
      </w:r>
    </w:p>
    <w:p w:rsidR="00111663" w:rsidRPr="0030271B" w:rsidP="00854AAE" w14:paraId="775EDF16" w14:textId="026151E3">
      <w:pPr>
        <w:pBdr>
          <w:top w:val="single" w:sz="6" w:space="0" w:color="FFFFFF"/>
          <w:left w:val="single" w:sz="6" w:space="0" w:color="FFFFFF"/>
          <w:bottom w:val="single" w:sz="6" w:space="0" w:color="FFFFFF"/>
          <w:right w:val="single" w:sz="6" w:space="0" w:color="FFFFFF"/>
        </w:pBdr>
      </w:pPr>
      <w:r w:rsidRPr="0030271B">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3F6E01A4">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w:t>
      </w:r>
      <w:r w:rsidRPr="007F3A79">
        <w:rPr>
          <w:rFonts w:cstheme="minorHAnsi"/>
        </w:rPr>
        <w:t xml:space="preserve">the </w:t>
      </w:r>
      <w:r w:rsidRPr="007F3A79" w:rsidR="0056111F">
        <w:rPr>
          <w:rFonts w:cstheme="minorHAnsi"/>
        </w:rPr>
        <w:t xml:space="preserve">National Association for Surface Finishing </w:t>
      </w:r>
      <w:r w:rsidRPr="007F3A79">
        <w:rPr>
          <w:rFonts w:cstheme="minorHAnsi"/>
        </w:rPr>
        <w:t xml:space="preserve">at </w:t>
      </w:r>
      <w:r w:rsidRPr="007F3A79" w:rsidR="00E31AD5">
        <w:rPr>
          <w:rFonts w:cstheme="minorHAnsi"/>
        </w:rPr>
        <w:t>jhannapel@thepolicygroup.com</w:t>
      </w:r>
      <w:r w:rsidRPr="007F3A79">
        <w:rPr>
          <w:rFonts w:cstheme="minorHAnsi"/>
        </w:rPr>
        <w:t xml:space="preserve">, and the </w:t>
      </w:r>
      <w:r w:rsidRPr="007F3A79" w:rsidR="007F3A79">
        <w:rPr>
          <w:rFonts w:cstheme="minorHAnsi"/>
        </w:rPr>
        <w:t xml:space="preserve">Masters’ Association of Metal Finishers </w:t>
      </w:r>
      <w:r w:rsidRPr="007F3A79">
        <w:rPr>
          <w:rFonts w:cstheme="minorHAnsi"/>
        </w:rPr>
        <w:t xml:space="preserve">at </w:t>
      </w:r>
      <w:r w:rsidRPr="007F3A79" w:rsidR="007F3A79">
        <w:rPr>
          <w:rFonts w:cstheme="minorHAnsi"/>
        </w:rPr>
        <w:t>admin@metalfinishers.org</w:t>
      </w:r>
      <w:r w:rsidRPr="00FE090D">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BB7977" w:rsidRPr="00BB7977" w:rsidP="00BB7977" w14:paraId="5DFC2DFE" w14:textId="3CC06C5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AE60BA" w:rsidR="00AE60BA">
        <w:rPr>
          <w:rFonts w:cstheme="minorHAnsi"/>
          <w:color w:val="000000"/>
        </w:rPr>
        <w:t>owners or operators of plating and polishing operations.</w:t>
      </w:r>
      <w:r w:rsidR="00AE60BA">
        <w:rPr>
          <w:rFonts w:cstheme="minorHAnsi"/>
          <w:color w:val="000000"/>
        </w:rPr>
        <w:t xml:space="preserve"> </w:t>
      </w:r>
      <w:r w:rsidRPr="00BB7977">
        <w:rPr>
          <w:rFonts w:cstheme="minorHAnsi"/>
          <w:color w:val="000000"/>
        </w:rPr>
        <w:t xml:space="preserve">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4A0"/>
      </w:tblPr>
      <w:tblGrid>
        <w:gridCol w:w="4320"/>
        <w:gridCol w:w="2610"/>
        <w:gridCol w:w="2430"/>
      </w:tblGrid>
      <w:tr w14:paraId="0FAD755F" w14:textId="77777777" w:rsidTr="005120A7">
        <w:tblPrEx>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4A0"/>
        </w:tblPrEx>
        <w:tc>
          <w:tcPr>
            <w:tcW w:w="4320" w:type="dxa"/>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53D3E590">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1D1F3D">
              <w:rPr>
                <w:rFonts w:cstheme="minorHAnsi"/>
                <w:b/>
                <w:bCs/>
                <w:color w:val="000000"/>
              </w:rPr>
              <w:t>Standard (40 CFR Part 63, Subpart WWWWWW)</w:t>
            </w:r>
          </w:p>
        </w:tc>
        <w:tc>
          <w:tcPr>
            <w:tcW w:w="2610" w:type="dxa"/>
          </w:tcPr>
          <w:p w:rsidR="00BB7977" w:rsidRPr="00BB7977" w:rsidP="00BB7977" w14:paraId="19989A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0E7837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Pr>
          <w:p w:rsidR="00BB7977" w:rsidRPr="00BB7977" w:rsidP="00BB7977" w14:paraId="34EC0D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5EDE42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5120A7">
        <w:tblPrEx>
          <w:tblW w:w="9360" w:type="dxa"/>
          <w:tblInd w:w="112" w:type="dxa"/>
          <w:tblLayout w:type="fixed"/>
          <w:tblCellMar>
            <w:left w:w="112" w:type="dxa"/>
            <w:right w:w="112" w:type="dxa"/>
          </w:tblCellMar>
          <w:tblLook w:val="04A0"/>
        </w:tblPrEx>
        <w:tc>
          <w:tcPr>
            <w:tcW w:w="4320" w:type="dxa"/>
          </w:tcPr>
          <w:p w:rsidR="00BB7977" w:rsidRPr="00BB7977" w:rsidP="00BB7977" w14:paraId="0C7C812D" w14:textId="0A10C1C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Hardware Manufacturing</w:t>
            </w:r>
          </w:p>
        </w:tc>
        <w:tc>
          <w:tcPr>
            <w:tcW w:w="2610" w:type="dxa"/>
          </w:tcPr>
          <w:p w:rsidR="00BB7977" w:rsidRPr="00BB7977" w:rsidP="00DA4CEC" w14:paraId="1F744FA6" w14:textId="64E02892">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3429/3499</w:t>
            </w:r>
          </w:p>
        </w:tc>
        <w:tc>
          <w:tcPr>
            <w:tcW w:w="2430" w:type="dxa"/>
          </w:tcPr>
          <w:p w:rsidR="00BB7977" w:rsidRPr="00BB7977" w:rsidP="008B25DC" w14:paraId="4C2064E7" w14:textId="6B6A70B2">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33251</w:t>
            </w:r>
          </w:p>
        </w:tc>
      </w:tr>
      <w:tr w14:paraId="1FBD6CA1" w14:textId="77777777" w:rsidTr="005120A7">
        <w:tblPrEx>
          <w:tblW w:w="9360" w:type="dxa"/>
          <w:tblInd w:w="112" w:type="dxa"/>
          <w:tblLayout w:type="fixed"/>
          <w:tblCellMar>
            <w:left w:w="112" w:type="dxa"/>
            <w:right w:w="112" w:type="dxa"/>
          </w:tblCellMar>
          <w:tblLook w:val="04A0"/>
        </w:tblPrEx>
        <w:tc>
          <w:tcPr>
            <w:tcW w:w="4320" w:type="dxa"/>
          </w:tcPr>
          <w:p w:rsidR="00BB7977" w:rsidRPr="00BB7977" w:rsidP="00BB7977" w14:paraId="51380FF3" w14:textId="45189EA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8A7">
              <w:rPr>
                <w:rFonts w:cstheme="minorHAnsi"/>
                <w:color w:val="000000"/>
              </w:rPr>
              <w:t>Commercial Gravure Printing </w:t>
            </w:r>
          </w:p>
        </w:tc>
        <w:tc>
          <w:tcPr>
            <w:tcW w:w="2610" w:type="dxa"/>
          </w:tcPr>
          <w:p w:rsidR="00BB7977" w:rsidRPr="00BB7977" w:rsidP="00DA4CEC" w14:paraId="6EC8CF04" w14:textId="340CD29B">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2754/2771</w:t>
            </w:r>
          </w:p>
        </w:tc>
        <w:tc>
          <w:tcPr>
            <w:tcW w:w="2430" w:type="dxa"/>
          </w:tcPr>
          <w:p w:rsidR="00BB7977" w:rsidRPr="00BB7977" w:rsidP="008B25DC" w14:paraId="28BAC251" w14:textId="7810FEBE">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323111</w:t>
            </w:r>
          </w:p>
        </w:tc>
      </w:tr>
      <w:tr w14:paraId="024792D2" w14:textId="77777777" w:rsidTr="005120A7">
        <w:tblPrEx>
          <w:tblW w:w="9360" w:type="dxa"/>
          <w:tblInd w:w="112" w:type="dxa"/>
          <w:tblLayout w:type="fixed"/>
          <w:tblCellMar>
            <w:left w:w="112" w:type="dxa"/>
            <w:right w:w="112" w:type="dxa"/>
          </w:tblCellMar>
          <w:tblLook w:val="04A0"/>
        </w:tblPrEx>
        <w:tc>
          <w:tcPr>
            <w:tcW w:w="4320" w:type="dxa"/>
          </w:tcPr>
          <w:p w:rsidR="00BB7977" w:rsidRPr="00BB7977" w:rsidP="00BB7977" w14:paraId="40FD0FBD" w14:textId="5C21054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08A7">
              <w:rPr>
                <w:rFonts w:cstheme="minorHAnsi"/>
                <w:color w:val="000000"/>
              </w:rPr>
              <w:t>Metal Stamping </w:t>
            </w:r>
          </w:p>
        </w:tc>
        <w:tc>
          <w:tcPr>
            <w:tcW w:w="2610" w:type="dxa"/>
          </w:tcPr>
          <w:p w:rsidR="00BB7977" w:rsidRPr="00BB7977" w:rsidP="00DA4CEC" w14:paraId="4751A8CA" w14:textId="2003876E">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3469</w:t>
            </w:r>
          </w:p>
        </w:tc>
        <w:tc>
          <w:tcPr>
            <w:tcW w:w="2430" w:type="dxa"/>
          </w:tcPr>
          <w:p w:rsidR="00BB7977" w:rsidRPr="00BB7977" w:rsidP="008B25DC" w14:paraId="22C53323" w14:textId="197D6760">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332119</w:t>
            </w:r>
          </w:p>
        </w:tc>
      </w:tr>
      <w:tr w14:paraId="73632731" w14:textId="77777777" w:rsidTr="005120A7">
        <w:tblPrEx>
          <w:tblW w:w="9360" w:type="dxa"/>
          <w:tblInd w:w="112" w:type="dxa"/>
          <w:tblLayout w:type="fixed"/>
          <w:tblCellMar>
            <w:left w:w="112" w:type="dxa"/>
            <w:right w:w="112" w:type="dxa"/>
          </w:tblCellMar>
          <w:tblLook w:val="04A0"/>
        </w:tblPrEx>
        <w:tc>
          <w:tcPr>
            <w:tcW w:w="4320" w:type="dxa"/>
          </w:tcPr>
          <w:p w:rsidR="00BB7977" w:rsidRPr="00BB7977" w:rsidP="00BB7977" w14:paraId="0ED8323F" w14:textId="73726F1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17605">
              <w:rPr>
                <w:rFonts w:cstheme="minorHAnsi"/>
                <w:color w:val="000000"/>
              </w:rPr>
              <w:t>Bolt, Nut, Screw, Rivet, and Washer Manufacturing</w:t>
            </w:r>
          </w:p>
        </w:tc>
        <w:tc>
          <w:tcPr>
            <w:tcW w:w="2610" w:type="dxa"/>
          </w:tcPr>
          <w:p w:rsidR="00BB7977" w:rsidRPr="00BB7977" w:rsidP="000E272F" w14:paraId="170C57F5" w14:textId="4F479AEE">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3429/3452</w:t>
            </w:r>
          </w:p>
        </w:tc>
        <w:tc>
          <w:tcPr>
            <w:tcW w:w="2430" w:type="dxa"/>
          </w:tcPr>
          <w:p w:rsidR="00BB7977" w:rsidRPr="00BB7977" w:rsidP="008B25DC" w14:paraId="4F971DE8" w14:textId="35F16383">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332722</w:t>
            </w:r>
          </w:p>
        </w:tc>
      </w:tr>
      <w:tr w14:paraId="373043DA"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567292E0" w14:textId="57B3AD8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17605">
              <w:rPr>
                <w:rFonts w:cstheme="minorHAnsi"/>
                <w:color w:val="000000"/>
              </w:rPr>
              <w:t>Metal Heat Treating </w:t>
            </w:r>
          </w:p>
        </w:tc>
        <w:tc>
          <w:tcPr>
            <w:tcW w:w="2610" w:type="dxa"/>
          </w:tcPr>
          <w:p w:rsidR="0046086C" w:rsidRPr="00BB7977" w:rsidP="000E272F" w14:paraId="0479713F" w14:textId="35D2B259">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3398</w:t>
            </w:r>
          </w:p>
        </w:tc>
        <w:tc>
          <w:tcPr>
            <w:tcW w:w="2430" w:type="dxa"/>
          </w:tcPr>
          <w:p w:rsidR="0046086C" w:rsidRPr="00BB7977" w:rsidP="008B25DC" w14:paraId="41FA3782" w14:textId="75015E12">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332811</w:t>
            </w:r>
          </w:p>
        </w:tc>
      </w:tr>
      <w:tr w14:paraId="0933626F"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51A7E2ED" w14:textId="73C5250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17605">
              <w:rPr>
                <w:rFonts w:cstheme="minorHAnsi"/>
                <w:color w:val="000000"/>
              </w:rPr>
              <w:t>Metal Coating, Engraving (except jewelry and silverware), and Allied Services to Manufacturers </w:t>
            </w:r>
          </w:p>
        </w:tc>
        <w:tc>
          <w:tcPr>
            <w:tcW w:w="2610" w:type="dxa"/>
          </w:tcPr>
          <w:p w:rsidR="0046086C" w:rsidRPr="00BB7977" w:rsidP="00954DB5" w14:paraId="30B98B0B" w14:textId="1C7434F2">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3479</w:t>
            </w:r>
          </w:p>
        </w:tc>
        <w:tc>
          <w:tcPr>
            <w:tcW w:w="2430" w:type="dxa"/>
          </w:tcPr>
          <w:p w:rsidR="0046086C" w:rsidRPr="00BB7977" w:rsidP="008B25DC" w14:paraId="591802E1" w14:textId="142ADEDC">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332812</w:t>
            </w:r>
          </w:p>
        </w:tc>
      </w:tr>
      <w:tr w14:paraId="48BE2612"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1353F6FF" w14:textId="4F67405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17605">
              <w:rPr>
                <w:rFonts w:cstheme="minorHAnsi"/>
                <w:color w:val="000000"/>
              </w:rPr>
              <w:t>Plumbing Fixture Fitting and Trim Manufacturing </w:t>
            </w:r>
          </w:p>
        </w:tc>
        <w:tc>
          <w:tcPr>
            <w:tcW w:w="2610" w:type="dxa"/>
          </w:tcPr>
          <w:p w:rsidR="0046086C" w:rsidRPr="00BB7977" w:rsidP="00954DB5" w14:paraId="173750BB" w14:textId="40DB6730">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3432</w:t>
            </w:r>
          </w:p>
        </w:tc>
        <w:tc>
          <w:tcPr>
            <w:tcW w:w="2430" w:type="dxa"/>
          </w:tcPr>
          <w:p w:rsidR="0046086C" w:rsidRPr="00BB7977" w:rsidP="008B25DC" w14:paraId="4020E356" w14:textId="443B3D6E">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332913</w:t>
            </w:r>
          </w:p>
        </w:tc>
      </w:tr>
      <w:tr w14:paraId="3833F4D7"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41C7537C" w14:textId="4A1A8AA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861E8">
              <w:rPr>
                <w:rFonts w:cstheme="minorHAnsi"/>
                <w:color w:val="000000"/>
              </w:rPr>
              <w:t>Other Metal Valve and Pipe Fitting Manufacturing</w:t>
            </w:r>
          </w:p>
        </w:tc>
        <w:tc>
          <w:tcPr>
            <w:tcW w:w="2610" w:type="dxa"/>
          </w:tcPr>
          <w:p w:rsidR="0046086C" w:rsidRPr="00BB7977" w:rsidP="00954DB5" w14:paraId="16DA98D0" w14:textId="10FFAA70">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3429/3432/3494/3499</w:t>
            </w:r>
          </w:p>
        </w:tc>
        <w:tc>
          <w:tcPr>
            <w:tcW w:w="2430" w:type="dxa"/>
          </w:tcPr>
          <w:p w:rsidR="0046086C" w:rsidRPr="00BB7977" w:rsidP="008B25DC" w14:paraId="5B251217" w14:textId="3EB8C172">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332919</w:t>
            </w:r>
          </w:p>
        </w:tc>
      </w:tr>
      <w:tr w14:paraId="7C55730E"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040C6171" w14:textId="051ABA4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861E8">
              <w:rPr>
                <w:rFonts w:cstheme="minorHAnsi"/>
                <w:color w:val="000000"/>
              </w:rPr>
              <w:t>All Other Miscellaneous Fabricated Metal Product Manufacturing </w:t>
            </w:r>
          </w:p>
        </w:tc>
        <w:tc>
          <w:tcPr>
            <w:tcW w:w="2610" w:type="dxa"/>
          </w:tcPr>
          <w:p w:rsidR="0046086C" w:rsidRPr="00BB7977" w:rsidP="00954DB5" w14:paraId="6A02DE07" w14:textId="52DB08B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BB28AB">
              <w:rPr>
                <w:rFonts w:cstheme="minorHAnsi"/>
                <w:color w:val="000000"/>
              </w:rPr>
              <w:t>3291/3429/3432/3494/3497/3499/3537/3599/3914/3999</w:t>
            </w:r>
          </w:p>
        </w:tc>
        <w:tc>
          <w:tcPr>
            <w:tcW w:w="2430" w:type="dxa"/>
          </w:tcPr>
          <w:p w:rsidR="0046086C" w:rsidRPr="00BB7977" w:rsidP="008B25DC" w14:paraId="0B0C924E" w14:textId="4BF4A616">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332999</w:t>
            </w:r>
          </w:p>
        </w:tc>
      </w:tr>
      <w:tr w14:paraId="733F6935"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752BCD2E" w14:textId="08B3A5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C2EC6">
              <w:rPr>
                <w:rFonts w:cstheme="minorHAnsi"/>
                <w:color w:val="000000"/>
              </w:rPr>
              <w:t>Bare Printed Circuit Board Manufacturing </w:t>
            </w:r>
          </w:p>
        </w:tc>
        <w:tc>
          <w:tcPr>
            <w:tcW w:w="2610" w:type="dxa"/>
          </w:tcPr>
          <w:p w:rsidR="0046086C" w:rsidRPr="00BB7977" w:rsidP="00954DB5" w14:paraId="2C6B4989" w14:textId="09D479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3672</w:t>
            </w:r>
          </w:p>
        </w:tc>
        <w:tc>
          <w:tcPr>
            <w:tcW w:w="2430" w:type="dxa"/>
          </w:tcPr>
          <w:p w:rsidR="0046086C" w:rsidRPr="00BB7977" w:rsidP="008B25DC" w14:paraId="2AF0CEEF" w14:textId="5C9394F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334412</w:t>
            </w:r>
          </w:p>
        </w:tc>
      </w:tr>
      <w:tr w14:paraId="71CFD6E1"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62B413E8" w14:textId="2975F69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C2EC6">
              <w:rPr>
                <w:rFonts w:cstheme="minorHAnsi"/>
                <w:color w:val="000000"/>
              </w:rPr>
              <w:t>Aircraft Engine and Engine Parts Manufacturing </w:t>
            </w:r>
          </w:p>
        </w:tc>
        <w:tc>
          <w:tcPr>
            <w:tcW w:w="2610" w:type="dxa"/>
          </w:tcPr>
          <w:p w:rsidR="0046086C" w:rsidRPr="00BB7977" w:rsidP="00954DB5" w14:paraId="316C9CA6" w14:textId="55A06043">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3724</w:t>
            </w:r>
          </w:p>
        </w:tc>
        <w:tc>
          <w:tcPr>
            <w:tcW w:w="2430" w:type="dxa"/>
          </w:tcPr>
          <w:p w:rsidR="0046086C" w:rsidRPr="00BB7977" w:rsidP="008B25DC" w14:paraId="2EC25F54" w14:textId="244A8969">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336412</w:t>
            </w:r>
          </w:p>
        </w:tc>
      </w:tr>
      <w:tr w14:paraId="5CB0BC8D" w14:textId="77777777" w:rsidTr="005120A7">
        <w:tblPrEx>
          <w:tblW w:w="9360" w:type="dxa"/>
          <w:tblInd w:w="112" w:type="dxa"/>
          <w:tblLayout w:type="fixed"/>
          <w:tblCellMar>
            <w:left w:w="112" w:type="dxa"/>
            <w:right w:w="112" w:type="dxa"/>
          </w:tblCellMar>
          <w:tblLook w:val="04A0"/>
        </w:tblPrEx>
        <w:tc>
          <w:tcPr>
            <w:tcW w:w="4320" w:type="dxa"/>
          </w:tcPr>
          <w:p w:rsidR="0046086C" w:rsidRPr="00BB7977" w:rsidP="00BB7977" w14:paraId="4D736CE0" w14:textId="67D0EC8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C2EC6">
              <w:rPr>
                <w:rFonts w:cstheme="minorHAnsi"/>
                <w:color w:val="000000"/>
              </w:rPr>
              <w:t>Jewelry (except costume) Manufacturing </w:t>
            </w:r>
          </w:p>
        </w:tc>
        <w:tc>
          <w:tcPr>
            <w:tcW w:w="2610" w:type="dxa"/>
          </w:tcPr>
          <w:p w:rsidR="0046086C" w:rsidRPr="00BB7977" w:rsidP="00954DB5" w14:paraId="6024A005" w14:textId="56CD4C8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3479/3911</w:t>
            </w:r>
          </w:p>
        </w:tc>
        <w:tc>
          <w:tcPr>
            <w:tcW w:w="2430" w:type="dxa"/>
          </w:tcPr>
          <w:p w:rsidR="0046086C" w:rsidRPr="00BB7977" w:rsidP="008B25DC" w14:paraId="781BC711" w14:textId="5D517034">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339910</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154709DC">
      <w:pPr>
        <w:pBdr>
          <w:top w:val="single" w:sz="6" w:space="0" w:color="FFFFFF"/>
          <w:left w:val="single" w:sz="6" w:space="0" w:color="FFFFFF"/>
          <w:bottom w:val="single" w:sz="6" w:space="0" w:color="FFFFFF"/>
          <w:right w:val="single" w:sz="6" w:space="0" w:color="FFFFFF"/>
        </w:pBdr>
        <w:spacing w:before="60"/>
        <w:rPr>
          <w:color w:val="000000"/>
        </w:rPr>
      </w:pPr>
      <w:r w:rsidRPr="3232CA1B">
        <w:rPr>
          <w:color w:val="000000" w:themeColor="text1"/>
        </w:rPr>
        <w:t xml:space="preserve">Based on our research for this ICR, on average over the next three years, approximately </w:t>
      </w:r>
      <w:r w:rsidRPr="3232CA1B" w:rsidR="22C1C515">
        <w:rPr>
          <w:color w:val="000000" w:themeColor="text1"/>
        </w:rPr>
        <w:t>2,900</w:t>
      </w:r>
      <w:r w:rsidRPr="3232CA1B" w:rsidR="00EC5598">
        <w:rPr>
          <w:color w:val="000000" w:themeColor="text1"/>
        </w:rPr>
        <w:t xml:space="preserve"> respondents </w:t>
      </w:r>
      <w:r w:rsidRPr="3232CA1B" w:rsidR="22C1C515">
        <w:rPr>
          <w:color w:val="000000" w:themeColor="text1"/>
        </w:rPr>
        <w:t>per year</w:t>
      </w:r>
      <w:r w:rsidRPr="3232CA1B">
        <w:rPr>
          <w:color w:val="000000" w:themeColor="text1"/>
        </w:rPr>
        <w:t xml:space="preserve"> will be subject to </w:t>
      </w:r>
      <w:r w:rsidRPr="3232CA1B" w:rsidR="22C1C515">
        <w:rPr>
          <w:color w:val="000000" w:themeColor="text1"/>
        </w:rPr>
        <w:t>these standards, and no additional respondents per year will become subject to these same standards. Of these facilities, we estimate only 5 percent, or 145 facilities will be required to submit a report</w:t>
      </w:r>
      <w:r w:rsidRPr="3232CA1B" w:rsidR="61BFB776">
        <w:rPr>
          <w:color w:val="000000" w:themeColor="text1"/>
        </w:rPr>
        <w:t>.</w:t>
      </w:r>
      <w:r w:rsidRPr="3232CA1B">
        <w:rPr>
          <w:color w:val="000000" w:themeColor="text1"/>
        </w:rPr>
        <w:t xml:space="preserve"> It is estimated that </w:t>
      </w:r>
      <w:r w:rsidRPr="3232CA1B" w:rsidR="7270BA12">
        <w:rPr>
          <w:color w:val="000000" w:themeColor="text1"/>
        </w:rPr>
        <w:t xml:space="preserve">no </w:t>
      </w:r>
      <w:r w:rsidRPr="3232CA1B">
        <w:rPr>
          <w:color w:val="000000" w:themeColor="text1"/>
        </w:rPr>
        <w:t>additional</w:t>
      </w:r>
      <w:r w:rsidRPr="3232CA1B" w:rsidR="001912D6">
        <w:rPr>
          <w:color w:val="000000" w:themeColor="text1"/>
        </w:rPr>
        <w:t xml:space="preserve"> </w:t>
      </w:r>
      <w:r w:rsidRPr="3232CA1B">
        <w:rPr>
          <w:color w:val="000000" w:themeColor="text1"/>
        </w:rPr>
        <w:t xml:space="preserve">respondents per year will become subject, for an overall total of </w:t>
      </w:r>
      <w:r w:rsidRPr="3232CA1B" w:rsidR="6C180FE3">
        <w:t>145</w:t>
      </w:r>
      <w:r w:rsidRPr="3232CA1B">
        <w:t xml:space="preserve"> </w:t>
      </w:r>
      <w:r w:rsidRPr="3232CA1B">
        <w:rPr>
          <w:color w:val="000000" w:themeColor="text1"/>
        </w:rPr>
        <w:t xml:space="preserve">respondents per year. The number of respondents is calculated using the table </w:t>
      </w:r>
      <w:bookmarkStart w:id="18" w:name="_Hlk163570653"/>
      <w:r w:rsidRPr="3232CA1B">
        <w:rPr>
          <w:color w:val="000000" w:themeColor="text1"/>
        </w:rPr>
        <w:t xml:space="preserve">Number of Respondents </w:t>
      </w:r>
      <w:bookmarkEnd w:id="18"/>
      <w:r w:rsidRPr="3232CA1B">
        <w:rPr>
          <w:color w:val="000000" w:themeColor="text1"/>
        </w:rPr>
        <w:t xml:space="preserve">that addresses the three years covered by this ICR. None of the </w:t>
      </w:r>
      <w:r w:rsidRPr="3232CA1B" w:rsidR="00D96DFD">
        <w:rPr>
          <w:color w:val="000000" w:themeColor="text1"/>
        </w:rPr>
        <w:t xml:space="preserve">2,900 </w:t>
      </w:r>
      <w:r w:rsidRPr="3232CA1B">
        <w:rPr>
          <w:color w:val="000000" w:themeColor="text1"/>
        </w:rPr>
        <w:t>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6A32F48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3232CA1B">
        <w:rPr>
          <w:color w:val="000000" w:themeColor="text1"/>
        </w:rPr>
        <w:t xml:space="preserve">The total number of annual responses per year is calculated using the </w:t>
      </w:r>
      <w:r w:rsidRPr="3232CA1B" w:rsidR="00A16826">
        <w:rPr>
          <w:color w:val="000000" w:themeColor="text1"/>
        </w:rPr>
        <w:t>Total Annual Responses table</w:t>
      </w:r>
      <w:r w:rsidRPr="3232CA1B">
        <w:rPr>
          <w:color w:val="000000" w:themeColor="text1"/>
        </w:rPr>
        <w:t xml:space="preserve"> shown below. The number of Total Annual Responses is</w:t>
      </w:r>
      <w:r w:rsidRPr="3232CA1B">
        <w:t xml:space="preserve"> </w:t>
      </w:r>
      <w:r w:rsidRPr="3232CA1B" w:rsidR="2B35DB2A">
        <w:t>3</w:t>
      </w:r>
      <w:r w:rsidR="004F014A">
        <w:t>,</w:t>
      </w:r>
      <w:r w:rsidRPr="3232CA1B" w:rsidR="2B35DB2A">
        <w:t>045.</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9" w:name="_Toc156593384"/>
      <w:bookmarkEnd w:id="17"/>
    </w:p>
    <w:p w:rsidR="00987C8D" w:rsidRPr="00987C8D" w:rsidP="00987C8D" w14:paraId="1DF0EBFD" w14:textId="5575EA95">
      <w:pPr>
        <w:pBdr>
          <w:top w:val="single" w:sz="6" w:space="0" w:color="FFFFFF"/>
          <w:left w:val="single" w:sz="6" w:space="0" w:color="FFFFFF"/>
          <w:bottom w:val="single" w:sz="6" w:space="0" w:color="FFFFFF"/>
          <w:right w:val="single" w:sz="6" w:space="0" w:color="FFFFFF"/>
        </w:pBdr>
        <w:spacing w:before="60"/>
        <w:rPr>
          <w:color w:val="000000"/>
        </w:rPr>
      </w:pPr>
      <w:r w:rsidRPr="3232CA1B">
        <w:rPr>
          <w:color w:val="000000" w:themeColor="text1"/>
        </w:rPr>
        <w:t xml:space="preserve">In this ICR, all the data that are recorded or reported is required by the </w:t>
      </w:r>
      <w:r w:rsidRPr="3232CA1B" w:rsidR="261F179D">
        <w:rPr>
          <w:color w:val="000000" w:themeColor="text1"/>
        </w:rPr>
        <w:t>NESHAP</w:t>
      </w:r>
      <w:r w:rsidRPr="3232CA1B">
        <w:rPr>
          <w:color w:val="000000" w:themeColor="text1"/>
        </w:rPr>
        <w:t xml:space="preserve"> for </w:t>
      </w:r>
      <w:r w:rsidRPr="3232CA1B" w:rsidR="261F179D">
        <w:rPr>
          <w:color w:val="000000" w:themeColor="text1"/>
        </w:rPr>
        <w:t>Plating and Polishing Area Sources</w:t>
      </w:r>
      <w:r w:rsidRPr="3232CA1B">
        <w:rPr>
          <w:color w:val="000000" w:themeColor="text1"/>
        </w:rPr>
        <w:t xml:space="preserve"> (40 CFR Part </w:t>
      </w:r>
      <w:r w:rsidRPr="3232CA1B" w:rsidR="261F179D">
        <w:rPr>
          <w:color w:val="000000" w:themeColor="text1"/>
        </w:rPr>
        <w:t>63</w:t>
      </w:r>
      <w:r w:rsidRPr="3232CA1B">
        <w:rPr>
          <w:color w:val="000000" w:themeColor="text1"/>
        </w:rPr>
        <w:t xml:space="preserve">, Subpart </w:t>
      </w:r>
      <w:r w:rsidRPr="3232CA1B" w:rsidR="261F179D">
        <w:rPr>
          <w:color w:val="000000" w:themeColor="text1"/>
        </w:rPr>
        <w:t>WWWWWW</w:t>
      </w:r>
      <w:r w:rsidRPr="3232CA1B" w:rsidR="261F179D">
        <w:t>)</w:t>
      </w:r>
      <w:r w:rsidRPr="3232CA1B">
        <w:t>.</w:t>
      </w:r>
      <w:r w:rsidRPr="3232CA1B">
        <w:rPr>
          <w:color w:val="000000" w:themeColor="text1"/>
        </w:rPr>
        <w:t xml:space="preserve"> Any owner/operator subject to the provisions of this part shall maintain a file of these measurements and retain the file for at least </w:t>
      </w:r>
      <w:r w:rsidRPr="3232CA1B" w:rsidR="0913CA09">
        <w:t>five</w:t>
      </w:r>
      <w:r w:rsidRPr="3232CA1B">
        <w:t xml:space="preserve"> </w:t>
      </w:r>
      <w:r w:rsidRPr="3232CA1B">
        <w:rPr>
          <w:color w:val="000000" w:themeColor="text1"/>
        </w:rPr>
        <w:t>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211A60" w:rsidP="00987C8D" w14:paraId="69DEB2E2" w14:textId="22AA8AD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11A60">
              <w:rPr>
                <w:rFonts w:cstheme="minorHAnsi"/>
                <w:color w:val="000000"/>
              </w:rPr>
              <w:t>Initial Notification of Applicability</w:t>
            </w:r>
          </w:p>
        </w:tc>
        <w:tc>
          <w:tcPr>
            <w:tcW w:w="2529" w:type="dxa"/>
            <w:tcBorders>
              <w:top w:val="single" w:sz="8" w:space="0" w:color="000000"/>
              <w:left w:val="single" w:sz="8" w:space="0" w:color="000000"/>
              <w:bottom w:val="single" w:sz="8" w:space="0" w:color="000000"/>
              <w:right w:val="single" w:sz="8" w:space="0" w:color="000000"/>
            </w:tcBorders>
            <w:hideMark/>
          </w:tcPr>
          <w:p w:rsidR="00987C8D" w:rsidRPr="00987C8D" w:rsidP="00987C8D" w14:paraId="1F8187B5" w14:textId="313A265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211A60">
              <w:rPr>
                <w:rFonts w:cstheme="minorHAnsi"/>
                <w:color w:val="000000"/>
              </w:rPr>
              <w:t>§§63.11509(a), 63.9(b)(2)(i)-(iv)</w:t>
            </w:r>
          </w:p>
        </w:tc>
      </w:tr>
      <w:tr w14:paraId="42A53D6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987C8D" w:rsidP="00987C8D" w14:paraId="7A28D8FD" w14:textId="2B21051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11A60">
              <w:rPr>
                <w:rFonts w:cstheme="minorHAnsi"/>
                <w:color w:val="000000"/>
              </w:rPr>
              <w:t xml:space="preserve">Notification of </w:t>
            </w:r>
            <w:r>
              <w:rPr>
                <w:rFonts w:cstheme="minorHAnsi"/>
                <w:color w:val="000000"/>
              </w:rPr>
              <w:t>C</w:t>
            </w:r>
            <w:r w:rsidRPr="00211A60">
              <w:rPr>
                <w:rFonts w:cstheme="minorHAnsi"/>
                <w:color w:val="000000"/>
              </w:rPr>
              <w:t xml:space="preserve">ompliance </w:t>
            </w:r>
            <w:r>
              <w:rPr>
                <w:rFonts w:cstheme="minorHAnsi"/>
                <w:color w:val="000000"/>
              </w:rPr>
              <w:t>S</w:t>
            </w:r>
            <w:r w:rsidRPr="00211A60">
              <w:rPr>
                <w:rFonts w:cstheme="minorHAnsi"/>
                <w:color w:val="000000"/>
              </w:rPr>
              <w:t>tatus</w:t>
            </w:r>
          </w:p>
        </w:tc>
        <w:tc>
          <w:tcPr>
            <w:tcW w:w="2529" w:type="dxa"/>
            <w:tcBorders>
              <w:top w:val="single" w:sz="8" w:space="0" w:color="000000"/>
              <w:left w:val="single" w:sz="8" w:space="0" w:color="000000"/>
              <w:bottom w:val="single" w:sz="8" w:space="0" w:color="000000"/>
              <w:right w:val="single" w:sz="8" w:space="0" w:color="000000"/>
            </w:tcBorders>
          </w:tcPr>
          <w:p w:rsidR="00987C8D" w:rsidRPr="00987C8D" w:rsidP="00987C8D" w14:paraId="0C195381" w14:textId="4FD28C5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10D1">
              <w:rPr>
                <w:rFonts w:cstheme="minorHAnsi"/>
                <w:color w:val="000000"/>
              </w:rPr>
              <w:t>§63.11509(b)</w:t>
            </w:r>
          </w:p>
        </w:tc>
      </w:tr>
      <w:tr w14:paraId="3523066C"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40165" w:rsidRPr="00723245" w:rsidP="00940165" w14:paraId="432AF04A" w14:textId="77777777">
            <w:pPr>
              <w:spacing w:line="120" w:lineRule="exact"/>
            </w:pPr>
          </w:p>
          <w:p w:rsidR="00940165" w:rsidRPr="00987C8D" w:rsidP="00940165"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8" w:space="0" w:color="000000"/>
              <w:left w:val="single" w:sz="8" w:space="0" w:color="000000"/>
              <w:bottom w:val="single" w:sz="8" w:space="0" w:color="000000"/>
              <w:right w:val="single" w:sz="8" w:space="0" w:color="000000"/>
            </w:tcBorders>
          </w:tcPr>
          <w:p w:rsidR="00940165" w:rsidRPr="00723245" w:rsidP="00940165" w14:paraId="7345D56A" w14:textId="77777777">
            <w:pPr>
              <w:spacing w:line="120" w:lineRule="exact"/>
            </w:pPr>
          </w:p>
          <w:p w:rsidR="00940165" w:rsidRPr="00987C8D" w:rsidP="00940165" w14:paraId="1E18B6A1" w14:textId="591928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155404">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C1909" w:rsidRPr="00987C8D" w:rsidP="009C1909" w14:paraId="43877D0A" w14:textId="3EFB775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85CFD">
              <w:rPr>
                <w:rFonts w:cstheme="minorHAnsi"/>
                <w:color w:val="000000"/>
              </w:rPr>
              <w:t>Annual Certification of Compliance</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C1909" w:rsidRPr="00987C8D" w:rsidP="009C1909" w14:paraId="3FD4CBEA" w14:textId="683CC0F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§63.11509(c)</w:t>
            </w:r>
            <w:r>
              <w:rPr>
                <w:rStyle w:val="eop"/>
              </w:rPr>
              <w:t> </w:t>
            </w:r>
          </w:p>
        </w:tc>
      </w:tr>
      <w:tr w14:paraId="7E0FC2F9"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C1909" w:rsidRPr="00987C8D" w:rsidP="009C1909" w14:paraId="4363B11A" w14:textId="25996B9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D71D5">
              <w:rPr>
                <w:rFonts w:cstheme="minorHAnsi"/>
                <w:color w:val="000000"/>
              </w:rPr>
              <w:t>Annual Report of Deviations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C1909" w:rsidRPr="00987C8D" w:rsidP="009C1909" w14:paraId="628E0983" w14:textId="7DC2E01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Style w:val="normaltextrun"/>
              </w:rPr>
              <w:t>§63.11509(d)</w:t>
            </w:r>
            <w:r>
              <w:rPr>
                <w:rStyle w:val="eop"/>
              </w:rPr>
              <w:t> </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EBF7E7">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EBF7E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3550D62A" w14:textId="55B5695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C01F6">
              <w:rPr>
                <w:rFonts w:cstheme="minorHAnsi"/>
                <w:color w:val="000000"/>
              </w:rPr>
              <w:t>Records of notifications and reports mentioned above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6D6275" w14:paraId="7934CA38" w14:textId="3CE4417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D6275">
              <w:rPr>
                <w:rFonts w:cstheme="minorHAnsi"/>
                <w:color w:val="000000"/>
              </w:rPr>
              <w:t>§§63.10, 63.11509(e)(1), 63.11509(f)</w:t>
            </w:r>
          </w:p>
        </w:tc>
      </w:tr>
      <w:tr w14:paraId="67792A54" w14:textId="77777777" w:rsidTr="00EBF7E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7559FCF3" w14:textId="2D68588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11BBF">
              <w:rPr>
                <w:rFonts w:cstheme="minorHAnsi"/>
                <w:color w:val="000000"/>
              </w:rPr>
              <w:t>Records that demonstrate continuous compliance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5E34E3" w14:paraId="1849EF97" w14:textId="5396E82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E34E3">
              <w:rPr>
                <w:rFonts w:cstheme="minorHAnsi"/>
                <w:color w:val="000000"/>
              </w:rPr>
              <w:t>§§63.10, 63.11509(e)(3)</w:t>
            </w:r>
          </w:p>
        </w:tc>
      </w:tr>
      <w:tr w14:paraId="6D40F05E" w14:textId="77777777" w:rsidTr="00EBF7E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2E59B461" w14:textId="755848E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11BBF">
              <w:rPr>
                <w:rFonts w:cstheme="minorHAnsi"/>
                <w:color w:val="000000"/>
              </w:rPr>
              <w:t>Monitoring/inspection information</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269BB3D" w14:textId="60EB92A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600F">
              <w:rPr>
                <w:rFonts w:cstheme="minorHAnsi"/>
                <w:color w:val="000000"/>
              </w:rPr>
              <w:t>§63.10</w:t>
            </w:r>
          </w:p>
        </w:tc>
      </w:tr>
      <w:tr w14:paraId="551B038A" w14:textId="77777777" w:rsidTr="00EBF7E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C01F6" w:rsidRPr="00987C8D" w:rsidP="00987C8D" w14:paraId="4BE831DB" w14:textId="3AC80A7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11BBF">
              <w:rPr>
                <w:rFonts w:cstheme="minorHAnsi"/>
                <w:color w:val="000000"/>
              </w:rPr>
              <w:t>SSM occurrences and durations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C01F6" w:rsidRPr="00987C8D" w:rsidP="00EBF7E7" w14:paraId="25CD6EA9" w14:textId="025F29EF">
            <w:pPr>
              <w:pBdr>
                <w:top w:val="single" w:sz="6" w:space="0" w:color="FFFFFF"/>
                <w:left w:val="single" w:sz="6" w:space="0" w:color="FFFFFF"/>
                <w:bottom w:val="single" w:sz="6" w:space="0" w:color="FFFFFF"/>
                <w:right w:val="single" w:sz="6" w:space="0" w:color="FFFFFF"/>
              </w:pBdr>
              <w:spacing w:before="60"/>
              <w:rPr>
                <w:color w:val="000000"/>
              </w:rPr>
            </w:pPr>
            <w:r w:rsidRPr="00EBF7E7">
              <w:rPr>
                <w:color w:val="000000" w:themeColor="text1"/>
              </w:rPr>
              <w:t>§</w:t>
            </w:r>
            <w:r w:rsidRPr="00EBF7E7" w:rsidR="53CFCC7D">
              <w:rPr>
                <w:color w:val="000000" w:themeColor="text1"/>
              </w:rPr>
              <w:t>§</w:t>
            </w:r>
            <w:r w:rsidRPr="00EBF7E7">
              <w:rPr>
                <w:color w:val="000000" w:themeColor="text1"/>
              </w:rPr>
              <w:t>63.10(b)(2)(i)-(ii)</w:t>
            </w:r>
          </w:p>
        </w:tc>
      </w:tr>
      <w:tr w14:paraId="1A974601" w14:textId="77777777" w:rsidTr="00EBF7E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C01F6" w:rsidRPr="00987C8D" w:rsidP="00987C8D" w14:paraId="08639D2D" w14:textId="23ACEAF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2C92">
              <w:rPr>
                <w:rFonts w:cstheme="minorHAnsi"/>
                <w:color w:val="000000"/>
              </w:rPr>
              <w:t>All required maintenance performed on control and monitoring equipment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C01F6" w:rsidRPr="00987C8D" w:rsidP="00987C8D" w14:paraId="70918B3B" w14:textId="7E0C209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600F">
              <w:rPr>
                <w:rFonts w:cstheme="minorHAnsi"/>
                <w:color w:val="000000"/>
              </w:rPr>
              <w:t>§63.10(b)(2)(iii)</w:t>
            </w:r>
          </w:p>
        </w:tc>
      </w:tr>
      <w:tr w14:paraId="329CFC9E" w14:textId="77777777" w:rsidTr="00EBF7E7">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BBF" w:rsidRPr="00987C8D" w:rsidP="00987C8D" w14:paraId="16527656" w14:textId="11C0129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2C92">
              <w:rPr>
                <w:rFonts w:cstheme="minorHAnsi"/>
                <w:color w:val="000000"/>
              </w:rPr>
              <w:t>Waiver of recordkeeping or reporting requirements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11BBF" w:rsidRPr="00987C8D" w:rsidP="00987C8D" w14:paraId="74927B9C" w14:textId="02B3D9E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7D82">
              <w:rPr>
                <w:rFonts w:cstheme="minorHAnsi"/>
                <w:color w:val="000000"/>
              </w:rPr>
              <w:t>§63.10(f)</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8B07A2" w:rsidRPr="00801957" w:rsidP="00801957" w14:paraId="6DE85374" w14:textId="0D6F07E0">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9"/>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4942690D" w14:textId="77777777">
        <w:tblPrEx>
          <w:tblW w:w="9445" w:type="dxa"/>
          <w:tblLook w:val="04A0"/>
        </w:tblPrEx>
        <w:trPr>
          <w:trHeight w:val="719"/>
        </w:trPr>
        <w:tc>
          <w:tcPr>
            <w:tcW w:w="9445" w:type="dxa"/>
            <w:vAlign w:val="center"/>
          </w:tcPr>
          <w:p w:rsidR="008B07A2" w:rsidRPr="00B04A5C" w14:paraId="6CF334ED" w14:textId="211CEF6A">
            <w:pPr>
              <w:outlineLvl w:val="0"/>
              <w:rPr>
                <w:color w:val="000000"/>
              </w:rPr>
            </w:pPr>
            <w:r w:rsidRPr="00FC2A20">
              <w:rPr>
                <w:color w:val="000000"/>
              </w:rPr>
              <w:t>Install, calibrate, maintain, and operate the appropriate capture and control devices or use wetting agents/fume suppressants or covers per the applicable requirements of 40 CFR 63.11507.</w:t>
            </w:r>
          </w:p>
        </w:tc>
      </w:tr>
      <w:tr w14:paraId="55372A75" w14:textId="77777777">
        <w:tblPrEx>
          <w:tblW w:w="9445" w:type="dxa"/>
          <w:tblLook w:val="04A0"/>
        </w:tblPrEx>
        <w:trPr>
          <w:trHeight w:val="432"/>
        </w:trPr>
        <w:tc>
          <w:tcPr>
            <w:tcW w:w="9445" w:type="dxa"/>
            <w:vAlign w:val="center"/>
          </w:tcPr>
          <w:p w:rsidR="008B07A2" w:rsidRPr="00B04A5C" w14:paraId="48ADF906" w14:textId="77777777">
            <w:pPr>
              <w:outlineLvl w:val="0"/>
              <w:rPr>
                <w:color w:val="000000"/>
              </w:rPr>
            </w:pPr>
            <w:r w:rsidRPr="00B04A5C">
              <w:rPr>
                <w:color w:val="000000"/>
              </w:rPr>
              <w:t>Write the notifications and reports listed above.</w:t>
            </w:r>
          </w:p>
        </w:tc>
      </w:tr>
      <w:tr w14:paraId="6EB70483" w14:textId="77777777">
        <w:tblPrEx>
          <w:tblW w:w="9445" w:type="dxa"/>
          <w:tblLook w:val="04A0"/>
        </w:tblPrEx>
        <w:trPr>
          <w:trHeight w:val="432"/>
        </w:trPr>
        <w:tc>
          <w:tcPr>
            <w:tcW w:w="9445" w:type="dxa"/>
            <w:vAlign w:val="center"/>
          </w:tcPr>
          <w:p w:rsidR="008B07A2" w:rsidRPr="00B04A5C" w14:paraId="40649BBA" w14:textId="77777777">
            <w:pPr>
              <w:outlineLvl w:val="0"/>
              <w:rPr>
                <w:color w:val="000000"/>
              </w:rPr>
            </w:pPr>
            <w:r w:rsidRPr="00B04A5C">
              <w:rPr>
                <w:color w:val="000000"/>
              </w:rPr>
              <w:t>Enter information required to be recorded above.</w:t>
            </w:r>
          </w:p>
        </w:tc>
      </w:tr>
      <w:tr w14:paraId="51C92A26" w14:textId="77777777">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8B07A2" w:rsidRPr="00B04A5C"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856CE8">
        <w:tblPrEx>
          <w:tblW w:w="9445" w:type="dxa"/>
          <w:tblLook w:val="04A0"/>
        </w:tblPrEx>
        <w:trPr>
          <w:trHeight w:val="494"/>
        </w:trPr>
        <w:tc>
          <w:tcPr>
            <w:tcW w:w="9445" w:type="dxa"/>
            <w:vAlign w:val="center"/>
          </w:tcPr>
          <w:p w:rsidR="008B07A2" w:rsidRPr="00B04A5C"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8B07A2" w:rsidRPr="00B04A5C" w14:paraId="484A8233" w14:textId="77777777">
            <w:pPr>
              <w:outlineLvl w:val="0"/>
              <w:rPr>
                <w:color w:val="000000"/>
              </w:rPr>
            </w:pPr>
            <w:r w:rsidRPr="00B04A5C">
              <w:rPr>
                <w:color w:val="000000"/>
              </w:rPr>
              <w:t>Train personnel to be able to respond to a collection of information.</w:t>
            </w:r>
          </w:p>
        </w:tc>
      </w:tr>
      <w:tr w14:paraId="1564CD2E" w14:textId="77777777">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0B346969">
      <w:pPr>
        <w:spacing w:before="60"/>
        <w:rPr>
          <w:color w:val="000000"/>
        </w:rPr>
      </w:pPr>
      <w:r w:rsidRPr="3232CA1B">
        <w:rPr>
          <w:color w:val="000000" w:themeColor="text1"/>
        </w:rPr>
        <w:t xml:space="preserve">The average annual burden to industry over the next three years from these recordkeeping and reporting requirements is estimated to be </w:t>
      </w:r>
      <w:r w:rsidRPr="3232CA1B" w:rsidR="45CB6DF6">
        <w:rPr>
          <w:color w:val="000000" w:themeColor="text1"/>
        </w:rPr>
        <w:t>67,700</w:t>
      </w:r>
      <w:r w:rsidRPr="3232CA1B" w:rsidR="00C4086C">
        <w:rPr>
          <w:color w:val="000000" w:themeColor="text1"/>
        </w:rPr>
        <w:t xml:space="preserve"> </w:t>
      </w:r>
      <w:r w:rsidRPr="3232CA1B">
        <w:rPr>
          <w:color w:val="000000" w:themeColor="text1"/>
        </w:rPr>
        <w:t>hours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2955AD88">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2C7322">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0D1BCD" w:rsidP="00854AAE" w14:paraId="678BA42F" w14:textId="5791A3ED">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w:t>
      </w:r>
      <w:r w:rsidRPr="001F0834">
        <w:rPr>
          <w:rFonts w:cstheme="minorHAnsi"/>
          <w:bCs/>
          <w:i/>
          <w:iCs/>
        </w:rPr>
        <w:t>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419FDEFF">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561236">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5B4A21E4">
      <w:pPr>
        <w:pBdr>
          <w:top w:val="single" w:sz="6" w:space="0" w:color="FFFFFF"/>
          <w:left w:val="single" w:sz="6" w:space="0" w:color="FFFFFF"/>
          <w:bottom w:val="single" w:sz="6" w:space="0" w:color="FFFFFF"/>
          <w:right w:val="single" w:sz="6" w:space="0" w:color="FFFFFF"/>
        </w:pBdr>
        <w:spacing w:before="60"/>
        <w:rPr>
          <w:color w:val="000000"/>
        </w:rPr>
      </w:pPr>
      <w:r w:rsidRPr="3232CA1B">
        <w:rPr>
          <w:color w:val="000000" w:themeColor="text1"/>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3232CA1B" w:rsidR="55A6C473">
        <w:t>667</w:t>
      </w:r>
      <w:r w:rsidRPr="3232CA1B">
        <w:t xml:space="preserve"> </w:t>
      </w:r>
      <w:r w:rsidRPr="3232CA1B">
        <w:rPr>
          <w:color w:val="000000" w:themeColor="text1"/>
        </w:rPr>
        <w:t xml:space="preserve">hours at a cost of </w:t>
      </w:r>
      <w:r w:rsidRPr="3232CA1B">
        <w:t>$</w:t>
      </w:r>
      <w:r w:rsidR="00A70210">
        <w:t>37,100</w:t>
      </w:r>
      <w:r w:rsidRPr="3232CA1B">
        <w:rPr>
          <w:color w:val="000000" w:themeColor="text1"/>
        </w:rPr>
        <w:t xml:space="preserve">. See Table 2: Average Annual EPA Burden and Cost – </w:t>
      </w:r>
      <w:r w:rsidRPr="3232CA1B" w:rsidR="46700296">
        <w:rPr>
          <w:color w:val="000000" w:themeColor="text1"/>
        </w:rPr>
        <w:t>NESHAP for Plating and Polishing Operations (40 CFR Part 63, Subpart WWWWWW) (Renewal)</w:t>
      </w:r>
      <w:r w:rsidRPr="3232CA1B">
        <w:rPr>
          <w:color w:val="000000" w:themeColor="text1"/>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EBF7E7" w14:paraId="5BDD4B04" w14:textId="6EAE07FA">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00EBF7E7">
        <w:rPr>
          <w:color w:val="000000"/>
        </w:rPr>
        <w:t>Managerial</w:t>
      </w:r>
      <w:r w:rsidRPr="000069AF">
        <w:rPr>
          <w:rFonts w:cstheme="minorHAnsi"/>
          <w:color w:val="000000"/>
        </w:rPr>
        <w:tab/>
      </w:r>
      <w:r w:rsidRPr="00EBF7E7">
        <w:rPr>
          <w:color w:val="000000"/>
        </w:rPr>
        <w:t>$</w:t>
      </w:r>
      <w:r w:rsidRPr="00EBF7E7">
        <w:rPr>
          <w:color w:val="000000"/>
        </w:rPr>
        <w:t>76.9</w:t>
      </w:r>
      <w:r w:rsidRPr="00EBF7E7" w:rsidR="271270F2">
        <w:rPr>
          <w:color w:val="000000"/>
        </w:rPr>
        <w:t>1</w:t>
      </w:r>
      <w:r w:rsidRPr="00EBF7E7">
        <w:rPr>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4F825B4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 xml:space="preserve">These rates are from the Office of Personnel Management (OPM), 2024 General Schedule, which excludes locality, rates of pay. The rates have been increased by 60 percent to account for the benefit </w:t>
      </w:r>
      <w:r w:rsidRPr="00E30153">
        <w:rPr>
          <w:rFonts w:cstheme="minorHAnsi"/>
          <w:color w:val="000000"/>
        </w:rPr>
        <w:t>packages available to government employees</w:t>
      </w:r>
      <w:r w:rsidRPr="000069AF">
        <w:rPr>
          <w:rFonts w:cstheme="minorHAnsi"/>
          <w:color w:val="000000"/>
        </w:rPr>
        <w:t xml:space="preserve">. Details upon which this estimate is based appear at the end of this document in Table 2: Average Annual EPA Burden and Cost </w:t>
      </w:r>
      <w:r w:rsidRPr="00BB3A67">
        <w:rPr>
          <w:rFonts w:cstheme="minorHAnsi"/>
          <w:color w:val="000000"/>
        </w:rPr>
        <w:t>–</w:t>
      </w:r>
      <w:r w:rsidRPr="00BB3A67" w:rsidR="00BB3A67">
        <w:rPr>
          <w:rFonts w:cstheme="minorHAnsi"/>
          <w:color w:val="000000"/>
        </w:rPr>
        <w:t xml:space="preserve"> NESHAP for Plating and Polishing Operations (40 CFR Part 63, Subpart WWWWWW) (Renewal)</w:t>
      </w:r>
      <w:r w:rsidR="00BC46D6">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5C13CA" w:rsidP="005120A7" w14:paraId="60419202" w14:textId="57C93EDD">
      <w:pPr>
        <w:pBdr>
          <w:top w:val="single" w:sz="6" w:space="0" w:color="FFFFFF"/>
          <w:left w:val="single" w:sz="6" w:space="0" w:color="FFFFFF"/>
          <w:bottom w:val="single" w:sz="6" w:space="0" w:color="FFFFFF"/>
          <w:right w:val="single" w:sz="6" w:space="0" w:color="FFFFFF"/>
        </w:pBdr>
      </w:pPr>
      <w:r>
        <w:t>There is no change in burden from the most-recently approved ICR as currently identified in the OMB Inventory of Approved Burdens. This situation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005C13CA">
        <w:t>December</w:t>
      </w:r>
      <w:r>
        <w:t xml:space="preserve"> </w:t>
      </w:r>
      <w:r w:rsidR="005C13CA">
        <w:t>2023</w:t>
      </w:r>
      <w:r>
        <w:t>) to calculate respondent burden costs.</w:t>
      </w:r>
    </w:p>
    <w:p w:rsidR="005D140B" w:rsidRPr="00163C69" w:rsidP="4BDBF0A0" w14:paraId="3604F417" w14:textId="5D0F3160">
      <w:pPr>
        <w:pStyle w:val="ListParagraph"/>
        <w:numPr>
          <w:ilvl w:val="0"/>
          <w:numId w:val="27"/>
        </w:numPr>
        <w:spacing w:before="240" w:after="0"/>
        <w:rPr>
          <w:b/>
          <w:bCs/>
        </w:rPr>
      </w:pPr>
      <w:bookmarkStart w:id="24" w:name="_Toc156593389"/>
      <w:r w:rsidRPr="4BDBF0A0">
        <w:rPr>
          <w:b/>
          <w:bCs/>
        </w:rPr>
        <w:t xml:space="preserve">PUBLICATION OF </w:t>
      </w:r>
      <w:bookmarkStart w:id="25" w:name="_Toc156593390"/>
      <w:bookmarkEnd w:id="24"/>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696EF0B5">
      <w:pPr>
        <w:pBdr>
          <w:top w:val="single" w:sz="6" w:space="0" w:color="FFFFFF"/>
          <w:left w:val="single" w:sz="6" w:space="0" w:color="FFFFFF"/>
          <w:bottom w:val="single" w:sz="6" w:space="0" w:color="FFFFFF"/>
          <w:right w:val="single" w:sz="6" w:space="0" w:color="FFFFFF"/>
        </w:pBdr>
        <w:rPr>
          <w:color w:val="FF0000"/>
        </w:rPr>
      </w:pPr>
      <w:r w:rsidRPr="005C7EE3">
        <w:t>Although this rule does not require electronic reporting, respondents could choose to submit notifications or reports electronically.</w:t>
      </w:r>
      <w:r w:rsidRPr="000C21A3">
        <w:rPr>
          <w:color w:val="FF0000"/>
        </w:rPr>
        <w:t xml:space="preserve"> </w:t>
      </w: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5"/>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6" w:name="_Toc156593391"/>
      <w:r w:rsidRPr="00163C69">
        <w:rPr>
          <w:rFonts w:cstheme="minorHAnsi"/>
          <w:b/>
          <w:bCs/>
        </w:rPr>
        <w:t>CERTIFICATION STATEMENT</w:t>
      </w:r>
      <w:bookmarkEnd w:id="26"/>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BB3410" w:rsidRPr="00BB3410" w:rsidP="00BB3410" w14:paraId="0F10E677" w14:textId="762C2D94">
      <w:pPr>
        <w:rPr>
          <w:rFonts w:cstheme="minorHAnsi"/>
          <w:color w:val="000000"/>
          <w:shd w:val="clear" w:color="auto" w:fill="FFFFFF"/>
        </w:rPr>
        <w:sectPr w:rsidSect="00B82E99">
          <w:footerReference w:type="default" r:id="rId10"/>
          <w:pgSz w:w="12240" w:h="15840"/>
          <w:pgMar w:top="1440" w:right="1440" w:bottom="1440" w:left="1440" w:header="720" w:footer="720" w:gutter="0"/>
          <w:cols w:space="720"/>
          <w:docGrid w:linePitch="360"/>
        </w:sectPr>
      </w:pPr>
    </w:p>
    <w:p w:rsidR="001641AA" w:rsidRPr="00B25740" w:rsidP="00816302" w14:paraId="7CE12A09" w14:textId="52144A71">
      <w:pPr>
        <w:spacing w:before="240"/>
        <w:ind w:left="-270"/>
        <w:rPr>
          <w:rFonts w:cstheme="minorHAnsi"/>
          <w:b/>
          <w:bCs/>
          <w:sz w:val="24"/>
          <w:szCs w:val="24"/>
        </w:rPr>
      </w:pPr>
      <w:r w:rsidRPr="001641AA">
        <w:rPr>
          <w:rFonts w:cstheme="minorHAnsi"/>
          <w:b/>
          <w:bCs/>
          <w:sz w:val="24"/>
          <w:szCs w:val="24"/>
        </w:rPr>
        <w:t xml:space="preserve">Table 1: Annual Respondent Burden and Cost – </w:t>
      </w:r>
      <w:r w:rsidRPr="00B25740" w:rsidR="00B25740">
        <w:rPr>
          <w:rFonts w:cstheme="minorHAnsi"/>
          <w:b/>
          <w:bCs/>
          <w:sz w:val="24"/>
          <w:szCs w:val="24"/>
        </w:rPr>
        <w:t>NESHAP for Plating and Polishing Operations (40 CFR Part 63, Subpart WWWWWW) (Renewal)</w:t>
      </w:r>
    </w:p>
    <w:tbl>
      <w:tblPr>
        <w:tblW w:w="13447" w:type="dxa"/>
        <w:tblInd w:w="-162" w:type="dxa"/>
        <w:tblLook w:val="04A0"/>
      </w:tblPr>
      <w:tblGrid>
        <w:gridCol w:w="3150"/>
        <w:gridCol w:w="1133"/>
        <w:gridCol w:w="1213"/>
        <w:gridCol w:w="1254"/>
        <w:gridCol w:w="1296"/>
        <w:gridCol w:w="1314"/>
        <w:gridCol w:w="1440"/>
        <w:gridCol w:w="1260"/>
        <w:gridCol w:w="1387"/>
      </w:tblGrid>
      <w:tr w14:paraId="0A7E5530" w14:textId="77777777" w:rsidTr="00816302">
        <w:tblPrEx>
          <w:tblW w:w="13447" w:type="dxa"/>
          <w:tblInd w:w="-162" w:type="dxa"/>
          <w:tblLook w:val="04A0"/>
        </w:tblPrEx>
        <w:trPr>
          <w:trHeight w:val="290"/>
        </w:trPr>
        <w:tc>
          <w:tcPr>
            <w:tcW w:w="31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364D4" w:rsidRPr="005120A7" w:rsidP="005364D4" w14:paraId="521F5954"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Burden item</w:t>
            </w:r>
          </w:p>
        </w:tc>
        <w:tc>
          <w:tcPr>
            <w:tcW w:w="1133"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17B2BA1E"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(A)</w:t>
            </w:r>
          </w:p>
        </w:tc>
        <w:tc>
          <w:tcPr>
            <w:tcW w:w="1213"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3E9AD921"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(B)</w:t>
            </w:r>
          </w:p>
        </w:tc>
        <w:tc>
          <w:tcPr>
            <w:tcW w:w="1254"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5588A4B9"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(C)</w:t>
            </w:r>
          </w:p>
        </w:tc>
        <w:tc>
          <w:tcPr>
            <w:tcW w:w="1296"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76242FF6"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(D)</w:t>
            </w:r>
          </w:p>
        </w:tc>
        <w:tc>
          <w:tcPr>
            <w:tcW w:w="1314"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6550D9A4"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(E)</w:t>
            </w:r>
          </w:p>
        </w:tc>
        <w:tc>
          <w:tcPr>
            <w:tcW w:w="1440"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69BA4A5B"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(F)</w:t>
            </w:r>
          </w:p>
        </w:tc>
        <w:tc>
          <w:tcPr>
            <w:tcW w:w="1260"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2AC386D6"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(G)</w:t>
            </w:r>
          </w:p>
        </w:tc>
        <w:tc>
          <w:tcPr>
            <w:tcW w:w="1387" w:type="dxa"/>
            <w:tcBorders>
              <w:top w:val="single" w:sz="4" w:space="0" w:color="auto"/>
              <w:left w:val="nil"/>
              <w:bottom w:val="single" w:sz="4" w:space="0" w:color="auto"/>
              <w:right w:val="single" w:sz="4" w:space="0" w:color="auto"/>
            </w:tcBorders>
            <w:shd w:val="clear" w:color="auto" w:fill="auto"/>
            <w:hideMark/>
          </w:tcPr>
          <w:p w:rsidR="005364D4" w:rsidRPr="005120A7" w:rsidP="005364D4" w14:paraId="2A188A4C"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(H)</w:t>
            </w:r>
          </w:p>
        </w:tc>
      </w:tr>
      <w:tr w14:paraId="0C80CF89" w14:textId="77777777" w:rsidTr="00816302">
        <w:tblPrEx>
          <w:tblW w:w="13447" w:type="dxa"/>
          <w:tblInd w:w="-162" w:type="dxa"/>
          <w:tblLook w:val="04A0"/>
        </w:tblPrEx>
        <w:trPr>
          <w:trHeight w:val="1040"/>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5364D4" w:rsidRPr="005120A7" w:rsidP="005364D4" w14:paraId="2B96C22B" w14:textId="77777777">
            <w:pPr>
              <w:spacing w:after="0" w:line="240" w:lineRule="auto"/>
              <w:rPr>
                <w:rFonts w:eastAsia="Times New Roman" w:cstheme="minorHAnsi"/>
                <w:b/>
                <w:bCs/>
                <w:color w:val="000000"/>
                <w:sz w:val="20"/>
                <w:szCs w:val="20"/>
              </w:rPr>
            </w:pPr>
          </w:p>
        </w:tc>
        <w:tc>
          <w:tcPr>
            <w:tcW w:w="1133" w:type="dxa"/>
            <w:tcBorders>
              <w:top w:val="nil"/>
              <w:left w:val="nil"/>
              <w:bottom w:val="nil"/>
              <w:right w:val="single" w:sz="4" w:space="0" w:color="auto"/>
            </w:tcBorders>
            <w:shd w:val="clear" w:color="auto" w:fill="auto"/>
            <w:vAlign w:val="center"/>
            <w:hideMark/>
          </w:tcPr>
          <w:p w:rsidR="005364D4" w:rsidRPr="005120A7" w:rsidP="005364D4" w14:paraId="51A3BA25"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Person hours per occurrence</w:t>
            </w:r>
          </w:p>
        </w:tc>
        <w:tc>
          <w:tcPr>
            <w:tcW w:w="1213" w:type="dxa"/>
            <w:tcBorders>
              <w:top w:val="nil"/>
              <w:left w:val="nil"/>
              <w:bottom w:val="nil"/>
              <w:right w:val="single" w:sz="4" w:space="0" w:color="auto"/>
            </w:tcBorders>
            <w:shd w:val="clear" w:color="auto" w:fill="auto"/>
            <w:vAlign w:val="center"/>
            <w:hideMark/>
          </w:tcPr>
          <w:p w:rsidR="005364D4" w:rsidRPr="005120A7" w:rsidP="005364D4" w14:paraId="11290512"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No. of occurrences per respondent per year</w:t>
            </w:r>
          </w:p>
        </w:tc>
        <w:tc>
          <w:tcPr>
            <w:tcW w:w="1254" w:type="dxa"/>
            <w:tcBorders>
              <w:top w:val="nil"/>
              <w:left w:val="nil"/>
              <w:bottom w:val="nil"/>
              <w:right w:val="single" w:sz="4" w:space="0" w:color="auto"/>
            </w:tcBorders>
            <w:shd w:val="clear" w:color="auto" w:fill="auto"/>
            <w:vAlign w:val="center"/>
            <w:hideMark/>
          </w:tcPr>
          <w:p w:rsidR="005364D4" w:rsidRPr="005120A7" w:rsidP="005364D4" w14:paraId="6DB43F08"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Person hours per respondent per year (C=AxB)</w:t>
            </w:r>
          </w:p>
        </w:tc>
        <w:tc>
          <w:tcPr>
            <w:tcW w:w="1296" w:type="dxa"/>
            <w:tcBorders>
              <w:top w:val="nil"/>
              <w:left w:val="nil"/>
              <w:bottom w:val="nil"/>
              <w:right w:val="single" w:sz="4" w:space="0" w:color="auto"/>
            </w:tcBorders>
            <w:shd w:val="clear" w:color="auto" w:fill="auto"/>
            <w:vAlign w:val="center"/>
            <w:hideMark/>
          </w:tcPr>
          <w:p w:rsidR="005364D4" w:rsidRPr="005120A7" w:rsidP="005364D4" w14:paraId="36E2F84A" w14:textId="4E3BC414">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Respondents per year</w:t>
            </w:r>
            <w:r w:rsidRPr="005120A7" w:rsidR="007323E5">
              <w:rPr>
                <w:rFonts w:eastAsia="Times New Roman" w:cstheme="minorHAnsi"/>
                <w:b/>
                <w:bCs/>
                <w:color w:val="000000"/>
                <w:sz w:val="20"/>
                <w:szCs w:val="20"/>
                <w:vertAlign w:val="superscript"/>
              </w:rPr>
              <w:t>a</w:t>
            </w:r>
          </w:p>
        </w:tc>
        <w:tc>
          <w:tcPr>
            <w:tcW w:w="1314" w:type="dxa"/>
            <w:tcBorders>
              <w:top w:val="nil"/>
              <w:left w:val="nil"/>
              <w:bottom w:val="nil"/>
              <w:right w:val="single" w:sz="4" w:space="0" w:color="auto"/>
            </w:tcBorders>
            <w:shd w:val="clear" w:color="auto" w:fill="auto"/>
            <w:vAlign w:val="center"/>
            <w:hideMark/>
          </w:tcPr>
          <w:p w:rsidR="005364D4" w:rsidRPr="005120A7" w:rsidP="005364D4" w14:paraId="3C5BF564"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Technical person- hours per year (E=CxD)</w:t>
            </w:r>
          </w:p>
        </w:tc>
        <w:tc>
          <w:tcPr>
            <w:tcW w:w="1440" w:type="dxa"/>
            <w:tcBorders>
              <w:top w:val="nil"/>
              <w:left w:val="nil"/>
              <w:bottom w:val="nil"/>
              <w:right w:val="single" w:sz="4" w:space="0" w:color="auto"/>
            </w:tcBorders>
            <w:shd w:val="clear" w:color="auto" w:fill="auto"/>
            <w:vAlign w:val="center"/>
            <w:hideMark/>
          </w:tcPr>
          <w:p w:rsidR="005364D4" w:rsidRPr="005120A7" w:rsidP="005364D4" w14:paraId="2EE1D43F"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Management person hours per year (Ex0.05)</w:t>
            </w:r>
          </w:p>
        </w:tc>
        <w:tc>
          <w:tcPr>
            <w:tcW w:w="1260" w:type="dxa"/>
            <w:tcBorders>
              <w:top w:val="nil"/>
              <w:left w:val="nil"/>
              <w:bottom w:val="nil"/>
              <w:right w:val="single" w:sz="4" w:space="0" w:color="auto"/>
            </w:tcBorders>
            <w:shd w:val="clear" w:color="auto" w:fill="auto"/>
            <w:vAlign w:val="center"/>
            <w:hideMark/>
          </w:tcPr>
          <w:p w:rsidR="005364D4" w:rsidRPr="005120A7" w:rsidP="005364D4" w14:paraId="28984357"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Clerical person hours per year (Ex0.1)</w:t>
            </w:r>
          </w:p>
        </w:tc>
        <w:tc>
          <w:tcPr>
            <w:tcW w:w="1387" w:type="dxa"/>
            <w:tcBorders>
              <w:top w:val="nil"/>
              <w:left w:val="nil"/>
              <w:bottom w:val="nil"/>
              <w:right w:val="single" w:sz="4" w:space="0" w:color="auto"/>
            </w:tcBorders>
            <w:shd w:val="clear" w:color="auto" w:fill="auto"/>
            <w:vAlign w:val="center"/>
            <w:hideMark/>
          </w:tcPr>
          <w:p w:rsidR="005364D4" w:rsidRPr="005120A7" w:rsidP="005364D4" w14:paraId="745C1AE6" w14:textId="3CA6118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 xml:space="preserve">Total Cost </w:t>
            </w:r>
            <w:r w:rsidRPr="005120A7">
              <w:rPr>
                <w:rFonts w:eastAsia="Times New Roman" w:cstheme="minorHAnsi"/>
                <w:b/>
                <w:bCs/>
                <w:color w:val="000000"/>
                <w:sz w:val="20"/>
                <w:szCs w:val="20"/>
              </w:rPr>
              <w:br/>
              <w:t xml:space="preserve">Per year </w:t>
            </w:r>
            <w:r w:rsidR="007323E5">
              <w:rPr>
                <w:rFonts w:eastAsia="Times New Roman" w:cstheme="minorHAnsi"/>
                <w:b/>
                <w:bCs/>
                <w:color w:val="000000"/>
                <w:sz w:val="20"/>
                <w:szCs w:val="20"/>
                <w:vertAlign w:val="superscript"/>
              </w:rPr>
              <w:t>b</w:t>
            </w:r>
          </w:p>
        </w:tc>
      </w:tr>
      <w:tr w14:paraId="77ABCAE9" w14:textId="77777777" w:rsidTr="00816302">
        <w:tblPrEx>
          <w:tblW w:w="13447" w:type="dxa"/>
          <w:tblInd w:w="-162" w:type="dxa"/>
          <w:tblLook w:val="04A0"/>
        </w:tblPrEx>
        <w:trPr>
          <w:trHeight w:val="290"/>
        </w:trPr>
        <w:tc>
          <w:tcPr>
            <w:tcW w:w="3150" w:type="dxa"/>
            <w:tcBorders>
              <w:top w:val="single" w:sz="4" w:space="0" w:color="auto"/>
              <w:left w:val="single" w:sz="4" w:space="0" w:color="auto"/>
              <w:bottom w:val="single" w:sz="4" w:space="0" w:color="auto"/>
              <w:right w:val="single" w:sz="4" w:space="0" w:color="auto"/>
            </w:tcBorders>
            <w:shd w:val="clear" w:color="auto" w:fill="auto"/>
            <w:hideMark/>
          </w:tcPr>
          <w:p w:rsidR="005364D4" w:rsidRPr="005120A7" w:rsidP="005364D4" w14:paraId="44A6767D" w14:textId="5A16B435">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1.</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Applications</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411C6A5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7A281F4F" w14:textId="43EB12B0">
            <w:pPr>
              <w:spacing w:after="0" w:line="240" w:lineRule="auto"/>
              <w:jc w:val="center"/>
              <w:rPr>
                <w:rFonts w:eastAsia="Times New Roman" w:cstheme="minorHAnsi"/>
                <w:color w:val="000000"/>
                <w:sz w:val="20"/>
                <w:szCs w:val="20"/>
              </w:rPr>
            </w:pP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70461122" w14:textId="2C38BFE2">
            <w:pPr>
              <w:spacing w:after="0" w:line="240" w:lineRule="auto"/>
              <w:jc w:val="center"/>
              <w:rPr>
                <w:rFonts w:eastAsia="Times New Roman" w:cstheme="minorHAnsi"/>
                <w:color w:val="000000"/>
                <w:sz w:val="20"/>
                <w:szCs w:val="20"/>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4B0C33DF" w14:textId="182601B1">
            <w:pPr>
              <w:spacing w:after="0" w:line="240" w:lineRule="auto"/>
              <w:jc w:val="center"/>
              <w:rPr>
                <w:rFonts w:eastAsia="Times New Roman" w:cstheme="minorHAnsi"/>
                <w:color w:val="000000"/>
                <w:sz w:val="20"/>
                <w:szCs w:val="20"/>
              </w:rPr>
            </w:pP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2E2EC8DB" w14:textId="051BACCF">
            <w:pPr>
              <w:spacing w:after="0" w:line="240" w:lineRule="auto"/>
              <w:jc w:val="center"/>
              <w:rPr>
                <w:rFonts w:eastAsia="Times New Roman" w:cstheme="minorHAnsi"/>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53DC410A" w14:textId="11C13BF2">
            <w:pPr>
              <w:spacing w:after="0" w:line="240" w:lineRule="auto"/>
              <w:jc w:val="center"/>
              <w:rPr>
                <w:rFonts w:eastAsia="Times New Roman" w:cstheme="minorHAnsi"/>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43B80169" w14:textId="3D2575FA">
            <w:pPr>
              <w:spacing w:after="0" w:line="240" w:lineRule="auto"/>
              <w:jc w:val="center"/>
              <w:rPr>
                <w:rFonts w:eastAsia="Times New Roman" w:cstheme="minorHAnsi"/>
                <w:color w:val="000000"/>
                <w:sz w:val="20"/>
                <w:szCs w:val="20"/>
              </w:rPr>
            </w:pP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051AFEC0"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0D0CD02F"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14945192" w14:textId="5496C4F2">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2.</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Surveys and Studies</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90A0A82"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141E71B" w14:textId="612BC119">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84BD465" w14:textId="669BCEA5">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01FFB83" w14:textId="025385BC">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6009BBF" w14:textId="593E1F17">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063A8FB" w14:textId="3F3B8C20">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A5680AB" w14:textId="6A7B7F24">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3931802"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54C37621" w14:textId="77777777" w:rsidTr="00816302">
        <w:tblPrEx>
          <w:tblW w:w="13447" w:type="dxa"/>
          <w:tblInd w:w="-162" w:type="dxa"/>
          <w:tblLook w:val="04A0"/>
        </w:tblPrEx>
        <w:trPr>
          <w:trHeight w:val="52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3F9B4B2E" w14:textId="3F541D64">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3.</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Acquisition, Installation, and Utilization of Technology and Systems</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39FEEB7"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995B580" w14:textId="1EC967EA">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F60D33B" w14:textId="2FA43BB3">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0944F35" w14:textId="4A9304A3">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4AF76C0" w14:textId="0525CD6A">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A6B7D11" w14:textId="16461A13">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8A9BC6F" w14:textId="1A631815">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2AEBE33"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5F574088"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6997B464" w14:textId="0D08938B">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4.</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Reporting Requirements</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BF04973" w14:textId="669F948D">
            <w:pPr>
              <w:spacing w:after="0" w:line="240" w:lineRule="auto"/>
              <w:jc w:val="center"/>
              <w:rPr>
                <w:rFonts w:eastAsia="Times New Roman" w:cstheme="minorHAnsi"/>
                <w:color w:val="000000"/>
                <w:sz w:val="20"/>
                <w:szCs w:val="20"/>
              </w:rPr>
            </w:pP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C3EBAE9" w14:textId="1312C489">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D95597C" w14:textId="520A710B">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5969F8D" w14:textId="759F9274">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E738BDB" w14:textId="05C255B8">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1C95422" w14:textId="0B5F24C7">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3AD74B2" w14:textId="5C128ADB">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0628A10"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5284E9FB" w14:textId="77777777" w:rsidTr="00816302">
        <w:tblPrEx>
          <w:tblW w:w="13447" w:type="dxa"/>
          <w:tblInd w:w="-162" w:type="dxa"/>
          <w:tblLook w:val="04A0"/>
        </w:tblPrEx>
        <w:trPr>
          <w:trHeight w:val="57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31538E81" w14:textId="51C4F4D2">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A.</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 xml:space="preserve">Familiarization with Regulatory Requirements </w:t>
            </w:r>
            <w:r w:rsidR="000E2B7C">
              <w:rPr>
                <w:rFonts w:eastAsia="Times New Roman" w:cstheme="minorHAnsi"/>
                <w:color w:val="000000"/>
                <w:sz w:val="20"/>
                <w:szCs w:val="20"/>
                <w:vertAlign w:val="superscript"/>
              </w:rPr>
              <w:t>c</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D8EBEB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8370969"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270CB1A"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C2C62A4"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2,900</w:t>
            </w: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DD0D7EA"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2,900</w:t>
            </w: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FF7F78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6E0203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F405836"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xml:space="preserve">$456,768.85 </w:t>
            </w:r>
          </w:p>
        </w:tc>
      </w:tr>
      <w:tr w14:paraId="31A089F2"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50111E45" w14:textId="7D55893E">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B.</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Required activities</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BC31FF9" w14:textId="4E65E5F9">
            <w:pPr>
              <w:spacing w:after="0" w:line="240" w:lineRule="auto"/>
              <w:jc w:val="center"/>
              <w:rPr>
                <w:rFonts w:eastAsia="Times New Roman" w:cstheme="minorHAnsi"/>
                <w:color w:val="000000"/>
                <w:sz w:val="20"/>
                <w:szCs w:val="20"/>
              </w:rPr>
            </w:pP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7AE644E" w14:textId="3634694F">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84ADDCE" w14:textId="13B8CC1A">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B2BD6AB" w14:textId="337AB11A">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BD725C1" w14:textId="04E8FA01">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7D02978" w14:textId="78CBBDBE">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7D39797" w14:textId="3B3B29DE">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B6B6223"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0EC74CD5" w14:textId="77777777" w:rsidTr="00816302">
        <w:tblPrEx>
          <w:tblW w:w="13447" w:type="dxa"/>
          <w:tblInd w:w="-162" w:type="dxa"/>
          <w:tblLook w:val="04A0"/>
        </w:tblPrEx>
        <w:trPr>
          <w:trHeight w:val="31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76D8C959" w14:textId="0BF10F02">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xml:space="preserve"> </w:t>
            </w:r>
            <w:r w:rsidRPr="005120A7">
              <w:rPr>
                <w:rFonts w:eastAsia="Times New Roman" w:cstheme="minorHAnsi"/>
                <w:color w:val="000000"/>
                <w:sz w:val="20"/>
                <w:szCs w:val="20"/>
              </w:rPr>
              <w:t xml:space="preserve">Initial Notification of applicability </w:t>
            </w:r>
            <w:r w:rsidR="00A9506C">
              <w:rPr>
                <w:rFonts w:eastAsia="Times New Roman" w:cstheme="minorHAnsi"/>
                <w:color w:val="000000"/>
                <w:sz w:val="20"/>
                <w:szCs w:val="20"/>
                <w:vertAlign w:val="superscript"/>
              </w:rPr>
              <w:t>d</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5B163A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147DA8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C981C94"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28D2CEF"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D01BE7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6F5B04E"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A79739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053ED66"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xml:space="preserve">$0 </w:t>
            </w:r>
          </w:p>
        </w:tc>
      </w:tr>
      <w:tr w14:paraId="6884AE05" w14:textId="77777777" w:rsidTr="00816302">
        <w:tblPrEx>
          <w:tblW w:w="13447" w:type="dxa"/>
          <w:tblInd w:w="-162" w:type="dxa"/>
          <w:tblLook w:val="04A0"/>
        </w:tblPrEx>
        <w:trPr>
          <w:trHeight w:val="31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0EDB34A4" w14:textId="67F846FB">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xml:space="preserve"> </w:t>
            </w:r>
            <w:r w:rsidRPr="005120A7">
              <w:rPr>
                <w:rFonts w:eastAsia="Times New Roman" w:cstheme="minorHAnsi"/>
                <w:color w:val="000000"/>
                <w:sz w:val="20"/>
                <w:szCs w:val="20"/>
              </w:rPr>
              <w:t xml:space="preserve">Notification of Compliance Status </w:t>
            </w:r>
            <w:r w:rsidR="00A9506C">
              <w:rPr>
                <w:rFonts w:eastAsia="Times New Roman" w:cstheme="minorHAnsi"/>
                <w:color w:val="000000"/>
                <w:sz w:val="20"/>
                <w:szCs w:val="20"/>
                <w:vertAlign w:val="superscript"/>
              </w:rPr>
              <w:t>e</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A7F1FF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4</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9FA1CE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B33790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4</w:t>
            </w: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0B7A4DE"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03C9484"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F1A6ACF"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38085C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4980F02"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xml:space="preserve">$0 </w:t>
            </w:r>
          </w:p>
        </w:tc>
      </w:tr>
      <w:tr w14:paraId="4245AC5B" w14:textId="77777777" w:rsidTr="00816302">
        <w:tblPrEx>
          <w:tblW w:w="13447" w:type="dxa"/>
          <w:tblInd w:w="-162" w:type="dxa"/>
          <w:tblLook w:val="04A0"/>
        </w:tblPrEx>
        <w:trPr>
          <w:trHeight w:val="31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4514DE0B" w14:textId="3AC8059E">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xml:space="preserve"> </w:t>
            </w:r>
            <w:r w:rsidRPr="005120A7">
              <w:rPr>
                <w:rFonts w:eastAsia="Times New Roman" w:cstheme="minorHAnsi"/>
                <w:color w:val="000000"/>
                <w:sz w:val="20"/>
                <w:szCs w:val="20"/>
              </w:rPr>
              <w:t xml:space="preserve">Annual Compliance Certification </w:t>
            </w:r>
            <w:r w:rsidR="00A9506C">
              <w:rPr>
                <w:rFonts w:eastAsia="Times New Roman" w:cstheme="minorHAnsi"/>
                <w:color w:val="000000"/>
                <w:sz w:val="20"/>
                <w:szCs w:val="20"/>
                <w:vertAlign w:val="superscript"/>
              </w:rPr>
              <w:t>f</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C9718DF"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BA20AC9"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284B0CF"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77FF5B3"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2,900</w:t>
            </w: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301C1A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5,800</w:t>
            </w: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56ECD2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w:t>
            </w: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6C2295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580</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1B7C677"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xml:space="preserve">$913,537.70 </w:t>
            </w:r>
          </w:p>
        </w:tc>
      </w:tr>
      <w:tr w14:paraId="4549FD61" w14:textId="77777777" w:rsidTr="00816302">
        <w:tblPrEx>
          <w:tblW w:w="13447" w:type="dxa"/>
          <w:tblInd w:w="-162" w:type="dxa"/>
          <w:tblLook w:val="04A0"/>
        </w:tblPrEx>
        <w:trPr>
          <w:trHeight w:val="31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05F1F2D5" w14:textId="16ED4A02">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xml:space="preserve"> </w:t>
            </w:r>
            <w:r w:rsidRPr="005120A7">
              <w:rPr>
                <w:rFonts w:eastAsia="Times New Roman" w:cstheme="minorHAnsi"/>
                <w:color w:val="000000"/>
                <w:sz w:val="20"/>
                <w:szCs w:val="20"/>
              </w:rPr>
              <w:t xml:space="preserve">Annual Report of Deviations </w:t>
            </w:r>
            <w:r w:rsidR="00A9506C">
              <w:rPr>
                <w:rFonts w:eastAsia="Times New Roman" w:cstheme="minorHAnsi"/>
                <w:color w:val="000000"/>
                <w:sz w:val="20"/>
                <w:szCs w:val="20"/>
                <w:vertAlign w:val="superscript"/>
              </w:rPr>
              <w:t>g</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DFD8BB4"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2E5465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0C767A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CE0E7A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B23FE62"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w:t>
            </w: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EE2D41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EEF2BB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86C7ED2"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xml:space="preserve">$45,676.89 </w:t>
            </w:r>
          </w:p>
        </w:tc>
      </w:tr>
      <w:tr w14:paraId="638C3B8C"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428A49D4" w14:textId="3509B9CA">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C.</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Create information</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E3F30D1"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See 4B</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940A3DB" w14:textId="67C20FA0">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FDAF1E8" w14:textId="1ADE4F22">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D7F39F5" w14:textId="5D8E954E">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4DF3C67" w14:textId="4202B5E4">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31D1170" w14:textId="7D08BC86">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D32BD3E" w14:textId="53355292">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E92DF44"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20C17A23"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15D54FD7" w14:textId="36BC80F8">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D.</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Gather existing information</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364A6C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See 4B</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75DDDB5" w14:textId="3FAD887A">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70F26F2" w14:textId="7F597733">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B55E29E" w14:textId="263ED94A">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8E36C8F" w14:textId="5422A5CD">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7C8ADBF" w14:textId="503F92F9">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8BE65B4" w14:textId="31F62AB5">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B50AB1E"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0A48EE8E"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39775B32" w14:textId="0DA4759F">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E.</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Write report</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2F255C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See 4B</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5D140C8" w14:textId="4BD129D6">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7AF06CF" w14:textId="323EC68B">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0A4F7FC" w14:textId="2D538722">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3CA4EA5" w14:textId="7873E583">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337F073" w14:textId="1138BB58">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41043D1" w14:textId="4877D00C">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F06932D"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5D006984"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2AF482D2" w14:textId="77777777">
            <w:pPr>
              <w:spacing w:after="0" w:line="240" w:lineRule="auto"/>
              <w:rPr>
                <w:rFonts w:eastAsia="Times New Roman" w:cstheme="minorHAnsi"/>
                <w:b/>
                <w:bCs/>
                <w:i/>
                <w:iCs/>
                <w:color w:val="000000"/>
                <w:sz w:val="20"/>
                <w:szCs w:val="20"/>
              </w:rPr>
            </w:pPr>
            <w:r w:rsidRPr="005120A7">
              <w:rPr>
                <w:rFonts w:eastAsia="Times New Roman" w:cstheme="minorHAnsi"/>
                <w:b/>
                <w:bCs/>
                <w:i/>
                <w:iCs/>
                <w:color w:val="000000"/>
                <w:sz w:val="20"/>
                <w:szCs w:val="20"/>
              </w:rPr>
              <w:t>Reporting Subtotal</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14B85D7" w14:textId="3775353A">
            <w:pPr>
              <w:spacing w:after="0" w:line="240" w:lineRule="auto"/>
              <w:jc w:val="center"/>
              <w:rPr>
                <w:rFonts w:eastAsia="Times New Roman" w:cstheme="minorHAnsi"/>
                <w:color w:val="000000"/>
                <w:sz w:val="20"/>
                <w:szCs w:val="20"/>
              </w:rPr>
            </w:pP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95A2A86" w14:textId="2687B5E2">
            <w:pPr>
              <w:spacing w:after="0" w:line="240" w:lineRule="auto"/>
              <w:jc w:val="center"/>
              <w:rPr>
                <w:rFonts w:eastAsia="Times New Roman" w:cstheme="minorHAnsi"/>
                <w:color w:val="00000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31E30F9" w14:textId="3F596157">
            <w:pPr>
              <w:spacing w:after="0" w:line="240" w:lineRule="auto"/>
              <w:jc w:val="center"/>
              <w:rPr>
                <w:rFonts w:eastAsia="Times New Roman" w:cstheme="minorHAnsi"/>
                <w:color w:val="00000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8497AAD" w14:textId="62F80FF5">
            <w:pPr>
              <w:spacing w:after="0" w:line="240" w:lineRule="auto"/>
              <w:jc w:val="center"/>
              <w:rPr>
                <w:rFonts w:eastAsia="Times New Roman" w:cstheme="minorHAnsi"/>
                <w:color w:val="000000"/>
              </w:rPr>
            </w:pPr>
          </w:p>
        </w:tc>
        <w:tc>
          <w:tcPr>
            <w:tcW w:w="4014" w:type="dxa"/>
            <w:gridSpan w:val="3"/>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15F41DDC" w14:textId="77777777">
            <w:pPr>
              <w:spacing w:after="0" w:line="240" w:lineRule="auto"/>
              <w:jc w:val="center"/>
              <w:rPr>
                <w:rFonts w:eastAsia="Times New Roman" w:cstheme="minorHAnsi"/>
                <w:b/>
                <w:bCs/>
                <w:i/>
                <w:iCs/>
                <w:color w:val="000000"/>
                <w:sz w:val="20"/>
                <w:szCs w:val="20"/>
              </w:rPr>
            </w:pPr>
            <w:r w:rsidRPr="005120A7">
              <w:rPr>
                <w:rFonts w:eastAsia="Times New Roman" w:cstheme="minorHAnsi"/>
                <w:b/>
                <w:bCs/>
                <w:i/>
                <w:iCs/>
                <w:color w:val="000000"/>
                <w:sz w:val="20"/>
                <w:szCs w:val="20"/>
              </w:rPr>
              <w:t>10,339</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12A40AF" w14:textId="77777777">
            <w:pPr>
              <w:spacing w:after="0" w:line="240" w:lineRule="auto"/>
              <w:jc w:val="right"/>
              <w:rPr>
                <w:rFonts w:eastAsia="Times New Roman" w:cstheme="minorHAnsi"/>
                <w:b/>
                <w:bCs/>
                <w:i/>
                <w:iCs/>
                <w:color w:val="000000"/>
                <w:sz w:val="20"/>
                <w:szCs w:val="20"/>
              </w:rPr>
            </w:pPr>
            <w:r w:rsidRPr="005120A7">
              <w:rPr>
                <w:rFonts w:eastAsia="Times New Roman" w:cstheme="minorHAnsi"/>
                <w:b/>
                <w:bCs/>
                <w:i/>
                <w:iCs/>
                <w:color w:val="000000"/>
                <w:sz w:val="20"/>
                <w:szCs w:val="20"/>
              </w:rPr>
              <w:t xml:space="preserve">$1,415,983 </w:t>
            </w:r>
          </w:p>
        </w:tc>
      </w:tr>
      <w:tr w14:paraId="0D89B330"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73DCD507" w14:textId="4D8CED5A">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5.</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 xml:space="preserve">Recordkeeping Requirements </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9E552D8" w14:textId="61892389">
            <w:pPr>
              <w:spacing w:after="0" w:line="240" w:lineRule="auto"/>
              <w:jc w:val="center"/>
              <w:rPr>
                <w:rFonts w:eastAsia="Times New Roman" w:cstheme="minorHAnsi"/>
                <w:color w:val="000000"/>
                <w:sz w:val="20"/>
                <w:szCs w:val="20"/>
              </w:rPr>
            </w:pP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DA8187C" w14:textId="6525306F">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4C03C2A" w14:textId="5EC00137">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DD0FF7C" w14:textId="06FB9498">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5E604ED" w14:textId="7C803720">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457B983" w14:textId="5DCFB165">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474A006" w14:textId="03D569C1">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92BB9F5"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7045A5B7" w14:textId="77777777" w:rsidTr="00816302">
        <w:tblPrEx>
          <w:tblW w:w="13447" w:type="dxa"/>
          <w:tblInd w:w="-162" w:type="dxa"/>
          <w:tblLook w:val="04A0"/>
        </w:tblPrEx>
        <w:trPr>
          <w:trHeight w:val="52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76AC0157" w14:textId="1D693434">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A.</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Familiarization with Regulatory Requirements</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FBC5CB1"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See 4A</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83CD655" w14:textId="2D46C078">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0F7412A" w14:textId="0E528DA5">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88BAA44" w14:textId="1010A273">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10FF3E2" w14:textId="6934CF65">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C0BDE45" w14:textId="2A0549AF">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E5AED9B" w14:textId="27E878F2">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15A4CEB"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27C8A19E"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3AF34F39" w14:textId="0DBCA51D">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B.</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Plan activities</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3330D5C"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See 5E</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894391E" w14:textId="1C74A280">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96024AA" w14:textId="418AC006">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86B75D6" w14:textId="02F57083">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D9451AF" w14:textId="1CEA0C43">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E0E703A" w14:textId="59E5226F">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AF4501E" w14:textId="4666E0BA">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9B249DE"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3A580EB2"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single" w:sz="4" w:space="0" w:color="auto"/>
            </w:tcBorders>
            <w:shd w:val="clear" w:color="auto" w:fill="auto"/>
            <w:hideMark/>
          </w:tcPr>
          <w:p w:rsidR="005364D4" w:rsidRPr="005120A7" w:rsidP="005364D4" w14:paraId="56ECE750" w14:textId="22C42474">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C.</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Implement activities</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972DBC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See 5E</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6653FF9" w14:textId="73C828B1">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5540A87" w14:textId="60CE086F">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4249311" w14:textId="5B266729">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A2ACB98" w14:textId="6B506BC1">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6D14694" w14:textId="0742BF7B">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58D9D17" w14:textId="26B8889C">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4D068FA"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6E1EFF39"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nil"/>
            </w:tcBorders>
            <w:shd w:val="clear" w:color="auto" w:fill="auto"/>
            <w:hideMark/>
          </w:tcPr>
          <w:p w:rsidR="005364D4" w:rsidRPr="005120A7" w:rsidP="005364D4" w14:paraId="5F388E44" w14:textId="643A1342">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D.</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Develop record system</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17B6AB1C"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See 5E</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5CF13EF" w14:textId="105D819F">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43C8B99" w14:textId="6E426609">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1C422E8" w14:textId="045146BB">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C7BEC34" w14:textId="3D13374B">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921837F" w14:textId="253D1D67">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5BE7BAC" w14:textId="349DB423">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79B5BD7"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2BFD559D"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nil"/>
            </w:tcBorders>
            <w:shd w:val="clear" w:color="auto" w:fill="auto"/>
            <w:hideMark/>
          </w:tcPr>
          <w:p w:rsidR="005364D4" w:rsidRPr="005120A7" w:rsidP="00816302" w14:paraId="36322FC9" w14:textId="113F360D">
            <w:pPr>
              <w:spacing w:after="0" w:line="240" w:lineRule="auto"/>
              <w:ind w:left="-105"/>
              <w:rPr>
                <w:rFonts w:eastAsia="Times New Roman" w:cstheme="minorHAnsi"/>
                <w:color w:val="000000"/>
                <w:sz w:val="20"/>
                <w:szCs w:val="20"/>
              </w:rPr>
            </w:pPr>
            <w:r w:rsidRPr="005120A7">
              <w:rPr>
                <w:rFonts w:eastAsia="Times New Roman" w:cstheme="minorHAnsi"/>
                <w:color w:val="000000"/>
                <w:sz w:val="20"/>
                <w:szCs w:val="20"/>
              </w:rPr>
              <w:t>E.</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Time to enter information</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3E5FF21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1D6F516" w14:textId="211473A4">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E84FE39" w14:textId="28A514A6">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F199126" w14:textId="6015F560">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2E23160" w14:textId="4573523F">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A8D1028" w14:textId="742703B7">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0B1B808" w14:textId="17C6729A">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CEDDB27"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6F907758" w14:textId="77777777" w:rsidTr="00816302">
        <w:tblPrEx>
          <w:tblW w:w="13447" w:type="dxa"/>
          <w:tblInd w:w="-162" w:type="dxa"/>
          <w:tblLook w:val="04A0"/>
        </w:tblPrEx>
        <w:trPr>
          <w:trHeight w:val="570"/>
        </w:trPr>
        <w:tc>
          <w:tcPr>
            <w:tcW w:w="3150" w:type="dxa"/>
            <w:tcBorders>
              <w:top w:val="nil"/>
              <w:left w:val="single" w:sz="4" w:space="0" w:color="auto"/>
              <w:bottom w:val="single" w:sz="4" w:space="0" w:color="auto"/>
              <w:right w:val="nil"/>
            </w:tcBorders>
            <w:shd w:val="clear" w:color="auto" w:fill="auto"/>
            <w:hideMark/>
          </w:tcPr>
          <w:p w:rsidR="005364D4" w:rsidRPr="005120A7" w:rsidP="005364D4" w14:paraId="30CA37D6" w14:textId="181C084E">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xml:space="preserve"> </w:t>
            </w:r>
            <w:r w:rsidRPr="005120A7">
              <w:rPr>
                <w:rFonts w:eastAsia="Times New Roman" w:cstheme="minorHAnsi"/>
                <w:color w:val="000000"/>
                <w:sz w:val="20"/>
                <w:szCs w:val="20"/>
              </w:rPr>
              <w:t xml:space="preserve">Records of all information required by standards </w:t>
            </w:r>
            <w:r w:rsidR="001922D5">
              <w:rPr>
                <w:rFonts w:eastAsia="Times New Roman" w:cstheme="minorHAnsi"/>
                <w:color w:val="000000"/>
                <w:sz w:val="20"/>
                <w:szCs w:val="20"/>
                <w:vertAlign w:val="superscript"/>
              </w:rPr>
              <w:t>h</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58CCD16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0.33</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489386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52</w:t>
            </w: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F4589CE"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17.16</w:t>
            </w: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9C47B22"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2,900</w:t>
            </w: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1B46BEA"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49,764</w:t>
            </w: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19CE26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2,488.2</w:t>
            </w: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AA7311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4,976.4</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B12E965"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xml:space="preserve">$7,838,153.47 </w:t>
            </w:r>
          </w:p>
        </w:tc>
      </w:tr>
      <w:tr w14:paraId="6EC61B28"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nil"/>
            </w:tcBorders>
            <w:shd w:val="clear" w:color="auto" w:fill="auto"/>
            <w:hideMark/>
          </w:tcPr>
          <w:p w:rsidR="005364D4" w:rsidRPr="005120A7" w:rsidP="005364D4" w14:paraId="143F58E4" w14:textId="1716E653">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F.</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Time to train personnel</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5D41E849"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47920F8" w14:textId="33273FCF">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5F2ABDF" w14:textId="03C7B514">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9B88BC9" w14:textId="1F7A81AE">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7D78EF0" w14:textId="39CDB9A4">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3935CD6" w14:textId="2457A2B8">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75D5ACE" w14:textId="510A3406">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3715B3D"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0B7B3BCC" w14:textId="77777777" w:rsidTr="00816302">
        <w:tblPrEx>
          <w:tblW w:w="13447" w:type="dxa"/>
          <w:tblInd w:w="-162" w:type="dxa"/>
          <w:tblLook w:val="04A0"/>
        </w:tblPrEx>
        <w:trPr>
          <w:trHeight w:val="780"/>
        </w:trPr>
        <w:tc>
          <w:tcPr>
            <w:tcW w:w="3150" w:type="dxa"/>
            <w:tcBorders>
              <w:top w:val="nil"/>
              <w:left w:val="single" w:sz="4" w:space="0" w:color="auto"/>
              <w:bottom w:val="single" w:sz="4" w:space="0" w:color="auto"/>
              <w:right w:val="nil"/>
            </w:tcBorders>
            <w:shd w:val="clear" w:color="auto" w:fill="auto"/>
            <w:hideMark/>
          </w:tcPr>
          <w:p w:rsidR="005364D4" w:rsidRPr="005120A7" w:rsidP="005364D4" w14:paraId="410CD23B" w14:textId="53FBBFBC">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G.</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Time to adjust existing ways to comply with previously applicable requirements</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23E9EF49"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08D92CB" w14:textId="0F7AB974">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2455654" w14:textId="72294080">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90DB387" w14:textId="339C5288">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DAD01CF" w14:textId="0F16F1C4">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12B2BC7" w14:textId="7E45B52E">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03B595F" w14:textId="5344A2C4">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FE05073"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79606BFE" w14:textId="77777777" w:rsidTr="00816302">
        <w:tblPrEx>
          <w:tblW w:w="13447" w:type="dxa"/>
          <w:tblInd w:w="-162" w:type="dxa"/>
          <w:tblLook w:val="04A0"/>
        </w:tblPrEx>
        <w:trPr>
          <w:trHeight w:val="570"/>
        </w:trPr>
        <w:tc>
          <w:tcPr>
            <w:tcW w:w="3150" w:type="dxa"/>
            <w:tcBorders>
              <w:top w:val="nil"/>
              <w:left w:val="single" w:sz="4" w:space="0" w:color="auto"/>
              <w:bottom w:val="single" w:sz="4" w:space="0" w:color="auto"/>
              <w:right w:val="nil"/>
            </w:tcBorders>
            <w:shd w:val="clear" w:color="auto" w:fill="auto"/>
            <w:hideMark/>
          </w:tcPr>
          <w:p w:rsidR="005364D4" w:rsidRPr="005120A7" w:rsidP="005364D4" w14:paraId="11B1C9DE" w14:textId="067751F6">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H.</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 xml:space="preserve">Time to transmit or disclose information </w:t>
            </w:r>
            <w:r w:rsidR="001922D5">
              <w:rPr>
                <w:rFonts w:eastAsia="Times New Roman" w:cstheme="minorHAnsi"/>
                <w:color w:val="000000"/>
                <w:sz w:val="20"/>
                <w:szCs w:val="20"/>
                <w:vertAlign w:val="superscript"/>
              </w:rPr>
              <w:t>i</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6C9A0B6F"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0.25</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CB58D9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C05EC32"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0.25</w:t>
            </w: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A42E3E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290</w:t>
            </w: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32DCF1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72.5</w:t>
            </w: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F6D70D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3.63</w:t>
            </w: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48F4572"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7.25</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767EF9E"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xml:space="preserve">$11,419.22 </w:t>
            </w:r>
          </w:p>
        </w:tc>
      </w:tr>
      <w:tr w14:paraId="46D0F087"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nil"/>
            </w:tcBorders>
            <w:shd w:val="clear" w:color="auto" w:fill="auto"/>
            <w:hideMark/>
          </w:tcPr>
          <w:p w:rsidR="005364D4" w:rsidRPr="005120A7" w:rsidP="005364D4" w14:paraId="031BE930" w14:textId="156B0532">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I.</w:t>
            </w:r>
            <w:r w:rsidRPr="005120A7" w:rsidR="002C7322">
              <w:rPr>
                <w:rFonts w:eastAsia="Times New Roman" w:cstheme="minorHAnsi"/>
                <w:color w:val="000000"/>
                <w:sz w:val="20"/>
                <w:szCs w:val="20"/>
              </w:rPr>
              <w:t xml:space="preserve"> </w:t>
            </w:r>
            <w:r w:rsidRPr="005120A7">
              <w:rPr>
                <w:rFonts w:eastAsia="Times New Roman" w:cstheme="minorHAnsi"/>
                <w:color w:val="000000"/>
                <w:sz w:val="20"/>
                <w:szCs w:val="20"/>
              </w:rPr>
              <w:t>Time for audits</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60CD77EE"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57EC6B8" w14:textId="0B251931">
            <w:pPr>
              <w:spacing w:after="0" w:line="240" w:lineRule="auto"/>
              <w:jc w:val="center"/>
              <w:rPr>
                <w:rFonts w:eastAsia="Times New Roman" w:cstheme="minorHAnsi"/>
                <w:color w:val="000000"/>
                <w:sz w:val="20"/>
                <w:szCs w:val="2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B9A68D9" w14:textId="29441411">
            <w:pPr>
              <w:spacing w:after="0" w:line="240" w:lineRule="auto"/>
              <w:jc w:val="center"/>
              <w:rPr>
                <w:rFonts w:eastAsia="Times New Roman" w:cstheme="minorHAnsi"/>
                <w:color w:val="000000"/>
                <w:sz w:val="20"/>
                <w:szCs w:val="2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5DB504CD" w14:textId="33C28A8C">
            <w:pPr>
              <w:spacing w:after="0" w:line="240" w:lineRule="auto"/>
              <w:jc w:val="center"/>
              <w:rPr>
                <w:rFonts w:eastAsia="Times New Roman" w:cstheme="minorHAnsi"/>
                <w:color w:val="000000"/>
                <w:sz w:val="20"/>
                <w:szCs w:val="20"/>
              </w:rPr>
            </w:pPr>
          </w:p>
        </w:tc>
        <w:tc>
          <w:tcPr>
            <w:tcW w:w="131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486209E" w14:textId="4949E371">
            <w:pPr>
              <w:spacing w:after="0" w:line="240" w:lineRule="auto"/>
              <w:jc w:val="center"/>
              <w:rPr>
                <w:rFonts w:eastAsia="Times New Roman"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89DEF58" w14:textId="32A743F0">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4DF3C14F" w14:textId="55E61884">
            <w:pPr>
              <w:spacing w:after="0" w:line="240" w:lineRule="auto"/>
              <w:jc w:val="center"/>
              <w:rPr>
                <w:rFonts w:eastAsia="Times New Roman" w:cstheme="minorHAnsi"/>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1B4BD256" w14:textId="77777777">
            <w:pPr>
              <w:spacing w:after="0" w:line="240" w:lineRule="auto"/>
              <w:jc w:val="right"/>
              <w:rPr>
                <w:rFonts w:eastAsia="Times New Roman" w:cstheme="minorHAnsi"/>
                <w:color w:val="000000"/>
                <w:sz w:val="20"/>
                <w:szCs w:val="20"/>
              </w:rPr>
            </w:pPr>
            <w:r w:rsidRPr="005120A7">
              <w:rPr>
                <w:rFonts w:eastAsia="Times New Roman" w:cstheme="minorHAnsi"/>
                <w:color w:val="000000"/>
                <w:sz w:val="20"/>
                <w:szCs w:val="20"/>
              </w:rPr>
              <w:t> </w:t>
            </w:r>
          </w:p>
        </w:tc>
      </w:tr>
      <w:tr w14:paraId="382B1FA2" w14:textId="77777777" w:rsidTr="00816302">
        <w:tblPrEx>
          <w:tblW w:w="13447" w:type="dxa"/>
          <w:tblInd w:w="-162" w:type="dxa"/>
          <w:tblLook w:val="04A0"/>
        </w:tblPrEx>
        <w:trPr>
          <w:trHeight w:val="290"/>
        </w:trPr>
        <w:tc>
          <w:tcPr>
            <w:tcW w:w="3150" w:type="dxa"/>
            <w:tcBorders>
              <w:top w:val="nil"/>
              <w:left w:val="single" w:sz="4" w:space="0" w:color="auto"/>
              <w:bottom w:val="single" w:sz="4" w:space="0" w:color="auto"/>
              <w:right w:val="nil"/>
            </w:tcBorders>
            <w:shd w:val="clear" w:color="auto" w:fill="auto"/>
            <w:hideMark/>
          </w:tcPr>
          <w:p w:rsidR="005364D4" w:rsidRPr="005120A7" w:rsidP="005364D4" w14:paraId="58A8493A" w14:textId="77777777">
            <w:pPr>
              <w:spacing w:after="0" w:line="240" w:lineRule="auto"/>
              <w:rPr>
                <w:rFonts w:eastAsia="Times New Roman" w:cstheme="minorHAnsi"/>
                <w:b/>
                <w:bCs/>
                <w:i/>
                <w:iCs/>
                <w:color w:val="000000"/>
                <w:sz w:val="20"/>
                <w:szCs w:val="20"/>
              </w:rPr>
            </w:pPr>
            <w:r w:rsidRPr="005120A7">
              <w:rPr>
                <w:rFonts w:eastAsia="Times New Roman" w:cstheme="minorHAnsi"/>
                <w:b/>
                <w:bCs/>
                <w:i/>
                <w:iCs/>
                <w:color w:val="000000"/>
                <w:sz w:val="20"/>
                <w:szCs w:val="20"/>
              </w:rPr>
              <w:t>Recordkeeping Subtotal</w:t>
            </w:r>
          </w:p>
        </w:tc>
        <w:tc>
          <w:tcPr>
            <w:tcW w:w="1133" w:type="dxa"/>
            <w:tcBorders>
              <w:top w:val="nil"/>
              <w:left w:val="single" w:sz="4" w:space="0" w:color="auto"/>
              <w:bottom w:val="single" w:sz="4" w:space="0" w:color="auto"/>
              <w:right w:val="single" w:sz="4" w:space="0" w:color="auto"/>
            </w:tcBorders>
            <w:shd w:val="clear" w:color="auto" w:fill="auto"/>
            <w:noWrap/>
            <w:vAlign w:val="center"/>
            <w:hideMark/>
          </w:tcPr>
          <w:p w:rsidR="005364D4" w:rsidRPr="005120A7" w:rsidP="007B5E77" w14:paraId="4B0E1C46" w14:textId="774760FB">
            <w:pPr>
              <w:spacing w:after="0" w:line="240" w:lineRule="auto"/>
              <w:jc w:val="center"/>
              <w:rPr>
                <w:rFonts w:eastAsia="Times New Roman" w:cstheme="minorHAnsi"/>
                <w:color w:val="000000"/>
              </w:rPr>
            </w:pP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75F79F9" w14:textId="08608602">
            <w:pPr>
              <w:spacing w:after="0" w:line="240" w:lineRule="auto"/>
              <w:jc w:val="center"/>
              <w:rPr>
                <w:rFonts w:eastAsia="Times New Roman" w:cstheme="minorHAnsi"/>
                <w:color w:val="00000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4D74FC7" w14:textId="7A01A1E9">
            <w:pPr>
              <w:spacing w:after="0" w:line="240" w:lineRule="auto"/>
              <w:jc w:val="center"/>
              <w:rPr>
                <w:rFonts w:eastAsia="Times New Roman" w:cstheme="minorHAnsi"/>
                <w:color w:val="00000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731C44C1" w14:textId="2BAD67C6">
            <w:pPr>
              <w:spacing w:after="0" w:line="240" w:lineRule="auto"/>
              <w:jc w:val="center"/>
              <w:rPr>
                <w:rFonts w:eastAsia="Times New Roman" w:cstheme="minorHAnsi"/>
                <w:color w:val="000000"/>
              </w:rPr>
            </w:pPr>
          </w:p>
        </w:tc>
        <w:tc>
          <w:tcPr>
            <w:tcW w:w="4014" w:type="dxa"/>
            <w:gridSpan w:val="3"/>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1E869A8C" w14:textId="77777777">
            <w:pPr>
              <w:spacing w:after="0" w:line="240" w:lineRule="auto"/>
              <w:jc w:val="center"/>
              <w:rPr>
                <w:rFonts w:eastAsia="Times New Roman" w:cstheme="minorHAnsi"/>
                <w:b/>
                <w:bCs/>
                <w:i/>
                <w:iCs/>
                <w:color w:val="000000"/>
                <w:sz w:val="20"/>
                <w:szCs w:val="20"/>
              </w:rPr>
            </w:pPr>
            <w:r w:rsidRPr="005120A7">
              <w:rPr>
                <w:rFonts w:eastAsia="Times New Roman" w:cstheme="minorHAnsi"/>
                <w:b/>
                <w:bCs/>
                <w:i/>
                <w:iCs/>
                <w:color w:val="000000"/>
                <w:sz w:val="20"/>
                <w:szCs w:val="20"/>
              </w:rPr>
              <w:t>57,312</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CE3BF35" w14:textId="77777777">
            <w:pPr>
              <w:spacing w:after="0" w:line="240" w:lineRule="auto"/>
              <w:jc w:val="right"/>
              <w:rPr>
                <w:rFonts w:eastAsia="Times New Roman" w:cstheme="minorHAnsi"/>
                <w:b/>
                <w:bCs/>
                <w:i/>
                <w:iCs/>
                <w:color w:val="000000"/>
                <w:sz w:val="20"/>
                <w:szCs w:val="20"/>
              </w:rPr>
            </w:pPr>
            <w:r w:rsidRPr="005120A7">
              <w:rPr>
                <w:rFonts w:eastAsia="Times New Roman" w:cstheme="minorHAnsi"/>
                <w:b/>
                <w:bCs/>
                <w:i/>
                <w:iCs/>
                <w:color w:val="000000"/>
                <w:sz w:val="20"/>
                <w:szCs w:val="20"/>
              </w:rPr>
              <w:t>$7,849,572.69</w:t>
            </w:r>
          </w:p>
        </w:tc>
      </w:tr>
      <w:tr w14:paraId="2EAC2C6E" w14:textId="77777777" w:rsidTr="00816302">
        <w:tblPrEx>
          <w:tblW w:w="13447" w:type="dxa"/>
          <w:tblInd w:w="-162" w:type="dxa"/>
          <w:tblLook w:val="04A0"/>
        </w:tblPrEx>
        <w:trPr>
          <w:trHeight w:val="320"/>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D4" w:rsidRPr="005120A7" w:rsidP="005364D4" w14:paraId="69695959" w14:textId="2A8FF1A2">
            <w:pPr>
              <w:spacing w:after="0" w:line="240" w:lineRule="auto"/>
              <w:rPr>
                <w:rFonts w:eastAsia="Times New Roman" w:cstheme="minorHAnsi"/>
                <w:b/>
                <w:bCs/>
                <w:color w:val="000000"/>
                <w:sz w:val="20"/>
                <w:szCs w:val="20"/>
              </w:rPr>
            </w:pPr>
            <w:r w:rsidRPr="005120A7">
              <w:rPr>
                <w:rFonts w:eastAsia="Times New Roman" w:cstheme="minorHAnsi"/>
                <w:b/>
                <w:bCs/>
                <w:color w:val="000000"/>
                <w:sz w:val="20"/>
                <w:szCs w:val="20"/>
              </w:rPr>
              <w:t>TOTAL LABOR BURDEN AND COST (rounded)</w:t>
            </w:r>
            <w:r w:rsidR="001922D5">
              <w:rPr>
                <w:rFonts w:eastAsia="Times New Roman" w:cstheme="minorHAnsi"/>
                <w:color w:val="000000"/>
                <w:sz w:val="20"/>
                <w:szCs w:val="20"/>
                <w:vertAlign w:val="superscript"/>
              </w:rPr>
              <w:t>j</w:t>
            </w:r>
          </w:p>
        </w:tc>
        <w:tc>
          <w:tcPr>
            <w:tcW w:w="1133" w:type="dxa"/>
            <w:tcBorders>
              <w:top w:val="nil"/>
              <w:left w:val="nil"/>
              <w:bottom w:val="single" w:sz="4" w:space="0" w:color="auto"/>
              <w:right w:val="single" w:sz="4" w:space="0" w:color="auto"/>
            </w:tcBorders>
            <w:shd w:val="clear" w:color="auto" w:fill="auto"/>
            <w:vAlign w:val="center"/>
            <w:hideMark/>
          </w:tcPr>
          <w:p w:rsidR="005364D4" w:rsidRPr="005120A7" w:rsidP="007B5E77" w14:paraId="0995A0D3" w14:textId="3672E1C9">
            <w:pPr>
              <w:spacing w:after="0" w:line="240" w:lineRule="auto"/>
              <w:jc w:val="center"/>
              <w:rPr>
                <w:rFonts w:eastAsia="Times New Roman" w:cstheme="minorHAnsi"/>
                <w:b/>
                <w:bCs/>
                <w:color w:val="000000"/>
                <w:sz w:val="20"/>
                <w:szCs w:val="20"/>
              </w:rPr>
            </w:pPr>
          </w:p>
        </w:tc>
        <w:tc>
          <w:tcPr>
            <w:tcW w:w="1213" w:type="dxa"/>
            <w:tcBorders>
              <w:top w:val="nil"/>
              <w:left w:val="nil"/>
              <w:bottom w:val="single" w:sz="4" w:space="0" w:color="auto"/>
              <w:right w:val="single" w:sz="4" w:space="0" w:color="auto"/>
            </w:tcBorders>
            <w:shd w:val="clear" w:color="auto" w:fill="auto"/>
            <w:vAlign w:val="center"/>
            <w:hideMark/>
          </w:tcPr>
          <w:p w:rsidR="005364D4" w:rsidRPr="005120A7" w:rsidP="007B5E77" w14:paraId="4C476AEF" w14:textId="704CA11A">
            <w:pPr>
              <w:spacing w:after="0" w:line="240" w:lineRule="auto"/>
              <w:jc w:val="center"/>
              <w:rPr>
                <w:rFonts w:eastAsia="Times New Roman" w:cstheme="minorHAnsi"/>
                <w:b/>
                <w:bCs/>
                <w:color w:val="000000"/>
                <w:sz w:val="20"/>
                <w:szCs w:val="20"/>
              </w:rPr>
            </w:pPr>
          </w:p>
        </w:tc>
        <w:tc>
          <w:tcPr>
            <w:tcW w:w="1254" w:type="dxa"/>
            <w:tcBorders>
              <w:top w:val="nil"/>
              <w:left w:val="nil"/>
              <w:bottom w:val="single" w:sz="4" w:space="0" w:color="auto"/>
              <w:right w:val="single" w:sz="4" w:space="0" w:color="auto"/>
            </w:tcBorders>
            <w:shd w:val="clear" w:color="auto" w:fill="auto"/>
            <w:vAlign w:val="center"/>
            <w:hideMark/>
          </w:tcPr>
          <w:p w:rsidR="005364D4" w:rsidRPr="005120A7" w:rsidP="007B5E77" w14:paraId="6ADE3A13" w14:textId="46CD4E6B">
            <w:pPr>
              <w:spacing w:after="0" w:line="240" w:lineRule="auto"/>
              <w:jc w:val="center"/>
              <w:rPr>
                <w:rFonts w:eastAsia="Times New Roman" w:cstheme="minorHAnsi"/>
                <w:b/>
                <w:bCs/>
                <w:color w:val="000000"/>
                <w:sz w:val="20"/>
                <w:szCs w:val="20"/>
              </w:rPr>
            </w:pPr>
          </w:p>
        </w:tc>
        <w:tc>
          <w:tcPr>
            <w:tcW w:w="1296" w:type="dxa"/>
            <w:tcBorders>
              <w:top w:val="nil"/>
              <w:left w:val="nil"/>
              <w:bottom w:val="single" w:sz="4" w:space="0" w:color="auto"/>
              <w:right w:val="single" w:sz="4" w:space="0" w:color="auto"/>
            </w:tcBorders>
            <w:shd w:val="clear" w:color="auto" w:fill="auto"/>
            <w:vAlign w:val="center"/>
            <w:hideMark/>
          </w:tcPr>
          <w:p w:rsidR="005364D4" w:rsidRPr="005120A7" w:rsidP="007B5E77" w14:paraId="6A66D047" w14:textId="4D462EF8">
            <w:pPr>
              <w:spacing w:after="0" w:line="240" w:lineRule="auto"/>
              <w:jc w:val="center"/>
              <w:rPr>
                <w:rFonts w:eastAsia="Times New Roman" w:cstheme="minorHAnsi"/>
                <w:b/>
                <w:bCs/>
                <w:color w:val="000000"/>
                <w:sz w:val="20"/>
                <w:szCs w:val="20"/>
              </w:rPr>
            </w:pPr>
          </w:p>
        </w:tc>
        <w:tc>
          <w:tcPr>
            <w:tcW w:w="4014" w:type="dxa"/>
            <w:gridSpan w:val="3"/>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05512ADC"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67,700</w:t>
            </w:r>
          </w:p>
        </w:tc>
        <w:tc>
          <w:tcPr>
            <w:tcW w:w="1387" w:type="dxa"/>
            <w:tcBorders>
              <w:top w:val="nil"/>
              <w:left w:val="nil"/>
              <w:bottom w:val="single" w:sz="4" w:space="0" w:color="auto"/>
              <w:right w:val="single" w:sz="4" w:space="0" w:color="auto"/>
            </w:tcBorders>
            <w:shd w:val="clear" w:color="auto" w:fill="auto"/>
            <w:vAlign w:val="center"/>
            <w:hideMark/>
          </w:tcPr>
          <w:p w:rsidR="005364D4" w:rsidRPr="005120A7" w:rsidP="007B5E77" w14:paraId="15E5DF17" w14:textId="77777777">
            <w:pPr>
              <w:spacing w:after="0" w:line="240" w:lineRule="auto"/>
              <w:jc w:val="right"/>
              <w:rPr>
                <w:rFonts w:eastAsia="Times New Roman" w:cstheme="minorHAnsi"/>
                <w:b/>
                <w:bCs/>
                <w:color w:val="000000"/>
                <w:sz w:val="20"/>
                <w:szCs w:val="20"/>
              </w:rPr>
            </w:pPr>
            <w:r w:rsidRPr="005120A7">
              <w:rPr>
                <w:rFonts w:eastAsia="Times New Roman" w:cstheme="minorHAnsi"/>
                <w:b/>
                <w:bCs/>
                <w:color w:val="000000"/>
                <w:sz w:val="20"/>
                <w:szCs w:val="20"/>
              </w:rPr>
              <w:t>$9,270,000</w:t>
            </w:r>
          </w:p>
        </w:tc>
      </w:tr>
      <w:tr w14:paraId="015189F4" w14:textId="77777777" w:rsidTr="00816302">
        <w:tblPrEx>
          <w:tblW w:w="13447" w:type="dxa"/>
          <w:tblInd w:w="-162" w:type="dxa"/>
          <w:tblLook w:val="04A0"/>
        </w:tblPrEx>
        <w:trPr>
          <w:trHeight w:val="525"/>
        </w:trPr>
        <w:tc>
          <w:tcPr>
            <w:tcW w:w="3150" w:type="dxa"/>
            <w:tcBorders>
              <w:top w:val="nil"/>
              <w:left w:val="single" w:sz="8" w:space="0" w:color="auto"/>
              <w:bottom w:val="single" w:sz="4" w:space="0" w:color="auto"/>
              <w:right w:val="single" w:sz="4" w:space="0" w:color="auto"/>
            </w:tcBorders>
            <w:shd w:val="clear" w:color="auto" w:fill="auto"/>
            <w:vAlign w:val="center"/>
            <w:hideMark/>
          </w:tcPr>
          <w:p w:rsidR="005364D4" w:rsidRPr="005120A7" w:rsidP="005364D4" w14:paraId="1E313ED8" w14:textId="6F358E38">
            <w:pPr>
              <w:spacing w:after="0" w:line="240" w:lineRule="auto"/>
              <w:rPr>
                <w:rFonts w:eastAsia="Times New Roman" w:cstheme="minorHAnsi"/>
                <w:b/>
                <w:bCs/>
                <w:color w:val="000000"/>
                <w:sz w:val="20"/>
                <w:szCs w:val="20"/>
              </w:rPr>
            </w:pPr>
            <w:r w:rsidRPr="005120A7">
              <w:rPr>
                <w:rFonts w:eastAsia="Times New Roman" w:cstheme="minorHAnsi"/>
                <w:b/>
                <w:bCs/>
                <w:color w:val="000000"/>
                <w:sz w:val="20"/>
                <w:szCs w:val="20"/>
              </w:rPr>
              <w:t>TOTAL CAPITAL AND O&amp;M COST (rounded)</w:t>
            </w:r>
            <w:r w:rsidR="001922D5">
              <w:rPr>
                <w:rFonts w:eastAsia="Times New Roman" w:cstheme="minorHAnsi"/>
                <w:color w:val="000000"/>
                <w:sz w:val="20"/>
                <w:szCs w:val="20"/>
                <w:vertAlign w:val="superscript"/>
              </w:rPr>
              <w:t>j</w:t>
            </w:r>
          </w:p>
        </w:tc>
        <w:tc>
          <w:tcPr>
            <w:tcW w:w="113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244B7DD" w14:textId="1884C09B">
            <w:pPr>
              <w:spacing w:after="0" w:line="240" w:lineRule="auto"/>
              <w:jc w:val="center"/>
              <w:rPr>
                <w:rFonts w:eastAsia="Times New Roman" w:cstheme="minorHAnsi"/>
                <w:color w:val="000000"/>
              </w:rPr>
            </w:pPr>
          </w:p>
        </w:tc>
        <w:tc>
          <w:tcPr>
            <w:tcW w:w="1213"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014E797F" w14:textId="37DDABFD">
            <w:pPr>
              <w:spacing w:after="0" w:line="240" w:lineRule="auto"/>
              <w:jc w:val="center"/>
              <w:rPr>
                <w:rFonts w:eastAsia="Times New Roman" w:cstheme="minorHAnsi"/>
                <w:color w:val="000000"/>
              </w:rPr>
            </w:pPr>
          </w:p>
        </w:tc>
        <w:tc>
          <w:tcPr>
            <w:tcW w:w="1254"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3A97B94E" w14:textId="4E1BCCCB">
            <w:pPr>
              <w:spacing w:after="0" w:line="240" w:lineRule="auto"/>
              <w:jc w:val="center"/>
              <w:rPr>
                <w:rFonts w:eastAsia="Times New Roman" w:cstheme="minorHAnsi"/>
                <w:color w:val="000000"/>
              </w:rPr>
            </w:pPr>
          </w:p>
        </w:tc>
        <w:tc>
          <w:tcPr>
            <w:tcW w:w="1296"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9ACB9B4" w14:textId="1B8C7751">
            <w:pPr>
              <w:spacing w:after="0" w:line="240" w:lineRule="auto"/>
              <w:jc w:val="center"/>
              <w:rPr>
                <w:rFonts w:eastAsia="Times New Roman" w:cstheme="minorHAnsi"/>
                <w:color w:val="000000"/>
              </w:rPr>
            </w:pPr>
          </w:p>
        </w:tc>
        <w:tc>
          <w:tcPr>
            <w:tcW w:w="4014" w:type="dxa"/>
            <w:gridSpan w:val="3"/>
            <w:tcBorders>
              <w:top w:val="single" w:sz="4" w:space="0" w:color="auto"/>
              <w:left w:val="nil"/>
              <w:bottom w:val="single" w:sz="4" w:space="0" w:color="auto"/>
              <w:right w:val="single" w:sz="4" w:space="0" w:color="auto"/>
            </w:tcBorders>
            <w:shd w:val="clear" w:color="auto" w:fill="auto"/>
            <w:noWrap/>
            <w:vAlign w:val="center"/>
            <w:hideMark/>
          </w:tcPr>
          <w:p w:rsidR="005364D4" w:rsidRPr="005120A7" w:rsidP="007B5E77" w14:paraId="225D27ED" w14:textId="76CA23A8">
            <w:pPr>
              <w:spacing w:after="0" w:line="240" w:lineRule="auto"/>
              <w:jc w:val="center"/>
              <w:rPr>
                <w:rFonts w:eastAsia="Times New Roman" w:cstheme="minorHAnsi"/>
                <w:b/>
                <w:bCs/>
                <w:color w:val="000000"/>
                <w:sz w:val="20"/>
                <w:szCs w:val="20"/>
              </w:rPr>
            </w:pP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6AD17A66" w14:textId="77777777">
            <w:pPr>
              <w:spacing w:after="0" w:line="240" w:lineRule="auto"/>
              <w:jc w:val="right"/>
              <w:rPr>
                <w:rFonts w:eastAsia="Times New Roman" w:cstheme="minorHAnsi"/>
                <w:b/>
                <w:bCs/>
                <w:color w:val="000000"/>
                <w:sz w:val="20"/>
                <w:szCs w:val="20"/>
              </w:rPr>
            </w:pPr>
            <w:r w:rsidRPr="005120A7">
              <w:rPr>
                <w:rFonts w:eastAsia="Times New Roman" w:cstheme="minorHAnsi"/>
                <w:b/>
                <w:bCs/>
                <w:color w:val="000000"/>
                <w:sz w:val="20"/>
                <w:szCs w:val="20"/>
              </w:rPr>
              <w:t>$0</w:t>
            </w:r>
          </w:p>
        </w:tc>
      </w:tr>
      <w:tr w14:paraId="5AC6DE43" w14:textId="77777777" w:rsidTr="00816302">
        <w:tblPrEx>
          <w:tblW w:w="13447" w:type="dxa"/>
          <w:tblInd w:w="-162" w:type="dxa"/>
          <w:tblLook w:val="04A0"/>
        </w:tblPrEx>
        <w:trPr>
          <w:trHeight w:val="310"/>
        </w:trPr>
        <w:tc>
          <w:tcPr>
            <w:tcW w:w="3150" w:type="dxa"/>
            <w:tcBorders>
              <w:top w:val="nil"/>
              <w:left w:val="single" w:sz="8" w:space="0" w:color="auto"/>
              <w:bottom w:val="single" w:sz="4" w:space="0" w:color="auto"/>
              <w:right w:val="single" w:sz="4" w:space="0" w:color="auto"/>
            </w:tcBorders>
            <w:shd w:val="clear" w:color="auto" w:fill="auto"/>
            <w:vAlign w:val="center"/>
            <w:hideMark/>
          </w:tcPr>
          <w:p w:rsidR="005364D4" w:rsidRPr="005120A7" w:rsidP="005364D4" w14:paraId="30260286" w14:textId="7171C773">
            <w:pPr>
              <w:spacing w:after="0" w:line="240" w:lineRule="auto"/>
              <w:rPr>
                <w:rFonts w:eastAsia="Times New Roman" w:cstheme="minorHAnsi"/>
                <w:b/>
                <w:bCs/>
                <w:color w:val="000000"/>
                <w:sz w:val="20"/>
                <w:szCs w:val="20"/>
              </w:rPr>
            </w:pPr>
            <w:r w:rsidRPr="005120A7">
              <w:rPr>
                <w:rFonts w:eastAsia="Times New Roman" w:cstheme="minorHAnsi"/>
                <w:b/>
                <w:bCs/>
                <w:color w:val="000000"/>
                <w:sz w:val="20"/>
                <w:szCs w:val="20"/>
              </w:rPr>
              <w:t>GRAND TOTAL (rounded)</w:t>
            </w:r>
            <w:r w:rsidR="001922D5">
              <w:rPr>
                <w:rFonts w:eastAsia="Times New Roman" w:cstheme="minorHAnsi"/>
                <w:color w:val="000000"/>
                <w:sz w:val="20"/>
                <w:szCs w:val="20"/>
                <w:vertAlign w:val="superscript"/>
              </w:rPr>
              <w:t>j</w:t>
            </w:r>
          </w:p>
        </w:tc>
        <w:tc>
          <w:tcPr>
            <w:tcW w:w="1133" w:type="dxa"/>
            <w:tcBorders>
              <w:top w:val="nil"/>
              <w:left w:val="nil"/>
              <w:bottom w:val="single" w:sz="4" w:space="0" w:color="auto"/>
              <w:right w:val="single" w:sz="4" w:space="0" w:color="auto"/>
            </w:tcBorders>
            <w:shd w:val="clear" w:color="auto" w:fill="auto"/>
            <w:noWrap/>
            <w:hideMark/>
          </w:tcPr>
          <w:p w:rsidR="005364D4" w:rsidRPr="005120A7" w:rsidP="005364D4" w14:paraId="3D3BA0F4" w14:textId="77777777">
            <w:pPr>
              <w:spacing w:after="0" w:line="240" w:lineRule="auto"/>
              <w:jc w:val="center"/>
              <w:rPr>
                <w:rFonts w:eastAsia="Times New Roman" w:cstheme="minorHAnsi"/>
                <w:color w:val="000000"/>
              </w:rPr>
            </w:pPr>
            <w:r w:rsidRPr="005120A7">
              <w:rPr>
                <w:rFonts w:eastAsia="Times New Roman" w:cstheme="minorHAnsi"/>
                <w:color w:val="000000"/>
              </w:rPr>
              <w:t> </w:t>
            </w:r>
          </w:p>
        </w:tc>
        <w:tc>
          <w:tcPr>
            <w:tcW w:w="1213" w:type="dxa"/>
            <w:tcBorders>
              <w:top w:val="nil"/>
              <w:left w:val="nil"/>
              <w:bottom w:val="single" w:sz="4" w:space="0" w:color="auto"/>
              <w:right w:val="single" w:sz="4" w:space="0" w:color="auto"/>
            </w:tcBorders>
            <w:shd w:val="clear" w:color="auto" w:fill="auto"/>
            <w:noWrap/>
            <w:hideMark/>
          </w:tcPr>
          <w:p w:rsidR="005364D4" w:rsidRPr="005120A7" w:rsidP="005364D4" w14:paraId="339A808E" w14:textId="77777777">
            <w:pPr>
              <w:spacing w:after="0" w:line="240" w:lineRule="auto"/>
              <w:jc w:val="center"/>
              <w:rPr>
                <w:rFonts w:eastAsia="Times New Roman" w:cstheme="minorHAnsi"/>
                <w:color w:val="000000"/>
              </w:rPr>
            </w:pPr>
            <w:r w:rsidRPr="005120A7">
              <w:rPr>
                <w:rFonts w:eastAsia="Times New Roman" w:cstheme="minorHAnsi"/>
                <w:color w:val="000000"/>
              </w:rPr>
              <w:t> </w:t>
            </w:r>
          </w:p>
        </w:tc>
        <w:tc>
          <w:tcPr>
            <w:tcW w:w="1254" w:type="dxa"/>
            <w:tcBorders>
              <w:top w:val="nil"/>
              <w:left w:val="nil"/>
              <w:bottom w:val="single" w:sz="4" w:space="0" w:color="auto"/>
              <w:right w:val="single" w:sz="4" w:space="0" w:color="auto"/>
            </w:tcBorders>
            <w:shd w:val="clear" w:color="auto" w:fill="auto"/>
            <w:noWrap/>
            <w:hideMark/>
          </w:tcPr>
          <w:p w:rsidR="005364D4" w:rsidRPr="005120A7" w:rsidP="005364D4" w14:paraId="49428387" w14:textId="77777777">
            <w:pPr>
              <w:spacing w:after="0" w:line="240" w:lineRule="auto"/>
              <w:jc w:val="center"/>
              <w:rPr>
                <w:rFonts w:eastAsia="Times New Roman" w:cstheme="minorHAnsi"/>
                <w:color w:val="000000"/>
              </w:rPr>
            </w:pPr>
            <w:r w:rsidRPr="005120A7">
              <w:rPr>
                <w:rFonts w:eastAsia="Times New Roman" w:cstheme="minorHAnsi"/>
                <w:color w:val="000000"/>
              </w:rPr>
              <w:t> </w:t>
            </w:r>
          </w:p>
        </w:tc>
        <w:tc>
          <w:tcPr>
            <w:tcW w:w="1296" w:type="dxa"/>
            <w:tcBorders>
              <w:top w:val="nil"/>
              <w:left w:val="nil"/>
              <w:bottom w:val="single" w:sz="4" w:space="0" w:color="auto"/>
              <w:right w:val="single" w:sz="4" w:space="0" w:color="auto"/>
            </w:tcBorders>
            <w:shd w:val="clear" w:color="auto" w:fill="auto"/>
            <w:noWrap/>
            <w:hideMark/>
          </w:tcPr>
          <w:p w:rsidR="005364D4" w:rsidRPr="005120A7" w:rsidP="005364D4" w14:paraId="17BCB7E0" w14:textId="77777777">
            <w:pPr>
              <w:spacing w:after="0" w:line="240" w:lineRule="auto"/>
              <w:jc w:val="center"/>
              <w:rPr>
                <w:rFonts w:eastAsia="Times New Roman" w:cstheme="minorHAnsi"/>
                <w:color w:val="000000"/>
              </w:rPr>
            </w:pPr>
            <w:r w:rsidRPr="005120A7">
              <w:rPr>
                <w:rFonts w:eastAsia="Times New Roman" w:cstheme="minorHAnsi"/>
                <w:color w:val="000000"/>
              </w:rPr>
              <w:t> </w:t>
            </w:r>
          </w:p>
        </w:tc>
        <w:tc>
          <w:tcPr>
            <w:tcW w:w="1314" w:type="dxa"/>
            <w:tcBorders>
              <w:top w:val="nil"/>
              <w:left w:val="nil"/>
              <w:bottom w:val="single" w:sz="4" w:space="0" w:color="auto"/>
              <w:right w:val="single" w:sz="4" w:space="0" w:color="auto"/>
            </w:tcBorders>
            <w:shd w:val="clear" w:color="auto" w:fill="auto"/>
            <w:noWrap/>
            <w:hideMark/>
          </w:tcPr>
          <w:p w:rsidR="005364D4" w:rsidRPr="005120A7" w:rsidP="005364D4" w14:paraId="3DE6BA15"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 </w:t>
            </w:r>
          </w:p>
        </w:tc>
        <w:tc>
          <w:tcPr>
            <w:tcW w:w="1440" w:type="dxa"/>
            <w:tcBorders>
              <w:top w:val="nil"/>
              <w:left w:val="nil"/>
              <w:bottom w:val="single" w:sz="4" w:space="0" w:color="auto"/>
              <w:right w:val="single" w:sz="4" w:space="0" w:color="auto"/>
            </w:tcBorders>
            <w:shd w:val="clear" w:color="auto" w:fill="auto"/>
            <w:noWrap/>
            <w:hideMark/>
          </w:tcPr>
          <w:p w:rsidR="005364D4" w:rsidRPr="005120A7" w:rsidP="005364D4" w14:paraId="577D89D3"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5364D4" w:rsidRPr="005120A7" w:rsidP="005364D4" w14:paraId="061D4776"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5364D4" w:rsidRPr="005120A7" w:rsidP="007B5E77" w14:paraId="2C4B2B3F" w14:textId="77777777">
            <w:pPr>
              <w:spacing w:after="0" w:line="240" w:lineRule="auto"/>
              <w:jc w:val="right"/>
              <w:rPr>
                <w:rFonts w:eastAsia="Times New Roman" w:cstheme="minorHAnsi"/>
                <w:b/>
                <w:bCs/>
                <w:color w:val="000000"/>
                <w:sz w:val="20"/>
                <w:szCs w:val="20"/>
              </w:rPr>
            </w:pPr>
            <w:r w:rsidRPr="005120A7">
              <w:rPr>
                <w:rFonts w:eastAsia="Times New Roman" w:cstheme="minorHAnsi"/>
                <w:b/>
                <w:bCs/>
                <w:color w:val="000000"/>
                <w:sz w:val="20"/>
                <w:szCs w:val="20"/>
              </w:rPr>
              <w:t>$9,270,000</w:t>
            </w:r>
          </w:p>
        </w:tc>
      </w:tr>
    </w:tbl>
    <w:p w:rsidR="007323E5" w:rsidP="00816302" w14:paraId="5D8AAA94" w14:textId="5654BB98">
      <w:pPr>
        <w:spacing w:after="0"/>
        <w:ind w:left="-270"/>
        <w:rPr>
          <w:rFonts w:cstheme="minorHAnsi"/>
          <w:sz w:val="18"/>
          <w:szCs w:val="18"/>
        </w:rPr>
      </w:pPr>
      <w:r w:rsidRPr="005120A7">
        <w:rPr>
          <w:sz w:val="18"/>
          <w:szCs w:val="18"/>
          <w:vertAlign w:val="superscript"/>
        </w:rPr>
        <w:t>a</w:t>
      </w:r>
      <w:r w:rsidRPr="005120A7">
        <w:rPr>
          <w:sz w:val="18"/>
          <w:szCs w:val="18"/>
        </w:rPr>
        <w:t xml:space="preserve"> </w:t>
      </w:r>
      <w:r w:rsidRPr="00EBF7E7">
        <w:rPr>
          <w:sz w:val="18"/>
          <w:szCs w:val="18"/>
        </w:rPr>
        <w:t>There are an estimated 2,900 existing plating and polishing plants and no new facilities are expected.</w:t>
      </w:r>
    </w:p>
    <w:p w:rsidR="004464B5" w:rsidRPr="005120A7" w:rsidP="00816302" w14:paraId="3FA45E07" w14:textId="7B3F8A2B">
      <w:pPr>
        <w:spacing w:after="0"/>
        <w:ind w:left="-270"/>
        <w:rPr>
          <w:rFonts w:cstheme="minorHAnsi"/>
          <w:sz w:val="18"/>
          <w:szCs w:val="18"/>
        </w:rPr>
      </w:pPr>
      <w:r w:rsidRPr="00276111">
        <w:rPr>
          <w:rFonts w:cstheme="minorHAnsi"/>
          <w:sz w:val="18"/>
          <w:szCs w:val="18"/>
          <w:vertAlign w:val="superscript"/>
        </w:rPr>
        <w:t>b</w:t>
      </w:r>
      <w:r w:rsidRPr="000E2B7C">
        <w:rPr>
          <w:rFonts w:cstheme="minorHAnsi"/>
          <w:sz w:val="18"/>
          <w:szCs w:val="18"/>
        </w:rPr>
        <w:t xml:space="preserve"> </w:t>
      </w:r>
      <w:r w:rsidRPr="005120A7" w:rsidR="002E5E6B">
        <w:rPr>
          <w:rFonts w:cstheme="minorHAnsi"/>
          <w:sz w:val="18"/>
          <w:szCs w:val="18"/>
        </w:rPr>
        <w:t>T</w:t>
      </w:r>
      <w:r w:rsidRPr="005120A7">
        <w:rPr>
          <w:rFonts w:cstheme="minorHAnsi"/>
          <w:sz w:val="18"/>
          <w:szCs w:val="18"/>
        </w:rPr>
        <w: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B440C2" w:rsidP="00816302" w14:paraId="5FE63A2E" w14:textId="53EC4061">
      <w:pPr>
        <w:spacing w:after="0"/>
        <w:ind w:left="-270"/>
        <w:rPr>
          <w:rFonts w:cstheme="minorHAnsi"/>
          <w:sz w:val="18"/>
          <w:szCs w:val="18"/>
        </w:rPr>
      </w:pPr>
      <w:r w:rsidRPr="005120A7">
        <w:rPr>
          <w:rFonts w:cstheme="minorHAnsi"/>
          <w:sz w:val="18"/>
          <w:szCs w:val="18"/>
          <w:vertAlign w:val="superscript"/>
        </w:rPr>
        <w:t>c</w:t>
      </w:r>
      <w:r w:rsidRPr="005120A7">
        <w:rPr>
          <w:rFonts w:cstheme="minorHAnsi"/>
          <w:sz w:val="18"/>
          <w:szCs w:val="18"/>
        </w:rPr>
        <w:t xml:space="preserve"> </w:t>
      </w:r>
      <w:r w:rsidRPr="00276111">
        <w:rPr>
          <w:rFonts w:cstheme="minorHAnsi"/>
          <w:sz w:val="18"/>
          <w:szCs w:val="18"/>
        </w:rPr>
        <w:t>We assume that each source subject to the standard will have to familiarize with the regulatory requirements each year.</w:t>
      </w:r>
    </w:p>
    <w:p w:rsidR="004464B5" w:rsidRPr="005120A7" w:rsidP="00816302" w14:paraId="1FB8141A" w14:textId="78DEA32B">
      <w:pPr>
        <w:spacing w:after="0"/>
        <w:ind w:left="-270"/>
        <w:rPr>
          <w:rFonts w:cstheme="minorHAnsi"/>
          <w:sz w:val="18"/>
          <w:szCs w:val="18"/>
        </w:rPr>
      </w:pPr>
      <w:r w:rsidRPr="005120A7">
        <w:rPr>
          <w:rFonts w:cstheme="minorHAnsi"/>
          <w:sz w:val="18"/>
          <w:szCs w:val="18"/>
          <w:vertAlign w:val="superscript"/>
        </w:rPr>
        <w:t>d</w:t>
      </w:r>
      <w:r>
        <w:rPr>
          <w:rFonts w:cstheme="minorHAnsi"/>
          <w:sz w:val="18"/>
          <w:szCs w:val="18"/>
        </w:rPr>
        <w:t xml:space="preserve"> </w:t>
      </w:r>
      <w:r w:rsidRPr="005120A7">
        <w:rPr>
          <w:rFonts w:cstheme="minorHAnsi"/>
          <w:sz w:val="18"/>
          <w:szCs w:val="18"/>
        </w:rPr>
        <w:t>Each of the 2,900 existing plants noted above would have already submitted an initial notification. Since there are no new facilities expected, the number of respondents required to submit an initial notification is 0.</w:t>
      </w:r>
    </w:p>
    <w:p w:rsidR="004464B5" w:rsidRPr="005120A7" w:rsidP="00816302" w14:paraId="73E7EFF3" w14:textId="42A21D83">
      <w:pPr>
        <w:spacing w:after="0"/>
        <w:ind w:left="-270"/>
        <w:rPr>
          <w:rFonts w:cstheme="minorHAnsi"/>
          <w:sz w:val="18"/>
          <w:szCs w:val="18"/>
        </w:rPr>
      </w:pPr>
      <w:r>
        <w:rPr>
          <w:rFonts w:cstheme="minorHAnsi"/>
          <w:sz w:val="18"/>
          <w:szCs w:val="18"/>
          <w:vertAlign w:val="superscript"/>
        </w:rPr>
        <w:t>e</w:t>
      </w:r>
      <w:r w:rsidRPr="005120A7">
        <w:rPr>
          <w:rFonts w:cstheme="minorHAnsi"/>
          <w:sz w:val="18"/>
          <w:szCs w:val="18"/>
        </w:rPr>
        <w:t xml:space="preserve"> Each of the 2,900 existing plants noted above would have already submitted a notification of compliance status by the appropriate compliance date. Since there are no new facilities expected, the number of respondents required to submit a notification of compliance status is 0.</w:t>
      </w:r>
    </w:p>
    <w:p w:rsidR="004464B5" w:rsidRPr="005120A7" w:rsidP="00816302" w14:paraId="23ED3A8F" w14:textId="7C4E855D">
      <w:pPr>
        <w:spacing w:after="0"/>
        <w:ind w:left="-270"/>
        <w:rPr>
          <w:rFonts w:cstheme="minorHAnsi"/>
          <w:sz w:val="18"/>
          <w:szCs w:val="18"/>
        </w:rPr>
      </w:pPr>
      <w:r>
        <w:rPr>
          <w:rFonts w:cstheme="minorHAnsi"/>
          <w:sz w:val="18"/>
          <w:szCs w:val="18"/>
          <w:vertAlign w:val="superscript"/>
        </w:rPr>
        <w:t>f</w:t>
      </w:r>
      <w:r w:rsidRPr="005120A7">
        <w:rPr>
          <w:rFonts w:cstheme="minorHAnsi"/>
          <w:sz w:val="18"/>
          <w:szCs w:val="18"/>
        </w:rPr>
        <w:t xml:space="preserve"> The 2,900 existing plants would be required to prepare an annual compliance certification every year. They would only submit the certifications if a deviation occurred; assuming that 5 percent of the plants experience a deviation, the number of compliance certifications submitted will be</w:t>
      </w:r>
      <w:r w:rsidRPr="005120A7" w:rsidR="002C7322">
        <w:rPr>
          <w:rFonts w:cstheme="minorHAnsi"/>
          <w:sz w:val="18"/>
          <w:szCs w:val="18"/>
        </w:rPr>
        <w:t xml:space="preserve"> </w:t>
      </w:r>
      <w:r w:rsidRPr="005120A7">
        <w:rPr>
          <w:rFonts w:cstheme="minorHAnsi"/>
          <w:sz w:val="18"/>
          <w:szCs w:val="18"/>
        </w:rPr>
        <w:t>(2,900*0.05) = 145.</w:t>
      </w:r>
    </w:p>
    <w:p w:rsidR="004464B5" w:rsidRPr="005120A7" w:rsidP="00816302" w14:paraId="5EEC4E66" w14:textId="25B37832">
      <w:pPr>
        <w:spacing w:after="0"/>
        <w:ind w:left="-270"/>
        <w:rPr>
          <w:rFonts w:cstheme="minorHAnsi"/>
          <w:sz w:val="18"/>
          <w:szCs w:val="18"/>
        </w:rPr>
      </w:pPr>
      <w:r>
        <w:rPr>
          <w:rFonts w:cstheme="minorHAnsi"/>
          <w:sz w:val="18"/>
          <w:szCs w:val="18"/>
          <w:vertAlign w:val="superscript"/>
        </w:rPr>
        <w:t>g</w:t>
      </w:r>
      <w:r w:rsidRPr="005120A7">
        <w:rPr>
          <w:rFonts w:cstheme="minorHAnsi"/>
          <w:sz w:val="18"/>
          <w:szCs w:val="18"/>
        </w:rPr>
        <w:t xml:space="preserve"> Assumes that 5% of existing facilities would have to submit a report of deviations starting in Year 3 of the ICR clearance period, or (2,900 * 0.05) = 145</w:t>
      </w:r>
      <w:r w:rsidRPr="005120A7" w:rsidR="00D75775">
        <w:rPr>
          <w:rFonts w:cstheme="minorHAnsi"/>
          <w:sz w:val="18"/>
          <w:szCs w:val="18"/>
        </w:rPr>
        <w:t xml:space="preserve"> facilities</w:t>
      </w:r>
      <w:r w:rsidRPr="005120A7">
        <w:rPr>
          <w:rFonts w:cstheme="minorHAnsi"/>
          <w:sz w:val="18"/>
          <w:szCs w:val="18"/>
        </w:rPr>
        <w:t>.</w:t>
      </w:r>
    </w:p>
    <w:p w:rsidR="004464B5" w:rsidRPr="005120A7" w:rsidP="00816302" w14:paraId="2A887FB7" w14:textId="60060FEF">
      <w:pPr>
        <w:spacing w:after="0"/>
        <w:ind w:left="-270"/>
        <w:rPr>
          <w:rFonts w:cstheme="minorHAnsi"/>
          <w:sz w:val="18"/>
          <w:szCs w:val="18"/>
        </w:rPr>
      </w:pPr>
      <w:r>
        <w:rPr>
          <w:rFonts w:cstheme="minorHAnsi"/>
          <w:sz w:val="18"/>
          <w:szCs w:val="18"/>
          <w:vertAlign w:val="superscript"/>
        </w:rPr>
        <w:t>h</w:t>
      </w:r>
      <w:r w:rsidRPr="005120A7">
        <w:rPr>
          <w:rFonts w:cstheme="minorHAnsi"/>
          <w:sz w:val="18"/>
          <w:szCs w:val="18"/>
        </w:rPr>
        <w:t xml:space="preserve"> It is assumed that 0.33 hr (20 minutes) per week will be required per facility for recordkeeping.</w:t>
      </w:r>
    </w:p>
    <w:p w:rsidR="004464B5" w:rsidRPr="005120A7" w:rsidP="00816302" w14:paraId="51984F18" w14:textId="22E6CAD1">
      <w:pPr>
        <w:spacing w:after="0"/>
        <w:ind w:left="-270"/>
        <w:rPr>
          <w:rFonts w:cstheme="minorHAnsi"/>
          <w:sz w:val="18"/>
          <w:szCs w:val="18"/>
        </w:rPr>
      </w:pPr>
      <w:r>
        <w:rPr>
          <w:rFonts w:cstheme="minorHAnsi"/>
          <w:sz w:val="18"/>
          <w:szCs w:val="18"/>
          <w:vertAlign w:val="superscript"/>
        </w:rPr>
        <w:t>i</w:t>
      </w:r>
      <w:r w:rsidRPr="005120A7">
        <w:rPr>
          <w:rFonts w:cstheme="minorHAnsi"/>
          <w:sz w:val="18"/>
          <w:szCs w:val="18"/>
        </w:rPr>
        <w:t xml:space="preserve"> Annual transmittals would include submission of annual compliance certifications (145) and reports of deviations (145) for 5% of one-third of 2,900 facilities, so (2,900* 0.05) *2 = 145 *2 = 290 respondent</w:t>
      </w:r>
      <w:r w:rsidRPr="005120A7" w:rsidR="00664B71">
        <w:rPr>
          <w:rFonts w:cstheme="minorHAnsi"/>
          <w:sz w:val="18"/>
          <w:szCs w:val="18"/>
        </w:rPr>
        <w:t>s</w:t>
      </w:r>
      <w:r w:rsidRPr="005120A7">
        <w:rPr>
          <w:rFonts w:cstheme="minorHAnsi"/>
          <w:sz w:val="18"/>
          <w:szCs w:val="18"/>
        </w:rPr>
        <w:t>.</w:t>
      </w:r>
    </w:p>
    <w:p w:rsidR="00ED7D8F" w:rsidP="00816302" w14:paraId="73744440" w14:textId="08C7D5BB">
      <w:pPr>
        <w:spacing w:after="0"/>
        <w:ind w:left="-270"/>
        <w:rPr>
          <w:rFonts w:cstheme="minorHAnsi"/>
          <w:b/>
          <w:bCs/>
          <w:sz w:val="24"/>
          <w:szCs w:val="24"/>
        </w:rPr>
      </w:pPr>
      <w:r>
        <w:rPr>
          <w:rFonts w:cstheme="minorHAnsi"/>
          <w:sz w:val="18"/>
          <w:szCs w:val="18"/>
          <w:vertAlign w:val="superscript"/>
        </w:rPr>
        <w:t>j</w:t>
      </w:r>
      <w:r w:rsidRPr="005120A7" w:rsidR="004464B5">
        <w:rPr>
          <w:rFonts w:cstheme="minorHAnsi"/>
          <w:sz w:val="18"/>
          <w:szCs w:val="18"/>
        </w:rPr>
        <w:t xml:space="preserve"> Totals have been rounded to 3 significant figures. Figures may not add exactly due to rounding.</w:t>
      </w:r>
      <w:r>
        <w:rPr>
          <w:rFonts w:cstheme="minorHAnsi"/>
          <w:b/>
          <w:bCs/>
          <w:sz w:val="24"/>
          <w:szCs w:val="24"/>
        </w:rPr>
        <w:br w:type="page"/>
      </w:r>
    </w:p>
    <w:p w:rsidR="001641AA" w:rsidRPr="00ED4BD0" w:rsidP="001641AA" w14:paraId="0C0DF005" w14:textId="1E2458ED">
      <w:pPr>
        <w:spacing w:before="240"/>
        <w:rPr>
          <w:rFonts w:cstheme="minorHAnsi"/>
          <w:b/>
          <w:bCs/>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ED4BD0" w:rsidR="00ED4BD0">
        <w:rPr>
          <w:rFonts w:cstheme="minorHAnsi"/>
          <w:b/>
          <w:bCs/>
          <w:sz w:val="24"/>
          <w:szCs w:val="24"/>
        </w:rPr>
        <w:t>NESHAP for Plating and Polishing Operations (40 CFR Part 63, Subpart WWWWWW) (Renewal)</w:t>
      </w:r>
    </w:p>
    <w:tbl>
      <w:tblPr>
        <w:tblW w:w="17164" w:type="dxa"/>
        <w:tblInd w:w="108" w:type="dxa"/>
        <w:tblLook w:val="04A0"/>
      </w:tblPr>
      <w:tblGrid>
        <w:gridCol w:w="3510"/>
        <w:gridCol w:w="1170"/>
        <w:gridCol w:w="1260"/>
        <w:gridCol w:w="1350"/>
        <w:gridCol w:w="990"/>
        <w:gridCol w:w="1080"/>
        <w:gridCol w:w="1160"/>
        <w:gridCol w:w="1170"/>
        <w:gridCol w:w="16"/>
        <w:gridCol w:w="1292"/>
        <w:gridCol w:w="14"/>
        <w:gridCol w:w="1384"/>
        <w:gridCol w:w="1384"/>
        <w:gridCol w:w="1384"/>
      </w:tblGrid>
      <w:tr w14:paraId="4771CD5C" w14:textId="77777777" w:rsidTr="0096107B">
        <w:tblPrEx>
          <w:tblW w:w="17164" w:type="dxa"/>
          <w:tblInd w:w="108" w:type="dxa"/>
          <w:tblLook w:val="04A0"/>
        </w:tblPrEx>
        <w:trPr>
          <w:gridAfter w:val="4"/>
          <w:wAfter w:w="4166" w:type="dxa"/>
          <w:trHeight w:val="300"/>
        </w:trPr>
        <w:tc>
          <w:tcPr>
            <w:tcW w:w="3510" w:type="dxa"/>
            <w:vMerge w:val="restart"/>
            <w:tcBorders>
              <w:top w:val="single" w:sz="4" w:space="0" w:color="auto"/>
              <w:left w:val="single" w:sz="4" w:space="0" w:color="auto"/>
              <w:bottom w:val="nil"/>
              <w:right w:val="single" w:sz="4" w:space="0" w:color="auto"/>
            </w:tcBorders>
            <w:shd w:val="clear" w:color="auto" w:fill="auto"/>
            <w:vAlign w:val="bottom"/>
            <w:hideMark/>
          </w:tcPr>
          <w:p w:rsidR="00EBF7E7" w:rsidRPr="005120A7" w:rsidP="005120A7" w14:paraId="7C980ECC" w14:textId="537CDC42">
            <w:pPr>
              <w:spacing w:after="0"/>
              <w:jc w:val="center"/>
              <w:rPr>
                <w:b/>
                <w:bCs/>
                <w:color w:val="000000" w:themeColor="text1"/>
                <w:sz w:val="20"/>
                <w:szCs w:val="20"/>
              </w:rPr>
            </w:pPr>
            <w:r w:rsidRPr="005120A7">
              <w:rPr>
                <w:b/>
                <w:bCs/>
                <w:color w:val="000000" w:themeColor="text1"/>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313E931A" w14:textId="40F65C1F">
            <w:pPr>
              <w:spacing w:after="0"/>
              <w:jc w:val="center"/>
              <w:rPr>
                <w:b/>
                <w:bCs/>
                <w:color w:val="000000" w:themeColor="text1"/>
                <w:sz w:val="20"/>
                <w:szCs w:val="20"/>
              </w:rPr>
            </w:pPr>
            <w:r w:rsidRPr="005120A7">
              <w:rPr>
                <w:b/>
                <w:bCs/>
                <w:color w:val="000000" w:themeColor="text1"/>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0FA1CA44" w14:textId="297D1237">
            <w:pPr>
              <w:spacing w:after="0"/>
              <w:jc w:val="center"/>
              <w:rPr>
                <w:b/>
                <w:bCs/>
                <w:color w:val="000000" w:themeColor="text1"/>
                <w:sz w:val="20"/>
                <w:szCs w:val="20"/>
              </w:rPr>
            </w:pPr>
            <w:r w:rsidRPr="005120A7">
              <w:rPr>
                <w:b/>
                <w:bCs/>
                <w:color w:val="000000" w:themeColor="text1"/>
                <w:sz w:val="20"/>
                <w:szCs w:val="20"/>
              </w:rPr>
              <w:t>(B)</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2B79C22A" w14:textId="5708C8BC">
            <w:pPr>
              <w:spacing w:after="0"/>
              <w:jc w:val="center"/>
              <w:rPr>
                <w:b/>
                <w:bCs/>
                <w:color w:val="000000" w:themeColor="text1"/>
                <w:sz w:val="20"/>
                <w:szCs w:val="20"/>
              </w:rPr>
            </w:pPr>
            <w:r w:rsidRPr="005120A7">
              <w:rPr>
                <w:b/>
                <w:bCs/>
                <w:color w:val="000000" w:themeColor="text1"/>
                <w:sz w:val="20"/>
                <w:szCs w:val="20"/>
              </w:rPr>
              <w:t xml:space="preserve">(C)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0836B2D8" w14:textId="73681A2B">
            <w:pPr>
              <w:spacing w:after="0"/>
              <w:jc w:val="center"/>
              <w:rPr>
                <w:b/>
                <w:bCs/>
                <w:color w:val="000000" w:themeColor="text1"/>
                <w:sz w:val="20"/>
                <w:szCs w:val="20"/>
              </w:rPr>
            </w:pPr>
            <w:r w:rsidRPr="005120A7">
              <w:rPr>
                <w:b/>
                <w:bCs/>
                <w:color w:val="000000" w:themeColor="text1"/>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1AE7667F" w14:textId="649B101D">
            <w:pPr>
              <w:spacing w:after="0"/>
              <w:jc w:val="center"/>
              <w:rPr>
                <w:b/>
                <w:bCs/>
                <w:color w:val="000000" w:themeColor="text1"/>
                <w:sz w:val="20"/>
                <w:szCs w:val="20"/>
              </w:rPr>
            </w:pPr>
            <w:r w:rsidRPr="005120A7">
              <w:rPr>
                <w:b/>
                <w:bCs/>
                <w:color w:val="000000" w:themeColor="text1"/>
                <w:sz w:val="20"/>
                <w:szCs w:val="20"/>
              </w:rPr>
              <w:t>(E)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72590959" w14:textId="67B7C23A">
            <w:pPr>
              <w:spacing w:after="0"/>
              <w:jc w:val="center"/>
              <w:rPr>
                <w:b/>
                <w:bCs/>
                <w:color w:val="000000" w:themeColor="text1"/>
                <w:sz w:val="20"/>
                <w:szCs w:val="20"/>
              </w:rPr>
            </w:pPr>
            <w:r w:rsidRPr="005120A7">
              <w:rPr>
                <w:b/>
                <w:bCs/>
                <w:color w:val="000000" w:themeColor="text1"/>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13FE431C" w14:textId="569928A9">
            <w:pPr>
              <w:spacing w:after="0"/>
              <w:jc w:val="center"/>
              <w:rPr>
                <w:b/>
                <w:bCs/>
                <w:color w:val="000000" w:themeColor="text1"/>
                <w:sz w:val="20"/>
                <w:szCs w:val="20"/>
              </w:rPr>
            </w:pPr>
            <w:r w:rsidRPr="005120A7">
              <w:rPr>
                <w:b/>
                <w:bCs/>
                <w:color w:val="000000" w:themeColor="text1"/>
                <w:sz w:val="20"/>
                <w:szCs w:val="20"/>
              </w:rPr>
              <w:t>(G)</w:t>
            </w:r>
          </w:p>
        </w:tc>
        <w:tc>
          <w:tcPr>
            <w:tcW w:w="1308" w:type="dxa"/>
            <w:gridSpan w:val="2"/>
            <w:tcBorders>
              <w:top w:val="single" w:sz="4" w:space="0" w:color="auto"/>
              <w:left w:val="nil"/>
              <w:bottom w:val="single" w:sz="4" w:space="0" w:color="auto"/>
              <w:right w:val="single" w:sz="4" w:space="0" w:color="auto"/>
            </w:tcBorders>
            <w:shd w:val="clear" w:color="auto" w:fill="auto"/>
            <w:noWrap/>
            <w:vAlign w:val="bottom"/>
            <w:hideMark/>
          </w:tcPr>
          <w:p w:rsidR="00EBF7E7" w:rsidRPr="005120A7" w:rsidP="005120A7" w14:paraId="536E779E" w14:textId="0FE26B7D">
            <w:pPr>
              <w:spacing w:after="0"/>
              <w:jc w:val="center"/>
              <w:rPr>
                <w:b/>
                <w:bCs/>
                <w:color w:val="000000" w:themeColor="text1"/>
                <w:sz w:val="20"/>
                <w:szCs w:val="20"/>
              </w:rPr>
            </w:pPr>
            <w:r w:rsidRPr="005120A7">
              <w:rPr>
                <w:b/>
                <w:bCs/>
                <w:color w:val="000000" w:themeColor="text1"/>
                <w:sz w:val="20"/>
                <w:szCs w:val="20"/>
              </w:rPr>
              <w:t>(H)</w:t>
            </w:r>
          </w:p>
        </w:tc>
      </w:tr>
      <w:tr w14:paraId="456DA40C" w14:textId="77777777" w:rsidTr="0096107B">
        <w:tblPrEx>
          <w:tblW w:w="17164" w:type="dxa"/>
          <w:tblInd w:w="108" w:type="dxa"/>
          <w:tblLook w:val="04A0"/>
        </w:tblPrEx>
        <w:trPr>
          <w:gridAfter w:val="4"/>
          <w:wAfter w:w="4166" w:type="dxa"/>
          <w:trHeight w:val="300"/>
        </w:trPr>
        <w:tc>
          <w:tcPr>
            <w:tcW w:w="3510" w:type="dxa"/>
            <w:vMerge/>
            <w:tcBorders>
              <w:left w:val="single" w:sz="4" w:space="0" w:color="auto"/>
              <w:right w:val="single" w:sz="4" w:space="0" w:color="auto"/>
            </w:tcBorders>
            <w:vAlign w:val="center"/>
            <w:hideMark/>
          </w:tcPr>
          <w:p w:rsidR="009B0C33" w:rsidRPr="005120A7" w:rsidP="009B0C33" w14:paraId="73E02673" w14:textId="77777777">
            <w:pPr>
              <w:spacing w:after="0" w:line="240" w:lineRule="auto"/>
              <w:rPr>
                <w:rFonts w:eastAsia="Times New Roman" w:cstheme="minorHAnsi"/>
                <w:b/>
                <w:bCs/>
                <w:color w:val="000000"/>
                <w:sz w:val="20"/>
                <w:szCs w:val="20"/>
              </w:rPr>
            </w:pPr>
          </w:p>
        </w:tc>
        <w:tc>
          <w:tcPr>
            <w:tcW w:w="1170" w:type="dxa"/>
            <w:tcBorders>
              <w:top w:val="nil"/>
              <w:left w:val="single" w:sz="4" w:space="0" w:color="auto"/>
              <w:bottom w:val="nil"/>
              <w:right w:val="single" w:sz="4" w:space="0" w:color="auto"/>
            </w:tcBorders>
            <w:shd w:val="clear" w:color="auto" w:fill="auto"/>
            <w:vAlign w:val="bottom"/>
            <w:hideMark/>
          </w:tcPr>
          <w:p w:rsidR="00EBF7E7" w:rsidRPr="005120A7" w:rsidP="005120A7" w14:paraId="77AC8C74" w14:textId="2744D7C1">
            <w:pPr>
              <w:spacing w:after="0"/>
              <w:jc w:val="center"/>
              <w:rPr>
                <w:b/>
                <w:bCs/>
                <w:color w:val="000000" w:themeColor="text1"/>
                <w:sz w:val="20"/>
                <w:szCs w:val="20"/>
              </w:rPr>
            </w:pPr>
            <w:r w:rsidRPr="005120A7">
              <w:rPr>
                <w:b/>
                <w:bCs/>
                <w:color w:val="000000" w:themeColor="text1"/>
                <w:sz w:val="20"/>
                <w:szCs w:val="20"/>
              </w:rPr>
              <w:t>EPA Person-hours per occurrence</w:t>
            </w:r>
          </w:p>
        </w:tc>
        <w:tc>
          <w:tcPr>
            <w:tcW w:w="1260" w:type="dxa"/>
            <w:tcBorders>
              <w:top w:val="nil"/>
              <w:left w:val="nil"/>
              <w:bottom w:val="nil"/>
              <w:right w:val="single" w:sz="4" w:space="0" w:color="auto"/>
            </w:tcBorders>
            <w:shd w:val="clear" w:color="auto" w:fill="auto"/>
            <w:vAlign w:val="bottom"/>
            <w:hideMark/>
          </w:tcPr>
          <w:p w:rsidR="00EBF7E7" w:rsidRPr="005120A7" w:rsidP="005120A7" w14:paraId="61A7A343" w14:textId="247D2AC2">
            <w:pPr>
              <w:spacing w:after="0"/>
              <w:jc w:val="center"/>
              <w:rPr>
                <w:b/>
                <w:bCs/>
                <w:color w:val="000000" w:themeColor="text1"/>
                <w:sz w:val="20"/>
                <w:szCs w:val="20"/>
              </w:rPr>
            </w:pPr>
            <w:r w:rsidRPr="005120A7">
              <w:rPr>
                <w:b/>
                <w:bCs/>
                <w:color w:val="000000" w:themeColor="text1"/>
                <w:sz w:val="20"/>
                <w:szCs w:val="20"/>
              </w:rPr>
              <w:t>No. of occurrences per respondent per year</w:t>
            </w:r>
          </w:p>
        </w:tc>
        <w:tc>
          <w:tcPr>
            <w:tcW w:w="1350" w:type="dxa"/>
            <w:tcBorders>
              <w:top w:val="nil"/>
              <w:left w:val="nil"/>
              <w:bottom w:val="single" w:sz="4" w:space="0" w:color="auto"/>
              <w:right w:val="single" w:sz="4" w:space="0" w:color="auto"/>
            </w:tcBorders>
            <w:shd w:val="clear" w:color="auto" w:fill="auto"/>
            <w:vAlign w:val="bottom"/>
            <w:hideMark/>
          </w:tcPr>
          <w:p w:rsidR="00EBF7E7" w:rsidRPr="005120A7" w:rsidP="005120A7" w14:paraId="2B2E787C" w14:textId="64BD4408">
            <w:pPr>
              <w:spacing w:after="0"/>
              <w:jc w:val="center"/>
              <w:rPr>
                <w:b/>
                <w:bCs/>
                <w:color w:val="000000" w:themeColor="text1"/>
                <w:sz w:val="20"/>
                <w:szCs w:val="20"/>
              </w:rPr>
            </w:pPr>
            <w:r w:rsidRPr="005120A7">
              <w:rPr>
                <w:b/>
                <w:bCs/>
                <w:color w:val="000000" w:themeColor="text1"/>
                <w:sz w:val="20"/>
                <w:szCs w:val="20"/>
              </w:rPr>
              <w:t>EPA Person-hours per plant per year</w:t>
            </w:r>
            <w:r>
              <w:br/>
            </w:r>
            <w:r w:rsidRPr="005120A7">
              <w:rPr>
                <w:b/>
                <w:bCs/>
                <w:color w:val="000000" w:themeColor="text1"/>
                <w:sz w:val="20"/>
                <w:szCs w:val="20"/>
              </w:rPr>
              <w:t xml:space="preserve"> (A) x (B)</w:t>
            </w:r>
          </w:p>
        </w:tc>
        <w:tc>
          <w:tcPr>
            <w:tcW w:w="990" w:type="dxa"/>
            <w:tcBorders>
              <w:top w:val="nil"/>
              <w:left w:val="nil"/>
              <w:bottom w:val="nil"/>
              <w:right w:val="single" w:sz="4" w:space="0" w:color="auto"/>
            </w:tcBorders>
            <w:shd w:val="clear" w:color="auto" w:fill="auto"/>
            <w:vAlign w:val="bottom"/>
            <w:hideMark/>
          </w:tcPr>
          <w:p w:rsidR="00EBF7E7" w:rsidRPr="005120A7" w:rsidP="005120A7" w14:paraId="16A0E21A" w14:textId="2B4429EE">
            <w:pPr>
              <w:spacing w:after="0"/>
              <w:jc w:val="center"/>
              <w:rPr>
                <w:b/>
                <w:bCs/>
                <w:color w:val="000000" w:themeColor="text1"/>
                <w:sz w:val="20"/>
                <w:szCs w:val="20"/>
              </w:rPr>
            </w:pPr>
            <w:r w:rsidRPr="005120A7">
              <w:rPr>
                <w:b/>
                <w:bCs/>
                <w:color w:val="000000" w:themeColor="text1"/>
                <w:sz w:val="20"/>
                <w:szCs w:val="20"/>
              </w:rPr>
              <w:t>Plants per year</w:t>
            </w:r>
          </w:p>
        </w:tc>
        <w:tc>
          <w:tcPr>
            <w:tcW w:w="1080" w:type="dxa"/>
            <w:tcBorders>
              <w:top w:val="nil"/>
              <w:left w:val="nil"/>
              <w:bottom w:val="single" w:sz="4" w:space="0" w:color="auto"/>
              <w:right w:val="single" w:sz="4" w:space="0" w:color="auto"/>
            </w:tcBorders>
            <w:shd w:val="clear" w:color="auto" w:fill="auto"/>
            <w:vAlign w:val="bottom"/>
            <w:hideMark/>
          </w:tcPr>
          <w:p w:rsidR="00EBF7E7" w:rsidRPr="005120A7" w:rsidP="005120A7" w14:paraId="0D8E9567" w14:textId="184853D5">
            <w:pPr>
              <w:spacing w:after="0"/>
              <w:jc w:val="center"/>
              <w:rPr>
                <w:b/>
                <w:bCs/>
                <w:color w:val="000000" w:themeColor="text1"/>
                <w:sz w:val="20"/>
                <w:szCs w:val="20"/>
              </w:rPr>
            </w:pPr>
            <w:r w:rsidRPr="005120A7">
              <w:rPr>
                <w:b/>
                <w:bCs/>
                <w:color w:val="000000" w:themeColor="text1"/>
                <w:sz w:val="20"/>
                <w:szCs w:val="20"/>
              </w:rPr>
              <w:t>Technical person-hours</w:t>
            </w:r>
            <w:r>
              <w:br/>
            </w:r>
            <w:r w:rsidRPr="005120A7">
              <w:rPr>
                <w:b/>
                <w:bCs/>
                <w:color w:val="000000" w:themeColor="text1"/>
                <w:sz w:val="20"/>
                <w:szCs w:val="20"/>
              </w:rPr>
              <w:t xml:space="preserve"> (C) x (D)</w:t>
            </w:r>
          </w:p>
        </w:tc>
        <w:tc>
          <w:tcPr>
            <w:tcW w:w="1160" w:type="dxa"/>
            <w:tcBorders>
              <w:top w:val="nil"/>
              <w:left w:val="nil"/>
              <w:bottom w:val="single" w:sz="4" w:space="0" w:color="auto"/>
              <w:right w:val="single" w:sz="4" w:space="0" w:color="auto"/>
            </w:tcBorders>
            <w:shd w:val="clear" w:color="auto" w:fill="auto"/>
            <w:vAlign w:val="bottom"/>
            <w:hideMark/>
          </w:tcPr>
          <w:p w:rsidR="00EBF7E7" w:rsidRPr="005120A7" w:rsidP="005120A7" w14:paraId="322FA276" w14:textId="25D059E4">
            <w:pPr>
              <w:spacing w:after="0"/>
              <w:jc w:val="center"/>
              <w:rPr>
                <w:b/>
                <w:bCs/>
                <w:color w:val="000000" w:themeColor="text1"/>
                <w:sz w:val="20"/>
                <w:szCs w:val="20"/>
              </w:rPr>
            </w:pPr>
            <w:r w:rsidRPr="005120A7">
              <w:rPr>
                <w:b/>
                <w:bCs/>
                <w:color w:val="000000" w:themeColor="text1"/>
                <w:sz w:val="20"/>
                <w:szCs w:val="20"/>
              </w:rPr>
              <w:t>Managerial person-hours</w:t>
            </w:r>
            <w:r>
              <w:br/>
            </w:r>
            <w:r w:rsidRPr="005120A7">
              <w:rPr>
                <w:b/>
                <w:bCs/>
                <w:color w:val="000000" w:themeColor="text1"/>
                <w:sz w:val="20"/>
                <w:szCs w:val="20"/>
              </w:rPr>
              <w:t xml:space="preserve"> (E) x 0.05</w:t>
            </w:r>
          </w:p>
        </w:tc>
        <w:tc>
          <w:tcPr>
            <w:tcW w:w="1170" w:type="dxa"/>
            <w:tcBorders>
              <w:top w:val="nil"/>
              <w:left w:val="nil"/>
              <w:bottom w:val="single" w:sz="4" w:space="0" w:color="auto"/>
              <w:right w:val="single" w:sz="4" w:space="0" w:color="auto"/>
            </w:tcBorders>
            <w:shd w:val="clear" w:color="auto" w:fill="auto"/>
            <w:vAlign w:val="bottom"/>
            <w:hideMark/>
          </w:tcPr>
          <w:p w:rsidR="00EBF7E7" w:rsidRPr="005120A7" w:rsidP="005120A7" w14:paraId="675994EE" w14:textId="70FAFE90">
            <w:pPr>
              <w:spacing w:after="0"/>
              <w:jc w:val="center"/>
              <w:rPr>
                <w:b/>
                <w:bCs/>
                <w:color w:val="000000" w:themeColor="text1"/>
                <w:sz w:val="20"/>
                <w:szCs w:val="20"/>
              </w:rPr>
            </w:pPr>
            <w:r w:rsidRPr="005120A7">
              <w:rPr>
                <w:b/>
                <w:bCs/>
                <w:color w:val="000000" w:themeColor="text1"/>
                <w:sz w:val="20"/>
                <w:szCs w:val="20"/>
              </w:rPr>
              <w:t>Clerical person-hours</w:t>
            </w:r>
            <w:r>
              <w:br/>
            </w:r>
            <w:r w:rsidRPr="005120A7">
              <w:rPr>
                <w:b/>
                <w:bCs/>
                <w:color w:val="000000" w:themeColor="text1"/>
                <w:sz w:val="20"/>
                <w:szCs w:val="20"/>
              </w:rPr>
              <w:t xml:space="preserve"> (E) x 0.10</w:t>
            </w:r>
          </w:p>
        </w:tc>
        <w:tc>
          <w:tcPr>
            <w:tcW w:w="1308" w:type="dxa"/>
            <w:gridSpan w:val="2"/>
            <w:tcBorders>
              <w:top w:val="nil"/>
              <w:left w:val="nil"/>
              <w:bottom w:val="nil"/>
              <w:right w:val="single" w:sz="4" w:space="0" w:color="auto"/>
            </w:tcBorders>
            <w:shd w:val="clear" w:color="auto" w:fill="auto"/>
            <w:vAlign w:val="bottom"/>
            <w:hideMark/>
          </w:tcPr>
          <w:p w:rsidR="00EBF7E7" w:rsidRPr="005120A7" w:rsidP="005120A7" w14:paraId="7FAAF003" w14:textId="7934C5D3">
            <w:pPr>
              <w:spacing w:after="0"/>
              <w:jc w:val="center"/>
              <w:rPr>
                <w:b/>
                <w:bCs/>
                <w:color w:val="000000" w:themeColor="text1"/>
                <w:sz w:val="20"/>
                <w:szCs w:val="20"/>
                <w:vertAlign w:val="superscript"/>
              </w:rPr>
            </w:pPr>
            <w:r w:rsidRPr="005120A7">
              <w:rPr>
                <w:b/>
                <w:bCs/>
                <w:color w:val="000000" w:themeColor="text1"/>
                <w:sz w:val="20"/>
                <w:szCs w:val="20"/>
              </w:rPr>
              <w:t xml:space="preserve">Cost, $ </w:t>
            </w:r>
            <w:r w:rsidRPr="005120A7">
              <w:rPr>
                <w:b/>
                <w:bCs/>
                <w:color w:val="000000" w:themeColor="text1"/>
                <w:sz w:val="20"/>
                <w:szCs w:val="20"/>
                <w:vertAlign w:val="superscript"/>
              </w:rPr>
              <w:t>a</w:t>
            </w:r>
          </w:p>
        </w:tc>
      </w:tr>
      <w:tr w14:paraId="3E87E393" w14:textId="77777777" w:rsidTr="0096107B">
        <w:tblPrEx>
          <w:tblW w:w="17164" w:type="dxa"/>
          <w:tblInd w:w="108" w:type="dxa"/>
          <w:tblLook w:val="04A0"/>
        </w:tblPrEx>
        <w:trPr>
          <w:gridAfter w:val="4"/>
          <w:wAfter w:w="4166" w:type="dxa"/>
          <w:trHeight w:val="300"/>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EBF7E7" w:rsidRPr="005120A7" w:rsidP="005120A7" w14:paraId="28E96FDA" w14:textId="2E09F3AE">
            <w:pPr>
              <w:spacing w:after="0"/>
              <w:rPr>
                <w:color w:val="000000" w:themeColor="text1"/>
                <w:sz w:val="20"/>
                <w:szCs w:val="20"/>
              </w:rPr>
            </w:pPr>
            <w:r w:rsidRPr="005120A7">
              <w:rPr>
                <w:color w:val="000000" w:themeColor="text1"/>
                <w:sz w:val="20"/>
                <w:szCs w:val="20"/>
              </w:rPr>
              <w:t>Report Review:</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BF7E7" w:rsidP="00EBF7E7" w14:paraId="7EC73349" w14:textId="5576808D"/>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F7E7" w:rsidP="00EBF7E7" w14:paraId="350788BA" w14:textId="60E30ED1"/>
        </w:tc>
        <w:tc>
          <w:tcPr>
            <w:tcW w:w="1350" w:type="dxa"/>
            <w:tcBorders>
              <w:top w:val="nil"/>
              <w:left w:val="nil"/>
              <w:bottom w:val="single" w:sz="4" w:space="0" w:color="auto"/>
              <w:right w:val="single" w:sz="4" w:space="0" w:color="auto"/>
            </w:tcBorders>
            <w:shd w:val="clear" w:color="auto" w:fill="auto"/>
            <w:vAlign w:val="center"/>
            <w:hideMark/>
          </w:tcPr>
          <w:p w:rsidR="00EBF7E7" w:rsidP="00EBF7E7" w14:paraId="393A4376" w14:textId="31F59BD7"/>
        </w:tc>
        <w:tc>
          <w:tcPr>
            <w:tcW w:w="990" w:type="dxa"/>
            <w:tcBorders>
              <w:top w:val="single" w:sz="4" w:space="0" w:color="auto"/>
              <w:left w:val="nil"/>
              <w:bottom w:val="single" w:sz="4" w:space="0" w:color="auto"/>
              <w:right w:val="single" w:sz="4" w:space="0" w:color="auto"/>
            </w:tcBorders>
            <w:shd w:val="clear" w:color="auto" w:fill="auto"/>
            <w:vAlign w:val="center"/>
            <w:hideMark/>
          </w:tcPr>
          <w:p w:rsidR="00EBF7E7" w:rsidP="00EBF7E7" w14:paraId="49F843C1" w14:textId="62B6E068"/>
        </w:tc>
        <w:tc>
          <w:tcPr>
            <w:tcW w:w="1080" w:type="dxa"/>
            <w:tcBorders>
              <w:top w:val="nil"/>
              <w:left w:val="nil"/>
              <w:bottom w:val="single" w:sz="4" w:space="0" w:color="auto"/>
              <w:right w:val="single" w:sz="4" w:space="0" w:color="auto"/>
            </w:tcBorders>
            <w:shd w:val="clear" w:color="auto" w:fill="auto"/>
            <w:vAlign w:val="center"/>
            <w:hideMark/>
          </w:tcPr>
          <w:p w:rsidR="00EBF7E7" w:rsidP="00EBF7E7" w14:paraId="7C101580" w14:textId="4F82BCDA"/>
        </w:tc>
        <w:tc>
          <w:tcPr>
            <w:tcW w:w="1160" w:type="dxa"/>
            <w:tcBorders>
              <w:top w:val="nil"/>
              <w:left w:val="nil"/>
              <w:bottom w:val="single" w:sz="4" w:space="0" w:color="auto"/>
              <w:right w:val="single" w:sz="4" w:space="0" w:color="auto"/>
            </w:tcBorders>
            <w:shd w:val="clear" w:color="auto" w:fill="auto"/>
            <w:vAlign w:val="center"/>
            <w:hideMark/>
          </w:tcPr>
          <w:p w:rsidR="00EBF7E7" w:rsidP="00EBF7E7" w14:paraId="6C9E73E8" w14:textId="106FD158"/>
        </w:tc>
        <w:tc>
          <w:tcPr>
            <w:tcW w:w="1170" w:type="dxa"/>
            <w:tcBorders>
              <w:top w:val="nil"/>
              <w:left w:val="nil"/>
              <w:bottom w:val="single" w:sz="4" w:space="0" w:color="auto"/>
              <w:right w:val="single" w:sz="4" w:space="0" w:color="auto"/>
            </w:tcBorders>
            <w:shd w:val="clear" w:color="auto" w:fill="auto"/>
            <w:vAlign w:val="center"/>
            <w:hideMark/>
          </w:tcPr>
          <w:p w:rsidR="00EBF7E7" w:rsidP="00EBF7E7" w14:paraId="4E673F62" w14:textId="6FB2169D"/>
        </w:tc>
        <w:tc>
          <w:tcPr>
            <w:tcW w:w="1308" w:type="dxa"/>
            <w:gridSpan w:val="2"/>
            <w:tcBorders>
              <w:top w:val="single" w:sz="4" w:space="0" w:color="auto"/>
              <w:left w:val="nil"/>
              <w:bottom w:val="single" w:sz="4" w:space="0" w:color="auto"/>
              <w:right w:val="single" w:sz="4" w:space="0" w:color="auto"/>
            </w:tcBorders>
            <w:shd w:val="clear" w:color="auto" w:fill="auto"/>
            <w:hideMark/>
          </w:tcPr>
          <w:p w:rsidR="00EBF7E7" w:rsidP="00EBF7E7" w14:paraId="2AE4AD60" w14:textId="1232CA9C"/>
        </w:tc>
      </w:tr>
      <w:tr w14:paraId="1C1A8A48" w14:textId="77777777" w:rsidTr="0096107B">
        <w:tblPrEx>
          <w:tblW w:w="17164" w:type="dxa"/>
          <w:tblInd w:w="108" w:type="dxa"/>
          <w:tblLook w:val="04A0"/>
        </w:tblPrEx>
        <w:trPr>
          <w:gridAfter w:val="4"/>
          <w:wAfter w:w="4166" w:type="dxa"/>
          <w:trHeight w:val="300"/>
        </w:trPr>
        <w:tc>
          <w:tcPr>
            <w:tcW w:w="3510" w:type="dxa"/>
            <w:tcBorders>
              <w:top w:val="nil"/>
              <w:left w:val="single" w:sz="4" w:space="0" w:color="auto"/>
              <w:bottom w:val="single" w:sz="4" w:space="0" w:color="auto"/>
              <w:right w:val="single" w:sz="4" w:space="0" w:color="auto"/>
            </w:tcBorders>
            <w:shd w:val="clear" w:color="auto" w:fill="auto"/>
            <w:hideMark/>
          </w:tcPr>
          <w:p w:rsidR="00EBF7E7" w:rsidRPr="005120A7" w:rsidP="005120A7" w14:paraId="6A7DEDC7" w14:textId="03670B45">
            <w:pPr>
              <w:spacing w:after="0"/>
              <w:rPr>
                <w:color w:val="000000" w:themeColor="text1"/>
                <w:sz w:val="20"/>
                <w:szCs w:val="20"/>
                <w:vertAlign w:val="superscript"/>
              </w:rPr>
            </w:pPr>
            <w:r w:rsidRPr="005120A7">
              <w:rPr>
                <w:color w:val="000000" w:themeColor="text1"/>
                <w:sz w:val="20"/>
                <w:szCs w:val="20"/>
              </w:rPr>
              <w:t xml:space="preserve">     Initial Notification of applicability </w:t>
            </w:r>
            <w:r w:rsidRPr="005120A7">
              <w:rPr>
                <w:color w:val="000000" w:themeColor="text1"/>
                <w:sz w:val="20"/>
                <w:szCs w:val="20"/>
                <w:vertAlign w:val="superscript"/>
              </w:rPr>
              <w:t>b</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12667603" w14:textId="7D79F016">
            <w:pPr>
              <w:spacing w:after="0"/>
              <w:jc w:val="center"/>
              <w:rPr>
                <w:color w:val="000000" w:themeColor="text1"/>
                <w:sz w:val="20"/>
                <w:szCs w:val="20"/>
              </w:rPr>
            </w:pPr>
            <w:r w:rsidRPr="005120A7">
              <w:rPr>
                <w:color w:val="000000" w:themeColor="text1"/>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EBF7E7" w:rsidRPr="005120A7" w:rsidP="005120A7" w14:paraId="5AFCFF02" w14:textId="6508984E">
            <w:pPr>
              <w:spacing w:after="0"/>
              <w:jc w:val="center"/>
              <w:rPr>
                <w:color w:val="000000" w:themeColor="text1"/>
                <w:sz w:val="20"/>
                <w:szCs w:val="20"/>
              </w:rPr>
            </w:pPr>
            <w:r w:rsidRPr="005120A7">
              <w:rPr>
                <w:color w:val="000000" w:themeColor="text1"/>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EBF7E7" w:rsidRPr="005120A7" w:rsidP="005120A7" w14:paraId="36D7BA16" w14:textId="13436889">
            <w:pPr>
              <w:spacing w:after="0"/>
              <w:jc w:val="center"/>
              <w:rPr>
                <w:color w:val="000000" w:themeColor="text1"/>
                <w:sz w:val="20"/>
                <w:szCs w:val="20"/>
              </w:rPr>
            </w:pPr>
            <w:r w:rsidRPr="005120A7">
              <w:rPr>
                <w:color w:val="000000" w:themeColor="text1"/>
                <w:sz w:val="20"/>
                <w:szCs w:val="20"/>
              </w:rPr>
              <w:t>1</w:t>
            </w:r>
          </w:p>
        </w:tc>
        <w:tc>
          <w:tcPr>
            <w:tcW w:w="990" w:type="dxa"/>
            <w:tcBorders>
              <w:top w:val="nil"/>
              <w:left w:val="nil"/>
              <w:bottom w:val="single" w:sz="4" w:space="0" w:color="auto"/>
              <w:right w:val="single" w:sz="4" w:space="0" w:color="auto"/>
            </w:tcBorders>
            <w:shd w:val="clear" w:color="auto" w:fill="auto"/>
            <w:vAlign w:val="center"/>
            <w:hideMark/>
          </w:tcPr>
          <w:p w:rsidR="00EBF7E7" w:rsidRPr="005120A7" w:rsidP="005120A7" w14:paraId="5420467E" w14:textId="5FFF9CDB">
            <w:pPr>
              <w:spacing w:after="0"/>
              <w:jc w:val="center"/>
              <w:rPr>
                <w:color w:val="000000" w:themeColor="text1"/>
                <w:sz w:val="20"/>
                <w:szCs w:val="20"/>
              </w:rPr>
            </w:pPr>
            <w:r w:rsidRPr="005120A7">
              <w:rPr>
                <w:color w:val="000000" w:themeColor="text1"/>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BF7E7" w:rsidRPr="005120A7" w:rsidP="005120A7" w14:paraId="043B37CE" w14:textId="44A70FF9">
            <w:pPr>
              <w:spacing w:after="0"/>
              <w:jc w:val="center"/>
              <w:rPr>
                <w:color w:val="000000" w:themeColor="text1"/>
                <w:sz w:val="20"/>
                <w:szCs w:val="20"/>
              </w:rPr>
            </w:pPr>
            <w:r w:rsidRPr="005120A7">
              <w:rPr>
                <w:color w:val="000000" w:themeColor="text1"/>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EBF7E7" w:rsidRPr="005120A7" w:rsidP="005120A7" w14:paraId="55E46B9D" w14:textId="003D6473">
            <w:pPr>
              <w:spacing w:after="0"/>
              <w:jc w:val="center"/>
              <w:rPr>
                <w:color w:val="000000" w:themeColor="text1"/>
                <w:sz w:val="20"/>
                <w:szCs w:val="20"/>
              </w:rPr>
            </w:pPr>
            <w:r w:rsidRPr="005120A7">
              <w:rPr>
                <w:color w:val="000000" w:themeColor="text1"/>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59855831" w14:textId="07A07268">
            <w:pPr>
              <w:spacing w:after="0"/>
              <w:jc w:val="center"/>
              <w:rPr>
                <w:color w:val="000000" w:themeColor="text1"/>
                <w:sz w:val="20"/>
                <w:szCs w:val="20"/>
              </w:rPr>
            </w:pPr>
            <w:r w:rsidRPr="005120A7">
              <w:rPr>
                <w:color w:val="000000" w:themeColor="text1"/>
                <w:sz w:val="20"/>
                <w:szCs w:val="20"/>
              </w:rPr>
              <w:t>0</w:t>
            </w:r>
          </w:p>
        </w:tc>
        <w:tc>
          <w:tcPr>
            <w:tcW w:w="1308" w:type="dxa"/>
            <w:gridSpan w:val="2"/>
            <w:tcBorders>
              <w:top w:val="nil"/>
              <w:left w:val="nil"/>
              <w:bottom w:val="single" w:sz="4" w:space="0" w:color="auto"/>
              <w:right w:val="single" w:sz="4" w:space="0" w:color="auto"/>
            </w:tcBorders>
            <w:shd w:val="clear" w:color="auto" w:fill="auto"/>
            <w:vAlign w:val="center"/>
            <w:hideMark/>
          </w:tcPr>
          <w:p w:rsidR="00EBF7E7" w:rsidRPr="005120A7" w:rsidP="005120A7" w14:paraId="407C2C6F" w14:textId="6DF40083">
            <w:pPr>
              <w:spacing w:after="0"/>
              <w:jc w:val="right"/>
              <w:rPr>
                <w:color w:val="000000" w:themeColor="text1"/>
                <w:sz w:val="20"/>
                <w:szCs w:val="20"/>
              </w:rPr>
            </w:pPr>
            <w:r w:rsidRPr="005120A7">
              <w:rPr>
                <w:color w:val="000000" w:themeColor="text1"/>
                <w:sz w:val="20"/>
                <w:szCs w:val="20"/>
              </w:rPr>
              <w:t xml:space="preserve">$0 </w:t>
            </w:r>
          </w:p>
        </w:tc>
      </w:tr>
      <w:tr w14:paraId="708B5CA6" w14:textId="77777777" w:rsidTr="0096107B">
        <w:tblPrEx>
          <w:tblW w:w="17164" w:type="dxa"/>
          <w:tblInd w:w="108" w:type="dxa"/>
          <w:tblLook w:val="04A0"/>
        </w:tblPrEx>
        <w:trPr>
          <w:gridAfter w:val="4"/>
          <w:wAfter w:w="4166" w:type="dxa"/>
          <w:trHeight w:val="300"/>
        </w:trPr>
        <w:tc>
          <w:tcPr>
            <w:tcW w:w="3510" w:type="dxa"/>
            <w:tcBorders>
              <w:top w:val="nil"/>
              <w:left w:val="single" w:sz="4" w:space="0" w:color="auto"/>
              <w:bottom w:val="single" w:sz="4" w:space="0" w:color="auto"/>
              <w:right w:val="single" w:sz="4" w:space="0" w:color="auto"/>
            </w:tcBorders>
            <w:shd w:val="clear" w:color="auto" w:fill="auto"/>
            <w:hideMark/>
          </w:tcPr>
          <w:p w:rsidR="00EBF7E7" w:rsidRPr="005120A7" w:rsidP="005120A7" w14:paraId="00903CB8" w14:textId="5434E2F3">
            <w:pPr>
              <w:spacing w:after="0"/>
              <w:rPr>
                <w:color w:val="000000" w:themeColor="text1"/>
                <w:sz w:val="20"/>
                <w:szCs w:val="20"/>
                <w:vertAlign w:val="superscript"/>
              </w:rPr>
            </w:pPr>
            <w:r w:rsidRPr="005120A7">
              <w:rPr>
                <w:color w:val="000000" w:themeColor="text1"/>
                <w:sz w:val="20"/>
                <w:szCs w:val="20"/>
              </w:rPr>
              <w:t xml:space="preserve">     Notification of Compliance Status </w:t>
            </w:r>
            <w:r w:rsidRPr="005120A7">
              <w:rPr>
                <w:color w:val="000000" w:themeColor="text1"/>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53C01C42" w14:textId="229B9149">
            <w:pPr>
              <w:spacing w:after="0"/>
              <w:jc w:val="center"/>
              <w:rPr>
                <w:color w:val="000000" w:themeColor="text1"/>
                <w:sz w:val="20"/>
                <w:szCs w:val="20"/>
              </w:rPr>
            </w:pPr>
            <w:r w:rsidRPr="005120A7">
              <w:rPr>
                <w:color w:val="000000" w:themeColor="text1"/>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EBF7E7" w:rsidRPr="005120A7" w:rsidP="005120A7" w14:paraId="1C52E94D" w14:textId="69DF7768">
            <w:pPr>
              <w:spacing w:after="0"/>
              <w:jc w:val="center"/>
              <w:rPr>
                <w:color w:val="000000" w:themeColor="text1"/>
                <w:sz w:val="20"/>
                <w:szCs w:val="20"/>
              </w:rPr>
            </w:pPr>
            <w:r w:rsidRPr="005120A7">
              <w:rPr>
                <w:color w:val="000000" w:themeColor="text1"/>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EBF7E7" w:rsidRPr="005120A7" w:rsidP="005120A7" w14:paraId="24B482EF" w14:textId="4C87D1EA">
            <w:pPr>
              <w:spacing w:after="0"/>
              <w:jc w:val="center"/>
              <w:rPr>
                <w:color w:val="000000" w:themeColor="text1"/>
                <w:sz w:val="20"/>
                <w:szCs w:val="20"/>
              </w:rPr>
            </w:pPr>
            <w:r w:rsidRPr="005120A7">
              <w:rPr>
                <w:color w:val="000000" w:themeColor="text1"/>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rsidR="00EBF7E7" w:rsidRPr="005120A7" w:rsidP="005120A7" w14:paraId="68652008" w14:textId="142C37E7">
            <w:pPr>
              <w:spacing w:after="0"/>
              <w:jc w:val="center"/>
              <w:rPr>
                <w:color w:val="000000" w:themeColor="text1"/>
                <w:sz w:val="20"/>
                <w:szCs w:val="20"/>
              </w:rPr>
            </w:pPr>
            <w:r w:rsidRPr="005120A7">
              <w:rPr>
                <w:color w:val="000000" w:themeColor="text1"/>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EBF7E7" w:rsidRPr="005120A7" w:rsidP="005120A7" w14:paraId="2B2D94A0" w14:textId="270AC7E0">
            <w:pPr>
              <w:spacing w:after="0"/>
              <w:jc w:val="center"/>
              <w:rPr>
                <w:color w:val="000000" w:themeColor="text1"/>
                <w:sz w:val="20"/>
                <w:szCs w:val="20"/>
              </w:rPr>
            </w:pPr>
            <w:r w:rsidRPr="005120A7">
              <w:rPr>
                <w:color w:val="000000" w:themeColor="text1"/>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rsidR="00EBF7E7" w:rsidRPr="005120A7" w:rsidP="005120A7" w14:paraId="22319CD0" w14:textId="279C044F">
            <w:pPr>
              <w:spacing w:after="0"/>
              <w:jc w:val="center"/>
              <w:rPr>
                <w:color w:val="000000" w:themeColor="text1"/>
                <w:sz w:val="20"/>
                <w:szCs w:val="20"/>
              </w:rPr>
            </w:pPr>
            <w:r w:rsidRPr="005120A7">
              <w:rPr>
                <w:color w:val="000000" w:themeColor="text1"/>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5BB0F3CF" w14:textId="0D53AF19">
            <w:pPr>
              <w:spacing w:after="0"/>
              <w:jc w:val="center"/>
              <w:rPr>
                <w:color w:val="000000" w:themeColor="text1"/>
                <w:sz w:val="20"/>
                <w:szCs w:val="20"/>
              </w:rPr>
            </w:pPr>
            <w:r w:rsidRPr="005120A7">
              <w:rPr>
                <w:color w:val="000000" w:themeColor="text1"/>
                <w:sz w:val="20"/>
                <w:szCs w:val="20"/>
              </w:rPr>
              <w:t>0</w:t>
            </w:r>
          </w:p>
        </w:tc>
        <w:tc>
          <w:tcPr>
            <w:tcW w:w="1308" w:type="dxa"/>
            <w:gridSpan w:val="2"/>
            <w:tcBorders>
              <w:top w:val="nil"/>
              <w:left w:val="nil"/>
              <w:bottom w:val="single" w:sz="4" w:space="0" w:color="auto"/>
              <w:right w:val="single" w:sz="4" w:space="0" w:color="auto"/>
            </w:tcBorders>
            <w:shd w:val="clear" w:color="auto" w:fill="auto"/>
            <w:vAlign w:val="center"/>
            <w:hideMark/>
          </w:tcPr>
          <w:p w:rsidR="00EBF7E7" w:rsidRPr="005120A7" w:rsidP="005120A7" w14:paraId="5C6A546A" w14:textId="65E32588">
            <w:pPr>
              <w:spacing w:after="0"/>
              <w:jc w:val="right"/>
              <w:rPr>
                <w:color w:val="000000" w:themeColor="text1"/>
                <w:sz w:val="20"/>
                <w:szCs w:val="20"/>
              </w:rPr>
            </w:pPr>
            <w:r w:rsidRPr="005120A7">
              <w:rPr>
                <w:color w:val="000000" w:themeColor="text1"/>
                <w:sz w:val="20"/>
                <w:szCs w:val="20"/>
              </w:rPr>
              <w:t xml:space="preserve">$0 </w:t>
            </w:r>
          </w:p>
        </w:tc>
      </w:tr>
      <w:tr w14:paraId="30F1D950" w14:textId="77777777" w:rsidTr="0096107B">
        <w:tblPrEx>
          <w:tblW w:w="17164" w:type="dxa"/>
          <w:tblInd w:w="108" w:type="dxa"/>
          <w:tblLook w:val="04A0"/>
        </w:tblPrEx>
        <w:trPr>
          <w:gridAfter w:val="4"/>
          <w:wAfter w:w="4166" w:type="dxa"/>
          <w:trHeight w:val="300"/>
        </w:trPr>
        <w:tc>
          <w:tcPr>
            <w:tcW w:w="3510" w:type="dxa"/>
            <w:tcBorders>
              <w:top w:val="nil"/>
              <w:left w:val="single" w:sz="4" w:space="0" w:color="auto"/>
              <w:bottom w:val="single" w:sz="4" w:space="0" w:color="auto"/>
              <w:right w:val="single" w:sz="4" w:space="0" w:color="auto"/>
            </w:tcBorders>
            <w:shd w:val="clear" w:color="auto" w:fill="auto"/>
            <w:hideMark/>
          </w:tcPr>
          <w:p w:rsidR="00EBF7E7" w:rsidRPr="005120A7" w:rsidP="005120A7" w14:paraId="21238B08" w14:textId="798FB662">
            <w:pPr>
              <w:spacing w:after="0"/>
              <w:rPr>
                <w:color w:val="000000" w:themeColor="text1"/>
                <w:sz w:val="20"/>
                <w:szCs w:val="20"/>
                <w:vertAlign w:val="superscript"/>
              </w:rPr>
            </w:pPr>
            <w:r w:rsidRPr="005120A7">
              <w:rPr>
                <w:color w:val="000000" w:themeColor="text1"/>
                <w:sz w:val="20"/>
                <w:szCs w:val="20"/>
              </w:rPr>
              <w:t xml:space="preserve">     Annual Compliance Certification </w:t>
            </w:r>
            <w:r w:rsidRPr="005120A7">
              <w:rPr>
                <w:color w:val="000000" w:themeColor="text1"/>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4FD2FA81" w14:textId="25F4603E">
            <w:pPr>
              <w:spacing w:after="0"/>
              <w:jc w:val="center"/>
              <w:rPr>
                <w:color w:val="000000" w:themeColor="text1"/>
                <w:sz w:val="20"/>
                <w:szCs w:val="20"/>
              </w:rPr>
            </w:pPr>
            <w:r w:rsidRPr="005120A7">
              <w:rPr>
                <w:color w:val="000000" w:themeColor="text1"/>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EBF7E7" w:rsidRPr="005120A7" w:rsidP="005120A7" w14:paraId="55D3CE7F" w14:textId="17176AC2">
            <w:pPr>
              <w:spacing w:after="0"/>
              <w:jc w:val="center"/>
              <w:rPr>
                <w:color w:val="000000" w:themeColor="text1"/>
                <w:sz w:val="20"/>
                <w:szCs w:val="20"/>
              </w:rPr>
            </w:pPr>
            <w:r w:rsidRPr="005120A7">
              <w:rPr>
                <w:color w:val="000000" w:themeColor="text1"/>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EBF7E7" w:rsidRPr="005120A7" w:rsidP="005120A7" w14:paraId="45AD4E7D" w14:textId="02FF6CFA">
            <w:pPr>
              <w:spacing w:after="0"/>
              <w:jc w:val="center"/>
              <w:rPr>
                <w:color w:val="000000" w:themeColor="text1"/>
                <w:sz w:val="20"/>
                <w:szCs w:val="20"/>
              </w:rPr>
            </w:pPr>
            <w:r w:rsidRPr="005120A7">
              <w:rPr>
                <w:color w:val="000000" w:themeColor="text1"/>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rsidR="00EBF7E7" w:rsidRPr="005120A7" w:rsidP="005120A7" w14:paraId="6593605A" w14:textId="50552730">
            <w:pPr>
              <w:spacing w:after="0"/>
              <w:jc w:val="center"/>
              <w:rPr>
                <w:color w:val="000000" w:themeColor="text1"/>
                <w:sz w:val="20"/>
                <w:szCs w:val="20"/>
              </w:rPr>
            </w:pPr>
            <w:r w:rsidRPr="005120A7">
              <w:rPr>
                <w:color w:val="000000" w:themeColor="text1"/>
                <w:sz w:val="20"/>
                <w:szCs w:val="20"/>
              </w:rPr>
              <w:t>145</w:t>
            </w:r>
          </w:p>
        </w:tc>
        <w:tc>
          <w:tcPr>
            <w:tcW w:w="1080" w:type="dxa"/>
            <w:tcBorders>
              <w:top w:val="nil"/>
              <w:left w:val="nil"/>
              <w:bottom w:val="single" w:sz="4" w:space="0" w:color="auto"/>
              <w:right w:val="single" w:sz="4" w:space="0" w:color="auto"/>
            </w:tcBorders>
            <w:shd w:val="clear" w:color="auto" w:fill="auto"/>
            <w:vAlign w:val="center"/>
            <w:hideMark/>
          </w:tcPr>
          <w:p w:rsidR="00EBF7E7" w:rsidRPr="005120A7" w:rsidP="005120A7" w14:paraId="07E8371C" w14:textId="0F5D5249">
            <w:pPr>
              <w:spacing w:after="0"/>
              <w:jc w:val="center"/>
              <w:rPr>
                <w:color w:val="000000" w:themeColor="text1"/>
                <w:sz w:val="20"/>
                <w:szCs w:val="20"/>
              </w:rPr>
            </w:pPr>
            <w:r w:rsidRPr="005120A7">
              <w:rPr>
                <w:color w:val="000000" w:themeColor="text1"/>
                <w:sz w:val="20"/>
                <w:szCs w:val="20"/>
              </w:rPr>
              <w:t>290</w:t>
            </w:r>
          </w:p>
        </w:tc>
        <w:tc>
          <w:tcPr>
            <w:tcW w:w="1160" w:type="dxa"/>
            <w:tcBorders>
              <w:top w:val="nil"/>
              <w:left w:val="nil"/>
              <w:bottom w:val="single" w:sz="4" w:space="0" w:color="auto"/>
              <w:right w:val="single" w:sz="4" w:space="0" w:color="auto"/>
            </w:tcBorders>
            <w:shd w:val="clear" w:color="auto" w:fill="auto"/>
            <w:vAlign w:val="center"/>
            <w:hideMark/>
          </w:tcPr>
          <w:p w:rsidR="00EBF7E7" w:rsidRPr="005120A7" w:rsidP="005120A7" w14:paraId="0683FE0A" w14:textId="3F965D9E">
            <w:pPr>
              <w:spacing w:after="0"/>
              <w:jc w:val="center"/>
              <w:rPr>
                <w:color w:val="000000" w:themeColor="text1"/>
                <w:sz w:val="20"/>
                <w:szCs w:val="20"/>
              </w:rPr>
            </w:pPr>
            <w:r w:rsidRPr="005120A7">
              <w:rPr>
                <w:color w:val="000000" w:themeColor="text1"/>
                <w:sz w:val="20"/>
                <w:szCs w:val="20"/>
              </w:rPr>
              <w:t>14.5</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729E96BE" w14:textId="03BF038C">
            <w:pPr>
              <w:spacing w:after="0"/>
              <w:jc w:val="center"/>
              <w:rPr>
                <w:color w:val="000000" w:themeColor="text1"/>
                <w:sz w:val="20"/>
                <w:szCs w:val="20"/>
              </w:rPr>
            </w:pPr>
            <w:r w:rsidRPr="005120A7">
              <w:rPr>
                <w:color w:val="000000" w:themeColor="text1"/>
                <w:sz w:val="20"/>
                <w:szCs w:val="20"/>
              </w:rPr>
              <w:t>29</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F7E7" w:rsidRPr="005120A7" w:rsidP="005120A7" w14:paraId="4267E02A" w14:textId="7ECAFD5F">
            <w:pPr>
              <w:spacing w:after="0"/>
              <w:jc w:val="right"/>
              <w:rPr>
                <w:color w:val="000000" w:themeColor="text1"/>
                <w:sz w:val="20"/>
                <w:szCs w:val="20"/>
              </w:rPr>
            </w:pPr>
            <w:r w:rsidRPr="005120A7">
              <w:rPr>
                <w:color w:val="000000" w:themeColor="text1"/>
                <w:sz w:val="20"/>
                <w:szCs w:val="20"/>
              </w:rPr>
              <w:t xml:space="preserve">$18,561.02 </w:t>
            </w:r>
          </w:p>
        </w:tc>
      </w:tr>
      <w:tr w14:paraId="1F72C2A9" w14:textId="77777777" w:rsidTr="0096107B">
        <w:tblPrEx>
          <w:tblW w:w="17164" w:type="dxa"/>
          <w:tblInd w:w="108" w:type="dxa"/>
          <w:tblLook w:val="04A0"/>
        </w:tblPrEx>
        <w:trPr>
          <w:gridAfter w:val="4"/>
          <w:wAfter w:w="4166" w:type="dxa"/>
          <w:trHeight w:val="300"/>
        </w:trPr>
        <w:tc>
          <w:tcPr>
            <w:tcW w:w="3510" w:type="dxa"/>
            <w:tcBorders>
              <w:top w:val="nil"/>
              <w:left w:val="single" w:sz="4" w:space="0" w:color="auto"/>
              <w:bottom w:val="single" w:sz="4" w:space="0" w:color="auto"/>
              <w:right w:val="single" w:sz="4" w:space="0" w:color="auto"/>
            </w:tcBorders>
            <w:shd w:val="clear" w:color="auto" w:fill="auto"/>
            <w:hideMark/>
          </w:tcPr>
          <w:p w:rsidR="00EBF7E7" w:rsidRPr="005120A7" w:rsidP="005120A7" w14:paraId="0B011195" w14:textId="3D0C4D3A">
            <w:pPr>
              <w:spacing w:after="0"/>
              <w:rPr>
                <w:color w:val="000000" w:themeColor="text1"/>
                <w:sz w:val="20"/>
                <w:szCs w:val="20"/>
                <w:vertAlign w:val="superscript"/>
              </w:rPr>
            </w:pPr>
            <w:r w:rsidRPr="005120A7">
              <w:rPr>
                <w:color w:val="000000" w:themeColor="text1"/>
                <w:sz w:val="20"/>
                <w:szCs w:val="20"/>
              </w:rPr>
              <w:t xml:space="preserve">     Annual Report of Deviations </w:t>
            </w:r>
            <w:r w:rsidRPr="005120A7">
              <w:rPr>
                <w:color w:val="000000" w:themeColor="text1"/>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3316B4F6" w14:textId="6CBADBBE">
            <w:pPr>
              <w:spacing w:after="0"/>
              <w:jc w:val="center"/>
              <w:rPr>
                <w:color w:val="000000" w:themeColor="text1"/>
                <w:sz w:val="20"/>
                <w:szCs w:val="20"/>
              </w:rPr>
            </w:pPr>
            <w:r w:rsidRPr="005120A7">
              <w:rPr>
                <w:color w:val="000000" w:themeColor="text1"/>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EBF7E7" w:rsidRPr="005120A7" w:rsidP="005120A7" w14:paraId="65F01D52" w14:textId="7202A7CC">
            <w:pPr>
              <w:spacing w:after="0"/>
              <w:jc w:val="center"/>
              <w:rPr>
                <w:color w:val="000000" w:themeColor="text1"/>
                <w:sz w:val="20"/>
                <w:szCs w:val="20"/>
              </w:rPr>
            </w:pPr>
            <w:r w:rsidRPr="005120A7">
              <w:rPr>
                <w:color w:val="000000" w:themeColor="text1"/>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EBF7E7" w:rsidRPr="005120A7" w:rsidP="005120A7" w14:paraId="3ECA61DE" w14:textId="08458138">
            <w:pPr>
              <w:spacing w:after="0"/>
              <w:jc w:val="center"/>
              <w:rPr>
                <w:color w:val="000000" w:themeColor="text1"/>
                <w:sz w:val="20"/>
                <w:szCs w:val="20"/>
              </w:rPr>
            </w:pPr>
            <w:r w:rsidRPr="005120A7">
              <w:rPr>
                <w:color w:val="000000" w:themeColor="text1"/>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rsidR="00EBF7E7" w:rsidRPr="005120A7" w:rsidP="005120A7" w14:paraId="7AD2CC3A" w14:textId="3B5F3F61">
            <w:pPr>
              <w:spacing w:after="0"/>
              <w:jc w:val="center"/>
              <w:rPr>
                <w:color w:val="000000" w:themeColor="text1"/>
                <w:sz w:val="20"/>
                <w:szCs w:val="20"/>
              </w:rPr>
            </w:pPr>
            <w:r w:rsidRPr="005120A7">
              <w:rPr>
                <w:color w:val="000000" w:themeColor="text1"/>
                <w:sz w:val="20"/>
                <w:szCs w:val="20"/>
              </w:rPr>
              <w:t>145</w:t>
            </w:r>
          </w:p>
        </w:tc>
        <w:tc>
          <w:tcPr>
            <w:tcW w:w="1080" w:type="dxa"/>
            <w:tcBorders>
              <w:top w:val="nil"/>
              <w:left w:val="nil"/>
              <w:bottom w:val="single" w:sz="4" w:space="0" w:color="auto"/>
              <w:right w:val="single" w:sz="4" w:space="0" w:color="auto"/>
            </w:tcBorders>
            <w:shd w:val="clear" w:color="auto" w:fill="auto"/>
            <w:vAlign w:val="center"/>
            <w:hideMark/>
          </w:tcPr>
          <w:p w:rsidR="00EBF7E7" w:rsidRPr="005120A7" w:rsidP="005120A7" w14:paraId="4BBDE987" w14:textId="0F27571E">
            <w:pPr>
              <w:spacing w:after="0"/>
              <w:jc w:val="center"/>
              <w:rPr>
                <w:color w:val="000000" w:themeColor="text1"/>
                <w:sz w:val="20"/>
                <w:szCs w:val="20"/>
              </w:rPr>
            </w:pPr>
            <w:r w:rsidRPr="005120A7">
              <w:rPr>
                <w:color w:val="000000" w:themeColor="text1"/>
                <w:sz w:val="20"/>
                <w:szCs w:val="20"/>
              </w:rPr>
              <w:t>290</w:t>
            </w:r>
          </w:p>
        </w:tc>
        <w:tc>
          <w:tcPr>
            <w:tcW w:w="1160" w:type="dxa"/>
            <w:tcBorders>
              <w:top w:val="nil"/>
              <w:left w:val="nil"/>
              <w:bottom w:val="single" w:sz="4" w:space="0" w:color="auto"/>
              <w:right w:val="single" w:sz="4" w:space="0" w:color="auto"/>
            </w:tcBorders>
            <w:shd w:val="clear" w:color="auto" w:fill="auto"/>
            <w:vAlign w:val="center"/>
            <w:hideMark/>
          </w:tcPr>
          <w:p w:rsidR="00EBF7E7" w:rsidRPr="005120A7" w:rsidP="005120A7" w14:paraId="4FD95D51" w14:textId="348ECFD3">
            <w:pPr>
              <w:spacing w:after="0"/>
              <w:jc w:val="center"/>
              <w:rPr>
                <w:color w:val="000000" w:themeColor="text1"/>
                <w:sz w:val="20"/>
                <w:szCs w:val="20"/>
              </w:rPr>
            </w:pPr>
            <w:r w:rsidRPr="005120A7">
              <w:rPr>
                <w:color w:val="000000" w:themeColor="text1"/>
                <w:sz w:val="20"/>
                <w:szCs w:val="20"/>
              </w:rPr>
              <w:t>14.5</w:t>
            </w:r>
          </w:p>
        </w:tc>
        <w:tc>
          <w:tcPr>
            <w:tcW w:w="1170" w:type="dxa"/>
            <w:tcBorders>
              <w:top w:val="nil"/>
              <w:left w:val="nil"/>
              <w:bottom w:val="single" w:sz="4" w:space="0" w:color="auto"/>
              <w:right w:val="single" w:sz="4" w:space="0" w:color="auto"/>
            </w:tcBorders>
            <w:shd w:val="clear" w:color="auto" w:fill="auto"/>
            <w:vAlign w:val="center"/>
            <w:hideMark/>
          </w:tcPr>
          <w:p w:rsidR="00EBF7E7" w:rsidRPr="005120A7" w:rsidP="005120A7" w14:paraId="6591F22E" w14:textId="41CED306">
            <w:pPr>
              <w:spacing w:after="0"/>
              <w:jc w:val="center"/>
              <w:rPr>
                <w:color w:val="000000" w:themeColor="text1"/>
                <w:sz w:val="20"/>
                <w:szCs w:val="20"/>
              </w:rPr>
            </w:pPr>
            <w:r w:rsidRPr="005120A7">
              <w:rPr>
                <w:color w:val="000000" w:themeColor="text1"/>
                <w:sz w:val="20"/>
                <w:szCs w:val="20"/>
              </w:rPr>
              <w:t>29</w:t>
            </w:r>
          </w:p>
        </w:tc>
        <w:tc>
          <w:tcPr>
            <w:tcW w:w="1308" w:type="dxa"/>
            <w:gridSpan w:val="2"/>
            <w:tcBorders>
              <w:top w:val="nil"/>
              <w:left w:val="single" w:sz="4" w:space="0" w:color="auto"/>
              <w:bottom w:val="single" w:sz="4" w:space="0" w:color="auto"/>
              <w:right w:val="single" w:sz="4" w:space="0" w:color="auto"/>
            </w:tcBorders>
            <w:shd w:val="clear" w:color="auto" w:fill="auto"/>
            <w:hideMark/>
          </w:tcPr>
          <w:p w:rsidR="00EBF7E7" w:rsidRPr="005120A7" w:rsidP="005120A7" w14:paraId="3000385B" w14:textId="1C09A60E">
            <w:pPr>
              <w:spacing w:after="0"/>
              <w:jc w:val="right"/>
              <w:rPr>
                <w:color w:val="000000" w:themeColor="text1"/>
                <w:sz w:val="20"/>
                <w:szCs w:val="20"/>
              </w:rPr>
            </w:pPr>
            <w:r w:rsidRPr="005120A7">
              <w:rPr>
                <w:color w:val="000000" w:themeColor="text1"/>
                <w:sz w:val="20"/>
                <w:szCs w:val="20"/>
              </w:rPr>
              <w:t xml:space="preserve">$18,561.02 </w:t>
            </w:r>
          </w:p>
        </w:tc>
      </w:tr>
      <w:tr w14:paraId="4FC58775" w14:textId="1BBCF9A4" w:rsidTr="0096107B">
        <w:tblPrEx>
          <w:tblW w:w="17164" w:type="dxa"/>
          <w:tblInd w:w="108" w:type="dxa"/>
          <w:tblLook w:val="04A0"/>
        </w:tblPrEx>
        <w:trPr>
          <w:trHeight w:val="300"/>
        </w:trPr>
        <w:tc>
          <w:tcPr>
            <w:tcW w:w="4680" w:type="dxa"/>
            <w:gridSpan w:val="2"/>
            <w:tcBorders>
              <w:top w:val="single" w:sz="4" w:space="0" w:color="auto"/>
              <w:left w:val="single" w:sz="4" w:space="0" w:color="auto"/>
              <w:bottom w:val="single" w:sz="4" w:space="0" w:color="auto"/>
              <w:right w:val="nil"/>
            </w:tcBorders>
            <w:shd w:val="clear" w:color="auto" w:fill="auto"/>
            <w:noWrap/>
            <w:vAlign w:val="bottom"/>
            <w:hideMark/>
          </w:tcPr>
          <w:p w:rsidR="00EBF7E7" w:rsidRPr="005120A7" w:rsidP="005120A7" w14:paraId="6BC6D701" w14:textId="05E77C04">
            <w:pPr>
              <w:spacing w:after="0"/>
              <w:rPr>
                <w:color w:val="000000" w:themeColor="text1"/>
                <w:sz w:val="20"/>
                <w:szCs w:val="20"/>
                <w:vertAlign w:val="superscript"/>
              </w:rPr>
            </w:pPr>
            <w:r w:rsidRPr="005120A7">
              <w:rPr>
                <w:b/>
                <w:bCs/>
                <w:color w:val="000000" w:themeColor="text1"/>
                <w:sz w:val="20"/>
                <w:szCs w:val="20"/>
              </w:rPr>
              <w:t>TOTAL ANNUAL BURDEN AND COST (rounded)</w:t>
            </w:r>
            <w:r w:rsidRPr="005120A7">
              <w:rPr>
                <w:color w:val="000000" w:themeColor="text1"/>
                <w:sz w:val="20"/>
                <w:szCs w:val="20"/>
                <w:vertAlign w:val="superscript"/>
              </w:rPr>
              <w:t>f</w:t>
            </w:r>
          </w:p>
        </w:tc>
        <w:tc>
          <w:tcPr>
            <w:tcW w:w="1260" w:type="dxa"/>
            <w:tcBorders>
              <w:top w:val="nil"/>
              <w:left w:val="nil"/>
              <w:bottom w:val="single" w:sz="4" w:space="0" w:color="auto"/>
              <w:right w:val="nil"/>
            </w:tcBorders>
            <w:shd w:val="clear" w:color="auto" w:fill="auto"/>
            <w:hideMark/>
          </w:tcPr>
          <w:p w:rsidR="00EBF7E7" w:rsidP="00EBF7E7" w14:paraId="2F320A45" w14:textId="4C380D47"/>
        </w:tc>
        <w:tc>
          <w:tcPr>
            <w:tcW w:w="1350" w:type="dxa"/>
            <w:tcBorders>
              <w:top w:val="nil"/>
              <w:left w:val="nil"/>
              <w:bottom w:val="single" w:sz="4" w:space="0" w:color="auto"/>
              <w:right w:val="nil"/>
            </w:tcBorders>
            <w:shd w:val="clear" w:color="auto" w:fill="auto"/>
            <w:hideMark/>
          </w:tcPr>
          <w:p w:rsidR="00EBF7E7" w:rsidP="00EBF7E7" w14:paraId="3366641C" w14:textId="7D31BA79"/>
        </w:tc>
        <w:tc>
          <w:tcPr>
            <w:tcW w:w="990" w:type="dxa"/>
            <w:tcBorders>
              <w:top w:val="nil"/>
              <w:left w:val="nil"/>
              <w:bottom w:val="single" w:sz="4" w:space="0" w:color="auto"/>
              <w:right w:val="single" w:sz="4" w:space="0" w:color="auto"/>
            </w:tcBorders>
            <w:shd w:val="clear" w:color="auto" w:fill="auto"/>
            <w:hideMark/>
          </w:tcPr>
          <w:p w:rsidR="00EBF7E7" w:rsidP="00EBF7E7" w14:paraId="3D6F192D" w14:textId="567A997A"/>
        </w:tc>
        <w:tc>
          <w:tcPr>
            <w:tcW w:w="3426" w:type="dxa"/>
            <w:gridSpan w:val="4"/>
            <w:tcBorders>
              <w:top w:val="single" w:sz="4" w:space="0" w:color="auto"/>
              <w:left w:val="nil"/>
              <w:bottom w:val="single" w:sz="4" w:space="0" w:color="auto"/>
              <w:right w:val="single" w:sz="4" w:space="0" w:color="000000" w:themeColor="text1"/>
            </w:tcBorders>
            <w:shd w:val="clear" w:color="auto" w:fill="auto"/>
            <w:vAlign w:val="center"/>
            <w:hideMark/>
          </w:tcPr>
          <w:p w:rsidR="00EBF7E7" w:rsidRPr="005120A7" w:rsidP="005120A7" w14:paraId="1FC9B733" w14:textId="1DE97632">
            <w:pPr>
              <w:spacing w:after="0"/>
              <w:jc w:val="center"/>
              <w:rPr>
                <w:b/>
                <w:bCs/>
                <w:color w:val="000000" w:themeColor="text1"/>
                <w:sz w:val="20"/>
                <w:szCs w:val="20"/>
              </w:rPr>
            </w:pPr>
            <w:r w:rsidRPr="005120A7">
              <w:rPr>
                <w:b/>
                <w:bCs/>
                <w:color w:val="000000" w:themeColor="text1"/>
                <w:sz w:val="20"/>
                <w:szCs w:val="20"/>
              </w:rPr>
              <w:t>667</w:t>
            </w:r>
          </w:p>
        </w:tc>
        <w:tc>
          <w:tcPr>
            <w:tcW w:w="1306" w:type="dxa"/>
            <w:gridSpan w:val="2"/>
            <w:tcBorders>
              <w:top w:val="nil"/>
              <w:left w:val="nil"/>
              <w:bottom w:val="single" w:sz="4" w:space="0" w:color="auto"/>
              <w:right w:val="single" w:sz="4" w:space="0" w:color="auto"/>
            </w:tcBorders>
            <w:shd w:val="clear" w:color="auto" w:fill="auto"/>
            <w:vAlign w:val="center"/>
            <w:hideMark/>
          </w:tcPr>
          <w:p w:rsidR="00EBF7E7" w:rsidRPr="005120A7" w:rsidP="005120A7" w14:paraId="72E04AB3" w14:textId="544A3EE8">
            <w:pPr>
              <w:spacing w:after="0"/>
              <w:jc w:val="right"/>
              <w:rPr>
                <w:b/>
                <w:bCs/>
                <w:color w:val="000000" w:themeColor="text1"/>
                <w:sz w:val="20"/>
                <w:szCs w:val="20"/>
              </w:rPr>
            </w:pPr>
            <w:r w:rsidRPr="005120A7">
              <w:rPr>
                <w:b/>
                <w:bCs/>
                <w:color w:val="000000" w:themeColor="text1"/>
                <w:sz w:val="20"/>
                <w:szCs w:val="20"/>
              </w:rPr>
              <w:t>$37,100</w:t>
            </w:r>
          </w:p>
        </w:tc>
        <w:tc>
          <w:tcPr>
            <w:tcW w:w="1384" w:type="dxa"/>
          </w:tcPr>
          <w:p w:rsidR="009E5B5C" w:rsidRPr="001B5EA7" w:rsidP="009E5B5C" w14:paraId="3BC1D455" w14:textId="77777777">
            <w:pPr>
              <w:rPr>
                <w:rFonts w:cstheme="minorHAnsi"/>
              </w:rPr>
            </w:pPr>
          </w:p>
        </w:tc>
        <w:tc>
          <w:tcPr>
            <w:tcW w:w="1384" w:type="dxa"/>
          </w:tcPr>
          <w:p w:rsidR="009E5B5C" w:rsidRPr="001B5EA7" w:rsidP="009E5B5C" w14:paraId="15FB8CDC" w14:textId="77777777">
            <w:pPr>
              <w:rPr>
                <w:rFonts w:cstheme="minorHAnsi"/>
              </w:rPr>
            </w:pPr>
          </w:p>
        </w:tc>
        <w:tc>
          <w:tcPr>
            <w:tcW w:w="1384" w:type="dxa"/>
            <w:tcBorders>
              <w:top w:val="nil"/>
              <w:left w:val="single" w:sz="4" w:space="0" w:color="auto"/>
              <w:bottom w:val="single" w:sz="4" w:space="0" w:color="auto"/>
              <w:right w:val="single" w:sz="4" w:space="0" w:color="auto"/>
            </w:tcBorders>
            <w:shd w:val="clear" w:color="auto" w:fill="auto"/>
            <w:vAlign w:val="bottom"/>
          </w:tcPr>
          <w:p w:rsidR="009E5B5C" w:rsidRPr="001B5EA7" w:rsidP="00EBF7E7" w14:paraId="6E578E70" w14:textId="3CAD70F3">
            <w:pPr>
              <w:rPr>
                <w:b/>
                <w:bCs/>
                <w:color w:val="000000" w:themeColor="text1"/>
                <w:sz w:val="20"/>
                <w:szCs w:val="20"/>
              </w:rPr>
            </w:pPr>
          </w:p>
        </w:tc>
      </w:tr>
    </w:tbl>
    <w:p w:rsidR="00600000" w:rsidRPr="005120A7" w:rsidP="0096107B" w14:paraId="565BCD43" w14:textId="77777777">
      <w:pPr>
        <w:spacing w:after="0"/>
        <w:rPr>
          <w:rFonts w:cstheme="minorHAnsi"/>
          <w:b/>
          <w:bCs/>
          <w:sz w:val="18"/>
          <w:szCs w:val="18"/>
        </w:rPr>
      </w:pPr>
      <w:r w:rsidRPr="005120A7">
        <w:rPr>
          <w:rFonts w:cstheme="minorHAnsi"/>
          <w:b/>
          <w:bCs/>
          <w:sz w:val="20"/>
          <w:szCs w:val="20"/>
        </w:rPr>
        <w:t>Assumptions</w:t>
      </w:r>
      <w:r w:rsidRPr="005120A7">
        <w:rPr>
          <w:rFonts w:cstheme="minorHAnsi"/>
          <w:b/>
          <w:bCs/>
          <w:sz w:val="18"/>
          <w:szCs w:val="18"/>
        </w:rPr>
        <w:tab/>
      </w:r>
      <w:r w:rsidRPr="005120A7">
        <w:rPr>
          <w:rFonts w:cstheme="minorHAnsi"/>
          <w:b/>
          <w:bCs/>
          <w:sz w:val="18"/>
          <w:szCs w:val="18"/>
        </w:rPr>
        <w:tab/>
      </w:r>
      <w:r w:rsidRPr="005120A7">
        <w:rPr>
          <w:rFonts w:cstheme="minorHAnsi"/>
          <w:b/>
          <w:bCs/>
          <w:sz w:val="18"/>
          <w:szCs w:val="18"/>
        </w:rPr>
        <w:tab/>
      </w:r>
      <w:r w:rsidRPr="005120A7">
        <w:rPr>
          <w:rFonts w:cstheme="minorHAnsi"/>
          <w:b/>
          <w:bCs/>
          <w:sz w:val="18"/>
          <w:szCs w:val="18"/>
        </w:rPr>
        <w:tab/>
      </w:r>
      <w:r w:rsidRPr="005120A7">
        <w:rPr>
          <w:rFonts w:cstheme="minorHAnsi"/>
          <w:b/>
          <w:bCs/>
          <w:sz w:val="18"/>
          <w:szCs w:val="18"/>
        </w:rPr>
        <w:tab/>
      </w:r>
      <w:r w:rsidRPr="005120A7">
        <w:rPr>
          <w:rFonts w:cstheme="minorHAnsi"/>
          <w:b/>
          <w:bCs/>
          <w:sz w:val="18"/>
          <w:szCs w:val="18"/>
        </w:rPr>
        <w:tab/>
      </w:r>
      <w:r w:rsidRPr="005120A7">
        <w:rPr>
          <w:rFonts w:cstheme="minorHAnsi"/>
          <w:b/>
          <w:bCs/>
          <w:sz w:val="18"/>
          <w:szCs w:val="18"/>
        </w:rPr>
        <w:tab/>
      </w:r>
      <w:r w:rsidRPr="005120A7">
        <w:rPr>
          <w:rFonts w:cstheme="minorHAnsi"/>
          <w:b/>
          <w:bCs/>
          <w:sz w:val="18"/>
          <w:szCs w:val="18"/>
        </w:rPr>
        <w:tab/>
      </w:r>
    </w:p>
    <w:p w:rsidR="00600000" w:rsidRPr="005120A7" w:rsidP="0096107B" w14:paraId="1ADE5D1B" w14:textId="28FDC058">
      <w:pPr>
        <w:spacing w:after="0"/>
        <w:rPr>
          <w:rFonts w:cstheme="minorHAnsi"/>
          <w:sz w:val="18"/>
          <w:szCs w:val="18"/>
        </w:rPr>
      </w:pPr>
      <w:r w:rsidRPr="005120A7">
        <w:rPr>
          <w:rFonts w:cstheme="minorHAnsi"/>
          <w:sz w:val="18"/>
          <w:szCs w:val="18"/>
          <w:vertAlign w:val="superscript"/>
        </w:rPr>
        <w:t>a</w:t>
      </w:r>
      <w:r w:rsidRPr="005120A7">
        <w:rPr>
          <w:rFonts w:cstheme="minorHAnsi"/>
          <w:sz w:val="18"/>
          <w:szCs w:val="18"/>
        </w:rPr>
        <w:t xml:space="preserve"> 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p>
    <w:p w:rsidR="00600000" w:rsidRPr="005120A7" w:rsidP="0096107B" w14:paraId="5FA69F83" w14:textId="52693407">
      <w:pPr>
        <w:spacing w:after="0"/>
        <w:rPr>
          <w:rFonts w:cstheme="minorHAnsi"/>
          <w:sz w:val="18"/>
          <w:szCs w:val="18"/>
        </w:rPr>
      </w:pPr>
      <w:r w:rsidRPr="005120A7">
        <w:rPr>
          <w:rFonts w:cstheme="minorHAnsi"/>
          <w:sz w:val="18"/>
          <w:szCs w:val="18"/>
          <w:vertAlign w:val="superscript"/>
        </w:rPr>
        <w:t>b</w:t>
      </w:r>
      <w:r w:rsidRPr="005120A7">
        <w:rPr>
          <w:rFonts w:cstheme="minorHAnsi"/>
          <w:sz w:val="18"/>
          <w:szCs w:val="18"/>
        </w:rPr>
        <w:t xml:space="preserve"> Assumes no new plants in the next three years.</w:t>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p>
    <w:p w:rsidR="00600000" w:rsidRPr="005120A7" w:rsidP="0096107B" w14:paraId="1642421A" w14:textId="772B47AA">
      <w:pPr>
        <w:spacing w:after="0"/>
        <w:rPr>
          <w:rFonts w:cstheme="minorHAnsi"/>
          <w:sz w:val="18"/>
          <w:szCs w:val="18"/>
        </w:rPr>
      </w:pPr>
      <w:r w:rsidRPr="005120A7">
        <w:rPr>
          <w:rFonts w:cstheme="minorHAnsi"/>
          <w:sz w:val="18"/>
          <w:szCs w:val="18"/>
          <w:vertAlign w:val="superscript"/>
        </w:rPr>
        <w:t>c</w:t>
      </w:r>
      <w:r w:rsidRPr="005120A7">
        <w:rPr>
          <w:rFonts w:cstheme="minorHAnsi"/>
          <w:sz w:val="18"/>
          <w:szCs w:val="18"/>
        </w:rPr>
        <w:t xml:space="preserve"> Each of the 2,900 existing plants noted above would have already submitted a notification of compliance status by the appropriate compliance date. Since there are no new facilities expected, the number of respondents required to submit a notification of compliance status is 0.</w:t>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p>
    <w:p w:rsidR="00600000" w:rsidRPr="005120A7" w:rsidP="0096107B" w14:paraId="06EEAD4D" w14:textId="7BEE11BC">
      <w:pPr>
        <w:spacing w:after="0"/>
        <w:rPr>
          <w:rFonts w:cstheme="minorHAnsi"/>
          <w:sz w:val="18"/>
          <w:szCs w:val="18"/>
        </w:rPr>
      </w:pPr>
      <w:r w:rsidRPr="005120A7">
        <w:rPr>
          <w:rFonts w:cstheme="minorHAnsi"/>
          <w:sz w:val="18"/>
          <w:szCs w:val="18"/>
          <w:vertAlign w:val="superscript"/>
        </w:rPr>
        <w:t>d</w:t>
      </w:r>
      <w:r w:rsidRPr="005120A7">
        <w:rPr>
          <w:rFonts w:cstheme="minorHAnsi"/>
          <w:sz w:val="18"/>
          <w:szCs w:val="18"/>
        </w:rPr>
        <w:t xml:space="preserve"> The 2,900 existing plants would be required to prepare an annual compliance certification; any plant that experiences a deviation will have to submit the compliance certification; assuming 5 percent of the plants experience a deviation during the three year ICR period, the number of submittals would be (2,900 * 0.05) =145. </w:t>
      </w:r>
      <w:r w:rsidRPr="005120A7">
        <w:rPr>
          <w:rFonts w:cstheme="minorHAnsi"/>
          <w:sz w:val="18"/>
          <w:szCs w:val="18"/>
        </w:rPr>
        <w:tab/>
      </w:r>
      <w:r w:rsidRPr="005120A7">
        <w:rPr>
          <w:rFonts w:cstheme="minorHAnsi"/>
          <w:sz w:val="18"/>
          <w:szCs w:val="18"/>
        </w:rPr>
        <w:tab/>
      </w:r>
      <w:r w:rsidRPr="005120A7">
        <w:rPr>
          <w:rFonts w:cstheme="minorHAnsi"/>
          <w:sz w:val="18"/>
          <w:szCs w:val="18"/>
        </w:rPr>
        <w:tab/>
      </w:r>
    </w:p>
    <w:p w:rsidR="00600000" w:rsidRPr="005120A7" w:rsidP="0096107B" w14:paraId="0D7B0BE3" w14:textId="1DD7FA8A">
      <w:pPr>
        <w:spacing w:after="0"/>
        <w:rPr>
          <w:rFonts w:cstheme="minorHAnsi"/>
          <w:sz w:val="18"/>
          <w:szCs w:val="18"/>
        </w:rPr>
      </w:pPr>
      <w:r w:rsidRPr="005120A7">
        <w:rPr>
          <w:rFonts w:cstheme="minorHAnsi"/>
          <w:sz w:val="18"/>
          <w:szCs w:val="18"/>
          <w:vertAlign w:val="superscript"/>
        </w:rPr>
        <w:t>e</w:t>
      </w:r>
      <w:r w:rsidRPr="005120A7">
        <w:rPr>
          <w:rFonts w:cstheme="minorHAnsi"/>
          <w:sz w:val="18"/>
          <w:szCs w:val="18"/>
        </w:rPr>
        <w:t xml:space="preserve"> Assumes that 5% of existing facilities would have to submit a report of deviations in the </w:t>
      </w:r>
      <w:r w:rsidRPr="005120A7" w:rsidR="00D754A6">
        <w:rPr>
          <w:rFonts w:cstheme="minorHAnsi"/>
          <w:sz w:val="18"/>
          <w:szCs w:val="18"/>
        </w:rPr>
        <w:t>three-year</w:t>
      </w:r>
      <w:r w:rsidRPr="005120A7">
        <w:rPr>
          <w:rFonts w:cstheme="minorHAnsi"/>
          <w:sz w:val="18"/>
          <w:szCs w:val="18"/>
        </w:rPr>
        <w:t xml:space="preserve"> ICR period, or (2,900 * 0.05) = 145.</w:t>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r w:rsidRPr="005120A7">
        <w:rPr>
          <w:rFonts w:cstheme="minorHAnsi"/>
          <w:sz w:val="18"/>
          <w:szCs w:val="18"/>
        </w:rPr>
        <w:tab/>
      </w:r>
    </w:p>
    <w:p w:rsidR="009F2AE7" w:rsidP="0096107B" w14:paraId="617D7EAC" w14:textId="09E3E3C1">
      <w:pPr>
        <w:spacing w:after="0"/>
        <w:rPr>
          <w:rFonts w:cstheme="minorHAnsi"/>
          <w:b/>
          <w:bCs/>
          <w:sz w:val="24"/>
          <w:szCs w:val="24"/>
        </w:rPr>
      </w:pPr>
      <w:r w:rsidRPr="005120A7">
        <w:rPr>
          <w:rFonts w:cstheme="minorHAnsi"/>
          <w:sz w:val="18"/>
          <w:szCs w:val="18"/>
          <w:vertAlign w:val="superscript"/>
        </w:rPr>
        <w:t>f</w:t>
      </w:r>
      <w:r w:rsidRPr="005120A7" w:rsidR="002C7322">
        <w:rPr>
          <w:rFonts w:cstheme="minorHAnsi"/>
          <w:sz w:val="18"/>
          <w:szCs w:val="18"/>
        </w:rPr>
        <w:t xml:space="preserve"> </w:t>
      </w:r>
      <w:r w:rsidRPr="005120A7">
        <w:rPr>
          <w:rFonts w:cstheme="minorHAnsi"/>
          <w:sz w:val="18"/>
          <w:szCs w:val="18"/>
        </w:rPr>
        <w:t>Totals have been rounded to 3 significant figures. Figures may not add exactly due to rounding.</w:t>
      </w:r>
      <w:r w:rsidRPr="00EC4B2F">
        <w:rPr>
          <w:rFonts w:ascii="Times New Roman" w:hAnsi="Times New Roman" w:cs="Times New Roman"/>
          <w:sz w:val="18"/>
          <w:szCs w:val="18"/>
        </w:rPr>
        <w:tab/>
      </w:r>
      <w:r w:rsidRPr="00600000">
        <w:rPr>
          <w:rFonts w:cstheme="minorHAnsi"/>
          <w:b/>
          <w:bCs/>
          <w:sz w:val="24"/>
          <w:szCs w:val="24"/>
        </w:rPr>
        <w:tab/>
      </w:r>
      <w:r w:rsidRPr="00600000">
        <w:rPr>
          <w:rFonts w:cstheme="minorHAnsi"/>
          <w:b/>
          <w:bCs/>
          <w:sz w:val="24"/>
          <w:szCs w:val="24"/>
        </w:rPr>
        <w:tab/>
      </w:r>
      <w:r w:rsidRPr="00600000">
        <w:rPr>
          <w:rFonts w:cstheme="minorHAnsi"/>
          <w:b/>
          <w:bCs/>
          <w:sz w:val="24"/>
          <w:szCs w:val="24"/>
        </w:rPr>
        <w:tab/>
      </w:r>
      <w:r w:rsidRPr="00600000">
        <w:rPr>
          <w:rFonts w:cstheme="minorHAnsi"/>
          <w:b/>
          <w:bCs/>
          <w:sz w:val="24"/>
          <w:szCs w:val="24"/>
        </w:rPr>
        <w:tab/>
      </w:r>
      <w:r w:rsidRPr="00600000">
        <w:rPr>
          <w:rFonts w:cstheme="minorHAnsi"/>
          <w:b/>
          <w:bCs/>
          <w:sz w:val="24"/>
          <w:szCs w:val="24"/>
        </w:rPr>
        <w:tab/>
      </w:r>
      <w:r w:rsidRPr="00600000">
        <w:rPr>
          <w:rFonts w:cstheme="minorHAnsi"/>
          <w:b/>
          <w:bCs/>
          <w:sz w:val="24"/>
          <w:szCs w:val="24"/>
        </w:rPr>
        <w:tab/>
      </w:r>
      <w:r w:rsidRPr="00600000">
        <w:rPr>
          <w:rFonts w:cstheme="minorHAnsi"/>
          <w:b/>
          <w:bCs/>
          <w:sz w:val="24"/>
          <w:szCs w:val="24"/>
        </w:rPr>
        <w:tab/>
      </w:r>
      <w:r>
        <w:rPr>
          <w:rFonts w:cstheme="minorHAnsi"/>
          <w:b/>
          <w:bCs/>
          <w:sz w:val="24"/>
          <w:szCs w:val="24"/>
        </w:rPr>
        <w:br w:type="page"/>
      </w:r>
    </w:p>
    <w:p w:rsidR="001641AA" w:rsidP="00BB3410" w14:paraId="58610761" w14:textId="402834C7">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225" w:type="dxa"/>
        <w:tblInd w:w="113" w:type="dxa"/>
        <w:tblLook w:val="04A0"/>
      </w:tblPr>
      <w:tblGrid>
        <w:gridCol w:w="1520"/>
        <w:gridCol w:w="2080"/>
        <w:gridCol w:w="1960"/>
        <w:gridCol w:w="2400"/>
        <w:gridCol w:w="2925"/>
        <w:gridCol w:w="2340"/>
      </w:tblGrid>
      <w:tr w14:paraId="2B3A1C9C" w14:textId="77777777" w:rsidTr="00023C04">
        <w:tblPrEx>
          <w:tblW w:w="13225" w:type="dxa"/>
          <w:tblInd w:w="113" w:type="dxa"/>
          <w:tblLook w:val="04A0"/>
        </w:tblPrEx>
        <w:trPr>
          <w:trHeight w:val="52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FCE" w:rsidRPr="005120A7" w:rsidP="00501FCE" w14:paraId="5B7CADEC" w14:textId="77777777">
            <w:pPr>
              <w:spacing w:after="0" w:line="240" w:lineRule="auto"/>
              <w:rPr>
                <w:rFonts w:eastAsia="Times New Roman" w:cstheme="minorHAnsi"/>
                <w:b/>
                <w:bCs/>
                <w:color w:val="000000"/>
                <w:sz w:val="20"/>
                <w:szCs w:val="20"/>
              </w:rPr>
            </w:pPr>
            <w:r w:rsidRPr="005120A7">
              <w:rPr>
                <w:rFonts w:eastAsia="Times New Roman" w:cstheme="minorHAnsi"/>
                <w:b/>
                <w:bCs/>
                <w:color w:val="000000"/>
                <w:sz w:val="20"/>
                <w:szCs w:val="20"/>
              </w:rPr>
              <w:t> </w:t>
            </w:r>
          </w:p>
        </w:tc>
        <w:tc>
          <w:tcPr>
            <w:tcW w:w="4040" w:type="dxa"/>
            <w:gridSpan w:val="2"/>
            <w:tcBorders>
              <w:top w:val="single" w:sz="4" w:space="0" w:color="auto"/>
              <w:left w:val="nil"/>
              <w:bottom w:val="single" w:sz="4" w:space="0" w:color="auto"/>
              <w:right w:val="single" w:sz="4" w:space="0" w:color="auto"/>
            </w:tcBorders>
            <w:shd w:val="clear" w:color="auto" w:fill="auto"/>
            <w:vAlign w:val="center"/>
            <w:hideMark/>
          </w:tcPr>
          <w:p w:rsidR="00501FCE" w:rsidRPr="005120A7" w:rsidP="00501FCE" w14:paraId="59291811"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Respondents That Submit Reports</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501FCE" w:rsidRPr="005120A7" w:rsidP="00501FCE" w14:paraId="188D1C25"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Respondents That Do Not Submit Any Reports</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501FCE" w:rsidRPr="005120A7" w:rsidP="00501FCE" w14:paraId="787D745B"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01FCE" w:rsidRPr="005120A7" w:rsidP="00501FCE" w14:paraId="7FE5BABF"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w:t>
            </w:r>
          </w:p>
        </w:tc>
      </w:tr>
      <w:tr w14:paraId="2141F800" w14:textId="77777777" w:rsidTr="00023C04">
        <w:tblPrEx>
          <w:tblW w:w="13225" w:type="dxa"/>
          <w:tblInd w:w="113"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501FCE" w:rsidRPr="005120A7" w:rsidP="00501FCE" w14:paraId="6F6863D0"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w:t>
            </w:r>
          </w:p>
        </w:tc>
        <w:tc>
          <w:tcPr>
            <w:tcW w:w="2080" w:type="dxa"/>
            <w:tcBorders>
              <w:top w:val="nil"/>
              <w:left w:val="nil"/>
              <w:bottom w:val="single" w:sz="4" w:space="0" w:color="auto"/>
              <w:right w:val="single" w:sz="4" w:space="0" w:color="auto"/>
            </w:tcBorders>
            <w:shd w:val="clear" w:color="auto" w:fill="auto"/>
            <w:vAlign w:val="center"/>
            <w:hideMark/>
          </w:tcPr>
          <w:p w:rsidR="00501FCE" w:rsidRPr="005120A7" w:rsidP="00501FCE" w14:paraId="12CA05EC"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(A)</w:t>
            </w:r>
          </w:p>
        </w:tc>
        <w:tc>
          <w:tcPr>
            <w:tcW w:w="1960" w:type="dxa"/>
            <w:tcBorders>
              <w:top w:val="nil"/>
              <w:left w:val="nil"/>
              <w:bottom w:val="single" w:sz="4" w:space="0" w:color="auto"/>
              <w:right w:val="single" w:sz="4" w:space="0" w:color="auto"/>
            </w:tcBorders>
            <w:shd w:val="clear" w:color="auto" w:fill="auto"/>
            <w:vAlign w:val="center"/>
            <w:hideMark/>
          </w:tcPr>
          <w:p w:rsidR="00501FCE" w:rsidRPr="005120A7" w:rsidP="00501FCE" w14:paraId="6B51DCD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(B)</w:t>
            </w:r>
          </w:p>
        </w:tc>
        <w:tc>
          <w:tcPr>
            <w:tcW w:w="2400" w:type="dxa"/>
            <w:tcBorders>
              <w:top w:val="nil"/>
              <w:left w:val="nil"/>
              <w:bottom w:val="single" w:sz="4" w:space="0" w:color="auto"/>
              <w:right w:val="single" w:sz="4" w:space="0" w:color="auto"/>
            </w:tcBorders>
            <w:shd w:val="clear" w:color="auto" w:fill="auto"/>
            <w:vAlign w:val="center"/>
            <w:hideMark/>
          </w:tcPr>
          <w:p w:rsidR="00501FCE" w:rsidRPr="005120A7" w:rsidP="00501FCE" w14:paraId="3E910C9A"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(C)</w:t>
            </w:r>
          </w:p>
        </w:tc>
        <w:tc>
          <w:tcPr>
            <w:tcW w:w="2925" w:type="dxa"/>
            <w:tcBorders>
              <w:top w:val="nil"/>
              <w:left w:val="nil"/>
              <w:bottom w:val="single" w:sz="4" w:space="0" w:color="auto"/>
              <w:right w:val="single" w:sz="4" w:space="0" w:color="auto"/>
            </w:tcBorders>
            <w:shd w:val="clear" w:color="auto" w:fill="auto"/>
            <w:vAlign w:val="center"/>
            <w:hideMark/>
          </w:tcPr>
          <w:p w:rsidR="00501FCE" w:rsidRPr="005120A7" w:rsidP="00501FCE" w14:paraId="5D9D3F4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(D)</w:t>
            </w:r>
          </w:p>
        </w:tc>
        <w:tc>
          <w:tcPr>
            <w:tcW w:w="2340" w:type="dxa"/>
            <w:tcBorders>
              <w:top w:val="nil"/>
              <w:left w:val="nil"/>
              <w:bottom w:val="single" w:sz="4" w:space="0" w:color="auto"/>
              <w:right w:val="single" w:sz="4" w:space="0" w:color="auto"/>
            </w:tcBorders>
            <w:shd w:val="clear" w:color="auto" w:fill="auto"/>
            <w:vAlign w:val="center"/>
            <w:hideMark/>
          </w:tcPr>
          <w:p w:rsidR="00501FCE" w:rsidRPr="005120A7" w:rsidP="00501FCE" w14:paraId="749207C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(E)</w:t>
            </w:r>
          </w:p>
        </w:tc>
      </w:tr>
      <w:tr w14:paraId="69FEA16A" w14:textId="77777777" w:rsidTr="00023C04">
        <w:tblPrEx>
          <w:tblW w:w="13225" w:type="dxa"/>
          <w:tblInd w:w="113" w:type="dxa"/>
          <w:tblLook w:val="04A0"/>
        </w:tblPrEx>
        <w:trPr>
          <w:trHeight w:val="104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501FCE" w:rsidRPr="005120A7" w:rsidP="00501FCE" w14:paraId="7AD3D83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Year</w:t>
            </w:r>
          </w:p>
        </w:tc>
        <w:tc>
          <w:tcPr>
            <w:tcW w:w="2080" w:type="dxa"/>
            <w:tcBorders>
              <w:top w:val="nil"/>
              <w:left w:val="nil"/>
              <w:bottom w:val="single" w:sz="4" w:space="0" w:color="auto"/>
              <w:right w:val="single" w:sz="4" w:space="0" w:color="auto"/>
            </w:tcBorders>
            <w:shd w:val="clear" w:color="auto" w:fill="auto"/>
            <w:vAlign w:val="center"/>
            <w:hideMark/>
          </w:tcPr>
          <w:p w:rsidR="00501FCE" w:rsidRPr="005120A7" w:rsidP="00501FCE" w14:paraId="2C1A8302" w14:textId="4CE5C709">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xml:space="preserve">Number of New Respondents </w:t>
            </w:r>
            <w:r w:rsidR="00BB739F">
              <w:rPr>
                <w:rFonts w:eastAsia="Times New Roman" w:cstheme="minorHAnsi"/>
                <w:color w:val="000000"/>
                <w:sz w:val="20"/>
                <w:szCs w:val="20"/>
                <w:vertAlign w:val="superscript"/>
              </w:rPr>
              <w:t>a</w:t>
            </w:r>
          </w:p>
        </w:tc>
        <w:tc>
          <w:tcPr>
            <w:tcW w:w="1960" w:type="dxa"/>
            <w:tcBorders>
              <w:top w:val="nil"/>
              <w:left w:val="nil"/>
              <w:bottom w:val="single" w:sz="4" w:space="0" w:color="auto"/>
              <w:right w:val="single" w:sz="4" w:space="0" w:color="auto"/>
            </w:tcBorders>
            <w:shd w:val="clear" w:color="auto" w:fill="auto"/>
            <w:vAlign w:val="center"/>
            <w:hideMark/>
          </w:tcPr>
          <w:p w:rsidR="00501FCE" w:rsidRPr="005120A7" w:rsidP="00501FCE" w14:paraId="1020B314"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Number of Existing Respondents</w:t>
            </w:r>
          </w:p>
        </w:tc>
        <w:tc>
          <w:tcPr>
            <w:tcW w:w="2400" w:type="dxa"/>
            <w:tcBorders>
              <w:top w:val="nil"/>
              <w:left w:val="nil"/>
              <w:bottom w:val="single" w:sz="4" w:space="0" w:color="auto"/>
              <w:right w:val="single" w:sz="4" w:space="0" w:color="auto"/>
            </w:tcBorders>
            <w:shd w:val="clear" w:color="auto" w:fill="auto"/>
            <w:vAlign w:val="center"/>
            <w:hideMark/>
          </w:tcPr>
          <w:p w:rsidR="00501FCE" w:rsidRPr="005120A7" w:rsidP="00501FCE" w14:paraId="5182C774"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Number of Existing Respondents that keep records but do not submit reports</w:t>
            </w:r>
          </w:p>
        </w:tc>
        <w:tc>
          <w:tcPr>
            <w:tcW w:w="2925" w:type="dxa"/>
            <w:tcBorders>
              <w:top w:val="nil"/>
              <w:left w:val="nil"/>
              <w:bottom w:val="single" w:sz="4" w:space="0" w:color="auto"/>
              <w:right w:val="single" w:sz="4" w:space="0" w:color="auto"/>
            </w:tcBorders>
            <w:shd w:val="clear" w:color="auto" w:fill="auto"/>
            <w:vAlign w:val="center"/>
            <w:hideMark/>
          </w:tcPr>
          <w:p w:rsidR="00501FCE" w:rsidRPr="005120A7" w:rsidP="00501FCE" w14:paraId="212A8808"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Number of Existing Respondents That Are Also New Respondents</w:t>
            </w:r>
          </w:p>
        </w:tc>
        <w:tc>
          <w:tcPr>
            <w:tcW w:w="2340" w:type="dxa"/>
            <w:tcBorders>
              <w:top w:val="nil"/>
              <w:left w:val="nil"/>
              <w:bottom w:val="single" w:sz="4" w:space="0" w:color="auto"/>
              <w:right w:val="single" w:sz="4" w:space="0" w:color="auto"/>
            </w:tcBorders>
            <w:shd w:val="clear" w:color="auto" w:fill="auto"/>
            <w:vAlign w:val="center"/>
            <w:hideMark/>
          </w:tcPr>
          <w:p w:rsidR="00501FCE" w:rsidRPr="005120A7" w:rsidP="00501FCE" w14:paraId="77B15B0B"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Number of Respondents</w:t>
            </w:r>
            <w:r w:rsidRPr="005120A7">
              <w:rPr>
                <w:rFonts w:eastAsia="Times New Roman" w:cstheme="minorHAnsi"/>
                <w:color w:val="000000"/>
                <w:sz w:val="20"/>
                <w:szCs w:val="20"/>
              </w:rPr>
              <w:br/>
              <w:t>(E=A+B+C-D)</w:t>
            </w:r>
          </w:p>
        </w:tc>
      </w:tr>
      <w:tr w14:paraId="7D2A340B" w14:textId="77777777" w:rsidTr="00023C04">
        <w:tblPrEx>
          <w:tblW w:w="13225" w:type="dxa"/>
          <w:tblInd w:w="113"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501FCE" w:rsidRPr="005120A7" w:rsidP="00501FCE" w14:paraId="6883596A"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2080" w:type="dxa"/>
            <w:tcBorders>
              <w:top w:val="nil"/>
              <w:left w:val="nil"/>
              <w:bottom w:val="single" w:sz="4" w:space="0" w:color="auto"/>
              <w:right w:val="single" w:sz="4" w:space="0" w:color="auto"/>
            </w:tcBorders>
            <w:shd w:val="clear" w:color="auto" w:fill="auto"/>
            <w:vAlign w:val="center"/>
            <w:hideMark/>
          </w:tcPr>
          <w:p w:rsidR="00501FCE" w:rsidRPr="005120A7" w:rsidP="00501FCE" w14:paraId="120A25A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501FCE" w:rsidRPr="005120A7" w:rsidP="00501FCE" w14:paraId="2A5351F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2400" w:type="dxa"/>
            <w:tcBorders>
              <w:top w:val="nil"/>
              <w:left w:val="nil"/>
              <w:bottom w:val="single" w:sz="4" w:space="0" w:color="auto"/>
              <w:right w:val="single" w:sz="4" w:space="0" w:color="auto"/>
            </w:tcBorders>
            <w:shd w:val="clear" w:color="auto" w:fill="auto"/>
            <w:vAlign w:val="center"/>
            <w:hideMark/>
          </w:tcPr>
          <w:p w:rsidR="00501FCE" w:rsidRPr="005120A7" w:rsidP="00501FCE" w14:paraId="597BF91F" w14:textId="5FDDD91F">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755</w:t>
            </w:r>
          </w:p>
        </w:tc>
        <w:tc>
          <w:tcPr>
            <w:tcW w:w="2925" w:type="dxa"/>
            <w:tcBorders>
              <w:top w:val="nil"/>
              <w:left w:val="nil"/>
              <w:bottom w:val="single" w:sz="4" w:space="0" w:color="auto"/>
              <w:right w:val="single" w:sz="4" w:space="0" w:color="auto"/>
            </w:tcBorders>
            <w:shd w:val="clear" w:color="auto" w:fill="auto"/>
            <w:vAlign w:val="center"/>
            <w:hideMark/>
          </w:tcPr>
          <w:p w:rsidR="00501FCE" w:rsidRPr="005120A7" w:rsidP="00501FCE" w14:paraId="0411014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2340" w:type="dxa"/>
            <w:tcBorders>
              <w:top w:val="nil"/>
              <w:left w:val="nil"/>
              <w:bottom w:val="single" w:sz="4" w:space="0" w:color="auto"/>
              <w:right w:val="single" w:sz="4" w:space="0" w:color="auto"/>
            </w:tcBorders>
            <w:shd w:val="clear" w:color="auto" w:fill="auto"/>
            <w:vAlign w:val="center"/>
            <w:hideMark/>
          </w:tcPr>
          <w:p w:rsidR="00501FCE" w:rsidRPr="005120A7" w:rsidP="00501FCE" w14:paraId="1B6B445C" w14:textId="45EE2866">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900</w:t>
            </w:r>
          </w:p>
        </w:tc>
      </w:tr>
      <w:tr w14:paraId="3D0F890B" w14:textId="77777777" w:rsidTr="00023C04">
        <w:tblPrEx>
          <w:tblW w:w="13225" w:type="dxa"/>
          <w:tblInd w:w="113"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501FCE" w:rsidRPr="005120A7" w:rsidP="00501FCE" w14:paraId="571B73C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p>
        </w:tc>
        <w:tc>
          <w:tcPr>
            <w:tcW w:w="2080" w:type="dxa"/>
            <w:tcBorders>
              <w:top w:val="nil"/>
              <w:left w:val="nil"/>
              <w:bottom w:val="single" w:sz="4" w:space="0" w:color="auto"/>
              <w:right w:val="single" w:sz="4" w:space="0" w:color="auto"/>
            </w:tcBorders>
            <w:shd w:val="clear" w:color="auto" w:fill="auto"/>
            <w:vAlign w:val="center"/>
            <w:hideMark/>
          </w:tcPr>
          <w:p w:rsidR="00501FCE" w:rsidRPr="005120A7" w:rsidP="00501FCE" w14:paraId="53361EDE"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501FCE" w:rsidRPr="005120A7" w:rsidP="00501FCE" w14:paraId="5E4B089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2400" w:type="dxa"/>
            <w:tcBorders>
              <w:top w:val="nil"/>
              <w:left w:val="nil"/>
              <w:bottom w:val="single" w:sz="4" w:space="0" w:color="auto"/>
              <w:right w:val="single" w:sz="4" w:space="0" w:color="auto"/>
            </w:tcBorders>
            <w:shd w:val="clear" w:color="auto" w:fill="auto"/>
            <w:vAlign w:val="center"/>
            <w:hideMark/>
          </w:tcPr>
          <w:p w:rsidR="00501FCE" w:rsidRPr="005120A7" w:rsidP="00501FCE" w14:paraId="7F9619F7" w14:textId="1F5B009A">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755</w:t>
            </w:r>
          </w:p>
        </w:tc>
        <w:tc>
          <w:tcPr>
            <w:tcW w:w="2925" w:type="dxa"/>
            <w:tcBorders>
              <w:top w:val="nil"/>
              <w:left w:val="nil"/>
              <w:bottom w:val="single" w:sz="4" w:space="0" w:color="auto"/>
              <w:right w:val="single" w:sz="4" w:space="0" w:color="auto"/>
            </w:tcBorders>
            <w:shd w:val="clear" w:color="auto" w:fill="auto"/>
            <w:vAlign w:val="center"/>
            <w:hideMark/>
          </w:tcPr>
          <w:p w:rsidR="00501FCE" w:rsidRPr="005120A7" w:rsidP="00501FCE" w14:paraId="3C6F1C01"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2340" w:type="dxa"/>
            <w:tcBorders>
              <w:top w:val="nil"/>
              <w:left w:val="nil"/>
              <w:bottom w:val="single" w:sz="4" w:space="0" w:color="auto"/>
              <w:right w:val="single" w:sz="4" w:space="0" w:color="auto"/>
            </w:tcBorders>
            <w:shd w:val="clear" w:color="auto" w:fill="auto"/>
            <w:vAlign w:val="center"/>
            <w:hideMark/>
          </w:tcPr>
          <w:p w:rsidR="00501FCE" w:rsidRPr="005120A7" w:rsidP="00501FCE" w14:paraId="0D923532" w14:textId="5E46BF15">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900</w:t>
            </w:r>
          </w:p>
        </w:tc>
      </w:tr>
      <w:tr w14:paraId="61E708BC" w14:textId="77777777" w:rsidTr="00023C04">
        <w:tblPrEx>
          <w:tblW w:w="13225" w:type="dxa"/>
          <w:tblInd w:w="113"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501FCE" w:rsidRPr="005120A7" w:rsidP="00501FCE" w14:paraId="1809489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3</w:t>
            </w:r>
          </w:p>
        </w:tc>
        <w:tc>
          <w:tcPr>
            <w:tcW w:w="2080" w:type="dxa"/>
            <w:tcBorders>
              <w:top w:val="nil"/>
              <w:left w:val="nil"/>
              <w:bottom w:val="single" w:sz="4" w:space="0" w:color="auto"/>
              <w:right w:val="single" w:sz="4" w:space="0" w:color="auto"/>
            </w:tcBorders>
            <w:shd w:val="clear" w:color="auto" w:fill="auto"/>
            <w:vAlign w:val="center"/>
            <w:hideMark/>
          </w:tcPr>
          <w:p w:rsidR="00501FCE" w:rsidRPr="005120A7" w:rsidP="00501FCE" w14:paraId="373250F3"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501FCE" w:rsidRPr="005120A7" w:rsidP="00501FCE" w14:paraId="2058456F"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2400" w:type="dxa"/>
            <w:tcBorders>
              <w:top w:val="nil"/>
              <w:left w:val="nil"/>
              <w:bottom w:val="single" w:sz="4" w:space="0" w:color="auto"/>
              <w:right w:val="single" w:sz="4" w:space="0" w:color="auto"/>
            </w:tcBorders>
            <w:shd w:val="clear" w:color="auto" w:fill="auto"/>
            <w:vAlign w:val="center"/>
            <w:hideMark/>
          </w:tcPr>
          <w:p w:rsidR="00501FCE" w:rsidRPr="005120A7" w:rsidP="00501FCE" w14:paraId="756C6DEA" w14:textId="70BC080C">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755</w:t>
            </w:r>
          </w:p>
        </w:tc>
        <w:tc>
          <w:tcPr>
            <w:tcW w:w="2925" w:type="dxa"/>
            <w:tcBorders>
              <w:top w:val="nil"/>
              <w:left w:val="nil"/>
              <w:bottom w:val="single" w:sz="4" w:space="0" w:color="auto"/>
              <w:right w:val="single" w:sz="4" w:space="0" w:color="auto"/>
            </w:tcBorders>
            <w:shd w:val="clear" w:color="auto" w:fill="auto"/>
            <w:vAlign w:val="center"/>
            <w:hideMark/>
          </w:tcPr>
          <w:p w:rsidR="00501FCE" w:rsidRPr="005120A7" w:rsidP="00501FCE" w14:paraId="5BC1ABD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2340" w:type="dxa"/>
            <w:tcBorders>
              <w:top w:val="nil"/>
              <w:left w:val="nil"/>
              <w:bottom w:val="single" w:sz="4" w:space="0" w:color="auto"/>
              <w:right w:val="single" w:sz="4" w:space="0" w:color="auto"/>
            </w:tcBorders>
            <w:shd w:val="clear" w:color="auto" w:fill="auto"/>
            <w:vAlign w:val="center"/>
            <w:hideMark/>
          </w:tcPr>
          <w:p w:rsidR="00501FCE" w:rsidRPr="005120A7" w:rsidP="00501FCE" w14:paraId="2FEAE885" w14:textId="529D2F6B">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900</w:t>
            </w:r>
          </w:p>
        </w:tc>
      </w:tr>
      <w:tr w14:paraId="355EF83E" w14:textId="77777777" w:rsidTr="00023C04">
        <w:tblPrEx>
          <w:tblW w:w="13225" w:type="dxa"/>
          <w:tblInd w:w="113" w:type="dxa"/>
          <w:tblLook w:val="04A0"/>
        </w:tblPrEx>
        <w:trPr>
          <w:trHeight w:val="2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501FCE" w:rsidRPr="005120A7" w:rsidP="00501FCE" w14:paraId="77470D01"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Average</w:t>
            </w:r>
          </w:p>
        </w:tc>
        <w:tc>
          <w:tcPr>
            <w:tcW w:w="2080" w:type="dxa"/>
            <w:tcBorders>
              <w:top w:val="nil"/>
              <w:left w:val="nil"/>
              <w:bottom w:val="single" w:sz="4" w:space="0" w:color="auto"/>
              <w:right w:val="single" w:sz="4" w:space="0" w:color="auto"/>
            </w:tcBorders>
            <w:shd w:val="clear" w:color="auto" w:fill="auto"/>
            <w:vAlign w:val="center"/>
            <w:hideMark/>
          </w:tcPr>
          <w:p w:rsidR="00501FCE" w:rsidRPr="005120A7" w:rsidP="00501FCE" w14:paraId="7BCAD11A"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501FCE" w:rsidRPr="005120A7" w:rsidP="00501FCE" w14:paraId="2EC4C87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2400" w:type="dxa"/>
            <w:tcBorders>
              <w:top w:val="nil"/>
              <w:left w:val="nil"/>
              <w:bottom w:val="single" w:sz="4" w:space="0" w:color="auto"/>
              <w:right w:val="single" w:sz="4" w:space="0" w:color="auto"/>
            </w:tcBorders>
            <w:shd w:val="clear" w:color="auto" w:fill="auto"/>
            <w:vAlign w:val="center"/>
            <w:hideMark/>
          </w:tcPr>
          <w:p w:rsidR="00501FCE" w:rsidRPr="005120A7" w:rsidP="00501FCE" w14:paraId="4E4B0DA4" w14:textId="7CEBC24E">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755</w:t>
            </w:r>
          </w:p>
        </w:tc>
        <w:tc>
          <w:tcPr>
            <w:tcW w:w="2925" w:type="dxa"/>
            <w:tcBorders>
              <w:top w:val="nil"/>
              <w:left w:val="nil"/>
              <w:bottom w:val="single" w:sz="4" w:space="0" w:color="auto"/>
              <w:right w:val="single" w:sz="4" w:space="0" w:color="auto"/>
            </w:tcBorders>
            <w:shd w:val="clear" w:color="auto" w:fill="auto"/>
            <w:vAlign w:val="center"/>
            <w:hideMark/>
          </w:tcPr>
          <w:p w:rsidR="00501FCE" w:rsidRPr="005120A7" w:rsidP="00501FCE" w14:paraId="30571DF4"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2340" w:type="dxa"/>
            <w:tcBorders>
              <w:top w:val="nil"/>
              <w:left w:val="nil"/>
              <w:bottom w:val="single" w:sz="4" w:space="0" w:color="auto"/>
              <w:right w:val="single" w:sz="4" w:space="0" w:color="auto"/>
            </w:tcBorders>
            <w:shd w:val="clear" w:color="auto" w:fill="auto"/>
            <w:vAlign w:val="center"/>
            <w:hideMark/>
          </w:tcPr>
          <w:p w:rsidR="00501FCE" w:rsidRPr="005120A7" w:rsidP="00501FCE" w14:paraId="1924D729" w14:textId="733109B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900</w:t>
            </w:r>
          </w:p>
        </w:tc>
      </w:tr>
    </w:tbl>
    <w:p w:rsidR="000E178E" w:rsidRPr="00501FCE" w:rsidP="00501FCE" w14:paraId="42D33254" w14:textId="09BEA04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a</w:t>
      </w:r>
      <w:r w:rsidRPr="00501FCE" w:rsidR="00501FCE">
        <w:rPr>
          <w:rFonts w:ascii="Times New Roman" w:eastAsia="Times New Roman" w:hAnsi="Times New Roman" w:cs="Times New Roman"/>
          <w:color w:val="000000"/>
          <w:sz w:val="20"/>
          <w:szCs w:val="20"/>
        </w:rPr>
        <w:t xml:space="preserve"> New respondents include sources with constructed, reconstructed and modified affected facilities. </w:t>
      </w:r>
    </w:p>
    <w:p w:rsidR="00DE5FD4" w:rsidP="00BB3410" w14:paraId="5A12B241" w14:textId="3D45D474">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135" w:type="dxa"/>
        <w:tblInd w:w="113" w:type="dxa"/>
        <w:tblLook w:val="04A0"/>
      </w:tblPr>
      <w:tblGrid>
        <w:gridCol w:w="2875"/>
        <w:gridCol w:w="2430"/>
        <w:gridCol w:w="2160"/>
        <w:gridCol w:w="2970"/>
        <w:gridCol w:w="2700"/>
      </w:tblGrid>
      <w:tr w14:paraId="6C861675" w14:textId="77777777" w:rsidTr="00CE624A">
        <w:tblPrEx>
          <w:tblW w:w="13135" w:type="dxa"/>
          <w:tblInd w:w="113" w:type="dxa"/>
          <w:tblLook w:val="04A0"/>
        </w:tblPrEx>
        <w:trPr>
          <w:trHeight w:val="260"/>
        </w:trPr>
        <w:tc>
          <w:tcPr>
            <w:tcW w:w="2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A69" w:rsidRPr="005120A7" w:rsidP="00D61A69" w14:paraId="4E3D290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(A)</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D61A69" w:rsidRPr="005120A7" w:rsidP="00D61A69" w14:paraId="1B5BE8F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(B)</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61A69" w:rsidRPr="005120A7" w:rsidP="00D61A69" w14:paraId="3005AD31"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(C)</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D61A69" w:rsidRPr="005120A7" w:rsidP="00D61A69" w14:paraId="64D1F9A1"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(D)</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D61A69" w:rsidRPr="005120A7" w:rsidP="00D61A69" w14:paraId="6662849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(E)</w:t>
            </w:r>
          </w:p>
        </w:tc>
      </w:tr>
      <w:tr w14:paraId="0DAF3908" w14:textId="77777777" w:rsidTr="00CE624A">
        <w:tblPrEx>
          <w:tblW w:w="13135" w:type="dxa"/>
          <w:tblInd w:w="113" w:type="dxa"/>
          <w:tblLook w:val="04A0"/>
        </w:tblPrEx>
        <w:trPr>
          <w:trHeight w:val="132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D61A69" w:rsidRPr="005120A7" w:rsidP="00D61A69" w14:paraId="6F1872C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Information Collection Activity</w:t>
            </w:r>
          </w:p>
        </w:tc>
        <w:tc>
          <w:tcPr>
            <w:tcW w:w="2430" w:type="dxa"/>
            <w:tcBorders>
              <w:top w:val="nil"/>
              <w:left w:val="nil"/>
              <w:bottom w:val="single" w:sz="4" w:space="0" w:color="auto"/>
              <w:right w:val="single" w:sz="4" w:space="0" w:color="auto"/>
            </w:tcBorders>
            <w:shd w:val="clear" w:color="auto" w:fill="auto"/>
            <w:vAlign w:val="center"/>
            <w:hideMark/>
          </w:tcPr>
          <w:p w:rsidR="00D61A69" w:rsidRPr="005120A7" w:rsidP="00D61A69" w14:paraId="17F801E7"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Number of Respondents</w:t>
            </w:r>
          </w:p>
        </w:tc>
        <w:tc>
          <w:tcPr>
            <w:tcW w:w="2160" w:type="dxa"/>
            <w:tcBorders>
              <w:top w:val="nil"/>
              <w:left w:val="nil"/>
              <w:bottom w:val="single" w:sz="4" w:space="0" w:color="auto"/>
              <w:right w:val="single" w:sz="4" w:space="0" w:color="auto"/>
            </w:tcBorders>
            <w:shd w:val="clear" w:color="auto" w:fill="auto"/>
            <w:vAlign w:val="center"/>
            <w:hideMark/>
          </w:tcPr>
          <w:p w:rsidR="00D61A69" w:rsidRPr="005120A7" w:rsidP="00D61A69" w14:paraId="206DCB0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Number of Responses</w:t>
            </w:r>
          </w:p>
        </w:tc>
        <w:tc>
          <w:tcPr>
            <w:tcW w:w="2970" w:type="dxa"/>
            <w:tcBorders>
              <w:top w:val="nil"/>
              <w:left w:val="nil"/>
              <w:bottom w:val="single" w:sz="4" w:space="0" w:color="auto"/>
              <w:right w:val="single" w:sz="4" w:space="0" w:color="auto"/>
            </w:tcBorders>
            <w:shd w:val="clear" w:color="auto" w:fill="auto"/>
            <w:vAlign w:val="center"/>
            <w:hideMark/>
          </w:tcPr>
          <w:p w:rsidR="00D61A69" w:rsidRPr="005120A7" w:rsidP="00D61A69" w14:paraId="2F1238F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Number of Existing Respondents That Keep Records But Do Not Submit Reports</w:t>
            </w:r>
          </w:p>
        </w:tc>
        <w:tc>
          <w:tcPr>
            <w:tcW w:w="2700" w:type="dxa"/>
            <w:tcBorders>
              <w:top w:val="nil"/>
              <w:left w:val="nil"/>
              <w:bottom w:val="single" w:sz="4" w:space="0" w:color="auto"/>
              <w:right w:val="single" w:sz="4" w:space="0" w:color="auto"/>
            </w:tcBorders>
            <w:shd w:val="clear" w:color="auto" w:fill="auto"/>
            <w:vAlign w:val="center"/>
            <w:hideMark/>
          </w:tcPr>
          <w:p w:rsidR="00D61A69" w:rsidRPr="005120A7" w:rsidP="00D61A69" w14:paraId="69200D6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Total Annual Responses</w:t>
            </w:r>
            <w:r w:rsidRPr="005120A7">
              <w:rPr>
                <w:rFonts w:eastAsia="Times New Roman" w:cstheme="minorHAnsi"/>
                <w:color w:val="000000"/>
                <w:sz w:val="20"/>
                <w:szCs w:val="20"/>
              </w:rPr>
              <w:br/>
              <w:t>E=(BxC)+D</w:t>
            </w:r>
          </w:p>
        </w:tc>
      </w:tr>
      <w:tr w14:paraId="6C4A9199" w14:textId="77777777" w:rsidTr="00CE624A">
        <w:tblPrEx>
          <w:tblW w:w="13135" w:type="dxa"/>
          <w:tblInd w:w="113" w:type="dxa"/>
          <w:tblLook w:val="04A0"/>
        </w:tblPrEx>
        <w:trPr>
          <w:trHeight w:val="45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D61A69" w:rsidRPr="005120A7" w:rsidP="00D61A69" w14:paraId="162BB11D"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Initial Notification of Applicability</w:t>
            </w:r>
          </w:p>
        </w:tc>
        <w:tc>
          <w:tcPr>
            <w:tcW w:w="2430" w:type="dxa"/>
            <w:tcBorders>
              <w:top w:val="nil"/>
              <w:left w:val="nil"/>
              <w:bottom w:val="single" w:sz="4" w:space="0" w:color="auto"/>
              <w:right w:val="single" w:sz="4" w:space="0" w:color="auto"/>
            </w:tcBorders>
            <w:shd w:val="clear" w:color="auto" w:fill="auto"/>
            <w:vAlign w:val="center"/>
            <w:hideMark/>
          </w:tcPr>
          <w:p w:rsidR="00D61A69" w:rsidRPr="005120A7" w:rsidP="00D61A69" w14:paraId="25366AC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D61A69" w:rsidRPr="005120A7" w:rsidP="00D61A69" w14:paraId="33AADB1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D61A69" w:rsidRPr="005120A7" w:rsidP="00D61A69" w14:paraId="3CA4AF51"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2700" w:type="dxa"/>
            <w:tcBorders>
              <w:top w:val="nil"/>
              <w:left w:val="nil"/>
              <w:bottom w:val="single" w:sz="4" w:space="0" w:color="auto"/>
              <w:right w:val="single" w:sz="4" w:space="0" w:color="auto"/>
            </w:tcBorders>
            <w:shd w:val="clear" w:color="auto" w:fill="auto"/>
            <w:vAlign w:val="center"/>
            <w:hideMark/>
          </w:tcPr>
          <w:p w:rsidR="00D61A69" w:rsidRPr="005120A7" w:rsidP="00D61A69" w14:paraId="14E690B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r>
      <w:tr w14:paraId="065DE3E5" w14:textId="77777777" w:rsidTr="00CE624A">
        <w:tblPrEx>
          <w:tblW w:w="13135" w:type="dxa"/>
          <w:tblInd w:w="113" w:type="dxa"/>
          <w:tblLook w:val="04A0"/>
        </w:tblPrEx>
        <w:trPr>
          <w:trHeight w:val="61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D61A69" w:rsidRPr="005120A7" w:rsidP="00D61A69" w14:paraId="03C0819D"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Notification of Compliance Status</w:t>
            </w:r>
          </w:p>
        </w:tc>
        <w:tc>
          <w:tcPr>
            <w:tcW w:w="2430" w:type="dxa"/>
            <w:tcBorders>
              <w:top w:val="nil"/>
              <w:left w:val="nil"/>
              <w:bottom w:val="single" w:sz="4" w:space="0" w:color="auto"/>
              <w:right w:val="single" w:sz="4" w:space="0" w:color="auto"/>
            </w:tcBorders>
            <w:shd w:val="clear" w:color="auto" w:fill="auto"/>
            <w:vAlign w:val="center"/>
            <w:hideMark/>
          </w:tcPr>
          <w:p w:rsidR="00D61A69" w:rsidRPr="005120A7" w:rsidP="00D61A69" w14:paraId="0B390E39"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D61A69" w:rsidRPr="005120A7" w:rsidP="00D61A69" w14:paraId="26E35E4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D61A69" w:rsidRPr="005120A7" w:rsidP="00D61A69" w14:paraId="7BA56F49"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2700" w:type="dxa"/>
            <w:tcBorders>
              <w:top w:val="nil"/>
              <w:left w:val="nil"/>
              <w:bottom w:val="single" w:sz="4" w:space="0" w:color="auto"/>
              <w:right w:val="single" w:sz="4" w:space="0" w:color="auto"/>
            </w:tcBorders>
            <w:shd w:val="clear" w:color="auto" w:fill="auto"/>
            <w:vAlign w:val="center"/>
            <w:hideMark/>
          </w:tcPr>
          <w:p w:rsidR="00D61A69" w:rsidRPr="005120A7" w:rsidP="00D61A69" w14:paraId="14AB3005"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0</w:t>
            </w:r>
          </w:p>
        </w:tc>
      </w:tr>
      <w:tr w14:paraId="46482BCE" w14:textId="77777777" w:rsidTr="00CE624A">
        <w:tblPrEx>
          <w:tblW w:w="13135" w:type="dxa"/>
          <w:tblInd w:w="113" w:type="dxa"/>
          <w:tblLook w:val="04A0"/>
        </w:tblPrEx>
        <w:trPr>
          <w:trHeight w:val="40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D61A69" w:rsidRPr="005120A7" w:rsidP="00D61A69" w14:paraId="5AFC84E2"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Annual Compliance Certification</w:t>
            </w:r>
          </w:p>
        </w:tc>
        <w:tc>
          <w:tcPr>
            <w:tcW w:w="2430" w:type="dxa"/>
            <w:tcBorders>
              <w:top w:val="nil"/>
              <w:left w:val="nil"/>
              <w:bottom w:val="single" w:sz="4" w:space="0" w:color="auto"/>
              <w:right w:val="single" w:sz="4" w:space="0" w:color="auto"/>
            </w:tcBorders>
            <w:shd w:val="clear" w:color="auto" w:fill="auto"/>
            <w:vAlign w:val="center"/>
            <w:hideMark/>
          </w:tcPr>
          <w:p w:rsidR="00D61A69" w:rsidRPr="005120A7" w:rsidP="00D61A69" w14:paraId="2482B0E3"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2160" w:type="dxa"/>
            <w:tcBorders>
              <w:top w:val="nil"/>
              <w:left w:val="nil"/>
              <w:bottom w:val="single" w:sz="4" w:space="0" w:color="auto"/>
              <w:right w:val="single" w:sz="4" w:space="0" w:color="auto"/>
            </w:tcBorders>
            <w:shd w:val="clear" w:color="auto" w:fill="auto"/>
            <w:vAlign w:val="center"/>
            <w:hideMark/>
          </w:tcPr>
          <w:p w:rsidR="00D61A69" w:rsidRPr="005120A7" w:rsidP="00D61A69" w14:paraId="44C8C5B0"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D61A69" w:rsidRPr="005120A7" w:rsidP="00D61A69" w14:paraId="6554C6E1" w14:textId="06D1ADC2">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755</w:t>
            </w:r>
          </w:p>
        </w:tc>
        <w:tc>
          <w:tcPr>
            <w:tcW w:w="2700" w:type="dxa"/>
            <w:tcBorders>
              <w:top w:val="nil"/>
              <w:left w:val="nil"/>
              <w:bottom w:val="single" w:sz="4" w:space="0" w:color="auto"/>
              <w:right w:val="single" w:sz="4" w:space="0" w:color="auto"/>
            </w:tcBorders>
            <w:shd w:val="clear" w:color="auto" w:fill="auto"/>
            <w:vAlign w:val="center"/>
            <w:hideMark/>
          </w:tcPr>
          <w:p w:rsidR="00D61A69" w:rsidRPr="005120A7" w:rsidP="00D61A69" w14:paraId="005E8CB2" w14:textId="34597AAC">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2</w:t>
            </w:r>
            <w:r w:rsidR="00BB739F">
              <w:rPr>
                <w:rFonts w:eastAsia="Times New Roman" w:cstheme="minorHAnsi"/>
                <w:color w:val="000000"/>
                <w:sz w:val="20"/>
                <w:szCs w:val="20"/>
              </w:rPr>
              <w:t>,</w:t>
            </w:r>
            <w:r w:rsidRPr="005120A7">
              <w:rPr>
                <w:rFonts w:eastAsia="Times New Roman" w:cstheme="minorHAnsi"/>
                <w:color w:val="000000"/>
                <w:sz w:val="20"/>
                <w:szCs w:val="20"/>
              </w:rPr>
              <w:t>900</w:t>
            </w:r>
          </w:p>
        </w:tc>
      </w:tr>
      <w:tr w14:paraId="51680CF0" w14:textId="77777777" w:rsidTr="00CE624A">
        <w:tblPrEx>
          <w:tblW w:w="13135" w:type="dxa"/>
          <w:tblInd w:w="113" w:type="dxa"/>
          <w:tblLook w:val="04A0"/>
        </w:tblPrEx>
        <w:trPr>
          <w:trHeight w:val="375"/>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D61A69" w:rsidRPr="005120A7" w:rsidP="00D61A69" w14:paraId="59C55EF1"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Annual Report of Deviations</w:t>
            </w:r>
          </w:p>
        </w:tc>
        <w:tc>
          <w:tcPr>
            <w:tcW w:w="2430" w:type="dxa"/>
            <w:tcBorders>
              <w:top w:val="nil"/>
              <w:left w:val="nil"/>
              <w:bottom w:val="single" w:sz="4" w:space="0" w:color="auto"/>
              <w:right w:val="single" w:sz="4" w:space="0" w:color="auto"/>
            </w:tcBorders>
            <w:shd w:val="clear" w:color="auto" w:fill="auto"/>
            <w:vAlign w:val="center"/>
            <w:hideMark/>
          </w:tcPr>
          <w:p w:rsidR="00D61A69" w:rsidRPr="005120A7" w:rsidP="00D61A69" w14:paraId="03D83B5D"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c>
          <w:tcPr>
            <w:tcW w:w="2160" w:type="dxa"/>
            <w:tcBorders>
              <w:top w:val="nil"/>
              <w:left w:val="nil"/>
              <w:bottom w:val="single" w:sz="4" w:space="0" w:color="auto"/>
              <w:right w:val="single" w:sz="4" w:space="0" w:color="auto"/>
            </w:tcBorders>
            <w:shd w:val="clear" w:color="auto" w:fill="auto"/>
            <w:vAlign w:val="center"/>
            <w:hideMark/>
          </w:tcPr>
          <w:p w:rsidR="00D61A69" w:rsidRPr="005120A7" w:rsidP="00D61A69" w14:paraId="196A2346"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D61A69" w:rsidRPr="005120A7" w:rsidP="00D61A69" w14:paraId="17D7E8A8"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N/A</w:t>
            </w:r>
          </w:p>
        </w:tc>
        <w:tc>
          <w:tcPr>
            <w:tcW w:w="2700" w:type="dxa"/>
            <w:tcBorders>
              <w:top w:val="nil"/>
              <w:left w:val="nil"/>
              <w:bottom w:val="single" w:sz="4" w:space="0" w:color="auto"/>
              <w:right w:val="single" w:sz="4" w:space="0" w:color="auto"/>
            </w:tcBorders>
            <w:shd w:val="clear" w:color="auto" w:fill="auto"/>
            <w:vAlign w:val="center"/>
            <w:hideMark/>
          </w:tcPr>
          <w:p w:rsidR="00D61A69" w:rsidRPr="005120A7" w:rsidP="00D61A69" w14:paraId="51053FA9"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145</w:t>
            </w:r>
          </w:p>
        </w:tc>
      </w:tr>
      <w:tr w14:paraId="79D38CAA" w14:textId="77777777" w:rsidTr="00CE624A">
        <w:tblPrEx>
          <w:tblW w:w="13135" w:type="dxa"/>
          <w:tblInd w:w="113"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rsidR="00D61A69" w:rsidRPr="005120A7" w:rsidP="00D61A69" w14:paraId="1FC52529" w14:textId="77777777">
            <w:pPr>
              <w:spacing w:after="0" w:line="240" w:lineRule="auto"/>
              <w:rPr>
                <w:rFonts w:eastAsia="Times New Roman" w:cstheme="minorHAnsi"/>
                <w:color w:val="000000"/>
                <w:sz w:val="20"/>
                <w:szCs w:val="20"/>
              </w:rPr>
            </w:pPr>
            <w:r w:rsidRPr="005120A7">
              <w:rPr>
                <w:rFonts w:eastAsia="Times New Roman" w:cstheme="minorHAnsi"/>
                <w:color w:val="000000"/>
                <w:sz w:val="20"/>
                <w:szCs w:val="20"/>
              </w:rPr>
              <w:t> </w:t>
            </w:r>
          </w:p>
        </w:tc>
        <w:tc>
          <w:tcPr>
            <w:tcW w:w="2430" w:type="dxa"/>
            <w:tcBorders>
              <w:top w:val="nil"/>
              <w:left w:val="nil"/>
              <w:bottom w:val="single" w:sz="4" w:space="0" w:color="auto"/>
              <w:right w:val="single" w:sz="4" w:space="0" w:color="auto"/>
            </w:tcBorders>
            <w:shd w:val="clear" w:color="auto" w:fill="auto"/>
            <w:vAlign w:val="center"/>
            <w:hideMark/>
          </w:tcPr>
          <w:p w:rsidR="00D61A69" w:rsidRPr="005120A7" w:rsidP="00D61A69" w14:paraId="692F64CB" w14:textId="77777777">
            <w:pPr>
              <w:spacing w:after="0" w:line="240" w:lineRule="auto"/>
              <w:jc w:val="center"/>
              <w:rPr>
                <w:rFonts w:eastAsia="Times New Roman" w:cstheme="minorHAnsi"/>
                <w:color w:val="000000"/>
                <w:sz w:val="20"/>
                <w:szCs w:val="20"/>
              </w:rPr>
            </w:pPr>
            <w:r w:rsidRPr="005120A7">
              <w:rPr>
                <w:rFonts w:eastAsia="Times New Roman" w:cstheme="minorHAnsi"/>
                <w:color w:val="000000"/>
                <w:sz w:val="20"/>
                <w:szCs w:val="20"/>
              </w:rPr>
              <w:t> </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rsidR="00D61A69" w:rsidRPr="005120A7" w:rsidP="00D61A69" w14:paraId="5A3AA3D9" w14:textId="77777777">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Total</w:t>
            </w:r>
          </w:p>
        </w:tc>
        <w:tc>
          <w:tcPr>
            <w:tcW w:w="2700" w:type="dxa"/>
            <w:tcBorders>
              <w:top w:val="nil"/>
              <w:left w:val="nil"/>
              <w:bottom w:val="single" w:sz="4" w:space="0" w:color="auto"/>
              <w:right w:val="single" w:sz="4" w:space="0" w:color="auto"/>
            </w:tcBorders>
            <w:shd w:val="clear" w:color="auto" w:fill="auto"/>
            <w:vAlign w:val="center"/>
            <w:hideMark/>
          </w:tcPr>
          <w:p w:rsidR="00D61A69" w:rsidRPr="005120A7" w:rsidP="00D61A69" w14:paraId="16ACAF73" w14:textId="7BC9BE2A">
            <w:pPr>
              <w:spacing w:after="0" w:line="240" w:lineRule="auto"/>
              <w:jc w:val="center"/>
              <w:rPr>
                <w:rFonts w:eastAsia="Times New Roman" w:cstheme="minorHAnsi"/>
                <w:b/>
                <w:bCs/>
                <w:color w:val="000000"/>
                <w:sz w:val="20"/>
                <w:szCs w:val="20"/>
              </w:rPr>
            </w:pPr>
            <w:r w:rsidRPr="005120A7">
              <w:rPr>
                <w:rFonts w:eastAsia="Times New Roman" w:cstheme="minorHAnsi"/>
                <w:b/>
                <w:bCs/>
                <w:color w:val="000000"/>
                <w:sz w:val="20"/>
                <w:szCs w:val="20"/>
              </w:rPr>
              <w:t>3</w:t>
            </w:r>
            <w:r w:rsidR="00BB739F">
              <w:rPr>
                <w:rFonts w:eastAsia="Times New Roman" w:cstheme="minorHAnsi"/>
                <w:b/>
                <w:bCs/>
                <w:color w:val="000000"/>
                <w:sz w:val="20"/>
                <w:szCs w:val="20"/>
              </w:rPr>
              <w:t>,</w:t>
            </w:r>
            <w:r w:rsidRPr="005120A7">
              <w:rPr>
                <w:rFonts w:eastAsia="Times New Roman" w:cstheme="minorHAnsi"/>
                <w:b/>
                <w:bCs/>
                <w:color w:val="000000"/>
                <w:sz w:val="20"/>
                <w:szCs w:val="20"/>
              </w:rPr>
              <w:t>045</w:t>
            </w:r>
          </w:p>
        </w:tc>
      </w:tr>
    </w:tbl>
    <w:p w:rsidR="00340CA3" w14:paraId="7DAF68EA" w14:textId="77777777">
      <w:pPr>
        <w:rPr>
          <w:rFonts w:cstheme="minorHAnsi"/>
          <w:b/>
          <w:bCs/>
          <w:sz w:val="24"/>
          <w:szCs w:val="24"/>
        </w:rPr>
      </w:pPr>
      <w:r>
        <w:rPr>
          <w:rFonts w:cstheme="minorHAnsi"/>
          <w:b/>
          <w:bCs/>
          <w:sz w:val="24"/>
          <w:szCs w:val="24"/>
        </w:rPr>
        <w:br w:type="page"/>
      </w:r>
    </w:p>
    <w:p w:rsidR="009D7EC1" w:rsidP="00BB3410" w14:paraId="26AF562F" w14:textId="0CD25FBC">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p w:rsidR="00CC6DA1" w:rsidRPr="00BB3410" w:rsidP="00BB3410" w14:paraId="70212F38" w14:textId="0B6EE136">
      <w:pPr>
        <w:pStyle w:val="ListParagraph"/>
        <w:spacing w:before="240"/>
        <w:ind w:left="0"/>
        <w:rPr>
          <w:rFonts w:cstheme="minorHAnsi"/>
          <w:sz w:val="24"/>
          <w:szCs w:val="24"/>
        </w:rPr>
      </w:pPr>
      <w:r w:rsidRPr="00340CA3">
        <w:rPr>
          <w:rFonts w:cstheme="minorHAnsi"/>
          <w:sz w:val="24"/>
          <w:szCs w:val="24"/>
        </w:rPr>
        <w:t>The only costs to the regulated industry resulting from information collection activities required by the subject standards are labor costs. There are no capital/startup or operation and maintenance costs.</w:t>
      </w: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5383" w:rsidP="002335AB" w14:paraId="07D7B0A2" w14:textId="77777777">
      <w:pPr>
        <w:spacing w:after="0" w:line="240" w:lineRule="auto"/>
      </w:pPr>
      <w:r>
        <w:separator/>
      </w:r>
    </w:p>
  </w:footnote>
  <w:footnote w:type="continuationSeparator" w:id="1">
    <w:p w:rsidR="00B55383" w:rsidP="002335AB" w14:paraId="28525CAF" w14:textId="77777777">
      <w:pPr>
        <w:spacing w:after="0" w:line="240" w:lineRule="auto"/>
      </w:pPr>
      <w:r>
        <w:continuationSeparator/>
      </w:r>
    </w:p>
  </w:footnote>
  <w:footnote w:type="continuationNotice" w:id="2">
    <w:p w:rsidR="00B55383" w14:paraId="5BFC821D" w14:textId="77777777">
      <w:pPr>
        <w:spacing w:after="0" w:line="240" w:lineRule="auto"/>
      </w:pPr>
    </w:p>
  </w:footnote>
  <w:footnote w:id="3">
    <w:p w:rsidR="009F4BD9" w14:paraId="1C7B5946" w14:textId="33A02877">
      <w:pPr>
        <w:pStyle w:val="FootnoteText"/>
      </w:pPr>
      <w:r>
        <w:rPr>
          <w:rStyle w:val="FootnoteReference"/>
        </w:rPr>
        <w:footnoteRef/>
      </w:r>
      <w:r>
        <w:t xml:space="preserve"> </w:t>
      </w:r>
      <w:r w:rsidR="00A60A91">
        <w:t>The amendments published on November 19, 2020 (85 FR 73854) included revisions to the initial notification provisions of the NESHAP to include additional language so that the notification shall be submitted no later than 120 calendar days after the source becomes subject to the relevant NESHAP requirements. The revisions did not impose any new information collection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C04"/>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BF6"/>
    <w:rsid w:val="00075C7A"/>
    <w:rsid w:val="000762A8"/>
    <w:rsid w:val="00076439"/>
    <w:rsid w:val="00076F0F"/>
    <w:rsid w:val="00077D8A"/>
    <w:rsid w:val="00082A72"/>
    <w:rsid w:val="00083D4A"/>
    <w:rsid w:val="00084BF3"/>
    <w:rsid w:val="0009016D"/>
    <w:rsid w:val="00090627"/>
    <w:rsid w:val="00090750"/>
    <w:rsid w:val="000911D6"/>
    <w:rsid w:val="00091EB4"/>
    <w:rsid w:val="0009219E"/>
    <w:rsid w:val="000925BD"/>
    <w:rsid w:val="00093C6D"/>
    <w:rsid w:val="00093DC2"/>
    <w:rsid w:val="00094023"/>
    <w:rsid w:val="0009492C"/>
    <w:rsid w:val="00095F01"/>
    <w:rsid w:val="00096319"/>
    <w:rsid w:val="000970D0"/>
    <w:rsid w:val="00097353"/>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C707E"/>
    <w:rsid w:val="000D1BCD"/>
    <w:rsid w:val="000D224E"/>
    <w:rsid w:val="000D251E"/>
    <w:rsid w:val="000D2D5D"/>
    <w:rsid w:val="000D3C22"/>
    <w:rsid w:val="000D45B2"/>
    <w:rsid w:val="000D516A"/>
    <w:rsid w:val="000D5863"/>
    <w:rsid w:val="000D6FA4"/>
    <w:rsid w:val="000D71D5"/>
    <w:rsid w:val="000E1158"/>
    <w:rsid w:val="000E178E"/>
    <w:rsid w:val="000E184B"/>
    <w:rsid w:val="000E19CB"/>
    <w:rsid w:val="000E1FE8"/>
    <w:rsid w:val="000E272F"/>
    <w:rsid w:val="000E2B7C"/>
    <w:rsid w:val="000E3298"/>
    <w:rsid w:val="000E348B"/>
    <w:rsid w:val="000E5609"/>
    <w:rsid w:val="000E7DC1"/>
    <w:rsid w:val="000F0186"/>
    <w:rsid w:val="000F29EE"/>
    <w:rsid w:val="000F338A"/>
    <w:rsid w:val="000F3AC3"/>
    <w:rsid w:val="000F4DBB"/>
    <w:rsid w:val="000F6D04"/>
    <w:rsid w:val="001003D6"/>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58D"/>
    <w:rsid w:val="00166B27"/>
    <w:rsid w:val="00170329"/>
    <w:rsid w:val="00170689"/>
    <w:rsid w:val="00170EB8"/>
    <w:rsid w:val="00171DC0"/>
    <w:rsid w:val="00173422"/>
    <w:rsid w:val="00173E50"/>
    <w:rsid w:val="00175870"/>
    <w:rsid w:val="00176BA8"/>
    <w:rsid w:val="001775F3"/>
    <w:rsid w:val="00180511"/>
    <w:rsid w:val="00182365"/>
    <w:rsid w:val="00184011"/>
    <w:rsid w:val="00185251"/>
    <w:rsid w:val="001912D6"/>
    <w:rsid w:val="0019149E"/>
    <w:rsid w:val="0019182F"/>
    <w:rsid w:val="00191C72"/>
    <w:rsid w:val="001922D5"/>
    <w:rsid w:val="001925B3"/>
    <w:rsid w:val="0019580A"/>
    <w:rsid w:val="00195BEB"/>
    <w:rsid w:val="001966D1"/>
    <w:rsid w:val="00197A23"/>
    <w:rsid w:val="001A20B0"/>
    <w:rsid w:val="001A21A7"/>
    <w:rsid w:val="001A3351"/>
    <w:rsid w:val="001A53A7"/>
    <w:rsid w:val="001A76B3"/>
    <w:rsid w:val="001A7DEF"/>
    <w:rsid w:val="001B13BF"/>
    <w:rsid w:val="001B1773"/>
    <w:rsid w:val="001B1962"/>
    <w:rsid w:val="001B2D25"/>
    <w:rsid w:val="001B4565"/>
    <w:rsid w:val="001B46D7"/>
    <w:rsid w:val="001B4BEC"/>
    <w:rsid w:val="001B5EA7"/>
    <w:rsid w:val="001B7B47"/>
    <w:rsid w:val="001C0151"/>
    <w:rsid w:val="001C04B9"/>
    <w:rsid w:val="001C260A"/>
    <w:rsid w:val="001C2D48"/>
    <w:rsid w:val="001C3106"/>
    <w:rsid w:val="001C3D5A"/>
    <w:rsid w:val="001C4634"/>
    <w:rsid w:val="001C6741"/>
    <w:rsid w:val="001C7470"/>
    <w:rsid w:val="001C7D52"/>
    <w:rsid w:val="001D01BB"/>
    <w:rsid w:val="001D1F3D"/>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07145"/>
    <w:rsid w:val="0021001E"/>
    <w:rsid w:val="00210F2E"/>
    <w:rsid w:val="00211627"/>
    <w:rsid w:val="00211A60"/>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2EC2"/>
    <w:rsid w:val="002648CF"/>
    <w:rsid w:val="00265FE7"/>
    <w:rsid w:val="00270940"/>
    <w:rsid w:val="002732F9"/>
    <w:rsid w:val="00276111"/>
    <w:rsid w:val="0027766D"/>
    <w:rsid w:val="00277A03"/>
    <w:rsid w:val="0028340E"/>
    <w:rsid w:val="00283764"/>
    <w:rsid w:val="00283AE9"/>
    <w:rsid w:val="00283C66"/>
    <w:rsid w:val="002847BB"/>
    <w:rsid w:val="002853F5"/>
    <w:rsid w:val="00285782"/>
    <w:rsid w:val="00285A68"/>
    <w:rsid w:val="00285CFD"/>
    <w:rsid w:val="00286FA0"/>
    <w:rsid w:val="00287F46"/>
    <w:rsid w:val="00287F94"/>
    <w:rsid w:val="00290BEB"/>
    <w:rsid w:val="00291493"/>
    <w:rsid w:val="00291589"/>
    <w:rsid w:val="002933D6"/>
    <w:rsid w:val="00295153"/>
    <w:rsid w:val="00295B71"/>
    <w:rsid w:val="0029755D"/>
    <w:rsid w:val="002A438A"/>
    <w:rsid w:val="002A43D0"/>
    <w:rsid w:val="002A6075"/>
    <w:rsid w:val="002A676B"/>
    <w:rsid w:val="002A6E4E"/>
    <w:rsid w:val="002A774D"/>
    <w:rsid w:val="002A7860"/>
    <w:rsid w:val="002A78D3"/>
    <w:rsid w:val="002B0036"/>
    <w:rsid w:val="002B4615"/>
    <w:rsid w:val="002B4910"/>
    <w:rsid w:val="002B7383"/>
    <w:rsid w:val="002B77A2"/>
    <w:rsid w:val="002C0623"/>
    <w:rsid w:val="002C1434"/>
    <w:rsid w:val="002C1646"/>
    <w:rsid w:val="002C4713"/>
    <w:rsid w:val="002C7322"/>
    <w:rsid w:val="002C7DDE"/>
    <w:rsid w:val="002D3E1A"/>
    <w:rsid w:val="002E0316"/>
    <w:rsid w:val="002E0999"/>
    <w:rsid w:val="002E2569"/>
    <w:rsid w:val="002E4E93"/>
    <w:rsid w:val="002E5BAD"/>
    <w:rsid w:val="002E5E6B"/>
    <w:rsid w:val="002E6047"/>
    <w:rsid w:val="002E6D1D"/>
    <w:rsid w:val="002F0614"/>
    <w:rsid w:val="002F077A"/>
    <w:rsid w:val="002F10BE"/>
    <w:rsid w:val="002F13DA"/>
    <w:rsid w:val="002F15EB"/>
    <w:rsid w:val="002F3CE0"/>
    <w:rsid w:val="002F6A76"/>
    <w:rsid w:val="00300363"/>
    <w:rsid w:val="003005BB"/>
    <w:rsid w:val="0030271B"/>
    <w:rsid w:val="00303DE5"/>
    <w:rsid w:val="00304842"/>
    <w:rsid w:val="003060D3"/>
    <w:rsid w:val="00306139"/>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193"/>
    <w:rsid w:val="00324F21"/>
    <w:rsid w:val="003256A4"/>
    <w:rsid w:val="003270C2"/>
    <w:rsid w:val="00330B87"/>
    <w:rsid w:val="00331168"/>
    <w:rsid w:val="0033211D"/>
    <w:rsid w:val="00333489"/>
    <w:rsid w:val="00340CA3"/>
    <w:rsid w:val="00342882"/>
    <w:rsid w:val="00342DB5"/>
    <w:rsid w:val="00343CEF"/>
    <w:rsid w:val="00344CB0"/>
    <w:rsid w:val="003467C8"/>
    <w:rsid w:val="00347C3C"/>
    <w:rsid w:val="0035079F"/>
    <w:rsid w:val="003507CB"/>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330C"/>
    <w:rsid w:val="003856DC"/>
    <w:rsid w:val="003901B8"/>
    <w:rsid w:val="00394F9D"/>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0227"/>
    <w:rsid w:val="003E08BE"/>
    <w:rsid w:val="003E133B"/>
    <w:rsid w:val="003E4B7A"/>
    <w:rsid w:val="003E5AAE"/>
    <w:rsid w:val="003E5D61"/>
    <w:rsid w:val="003E7E56"/>
    <w:rsid w:val="003F0A11"/>
    <w:rsid w:val="003F1F7D"/>
    <w:rsid w:val="003F30D7"/>
    <w:rsid w:val="003F36DC"/>
    <w:rsid w:val="003F5429"/>
    <w:rsid w:val="003F639F"/>
    <w:rsid w:val="003F6513"/>
    <w:rsid w:val="003F6664"/>
    <w:rsid w:val="003F72BB"/>
    <w:rsid w:val="00401C79"/>
    <w:rsid w:val="00402C51"/>
    <w:rsid w:val="00403FAB"/>
    <w:rsid w:val="00404886"/>
    <w:rsid w:val="0040643E"/>
    <w:rsid w:val="004064AA"/>
    <w:rsid w:val="004113CD"/>
    <w:rsid w:val="00411BBF"/>
    <w:rsid w:val="00412B2A"/>
    <w:rsid w:val="00414BB8"/>
    <w:rsid w:val="00415248"/>
    <w:rsid w:val="00415988"/>
    <w:rsid w:val="00417612"/>
    <w:rsid w:val="0042383B"/>
    <w:rsid w:val="0042409F"/>
    <w:rsid w:val="00424DDE"/>
    <w:rsid w:val="00424F93"/>
    <w:rsid w:val="004252C1"/>
    <w:rsid w:val="0042541E"/>
    <w:rsid w:val="00425DCA"/>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4B5"/>
    <w:rsid w:val="004468C2"/>
    <w:rsid w:val="00446B8D"/>
    <w:rsid w:val="0044700A"/>
    <w:rsid w:val="00450C44"/>
    <w:rsid w:val="00456E33"/>
    <w:rsid w:val="004600ED"/>
    <w:rsid w:val="0046086C"/>
    <w:rsid w:val="004620CA"/>
    <w:rsid w:val="00463285"/>
    <w:rsid w:val="00465846"/>
    <w:rsid w:val="00466349"/>
    <w:rsid w:val="00466B43"/>
    <w:rsid w:val="00470E22"/>
    <w:rsid w:val="00472D33"/>
    <w:rsid w:val="00473564"/>
    <w:rsid w:val="00475BA6"/>
    <w:rsid w:val="00477D70"/>
    <w:rsid w:val="00481DE7"/>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1BAE"/>
    <w:rsid w:val="004D59E6"/>
    <w:rsid w:val="004D5E8D"/>
    <w:rsid w:val="004D6404"/>
    <w:rsid w:val="004E1414"/>
    <w:rsid w:val="004E336F"/>
    <w:rsid w:val="004E3CB0"/>
    <w:rsid w:val="004E5457"/>
    <w:rsid w:val="004E5A83"/>
    <w:rsid w:val="004E6DE9"/>
    <w:rsid w:val="004E7F0A"/>
    <w:rsid w:val="004F014A"/>
    <w:rsid w:val="004F05F2"/>
    <w:rsid w:val="004F106A"/>
    <w:rsid w:val="004F1136"/>
    <w:rsid w:val="004F1426"/>
    <w:rsid w:val="004F3C8A"/>
    <w:rsid w:val="004F4CDB"/>
    <w:rsid w:val="004F4FDD"/>
    <w:rsid w:val="004F6CF4"/>
    <w:rsid w:val="0050085E"/>
    <w:rsid w:val="005016D0"/>
    <w:rsid w:val="00501DE1"/>
    <w:rsid w:val="00501FCE"/>
    <w:rsid w:val="005024CE"/>
    <w:rsid w:val="00502BAA"/>
    <w:rsid w:val="00504949"/>
    <w:rsid w:val="00506171"/>
    <w:rsid w:val="005062F5"/>
    <w:rsid w:val="00510C48"/>
    <w:rsid w:val="005119F4"/>
    <w:rsid w:val="00511DDD"/>
    <w:rsid w:val="005120A7"/>
    <w:rsid w:val="00512F2D"/>
    <w:rsid w:val="00513479"/>
    <w:rsid w:val="00513F71"/>
    <w:rsid w:val="0051499C"/>
    <w:rsid w:val="00515993"/>
    <w:rsid w:val="00516442"/>
    <w:rsid w:val="00517F46"/>
    <w:rsid w:val="00520209"/>
    <w:rsid w:val="0052076B"/>
    <w:rsid w:val="005210CD"/>
    <w:rsid w:val="00524059"/>
    <w:rsid w:val="005263EC"/>
    <w:rsid w:val="00526DFC"/>
    <w:rsid w:val="00527EB0"/>
    <w:rsid w:val="005303CA"/>
    <w:rsid w:val="00530DF8"/>
    <w:rsid w:val="00531CA7"/>
    <w:rsid w:val="005324A6"/>
    <w:rsid w:val="005346D7"/>
    <w:rsid w:val="00535D3D"/>
    <w:rsid w:val="005364D4"/>
    <w:rsid w:val="00536768"/>
    <w:rsid w:val="005372F7"/>
    <w:rsid w:val="00537322"/>
    <w:rsid w:val="00542227"/>
    <w:rsid w:val="005424B5"/>
    <w:rsid w:val="00542CEE"/>
    <w:rsid w:val="00546097"/>
    <w:rsid w:val="00546B65"/>
    <w:rsid w:val="00546FB4"/>
    <w:rsid w:val="00547B60"/>
    <w:rsid w:val="005505A4"/>
    <w:rsid w:val="005519F6"/>
    <w:rsid w:val="00552A7B"/>
    <w:rsid w:val="00552BE0"/>
    <w:rsid w:val="005544CE"/>
    <w:rsid w:val="00554865"/>
    <w:rsid w:val="0055616B"/>
    <w:rsid w:val="00556D62"/>
    <w:rsid w:val="00557E8F"/>
    <w:rsid w:val="005609B4"/>
    <w:rsid w:val="00560A26"/>
    <w:rsid w:val="0056111F"/>
    <w:rsid w:val="00561236"/>
    <w:rsid w:val="005636FA"/>
    <w:rsid w:val="0056373A"/>
    <w:rsid w:val="00564A1B"/>
    <w:rsid w:val="00564BF4"/>
    <w:rsid w:val="00565A5E"/>
    <w:rsid w:val="00566F71"/>
    <w:rsid w:val="00571C92"/>
    <w:rsid w:val="00571D24"/>
    <w:rsid w:val="00571E8B"/>
    <w:rsid w:val="005723B9"/>
    <w:rsid w:val="005726BA"/>
    <w:rsid w:val="0057299B"/>
    <w:rsid w:val="00574C83"/>
    <w:rsid w:val="00580559"/>
    <w:rsid w:val="005810DF"/>
    <w:rsid w:val="00583101"/>
    <w:rsid w:val="005836B3"/>
    <w:rsid w:val="00583AAC"/>
    <w:rsid w:val="00584D72"/>
    <w:rsid w:val="0058662D"/>
    <w:rsid w:val="005900C3"/>
    <w:rsid w:val="00590A21"/>
    <w:rsid w:val="005932EC"/>
    <w:rsid w:val="005966D8"/>
    <w:rsid w:val="0059769C"/>
    <w:rsid w:val="00597A92"/>
    <w:rsid w:val="005A0F75"/>
    <w:rsid w:val="005A10D1"/>
    <w:rsid w:val="005A129A"/>
    <w:rsid w:val="005A2ABF"/>
    <w:rsid w:val="005A35B4"/>
    <w:rsid w:val="005A422E"/>
    <w:rsid w:val="005A7235"/>
    <w:rsid w:val="005A7BA6"/>
    <w:rsid w:val="005A7D82"/>
    <w:rsid w:val="005B4322"/>
    <w:rsid w:val="005B499E"/>
    <w:rsid w:val="005B5DA7"/>
    <w:rsid w:val="005B6A8D"/>
    <w:rsid w:val="005C13CA"/>
    <w:rsid w:val="005C195D"/>
    <w:rsid w:val="005C2031"/>
    <w:rsid w:val="005C7EE3"/>
    <w:rsid w:val="005D0ACB"/>
    <w:rsid w:val="005D140B"/>
    <w:rsid w:val="005D1C36"/>
    <w:rsid w:val="005D1F2E"/>
    <w:rsid w:val="005D2654"/>
    <w:rsid w:val="005D2BE9"/>
    <w:rsid w:val="005D2E6F"/>
    <w:rsid w:val="005D5624"/>
    <w:rsid w:val="005D5865"/>
    <w:rsid w:val="005D5F1D"/>
    <w:rsid w:val="005E03A2"/>
    <w:rsid w:val="005E34E3"/>
    <w:rsid w:val="005E35C4"/>
    <w:rsid w:val="005E4A7B"/>
    <w:rsid w:val="005E4C2F"/>
    <w:rsid w:val="005E5062"/>
    <w:rsid w:val="005E588F"/>
    <w:rsid w:val="005E5BEC"/>
    <w:rsid w:val="005E5D2D"/>
    <w:rsid w:val="005E6FAB"/>
    <w:rsid w:val="005F1234"/>
    <w:rsid w:val="005F13AA"/>
    <w:rsid w:val="005F484B"/>
    <w:rsid w:val="005F5F0A"/>
    <w:rsid w:val="00600000"/>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1BD0"/>
    <w:rsid w:val="00613362"/>
    <w:rsid w:val="006150A3"/>
    <w:rsid w:val="006161DD"/>
    <w:rsid w:val="0061689C"/>
    <w:rsid w:val="006206F9"/>
    <w:rsid w:val="006210DF"/>
    <w:rsid w:val="0062163B"/>
    <w:rsid w:val="00622434"/>
    <w:rsid w:val="00622500"/>
    <w:rsid w:val="00622738"/>
    <w:rsid w:val="00623817"/>
    <w:rsid w:val="00624119"/>
    <w:rsid w:val="00624BE7"/>
    <w:rsid w:val="00625054"/>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4B71"/>
    <w:rsid w:val="00664D8C"/>
    <w:rsid w:val="00665EAF"/>
    <w:rsid w:val="00666566"/>
    <w:rsid w:val="00666D5A"/>
    <w:rsid w:val="00670897"/>
    <w:rsid w:val="00672A20"/>
    <w:rsid w:val="006737EC"/>
    <w:rsid w:val="006739CE"/>
    <w:rsid w:val="00676D05"/>
    <w:rsid w:val="0068304A"/>
    <w:rsid w:val="00683207"/>
    <w:rsid w:val="00686D59"/>
    <w:rsid w:val="00687254"/>
    <w:rsid w:val="00687583"/>
    <w:rsid w:val="00691828"/>
    <w:rsid w:val="00691A07"/>
    <w:rsid w:val="00692B88"/>
    <w:rsid w:val="00693D40"/>
    <w:rsid w:val="006971C6"/>
    <w:rsid w:val="00697598"/>
    <w:rsid w:val="00697D24"/>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275"/>
    <w:rsid w:val="006D6C61"/>
    <w:rsid w:val="006D7A1A"/>
    <w:rsid w:val="006E009D"/>
    <w:rsid w:val="006E0122"/>
    <w:rsid w:val="006E0960"/>
    <w:rsid w:val="006E116F"/>
    <w:rsid w:val="006E13FF"/>
    <w:rsid w:val="006E197A"/>
    <w:rsid w:val="006E1DC0"/>
    <w:rsid w:val="006E370D"/>
    <w:rsid w:val="006E4817"/>
    <w:rsid w:val="006E4CEA"/>
    <w:rsid w:val="006E6819"/>
    <w:rsid w:val="006E6A2C"/>
    <w:rsid w:val="006E6C7E"/>
    <w:rsid w:val="006E7D37"/>
    <w:rsid w:val="006F1C45"/>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17C22"/>
    <w:rsid w:val="00723245"/>
    <w:rsid w:val="00724442"/>
    <w:rsid w:val="00724815"/>
    <w:rsid w:val="00726EFA"/>
    <w:rsid w:val="007279D9"/>
    <w:rsid w:val="00731652"/>
    <w:rsid w:val="007323E5"/>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E34"/>
    <w:rsid w:val="00764EF9"/>
    <w:rsid w:val="007674E8"/>
    <w:rsid w:val="00770A34"/>
    <w:rsid w:val="00770FC4"/>
    <w:rsid w:val="007711BC"/>
    <w:rsid w:val="007713C7"/>
    <w:rsid w:val="00772C87"/>
    <w:rsid w:val="00772D61"/>
    <w:rsid w:val="007744B9"/>
    <w:rsid w:val="00775025"/>
    <w:rsid w:val="0077600F"/>
    <w:rsid w:val="00776C0D"/>
    <w:rsid w:val="0077747C"/>
    <w:rsid w:val="00780787"/>
    <w:rsid w:val="0078215A"/>
    <w:rsid w:val="007837C6"/>
    <w:rsid w:val="007838DA"/>
    <w:rsid w:val="0078463B"/>
    <w:rsid w:val="007853D4"/>
    <w:rsid w:val="007860F8"/>
    <w:rsid w:val="00786880"/>
    <w:rsid w:val="00791C8A"/>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5E77"/>
    <w:rsid w:val="007B74AA"/>
    <w:rsid w:val="007C285F"/>
    <w:rsid w:val="007C3A41"/>
    <w:rsid w:val="007C7191"/>
    <w:rsid w:val="007C7392"/>
    <w:rsid w:val="007D1451"/>
    <w:rsid w:val="007D1B8B"/>
    <w:rsid w:val="007D2824"/>
    <w:rsid w:val="007D3C4B"/>
    <w:rsid w:val="007D4381"/>
    <w:rsid w:val="007D47D8"/>
    <w:rsid w:val="007D58A8"/>
    <w:rsid w:val="007D5F7F"/>
    <w:rsid w:val="007D6286"/>
    <w:rsid w:val="007E0597"/>
    <w:rsid w:val="007E0985"/>
    <w:rsid w:val="007E1BD7"/>
    <w:rsid w:val="007E1DEB"/>
    <w:rsid w:val="007E2E4D"/>
    <w:rsid w:val="007E403E"/>
    <w:rsid w:val="007E4B86"/>
    <w:rsid w:val="007E6E0D"/>
    <w:rsid w:val="007F11C3"/>
    <w:rsid w:val="007F1FD4"/>
    <w:rsid w:val="007F246C"/>
    <w:rsid w:val="007F2A90"/>
    <w:rsid w:val="007F3A79"/>
    <w:rsid w:val="007F5265"/>
    <w:rsid w:val="007F60B7"/>
    <w:rsid w:val="007F7757"/>
    <w:rsid w:val="0080187D"/>
    <w:rsid w:val="00801957"/>
    <w:rsid w:val="00802495"/>
    <w:rsid w:val="0080293D"/>
    <w:rsid w:val="00802D56"/>
    <w:rsid w:val="00803457"/>
    <w:rsid w:val="008042DB"/>
    <w:rsid w:val="00806D50"/>
    <w:rsid w:val="00807B4F"/>
    <w:rsid w:val="00811D22"/>
    <w:rsid w:val="00811FC2"/>
    <w:rsid w:val="008144DD"/>
    <w:rsid w:val="008147E6"/>
    <w:rsid w:val="0081485B"/>
    <w:rsid w:val="00815A4C"/>
    <w:rsid w:val="00816010"/>
    <w:rsid w:val="00816302"/>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536D"/>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56CE8"/>
    <w:rsid w:val="00860243"/>
    <w:rsid w:val="00862ACA"/>
    <w:rsid w:val="00863B5C"/>
    <w:rsid w:val="00863E35"/>
    <w:rsid w:val="0086480C"/>
    <w:rsid w:val="0086680C"/>
    <w:rsid w:val="00866A4F"/>
    <w:rsid w:val="00866F44"/>
    <w:rsid w:val="00867050"/>
    <w:rsid w:val="00870F86"/>
    <w:rsid w:val="00873EFF"/>
    <w:rsid w:val="008749E8"/>
    <w:rsid w:val="00876774"/>
    <w:rsid w:val="00876C6F"/>
    <w:rsid w:val="008803DA"/>
    <w:rsid w:val="00881794"/>
    <w:rsid w:val="00881CAD"/>
    <w:rsid w:val="0088325A"/>
    <w:rsid w:val="00883A58"/>
    <w:rsid w:val="008861E8"/>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25DC"/>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4E4"/>
    <w:rsid w:val="00922AA7"/>
    <w:rsid w:val="00922C6F"/>
    <w:rsid w:val="00922D6B"/>
    <w:rsid w:val="00923155"/>
    <w:rsid w:val="00925391"/>
    <w:rsid w:val="009254E0"/>
    <w:rsid w:val="00925CEA"/>
    <w:rsid w:val="00927A0F"/>
    <w:rsid w:val="00927A30"/>
    <w:rsid w:val="00927DC6"/>
    <w:rsid w:val="0093123F"/>
    <w:rsid w:val="00931E9D"/>
    <w:rsid w:val="0093271A"/>
    <w:rsid w:val="009328B3"/>
    <w:rsid w:val="00934D17"/>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4DB5"/>
    <w:rsid w:val="009551C5"/>
    <w:rsid w:val="00956636"/>
    <w:rsid w:val="0096107B"/>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44E1"/>
    <w:rsid w:val="009A491E"/>
    <w:rsid w:val="009A5C07"/>
    <w:rsid w:val="009A6AF8"/>
    <w:rsid w:val="009A7ED7"/>
    <w:rsid w:val="009A7EF0"/>
    <w:rsid w:val="009B0C33"/>
    <w:rsid w:val="009B2A92"/>
    <w:rsid w:val="009B3C05"/>
    <w:rsid w:val="009B46F6"/>
    <w:rsid w:val="009B5CB4"/>
    <w:rsid w:val="009B5E96"/>
    <w:rsid w:val="009B76F3"/>
    <w:rsid w:val="009B7753"/>
    <w:rsid w:val="009C1909"/>
    <w:rsid w:val="009C2087"/>
    <w:rsid w:val="009C24FF"/>
    <w:rsid w:val="009C2DE1"/>
    <w:rsid w:val="009C3712"/>
    <w:rsid w:val="009C3901"/>
    <w:rsid w:val="009C3BA8"/>
    <w:rsid w:val="009C3C64"/>
    <w:rsid w:val="009C5CE3"/>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B5C"/>
    <w:rsid w:val="009E5EDB"/>
    <w:rsid w:val="009F06DE"/>
    <w:rsid w:val="009F1184"/>
    <w:rsid w:val="009F1E00"/>
    <w:rsid w:val="009F2AE7"/>
    <w:rsid w:val="009F3011"/>
    <w:rsid w:val="009F45ED"/>
    <w:rsid w:val="009F4BD9"/>
    <w:rsid w:val="00A02D1A"/>
    <w:rsid w:val="00A03078"/>
    <w:rsid w:val="00A0627A"/>
    <w:rsid w:val="00A10781"/>
    <w:rsid w:val="00A10C30"/>
    <w:rsid w:val="00A12B93"/>
    <w:rsid w:val="00A12BD8"/>
    <w:rsid w:val="00A15F64"/>
    <w:rsid w:val="00A16826"/>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0A91"/>
    <w:rsid w:val="00A6282F"/>
    <w:rsid w:val="00A62AFA"/>
    <w:rsid w:val="00A64B54"/>
    <w:rsid w:val="00A67FC6"/>
    <w:rsid w:val="00A68791"/>
    <w:rsid w:val="00A70210"/>
    <w:rsid w:val="00A71397"/>
    <w:rsid w:val="00A71F84"/>
    <w:rsid w:val="00A72623"/>
    <w:rsid w:val="00A768D2"/>
    <w:rsid w:val="00A80A27"/>
    <w:rsid w:val="00A816BC"/>
    <w:rsid w:val="00A82647"/>
    <w:rsid w:val="00A8542E"/>
    <w:rsid w:val="00A8593A"/>
    <w:rsid w:val="00A9188B"/>
    <w:rsid w:val="00A91EFC"/>
    <w:rsid w:val="00A9506C"/>
    <w:rsid w:val="00A955EC"/>
    <w:rsid w:val="00A9734E"/>
    <w:rsid w:val="00A975AC"/>
    <w:rsid w:val="00A97EE9"/>
    <w:rsid w:val="00AA26C8"/>
    <w:rsid w:val="00AA2AE3"/>
    <w:rsid w:val="00AA2B1B"/>
    <w:rsid w:val="00AA3857"/>
    <w:rsid w:val="00AA4A5E"/>
    <w:rsid w:val="00AA4F24"/>
    <w:rsid w:val="00AA5BD7"/>
    <w:rsid w:val="00AA67A0"/>
    <w:rsid w:val="00AA74E9"/>
    <w:rsid w:val="00AB1A9B"/>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0BA"/>
    <w:rsid w:val="00AE63B1"/>
    <w:rsid w:val="00AE70A5"/>
    <w:rsid w:val="00AE7A5F"/>
    <w:rsid w:val="00AE7BE7"/>
    <w:rsid w:val="00AE7FC5"/>
    <w:rsid w:val="00AF2486"/>
    <w:rsid w:val="00AF24FA"/>
    <w:rsid w:val="00AF2B7A"/>
    <w:rsid w:val="00AF3D20"/>
    <w:rsid w:val="00AF4218"/>
    <w:rsid w:val="00AF6F5C"/>
    <w:rsid w:val="00B027C5"/>
    <w:rsid w:val="00B02874"/>
    <w:rsid w:val="00B044B2"/>
    <w:rsid w:val="00B04655"/>
    <w:rsid w:val="00B04A5C"/>
    <w:rsid w:val="00B06750"/>
    <w:rsid w:val="00B07337"/>
    <w:rsid w:val="00B11B2A"/>
    <w:rsid w:val="00B13545"/>
    <w:rsid w:val="00B13DEC"/>
    <w:rsid w:val="00B1435B"/>
    <w:rsid w:val="00B15AEE"/>
    <w:rsid w:val="00B15B9E"/>
    <w:rsid w:val="00B222EC"/>
    <w:rsid w:val="00B22810"/>
    <w:rsid w:val="00B22F84"/>
    <w:rsid w:val="00B2326A"/>
    <w:rsid w:val="00B23E0D"/>
    <w:rsid w:val="00B24852"/>
    <w:rsid w:val="00B25740"/>
    <w:rsid w:val="00B26757"/>
    <w:rsid w:val="00B31C31"/>
    <w:rsid w:val="00B37C28"/>
    <w:rsid w:val="00B400AE"/>
    <w:rsid w:val="00B434D7"/>
    <w:rsid w:val="00B440C2"/>
    <w:rsid w:val="00B45BEF"/>
    <w:rsid w:val="00B47058"/>
    <w:rsid w:val="00B5068E"/>
    <w:rsid w:val="00B51024"/>
    <w:rsid w:val="00B524A9"/>
    <w:rsid w:val="00B55383"/>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A7FC4"/>
    <w:rsid w:val="00BB0D04"/>
    <w:rsid w:val="00BB25F2"/>
    <w:rsid w:val="00BB28AB"/>
    <w:rsid w:val="00BB29FA"/>
    <w:rsid w:val="00BB2B15"/>
    <w:rsid w:val="00BB2C92"/>
    <w:rsid w:val="00BB3410"/>
    <w:rsid w:val="00BB3A67"/>
    <w:rsid w:val="00BB432F"/>
    <w:rsid w:val="00BB49A7"/>
    <w:rsid w:val="00BB49C0"/>
    <w:rsid w:val="00BB6F4C"/>
    <w:rsid w:val="00BB6FB5"/>
    <w:rsid w:val="00BB739F"/>
    <w:rsid w:val="00BB753F"/>
    <w:rsid w:val="00BB7977"/>
    <w:rsid w:val="00BB7DA0"/>
    <w:rsid w:val="00BB7FF2"/>
    <w:rsid w:val="00BC0B1A"/>
    <w:rsid w:val="00BC1522"/>
    <w:rsid w:val="00BC1BF0"/>
    <w:rsid w:val="00BC3541"/>
    <w:rsid w:val="00BC3DD2"/>
    <w:rsid w:val="00BC4097"/>
    <w:rsid w:val="00BC46D6"/>
    <w:rsid w:val="00BD12E4"/>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BF6C47"/>
    <w:rsid w:val="00C0105E"/>
    <w:rsid w:val="00C02D9A"/>
    <w:rsid w:val="00C033E9"/>
    <w:rsid w:val="00C0389F"/>
    <w:rsid w:val="00C04326"/>
    <w:rsid w:val="00C046AD"/>
    <w:rsid w:val="00C054E3"/>
    <w:rsid w:val="00C061C0"/>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5697"/>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5F14"/>
    <w:rsid w:val="00C86ABE"/>
    <w:rsid w:val="00C8720B"/>
    <w:rsid w:val="00C87C08"/>
    <w:rsid w:val="00C87E71"/>
    <w:rsid w:val="00C91270"/>
    <w:rsid w:val="00C9141A"/>
    <w:rsid w:val="00C916DE"/>
    <w:rsid w:val="00C93634"/>
    <w:rsid w:val="00C943C6"/>
    <w:rsid w:val="00C94D5B"/>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1F6"/>
    <w:rsid w:val="00CC03C4"/>
    <w:rsid w:val="00CC2643"/>
    <w:rsid w:val="00CC2EC6"/>
    <w:rsid w:val="00CC338D"/>
    <w:rsid w:val="00CC3C26"/>
    <w:rsid w:val="00CC43C3"/>
    <w:rsid w:val="00CC43C5"/>
    <w:rsid w:val="00CC43CD"/>
    <w:rsid w:val="00CC4618"/>
    <w:rsid w:val="00CC6DA1"/>
    <w:rsid w:val="00CD08A7"/>
    <w:rsid w:val="00CD1614"/>
    <w:rsid w:val="00CD1836"/>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24A"/>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0FD4"/>
    <w:rsid w:val="00D210DB"/>
    <w:rsid w:val="00D225E2"/>
    <w:rsid w:val="00D234AD"/>
    <w:rsid w:val="00D24AC0"/>
    <w:rsid w:val="00D25D74"/>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6DF7"/>
    <w:rsid w:val="00D57716"/>
    <w:rsid w:val="00D61A69"/>
    <w:rsid w:val="00D61EDC"/>
    <w:rsid w:val="00D6350E"/>
    <w:rsid w:val="00D64254"/>
    <w:rsid w:val="00D71532"/>
    <w:rsid w:val="00D73509"/>
    <w:rsid w:val="00D73DBE"/>
    <w:rsid w:val="00D73E09"/>
    <w:rsid w:val="00D74290"/>
    <w:rsid w:val="00D74D4B"/>
    <w:rsid w:val="00D754A6"/>
    <w:rsid w:val="00D75775"/>
    <w:rsid w:val="00D76DB3"/>
    <w:rsid w:val="00D77C8D"/>
    <w:rsid w:val="00D83472"/>
    <w:rsid w:val="00D87764"/>
    <w:rsid w:val="00D90653"/>
    <w:rsid w:val="00D90E5F"/>
    <w:rsid w:val="00D92ED6"/>
    <w:rsid w:val="00D9599C"/>
    <w:rsid w:val="00D96370"/>
    <w:rsid w:val="00D96DFD"/>
    <w:rsid w:val="00DA4019"/>
    <w:rsid w:val="00DA4CEC"/>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6790"/>
    <w:rsid w:val="00DF7E5D"/>
    <w:rsid w:val="00E00589"/>
    <w:rsid w:val="00E0220E"/>
    <w:rsid w:val="00E034D9"/>
    <w:rsid w:val="00E03FC8"/>
    <w:rsid w:val="00E04947"/>
    <w:rsid w:val="00E076DF"/>
    <w:rsid w:val="00E10927"/>
    <w:rsid w:val="00E128B1"/>
    <w:rsid w:val="00E13812"/>
    <w:rsid w:val="00E14467"/>
    <w:rsid w:val="00E14BF3"/>
    <w:rsid w:val="00E15841"/>
    <w:rsid w:val="00E16410"/>
    <w:rsid w:val="00E17605"/>
    <w:rsid w:val="00E205A3"/>
    <w:rsid w:val="00E2389F"/>
    <w:rsid w:val="00E25157"/>
    <w:rsid w:val="00E27F78"/>
    <w:rsid w:val="00E30153"/>
    <w:rsid w:val="00E30F8E"/>
    <w:rsid w:val="00E3122D"/>
    <w:rsid w:val="00E31AD5"/>
    <w:rsid w:val="00E33FC1"/>
    <w:rsid w:val="00E3518D"/>
    <w:rsid w:val="00E35BF8"/>
    <w:rsid w:val="00E37A2B"/>
    <w:rsid w:val="00E40D81"/>
    <w:rsid w:val="00E42EA6"/>
    <w:rsid w:val="00E439D8"/>
    <w:rsid w:val="00E44811"/>
    <w:rsid w:val="00E463E4"/>
    <w:rsid w:val="00E47562"/>
    <w:rsid w:val="00E50CD6"/>
    <w:rsid w:val="00E5311D"/>
    <w:rsid w:val="00E54B97"/>
    <w:rsid w:val="00E55F68"/>
    <w:rsid w:val="00E604E8"/>
    <w:rsid w:val="00E63258"/>
    <w:rsid w:val="00E633AB"/>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BF7E7"/>
    <w:rsid w:val="00EC04E3"/>
    <w:rsid w:val="00EC0D68"/>
    <w:rsid w:val="00EC1141"/>
    <w:rsid w:val="00EC11F9"/>
    <w:rsid w:val="00EC122D"/>
    <w:rsid w:val="00EC1979"/>
    <w:rsid w:val="00EC1EAB"/>
    <w:rsid w:val="00EC230D"/>
    <w:rsid w:val="00EC4B2F"/>
    <w:rsid w:val="00EC5598"/>
    <w:rsid w:val="00EC6B27"/>
    <w:rsid w:val="00EC700B"/>
    <w:rsid w:val="00EC7AEE"/>
    <w:rsid w:val="00ED0082"/>
    <w:rsid w:val="00ED1842"/>
    <w:rsid w:val="00ED1C59"/>
    <w:rsid w:val="00ED2C2E"/>
    <w:rsid w:val="00ED31BD"/>
    <w:rsid w:val="00ED3C90"/>
    <w:rsid w:val="00ED4385"/>
    <w:rsid w:val="00ED44A3"/>
    <w:rsid w:val="00ED4BD0"/>
    <w:rsid w:val="00ED57A4"/>
    <w:rsid w:val="00ED6496"/>
    <w:rsid w:val="00ED7D8F"/>
    <w:rsid w:val="00EE038B"/>
    <w:rsid w:val="00EE2072"/>
    <w:rsid w:val="00EE2403"/>
    <w:rsid w:val="00EE2B2F"/>
    <w:rsid w:val="00EE5AC9"/>
    <w:rsid w:val="00EE68B7"/>
    <w:rsid w:val="00EE7609"/>
    <w:rsid w:val="00EE782C"/>
    <w:rsid w:val="00EF2E9D"/>
    <w:rsid w:val="00EF3B34"/>
    <w:rsid w:val="00EF46C3"/>
    <w:rsid w:val="00EF518A"/>
    <w:rsid w:val="00EF71E8"/>
    <w:rsid w:val="00EF7A31"/>
    <w:rsid w:val="00EF7B2E"/>
    <w:rsid w:val="00EF7D9F"/>
    <w:rsid w:val="00F0015C"/>
    <w:rsid w:val="00F02003"/>
    <w:rsid w:val="00F0667A"/>
    <w:rsid w:val="00F0705E"/>
    <w:rsid w:val="00F071BE"/>
    <w:rsid w:val="00F10CF0"/>
    <w:rsid w:val="00F11197"/>
    <w:rsid w:val="00F13918"/>
    <w:rsid w:val="00F15CFE"/>
    <w:rsid w:val="00F171C6"/>
    <w:rsid w:val="00F1773A"/>
    <w:rsid w:val="00F17AC5"/>
    <w:rsid w:val="00F17E88"/>
    <w:rsid w:val="00F17F8C"/>
    <w:rsid w:val="00F1ABB5"/>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48CA"/>
    <w:rsid w:val="00F462DB"/>
    <w:rsid w:val="00F46A94"/>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069A"/>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5141"/>
    <w:rsid w:val="00FB6E02"/>
    <w:rsid w:val="00FB72D9"/>
    <w:rsid w:val="00FB7E9F"/>
    <w:rsid w:val="00FC02BD"/>
    <w:rsid w:val="00FC0F42"/>
    <w:rsid w:val="00FC2365"/>
    <w:rsid w:val="00FC2A20"/>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E7403"/>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771C53"/>
    <w:rsid w:val="0589CF88"/>
    <w:rsid w:val="06070A83"/>
    <w:rsid w:val="0613B2CE"/>
    <w:rsid w:val="065BDB83"/>
    <w:rsid w:val="065EDDB5"/>
    <w:rsid w:val="067503E0"/>
    <w:rsid w:val="0688745E"/>
    <w:rsid w:val="06D233E7"/>
    <w:rsid w:val="0768A609"/>
    <w:rsid w:val="07DA50B0"/>
    <w:rsid w:val="08462F7E"/>
    <w:rsid w:val="084F7F16"/>
    <w:rsid w:val="0856A253"/>
    <w:rsid w:val="08742A6B"/>
    <w:rsid w:val="0913CA09"/>
    <w:rsid w:val="09A58165"/>
    <w:rsid w:val="09DA399C"/>
    <w:rsid w:val="0A60FF51"/>
    <w:rsid w:val="0A61D18E"/>
    <w:rsid w:val="0A7BADC9"/>
    <w:rsid w:val="0A87B1B4"/>
    <w:rsid w:val="0A9A8022"/>
    <w:rsid w:val="0AA3A86F"/>
    <w:rsid w:val="0AFB87B1"/>
    <w:rsid w:val="0C14FBF0"/>
    <w:rsid w:val="0C550549"/>
    <w:rsid w:val="0C70887C"/>
    <w:rsid w:val="0C9D8B4A"/>
    <w:rsid w:val="0CAA651B"/>
    <w:rsid w:val="0D05FC5C"/>
    <w:rsid w:val="0D36C0D2"/>
    <w:rsid w:val="0D9C6C8E"/>
    <w:rsid w:val="0D9D77A9"/>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2DCF19"/>
    <w:rsid w:val="11410993"/>
    <w:rsid w:val="11AB4B38"/>
    <w:rsid w:val="129B6C98"/>
    <w:rsid w:val="12BD9676"/>
    <w:rsid w:val="131FD8A5"/>
    <w:rsid w:val="13CB0A04"/>
    <w:rsid w:val="13F72327"/>
    <w:rsid w:val="14C791E6"/>
    <w:rsid w:val="1543CD3F"/>
    <w:rsid w:val="1564AC1A"/>
    <w:rsid w:val="15BD4994"/>
    <w:rsid w:val="1655B9ED"/>
    <w:rsid w:val="166451EE"/>
    <w:rsid w:val="16971CCD"/>
    <w:rsid w:val="16B4A4E5"/>
    <w:rsid w:val="16BAEDF7"/>
    <w:rsid w:val="16D612E6"/>
    <w:rsid w:val="173E4C25"/>
    <w:rsid w:val="177504D9"/>
    <w:rsid w:val="17897176"/>
    <w:rsid w:val="17D03F3F"/>
    <w:rsid w:val="17E67368"/>
    <w:rsid w:val="181E39F3"/>
    <w:rsid w:val="182E834C"/>
    <w:rsid w:val="184778CF"/>
    <w:rsid w:val="1855D6E5"/>
    <w:rsid w:val="187D4DCF"/>
    <w:rsid w:val="18874C03"/>
    <w:rsid w:val="188778EA"/>
    <w:rsid w:val="18A01C93"/>
    <w:rsid w:val="18AE5026"/>
    <w:rsid w:val="18DC5CAE"/>
    <w:rsid w:val="193C70FB"/>
    <w:rsid w:val="197C0B15"/>
    <w:rsid w:val="1982A3B2"/>
    <w:rsid w:val="198CBA07"/>
    <w:rsid w:val="19D0DF69"/>
    <w:rsid w:val="1A4C914E"/>
    <w:rsid w:val="1A889B5B"/>
    <w:rsid w:val="1A9C409B"/>
    <w:rsid w:val="1AC73956"/>
    <w:rsid w:val="1ACAD7AF"/>
    <w:rsid w:val="1ACFC339"/>
    <w:rsid w:val="1BB23D1F"/>
    <w:rsid w:val="1C3ACA4E"/>
    <w:rsid w:val="1C8F0082"/>
    <w:rsid w:val="1D24AEC1"/>
    <w:rsid w:val="1D88378A"/>
    <w:rsid w:val="1D92A723"/>
    <w:rsid w:val="1DC75DB1"/>
    <w:rsid w:val="1DE31029"/>
    <w:rsid w:val="1E453E56"/>
    <w:rsid w:val="1ED51596"/>
    <w:rsid w:val="1F1C394A"/>
    <w:rsid w:val="1F4BCFC2"/>
    <w:rsid w:val="1F5487D7"/>
    <w:rsid w:val="1F64BF2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2C1C515"/>
    <w:rsid w:val="23B29CB5"/>
    <w:rsid w:val="240E6710"/>
    <w:rsid w:val="2465FC40"/>
    <w:rsid w:val="24CA7F1E"/>
    <w:rsid w:val="25373DF2"/>
    <w:rsid w:val="25887D1F"/>
    <w:rsid w:val="25A37DC1"/>
    <w:rsid w:val="25CAEC98"/>
    <w:rsid w:val="261F179D"/>
    <w:rsid w:val="263A7A08"/>
    <w:rsid w:val="266CA112"/>
    <w:rsid w:val="271270F2"/>
    <w:rsid w:val="27274B2F"/>
    <w:rsid w:val="275FA0AA"/>
    <w:rsid w:val="279052A7"/>
    <w:rsid w:val="2792BB1F"/>
    <w:rsid w:val="27BDE7A1"/>
    <w:rsid w:val="27BE8256"/>
    <w:rsid w:val="27E825D9"/>
    <w:rsid w:val="286300B2"/>
    <w:rsid w:val="287DB562"/>
    <w:rsid w:val="28A8953E"/>
    <w:rsid w:val="2912FBA6"/>
    <w:rsid w:val="2990A606"/>
    <w:rsid w:val="29C237A3"/>
    <w:rsid w:val="2A00A404"/>
    <w:rsid w:val="2A8EDDB9"/>
    <w:rsid w:val="2AA44433"/>
    <w:rsid w:val="2AB2567D"/>
    <w:rsid w:val="2B35DB2A"/>
    <w:rsid w:val="2B4B5582"/>
    <w:rsid w:val="2BE32438"/>
    <w:rsid w:val="2BE65335"/>
    <w:rsid w:val="2C0DB51F"/>
    <w:rsid w:val="2C4E5B0E"/>
    <w:rsid w:val="2C9995C2"/>
    <w:rsid w:val="2D40FCE6"/>
    <w:rsid w:val="2D9223AC"/>
    <w:rsid w:val="2E38577E"/>
    <w:rsid w:val="2E4B5F0D"/>
    <w:rsid w:val="2E5A04FF"/>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32CA1B"/>
    <w:rsid w:val="326B2CC6"/>
    <w:rsid w:val="329F570B"/>
    <w:rsid w:val="32E3142D"/>
    <w:rsid w:val="331FED17"/>
    <w:rsid w:val="3343CE0C"/>
    <w:rsid w:val="33446247"/>
    <w:rsid w:val="337291F6"/>
    <w:rsid w:val="33A304FE"/>
    <w:rsid w:val="3432FB36"/>
    <w:rsid w:val="34573AA0"/>
    <w:rsid w:val="345E7EEB"/>
    <w:rsid w:val="35871221"/>
    <w:rsid w:val="35F835A9"/>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71106C"/>
    <w:rsid w:val="3A815CE5"/>
    <w:rsid w:val="3AAD53C7"/>
    <w:rsid w:val="3AB552BC"/>
    <w:rsid w:val="3AFFB97E"/>
    <w:rsid w:val="3B0BE252"/>
    <w:rsid w:val="3B0E920A"/>
    <w:rsid w:val="3BAB6869"/>
    <w:rsid w:val="3BEB04C5"/>
    <w:rsid w:val="3C9B89DF"/>
    <w:rsid w:val="3CB852BE"/>
    <w:rsid w:val="3D15E52A"/>
    <w:rsid w:val="3E06FF5D"/>
    <w:rsid w:val="3E102B8C"/>
    <w:rsid w:val="3E256BBE"/>
    <w:rsid w:val="3E2DE675"/>
    <w:rsid w:val="3E65CE30"/>
    <w:rsid w:val="3E9CD3A0"/>
    <w:rsid w:val="3EB7B85F"/>
    <w:rsid w:val="3EE3A51C"/>
    <w:rsid w:val="3EE6D5A6"/>
    <w:rsid w:val="3EEA7DEE"/>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CB6DF6"/>
    <w:rsid w:val="45D22335"/>
    <w:rsid w:val="4613F2F6"/>
    <w:rsid w:val="46201964"/>
    <w:rsid w:val="46245FE1"/>
    <w:rsid w:val="46681301"/>
    <w:rsid w:val="46700296"/>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BCE3AC"/>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037F68"/>
    <w:rsid w:val="4F344174"/>
    <w:rsid w:val="4F580799"/>
    <w:rsid w:val="4F90C958"/>
    <w:rsid w:val="4FDF4D6F"/>
    <w:rsid w:val="4FE7D2BE"/>
    <w:rsid w:val="5035202F"/>
    <w:rsid w:val="5050A6CE"/>
    <w:rsid w:val="50B4CCC2"/>
    <w:rsid w:val="50D011D5"/>
    <w:rsid w:val="50DAAFDA"/>
    <w:rsid w:val="51CD8467"/>
    <w:rsid w:val="521911B3"/>
    <w:rsid w:val="5286A8AB"/>
    <w:rsid w:val="528A0761"/>
    <w:rsid w:val="52A0F47C"/>
    <w:rsid w:val="52C9A661"/>
    <w:rsid w:val="52DA71F9"/>
    <w:rsid w:val="5317D6C4"/>
    <w:rsid w:val="534A0648"/>
    <w:rsid w:val="53B8BDE3"/>
    <w:rsid w:val="53BC4006"/>
    <w:rsid w:val="53CFCC7D"/>
    <w:rsid w:val="53EB873C"/>
    <w:rsid w:val="542209E4"/>
    <w:rsid w:val="54C8E03D"/>
    <w:rsid w:val="54E091D5"/>
    <w:rsid w:val="54EBB54E"/>
    <w:rsid w:val="54EF6163"/>
    <w:rsid w:val="54F09390"/>
    <w:rsid w:val="5557C7FE"/>
    <w:rsid w:val="55A6C473"/>
    <w:rsid w:val="55C46F90"/>
    <w:rsid w:val="562AFBC0"/>
    <w:rsid w:val="56E8F588"/>
    <w:rsid w:val="57AB9424"/>
    <w:rsid w:val="57AC274C"/>
    <w:rsid w:val="58057418"/>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A9AE0C"/>
    <w:rsid w:val="5BB14082"/>
    <w:rsid w:val="5BBB9343"/>
    <w:rsid w:val="5C20C024"/>
    <w:rsid w:val="5C37D93F"/>
    <w:rsid w:val="5C7C89F5"/>
    <w:rsid w:val="5C9FD156"/>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1BFB776"/>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22127A"/>
    <w:rsid w:val="67A12CA8"/>
    <w:rsid w:val="67B0064B"/>
    <w:rsid w:val="67EAAB8B"/>
    <w:rsid w:val="6840832B"/>
    <w:rsid w:val="6845A17D"/>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80FE3"/>
    <w:rsid w:val="6C1A47A6"/>
    <w:rsid w:val="6C662F01"/>
    <w:rsid w:val="6CAD4DC2"/>
    <w:rsid w:val="6CD068BD"/>
    <w:rsid w:val="6D31ABFA"/>
    <w:rsid w:val="6D72E780"/>
    <w:rsid w:val="6DAEF4CA"/>
    <w:rsid w:val="6DE0BC65"/>
    <w:rsid w:val="6DFEBF43"/>
    <w:rsid w:val="6E6D5E88"/>
    <w:rsid w:val="6EBC1B3C"/>
    <w:rsid w:val="6EE5DDBE"/>
    <w:rsid w:val="6EFA4A49"/>
    <w:rsid w:val="6F4FE255"/>
    <w:rsid w:val="6F6C6E4E"/>
    <w:rsid w:val="6F7C8CC6"/>
    <w:rsid w:val="6F800330"/>
    <w:rsid w:val="70B9CADB"/>
    <w:rsid w:val="70C1EA7D"/>
    <w:rsid w:val="71016B6C"/>
    <w:rsid w:val="71083EAF"/>
    <w:rsid w:val="71B73D84"/>
    <w:rsid w:val="71C942A4"/>
    <w:rsid w:val="72100CD5"/>
    <w:rsid w:val="721A1AE9"/>
    <w:rsid w:val="723B9BBC"/>
    <w:rsid w:val="7270BA12"/>
    <w:rsid w:val="729599FD"/>
    <w:rsid w:val="72E08E85"/>
    <w:rsid w:val="72FBE242"/>
    <w:rsid w:val="730C8C6A"/>
    <w:rsid w:val="7333BF65"/>
    <w:rsid w:val="733415EF"/>
    <w:rsid w:val="73A2B3E6"/>
    <w:rsid w:val="73EBD8BA"/>
    <w:rsid w:val="73F98B3F"/>
    <w:rsid w:val="740E8C24"/>
    <w:rsid w:val="7446171D"/>
    <w:rsid w:val="7483A86B"/>
    <w:rsid w:val="74B96759"/>
    <w:rsid w:val="74C611E6"/>
    <w:rsid w:val="756D3DCA"/>
    <w:rsid w:val="75AD869D"/>
    <w:rsid w:val="76450E62"/>
    <w:rsid w:val="767124E0"/>
    <w:rsid w:val="767F2AB4"/>
    <w:rsid w:val="76D274F7"/>
    <w:rsid w:val="76E53509"/>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A493D5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2025-01-07T14:37:09+00:00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B49548DE-1653-4167-90AD-26C4262C706B}">
  <ds:schemaRefs>
    <ds:schemaRef ds:uri="Microsoft.SharePoint.Taxonomy.ContentTypeSync"/>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962D6F9C-0AEB-4D5B-B9D5-EB1347563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5888</Words>
  <Characters>33564</Characters>
  <Application>Microsoft Office Word</Application>
  <DocSecurity>0</DocSecurity>
  <Lines>279</Lines>
  <Paragraphs>78</Paragraphs>
  <ScaleCrop>false</ScaleCrop>
  <Company/>
  <LinksUpToDate>false</LinksUpToDate>
  <CharactersWithSpaces>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2025-05-28T20:34:00Z</dcterms:created>
  <dcterms:modified xsi:type="dcterms:W3CDTF">2025-05-28T20:34:00Z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