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BE9" w:rsidRPr="001C2BE9" w:rsidP="001C2BE9" w14:paraId="640C45D8" w14:textId="3D9A5400">
      <w:pPr>
        <w:shd w:val="clear" w:color="auto" w:fill="FFFFFF"/>
        <w:jc w:val="center"/>
        <w:rPr>
          <w:rFonts w:ascii="Arial" w:hAnsi="Arial" w:cs="Arial"/>
          <w:sz w:val="24"/>
          <w:szCs w:val="24"/>
        </w:rPr>
      </w:pPr>
      <w:r w:rsidRPr="001C2BE9">
        <w:rPr>
          <w:rFonts w:ascii="Arial" w:hAnsi="Arial" w:cs="Arial"/>
          <w:b/>
          <w:bCs/>
          <w:sz w:val="24"/>
          <w:szCs w:val="24"/>
        </w:rPr>
        <w:t>Supporting Statement A</w:t>
      </w:r>
    </w:p>
    <w:p w:rsidR="00D87CC7" w:rsidRPr="002F3DE8" w14:paraId="45E05BBD" w14:textId="77777777">
      <w:pPr>
        <w:pStyle w:val="BodyText"/>
        <w:ind w:right="-720"/>
        <w:jc w:val="center"/>
        <w:rPr>
          <w:rFonts w:ascii="Arial" w:hAnsi="Arial" w:cs="Arial"/>
          <w:b/>
          <w:bCs/>
          <w:szCs w:val="24"/>
        </w:rPr>
      </w:pPr>
      <w:r>
        <w:rPr>
          <w:rFonts w:ascii="Arial" w:hAnsi="Arial" w:cs="Arial"/>
          <w:b/>
          <w:bCs/>
          <w:szCs w:val="24"/>
        </w:rPr>
        <w:t>Financial Responsibility for Licensed Launch Activities</w:t>
      </w:r>
    </w:p>
    <w:p w:rsidR="00191B15" w:rsidRPr="002F3DE8" w14:paraId="4B2C4D8E" w14:textId="77777777">
      <w:pPr>
        <w:pStyle w:val="BodyText"/>
        <w:jc w:val="center"/>
        <w:rPr>
          <w:rFonts w:ascii="Arial" w:hAnsi="Arial" w:cs="Arial"/>
          <w:b/>
          <w:bCs/>
          <w:szCs w:val="24"/>
        </w:rPr>
      </w:pPr>
    </w:p>
    <w:p w:rsidR="00881B30" w:rsidRPr="002F3DE8" w14:paraId="7DA83000" w14:textId="77777777">
      <w:pPr>
        <w:pStyle w:val="BodyText"/>
        <w:jc w:val="center"/>
        <w:rPr>
          <w:rFonts w:ascii="Arial" w:hAnsi="Arial" w:cs="Arial"/>
          <w:b/>
          <w:bCs/>
          <w:szCs w:val="24"/>
        </w:rPr>
      </w:pPr>
      <w:r w:rsidRPr="002F3DE8">
        <w:rPr>
          <w:rFonts w:ascii="Arial" w:hAnsi="Arial" w:cs="Arial"/>
          <w:b/>
          <w:bCs/>
          <w:szCs w:val="24"/>
        </w:rPr>
        <w:t>14 CFR Part 440</w:t>
      </w:r>
    </w:p>
    <w:p w:rsidR="00881B30" w:rsidRPr="002F3DE8" w:rsidP="00C71224" w14:paraId="38467406" w14:textId="77777777">
      <w:pPr>
        <w:pStyle w:val="BodyText"/>
        <w:rPr>
          <w:rFonts w:ascii="Arial" w:hAnsi="Arial" w:cs="Arial"/>
          <w:b/>
          <w:bCs/>
          <w:szCs w:val="24"/>
        </w:rPr>
      </w:pPr>
    </w:p>
    <w:p w:rsidR="00E67877" w:rsidP="00C71224" w14:paraId="01DDE61F" w14:textId="51A6C7A3">
      <w:pPr>
        <w:pStyle w:val="BodyText3"/>
        <w:rPr>
          <w:rFonts w:ascii="Arial" w:hAnsi="Arial" w:cs="Arial"/>
          <w:sz w:val="24"/>
          <w:szCs w:val="24"/>
        </w:rPr>
      </w:pPr>
      <w:r w:rsidRPr="002F3DE8">
        <w:rPr>
          <w:rFonts w:ascii="Arial" w:hAnsi="Arial" w:cs="Arial"/>
          <w:sz w:val="24"/>
          <w:szCs w:val="24"/>
        </w:rPr>
        <w:t xml:space="preserve">OMB Control Number </w:t>
      </w:r>
      <w:r w:rsidRPr="002F3DE8">
        <w:rPr>
          <w:rFonts w:ascii="Arial" w:hAnsi="Arial" w:cs="Arial"/>
          <w:sz w:val="24"/>
          <w:szCs w:val="24"/>
        </w:rPr>
        <w:t>2120-0601</w:t>
      </w:r>
    </w:p>
    <w:p w:rsidR="00DE7A16" w:rsidRPr="002F3DE8" w:rsidP="00C71224" w14:paraId="0645A34B" w14:textId="77777777">
      <w:pPr>
        <w:pStyle w:val="BodyText3"/>
        <w:rPr>
          <w:rFonts w:ascii="Arial" w:hAnsi="Arial" w:cs="Arial"/>
          <w:sz w:val="24"/>
          <w:szCs w:val="24"/>
        </w:rPr>
      </w:pPr>
    </w:p>
    <w:p w:rsidR="00881B30" w:rsidRPr="00DE7A16" w14:paraId="38D1E1DE" w14:textId="15432282">
      <w:pPr>
        <w:pStyle w:val="BodyText3"/>
        <w:jc w:val="left"/>
        <w:rPr>
          <w:rFonts w:ascii="Arial" w:hAnsi="Arial" w:cs="Arial"/>
          <w:b w:val="0"/>
          <w:sz w:val="24"/>
          <w:szCs w:val="24"/>
        </w:rPr>
      </w:pPr>
      <w:r w:rsidRPr="00DE7A16">
        <w:rPr>
          <w:rFonts w:ascii="Arial" w:hAnsi="Arial" w:cs="Arial"/>
          <w:b w:val="0"/>
          <w:sz w:val="24"/>
          <w:szCs w:val="24"/>
        </w:rPr>
        <w:t>This</w:t>
      </w:r>
      <w:r>
        <w:rPr>
          <w:rFonts w:ascii="Arial" w:hAnsi="Arial" w:cs="Arial"/>
          <w:b w:val="0"/>
          <w:sz w:val="24"/>
          <w:szCs w:val="24"/>
        </w:rPr>
        <w:t xml:space="preserve"> is an extension of an existing collection.  There are no cha</w:t>
      </w:r>
      <w:r w:rsidR="006949C0">
        <w:rPr>
          <w:rFonts w:ascii="Arial" w:hAnsi="Arial" w:cs="Arial"/>
          <w:b w:val="0"/>
          <w:sz w:val="24"/>
          <w:szCs w:val="24"/>
        </w:rPr>
        <w:t>nges to burden other than adjustment of pay rates.</w:t>
      </w:r>
    </w:p>
    <w:p w:rsidR="00881B30" w:rsidRPr="00C71224" w14:paraId="421E7461" w14:textId="0724A86F">
      <w:pPr>
        <w:pStyle w:val="PlainText"/>
        <w:rPr>
          <w:rFonts w:ascii="Times New Roman" w:hAnsi="Times New Roman"/>
          <w:sz w:val="24"/>
          <w:szCs w:val="24"/>
        </w:rPr>
      </w:pPr>
    </w:p>
    <w:p w:rsidR="00C124BD" w:rsidRPr="00C124BD" w:rsidP="00C124BD" w14:paraId="25638069" w14:textId="77777777">
      <w:pPr>
        <w:shd w:val="clear" w:color="auto" w:fill="FFFFFF"/>
        <w:rPr>
          <w:rFonts w:ascii="Arial" w:hAnsi="Arial" w:cs="Arial"/>
          <w:sz w:val="24"/>
          <w:szCs w:val="24"/>
        </w:rPr>
      </w:pPr>
      <w:r w:rsidRPr="00C124BD">
        <w:rPr>
          <w:rFonts w:ascii="Arial" w:hAnsi="Arial" w:cs="Arial"/>
          <w:b/>
          <w:bCs/>
          <w:sz w:val="24"/>
          <w:szCs w:val="24"/>
        </w:rPr>
        <w:t>1. Explain the circumstances that make the collection of information necessary. Identify any legal or administrative requirements that necessitate the collection.</w:t>
      </w:r>
    </w:p>
    <w:p w:rsidR="00722918" w:rsidP="00C124BD" w14:paraId="75420772" w14:textId="77777777">
      <w:pPr>
        <w:rPr>
          <w:rFonts w:ascii="Arial" w:hAnsi="Arial" w:cs="Arial"/>
          <w:sz w:val="24"/>
          <w:szCs w:val="24"/>
        </w:rPr>
      </w:pPr>
      <w:r w:rsidRPr="001C2BE9">
        <w:rPr>
          <w:rFonts w:ascii="Arial" w:hAnsi="Arial" w:cs="Arial"/>
          <w:sz w:val="24"/>
          <w:szCs w:val="24"/>
        </w:rPr>
        <w:br/>
      </w:r>
      <w:r w:rsidRPr="002F3DE8" w:rsidR="007C293D">
        <w:rPr>
          <w:rFonts w:ascii="Arial" w:hAnsi="Arial" w:cs="Arial"/>
          <w:sz w:val="24"/>
          <w:szCs w:val="24"/>
        </w:rPr>
        <w:t>The Commercial Space Launch Act of 1984 as amended and re</w:t>
      </w:r>
      <w:r>
        <w:rPr>
          <w:rFonts w:ascii="Arial" w:hAnsi="Arial" w:cs="Arial"/>
          <w:sz w:val="24"/>
          <w:szCs w:val="24"/>
        </w:rPr>
        <w:t>-</w:t>
      </w:r>
      <w:r w:rsidRPr="002F3DE8" w:rsidR="007C293D">
        <w:rPr>
          <w:rFonts w:ascii="Arial" w:hAnsi="Arial" w:cs="Arial"/>
          <w:sz w:val="24"/>
          <w:szCs w:val="24"/>
        </w:rPr>
        <w:t>codified at</w:t>
      </w:r>
      <w:r w:rsidRPr="002F3DE8" w:rsidR="00996B63">
        <w:rPr>
          <w:rFonts w:ascii="Arial" w:hAnsi="Arial" w:cs="Arial"/>
          <w:sz w:val="24"/>
          <w:szCs w:val="24"/>
        </w:rPr>
        <w:t xml:space="preserve"> 51 U.S.C. Subtitle V, </w:t>
      </w:r>
      <w:r w:rsidRPr="002F3DE8" w:rsidR="007C293D">
        <w:rPr>
          <w:rFonts w:ascii="Arial" w:hAnsi="Arial" w:cs="Arial"/>
          <w:sz w:val="24"/>
          <w:szCs w:val="24"/>
        </w:rPr>
        <w:t>§</w:t>
      </w:r>
      <w:r w:rsidRPr="002F3DE8" w:rsidR="00996B63">
        <w:rPr>
          <w:rFonts w:ascii="Arial" w:hAnsi="Arial" w:cs="Arial"/>
          <w:sz w:val="24"/>
          <w:szCs w:val="24"/>
        </w:rPr>
        <w:t xml:space="preserve"> 50914 provides that when a launch or reentry license is issued or transferred, the licensee or transferee must obtain liability insurance or demonstrate financial responsibility in amounts to compensate for the maximum probable loss </w:t>
      </w:r>
      <w:r w:rsidRPr="002F3DE8" w:rsidR="00FD0F6D">
        <w:rPr>
          <w:rFonts w:ascii="Arial" w:hAnsi="Arial" w:cs="Arial"/>
          <w:sz w:val="24"/>
          <w:szCs w:val="24"/>
        </w:rPr>
        <w:t xml:space="preserve">(MPL) </w:t>
      </w:r>
      <w:r w:rsidRPr="002F3DE8" w:rsidR="00996B63">
        <w:rPr>
          <w:rFonts w:ascii="Arial" w:hAnsi="Arial" w:cs="Arial"/>
          <w:sz w:val="24"/>
          <w:szCs w:val="24"/>
        </w:rPr>
        <w:t xml:space="preserve">from claims by a third party and by the United States Government. </w:t>
      </w:r>
      <w:r w:rsidRPr="002F3DE8" w:rsidR="00384472">
        <w:rPr>
          <w:rFonts w:ascii="Arial" w:hAnsi="Arial" w:cs="Arial"/>
          <w:sz w:val="24"/>
          <w:szCs w:val="24"/>
        </w:rPr>
        <w:t>Further</w:t>
      </w:r>
      <w:r w:rsidRPr="002F3DE8" w:rsidR="00996B63">
        <w:rPr>
          <w:rFonts w:ascii="Arial" w:hAnsi="Arial" w:cs="Arial"/>
          <w:sz w:val="24"/>
          <w:szCs w:val="24"/>
        </w:rPr>
        <w:t>, 51 U.S.C.  Subtitle V,</w:t>
      </w:r>
    </w:p>
    <w:p w:rsidR="00132243" w:rsidRPr="002F3DE8" w:rsidP="00C124BD" w14:paraId="01248F50" w14:textId="77777777">
      <w:pPr>
        <w:rPr>
          <w:rFonts w:ascii="Arial" w:hAnsi="Arial" w:cs="Arial"/>
          <w:sz w:val="24"/>
          <w:szCs w:val="24"/>
        </w:rPr>
      </w:pPr>
      <w:r w:rsidRPr="002F3DE8">
        <w:rPr>
          <w:rFonts w:ascii="Arial" w:hAnsi="Arial" w:cs="Arial"/>
          <w:sz w:val="24"/>
          <w:szCs w:val="24"/>
        </w:rPr>
        <w:t xml:space="preserve"> </w:t>
      </w:r>
      <w:r w:rsidRPr="002F3DE8" w:rsidR="007C293D">
        <w:rPr>
          <w:rFonts w:ascii="Arial" w:hAnsi="Arial" w:cs="Arial"/>
          <w:sz w:val="24"/>
          <w:szCs w:val="24"/>
        </w:rPr>
        <w:t>§</w:t>
      </w:r>
      <w:r w:rsidRPr="002F3DE8">
        <w:rPr>
          <w:rFonts w:ascii="Arial" w:hAnsi="Arial" w:cs="Arial"/>
          <w:sz w:val="24"/>
          <w:szCs w:val="24"/>
        </w:rPr>
        <w:t xml:space="preserve"> 50906</w:t>
      </w:r>
      <w:r w:rsidRPr="002F3DE8" w:rsidR="00384472">
        <w:rPr>
          <w:rFonts w:ascii="Arial" w:hAnsi="Arial" w:cs="Arial"/>
          <w:sz w:val="24"/>
          <w:szCs w:val="24"/>
        </w:rPr>
        <w:t>, paragraph</w:t>
      </w:r>
      <w:r w:rsidRPr="002F3DE8">
        <w:rPr>
          <w:rFonts w:ascii="Arial" w:hAnsi="Arial" w:cs="Arial"/>
          <w:sz w:val="24"/>
          <w:szCs w:val="24"/>
        </w:rPr>
        <w:t xml:space="preserve"> (h)(i) </w:t>
      </w:r>
      <w:r w:rsidRPr="002F3DE8" w:rsidR="00384472">
        <w:rPr>
          <w:rFonts w:ascii="Arial" w:hAnsi="Arial" w:cs="Arial"/>
          <w:sz w:val="24"/>
          <w:szCs w:val="24"/>
        </w:rPr>
        <w:t xml:space="preserve">states that for purposes of </w:t>
      </w:r>
      <w:r w:rsidRPr="002F3DE8" w:rsidR="007C293D">
        <w:rPr>
          <w:rFonts w:ascii="Arial" w:hAnsi="Arial" w:cs="Arial"/>
          <w:sz w:val="24"/>
          <w:szCs w:val="24"/>
        </w:rPr>
        <w:t>§</w:t>
      </w:r>
      <w:r w:rsidRPr="002F3DE8" w:rsidR="00384472">
        <w:rPr>
          <w:rFonts w:ascii="Arial" w:hAnsi="Arial" w:cs="Arial"/>
          <w:sz w:val="24"/>
          <w:szCs w:val="24"/>
        </w:rPr>
        <w:t xml:space="preserve"> 50914 (and other specified sections), a permit shall be considered a license. Therefore, the information collection described herein applies to launch activities related to a license</w:t>
      </w:r>
      <w:r w:rsidR="00722918">
        <w:rPr>
          <w:rFonts w:ascii="Arial" w:hAnsi="Arial" w:cs="Arial"/>
          <w:sz w:val="24"/>
          <w:szCs w:val="24"/>
        </w:rPr>
        <w:t xml:space="preserve"> and to an experimental permit.</w:t>
      </w:r>
    </w:p>
    <w:p w:rsidR="00881B30" w:rsidRPr="002F3DE8" w14:paraId="729A9CF1" w14:textId="77777777">
      <w:pPr>
        <w:pStyle w:val="PlainText"/>
        <w:ind w:left="810"/>
        <w:rPr>
          <w:rFonts w:ascii="Arial" w:hAnsi="Arial" w:cs="Arial"/>
          <w:sz w:val="24"/>
          <w:szCs w:val="24"/>
        </w:rPr>
      </w:pPr>
    </w:p>
    <w:p w:rsidR="00F210E0" w:rsidRPr="002F3DE8" w:rsidP="00C124BD" w14:paraId="3083C230" w14:textId="77777777">
      <w:pPr>
        <w:rPr>
          <w:rFonts w:ascii="Arial" w:hAnsi="Arial" w:cs="Arial"/>
          <w:sz w:val="24"/>
          <w:szCs w:val="24"/>
        </w:rPr>
      </w:pPr>
      <w:r w:rsidRPr="002F3DE8">
        <w:rPr>
          <w:rFonts w:ascii="Arial" w:hAnsi="Arial" w:cs="Arial"/>
          <w:sz w:val="24"/>
          <w:szCs w:val="24"/>
        </w:rPr>
        <w:t xml:space="preserve">Title 14 CFR Part 440 establishes financial responsibility requirements as a condition of every launch license or experimental permit issued by FAA/AST. </w:t>
      </w:r>
      <w:r w:rsidRPr="002F3DE8" w:rsidR="00881B30">
        <w:rPr>
          <w:rFonts w:ascii="Arial" w:hAnsi="Arial" w:cs="Arial"/>
          <w:sz w:val="24"/>
          <w:szCs w:val="24"/>
        </w:rPr>
        <w:t xml:space="preserve">Specifically, the </w:t>
      </w:r>
      <w:r w:rsidRPr="002F3DE8" w:rsidR="007E63E3">
        <w:rPr>
          <w:rFonts w:ascii="Arial" w:hAnsi="Arial" w:cs="Arial"/>
          <w:sz w:val="24"/>
          <w:szCs w:val="24"/>
        </w:rPr>
        <w:t>applicant (</w:t>
      </w:r>
      <w:r w:rsidRPr="002F3DE8">
        <w:rPr>
          <w:rFonts w:ascii="Arial" w:hAnsi="Arial" w:cs="Arial"/>
          <w:sz w:val="24"/>
          <w:szCs w:val="24"/>
        </w:rPr>
        <w:t xml:space="preserve">i.e., the person that applies </w:t>
      </w:r>
      <w:r w:rsidRPr="002F3DE8" w:rsidR="004007DD">
        <w:rPr>
          <w:rFonts w:ascii="Arial" w:hAnsi="Arial" w:cs="Arial"/>
          <w:sz w:val="24"/>
          <w:szCs w:val="24"/>
        </w:rPr>
        <w:t>for a license</w:t>
      </w:r>
      <w:r w:rsidRPr="002F3DE8">
        <w:rPr>
          <w:rFonts w:ascii="Arial" w:hAnsi="Arial" w:cs="Arial"/>
          <w:sz w:val="24"/>
          <w:szCs w:val="24"/>
        </w:rPr>
        <w:t xml:space="preserve"> or experimental permit</w:t>
      </w:r>
      <w:r w:rsidRPr="002F3DE8" w:rsidR="007E63E3">
        <w:rPr>
          <w:rFonts w:ascii="Arial" w:hAnsi="Arial" w:cs="Arial"/>
          <w:sz w:val="24"/>
          <w:szCs w:val="24"/>
        </w:rPr>
        <w:t>)</w:t>
      </w:r>
      <w:r w:rsidRPr="002F3DE8" w:rsidR="00881B30">
        <w:rPr>
          <w:rFonts w:ascii="Arial" w:hAnsi="Arial" w:cs="Arial"/>
          <w:sz w:val="24"/>
          <w:szCs w:val="24"/>
        </w:rPr>
        <w:t xml:space="preserve">, in supporting FAA/AST’s determination of </w:t>
      </w:r>
      <w:r w:rsidRPr="002F3DE8" w:rsidR="00FD0F6D">
        <w:rPr>
          <w:rFonts w:ascii="Arial" w:hAnsi="Arial" w:cs="Arial"/>
          <w:sz w:val="24"/>
          <w:szCs w:val="24"/>
        </w:rPr>
        <w:t>MPL</w:t>
      </w:r>
      <w:r w:rsidRPr="002F3DE8" w:rsidR="00881B30">
        <w:rPr>
          <w:rFonts w:ascii="Arial" w:hAnsi="Arial" w:cs="Arial"/>
          <w:sz w:val="24"/>
          <w:szCs w:val="24"/>
        </w:rPr>
        <w:t>, must submit information on mission description, pre-flight processing operations, flight operations, and post-flight processing operations</w:t>
      </w:r>
      <w:r w:rsidRPr="002F3DE8" w:rsidR="004007DD">
        <w:rPr>
          <w:rFonts w:ascii="Arial" w:hAnsi="Arial" w:cs="Arial"/>
          <w:sz w:val="24"/>
          <w:szCs w:val="24"/>
        </w:rPr>
        <w:t>. A</w:t>
      </w:r>
      <w:r w:rsidRPr="002F3DE8" w:rsidR="00881B30">
        <w:rPr>
          <w:rFonts w:ascii="Arial" w:hAnsi="Arial" w:cs="Arial"/>
          <w:sz w:val="24"/>
          <w:szCs w:val="24"/>
        </w:rPr>
        <w:t xml:space="preserve"> </w:t>
      </w:r>
      <w:r w:rsidRPr="002F3DE8" w:rsidR="004007DD">
        <w:rPr>
          <w:rFonts w:ascii="Arial" w:hAnsi="Arial" w:cs="Arial"/>
          <w:sz w:val="24"/>
          <w:szCs w:val="24"/>
        </w:rPr>
        <w:t xml:space="preserve">licensee or permittee </w:t>
      </w:r>
      <w:r w:rsidRPr="002F3DE8" w:rsidR="00881B30">
        <w:rPr>
          <w:rFonts w:ascii="Arial" w:hAnsi="Arial" w:cs="Arial"/>
          <w:sz w:val="24"/>
          <w:szCs w:val="24"/>
        </w:rPr>
        <w:t>must submit evidence of financial responsibility and compliance with allocation of risk requirements. This eviden</w:t>
      </w:r>
      <w:r w:rsidRPr="002F3DE8" w:rsidR="00E606F5">
        <w:rPr>
          <w:rFonts w:ascii="Arial" w:hAnsi="Arial" w:cs="Arial"/>
          <w:sz w:val="24"/>
          <w:szCs w:val="24"/>
        </w:rPr>
        <w:t xml:space="preserve">ce includes a reciprocal </w:t>
      </w:r>
      <w:r w:rsidRPr="002F3DE8" w:rsidR="00881B30">
        <w:rPr>
          <w:rFonts w:ascii="Arial" w:hAnsi="Arial" w:cs="Arial"/>
          <w:sz w:val="24"/>
          <w:szCs w:val="24"/>
        </w:rPr>
        <w:t xml:space="preserve">waiver of claims agreement, evidence of insurance </w:t>
      </w:r>
      <w:r w:rsidRPr="002F3DE8" w:rsidR="00E606F5">
        <w:rPr>
          <w:rFonts w:ascii="Arial" w:hAnsi="Arial" w:cs="Arial"/>
          <w:sz w:val="24"/>
          <w:szCs w:val="24"/>
        </w:rPr>
        <w:t>and</w:t>
      </w:r>
      <w:r w:rsidRPr="002F3DE8" w:rsidR="00881B30">
        <w:rPr>
          <w:rFonts w:ascii="Arial" w:hAnsi="Arial" w:cs="Arial"/>
          <w:sz w:val="24"/>
          <w:szCs w:val="24"/>
        </w:rPr>
        <w:t xml:space="preserve"> financial responsibility in a form other than insurance, and proof of insurance</w:t>
      </w:r>
      <w:r w:rsidRPr="002F3DE8" w:rsidR="00E606F5">
        <w:rPr>
          <w:rFonts w:ascii="Arial" w:hAnsi="Arial" w:cs="Arial"/>
          <w:sz w:val="24"/>
          <w:szCs w:val="24"/>
        </w:rPr>
        <w:t>—i.e.,</w:t>
      </w:r>
      <w:r w:rsidRPr="002F3DE8" w:rsidR="00881B30">
        <w:rPr>
          <w:rFonts w:ascii="Arial" w:hAnsi="Arial" w:cs="Arial"/>
          <w:sz w:val="24"/>
          <w:szCs w:val="24"/>
        </w:rPr>
        <w:t xml:space="preserve"> liability insurance to pay claims of third parties for bodily injury and property damage resulting from licensed </w:t>
      </w:r>
      <w:r w:rsidRPr="002F3DE8" w:rsidR="006D3CB7">
        <w:rPr>
          <w:rFonts w:ascii="Arial" w:hAnsi="Arial" w:cs="Arial"/>
          <w:sz w:val="24"/>
          <w:szCs w:val="24"/>
        </w:rPr>
        <w:t xml:space="preserve">or permitted </w:t>
      </w:r>
      <w:r w:rsidRPr="002F3DE8" w:rsidR="00881B30">
        <w:rPr>
          <w:rFonts w:ascii="Arial" w:hAnsi="Arial" w:cs="Arial"/>
          <w:sz w:val="24"/>
          <w:szCs w:val="24"/>
        </w:rPr>
        <w:t>launch activities. This ensures a more streamlined submission of required material and result in a more efficient a</w:t>
      </w:r>
      <w:r w:rsidR="00722918">
        <w:rPr>
          <w:rFonts w:ascii="Arial" w:hAnsi="Arial" w:cs="Arial"/>
          <w:sz w:val="24"/>
          <w:szCs w:val="24"/>
        </w:rPr>
        <w:t>pplication evaluation process.</w:t>
      </w:r>
    </w:p>
    <w:p w:rsidR="00F210E0" w:rsidRPr="002F3DE8" w:rsidP="00F210E0" w14:paraId="49BD7B63" w14:textId="77777777">
      <w:pPr>
        <w:ind w:left="990"/>
        <w:rPr>
          <w:rFonts w:ascii="Arial" w:hAnsi="Arial" w:cs="Arial"/>
          <w:sz w:val="24"/>
          <w:szCs w:val="24"/>
        </w:rPr>
      </w:pPr>
    </w:p>
    <w:p w:rsidR="00F210E0" w:rsidRPr="002F3DE8" w:rsidP="00C124BD" w14:paraId="0533578A" w14:textId="77777777">
      <w:pPr>
        <w:rPr>
          <w:rFonts w:ascii="Arial" w:hAnsi="Arial" w:cs="Arial"/>
          <w:sz w:val="24"/>
          <w:szCs w:val="24"/>
        </w:rPr>
      </w:pPr>
      <w:r w:rsidRPr="002F3DE8">
        <w:rPr>
          <w:rFonts w:ascii="Arial" w:hAnsi="Arial" w:cs="Arial"/>
          <w:sz w:val="24"/>
          <w:szCs w:val="24"/>
        </w:rPr>
        <w:t>As provided in 14 CFR § 440.5, no person may commence or conduct any launch or reentry activity that requires a license or permit unless that person has demonstrated compliance with the financial responsibility and allocation of risk requirements in part 440. The information collection described in this statement is necessary to support complia</w:t>
      </w:r>
      <w:r w:rsidR="00722918">
        <w:rPr>
          <w:rFonts w:ascii="Arial" w:hAnsi="Arial" w:cs="Arial"/>
          <w:sz w:val="24"/>
          <w:szCs w:val="24"/>
        </w:rPr>
        <w:t>nce with part 440 requirements.</w:t>
      </w:r>
    </w:p>
    <w:p w:rsidR="00881B30" w:rsidRPr="00C71224" w14:paraId="1DB2030E" w14:textId="77777777">
      <w:pPr>
        <w:rPr>
          <w:sz w:val="24"/>
          <w:szCs w:val="24"/>
        </w:rPr>
      </w:pPr>
    </w:p>
    <w:p w:rsidR="008A3D75" w:rsidRPr="001C2BE9" w:rsidP="008A3D75" w14:paraId="512BF339" w14:textId="77777777">
      <w:pPr>
        <w:shd w:val="clear" w:color="auto" w:fill="FFFFFF"/>
        <w:spacing w:after="240"/>
        <w:rPr>
          <w:rFonts w:ascii="Arial" w:hAnsi="Arial" w:cs="Arial"/>
          <w:sz w:val="24"/>
          <w:szCs w:val="24"/>
        </w:rPr>
      </w:pPr>
      <w:r w:rsidRPr="00C124BD">
        <w:rPr>
          <w:rFonts w:ascii="Arial"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8A3D75" w:rsidRPr="002F3DE8" w:rsidP="008A3D75" w14:paraId="1E1EA1F5" w14:textId="77777777">
      <w:pPr>
        <w:shd w:val="clear" w:color="auto" w:fill="FFFFFF"/>
        <w:rPr>
          <w:rFonts w:ascii="Arial" w:hAnsi="Arial" w:cs="Arial"/>
          <w:color w:val="000000"/>
          <w:sz w:val="24"/>
          <w:szCs w:val="24"/>
        </w:rPr>
      </w:pPr>
      <w:r w:rsidRPr="00C124BD">
        <w:rPr>
          <w:rFonts w:ascii="Arial" w:hAnsi="Arial" w:cs="Arial"/>
          <w:color w:val="555555"/>
          <w:sz w:val="24"/>
          <w:szCs w:val="24"/>
        </w:rPr>
        <w:br/>
      </w:r>
      <w:r w:rsidRPr="002F3DE8" w:rsidR="00881B30">
        <w:rPr>
          <w:rFonts w:ascii="Arial" w:hAnsi="Arial" w:cs="Arial"/>
          <w:sz w:val="24"/>
          <w:szCs w:val="24"/>
        </w:rPr>
        <w:t xml:space="preserve">This information collection </w:t>
      </w:r>
      <w:r w:rsidR="00962D60">
        <w:rPr>
          <w:rFonts w:ascii="Arial" w:hAnsi="Arial" w:cs="Arial"/>
          <w:sz w:val="24"/>
          <w:szCs w:val="24"/>
        </w:rPr>
        <w:t xml:space="preserve">mandate </w:t>
      </w:r>
      <w:r w:rsidR="00E47C81">
        <w:rPr>
          <w:rFonts w:ascii="Arial" w:hAnsi="Arial" w:cs="Arial"/>
          <w:sz w:val="24"/>
          <w:szCs w:val="24"/>
        </w:rPr>
        <w:t>reported</w:t>
      </w:r>
      <w:r w:rsidR="00962D60">
        <w:rPr>
          <w:rFonts w:ascii="Arial" w:hAnsi="Arial" w:cs="Arial"/>
          <w:sz w:val="24"/>
          <w:szCs w:val="24"/>
        </w:rPr>
        <w:t xml:space="preserve"> </w:t>
      </w:r>
      <w:r w:rsidR="0049564B">
        <w:rPr>
          <w:rFonts w:ascii="Arial" w:hAnsi="Arial" w:cs="Arial"/>
          <w:sz w:val="24"/>
          <w:szCs w:val="24"/>
        </w:rPr>
        <w:t xml:space="preserve">by those </w:t>
      </w:r>
      <w:r w:rsidRPr="00E47C81" w:rsidR="00E47C81">
        <w:rPr>
          <w:rFonts w:ascii="Arial" w:hAnsi="Arial" w:cs="Arial"/>
          <w:sz w:val="24"/>
          <w:szCs w:val="24"/>
        </w:rPr>
        <w:t xml:space="preserve">commercial space launch services </w:t>
      </w:r>
      <w:r w:rsidRPr="00E47C81" w:rsidR="00E47C81">
        <w:rPr>
          <w:rFonts w:ascii="Arial" w:hAnsi="Arial" w:cs="Arial"/>
          <w:sz w:val="24"/>
          <w:szCs w:val="24"/>
        </w:rPr>
        <w:t>providers</w:t>
      </w:r>
      <w:r w:rsidR="0049564B">
        <w:rPr>
          <w:rFonts w:ascii="Arial" w:hAnsi="Arial" w:cs="Arial"/>
          <w:sz w:val="24"/>
          <w:szCs w:val="24"/>
        </w:rPr>
        <w:t xml:space="preserve"> seeking a license or permit, </w:t>
      </w:r>
      <w:r w:rsidRPr="002F3DE8" w:rsidR="00881B30">
        <w:rPr>
          <w:rFonts w:ascii="Arial" w:hAnsi="Arial" w:cs="Arial"/>
          <w:sz w:val="24"/>
          <w:szCs w:val="24"/>
        </w:rPr>
        <w:t>enables FAA/AST to determine the MPL</w:t>
      </w:r>
      <w:r w:rsidRPr="002F3DE8" w:rsidR="00FD0F6D">
        <w:rPr>
          <w:rFonts w:ascii="Arial" w:hAnsi="Arial" w:cs="Arial"/>
          <w:sz w:val="24"/>
          <w:szCs w:val="24"/>
        </w:rPr>
        <w:t xml:space="preserve"> </w:t>
      </w:r>
      <w:r w:rsidRPr="002F3DE8" w:rsidR="00881B30">
        <w:rPr>
          <w:rFonts w:ascii="Arial" w:hAnsi="Arial" w:cs="Arial"/>
          <w:sz w:val="24"/>
          <w:szCs w:val="24"/>
        </w:rPr>
        <w:t xml:space="preserve">resulting from licensed </w:t>
      </w:r>
      <w:r w:rsidRPr="002F3DE8" w:rsidR="007E63E3">
        <w:rPr>
          <w:rFonts w:ascii="Arial" w:hAnsi="Arial" w:cs="Arial"/>
          <w:sz w:val="24"/>
          <w:szCs w:val="24"/>
        </w:rPr>
        <w:t xml:space="preserve">or permitted </w:t>
      </w:r>
      <w:r w:rsidRPr="002F3DE8" w:rsidR="00881B30">
        <w:rPr>
          <w:rFonts w:ascii="Arial" w:hAnsi="Arial" w:cs="Arial"/>
          <w:sz w:val="24"/>
          <w:szCs w:val="24"/>
        </w:rPr>
        <w:t>launch activities.</w:t>
      </w:r>
      <w:r w:rsidRPr="002F3DE8">
        <w:rPr>
          <w:rFonts w:ascii="Arial" w:hAnsi="Arial" w:cs="Arial"/>
          <w:color w:val="000000"/>
          <w:sz w:val="24"/>
          <w:szCs w:val="24"/>
        </w:rPr>
        <w:t xml:space="preserve"> </w:t>
      </w:r>
      <w:r w:rsidRPr="0049564B" w:rsidR="0049564B">
        <w:rPr>
          <w:rFonts w:ascii="Arial" w:hAnsi="Arial" w:cs="Arial"/>
          <w:color w:val="000000"/>
          <w:sz w:val="24"/>
          <w:szCs w:val="24"/>
        </w:rPr>
        <w:t>The information is collected once based on vehicle configuration, launch site, and flight trajectory that are introduced in the license or permit application.</w:t>
      </w:r>
      <w:r w:rsidR="0049564B">
        <w:rPr>
          <w:rFonts w:ascii="Arial" w:hAnsi="Arial" w:cs="Arial"/>
          <w:color w:val="000000"/>
          <w:sz w:val="24"/>
          <w:szCs w:val="24"/>
        </w:rPr>
        <w:t xml:space="preserve"> </w:t>
      </w:r>
      <w:r w:rsidRPr="002F3DE8">
        <w:rPr>
          <w:rFonts w:ascii="Arial" w:hAnsi="Arial" w:cs="Arial"/>
          <w:color w:val="000000"/>
          <w:sz w:val="24"/>
          <w:szCs w:val="24"/>
        </w:rPr>
        <w:t xml:space="preserve">The collected information will be used to determine if licensees have complied with financial responsibility requirements for MPL analysis as set forth in FAA regulations </w:t>
      </w:r>
      <w:r w:rsidRPr="002F3DE8">
        <w:rPr>
          <w:rFonts w:ascii="Arial" w:hAnsi="Arial" w:cs="Arial"/>
          <w:sz w:val="24"/>
          <w:szCs w:val="24"/>
        </w:rPr>
        <w:t>(§ 440.7(c))</w:t>
      </w:r>
      <w:r w:rsidRPr="002F3DE8">
        <w:rPr>
          <w:rFonts w:ascii="Arial" w:hAnsi="Arial" w:cs="Arial"/>
          <w:color w:val="000000"/>
          <w:sz w:val="24"/>
          <w:szCs w:val="24"/>
        </w:rPr>
        <w:t>.</w:t>
      </w:r>
      <w:r w:rsidR="003D0259">
        <w:rPr>
          <w:rFonts w:ascii="Arial" w:hAnsi="Arial" w:cs="Arial"/>
          <w:color w:val="000000"/>
          <w:sz w:val="24"/>
          <w:szCs w:val="24"/>
        </w:rPr>
        <w:t xml:space="preserve"> </w:t>
      </w:r>
      <w:r w:rsidR="0049564B">
        <w:rPr>
          <w:rFonts w:ascii="Arial" w:hAnsi="Arial" w:cs="Arial"/>
          <w:color w:val="000000"/>
          <w:sz w:val="24"/>
          <w:szCs w:val="24"/>
        </w:rPr>
        <w:t xml:space="preserve"> </w:t>
      </w:r>
      <w:r w:rsidRPr="002F3DE8">
        <w:rPr>
          <w:rFonts w:ascii="Arial" w:hAnsi="Arial" w:cs="Arial"/>
          <w:sz w:val="24"/>
          <w:szCs w:val="24"/>
        </w:rPr>
        <w:t>The FAA is responsible for determining MPL required to covered claims by a third party for bodily injury or property damage, and the United States, its agencies, and its contractors and subcontractors for covered property da</w:t>
      </w:r>
      <w:r w:rsidR="00CA32A3">
        <w:rPr>
          <w:rFonts w:ascii="Arial" w:hAnsi="Arial" w:cs="Arial"/>
          <w:sz w:val="24"/>
          <w:szCs w:val="24"/>
        </w:rPr>
        <w:t>mage or loss, resulting from a c</w:t>
      </w:r>
      <w:r w:rsidRPr="002F3DE8">
        <w:rPr>
          <w:rFonts w:ascii="Arial" w:hAnsi="Arial" w:cs="Arial"/>
          <w:sz w:val="24"/>
          <w:szCs w:val="24"/>
        </w:rPr>
        <w:t>ommercial space transportation permitted or licensed activity. The MPL determination forms the basis for financial responsibility requirements issued in a license or permit order</w:t>
      </w:r>
      <w:r w:rsidRPr="002F3DE8">
        <w:rPr>
          <w:rFonts w:ascii="Arial" w:hAnsi="Arial" w:cs="Arial"/>
          <w:color w:val="000000"/>
          <w:sz w:val="24"/>
          <w:szCs w:val="24"/>
        </w:rPr>
        <w:t>.</w:t>
      </w:r>
      <w:r w:rsidRPr="003D0259" w:rsidR="003D0259">
        <w:rPr>
          <w:rFonts w:ascii="Arial" w:hAnsi="Arial" w:cs="Arial"/>
          <w:color w:val="000000"/>
          <w:sz w:val="24"/>
          <w:szCs w:val="24"/>
        </w:rPr>
        <w:t xml:space="preserve"> </w:t>
      </w:r>
      <w:r w:rsidR="003D0259">
        <w:rPr>
          <w:rFonts w:ascii="Arial" w:hAnsi="Arial" w:cs="Arial"/>
          <w:color w:val="000000"/>
          <w:sz w:val="24"/>
          <w:szCs w:val="24"/>
        </w:rPr>
        <w:t>The licensee or permittee provides the MPL results to an insurance broker to purchase insurance for the license or permit mission.</w:t>
      </w:r>
    </w:p>
    <w:p w:rsidR="008A3D75" w:rsidRPr="002F3DE8" w:rsidP="008A3D75" w14:paraId="1837FC16" w14:textId="77777777">
      <w:pPr>
        <w:shd w:val="clear" w:color="auto" w:fill="FFFFFF"/>
        <w:rPr>
          <w:rFonts w:ascii="Arial" w:hAnsi="Arial" w:cs="Arial"/>
          <w:color w:val="555555"/>
          <w:sz w:val="24"/>
          <w:szCs w:val="24"/>
        </w:rPr>
      </w:pPr>
      <w:r w:rsidRPr="002F3DE8">
        <w:rPr>
          <w:rFonts w:ascii="Arial" w:hAnsi="Arial" w:cs="Arial"/>
          <w:color w:val="000000"/>
          <w:sz w:val="24"/>
          <w:szCs w:val="24"/>
        </w:rPr>
        <w:t xml:space="preserve"> </w:t>
      </w:r>
    </w:p>
    <w:p w:rsidR="008A3D75" w:rsidRPr="008A3D75" w:rsidP="008A3D75" w14:paraId="36CEA7CB" w14:textId="77777777">
      <w:pPr>
        <w:spacing w:line="480" w:lineRule="auto"/>
        <w:rPr>
          <w:rFonts w:ascii="Arial" w:hAnsi="Arial" w:cs="Arial"/>
          <w:color w:val="000000"/>
          <w:sz w:val="24"/>
          <w:szCs w:val="24"/>
        </w:rPr>
      </w:pPr>
      <w:r w:rsidRPr="008A3D75">
        <w:rPr>
          <w:rFonts w:ascii="Arial" w:hAnsi="Arial" w:cs="Arial"/>
          <w:color w:val="000000"/>
          <w:sz w:val="24"/>
          <w:szCs w:val="24"/>
        </w:rPr>
        <w:t xml:space="preserve">The following is </w:t>
      </w:r>
      <w:r w:rsidR="0058562E">
        <w:rPr>
          <w:rFonts w:ascii="Arial" w:hAnsi="Arial" w:cs="Arial"/>
          <w:color w:val="000000"/>
          <w:sz w:val="24"/>
          <w:szCs w:val="24"/>
        </w:rPr>
        <w:t xml:space="preserve">a </w:t>
      </w:r>
      <w:r w:rsidRPr="008A3D75">
        <w:rPr>
          <w:rFonts w:ascii="Arial" w:hAnsi="Arial" w:cs="Arial"/>
          <w:color w:val="000000"/>
          <w:sz w:val="24"/>
          <w:szCs w:val="24"/>
        </w:rPr>
        <w:t xml:space="preserve">summary of the </w:t>
      </w:r>
      <w:r w:rsidRPr="002F3DE8">
        <w:rPr>
          <w:rFonts w:ascii="Arial" w:hAnsi="Arial" w:cs="Arial"/>
          <w:color w:val="000000"/>
          <w:sz w:val="24"/>
          <w:szCs w:val="24"/>
        </w:rPr>
        <w:t xml:space="preserve">key </w:t>
      </w:r>
      <w:r w:rsidRPr="008A3D75">
        <w:rPr>
          <w:rFonts w:ascii="Arial" w:hAnsi="Arial" w:cs="Arial"/>
          <w:color w:val="000000"/>
          <w:sz w:val="24"/>
          <w:szCs w:val="24"/>
        </w:rPr>
        <w:t xml:space="preserve">information required to conduct an MPL: </w:t>
      </w:r>
    </w:p>
    <w:p w:rsidR="008A3D75" w:rsidRPr="008A3D75" w:rsidP="0058562E" w14:paraId="3107DB62" w14:textId="77777777">
      <w:pPr>
        <w:spacing w:after="160" w:line="259" w:lineRule="auto"/>
        <w:rPr>
          <w:rFonts w:ascii="Arial" w:hAnsi="Arial" w:cs="Arial"/>
          <w:sz w:val="24"/>
          <w:szCs w:val="24"/>
        </w:rPr>
      </w:pPr>
      <w:r w:rsidRPr="0058562E">
        <w:rPr>
          <w:rFonts w:ascii="Arial" w:hAnsi="Arial" w:cs="Arial"/>
          <w:sz w:val="24"/>
          <w:szCs w:val="24"/>
        </w:rPr>
        <w:t>1.</w:t>
      </w:r>
      <w:r>
        <w:rPr>
          <w:rFonts w:ascii="Arial" w:hAnsi="Arial" w:cs="Arial"/>
          <w:sz w:val="24"/>
          <w:szCs w:val="24"/>
        </w:rPr>
        <w:t xml:space="preserve"> </w:t>
      </w:r>
      <w:r w:rsidRPr="008A3D75">
        <w:rPr>
          <w:rFonts w:ascii="Arial" w:hAnsi="Arial" w:cs="Arial"/>
          <w:sz w:val="24"/>
          <w:szCs w:val="24"/>
        </w:rPr>
        <w:t>Mission description.</w:t>
      </w:r>
    </w:p>
    <w:p w:rsidR="008A3D75" w:rsidRPr="008A3D75" w:rsidP="008A3D75" w14:paraId="157800C4" w14:textId="38766A2D">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 xml:space="preserve">Launch </w:t>
      </w:r>
      <w:r w:rsidRPr="008A3D75" w:rsidR="009A4436">
        <w:rPr>
          <w:rFonts w:ascii="Arial" w:hAnsi="Arial" w:cs="Arial"/>
          <w:sz w:val="24"/>
          <w:szCs w:val="24"/>
        </w:rPr>
        <w:t>trajectory.</w:t>
      </w:r>
    </w:p>
    <w:p w:rsidR="008A3D75" w:rsidRPr="008A3D75" w:rsidP="008A3D75" w14:paraId="37C22197" w14:textId="77777777">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Orbital inclination; and</w:t>
      </w:r>
    </w:p>
    <w:p w:rsidR="008A3D75" w:rsidRPr="008A3D75" w:rsidP="008A3D75" w14:paraId="2D8F7526" w14:textId="77777777">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Orbit altitudes (apogee and perigee).</w:t>
      </w:r>
    </w:p>
    <w:p w:rsidR="008A3D75" w:rsidRPr="008A3D75" w:rsidP="008A3D75" w14:paraId="738DFDBB" w14:textId="77777777">
      <w:pPr>
        <w:spacing w:after="160" w:line="259" w:lineRule="auto"/>
        <w:rPr>
          <w:rFonts w:ascii="Arial" w:hAnsi="Arial" w:cs="Arial"/>
          <w:sz w:val="24"/>
          <w:szCs w:val="24"/>
        </w:rPr>
      </w:pPr>
      <w:r w:rsidRPr="008A3D75">
        <w:rPr>
          <w:rFonts w:ascii="Arial" w:hAnsi="Arial" w:cs="Arial"/>
          <w:sz w:val="24"/>
          <w:szCs w:val="24"/>
        </w:rPr>
        <w:t>2. Flight sequence.</w:t>
      </w:r>
    </w:p>
    <w:p w:rsidR="008A3D75" w:rsidRPr="008A3D75" w:rsidP="008A3D75" w14:paraId="294BE15A" w14:textId="77777777">
      <w:pPr>
        <w:spacing w:after="160" w:line="259" w:lineRule="auto"/>
        <w:rPr>
          <w:rFonts w:ascii="Arial" w:hAnsi="Arial" w:cs="Arial"/>
          <w:sz w:val="24"/>
          <w:szCs w:val="24"/>
        </w:rPr>
      </w:pPr>
      <w:r w:rsidRPr="008A3D75">
        <w:rPr>
          <w:rFonts w:ascii="Arial" w:hAnsi="Arial" w:cs="Arial"/>
          <w:sz w:val="24"/>
          <w:szCs w:val="24"/>
        </w:rPr>
        <w:t>3. Staging events and the time for each event.</w:t>
      </w:r>
    </w:p>
    <w:p w:rsidR="008A3D75" w:rsidRPr="008A3D75" w:rsidP="008A3D75" w14:paraId="5F10FB42" w14:textId="77777777">
      <w:pPr>
        <w:spacing w:after="160" w:line="259" w:lineRule="auto"/>
        <w:rPr>
          <w:rFonts w:ascii="Arial" w:hAnsi="Arial" w:cs="Arial"/>
          <w:sz w:val="24"/>
          <w:szCs w:val="24"/>
        </w:rPr>
      </w:pPr>
      <w:r w:rsidRPr="008A3D75">
        <w:rPr>
          <w:rFonts w:ascii="Arial" w:hAnsi="Arial" w:cs="Arial"/>
          <w:sz w:val="24"/>
          <w:szCs w:val="24"/>
        </w:rPr>
        <w:t>4. Impact locations.</w:t>
      </w:r>
    </w:p>
    <w:p w:rsidR="008A3D75" w:rsidRPr="008A3D75" w:rsidP="008A3D75" w14:paraId="2983EA58" w14:textId="77777777">
      <w:pPr>
        <w:spacing w:after="160" w:line="259" w:lineRule="auto"/>
        <w:rPr>
          <w:rFonts w:ascii="Arial" w:hAnsi="Arial" w:cs="Arial"/>
          <w:sz w:val="24"/>
          <w:szCs w:val="24"/>
        </w:rPr>
      </w:pPr>
      <w:r w:rsidRPr="008A3D75">
        <w:rPr>
          <w:rFonts w:ascii="Arial" w:hAnsi="Arial" w:cs="Arial"/>
          <w:sz w:val="24"/>
          <w:szCs w:val="24"/>
        </w:rPr>
        <w:t>5. Identification of the launch site facility, including the launch complex on the site, planned date of launch, and launch windows.</w:t>
      </w:r>
    </w:p>
    <w:p w:rsidR="008A3D75" w:rsidRPr="008A3D75" w:rsidP="008A3D75" w14:paraId="44C203DE" w14:textId="77777777">
      <w:pPr>
        <w:spacing w:after="160" w:line="259" w:lineRule="auto"/>
        <w:rPr>
          <w:rFonts w:ascii="Arial" w:hAnsi="Arial" w:cs="Arial"/>
          <w:sz w:val="24"/>
          <w:szCs w:val="24"/>
        </w:rPr>
      </w:pPr>
      <w:r w:rsidRPr="008A3D75">
        <w:rPr>
          <w:rFonts w:ascii="Arial" w:hAnsi="Arial" w:cs="Arial"/>
          <w:sz w:val="24"/>
          <w:szCs w:val="24"/>
        </w:rPr>
        <w:t>6. Launch vehicle description.</w:t>
      </w:r>
    </w:p>
    <w:p w:rsidR="008A3D75" w:rsidRPr="008A3D75" w:rsidP="008A3D75" w14:paraId="621B2394" w14:textId="77777777">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General description of the launch vehicle and its stages, including dimensions.</w:t>
      </w:r>
    </w:p>
    <w:p w:rsidR="008A3D75" w:rsidRPr="008A3D75" w:rsidP="008A3D75" w14:paraId="4630CCFE" w14:textId="77777777">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Description of major systems, including safety systems.</w:t>
      </w:r>
    </w:p>
    <w:p w:rsidR="008A3D75" w:rsidRPr="008A3D75" w:rsidP="008A3D75" w14:paraId="5934F926" w14:textId="77777777">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Description of rocket motors and type of fuel used.</w:t>
      </w:r>
    </w:p>
    <w:p w:rsidR="008A3D75" w:rsidRPr="008A3D75" w:rsidP="008A3D75" w14:paraId="60470E94" w14:textId="77777777">
      <w:pPr>
        <w:numPr>
          <w:ilvl w:val="0"/>
          <w:numId w:val="22"/>
        </w:numPr>
        <w:spacing w:after="100" w:afterAutospacing="1"/>
        <w:rPr>
          <w:rFonts w:ascii="Arial" w:hAnsi="Arial" w:cs="Arial"/>
          <w:sz w:val="24"/>
          <w:szCs w:val="24"/>
        </w:rPr>
      </w:pPr>
      <w:r w:rsidRPr="008A3D75">
        <w:rPr>
          <w:rFonts w:ascii="Arial" w:hAnsi="Arial" w:cs="Arial"/>
          <w:sz w:val="24"/>
          <w:szCs w:val="24"/>
        </w:rPr>
        <w:t>Identification of all propellants to be used and their hazard classification under the Hazardous Materials</w:t>
      </w:r>
    </w:p>
    <w:p w:rsidR="008A3D75" w:rsidRPr="008A3D75" w:rsidP="008A3D75" w14:paraId="21073390" w14:textId="77777777">
      <w:pPr>
        <w:spacing w:line="480" w:lineRule="auto"/>
        <w:rPr>
          <w:rFonts w:ascii="Arial" w:hAnsi="Arial" w:cs="Arial"/>
          <w:color w:val="000000"/>
          <w:sz w:val="24"/>
          <w:szCs w:val="24"/>
        </w:rPr>
      </w:pPr>
      <w:r w:rsidRPr="002F3DE8">
        <w:rPr>
          <w:rFonts w:ascii="Arial" w:hAnsi="Arial" w:cs="Arial"/>
          <w:color w:val="000000"/>
          <w:sz w:val="24"/>
          <w:szCs w:val="24"/>
        </w:rPr>
        <w:t xml:space="preserve">7. </w:t>
      </w:r>
      <w:r w:rsidRPr="008A3D75">
        <w:rPr>
          <w:rFonts w:ascii="Arial" w:hAnsi="Arial" w:cs="Arial"/>
          <w:color w:val="000000"/>
          <w:sz w:val="24"/>
          <w:szCs w:val="24"/>
        </w:rPr>
        <w:t>Payload</w:t>
      </w:r>
    </w:p>
    <w:p w:rsidR="008A3D75" w:rsidRPr="008A3D75" w:rsidP="008A3D75" w14:paraId="2C51CF17" w14:textId="77777777">
      <w:pPr>
        <w:spacing w:line="480" w:lineRule="auto"/>
        <w:rPr>
          <w:rFonts w:ascii="Arial" w:hAnsi="Arial" w:cs="Arial"/>
          <w:color w:val="000000"/>
          <w:sz w:val="24"/>
          <w:szCs w:val="24"/>
        </w:rPr>
      </w:pPr>
      <w:r w:rsidRPr="008A3D75">
        <w:rPr>
          <w:rFonts w:ascii="Arial" w:hAnsi="Arial" w:cs="Arial"/>
          <w:color w:val="000000"/>
          <w:sz w:val="24"/>
          <w:szCs w:val="24"/>
        </w:rPr>
        <w:t>8. Flight safety system</w:t>
      </w:r>
    </w:p>
    <w:p w:rsidR="00881B30" w:rsidRPr="00C71224" w14:paraId="59826C89" w14:textId="77777777">
      <w:pPr>
        <w:rPr>
          <w:sz w:val="24"/>
          <w:szCs w:val="24"/>
        </w:rPr>
      </w:pPr>
    </w:p>
    <w:p w:rsidR="00727CD0" w:rsidRPr="00727CD0" w:rsidP="00727CD0" w14:paraId="7B8AB309" w14:textId="77777777">
      <w:pPr>
        <w:shd w:val="clear" w:color="auto" w:fill="FFFFFF"/>
        <w:rPr>
          <w:rFonts w:ascii="Arial" w:hAnsi="Arial" w:cs="Arial"/>
          <w:sz w:val="24"/>
          <w:szCs w:val="24"/>
        </w:rPr>
      </w:pPr>
      <w:r w:rsidRPr="00727CD0">
        <w:rPr>
          <w:rFonts w:ascii="Arial"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881B30" w:rsidRPr="002F3DE8" w:rsidP="00727CD0" w14:paraId="1303565C" w14:textId="77777777">
      <w:pPr>
        <w:rPr>
          <w:rFonts w:ascii="Arial" w:hAnsi="Arial" w:cs="Arial"/>
          <w:sz w:val="24"/>
          <w:szCs w:val="24"/>
        </w:rPr>
      </w:pPr>
      <w:r w:rsidRPr="001C2BE9">
        <w:rPr>
          <w:rFonts w:ascii="Arial" w:hAnsi="Arial" w:cs="Arial"/>
          <w:sz w:val="24"/>
          <w:szCs w:val="24"/>
        </w:rPr>
        <w:br/>
      </w:r>
      <w:r w:rsidRPr="002F3DE8">
        <w:rPr>
          <w:rFonts w:ascii="Arial" w:hAnsi="Arial" w:cs="Arial"/>
          <w:sz w:val="24"/>
          <w:szCs w:val="24"/>
        </w:rPr>
        <w:t>The office has implemented the following for improved information technology enhancements:</w:t>
      </w:r>
    </w:p>
    <w:p w:rsidR="00881B30" w:rsidRPr="002F3DE8" w:rsidP="00727CD0" w14:paraId="0214C518" w14:textId="77777777">
      <w:pPr>
        <w:tabs>
          <w:tab w:val="left" w:pos="-720"/>
        </w:tabs>
        <w:suppressAutoHyphens/>
        <w:rPr>
          <w:rFonts w:ascii="Arial" w:hAnsi="Arial" w:cs="Arial"/>
          <w:sz w:val="24"/>
          <w:szCs w:val="24"/>
        </w:rPr>
      </w:pPr>
    </w:p>
    <w:p w:rsidR="00881B30" w:rsidRPr="002F3DE8" w:rsidP="00727CD0" w14:paraId="71D9C9A3" w14:textId="77777777">
      <w:pPr>
        <w:tabs>
          <w:tab w:val="left" w:pos="-720"/>
          <w:tab w:val="left" w:pos="990"/>
          <w:tab w:val="left" w:pos="1260"/>
        </w:tabs>
        <w:suppressAutoHyphens/>
        <w:rPr>
          <w:rFonts w:ascii="Arial" w:hAnsi="Arial" w:cs="Arial"/>
          <w:sz w:val="24"/>
          <w:szCs w:val="24"/>
        </w:rPr>
      </w:pPr>
      <w:r w:rsidRPr="002F3DE8">
        <w:rPr>
          <w:rFonts w:ascii="Arial" w:hAnsi="Arial" w:cs="Arial"/>
          <w:sz w:val="24"/>
          <w:szCs w:val="24"/>
        </w:rPr>
        <w:t>In accordance with the government Paperwork Reduction Act, a website is maintained to improve the ability of the public to access information pertaining to the collection of information.</w:t>
      </w:r>
    </w:p>
    <w:p w:rsidR="00881B30" w:rsidRPr="002F3DE8" w:rsidP="00727CD0" w14:paraId="4B195A98" w14:textId="77777777">
      <w:pPr>
        <w:tabs>
          <w:tab w:val="left" w:pos="-720"/>
          <w:tab w:val="left" w:pos="0"/>
          <w:tab w:val="left" w:pos="1260"/>
        </w:tabs>
        <w:suppressAutoHyphens/>
        <w:rPr>
          <w:rFonts w:ascii="Arial" w:hAnsi="Arial" w:cs="Arial"/>
          <w:sz w:val="24"/>
          <w:szCs w:val="24"/>
        </w:rPr>
      </w:pPr>
    </w:p>
    <w:p w:rsidR="00881B30" w:rsidRPr="002F3DE8" w:rsidP="00727CD0" w14:paraId="26B544AC" w14:textId="235072CF">
      <w:pPr>
        <w:tabs>
          <w:tab w:val="left" w:pos="-720"/>
          <w:tab w:val="left" w:pos="990"/>
          <w:tab w:val="left" w:pos="1260"/>
        </w:tabs>
        <w:suppressAutoHyphens/>
        <w:rPr>
          <w:rFonts w:ascii="Arial" w:hAnsi="Arial" w:cs="Arial"/>
          <w:sz w:val="24"/>
          <w:szCs w:val="24"/>
        </w:rPr>
      </w:pPr>
      <w:r w:rsidRPr="002F3DE8">
        <w:rPr>
          <w:rFonts w:ascii="Arial" w:hAnsi="Arial" w:cs="Arial"/>
          <w:sz w:val="24"/>
          <w:szCs w:val="24"/>
        </w:rPr>
        <w:t xml:space="preserve">FAA/AST </w:t>
      </w:r>
      <w:r w:rsidRPr="002F3DE8" w:rsidR="00727CD0">
        <w:rPr>
          <w:rFonts w:ascii="Arial" w:hAnsi="Arial" w:cs="Arial"/>
          <w:sz w:val="24"/>
          <w:szCs w:val="24"/>
        </w:rPr>
        <w:t xml:space="preserve">has </w:t>
      </w:r>
      <w:r w:rsidRPr="002F3DE8" w:rsidR="00AC3D5E">
        <w:rPr>
          <w:rFonts w:ascii="Arial" w:hAnsi="Arial" w:cs="Arial"/>
          <w:sz w:val="24"/>
          <w:szCs w:val="24"/>
        </w:rPr>
        <w:t>establish</w:t>
      </w:r>
      <w:r w:rsidR="005459B1">
        <w:rPr>
          <w:rFonts w:ascii="Arial" w:hAnsi="Arial" w:cs="Arial"/>
          <w:sz w:val="24"/>
          <w:szCs w:val="24"/>
        </w:rPr>
        <w:t>ed</w:t>
      </w:r>
      <w:r w:rsidRPr="002F3DE8" w:rsidR="00AC3D5E">
        <w:rPr>
          <w:rFonts w:ascii="Arial" w:hAnsi="Arial" w:cs="Arial"/>
          <w:sz w:val="24"/>
          <w:szCs w:val="24"/>
        </w:rPr>
        <w:t xml:space="preserve"> a means for </w:t>
      </w:r>
      <w:r w:rsidR="00F321F6">
        <w:rPr>
          <w:rFonts w:ascii="Arial" w:hAnsi="Arial" w:cs="Arial"/>
          <w:sz w:val="24"/>
          <w:szCs w:val="24"/>
        </w:rPr>
        <w:t xml:space="preserve">100% </w:t>
      </w:r>
      <w:r w:rsidRPr="002F3DE8" w:rsidR="00727CD0">
        <w:rPr>
          <w:rFonts w:ascii="Arial" w:hAnsi="Arial" w:cs="Arial"/>
          <w:sz w:val="24"/>
          <w:szCs w:val="24"/>
        </w:rPr>
        <w:t>electronic submi</w:t>
      </w:r>
      <w:r w:rsidRPr="002F3DE8" w:rsidR="00AC3D5E">
        <w:rPr>
          <w:rFonts w:ascii="Arial" w:hAnsi="Arial" w:cs="Arial"/>
          <w:sz w:val="24"/>
          <w:szCs w:val="24"/>
        </w:rPr>
        <w:t>ssion of permit and license applications. The electron</w:t>
      </w:r>
      <w:r w:rsidR="005459B1">
        <w:rPr>
          <w:rFonts w:ascii="Arial" w:hAnsi="Arial" w:cs="Arial"/>
          <w:sz w:val="24"/>
          <w:szCs w:val="24"/>
        </w:rPr>
        <w:t>ic</w:t>
      </w:r>
      <w:r w:rsidRPr="002F3DE8" w:rsidR="00AC3D5E">
        <w:rPr>
          <w:rFonts w:ascii="Arial" w:hAnsi="Arial" w:cs="Arial"/>
          <w:sz w:val="24"/>
          <w:szCs w:val="24"/>
        </w:rPr>
        <w:t xml:space="preserve"> submission of applications has facilitated </w:t>
      </w:r>
      <w:r w:rsidRPr="002F3DE8">
        <w:rPr>
          <w:rFonts w:ascii="Arial" w:hAnsi="Arial" w:cs="Arial"/>
          <w:sz w:val="24"/>
          <w:szCs w:val="24"/>
        </w:rPr>
        <w:t xml:space="preserve">receiving an increasing number of applications </w:t>
      </w:r>
      <w:r w:rsidRPr="002F3DE8" w:rsidR="00EB7B31">
        <w:rPr>
          <w:rFonts w:ascii="Arial" w:hAnsi="Arial" w:cs="Arial"/>
          <w:sz w:val="24"/>
          <w:szCs w:val="24"/>
        </w:rPr>
        <w:t>and related information</w:t>
      </w:r>
      <w:r w:rsidRPr="002F3DE8">
        <w:rPr>
          <w:rFonts w:ascii="Arial" w:hAnsi="Arial" w:cs="Arial"/>
          <w:sz w:val="24"/>
          <w:szCs w:val="24"/>
        </w:rPr>
        <w:t>.</w:t>
      </w:r>
      <w:r w:rsidR="006949C0">
        <w:rPr>
          <w:rFonts w:ascii="Arial" w:hAnsi="Arial" w:cs="Arial"/>
          <w:sz w:val="24"/>
          <w:szCs w:val="24"/>
        </w:rPr>
        <w:t xml:space="preserve">  Applicants can send application material to the </w:t>
      </w:r>
      <w:hyperlink r:id="rId6" w:anchor="faa.gov" w:history="1">
        <w:r w:rsidRPr="00337FC0" w:rsidR="006949C0">
          <w:rPr>
            <w:rStyle w:val="Hyperlink"/>
            <w:rFonts w:ascii="Arial" w:hAnsi="Arial" w:cs="Arial"/>
            <w:sz w:val="24"/>
            <w:szCs w:val="24"/>
          </w:rPr>
          <w:t>astapplications@faa.gov</w:t>
        </w:r>
      </w:hyperlink>
      <w:r w:rsidR="006949C0">
        <w:rPr>
          <w:rFonts w:ascii="Arial" w:hAnsi="Arial" w:cs="Arial"/>
          <w:sz w:val="24"/>
          <w:szCs w:val="24"/>
        </w:rPr>
        <w:t xml:space="preserve"> email.</w:t>
      </w:r>
    </w:p>
    <w:p w:rsidR="00881B30" w:rsidRPr="002F3DE8" w:rsidP="00727CD0" w14:paraId="131850F4" w14:textId="77777777">
      <w:pPr>
        <w:pStyle w:val="BodyTextIndent2"/>
        <w:ind w:left="0"/>
        <w:rPr>
          <w:rFonts w:ascii="Arial" w:hAnsi="Arial" w:cs="Arial"/>
          <w:szCs w:val="24"/>
        </w:rPr>
      </w:pPr>
      <w:r w:rsidRPr="002F3DE8">
        <w:rPr>
          <w:rFonts w:ascii="Arial" w:hAnsi="Arial" w:cs="Arial"/>
          <w:szCs w:val="24"/>
        </w:rPr>
        <w:tab/>
      </w:r>
    </w:p>
    <w:p w:rsidR="00881B30" w:rsidRPr="002F3DE8" w:rsidP="00727CD0" w14:paraId="26E66BA5" w14:textId="77777777">
      <w:pPr>
        <w:rPr>
          <w:rFonts w:ascii="Arial" w:hAnsi="Arial" w:cs="Arial"/>
          <w:sz w:val="24"/>
          <w:szCs w:val="24"/>
        </w:rPr>
      </w:pPr>
      <w:r w:rsidRPr="002F3DE8">
        <w:rPr>
          <w:rFonts w:ascii="Arial" w:hAnsi="Arial" w:cs="Arial"/>
          <w:sz w:val="24"/>
          <w:szCs w:val="24"/>
        </w:rPr>
        <w:t xml:space="preserve">Since some information is proprietary, some applicants may prefer </w:t>
      </w:r>
      <w:r w:rsidRPr="002F3DE8" w:rsidR="00EB7B31">
        <w:rPr>
          <w:rFonts w:ascii="Arial" w:hAnsi="Arial" w:cs="Arial"/>
          <w:sz w:val="24"/>
          <w:szCs w:val="24"/>
        </w:rPr>
        <w:t xml:space="preserve">to submit </w:t>
      </w:r>
      <w:r w:rsidRPr="002F3DE8">
        <w:rPr>
          <w:rFonts w:ascii="Arial" w:hAnsi="Arial" w:cs="Arial"/>
          <w:sz w:val="24"/>
          <w:szCs w:val="24"/>
        </w:rPr>
        <w:t>t</w:t>
      </w:r>
      <w:r w:rsidR="00CA32A3">
        <w:rPr>
          <w:rFonts w:ascii="Arial" w:hAnsi="Arial" w:cs="Arial"/>
          <w:sz w:val="24"/>
          <w:szCs w:val="24"/>
        </w:rPr>
        <w:t>hrough secure mail or courier.</w:t>
      </w:r>
    </w:p>
    <w:p w:rsidR="00881B30" w:rsidRPr="00C71224" w14:paraId="70BC6BF6" w14:textId="77777777">
      <w:pPr>
        <w:rPr>
          <w:sz w:val="24"/>
          <w:szCs w:val="24"/>
        </w:rPr>
      </w:pPr>
    </w:p>
    <w:p w:rsidR="00622C01" w:rsidRPr="001C2BE9" w:rsidP="00622C01" w14:paraId="0786A01A" w14:textId="77777777">
      <w:pPr>
        <w:shd w:val="clear" w:color="auto" w:fill="FFFFFF"/>
        <w:rPr>
          <w:rFonts w:ascii="Arial" w:hAnsi="Arial" w:cs="Arial"/>
          <w:sz w:val="24"/>
          <w:szCs w:val="24"/>
        </w:rPr>
      </w:pPr>
      <w:r w:rsidRPr="001C2BE9">
        <w:rPr>
          <w:rFonts w:ascii="Arial" w:hAnsi="Arial" w:cs="Arial"/>
          <w:b/>
          <w:bCs/>
          <w:sz w:val="24"/>
          <w:szCs w:val="24"/>
        </w:rPr>
        <w:t>4. Describe efforts to identify duplication. Show specifically why any similar information already available cannot be used or modified for use for the purposes described in Item 2 above.</w:t>
      </w:r>
    </w:p>
    <w:p w:rsidR="00881B30" w:rsidRPr="002F3DE8" w:rsidP="00622C01" w14:paraId="52B8AFEE" w14:textId="77777777">
      <w:pPr>
        <w:rPr>
          <w:rFonts w:ascii="Arial" w:hAnsi="Arial" w:cs="Arial"/>
          <w:sz w:val="24"/>
          <w:szCs w:val="24"/>
        </w:rPr>
      </w:pPr>
      <w:r w:rsidRPr="00C64707">
        <w:rPr>
          <w:rFonts w:ascii="Arial" w:hAnsi="Arial" w:cs="Arial"/>
          <w:color w:val="555555"/>
          <w:sz w:val="24"/>
          <w:szCs w:val="24"/>
        </w:rPr>
        <w:br/>
      </w:r>
      <w:r w:rsidRPr="002F3DE8">
        <w:rPr>
          <w:rFonts w:ascii="Arial" w:hAnsi="Arial" w:cs="Arial"/>
          <w:sz w:val="24"/>
          <w:szCs w:val="24"/>
        </w:rPr>
        <w:t xml:space="preserve">By preempting conflicting or inconsistent requirements in U.S. Government agreements </w:t>
      </w:r>
      <w:r w:rsidRPr="002F3DE8">
        <w:rPr>
          <w:rFonts w:ascii="Arial" w:hAnsi="Arial" w:cs="Arial"/>
          <w:sz w:val="24"/>
          <w:szCs w:val="24"/>
        </w:rPr>
        <w:t>entered into</w:t>
      </w:r>
      <w:r w:rsidRPr="002F3DE8">
        <w:rPr>
          <w:rFonts w:ascii="Arial" w:hAnsi="Arial" w:cs="Arial"/>
          <w:sz w:val="24"/>
          <w:szCs w:val="24"/>
        </w:rPr>
        <w:t xml:space="preserve"> by the </w:t>
      </w:r>
      <w:r w:rsidRPr="002F3DE8" w:rsidR="00C90E1A">
        <w:rPr>
          <w:rFonts w:ascii="Arial" w:hAnsi="Arial" w:cs="Arial"/>
          <w:sz w:val="24"/>
          <w:szCs w:val="24"/>
        </w:rPr>
        <w:t>applicant</w:t>
      </w:r>
      <w:r w:rsidRPr="002F3DE8">
        <w:rPr>
          <w:rFonts w:ascii="Arial" w:hAnsi="Arial" w:cs="Arial"/>
          <w:sz w:val="24"/>
          <w:szCs w:val="24"/>
        </w:rPr>
        <w:t xml:space="preserve">, the financial responsibility and allocated risk requirements are designed to avoid imposing duplicative and inconsistent obligations on the </w:t>
      </w:r>
      <w:r w:rsidRPr="002F3DE8" w:rsidR="00C90E1A">
        <w:rPr>
          <w:rFonts w:ascii="Arial" w:hAnsi="Arial" w:cs="Arial"/>
          <w:sz w:val="24"/>
          <w:szCs w:val="24"/>
        </w:rPr>
        <w:t>applicant</w:t>
      </w:r>
      <w:r w:rsidRPr="002F3DE8">
        <w:rPr>
          <w:rFonts w:ascii="Arial" w:hAnsi="Arial" w:cs="Arial"/>
          <w:sz w:val="24"/>
          <w:szCs w:val="24"/>
        </w:rPr>
        <w:t xml:space="preserve">. Collected information needed to satisfy these requirements is unique. There are no other government agencies </w:t>
      </w:r>
      <w:r w:rsidRPr="002F3DE8" w:rsidR="002F3DE8">
        <w:rPr>
          <w:rFonts w:ascii="Arial" w:hAnsi="Arial" w:cs="Arial"/>
          <w:sz w:val="24"/>
          <w:szCs w:val="24"/>
        </w:rPr>
        <w:t xml:space="preserve">required </w:t>
      </w:r>
      <w:r w:rsidR="002F3DE8">
        <w:rPr>
          <w:rFonts w:ascii="Arial" w:hAnsi="Arial" w:cs="Arial"/>
          <w:sz w:val="24"/>
          <w:szCs w:val="24"/>
        </w:rPr>
        <w:t xml:space="preserve">to </w:t>
      </w:r>
      <w:r w:rsidRPr="002F3DE8">
        <w:rPr>
          <w:rFonts w:ascii="Arial" w:hAnsi="Arial" w:cs="Arial"/>
          <w:sz w:val="24"/>
          <w:szCs w:val="24"/>
        </w:rPr>
        <w:t xml:space="preserve">collect information </w:t>
      </w:r>
      <w:r w:rsidR="002F3DE8">
        <w:rPr>
          <w:rFonts w:ascii="Arial" w:hAnsi="Arial" w:cs="Arial"/>
          <w:sz w:val="24"/>
          <w:szCs w:val="24"/>
        </w:rPr>
        <w:t>to determine the</w:t>
      </w:r>
      <w:r w:rsidRPr="002F3DE8">
        <w:rPr>
          <w:rFonts w:ascii="Arial" w:hAnsi="Arial" w:cs="Arial"/>
          <w:sz w:val="24"/>
          <w:szCs w:val="24"/>
        </w:rPr>
        <w:t xml:space="preserve"> financial responsibility for licensed </w:t>
      </w:r>
      <w:r w:rsidR="002F3DE8">
        <w:rPr>
          <w:rFonts w:ascii="Arial" w:hAnsi="Arial" w:cs="Arial"/>
          <w:sz w:val="24"/>
          <w:szCs w:val="24"/>
        </w:rPr>
        <w:t>and</w:t>
      </w:r>
      <w:r w:rsidRPr="002F3DE8" w:rsidR="00800DDA">
        <w:rPr>
          <w:rFonts w:ascii="Arial" w:hAnsi="Arial" w:cs="Arial"/>
          <w:sz w:val="24"/>
          <w:szCs w:val="24"/>
        </w:rPr>
        <w:t xml:space="preserve"> permitted </w:t>
      </w:r>
      <w:r w:rsidRPr="002F3DE8">
        <w:rPr>
          <w:rFonts w:ascii="Arial" w:hAnsi="Arial" w:cs="Arial"/>
          <w:sz w:val="24"/>
          <w:szCs w:val="24"/>
        </w:rPr>
        <w:t xml:space="preserve">launches. </w:t>
      </w:r>
    </w:p>
    <w:p w:rsidR="00881B30" w:rsidRPr="002F3DE8" w14:paraId="124216EE" w14:textId="77777777">
      <w:pPr>
        <w:rPr>
          <w:rFonts w:ascii="Arial" w:hAnsi="Arial" w:cs="Arial"/>
          <w:sz w:val="24"/>
          <w:szCs w:val="24"/>
        </w:rPr>
      </w:pPr>
    </w:p>
    <w:p w:rsidR="00622C01" w:rsidRPr="00622C01" w:rsidP="00622C01" w14:paraId="0C76574B" w14:textId="77777777">
      <w:pPr>
        <w:shd w:val="clear" w:color="auto" w:fill="FFFFFF"/>
        <w:rPr>
          <w:rFonts w:ascii="Arial" w:hAnsi="Arial" w:cs="Arial"/>
          <w:sz w:val="24"/>
          <w:szCs w:val="24"/>
        </w:rPr>
      </w:pPr>
      <w:r w:rsidRPr="00622C01">
        <w:rPr>
          <w:rFonts w:ascii="Arial" w:hAnsi="Arial" w:cs="Arial"/>
          <w:b/>
          <w:bCs/>
          <w:sz w:val="24"/>
          <w:szCs w:val="24"/>
        </w:rPr>
        <w:t>5. If the collection of information involves small businesses or other small entities, describe the methods used to minimize burden.</w:t>
      </w:r>
    </w:p>
    <w:p w:rsidR="00C71224" w:rsidRPr="00C71224" w:rsidP="00622C01" w14:paraId="32FF9FE1" w14:textId="77777777">
      <w:pPr>
        <w:ind w:left="1008"/>
        <w:rPr>
          <w:sz w:val="24"/>
          <w:szCs w:val="24"/>
        </w:rPr>
      </w:pPr>
    </w:p>
    <w:p w:rsidR="00881B30" w:rsidRPr="002F3DE8" w:rsidP="00622C01" w14:paraId="13A54718" w14:textId="77777777">
      <w:pPr>
        <w:rPr>
          <w:rFonts w:ascii="Arial" w:hAnsi="Arial" w:cs="Arial"/>
          <w:sz w:val="24"/>
          <w:szCs w:val="24"/>
        </w:rPr>
      </w:pPr>
      <w:r w:rsidRPr="002F3DE8">
        <w:rPr>
          <w:rFonts w:ascii="Arial" w:hAnsi="Arial" w:cs="Arial"/>
          <w:sz w:val="24"/>
          <w:szCs w:val="24"/>
        </w:rPr>
        <w:t xml:space="preserve">The part 440 regulations referenced herein were written to allow flexibility and innovation on the part of the private sector. </w:t>
      </w:r>
      <w:r w:rsidRPr="002F3DE8">
        <w:rPr>
          <w:rFonts w:ascii="Arial" w:hAnsi="Arial" w:cs="Arial"/>
          <w:sz w:val="24"/>
          <w:szCs w:val="24"/>
        </w:rPr>
        <w:t xml:space="preserve">Pursuant to the Regulatory Flexibility Act of 1980 (RFA), FAA/AST certifies that </w:t>
      </w:r>
      <w:r w:rsidRPr="002F3DE8">
        <w:rPr>
          <w:rFonts w:ascii="Arial" w:hAnsi="Arial" w:cs="Arial"/>
          <w:sz w:val="24"/>
          <w:szCs w:val="24"/>
        </w:rPr>
        <w:t xml:space="preserve">these regulations </w:t>
      </w:r>
      <w:r w:rsidRPr="002F3DE8">
        <w:rPr>
          <w:rFonts w:ascii="Arial" w:hAnsi="Arial" w:cs="Arial"/>
          <w:sz w:val="24"/>
          <w:szCs w:val="24"/>
        </w:rPr>
        <w:t>do not have a significant economic impact on a substa</w:t>
      </w:r>
      <w:r w:rsidR="00CA32A3">
        <w:rPr>
          <w:rFonts w:ascii="Arial" w:hAnsi="Arial" w:cs="Arial"/>
          <w:sz w:val="24"/>
          <w:szCs w:val="24"/>
        </w:rPr>
        <w:t>ntial number of small entities.</w:t>
      </w:r>
    </w:p>
    <w:p w:rsidR="00881B30" w:rsidRPr="00C71224" w14:paraId="46A51AB7" w14:textId="77777777">
      <w:pPr>
        <w:pStyle w:val="PlainText"/>
        <w:rPr>
          <w:rFonts w:ascii="Times New Roman" w:hAnsi="Times New Roman"/>
          <w:sz w:val="24"/>
          <w:szCs w:val="24"/>
        </w:rPr>
      </w:pPr>
    </w:p>
    <w:p w:rsidR="00C71224" w:rsidRPr="001C2BE9" w:rsidP="00622C01" w14:paraId="46FEC4C2" w14:textId="77777777">
      <w:pPr>
        <w:shd w:val="clear" w:color="auto" w:fill="FFFFFF"/>
        <w:rPr>
          <w:rFonts w:ascii="Arial" w:hAnsi="Arial" w:cs="Arial"/>
          <w:sz w:val="24"/>
          <w:szCs w:val="24"/>
        </w:rPr>
      </w:pPr>
      <w:r w:rsidRPr="00622C01">
        <w:rPr>
          <w:rFonts w:ascii="Arial" w:hAnsi="Arial" w:cs="Arial"/>
          <w:b/>
          <w:bCs/>
          <w:sz w:val="24"/>
          <w:szCs w:val="24"/>
        </w:rPr>
        <w:t>6. Describe the consequence to Federal program or policy activities if the collection is not conducted or is conducted less frequently, as well as any technical or legal obstacles to reducing burden.</w:t>
      </w:r>
      <w:r w:rsidRPr="001C2BE9">
        <w:rPr>
          <w:rFonts w:ascii="Arial" w:hAnsi="Arial" w:cs="Arial"/>
          <w:sz w:val="24"/>
          <w:szCs w:val="24"/>
        </w:rPr>
        <w:br/>
      </w:r>
    </w:p>
    <w:p w:rsidR="00F321F6" w:rsidP="00622C01" w14:paraId="36CF1DFE" w14:textId="77777777">
      <w:pPr>
        <w:rPr>
          <w:rFonts w:ascii="Arial" w:hAnsi="Arial" w:cs="Arial"/>
          <w:sz w:val="24"/>
          <w:szCs w:val="24"/>
        </w:rPr>
      </w:pPr>
      <w:r w:rsidRPr="002F3DE8">
        <w:rPr>
          <w:rFonts w:ascii="Arial" w:hAnsi="Arial" w:cs="Arial"/>
          <w:sz w:val="24"/>
          <w:szCs w:val="24"/>
        </w:rPr>
        <w:t>The quantitative process use</w:t>
      </w:r>
      <w:r w:rsidR="003725A7">
        <w:rPr>
          <w:rFonts w:ascii="Arial" w:hAnsi="Arial" w:cs="Arial"/>
          <w:sz w:val="24"/>
          <w:szCs w:val="24"/>
        </w:rPr>
        <w:t>d</w:t>
      </w:r>
      <w:r w:rsidRPr="002F3DE8">
        <w:rPr>
          <w:rFonts w:ascii="Arial" w:hAnsi="Arial" w:cs="Arial"/>
          <w:sz w:val="24"/>
          <w:szCs w:val="24"/>
        </w:rPr>
        <w:t xml:space="preserve"> to determine MPL values took many years to develop. It is a process </w:t>
      </w:r>
      <w:r w:rsidRPr="002F3DE8" w:rsidR="00B94329">
        <w:rPr>
          <w:rFonts w:ascii="Arial" w:hAnsi="Arial" w:cs="Arial"/>
          <w:sz w:val="24"/>
          <w:szCs w:val="24"/>
        </w:rPr>
        <w:t xml:space="preserve">based quantitative </w:t>
      </w:r>
      <w:r w:rsidRPr="002F3DE8">
        <w:rPr>
          <w:rFonts w:ascii="Arial" w:hAnsi="Arial" w:cs="Arial"/>
          <w:sz w:val="24"/>
          <w:szCs w:val="24"/>
        </w:rPr>
        <w:t xml:space="preserve">method </w:t>
      </w:r>
      <w:r w:rsidRPr="002F3DE8" w:rsidR="00B94329">
        <w:rPr>
          <w:rFonts w:ascii="Arial" w:hAnsi="Arial" w:cs="Arial"/>
          <w:sz w:val="24"/>
          <w:szCs w:val="24"/>
        </w:rPr>
        <w:t>with significantly less</w:t>
      </w:r>
      <w:r w:rsidRPr="002F3DE8">
        <w:rPr>
          <w:rFonts w:ascii="Arial" w:hAnsi="Arial" w:cs="Arial"/>
          <w:sz w:val="24"/>
          <w:szCs w:val="24"/>
        </w:rPr>
        <w:t xml:space="preserve"> subjective </w:t>
      </w:r>
      <w:r w:rsidRPr="002F3DE8" w:rsidR="00B94329">
        <w:rPr>
          <w:rFonts w:ascii="Arial" w:hAnsi="Arial" w:cs="Arial"/>
          <w:sz w:val="24"/>
          <w:szCs w:val="24"/>
        </w:rPr>
        <w:t xml:space="preserve">results as compared to a prior MPL analysis used several years ago. </w:t>
      </w:r>
      <w:r w:rsidRPr="002F3DE8" w:rsidR="003514B6">
        <w:rPr>
          <w:rFonts w:ascii="Arial" w:hAnsi="Arial" w:cs="Arial"/>
          <w:sz w:val="24"/>
          <w:szCs w:val="24"/>
        </w:rPr>
        <w:t>It</w:t>
      </w:r>
      <w:r w:rsidRPr="002F3DE8">
        <w:rPr>
          <w:rFonts w:ascii="Arial" w:hAnsi="Arial" w:cs="Arial"/>
          <w:sz w:val="24"/>
          <w:szCs w:val="24"/>
        </w:rPr>
        <w:t xml:space="preserve"> applies a common </w:t>
      </w:r>
      <w:r w:rsidRPr="002F3DE8" w:rsidR="00B94329">
        <w:rPr>
          <w:rFonts w:ascii="Arial" w:hAnsi="Arial" w:cs="Arial"/>
          <w:sz w:val="24"/>
          <w:szCs w:val="24"/>
        </w:rPr>
        <w:t xml:space="preserve">approach for the diverse launch missions implemented by </w:t>
      </w:r>
      <w:r w:rsidRPr="002F3DE8" w:rsidR="003514B6">
        <w:rPr>
          <w:rFonts w:ascii="Arial" w:hAnsi="Arial" w:cs="Arial"/>
          <w:sz w:val="24"/>
          <w:szCs w:val="24"/>
        </w:rPr>
        <w:t>today’s</w:t>
      </w:r>
      <w:r w:rsidRPr="002F3DE8" w:rsidR="00B94329">
        <w:rPr>
          <w:rFonts w:ascii="Arial" w:hAnsi="Arial" w:cs="Arial"/>
          <w:sz w:val="24"/>
          <w:szCs w:val="24"/>
        </w:rPr>
        <w:t xml:space="preserve"> commercial space transportation</w:t>
      </w:r>
      <w:r w:rsidRPr="002F3DE8" w:rsidR="003514B6">
        <w:rPr>
          <w:rFonts w:ascii="Arial" w:hAnsi="Arial" w:cs="Arial"/>
          <w:sz w:val="24"/>
          <w:szCs w:val="24"/>
        </w:rPr>
        <w:t xml:space="preserve"> that produces results that are more accurate</w:t>
      </w:r>
      <w:r w:rsidRPr="002F3DE8" w:rsidR="00B94329">
        <w:rPr>
          <w:rFonts w:ascii="Arial" w:hAnsi="Arial" w:cs="Arial"/>
          <w:sz w:val="24"/>
          <w:szCs w:val="24"/>
        </w:rPr>
        <w:t xml:space="preserve">. For example, missions to supply the </w:t>
      </w:r>
      <w:r w:rsidR="00943653">
        <w:rPr>
          <w:rFonts w:ascii="Arial" w:hAnsi="Arial" w:cs="Arial"/>
          <w:sz w:val="24"/>
          <w:szCs w:val="24"/>
        </w:rPr>
        <w:t>International Space Station</w:t>
      </w:r>
      <w:r w:rsidRPr="002F3DE8" w:rsidR="00943653">
        <w:rPr>
          <w:rFonts w:ascii="Arial" w:hAnsi="Arial" w:cs="Arial"/>
          <w:sz w:val="24"/>
          <w:szCs w:val="24"/>
        </w:rPr>
        <w:t xml:space="preserve"> </w:t>
      </w:r>
      <w:r w:rsidR="00943653">
        <w:rPr>
          <w:rFonts w:ascii="Arial" w:hAnsi="Arial" w:cs="Arial"/>
          <w:sz w:val="24"/>
          <w:szCs w:val="24"/>
        </w:rPr>
        <w:t>(ISS)</w:t>
      </w:r>
      <w:r w:rsidRPr="002F3DE8" w:rsidR="00B94329">
        <w:rPr>
          <w:rFonts w:ascii="Arial" w:hAnsi="Arial" w:cs="Arial"/>
          <w:sz w:val="24"/>
          <w:szCs w:val="24"/>
        </w:rPr>
        <w:t>, telecommunication missions, other orbital mission</w:t>
      </w:r>
      <w:r w:rsidR="00CA32A3">
        <w:rPr>
          <w:rFonts w:ascii="Arial" w:hAnsi="Arial" w:cs="Arial"/>
          <w:sz w:val="24"/>
          <w:szCs w:val="24"/>
        </w:rPr>
        <w:t>s</w:t>
      </w:r>
      <w:r w:rsidRPr="002F3DE8" w:rsidR="00B94329">
        <w:rPr>
          <w:rFonts w:ascii="Arial" w:hAnsi="Arial" w:cs="Arial"/>
          <w:sz w:val="24"/>
          <w:szCs w:val="24"/>
        </w:rPr>
        <w:t xml:space="preserve">, suborbital missions, </w:t>
      </w:r>
      <w:r w:rsidRPr="002F3DE8" w:rsidR="003514B6">
        <w:rPr>
          <w:rFonts w:ascii="Arial" w:hAnsi="Arial" w:cs="Arial"/>
          <w:sz w:val="24"/>
          <w:szCs w:val="24"/>
        </w:rPr>
        <w:t xml:space="preserve">and </w:t>
      </w:r>
      <w:r w:rsidRPr="002F3DE8" w:rsidR="00B94329">
        <w:rPr>
          <w:rFonts w:ascii="Arial" w:hAnsi="Arial" w:cs="Arial"/>
          <w:sz w:val="24"/>
          <w:szCs w:val="24"/>
        </w:rPr>
        <w:t>reusable launch vehicle missions.</w:t>
      </w:r>
      <w:r w:rsidRPr="002F3DE8" w:rsidR="003514B6">
        <w:rPr>
          <w:rFonts w:ascii="Arial" w:hAnsi="Arial" w:cs="Arial"/>
          <w:sz w:val="24"/>
          <w:szCs w:val="24"/>
        </w:rPr>
        <w:t xml:space="preserve"> </w:t>
      </w:r>
      <w:r w:rsidRPr="002F3DE8" w:rsidR="00883BD0">
        <w:rPr>
          <w:rFonts w:ascii="Arial" w:hAnsi="Arial" w:cs="Arial"/>
          <w:sz w:val="24"/>
          <w:szCs w:val="24"/>
        </w:rPr>
        <w:t xml:space="preserve">If </w:t>
      </w:r>
      <w:r w:rsidR="00A66492">
        <w:rPr>
          <w:rFonts w:ascii="Arial" w:hAnsi="Arial" w:cs="Arial"/>
          <w:sz w:val="24"/>
          <w:szCs w:val="24"/>
        </w:rPr>
        <w:t xml:space="preserve">there is </w:t>
      </w:r>
      <w:r w:rsidRPr="002F3DE8" w:rsidR="00883BD0">
        <w:rPr>
          <w:rFonts w:ascii="Arial" w:hAnsi="Arial" w:cs="Arial"/>
          <w:sz w:val="24"/>
          <w:szCs w:val="24"/>
        </w:rPr>
        <w:t>n</w:t>
      </w:r>
      <w:r w:rsidRPr="002F3DE8" w:rsidR="003514B6">
        <w:rPr>
          <w:rFonts w:ascii="Arial" w:hAnsi="Arial" w:cs="Arial"/>
          <w:sz w:val="24"/>
          <w:szCs w:val="24"/>
        </w:rPr>
        <w:t>o collection of information</w:t>
      </w:r>
      <w:r w:rsidRPr="002F3DE8" w:rsidR="00883BD0">
        <w:rPr>
          <w:rFonts w:ascii="Arial" w:hAnsi="Arial" w:cs="Arial"/>
          <w:sz w:val="24"/>
          <w:szCs w:val="24"/>
        </w:rPr>
        <w:t>,</w:t>
      </w:r>
      <w:r w:rsidRPr="002F3DE8" w:rsidR="003514B6">
        <w:rPr>
          <w:rFonts w:ascii="Arial" w:hAnsi="Arial" w:cs="Arial"/>
          <w:sz w:val="24"/>
          <w:szCs w:val="24"/>
        </w:rPr>
        <w:t xml:space="preserve"> MPL </w:t>
      </w:r>
      <w:r w:rsidR="00CA32A3">
        <w:rPr>
          <w:rFonts w:ascii="Arial" w:hAnsi="Arial" w:cs="Arial"/>
          <w:sz w:val="24"/>
          <w:szCs w:val="24"/>
        </w:rPr>
        <w:t>wi</w:t>
      </w:r>
      <w:r w:rsidRPr="002F3DE8" w:rsidR="00883BD0">
        <w:rPr>
          <w:rFonts w:ascii="Arial" w:hAnsi="Arial" w:cs="Arial"/>
          <w:sz w:val="24"/>
          <w:szCs w:val="24"/>
        </w:rPr>
        <w:t>ll</w:t>
      </w:r>
      <w:r w:rsidRPr="002F3DE8" w:rsidR="003514B6">
        <w:rPr>
          <w:rFonts w:ascii="Arial" w:hAnsi="Arial" w:cs="Arial"/>
          <w:sz w:val="24"/>
          <w:szCs w:val="24"/>
        </w:rPr>
        <w:t xml:space="preserve"> not be </w:t>
      </w:r>
      <w:r>
        <w:rPr>
          <w:rFonts w:ascii="Arial" w:hAnsi="Arial" w:cs="Arial"/>
          <w:sz w:val="24"/>
          <w:szCs w:val="24"/>
        </w:rPr>
        <w:t>accomplished</w:t>
      </w:r>
      <w:r w:rsidRPr="002F3DE8">
        <w:rPr>
          <w:rFonts w:ascii="Arial" w:hAnsi="Arial" w:cs="Arial"/>
          <w:sz w:val="24"/>
          <w:szCs w:val="24"/>
        </w:rPr>
        <w:t xml:space="preserve"> </w:t>
      </w:r>
      <w:r w:rsidRPr="002F3DE8" w:rsidR="003514B6">
        <w:rPr>
          <w:rFonts w:ascii="Arial" w:hAnsi="Arial" w:cs="Arial"/>
          <w:sz w:val="24"/>
          <w:szCs w:val="24"/>
        </w:rPr>
        <w:t xml:space="preserve">with consistency and </w:t>
      </w:r>
      <w:r>
        <w:rPr>
          <w:rFonts w:ascii="Arial" w:hAnsi="Arial" w:cs="Arial"/>
          <w:sz w:val="24"/>
          <w:szCs w:val="24"/>
        </w:rPr>
        <w:t>improved</w:t>
      </w:r>
      <w:r w:rsidRPr="002F3DE8">
        <w:rPr>
          <w:rFonts w:ascii="Arial" w:hAnsi="Arial" w:cs="Arial"/>
          <w:sz w:val="24"/>
          <w:szCs w:val="24"/>
        </w:rPr>
        <w:t xml:space="preserve"> </w:t>
      </w:r>
      <w:r w:rsidR="00CA32A3">
        <w:rPr>
          <w:rFonts w:ascii="Arial" w:hAnsi="Arial" w:cs="Arial"/>
          <w:sz w:val="24"/>
          <w:szCs w:val="24"/>
        </w:rPr>
        <w:t>accuracy.</w:t>
      </w:r>
    </w:p>
    <w:p w:rsidR="00C42095" w:rsidP="00622C01" w14:paraId="42BE791B" w14:textId="77777777">
      <w:pPr>
        <w:rPr>
          <w:rFonts w:ascii="Arial" w:hAnsi="Arial" w:cs="Arial"/>
          <w:sz w:val="24"/>
          <w:szCs w:val="24"/>
        </w:rPr>
      </w:pPr>
    </w:p>
    <w:p w:rsidR="00881B30" w:rsidRPr="002F3DE8" w:rsidP="00622C01" w14:paraId="2038E6DD" w14:textId="77777777">
      <w:pPr>
        <w:rPr>
          <w:rFonts w:ascii="Arial" w:hAnsi="Arial" w:cs="Arial"/>
          <w:sz w:val="24"/>
          <w:szCs w:val="24"/>
        </w:rPr>
      </w:pPr>
      <w:r w:rsidRPr="002F3DE8">
        <w:rPr>
          <w:rFonts w:ascii="Arial" w:hAnsi="Arial" w:cs="Arial"/>
          <w:sz w:val="24"/>
          <w:szCs w:val="24"/>
        </w:rPr>
        <w:t xml:space="preserve">The frequency of recordkeeping or reporting is contingent upon </w:t>
      </w:r>
      <w:r w:rsidR="00BB6047">
        <w:rPr>
          <w:rFonts w:ascii="Arial" w:hAnsi="Arial" w:cs="Arial"/>
          <w:sz w:val="24"/>
          <w:szCs w:val="24"/>
        </w:rPr>
        <w:t>how often applications are submitted</w:t>
      </w:r>
      <w:r w:rsidR="00F321F6">
        <w:rPr>
          <w:rFonts w:ascii="Arial" w:hAnsi="Arial" w:cs="Arial"/>
          <w:sz w:val="24"/>
          <w:szCs w:val="24"/>
        </w:rPr>
        <w:t xml:space="preserve"> request</w:t>
      </w:r>
      <w:r w:rsidR="00BB6047">
        <w:rPr>
          <w:rFonts w:ascii="Arial" w:hAnsi="Arial" w:cs="Arial"/>
          <w:sz w:val="24"/>
          <w:szCs w:val="24"/>
        </w:rPr>
        <w:t>ing a license to conduct launch or reentry mission</w:t>
      </w:r>
      <w:r w:rsidR="002801FE">
        <w:rPr>
          <w:rFonts w:ascii="Arial" w:hAnsi="Arial" w:cs="Arial"/>
          <w:sz w:val="24"/>
          <w:szCs w:val="24"/>
        </w:rPr>
        <w:t>s</w:t>
      </w:r>
      <w:r w:rsidR="00BB6047">
        <w:rPr>
          <w:rFonts w:ascii="Arial" w:hAnsi="Arial" w:cs="Arial"/>
          <w:sz w:val="24"/>
          <w:szCs w:val="24"/>
        </w:rPr>
        <w:t xml:space="preserve">, or </w:t>
      </w:r>
      <w:r w:rsidRPr="002F3DE8" w:rsidR="00BB6047">
        <w:rPr>
          <w:rFonts w:ascii="Arial" w:hAnsi="Arial" w:cs="Arial"/>
          <w:sz w:val="24"/>
          <w:szCs w:val="24"/>
        </w:rPr>
        <w:t>experimental permit</w:t>
      </w:r>
      <w:r w:rsidR="00BB6047">
        <w:rPr>
          <w:rFonts w:ascii="Arial" w:hAnsi="Arial" w:cs="Arial"/>
          <w:sz w:val="24"/>
          <w:szCs w:val="24"/>
        </w:rPr>
        <w:t xml:space="preserve"> missions. Each of these missions require MPL analysis to establish the appropriate insurance. </w:t>
      </w:r>
      <w:r w:rsidR="009A4AEE">
        <w:rPr>
          <w:rFonts w:ascii="Arial" w:hAnsi="Arial" w:cs="Arial"/>
          <w:sz w:val="24"/>
          <w:szCs w:val="24"/>
        </w:rPr>
        <w:t xml:space="preserve">If the frequency to conduct the MPL for these missions is reduced or significantly delayed, no mission can occur because insurance for the mission cannot be obtained.  </w:t>
      </w:r>
      <w:r w:rsidR="00943653">
        <w:rPr>
          <w:rFonts w:ascii="Arial" w:hAnsi="Arial" w:cs="Arial"/>
          <w:sz w:val="24"/>
          <w:szCs w:val="24"/>
        </w:rPr>
        <w:t xml:space="preserve">Therefore, </w:t>
      </w:r>
      <w:r w:rsidRPr="00943653" w:rsidR="00943653">
        <w:rPr>
          <w:rFonts w:ascii="Arial" w:hAnsi="Arial" w:cs="Arial"/>
          <w:sz w:val="24"/>
          <w:szCs w:val="24"/>
        </w:rPr>
        <w:t xml:space="preserve">the consequence of conducting </w:t>
      </w:r>
      <w:r w:rsidR="00943653">
        <w:rPr>
          <w:rFonts w:ascii="Arial" w:hAnsi="Arial" w:cs="Arial"/>
          <w:sz w:val="24"/>
          <w:szCs w:val="24"/>
        </w:rPr>
        <w:t xml:space="preserve">MPL less frequently could produce a financial burden on the commercial space transportation industry and could potential impact </w:t>
      </w:r>
      <w:r w:rsidR="009B5DEB">
        <w:rPr>
          <w:rFonts w:ascii="Arial" w:hAnsi="Arial" w:cs="Arial"/>
          <w:sz w:val="24"/>
          <w:szCs w:val="24"/>
        </w:rPr>
        <w:t>how that industry supplies</w:t>
      </w:r>
      <w:r w:rsidR="00943653">
        <w:rPr>
          <w:rFonts w:ascii="Arial" w:hAnsi="Arial" w:cs="Arial"/>
          <w:sz w:val="24"/>
          <w:szCs w:val="24"/>
        </w:rPr>
        <w:t xml:space="preserve"> the ISS</w:t>
      </w:r>
      <w:r w:rsidR="00CA32A3">
        <w:rPr>
          <w:rFonts w:ascii="Arial" w:hAnsi="Arial" w:cs="Arial"/>
          <w:sz w:val="24"/>
          <w:szCs w:val="24"/>
        </w:rPr>
        <w:t>.</w:t>
      </w:r>
    </w:p>
    <w:p w:rsidR="00881B30" w:rsidRPr="00C71224" w14:paraId="41FD6EE6" w14:textId="77777777">
      <w:pPr>
        <w:pStyle w:val="PlainText"/>
        <w:rPr>
          <w:rFonts w:ascii="Times New Roman" w:hAnsi="Times New Roman"/>
          <w:sz w:val="24"/>
          <w:szCs w:val="24"/>
        </w:rPr>
      </w:pPr>
    </w:p>
    <w:p w:rsidR="00883BD0" w:rsidRPr="00883BD0" w:rsidP="00883BD0" w14:paraId="32943364" w14:textId="77777777">
      <w:pPr>
        <w:tabs>
          <w:tab w:val="left" w:pos="-720"/>
          <w:tab w:val="left" w:pos="0"/>
        </w:tabs>
        <w:suppressAutoHyphens/>
        <w:rPr>
          <w:rFonts w:ascii="Arial" w:hAnsi="Arial" w:cs="Arial"/>
          <w:b/>
          <w:sz w:val="24"/>
          <w:szCs w:val="24"/>
        </w:rPr>
      </w:pPr>
      <w:r w:rsidRPr="00883BD0">
        <w:rPr>
          <w:rFonts w:ascii="Arial" w:hAnsi="Arial" w:cs="Arial"/>
          <w:b/>
          <w:sz w:val="24"/>
          <w:szCs w:val="24"/>
        </w:rPr>
        <w:t>7. Explain any special circumstances that would cause an information collecti</w:t>
      </w:r>
      <w:r w:rsidR="0015203B">
        <w:rPr>
          <w:rFonts w:ascii="Arial" w:hAnsi="Arial" w:cs="Arial"/>
          <w:b/>
          <w:sz w:val="24"/>
          <w:szCs w:val="24"/>
        </w:rPr>
        <w:t>on to be conducted in a manner:</w:t>
      </w:r>
    </w:p>
    <w:p w:rsidR="00883BD0" w:rsidRPr="00883BD0" w:rsidP="00883BD0" w14:paraId="7A8441E4" w14:textId="77777777">
      <w:pPr>
        <w:tabs>
          <w:tab w:val="left" w:pos="-720"/>
          <w:tab w:val="left" w:pos="0"/>
        </w:tabs>
        <w:suppressAutoHyphens/>
        <w:rPr>
          <w:rFonts w:ascii="Arial" w:hAnsi="Arial" w:cs="Arial"/>
          <w:b/>
          <w:sz w:val="24"/>
          <w:szCs w:val="24"/>
        </w:rPr>
      </w:pPr>
    </w:p>
    <w:p w:rsidR="00883BD0" w:rsidRPr="00883BD0" w:rsidP="00883BD0" w14:paraId="3EE0BB5E" w14:textId="5F011DC1">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 xml:space="preserve">requiring respondents to report information to the agency more often than </w:t>
      </w:r>
      <w:r w:rsidRPr="00883BD0" w:rsidR="009A4436">
        <w:rPr>
          <w:rFonts w:ascii="Arial" w:hAnsi="Arial" w:cs="Arial"/>
          <w:b/>
          <w:bCs/>
          <w:i/>
          <w:iCs/>
          <w:sz w:val="24"/>
          <w:szCs w:val="24"/>
        </w:rPr>
        <w:t>quarterly.</w:t>
      </w:r>
    </w:p>
    <w:p w:rsidR="00883BD0" w:rsidRPr="00883BD0" w:rsidP="00883BD0" w14:paraId="4E80E295" w14:textId="13316E6C">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 xml:space="preserve">requiring respondents to prepare a written response to a collection of information in fewer than 30 days after receipt of </w:t>
      </w:r>
      <w:r w:rsidRPr="00883BD0" w:rsidR="009A4436">
        <w:rPr>
          <w:rFonts w:ascii="Arial" w:hAnsi="Arial" w:cs="Arial"/>
          <w:b/>
          <w:bCs/>
          <w:i/>
          <w:iCs/>
          <w:sz w:val="24"/>
          <w:szCs w:val="24"/>
        </w:rPr>
        <w:t>it.</w:t>
      </w:r>
    </w:p>
    <w:p w:rsidR="00883BD0" w:rsidRPr="00883BD0" w:rsidP="00883BD0" w14:paraId="41815B60" w14:textId="5F709C7B">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883BD0" w:rsidR="009A4436">
        <w:rPr>
          <w:rFonts w:ascii="Arial" w:hAnsi="Arial" w:cs="Arial"/>
          <w:b/>
          <w:bCs/>
          <w:i/>
          <w:iCs/>
          <w:sz w:val="24"/>
          <w:szCs w:val="24"/>
        </w:rPr>
        <w:t>years.</w:t>
      </w:r>
    </w:p>
    <w:p w:rsidR="00883BD0" w:rsidRPr="00883BD0" w:rsidP="00883BD0" w14:paraId="1A9B4546" w14:textId="542A469C">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 xml:space="preserve">in connection with a statistical survey, that is not designed to produce valid and reliable results that can be generalized to the universe of </w:t>
      </w:r>
      <w:r w:rsidRPr="00883BD0" w:rsidR="009A4436">
        <w:rPr>
          <w:rFonts w:ascii="Arial" w:hAnsi="Arial" w:cs="Arial"/>
          <w:b/>
          <w:bCs/>
          <w:i/>
          <w:iCs/>
          <w:sz w:val="24"/>
          <w:szCs w:val="24"/>
        </w:rPr>
        <w:t>study.</w:t>
      </w:r>
    </w:p>
    <w:p w:rsidR="00883BD0" w:rsidRPr="00883BD0" w:rsidP="00883BD0" w14:paraId="51BD4846" w14:textId="2FAA445F">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 xml:space="preserve">requiring the use of a statistical data classification that has not been reviewed and approved by </w:t>
      </w:r>
      <w:r w:rsidRPr="00883BD0" w:rsidR="009A4436">
        <w:rPr>
          <w:rFonts w:ascii="Arial" w:hAnsi="Arial" w:cs="Arial"/>
          <w:b/>
          <w:bCs/>
          <w:i/>
          <w:iCs/>
          <w:sz w:val="24"/>
          <w:szCs w:val="24"/>
        </w:rPr>
        <w:t>OMB.</w:t>
      </w:r>
    </w:p>
    <w:p w:rsidR="00883BD0" w:rsidRPr="00883BD0" w:rsidP="00883BD0" w14:paraId="658A87F5" w14:textId="77777777">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3BD0" w:rsidRPr="00883BD0" w:rsidP="00883BD0" w14:paraId="0E8EBCBD" w14:textId="77777777">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883BD0" w:rsidRPr="00883BD0" w:rsidP="00883BD0" w14:paraId="14EB665F" w14:textId="77777777">
      <w:pPr>
        <w:tabs>
          <w:tab w:val="left" w:pos="-720"/>
          <w:tab w:val="left" w:pos="0"/>
        </w:tabs>
        <w:suppressAutoHyphens/>
        <w:ind w:left="720" w:hanging="720"/>
      </w:pPr>
    </w:p>
    <w:p w:rsidR="00883BD0" w:rsidRPr="00883BD0" w:rsidP="00883BD0" w14:paraId="25C2F778" w14:textId="77777777">
      <w:pPr>
        <w:tabs>
          <w:tab w:val="left" w:pos="-720"/>
          <w:tab w:val="left" w:pos="0"/>
        </w:tabs>
        <w:suppressAutoHyphens/>
        <w:ind w:left="720" w:hanging="720"/>
        <w:rPr>
          <w:rFonts w:ascii="Arial" w:hAnsi="Arial" w:cs="Arial"/>
          <w:sz w:val="24"/>
          <w:szCs w:val="24"/>
        </w:rPr>
      </w:pPr>
      <w:r w:rsidRPr="00883BD0">
        <w:rPr>
          <w:rFonts w:ascii="Arial" w:hAnsi="Arial" w:cs="Arial"/>
          <w:sz w:val="24"/>
          <w:szCs w:val="24"/>
        </w:rPr>
        <w:t xml:space="preserve">There are no special circumstances. </w:t>
      </w:r>
    </w:p>
    <w:p w:rsidR="00881B30" w:rsidRPr="00C71224" w:rsidP="00C71224" w14:paraId="439C8FD5" w14:textId="77777777">
      <w:pPr>
        <w:ind w:left="1008"/>
        <w:rPr>
          <w:sz w:val="24"/>
          <w:szCs w:val="24"/>
        </w:rPr>
      </w:pPr>
      <w:r w:rsidRPr="00C71224">
        <w:rPr>
          <w:sz w:val="24"/>
          <w:szCs w:val="24"/>
        </w:rPr>
        <w:t xml:space="preserve"> </w:t>
      </w:r>
    </w:p>
    <w:p w:rsidR="00881B30" w:rsidRPr="00C71224" w14:paraId="6846C507" w14:textId="77777777">
      <w:pPr>
        <w:pStyle w:val="PlainText"/>
        <w:rPr>
          <w:rFonts w:ascii="Times New Roman" w:hAnsi="Times New Roman"/>
          <w:sz w:val="24"/>
          <w:szCs w:val="24"/>
        </w:rPr>
      </w:pPr>
    </w:p>
    <w:p w:rsidR="00F7132E" w:rsidRPr="00F7132E" w:rsidP="00F7132E" w14:paraId="7E0197E6" w14:textId="77777777">
      <w:pPr>
        <w:shd w:val="clear" w:color="auto" w:fill="FFFFFF"/>
        <w:rPr>
          <w:rFonts w:ascii="Arial" w:hAnsi="Arial" w:cs="Arial"/>
          <w:sz w:val="24"/>
          <w:szCs w:val="24"/>
        </w:rPr>
      </w:pPr>
      <w:r w:rsidRPr="00F7132E">
        <w:rPr>
          <w:rFonts w:ascii="Arial" w:hAnsi="Arial" w:cs="Arial"/>
          <w:b/>
          <w:bCs/>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w:t>
      </w:r>
      <w:r w:rsidRPr="00F7132E">
        <w:rPr>
          <w:rFonts w:ascii="Arial" w:hAnsi="Arial" w:cs="Arial"/>
          <w:b/>
          <w:bCs/>
          <w:sz w:val="24"/>
          <w:szCs w:val="24"/>
        </w:rPr>
        <w:t>of collection, the clarity of instructions and recordkeeping, disclosure, or reporting format (if any), and on the data elements to be recorded, disclosed, or reported.</w:t>
      </w:r>
    </w:p>
    <w:p w:rsidR="00881B30" w:rsidP="00F7132E" w14:paraId="1E2D4426" w14:textId="158B50E9">
      <w:pPr>
        <w:tabs>
          <w:tab w:val="left" w:pos="-720"/>
          <w:tab w:val="left" w:pos="0"/>
        </w:tabs>
        <w:suppressAutoHyphens/>
        <w:rPr>
          <w:rFonts w:ascii="Arial" w:hAnsi="Arial" w:cs="Arial"/>
          <w:sz w:val="24"/>
          <w:szCs w:val="24"/>
        </w:rPr>
      </w:pPr>
      <w:r w:rsidRPr="001C2BE9">
        <w:rPr>
          <w:rFonts w:ascii="Arial" w:hAnsi="Arial" w:cs="Arial"/>
          <w:sz w:val="24"/>
          <w:szCs w:val="24"/>
        </w:rPr>
        <w:br/>
      </w:r>
      <w:r w:rsidRPr="002F3DE8">
        <w:rPr>
          <w:rFonts w:ascii="Arial" w:hAnsi="Arial" w:cs="Arial"/>
          <w:sz w:val="24"/>
          <w:szCs w:val="24"/>
        </w:rPr>
        <w:t>A</w:t>
      </w:r>
      <w:r w:rsidRPr="009B5DEB" w:rsidR="009B5DEB">
        <w:rPr>
          <w:rFonts w:ascii="Arial" w:hAnsi="Arial" w:cs="Arial"/>
          <w:sz w:val="24"/>
          <w:szCs w:val="24"/>
        </w:rPr>
        <w:t xml:space="preserve"> Federal R</w:t>
      </w:r>
      <w:r w:rsidR="00797B68">
        <w:rPr>
          <w:rFonts w:ascii="Arial" w:hAnsi="Arial" w:cs="Arial"/>
          <w:sz w:val="24"/>
          <w:szCs w:val="24"/>
        </w:rPr>
        <w:t xml:space="preserve">egister Notice published on </w:t>
      </w:r>
      <w:r w:rsidR="002612E6">
        <w:rPr>
          <w:rFonts w:ascii="Arial" w:hAnsi="Arial" w:cs="Arial"/>
          <w:sz w:val="24"/>
          <w:szCs w:val="24"/>
        </w:rPr>
        <w:t>March 25, 2025 (90 FR 13653)</w:t>
      </w:r>
      <w:r w:rsidRPr="009B5DEB" w:rsidR="009B5DEB">
        <w:rPr>
          <w:rFonts w:ascii="Arial" w:hAnsi="Arial" w:cs="Arial"/>
          <w:sz w:val="24"/>
          <w:szCs w:val="24"/>
        </w:rPr>
        <w:t xml:space="preserve"> solicited public com</w:t>
      </w:r>
      <w:r w:rsidR="009B5DEB">
        <w:rPr>
          <w:rFonts w:ascii="Arial" w:hAnsi="Arial" w:cs="Arial"/>
          <w:sz w:val="24"/>
          <w:szCs w:val="24"/>
        </w:rPr>
        <w:t xml:space="preserve">ment. </w:t>
      </w:r>
      <w:r w:rsidR="007140B0">
        <w:rPr>
          <w:rFonts w:ascii="Arial" w:hAnsi="Arial" w:cs="Arial"/>
          <w:sz w:val="24"/>
          <w:szCs w:val="24"/>
        </w:rPr>
        <w:t>One comment was received after the comment period closed which states:</w:t>
      </w:r>
    </w:p>
    <w:p w:rsidR="007140B0" w:rsidP="00F7132E" w14:paraId="1BBDAE55" w14:textId="77777777">
      <w:pPr>
        <w:tabs>
          <w:tab w:val="left" w:pos="-720"/>
          <w:tab w:val="left" w:pos="0"/>
        </w:tabs>
        <w:suppressAutoHyphens/>
      </w:pPr>
    </w:p>
    <w:p w:rsidR="007140B0" w:rsidP="00F7132E" w14:paraId="5AC3C413" w14:textId="77777777">
      <w:pPr>
        <w:tabs>
          <w:tab w:val="left" w:pos="-720"/>
          <w:tab w:val="left" w:pos="0"/>
        </w:tabs>
        <w:suppressAutoHyphens/>
        <w:rPr>
          <w:rFonts w:ascii="Arial" w:hAnsi="Arial" w:cs="Arial"/>
          <w:sz w:val="24"/>
          <w:szCs w:val="24"/>
        </w:rPr>
      </w:pPr>
      <w:r w:rsidRPr="007140B0">
        <w:rPr>
          <w:rFonts w:ascii="Arial" w:hAnsi="Arial" w:cs="Arial"/>
          <w:sz w:val="24"/>
          <w:szCs w:val="24"/>
        </w:rPr>
        <w:t xml:space="preserve">SpaceX respectfully requests FAA address a discrepancy in 14 CFR Part 440 regarding the collection of technical data described in Appendix A of Part 440 for determining MPL. As currently structured, Part 440 does not align with the data requirements established under 14 CFR Part 450. Instead, Part 440 utilizes "nominal and 3-sigma lateral trajectory data," "tumble-turn data," and other data that more closely aligns to requirements in legacy launch regulations within 14 CFR parts 417 and 431. This misalignment imposes a duplicative burden on operators. </w:t>
      </w:r>
      <w:r w:rsidRPr="007140B0">
        <w:rPr>
          <w:rFonts w:ascii="Arial" w:hAnsi="Arial" w:cs="Arial"/>
          <w:sz w:val="24"/>
          <w:szCs w:val="24"/>
        </w:rPr>
        <w:t>In order to</w:t>
      </w:r>
      <w:r w:rsidRPr="007140B0">
        <w:rPr>
          <w:rFonts w:ascii="Arial" w:hAnsi="Arial" w:cs="Arial"/>
          <w:sz w:val="24"/>
          <w:szCs w:val="24"/>
        </w:rPr>
        <w:t xml:space="preserve"> comply with both sets of regulations, an operator must submit substantially more </w:t>
      </w:r>
      <w:r w:rsidRPr="007140B0">
        <w:rPr>
          <w:rFonts w:ascii="Arial" w:hAnsi="Arial" w:cs="Arial"/>
          <w:sz w:val="24"/>
          <w:szCs w:val="24"/>
        </w:rPr>
        <w:t>data—</w:t>
      </w:r>
      <w:r w:rsidRPr="007140B0">
        <w:rPr>
          <w:rFonts w:ascii="Arial" w:hAnsi="Arial" w:cs="Arial"/>
          <w:sz w:val="24"/>
          <w:szCs w:val="24"/>
        </w:rPr>
        <w:t xml:space="preserve">some of which is redundant or </w:t>
      </w:r>
      <w:r w:rsidRPr="007140B0">
        <w:rPr>
          <w:rFonts w:ascii="Arial" w:hAnsi="Arial" w:cs="Arial"/>
          <w:sz w:val="24"/>
          <w:szCs w:val="24"/>
        </w:rPr>
        <w:t>in excess of</w:t>
      </w:r>
      <w:r w:rsidRPr="007140B0">
        <w:rPr>
          <w:rFonts w:ascii="Arial" w:hAnsi="Arial" w:cs="Arial"/>
          <w:sz w:val="24"/>
          <w:szCs w:val="24"/>
        </w:rPr>
        <w:t xml:space="preserve"> data requirements under Part 450. This places an additional burden on operators and conflicts with methodologies of evaluating risk to the public that FAA has prescribed in</w:t>
      </w:r>
    </w:p>
    <w:p w:rsidR="007140B0" w:rsidRPr="007140B0" w:rsidP="00F7132E" w14:paraId="00101AC7" w14:textId="5ADFE792">
      <w:pPr>
        <w:tabs>
          <w:tab w:val="left" w:pos="-720"/>
          <w:tab w:val="left" w:pos="0"/>
        </w:tabs>
        <w:suppressAutoHyphens/>
        <w:rPr>
          <w:rFonts w:ascii="Arial" w:hAnsi="Arial" w:cs="Arial"/>
          <w:sz w:val="24"/>
          <w:szCs w:val="24"/>
        </w:rPr>
      </w:pPr>
      <w:r w:rsidRPr="007140B0">
        <w:rPr>
          <w:rFonts w:ascii="Arial" w:hAnsi="Arial" w:cs="Arial"/>
          <w:sz w:val="24"/>
          <w:szCs w:val="24"/>
        </w:rPr>
        <w:t xml:space="preserve"> §§ 450.117(a)(1), (a)(2), (d)(4)(ii), and (d)(4)(iii)</w:t>
      </w:r>
      <w:r w:rsidRPr="007140B0">
        <w:rPr>
          <w:rFonts w:ascii="Arial" w:hAnsi="Arial" w:cs="Arial"/>
          <w:sz w:val="24"/>
          <w:szCs w:val="24"/>
        </w:rPr>
        <w:t>.</w:t>
      </w:r>
    </w:p>
    <w:p w:rsidR="007140B0" w:rsidP="00F7132E" w14:paraId="1C375483" w14:textId="77777777">
      <w:pPr>
        <w:tabs>
          <w:tab w:val="left" w:pos="-720"/>
          <w:tab w:val="left" w:pos="0"/>
        </w:tabs>
        <w:suppressAutoHyphens/>
      </w:pPr>
    </w:p>
    <w:p w:rsidR="007140B0" w:rsidRPr="007140B0" w:rsidP="00F7132E" w14:paraId="23B8120C" w14:textId="11B1F82F">
      <w:pPr>
        <w:tabs>
          <w:tab w:val="left" w:pos="-720"/>
          <w:tab w:val="left" w:pos="0"/>
        </w:tabs>
        <w:suppressAutoHyphens/>
        <w:rPr>
          <w:rFonts w:ascii="Arial" w:hAnsi="Arial" w:cs="Arial"/>
          <w:sz w:val="24"/>
          <w:szCs w:val="24"/>
        </w:rPr>
      </w:pPr>
      <w:r w:rsidRPr="007140B0">
        <w:rPr>
          <w:rFonts w:ascii="Arial" w:hAnsi="Arial" w:cs="Arial"/>
          <w:sz w:val="24"/>
          <w:szCs w:val="24"/>
        </w:rPr>
        <w:t xml:space="preserve"> </w:t>
      </w:r>
      <w:r w:rsidRPr="007140B0">
        <w:rPr>
          <w:rFonts w:ascii="Arial" w:hAnsi="Arial" w:cs="Arial"/>
          <w:sz w:val="24"/>
          <w:szCs w:val="24"/>
        </w:rPr>
        <w:t>In order to</w:t>
      </w:r>
      <w:r w:rsidRPr="007140B0">
        <w:rPr>
          <w:rFonts w:ascii="Arial" w:hAnsi="Arial" w:cs="Arial"/>
          <w:sz w:val="24"/>
          <w:szCs w:val="24"/>
        </w:rPr>
        <w:t xml:space="preserve"> better align parts 440 and 450, SpaceX recommends FAA </w:t>
      </w:r>
      <w:r w:rsidRPr="007140B0">
        <w:rPr>
          <w:rFonts w:ascii="Arial" w:hAnsi="Arial" w:cs="Arial"/>
          <w:sz w:val="24"/>
          <w:szCs w:val="24"/>
        </w:rPr>
        <w:t>delete</w:t>
      </w:r>
      <w:r w:rsidRPr="007140B0">
        <w:rPr>
          <w:rFonts w:ascii="Arial" w:hAnsi="Arial" w:cs="Arial"/>
          <w:sz w:val="24"/>
          <w:szCs w:val="24"/>
        </w:rPr>
        <w:t xml:space="preserve"> Appendix A of Part 440 and </w:t>
      </w:r>
      <w:r w:rsidRPr="007140B0">
        <w:rPr>
          <w:rFonts w:ascii="Arial" w:hAnsi="Arial" w:cs="Arial"/>
          <w:sz w:val="24"/>
          <w:szCs w:val="24"/>
        </w:rPr>
        <w:t>replace</w:t>
      </w:r>
      <w:r w:rsidRPr="007140B0">
        <w:rPr>
          <w:rFonts w:ascii="Arial" w:hAnsi="Arial" w:cs="Arial"/>
          <w:sz w:val="24"/>
          <w:szCs w:val="24"/>
        </w:rPr>
        <w:t xml:space="preserve"> this section with the deliverables used to comply with Part 450. For example, FAA should utilize the information provided in compliance with §§ 450.117(d)(4)(</w:t>
      </w:r>
      <w:r w:rsidRPr="007140B0">
        <w:rPr>
          <w:rFonts w:ascii="Arial" w:hAnsi="Arial" w:cs="Arial"/>
          <w:sz w:val="24"/>
          <w:szCs w:val="24"/>
        </w:rPr>
        <w:t>ii)-(</w:t>
      </w:r>
      <w:r w:rsidRPr="007140B0">
        <w:rPr>
          <w:rFonts w:ascii="Arial" w:hAnsi="Arial" w:cs="Arial"/>
          <w:sz w:val="24"/>
          <w:szCs w:val="24"/>
        </w:rPr>
        <w:t>iii) to complete MPL determinations rather than require separate 3-sigma trajectories. This effort would streamline compliance obligations, reduce unnecessary burden on industry stakeholders in alignment with the Department of Transportation's ("DOT") Regulatory Reform Request for Information (90 FR 14593), and ensure consistency in risk profile evaluation by the FAA for MPL determination.</w:t>
      </w:r>
    </w:p>
    <w:p w:rsidR="007140B0" w:rsidP="00F7132E" w14:paraId="757FC3E2" w14:textId="77777777">
      <w:pPr>
        <w:tabs>
          <w:tab w:val="left" w:pos="-720"/>
          <w:tab w:val="left" w:pos="0"/>
        </w:tabs>
        <w:suppressAutoHyphens/>
        <w:rPr>
          <w:rFonts w:ascii="Arial" w:hAnsi="Arial" w:cs="Arial"/>
          <w:sz w:val="24"/>
          <w:szCs w:val="24"/>
        </w:rPr>
      </w:pPr>
    </w:p>
    <w:p w:rsidR="00C86B32" w:rsidRPr="002F3DE8" w:rsidP="00F7132E" w14:paraId="4F7AC8D0" w14:textId="664152F8">
      <w:pPr>
        <w:tabs>
          <w:tab w:val="left" w:pos="-720"/>
          <w:tab w:val="left" w:pos="0"/>
        </w:tabs>
        <w:suppressAutoHyphens/>
        <w:rPr>
          <w:rFonts w:ascii="Arial" w:hAnsi="Arial" w:cs="Arial"/>
          <w:sz w:val="24"/>
          <w:szCs w:val="24"/>
        </w:rPr>
      </w:pPr>
      <w:r>
        <w:rPr>
          <w:rFonts w:ascii="Arial" w:hAnsi="Arial" w:cs="Arial"/>
          <w:sz w:val="24"/>
          <w:szCs w:val="24"/>
        </w:rPr>
        <w:t xml:space="preserve">Our </w:t>
      </w:r>
      <w:r w:rsidR="00F72132">
        <w:rPr>
          <w:rFonts w:ascii="Arial" w:hAnsi="Arial" w:cs="Arial"/>
          <w:sz w:val="24"/>
          <w:szCs w:val="24"/>
        </w:rPr>
        <w:t>response to the comment above: The FAA intends to work with operators to remove any duplication of information required to meet financial responsibility requirements.  The burden of collecting information for financial responsibility is expected to remain unchanged.   The FAA will codify the regulatory changes to Part 440 to align Part 440 to Part 450 requirements in a future rulemaking.</w:t>
      </w:r>
    </w:p>
    <w:p w:rsidR="00421574" w:rsidRPr="00C71224" w:rsidP="00421574" w14:paraId="499C275E" w14:textId="77777777">
      <w:pPr>
        <w:pStyle w:val="ListParagraph"/>
        <w:rPr>
          <w:sz w:val="24"/>
          <w:szCs w:val="24"/>
        </w:rPr>
      </w:pPr>
    </w:p>
    <w:p w:rsidR="00F7132E" w:rsidRPr="00F7132E" w:rsidP="00F7132E" w14:paraId="069F1885" w14:textId="77777777">
      <w:pPr>
        <w:shd w:val="clear" w:color="auto" w:fill="FFFFFF"/>
        <w:rPr>
          <w:rFonts w:ascii="Arial" w:hAnsi="Arial" w:cs="Arial"/>
          <w:sz w:val="24"/>
          <w:szCs w:val="24"/>
        </w:rPr>
      </w:pPr>
      <w:r w:rsidRPr="00F7132E">
        <w:rPr>
          <w:rFonts w:ascii="Arial" w:hAnsi="Arial" w:cs="Arial"/>
          <w:b/>
          <w:bCs/>
          <w:sz w:val="24"/>
          <w:szCs w:val="24"/>
        </w:rPr>
        <w:t>9. Explain any decisions to provide payments or gifts to respondents, other than remuneration of contractors or grantees.</w:t>
      </w:r>
    </w:p>
    <w:p w:rsidR="00881B30" w:rsidRPr="002F3DE8" w:rsidP="00F7132E" w14:paraId="207C51DA" w14:textId="77777777">
      <w:pPr>
        <w:rPr>
          <w:rFonts w:ascii="Arial" w:hAnsi="Arial" w:cs="Arial"/>
          <w:sz w:val="24"/>
          <w:szCs w:val="24"/>
        </w:rPr>
      </w:pPr>
      <w:r w:rsidRPr="001C2BE9">
        <w:rPr>
          <w:rFonts w:ascii="Arial" w:hAnsi="Arial" w:cs="Arial"/>
          <w:sz w:val="24"/>
          <w:szCs w:val="24"/>
        </w:rPr>
        <w:br/>
      </w:r>
      <w:r w:rsidRPr="002F3DE8">
        <w:rPr>
          <w:rFonts w:ascii="Arial" w:hAnsi="Arial" w:cs="Arial"/>
          <w:sz w:val="24"/>
          <w:szCs w:val="24"/>
        </w:rPr>
        <w:t>No payments or special compensation will be provided to the respondents.</w:t>
      </w:r>
    </w:p>
    <w:p w:rsidR="00881B30" w:rsidRPr="00C71224" w14:paraId="5C5CE020" w14:textId="77777777">
      <w:pPr>
        <w:pStyle w:val="PlainText"/>
        <w:rPr>
          <w:rFonts w:ascii="Times New Roman" w:hAnsi="Times New Roman"/>
          <w:sz w:val="24"/>
          <w:szCs w:val="24"/>
        </w:rPr>
      </w:pPr>
    </w:p>
    <w:p w:rsidR="00F7132E" w:rsidRPr="00F7132E" w:rsidP="00F7132E" w14:paraId="720F13D9" w14:textId="77777777">
      <w:pPr>
        <w:shd w:val="clear" w:color="auto" w:fill="FFFFFF"/>
        <w:rPr>
          <w:rFonts w:ascii="Arial" w:hAnsi="Arial" w:cs="Arial"/>
          <w:sz w:val="24"/>
          <w:szCs w:val="24"/>
        </w:rPr>
      </w:pPr>
      <w:r w:rsidRPr="00F7132E">
        <w:rPr>
          <w:rFonts w:ascii="Arial" w:hAnsi="Arial" w:cs="Arial"/>
          <w:b/>
          <w:bCs/>
          <w:sz w:val="24"/>
          <w:szCs w:val="24"/>
        </w:rPr>
        <w:t>10. Describe any assurance of confidentiality provided to respondents and the basis for assurance in statute, regulation, or agency policy.</w:t>
      </w:r>
    </w:p>
    <w:p w:rsidR="00407A68" w:rsidP="00F7132E" w14:paraId="47795F12" w14:textId="77777777">
      <w:pPr>
        <w:rPr>
          <w:rFonts w:ascii="Arial" w:hAnsi="Arial" w:cs="Arial"/>
          <w:sz w:val="24"/>
          <w:szCs w:val="24"/>
        </w:rPr>
      </w:pPr>
    </w:p>
    <w:p w:rsidR="00407A68" w:rsidRPr="00407A68" w:rsidP="00407A68" w14:paraId="16411D78" w14:textId="77777777">
      <w:pPr>
        <w:rPr>
          <w:rFonts w:ascii="Arial" w:hAnsi="Arial" w:cs="Arial"/>
          <w:sz w:val="24"/>
          <w:szCs w:val="24"/>
        </w:rPr>
      </w:pPr>
      <w:r>
        <w:rPr>
          <w:rFonts w:ascii="Arial" w:hAnsi="Arial" w:cs="Arial"/>
          <w:sz w:val="24"/>
          <w:szCs w:val="24"/>
        </w:rPr>
        <w:t xml:space="preserve">The following is cited from </w:t>
      </w:r>
      <w:r w:rsidRPr="00407A68">
        <w:rPr>
          <w:rFonts w:ascii="Arial" w:hAnsi="Arial" w:cs="Arial"/>
          <w:sz w:val="24"/>
          <w:szCs w:val="24"/>
        </w:rPr>
        <w:t>14 CFR Part 413 - LICENSE APPLICATION PROCEDURES</w:t>
      </w:r>
      <w:r w:rsidR="00960B55">
        <w:rPr>
          <w:rFonts w:ascii="Arial" w:hAnsi="Arial" w:cs="Arial"/>
          <w:sz w:val="24"/>
          <w:szCs w:val="24"/>
        </w:rPr>
        <w:t>:</w:t>
      </w:r>
    </w:p>
    <w:p w:rsidR="00407A68" w:rsidRPr="0058562E" w:rsidP="006F009F" w14:paraId="5B143598" w14:textId="77777777">
      <w:pPr>
        <w:spacing w:after="120"/>
        <w:rPr>
          <w:rFonts w:ascii="Arial" w:hAnsi="Arial" w:cs="Arial"/>
          <w:b/>
          <w:bCs/>
          <w:sz w:val="24"/>
          <w:szCs w:val="24"/>
        </w:rPr>
      </w:pPr>
      <w:r w:rsidRPr="001C2BE9">
        <w:rPr>
          <w:rFonts w:ascii="Arial" w:hAnsi="Arial" w:cs="Arial"/>
          <w:sz w:val="24"/>
          <w:szCs w:val="24"/>
        </w:rPr>
        <w:br/>
      </w:r>
      <w:r w:rsidRPr="006F009F" w:rsidR="009D595F">
        <w:rPr>
          <w:rFonts w:ascii="Arial" w:hAnsi="Arial" w:cs="Arial"/>
          <w:bCs/>
          <w:sz w:val="24"/>
          <w:szCs w:val="24"/>
        </w:rPr>
        <w:t>§ 413.9 Confidentiality</w:t>
      </w:r>
      <w:r w:rsidRPr="00FC294D">
        <w:rPr>
          <w:rFonts w:ascii="Arial" w:hAnsi="Arial" w:cs="Arial"/>
          <w:b/>
          <w:bCs/>
          <w:sz w:val="24"/>
          <w:szCs w:val="24"/>
        </w:rPr>
        <w:t xml:space="preserve">. </w:t>
      </w:r>
    </w:p>
    <w:p w:rsidR="00881B30" w:rsidRPr="00FC294D" w:rsidP="00F7132E" w14:paraId="3159007B" w14:textId="77777777">
      <w:pPr>
        <w:rPr>
          <w:rFonts w:ascii="Arial" w:hAnsi="Arial" w:cs="Arial"/>
          <w:sz w:val="24"/>
          <w:szCs w:val="24"/>
        </w:rPr>
      </w:pPr>
      <w:r w:rsidRPr="006F009F">
        <w:rPr>
          <w:rStyle w:val="enumxml"/>
          <w:rFonts w:ascii="Arial" w:hAnsi="Arial" w:cs="Arial"/>
          <w:bCs/>
          <w:color w:val="333333"/>
          <w:sz w:val="24"/>
          <w:szCs w:val="24"/>
          <w:shd w:val="clear" w:color="auto" w:fill="FFFFFF"/>
        </w:rPr>
        <w:t>(d)</w:t>
      </w:r>
      <w:r w:rsidRPr="006F009F">
        <w:rPr>
          <w:rFonts w:ascii="Arial" w:hAnsi="Arial" w:cs="Arial"/>
          <w:color w:val="333333"/>
          <w:sz w:val="24"/>
          <w:szCs w:val="24"/>
          <w:shd w:val="clear" w:color="auto" w:fill="FFFFFF"/>
        </w:rPr>
        <w:t xml:space="preserve"> Information or data for which confidential treatment has been requested or information or data that qualifies for exemption under section 552(b)(4) of Title 5, United States Code, will </w:t>
      </w:r>
      <w:r w:rsidRPr="006F009F">
        <w:rPr>
          <w:rFonts w:ascii="Arial" w:hAnsi="Arial" w:cs="Arial"/>
          <w:color w:val="333333"/>
          <w:sz w:val="24"/>
          <w:szCs w:val="24"/>
          <w:shd w:val="clear" w:color="auto" w:fill="FFFFFF"/>
        </w:rPr>
        <w:t>not be disclosed to the public unless the </w:t>
      </w:r>
      <w:hyperlink r:id="rId7" w:tooltip="Associate Administrator" w:history="1">
        <w:r w:rsidRPr="006F009F">
          <w:rPr>
            <w:rStyle w:val="Hyperlink"/>
            <w:rFonts w:ascii="Arial" w:hAnsi="Arial" w:cs="Arial"/>
            <w:color w:val="005C72"/>
            <w:sz w:val="24"/>
            <w:szCs w:val="24"/>
            <w:shd w:val="clear" w:color="auto" w:fill="FFFFFF"/>
          </w:rPr>
          <w:t>Associate Administrator</w:t>
        </w:r>
      </w:hyperlink>
      <w:r w:rsidR="00960B55">
        <w:rPr>
          <w:rFonts w:ascii="Arial" w:hAnsi="Arial" w:cs="Arial"/>
          <w:color w:val="333333"/>
          <w:sz w:val="24"/>
          <w:szCs w:val="24"/>
          <w:shd w:val="clear" w:color="auto" w:fill="FFFFFF"/>
        </w:rPr>
        <w:t xml:space="preserve"> determines that withholding </w:t>
      </w:r>
      <w:r w:rsidRPr="006F009F">
        <w:rPr>
          <w:rFonts w:ascii="Arial" w:hAnsi="Arial" w:cs="Arial"/>
          <w:color w:val="333333"/>
          <w:sz w:val="24"/>
          <w:szCs w:val="24"/>
          <w:shd w:val="clear" w:color="auto" w:fill="FFFFFF"/>
        </w:rPr>
        <w:t>the information or data is contrary to the public or national interest.</w:t>
      </w:r>
    </w:p>
    <w:p w:rsidR="00881B30" w:rsidRPr="00C71224" w14:paraId="3E74369D" w14:textId="77777777">
      <w:pPr>
        <w:pStyle w:val="PlainText"/>
        <w:rPr>
          <w:rFonts w:ascii="Times New Roman" w:hAnsi="Times New Roman"/>
          <w:sz w:val="24"/>
          <w:szCs w:val="24"/>
        </w:rPr>
      </w:pPr>
    </w:p>
    <w:p w:rsidR="00F7132E" w:rsidRPr="00F7132E" w:rsidP="00F7132E" w14:paraId="0B600D44" w14:textId="77777777">
      <w:pPr>
        <w:shd w:val="clear" w:color="auto" w:fill="FFFFFF"/>
        <w:rPr>
          <w:rFonts w:ascii="Arial" w:hAnsi="Arial" w:cs="Arial"/>
          <w:sz w:val="24"/>
          <w:szCs w:val="24"/>
        </w:rPr>
      </w:pPr>
      <w:r w:rsidRPr="00F7132E">
        <w:rPr>
          <w:rFonts w:ascii="Arial" w:hAnsi="Arial" w:cs="Arial"/>
          <w:b/>
          <w:bCs/>
          <w:sz w:val="24"/>
          <w:szCs w:val="24"/>
        </w:rPr>
        <w:t>11. Provide additional justification for any questions of a sensitive nature, such as sexual behavior and attitudes, religious beliefs, and other matters that are commonly considered private.</w:t>
      </w:r>
    </w:p>
    <w:p w:rsidR="00881B30" w:rsidRPr="002F3DE8" w:rsidP="00F7132E" w14:paraId="7EE99036" w14:textId="77777777">
      <w:pPr>
        <w:rPr>
          <w:rFonts w:ascii="Arial" w:hAnsi="Arial" w:cs="Arial"/>
          <w:sz w:val="24"/>
          <w:szCs w:val="24"/>
        </w:rPr>
      </w:pPr>
      <w:r w:rsidRPr="001C2BE9">
        <w:rPr>
          <w:rFonts w:ascii="Arial" w:hAnsi="Arial" w:cs="Arial"/>
          <w:sz w:val="24"/>
          <w:szCs w:val="24"/>
        </w:rPr>
        <w:br/>
      </w:r>
      <w:r w:rsidRPr="002F3DE8">
        <w:rPr>
          <w:rFonts w:ascii="Arial" w:hAnsi="Arial" w:cs="Arial"/>
          <w:sz w:val="24"/>
          <w:szCs w:val="24"/>
        </w:rPr>
        <w:t>No sensitive information is required.</w:t>
      </w:r>
    </w:p>
    <w:p w:rsidR="00881B30" w:rsidRPr="002F3DE8" w14:paraId="614E75C1" w14:textId="77777777">
      <w:pPr>
        <w:pStyle w:val="PlainText"/>
        <w:rPr>
          <w:rFonts w:ascii="Arial" w:hAnsi="Arial" w:cs="Arial"/>
          <w:sz w:val="24"/>
          <w:szCs w:val="24"/>
        </w:rPr>
      </w:pPr>
    </w:p>
    <w:p w:rsidR="00F7132E" w:rsidRPr="00F7132E" w:rsidP="00F7132E" w14:paraId="1A085CFC" w14:textId="77777777">
      <w:pPr>
        <w:shd w:val="clear" w:color="auto" w:fill="FFFFFF"/>
        <w:rPr>
          <w:rFonts w:ascii="Arial" w:hAnsi="Arial" w:cs="Arial"/>
          <w:sz w:val="24"/>
          <w:szCs w:val="24"/>
        </w:rPr>
      </w:pPr>
      <w:r w:rsidRPr="00F7132E">
        <w:rPr>
          <w:rFonts w:ascii="Arial" w:hAnsi="Arial" w:cs="Arial"/>
          <w:b/>
          <w:bCs/>
          <w:sz w:val="24"/>
          <w:szCs w:val="24"/>
        </w:rPr>
        <w:t xml:space="preserve">12. Provide estimates of the hour burden of the collection of information. </w:t>
      </w:r>
    </w:p>
    <w:p w:rsidR="00F7132E" w:rsidRPr="001C2BE9" w:rsidP="00C71224" w14:paraId="4DE3EA4A" w14:textId="77777777">
      <w:pPr>
        <w:ind w:left="1008"/>
        <w:rPr>
          <w:sz w:val="24"/>
          <w:szCs w:val="24"/>
        </w:rPr>
      </w:pPr>
    </w:p>
    <w:p w:rsidR="00881B30" w:rsidRPr="002F3DE8" w:rsidP="003B5DC1" w14:paraId="3BA0024F" w14:textId="1D547680">
      <w:pPr>
        <w:rPr>
          <w:rFonts w:ascii="Arial" w:hAnsi="Arial" w:cs="Arial"/>
          <w:sz w:val="24"/>
          <w:szCs w:val="24"/>
        </w:rPr>
      </w:pPr>
      <w:r w:rsidRPr="002F3DE8">
        <w:rPr>
          <w:rFonts w:ascii="Arial" w:hAnsi="Arial" w:cs="Arial"/>
          <w:sz w:val="24"/>
          <w:szCs w:val="24"/>
        </w:rPr>
        <w:t xml:space="preserve">The burden estimate for industry involves hours associated with financial responsibility aspects of each launch license (i.e., data collection, maximum probable loss determination, documentation, and verification of insurance compliance, as well as the verification and maintenance of cross-waivers). </w:t>
      </w:r>
      <w:r w:rsidRPr="002F3DE8" w:rsidR="005672CE">
        <w:rPr>
          <w:rFonts w:ascii="Arial" w:hAnsi="Arial" w:cs="Arial"/>
          <w:sz w:val="24"/>
          <w:szCs w:val="24"/>
        </w:rPr>
        <w:t>The FAA estimated time required by in</w:t>
      </w:r>
      <w:r w:rsidRPr="002F3DE8" w:rsidR="00204676">
        <w:rPr>
          <w:rFonts w:ascii="Arial" w:hAnsi="Arial" w:cs="Arial"/>
          <w:sz w:val="24"/>
          <w:szCs w:val="24"/>
        </w:rPr>
        <w:t xml:space="preserve">dustry based on prior </w:t>
      </w:r>
      <w:r w:rsidRPr="002F3DE8" w:rsidR="00202EE5">
        <w:rPr>
          <w:rFonts w:ascii="Arial" w:hAnsi="Arial" w:cs="Arial"/>
          <w:sz w:val="24"/>
          <w:szCs w:val="24"/>
        </w:rPr>
        <w:t>experience</w:t>
      </w:r>
      <w:r w:rsidRPr="002F3DE8" w:rsidR="00204676">
        <w:rPr>
          <w:rFonts w:ascii="Arial" w:hAnsi="Arial" w:cs="Arial"/>
          <w:sz w:val="24"/>
          <w:szCs w:val="24"/>
        </w:rPr>
        <w:t xml:space="preserve"> and </w:t>
      </w:r>
      <w:r w:rsidRPr="002F3DE8">
        <w:rPr>
          <w:rFonts w:ascii="Arial" w:hAnsi="Arial" w:cs="Arial"/>
          <w:sz w:val="24"/>
          <w:szCs w:val="24"/>
        </w:rPr>
        <w:t xml:space="preserve">estimated that there will be an average of </w:t>
      </w:r>
      <w:r w:rsidR="009E6D0D">
        <w:rPr>
          <w:rFonts w:ascii="Arial" w:hAnsi="Arial" w:cs="Arial"/>
          <w:sz w:val="24"/>
          <w:szCs w:val="24"/>
        </w:rPr>
        <w:t>ten</w:t>
      </w:r>
      <w:r w:rsidRPr="009E6D0D">
        <w:rPr>
          <w:rFonts w:ascii="Arial" w:hAnsi="Arial" w:cs="Arial"/>
          <w:sz w:val="24"/>
          <w:szCs w:val="24"/>
        </w:rPr>
        <w:t xml:space="preserve"> </w:t>
      </w:r>
      <w:r w:rsidRPr="002F3DE8">
        <w:rPr>
          <w:rFonts w:ascii="Arial" w:hAnsi="Arial" w:cs="Arial"/>
          <w:sz w:val="24"/>
          <w:szCs w:val="24"/>
        </w:rPr>
        <w:t xml:space="preserve">license </w:t>
      </w:r>
      <w:r w:rsidRPr="002F3DE8" w:rsidR="005672CE">
        <w:rPr>
          <w:rFonts w:ascii="Arial" w:hAnsi="Arial" w:cs="Arial"/>
          <w:sz w:val="24"/>
          <w:szCs w:val="24"/>
        </w:rPr>
        <w:t>and/or permit applicants per year</w:t>
      </w:r>
      <w:r w:rsidRPr="002F3DE8">
        <w:rPr>
          <w:rFonts w:ascii="Arial" w:hAnsi="Arial" w:cs="Arial"/>
          <w:sz w:val="24"/>
          <w:szCs w:val="24"/>
        </w:rPr>
        <w:t>.</w:t>
      </w:r>
    </w:p>
    <w:p w:rsidR="00881B30" w:rsidRPr="002F3DE8" w:rsidP="003B5DC1" w14:paraId="048559FC" w14:textId="77777777">
      <w:pPr>
        <w:pStyle w:val="PlainText"/>
        <w:rPr>
          <w:rFonts w:ascii="Arial" w:hAnsi="Arial" w:cs="Arial"/>
          <w:sz w:val="24"/>
          <w:szCs w:val="24"/>
        </w:rPr>
      </w:pPr>
    </w:p>
    <w:p w:rsidR="00727547" w:rsidRPr="00727547" w:rsidP="00727547" w14:paraId="0AD9BE64" w14:textId="6CEAC4EB">
      <w:pPr>
        <w:rPr>
          <w:rFonts w:ascii="Calibri" w:hAnsi="Calibri" w:cs="Calibri"/>
          <w:color w:val="000000"/>
          <w:szCs w:val="22"/>
        </w:rPr>
      </w:pPr>
      <w:r w:rsidRPr="002F3DE8">
        <w:rPr>
          <w:rFonts w:ascii="Arial" w:hAnsi="Arial" w:cs="Arial"/>
          <w:sz w:val="24"/>
          <w:szCs w:val="24"/>
        </w:rPr>
        <w:t>As shown in Table 1</w:t>
      </w:r>
      <w:r w:rsidR="00960B55">
        <w:rPr>
          <w:rFonts w:ascii="Arial" w:hAnsi="Arial" w:cs="Arial"/>
          <w:sz w:val="24"/>
          <w:szCs w:val="24"/>
        </w:rPr>
        <w:t>,</w:t>
      </w:r>
      <w:r w:rsidRPr="002F3DE8">
        <w:rPr>
          <w:rFonts w:ascii="Arial" w:hAnsi="Arial" w:cs="Arial"/>
          <w:sz w:val="24"/>
          <w:szCs w:val="24"/>
        </w:rPr>
        <w:t xml:space="preserve"> the </w:t>
      </w:r>
      <w:r w:rsidRPr="002F3DE8" w:rsidR="00881B30">
        <w:rPr>
          <w:rFonts w:ascii="Arial" w:hAnsi="Arial" w:cs="Arial"/>
          <w:sz w:val="24"/>
          <w:szCs w:val="24"/>
        </w:rPr>
        <w:t>total annual industry hours for subm</w:t>
      </w:r>
      <w:r w:rsidR="005B1A14">
        <w:rPr>
          <w:rFonts w:ascii="Arial" w:hAnsi="Arial" w:cs="Arial"/>
          <w:sz w:val="24"/>
          <w:szCs w:val="24"/>
        </w:rPr>
        <w:t>itting licensing applications (10</w:t>
      </w:r>
      <w:r w:rsidRPr="002F3DE8" w:rsidR="00881B30">
        <w:rPr>
          <w:rFonts w:ascii="Arial" w:hAnsi="Arial" w:cs="Arial"/>
          <w:sz w:val="24"/>
          <w:szCs w:val="24"/>
        </w:rPr>
        <w:t xml:space="preserve">00) are calculated by multiplying industry hours to </w:t>
      </w:r>
      <w:r w:rsidRPr="002F3DE8" w:rsidR="00881B30">
        <w:rPr>
          <w:rFonts w:ascii="Arial" w:hAnsi="Arial" w:cs="Arial"/>
          <w:sz w:val="24"/>
          <w:szCs w:val="24"/>
        </w:rPr>
        <w:t>submit an application</w:t>
      </w:r>
      <w:r w:rsidRPr="002F3DE8" w:rsidR="00881B30">
        <w:rPr>
          <w:rFonts w:ascii="Arial" w:hAnsi="Arial" w:cs="Arial"/>
          <w:sz w:val="24"/>
          <w:szCs w:val="24"/>
        </w:rPr>
        <w:t xml:space="preserve"> (</w:t>
      </w:r>
      <w:r w:rsidRPr="002F3DE8" w:rsidR="005672CE">
        <w:rPr>
          <w:rFonts w:ascii="Arial" w:hAnsi="Arial" w:cs="Arial"/>
          <w:sz w:val="24"/>
          <w:szCs w:val="24"/>
        </w:rPr>
        <w:t>1</w:t>
      </w:r>
      <w:r w:rsidRPr="002F3DE8" w:rsidR="00881B30">
        <w:rPr>
          <w:rFonts w:ascii="Arial" w:hAnsi="Arial" w:cs="Arial"/>
          <w:sz w:val="24"/>
          <w:szCs w:val="24"/>
        </w:rPr>
        <w:t>00) by total annual applications (</w:t>
      </w:r>
      <w:r w:rsidR="00FD60DA">
        <w:rPr>
          <w:rFonts w:ascii="Arial" w:hAnsi="Arial" w:cs="Arial"/>
          <w:sz w:val="24"/>
          <w:szCs w:val="24"/>
        </w:rPr>
        <w:t>10</w:t>
      </w:r>
      <w:r w:rsidRPr="002F3DE8" w:rsidR="00881B30">
        <w:rPr>
          <w:rFonts w:ascii="Arial" w:hAnsi="Arial" w:cs="Arial"/>
          <w:sz w:val="24"/>
          <w:szCs w:val="24"/>
        </w:rPr>
        <w:t xml:space="preserve">). The industry hourly rate </w:t>
      </w:r>
      <w:r w:rsidRPr="00F9525D" w:rsidR="00881B30">
        <w:rPr>
          <w:rFonts w:ascii="Arial" w:hAnsi="Arial" w:cs="Arial"/>
          <w:sz w:val="24"/>
          <w:szCs w:val="24"/>
        </w:rPr>
        <w:t>($</w:t>
      </w:r>
      <w:r w:rsidRPr="00F9525D" w:rsidR="00553DE7">
        <w:rPr>
          <w:rFonts w:ascii="Arial" w:hAnsi="Arial" w:cs="Arial"/>
          <w:sz w:val="24"/>
          <w:szCs w:val="24"/>
        </w:rPr>
        <w:t>64.</w:t>
      </w:r>
      <w:r w:rsidRPr="00F9525D" w:rsidR="00111AC6">
        <w:rPr>
          <w:rFonts w:ascii="Arial" w:hAnsi="Arial" w:cs="Arial"/>
          <w:sz w:val="24"/>
          <w:szCs w:val="24"/>
        </w:rPr>
        <w:t>82</w:t>
      </w:r>
      <w:r w:rsidRPr="00F9525D" w:rsidR="00881B30">
        <w:rPr>
          <w:rFonts w:ascii="Arial" w:hAnsi="Arial" w:cs="Arial"/>
          <w:sz w:val="24"/>
          <w:szCs w:val="24"/>
        </w:rPr>
        <w:t>)</w:t>
      </w:r>
      <w:r w:rsidRPr="007E6189" w:rsidR="007E6189">
        <w:rPr>
          <w:rStyle w:val="Hyperlink"/>
          <w:color w:val="000000"/>
          <w:szCs w:val="24"/>
        </w:rPr>
        <w:t xml:space="preserve"> </w:t>
      </w:r>
      <w:r>
        <w:rPr>
          <w:rStyle w:val="FootnoteReference"/>
          <w:color w:val="000000"/>
          <w:szCs w:val="24"/>
        </w:rPr>
        <w:footnoteReference w:id="2"/>
      </w:r>
      <w:r w:rsidRPr="002F3DE8" w:rsidR="00881B30">
        <w:rPr>
          <w:rFonts w:ascii="Arial" w:hAnsi="Arial" w:cs="Arial"/>
          <w:sz w:val="24"/>
          <w:szCs w:val="24"/>
        </w:rPr>
        <w:t xml:space="preserve"> is the unit labor cost for aerospace engineering personnel involved in gathering, reviewing, and formatting the information required in each license application. The industry hourly rate is based on aerospace engineering</w:t>
      </w:r>
      <w:r w:rsidRPr="003B5DC1" w:rsidR="00881B30">
        <w:rPr>
          <w:rFonts w:ascii="Arial" w:hAnsi="Arial" w:cs="Arial"/>
          <w:sz w:val="24"/>
          <w:szCs w:val="24"/>
        </w:rPr>
        <w:t xml:space="preserve"> personnel only; it does not include rates for executive or managerial personnel. </w:t>
      </w:r>
      <w:r w:rsidRPr="003B5DC1" w:rsidR="003B5DC1">
        <w:rPr>
          <w:rFonts w:ascii="Arial" w:hAnsi="Arial" w:cs="Arial"/>
          <w:sz w:val="24"/>
          <w:szCs w:val="24"/>
        </w:rPr>
        <w:t xml:space="preserve">We multiplied the hourly wage rate by </w:t>
      </w:r>
      <w:r w:rsidR="002F652A">
        <w:rPr>
          <w:rFonts w:ascii="Arial" w:hAnsi="Arial" w:cs="Arial"/>
          <w:sz w:val="24"/>
          <w:szCs w:val="24"/>
        </w:rPr>
        <w:t>a fringe benefit rate of 30.03</w:t>
      </w:r>
      <w:r w:rsidRPr="003B5DC1" w:rsidR="003B5DC1">
        <w:rPr>
          <w:rFonts w:ascii="Arial" w:hAnsi="Arial" w:cs="Arial"/>
          <w:sz w:val="24"/>
          <w:szCs w:val="24"/>
        </w:rPr>
        <w:t xml:space="preserve"> percent</w:t>
      </w:r>
      <w:r w:rsidRPr="003661F6" w:rsidR="003B5DC1">
        <w:rPr>
          <w:rFonts w:ascii="Arial" w:hAnsi="Arial" w:cs="Arial"/>
          <w:sz w:val="24"/>
          <w:szCs w:val="24"/>
        </w:rPr>
        <w:t>.</w:t>
      </w:r>
      <w:r>
        <w:rPr>
          <w:rStyle w:val="FootnoteReference"/>
          <w:rFonts w:ascii="Arial" w:hAnsi="Arial" w:cs="Arial"/>
          <w:sz w:val="24"/>
          <w:szCs w:val="24"/>
        </w:rPr>
        <w:footnoteReference w:id="3"/>
      </w:r>
      <w:r w:rsidRPr="003B5DC1" w:rsidR="003B5DC1">
        <w:rPr>
          <w:rFonts w:ascii="Arial" w:hAnsi="Arial" w:cs="Arial"/>
          <w:sz w:val="24"/>
          <w:szCs w:val="24"/>
        </w:rPr>
        <w:t xml:space="preserve"> </w:t>
      </w:r>
      <w:r>
        <w:rPr>
          <w:rFonts w:ascii="Arial" w:hAnsi="Arial" w:cs="Arial"/>
          <w:sz w:val="24"/>
          <w:szCs w:val="24"/>
        </w:rPr>
        <w:t>Resulting in a fully loaded rate of $</w:t>
      </w:r>
      <w:r w:rsidR="00780324">
        <w:rPr>
          <w:rFonts w:ascii="Arial" w:hAnsi="Arial" w:cs="Arial"/>
          <w:color w:val="000000"/>
          <w:sz w:val="24"/>
          <w:szCs w:val="24"/>
        </w:rPr>
        <w:t>86.23</w:t>
      </w:r>
      <w:r>
        <w:rPr>
          <w:rFonts w:ascii="Arial" w:hAnsi="Arial" w:cs="Arial"/>
          <w:color w:val="000000"/>
          <w:sz w:val="24"/>
          <w:szCs w:val="24"/>
        </w:rPr>
        <w:t>.</w:t>
      </w:r>
    </w:p>
    <w:p w:rsidR="003B5DC1" w:rsidRPr="003B5DC1" w:rsidP="003B5DC1" w14:paraId="5E69AB63" w14:textId="77777777">
      <w:pPr>
        <w:rPr>
          <w:rFonts w:ascii="Arial" w:hAnsi="Arial" w:cs="Arial"/>
          <w:sz w:val="24"/>
          <w:szCs w:val="24"/>
        </w:rPr>
      </w:pPr>
    </w:p>
    <w:p w:rsidR="00881B30" w:rsidRPr="002F3DE8" w:rsidP="003B5DC1" w14:paraId="16E0E37D" w14:textId="3B407E9D">
      <w:pPr>
        <w:rPr>
          <w:rFonts w:ascii="Arial" w:hAnsi="Arial" w:cs="Arial"/>
          <w:sz w:val="24"/>
          <w:szCs w:val="24"/>
        </w:rPr>
      </w:pPr>
      <w:r w:rsidRPr="003B5DC1">
        <w:rPr>
          <w:rFonts w:ascii="Arial" w:hAnsi="Arial" w:cs="Arial"/>
          <w:sz w:val="24"/>
          <w:szCs w:val="24"/>
        </w:rPr>
        <w:t>The estimated cost to industry p</w:t>
      </w:r>
      <w:r w:rsidRPr="002F3DE8">
        <w:rPr>
          <w:rFonts w:ascii="Arial" w:hAnsi="Arial" w:cs="Arial"/>
          <w:sz w:val="24"/>
          <w:szCs w:val="24"/>
        </w:rPr>
        <w:t>er application</w:t>
      </w:r>
      <w:r w:rsidRPr="00727547">
        <w:rPr>
          <w:rFonts w:ascii="Arial" w:hAnsi="Arial" w:cs="Arial"/>
          <w:sz w:val="24"/>
          <w:szCs w:val="24"/>
        </w:rPr>
        <w:t xml:space="preserve"> ($</w:t>
      </w:r>
      <w:r w:rsidR="00553DE7">
        <w:rPr>
          <w:rFonts w:ascii="Arial" w:hAnsi="Arial" w:cs="Arial"/>
          <w:color w:val="000000"/>
          <w:sz w:val="24"/>
          <w:szCs w:val="24"/>
        </w:rPr>
        <w:t>8,</w:t>
      </w:r>
      <w:r w:rsidR="00780324">
        <w:rPr>
          <w:rFonts w:ascii="Arial" w:hAnsi="Arial" w:cs="Arial"/>
          <w:color w:val="000000"/>
          <w:sz w:val="24"/>
          <w:szCs w:val="24"/>
        </w:rPr>
        <w:t>623</w:t>
      </w:r>
      <w:r w:rsidRPr="00727547">
        <w:rPr>
          <w:rFonts w:ascii="Arial" w:hAnsi="Arial" w:cs="Arial"/>
          <w:sz w:val="24"/>
          <w:szCs w:val="24"/>
        </w:rPr>
        <w:t>) is calculated by multiplying the estimated unit</w:t>
      </w:r>
      <w:r w:rsidR="00727547">
        <w:rPr>
          <w:rFonts w:ascii="Arial" w:hAnsi="Arial" w:cs="Arial"/>
          <w:sz w:val="24"/>
          <w:szCs w:val="24"/>
        </w:rPr>
        <w:t xml:space="preserve"> loaded</w:t>
      </w:r>
      <w:r w:rsidRPr="00727547">
        <w:rPr>
          <w:rFonts w:ascii="Arial" w:hAnsi="Arial" w:cs="Arial"/>
          <w:sz w:val="24"/>
          <w:szCs w:val="24"/>
        </w:rPr>
        <w:t xml:space="preserve"> labor cost by the estimated industry hours req</w:t>
      </w:r>
      <w:r w:rsidRPr="002F3DE8">
        <w:rPr>
          <w:rFonts w:ascii="Arial" w:hAnsi="Arial" w:cs="Arial"/>
          <w:sz w:val="24"/>
          <w:szCs w:val="24"/>
        </w:rPr>
        <w:t xml:space="preserve">uired to </w:t>
      </w:r>
      <w:r w:rsidRPr="002F3DE8">
        <w:rPr>
          <w:rFonts w:ascii="Arial" w:hAnsi="Arial" w:cs="Arial"/>
          <w:sz w:val="24"/>
          <w:szCs w:val="24"/>
        </w:rPr>
        <w:t>submit an application</w:t>
      </w:r>
      <w:r w:rsidRPr="002F3DE8">
        <w:rPr>
          <w:rFonts w:ascii="Arial" w:hAnsi="Arial" w:cs="Arial"/>
          <w:sz w:val="24"/>
          <w:szCs w:val="24"/>
        </w:rPr>
        <w:t xml:space="preserve"> (</w:t>
      </w:r>
      <w:r w:rsidRPr="002F3DE8" w:rsidR="005672CE">
        <w:rPr>
          <w:rFonts w:ascii="Arial" w:hAnsi="Arial" w:cs="Arial"/>
          <w:sz w:val="24"/>
          <w:szCs w:val="24"/>
        </w:rPr>
        <w:t>1</w:t>
      </w:r>
      <w:r w:rsidRPr="002F3DE8">
        <w:rPr>
          <w:rFonts w:ascii="Arial" w:hAnsi="Arial" w:cs="Arial"/>
          <w:sz w:val="24"/>
          <w:szCs w:val="24"/>
        </w:rPr>
        <w:t>00). The total estimated annualized costs</w:t>
      </w:r>
      <w:r w:rsidRPr="00727547">
        <w:rPr>
          <w:rFonts w:ascii="Arial" w:hAnsi="Arial" w:cs="Arial"/>
          <w:sz w:val="24"/>
          <w:szCs w:val="24"/>
        </w:rPr>
        <w:t xml:space="preserve"> (</w:t>
      </w:r>
      <w:r w:rsidR="00553DE7">
        <w:rPr>
          <w:rFonts w:ascii="Arial" w:hAnsi="Arial" w:cs="Arial"/>
          <w:sz w:val="24"/>
          <w:szCs w:val="24"/>
        </w:rPr>
        <w:t>8</w:t>
      </w:r>
      <w:r w:rsidR="00780324">
        <w:rPr>
          <w:rFonts w:ascii="Arial" w:hAnsi="Arial" w:cs="Arial"/>
          <w:sz w:val="24"/>
          <w:szCs w:val="24"/>
        </w:rPr>
        <w:t>6,230</w:t>
      </w:r>
      <w:r w:rsidRPr="00727547">
        <w:rPr>
          <w:rFonts w:ascii="Arial" w:hAnsi="Arial" w:cs="Arial"/>
          <w:sz w:val="24"/>
          <w:szCs w:val="24"/>
        </w:rPr>
        <w:t>)</w:t>
      </w:r>
      <w:r w:rsidRPr="002F3DE8">
        <w:rPr>
          <w:rFonts w:ascii="Arial" w:hAnsi="Arial" w:cs="Arial"/>
          <w:sz w:val="24"/>
          <w:szCs w:val="24"/>
        </w:rPr>
        <w:t xml:space="preserve"> are calculated by multiplying the cost to industry per application by the total annual applications (</w:t>
      </w:r>
      <w:r w:rsidR="00FD60DA">
        <w:rPr>
          <w:rFonts w:ascii="Arial" w:hAnsi="Arial" w:cs="Arial"/>
          <w:sz w:val="24"/>
          <w:szCs w:val="24"/>
        </w:rPr>
        <w:t>10</w:t>
      </w:r>
      <w:r w:rsidRPr="002F3DE8">
        <w:rPr>
          <w:rFonts w:ascii="Arial" w:hAnsi="Arial" w:cs="Arial"/>
          <w:sz w:val="24"/>
          <w:szCs w:val="24"/>
        </w:rPr>
        <w:t>).</w:t>
      </w:r>
    </w:p>
    <w:p w:rsidR="00C71224" w:rsidRPr="002F3DE8" w:rsidP="00C71224" w14:paraId="4C83E2D0" w14:textId="77777777">
      <w:pPr>
        <w:rPr>
          <w:rFonts w:ascii="Arial" w:hAnsi="Arial" w:cs="Arial"/>
          <w:sz w:val="24"/>
          <w:szCs w:val="24"/>
        </w:rPr>
      </w:pPr>
    </w:p>
    <w:p w:rsidR="00881B30" w:rsidRPr="00C71224" w:rsidP="00C71224" w14:paraId="7AA12C70" w14:textId="77777777">
      <w:pPr>
        <w:ind w:left="1440"/>
        <w:rPr>
          <w:b/>
          <w:bCs/>
          <w:sz w:val="24"/>
          <w:szCs w:val="24"/>
        </w:rPr>
      </w:pPr>
      <w:r w:rsidRPr="00C71224">
        <w:rPr>
          <w:b/>
          <w:bCs/>
          <w:sz w:val="24"/>
          <w:szCs w:val="24"/>
        </w:rPr>
        <w:t>Table 1: Estimated Burden Hours and Annual Costs to Industry for Financial Responsibility Regulations</w:t>
      </w:r>
    </w:p>
    <w:p w:rsidR="00881B30" w:rsidRPr="00C71224" w14:paraId="1432AD97" w14:textId="77777777">
      <w:pPr>
        <w:ind w:left="720"/>
        <w:rPr>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1980"/>
      </w:tblGrid>
      <w:tr w14:paraId="5B33C524" w14:textId="77777777" w:rsidTr="00016F92">
        <w:tblPrEx>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40" w:type="dxa"/>
            <w:vAlign w:val="bottom"/>
          </w:tcPr>
          <w:p w:rsidR="00016F92" w:rsidRPr="00C71224" w:rsidP="00016F92" w14:paraId="773A38B8" w14:textId="77777777">
            <w:pPr>
              <w:rPr>
                <w:rFonts w:ascii="Arial" w:hAnsi="Arial" w:cs="Arial"/>
                <w:sz w:val="24"/>
                <w:szCs w:val="24"/>
              </w:rPr>
            </w:pPr>
            <w:r w:rsidRPr="00C71224">
              <w:rPr>
                <w:rFonts w:ascii="Arial" w:hAnsi="Arial" w:cs="Arial"/>
                <w:sz w:val="24"/>
                <w:szCs w:val="24"/>
              </w:rPr>
              <w:t>Annual number of applicants</w:t>
            </w:r>
          </w:p>
        </w:tc>
        <w:tc>
          <w:tcPr>
            <w:tcW w:w="1980" w:type="dxa"/>
            <w:vAlign w:val="bottom"/>
          </w:tcPr>
          <w:p w:rsidR="00016F92" w:rsidRPr="00C71224" w:rsidP="00016F92" w14:paraId="0F9ED3E6" w14:textId="77777777">
            <w:pPr>
              <w:jc w:val="right"/>
              <w:rPr>
                <w:rFonts w:ascii="Arial" w:hAnsi="Arial" w:cs="Arial"/>
                <w:sz w:val="24"/>
                <w:szCs w:val="24"/>
              </w:rPr>
            </w:pPr>
            <w:r>
              <w:rPr>
                <w:rFonts w:ascii="Arial" w:hAnsi="Arial" w:cs="Arial"/>
                <w:sz w:val="24"/>
                <w:szCs w:val="24"/>
              </w:rPr>
              <w:t>10</w:t>
            </w:r>
          </w:p>
        </w:tc>
      </w:tr>
      <w:tr w14:paraId="5F98B2F4" w14:textId="77777777" w:rsidTr="00016F92">
        <w:tblPrEx>
          <w:tblW w:w="0" w:type="auto"/>
          <w:tblInd w:w="1098" w:type="dxa"/>
          <w:tblLook w:val="0000"/>
        </w:tblPrEx>
        <w:tc>
          <w:tcPr>
            <w:tcW w:w="5040" w:type="dxa"/>
            <w:vAlign w:val="bottom"/>
          </w:tcPr>
          <w:p w:rsidR="00016F92" w:rsidRPr="00C71224" w:rsidP="00016F92" w14:paraId="6C1EE4D2" w14:textId="77777777">
            <w:pPr>
              <w:rPr>
                <w:rFonts w:ascii="Arial" w:hAnsi="Arial" w:cs="Arial"/>
                <w:sz w:val="24"/>
                <w:szCs w:val="24"/>
              </w:rPr>
            </w:pPr>
            <w:r w:rsidRPr="00C71224">
              <w:rPr>
                <w:rFonts w:ascii="Arial" w:hAnsi="Arial" w:cs="Arial"/>
                <w:sz w:val="24"/>
                <w:szCs w:val="24"/>
              </w:rPr>
              <w:t>Annual number of applications per applicant</w:t>
            </w:r>
          </w:p>
        </w:tc>
        <w:tc>
          <w:tcPr>
            <w:tcW w:w="1980" w:type="dxa"/>
            <w:vAlign w:val="bottom"/>
          </w:tcPr>
          <w:p w:rsidR="00016F92" w:rsidRPr="00C71224" w:rsidP="00016F92" w14:paraId="783D37F5" w14:textId="77777777">
            <w:pPr>
              <w:jc w:val="right"/>
              <w:rPr>
                <w:rFonts w:ascii="Arial" w:hAnsi="Arial" w:cs="Arial"/>
                <w:sz w:val="24"/>
                <w:szCs w:val="24"/>
              </w:rPr>
            </w:pPr>
            <w:r w:rsidRPr="00C71224">
              <w:rPr>
                <w:rFonts w:ascii="Arial" w:hAnsi="Arial" w:cs="Arial"/>
                <w:sz w:val="24"/>
                <w:szCs w:val="24"/>
              </w:rPr>
              <w:t>1</w:t>
            </w:r>
          </w:p>
        </w:tc>
      </w:tr>
      <w:tr w14:paraId="6C52AA8D" w14:textId="77777777" w:rsidTr="00016F92">
        <w:tblPrEx>
          <w:tblW w:w="0" w:type="auto"/>
          <w:tblInd w:w="1098" w:type="dxa"/>
          <w:tblLook w:val="0000"/>
        </w:tblPrEx>
        <w:tc>
          <w:tcPr>
            <w:tcW w:w="5040" w:type="dxa"/>
            <w:vAlign w:val="bottom"/>
          </w:tcPr>
          <w:p w:rsidR="00016F92" w:rsidRPr="00C71224" w:rsidP="00016F92" w14:paraId="00162BB6" w14:textId="77777777">
            <w:pPr>
              <w:jc w:val="right"/>
              <w:rPr>
                <w:rFonts w:ascii="Arial" w:hAnsi="Arial" w:cs="Arial"/>
                <w:b/>
                <w:bCs/>
                <w:sz w:val="24"/>
                <w:szCs w:val="24"/>
              </w:rPr>
            </w:pPr>
            <w:r w:rsidRPr="00C71224">
              <w:rPr>
                <w:rFonts w:ascii="Arial" w:hAnsi="Arial" w:cs="Arial"/>
                <w:b/>
                <w:bCs/>
                <w:sz w:val="24"/>
                <w:szCs w:val="24"/>
              </w:rPr>
              <w:t>Total annual applications</w:t>
            </w:r>
          </w:p>
        </w:tc>
        <w:tc>
          <w:tcPr>
            <w:tcW w:w="1980" w:type="dxa"/>
            <w:vAlign w:val="bottom"/>
          </w:tcPr>
          <w:p w:rsidR="00016F92" w:rsidRPr="00C71224" w:rsidP="00016F92" w14:paraId="6D979C43" w14:textId="77777777">
            <w:pPr>
              <w:jc w:val="right"/>
              <w:rPr>
                <w:rFonts w:ascii="Arial" w:hAnsi="Arial" w:cs="Arial"/>
                <w:b/>
                <w:bCs/>
                <w:sz w:val="24"/>
                <w:szCs w:val="24"/>
              </w:rPr>
            </w:pPr>
            <w:r>
              <w:rPr>
                <w:rFonts w:ascii="Arial" w:hAnsi="Arial" w:cs="Arial"/>
                <w:b/>
                <w:bCs/>
                <w:sz w:val="24"/>
                <w:szCs w:val="24"/>
              </w:rPr>
              <w:t>10</w:t>
            </w:r>
          </w:p>
        </w:tc>
      </w:tr>
      <w:tr w14:paraId="4F9ED5BC" w14:textId="77777777" w:rsidTr="00016F92">
        <w:tblPrEx>
          <w:tblW w:w="0" w:type="auto"/>
          <w:tblInd w:w="1098" w:type="dxa"/>
          <w:tblLook w:val="0000"/>
        </w:tblPrEx>
        <w:tc>
          <w:tcPr>
            <w:tcW w:w="5040" w:type="dxa"/>
            <w:vAlign w:val="bottom"/>
          </w:tcPr>
          <w:p w:rsidR="00016F92" w:rsidRPr="00C71224" w:rsidP="00016F92" w14:paraId="3A65E693" w14:textId="77777777">
            <w:pPr>
              <w:rPr>
                <w:rFonts w:ascii="Arial" w:hAnsi="Arial" w:cs="Arial"/>
                <w:sz w:val="24"/>
                <w:szCs w:val="24"/>
              </w:rPr>
            </w:pPr>
            <w:r w:rsidRPr="00C71224">
              <w:rPr>
                <w:rFonts w:ascii="Arial" w:hAnsi="Arial" w:cs="Arial"/>
                <w:sz w:val="24"/>
                <w:szCs w:val="24"/>
              </w:rPr>
              <w:t xml:space="preserve">Industry hours to </w:t>
            </w:r>
            <w:r w:rsidRPr="00C71224">
              <w:rPr>
                <w:rFonts w:ascii="Arial" w:hAnsi="Arial" w:cs="Arial"/>
                <w:sz w:val="24"/>
                <w:szCs w:val="24"/>
              </w:rPr>
              <w:t>submit an application</w:t>
            </w:r>
          </w:p>
        </w:tc>
        <w:tc>
          <w:tcPr>
            <w:tcW w:w="1980" w:type="dxa"/>
            <w:vAlign w:val="bottom"/>
          </w:tcPr>
          <w:p w:rsidR="00016F92" w:rsidRPr="00C71224" w:rsidP="00016F92" w14:paraId="724B58E9" w14:textId="77777777">
            <w:pPr>
              <w:jc w:val="right"/>
              <w:rPr>
                <w:rFonts w:ascii="Arial" w:hAnsi="Arial" w:cs="Arial"/>
                <w:sz w:val="24"/>
                <w:szCs w:val="24"/>
              </w:rPr>
            </w:pPr>
            <w:r w:rsidRPr="00C71224">
              <w:rPr>
                <w:rFonts w:ascii="Arial" w:hAnsi="Arial" w:cs="Arial"/>
                <w:sz w:val="24"/>
                <w:szCs w:val="24"/>
              </w:rPr>
              <w:t>1</w:t>
            </w:r>
            <w:r w:rsidRPr="00C71224" w:rsidR="00204676">
              <w:rPr>
                <w:rFonts w:ascii="Arial" w:hAnsi="Arial" w:cs="Arial"/>
                <w:sz w:val="24"/>
                <w:szCs w:val="24"/>
              </w:rPr>
              <w:t>00</w:t>
            </w:r>
          </w:p>
        </w:tc>
      </w:tr>
      <w:tr w14:paraId="69315E5A" w14:textId="77777777" w:rsidTr="00016F92">
        <w:tblPrEx>
          <w:tblW w:w="0" w:type="auto"/>
          <w:tblInd w:w="1098" w:type="dxa"/>
          <w:tblLook w:val="0000"/>
        </w:tblPrEx>
        <w:tc>
          <w:tcPr>
            <w:tcW w:w="5040" w:type="dxa"/>
            <w:vAlign w:val="bottom"/>
          </w:tcPr>
          <w:p w:rsidR="00016F92" w:rsidRPr="00C71224" w:rsidP="00016F92" w14:paraId="1B7A6723" w14:textId="77777777">
            <w:pPr>
              <w:jc w:val="right"/>
              <w:rPr>
                <w:rFonts w:ascii="Arial" w:hAnsi="Arial" w:cs="Arial"/>
                <w:b/>
                <w:bCs/>
                <w:sz w:val="24"/>
                <w:szCs w:val="24"/>
              </w:rPr>
            </w:pPr>
            <w:r w:rsidRPr="00C71224">
              <w:rPr>
                <w:rFonts w:ascii="Arial" w:hAnsi="Arial" w:cs="Arial"/>
                <w:b/>
                <w:bCs/>
                <w:sz w:val="24"/>
                <w:szCs w:val="24"/>
              </w:rPr>
              <w:t>Total annual industry hours</w:t>
            </w:r>
          </w:p>
        </w:tc>
        <w:tc>
          <w:tcPr>
            <w:tcW w:w="1980" w:type="dxa"/>
            <w:vAlign w:val="bottom"/>
          </w:tcPr>
          <w:p w:rsidR="00016F92" w:rsidRPr="00C71224" w:rsidP="00016F92" w14:paraId="41D37B63" w14:textId="77777777">
            <w:pPr>
              <w:jc w:val="right"/>
              <w:rPr>
                <w:rFonts w:ascii="Arial" w:hAnsi="Arial" w:cs="Arial"/>
                <w:b/>
                <w:bCs/>
                <w:sz w:val="24"/>
                <w:szCs w:val="24"/>
              </w:rPr>
            </w:pPr>
            <w:r>
              <w:rPr>
                <w:rFonts w:ascii="Arial" w:hAnsi="Arial" w:cs="Arial"/>
                <w:b/>
                <w:bCs/>
                <w:sz w:val="24"/>
                <w:szCs w:val="24"/>
              </w:rPr>
              <w:t>10</w:t>
            </w:r>
            <w:r w:rsidRPr="00C71224">
              <w:rPr>
                <w:rFonts w:ascii="Arial" w:hAnsi="Arial" w:cs="Arial"/>
                <w:b/>
                <w:bCs/>
                <w:sz w:val="24"/>
                <w:szCs w:val="24"/>
              </w:rPr>
              <w:t>00</w:t>
            </w:r>
          </w:p>
        </w:tc>
      </w:tr>
      <w:tr w14:paraId="2E352469" w14:textId="77777777" w:rsidTr="00016F92">
        <w:tblPrEx>
          <w:tblW w:w="0" w:type="auto"/>
          <w:tblInd w:w="1098" w:type="dxa"/>
          <w:tblLook w:val="0000"/>
        </w:tblPrEx>
        <w:tc>
          <w:tcPr>
            <w:tcW w:w="5040" w:type="dxa"/>
            <w:vAlign w:val="bottom"/>
          </w:tcPr>
          <w:p w:rsidR="00016F92" w:rsidRPr="00C71224" w:rsidP="00016F92" w14:paraId="25FD9749" w14:textId="77777777">
            <w:pPr>
              <w:rPr>
                <w:rFonts w:ascii="Arial" w:hAnsi="Arial" w:cs="Arial"/>
                <w:sz w:val="24"/>
                <w:szCs w:val="24"/>
              </w:rPr>
            </w:pPr>
            <w:r w:rsidRPr="00C71224">
              <w:rPr>
                <w:rFonts w:ascii="Arial" w:hAnsi="Arial" w:cs="Arial"/>
                <w:sz w:val="24"/>
                <w:szCs w:val="24"/>
              </w:rPr>
              <w:t>Industry hourly rate</w:t>
            </w:r>
          </w:p>
        </w:tc>
        <w:tc>
          <w:tcPr>
            <w:tcW w:w="1980" w:type="dxa"/>
            <w:vAlign w:val="bottom"/>
          </w:tcPr>
          <w:p w:rsidR="00016F92" w:rsidRPr="00C71224" w:rsidP="000046A3" w14:paraId="0CA19747" w14:textId="1A1CF339">
            <w:pPr>
              <w:jc w:val="right"/>
              <w:rPr>
                <w:rFonts w:ascii="Arial" w:hAnsi="Arial" w:cs="Arial"/>
                <w:sz w:val="24"/>
                <w:szCs w:val="24"/>
              </w:rPr>
            </w:pPr>
            <w:r>
              <w:rPr>
                <w:rFonts w:ascii="Arial" w:hAnsi="Arial" w:cs="Arial"/>
                <w:sz w:val="24"/>
                <w:szCs w:val="24"/>
              </w:rPr>
              <w:t>$8</w:t>
            </w:r>
            <w:r w:rsidR="00780324">
              <w:rPr>
                <w:rFonts w:ascii="Arial" w:hAnsi="Arial" w:cs="Arial"/>
                <w:sz w:val="24"/>
                <w:szCs w:val="24"/>
              </w:rPr>
              <w:t>6</w:t>
            </w:r>
            <w:r>
              <w:rPr>
                <w:rFonts w:ascii="Arial" w:hAnsi="Arial" w:cs="Arial"/>
                <w:sz w:val="24"/>
                <w:szCs w:val="24"/>
              </w:rPr>
              <w:t>.</w:t>
            </w:r>
            <w:r w:rsidR="00780324">
              <w:rPr>
                <w:rFonts w:ascii="Arial" w:hAnsi="Arial" w:cs="Arial"/>
                <w:sz w:val="24"/>
                <w:szCs w:val="24"/>
              </w:rPr>
              <w:t>23</w:t>
            </w:r>
          </w:p>
        </w:tc>
      </w:tr>
      <w:tr w14:paraId="15362970" w14:textId="77777777" w:rsidTr="00016F92">
        <w:tblPrEx>
          <w:tblW w:w="0" w:type="auto"/>
          <w:tblInd w:w="1098" w:type="dxa"/>
          <w:tblLook w:val="0000"/>
        </w:tblPrEx>
        <w:tc>
          <w:tcPr>
            <w:tcW w:w="5040" w:type="dxa"/>
            <w:vAlign w:val="bottom"/>
          </w:tcPr>
          <w:p w:rsidR="00016F92" w:rsidRPr="00C71224" w:rsidP="00016F92" w14:paraId="47C28AAA" w14:textId="77777777">
            <w:pPr>
              <w:rPr>
                <w:rFonts w:ascii="Arial" w:hAnsi="Arial" w:cs="Arial"/>
                <w:sz w:val="24"/>
                <w:szCs w:val="24"/>
              </w:rPr>
            </w:pPr>
            <w:r w:rsidRPr="00C71224">
              <w:rPr>
                <w:rFonts w:ascii="Arial" w:hAnsi="Arial" w:cs="Arial"/>
                <w:sz w:val="24"/>
                <w:szCs w:val="24"/>
              </w:rPr>
              <w:t>Cost to industry per application</w:t>
            </w:r>
          </w:p>
        </w:tc>
        <w:tc>
          <w:tcPr>
            <w:tcW w:w="1980" w:type="dxa"/>
            <w:vAlign w:val="bottom"/>
          </w:tcPr>
          <w:p w:rsidR="00016F92" w:rsidRPr="00C71224" w:rsidP="004F797F" w14:paraId="0D4E7048" w14:textId="33579C03">
            <w:pPr>
              <w:jc w:val="right"/>
              <w:rPr>
                <w:rFonts w:ascii="Arial" w:hAnsi="Arial" w:cs="Arial"/>
                <w:sz w:val="24"/>
                <w:szCs w:val="24"/>
              </w:rPr>
            </w:pPr>
            <w:r>
              <w:rPr>
                <w:rFonts w:ascii="Arial" w:hAnsi="Arial" w:cs="Arial"/>
                <w:sz w:val="24"/>
                <w:szCs w:val="24"/>
              </w:rPr>
              <w:t>$8,</w:t>
            </w:r>
            <w:r w:rsidR="00780324">
              <w:rPr>
                <w:rFonts w:ascii="Arial" w:hAnsi="Arial" w:cs="Arial"/>
                <w:sz w:val="24"/>
                <w:szCs w:val="24"/>
              </w:rPr>
              <w:t>623</w:t>
            </w:r>
          </w:p>
        </w:tc>
      </w:tr>
      <w:tr w14:paraId="0FB7246A" w14:textId="77777777" w:rsidTr="00016F92">
        <w:tblPrEx>
          <w:tblW w:w="0" w:type="auto"/>
          <w:tblInd w:w="1098" w:type="dxa"/>
          <w:tblLook w:val="0000"/>
        </w:tblPrEx>
        <w:tc>
          <w:tcPr>
            <w:tcW w:w="5040" w:type="dxa"/>
            <w:vAlign w:val="bottom"/>
          </w:tcPr>
          <w:p w:rsidR="00016F92" w:rsidRPr="00C71224" w:rsidP="00016F92" w14:paraId="59E078C4" w14:textId="77777777">
            <w:pPr>
              <w:jc w:val="right"/>
              <w:rPr>
                <w:rFonts w:ascii="Arial" w:hAnsi="Arial" w:cs="Arial"/>
                <w:b/>
                <w:bCs/>
                <w:sz w:val="24"/>
                <w:szCs w:val="24"/>
              </w:rPr>
            </w:pPr>
            <w:r w:rsidRPr="00C71224">
              <w:rPr>
                <w:rFonts w:ascii="Arial" w:hAnsi="Arial" w:cs="Arial"/>
                <w:b/>
                <w:bCs/>
                <w:sz w:val="24"/>
                <w:szCs w:val="24"/>
              </w:rPr>
              <w:t>Total estimated annualized costs</w:t>
            </w:r>
          </w:p>
        </w:tc>
        <w:tc>
          <w:tcPr>
            <w:tcW w:w="1980" w:type="dxa"/>
            <w:vAlign w:val="bottom"/>
          </w:tcPr>
          <w:p w:rsidR="00016F92" w:rsidRPr="00C71224" w:rsidP="004F797F" w14:paraId="1385D132" w14:textId="6F510AF7">
            <w:pPr>
              <w:jc w:val="right"/>
              <w:rPr>
                <w:rFonts w:ascii="Arial" w:hAnsi="Arial" w:cs="Arial"/>
                <w:b/>
                <w:bCs/>
                <w:sz w:val="24"/>
                <w:szCs w:val="24"/>
              </w:rPr>
            </w:pPr>
            <w:r>
              <w:rPr>
                <w:rFonts w:ascii="Arial" w:hAnsi="Arial" w:cs="Arial"/>
                <w:color w:val="000000"/>
                <w:sz w:val="24"/>
                <w:szCs w:val="24"/>
              </w:rPr>
              <w:t>$</w:t>
            </w:r>
            <w:r w:rsidR="00553DE7">
              <w:rPr>
                <w:rFonts w:ascii="Arial" w:hAnsi="Arial" w:cs="Arial"/>
                <w:color w:val="000000"/>
                <w:sz w:val="24"/>
                <w:szCs w:val="24"/>
              </w:rPr>
              <w:t>8</w:t>
            </w:r>
            <w:r w:rsidR="00780324">
              <w:rPr>
                <w:rFonts w:ascii="Arial" w:hAnsi="Arial" w:cs="Arial"/>
                <w:color w:val="000000"/>
                <w:sz w:val="24"/>
                <w:szCs w:val="24"/>
              </w:rPr>
              <w:t>6</w:t>
            </w:r>
            <w:r w:rsidR="00553DE7">
              <w:rPr>
                <w:rFonts w:ascii="Arial" w:hAnsi="Arial" w:cs="Arial"/>
                <w:color w:val="000000"/>
                <w:sz w:val="24"/>
                <w:szCs w:val="24"/>
              </w:rPr>
              <w:t>,</w:t>
            </w:r>
            <w:r w:rsidR="00780324">
              <w:rPr>
                <w:rFonts w:ascii="Arial" w:hAnsi="Arial" w:cs="Arial"/>
                <w:color w:val="000000"/>
                <w:sz w:val="24"/>
                <w:szCs w:val="24"/>
              </w:rPr>
              <w:t>230</w:t>
            </w:r>
          </w:p>
        </w:tc>
      </w:tr>
    </w:tbl>
    <w:p w:rsidR="00881B30" w:rsidRPr="00C71224" w14:paraId="7FFCA14A" w14:textId="77777777">
      <w:pPr>
        <w:pStyle w:val="PlainText"/>
        <w:rPr>
          <w:rFonts w:ascii="Times New Roman" w:hAnsi="Times New Roman"/>
          <w:sz w:val="24"/>
          <w:szCs w:val="24"/>
        </w:rPr>
      </w:pPr>
    </w:p>
    <w:p w:rsidR="00F7132E" w:rsidRPr="00960B55" w:rsidP="00F7132E" w14:paraId="19C48939" w14:textId="77777777">
      <w:pPr>
        <w:shd w:val="clear" w:color="auto" w:fill="FFFFFF"/>
        <w:rPr>
          <w:rFonts w:ascii="Arial" w:hAnsi="Arial" w:cs="Arial"/>
          <w:b/>
          <w:sz w:val="24"/>
          <w:szCs w:val="24"/>
        </w:rPr>
      </w:pPr>
      <w:r w:rsidRPr="00960B55">
        <w:rPr>
          <w:rFonts w:ascii="Arial" w:hAnsi="Arial" w:cs="Arial"/>
          <w:b/>
          <w:bCs/>
          <w:sz w:val="24"/>
          <w:szCs w:val="24"/>
        </w:rPr>
        <w:t>13. Provide an estimate for the total annual cost burden to respondents or record keepers resulting from the collection of information.</w:t>
      </w:r>
    </w:p>
    <w:p w:rsidR="00881B30" w:rsidRPr="002F3DE8" w:rsidP="00F7132E" w14:paraId="23D11491" w14:textId="7775DEF4">
      <w:pPr>
        <w:rPr>
          <w:rFonts w:ascii="Arial" w:hAnsi="Arial" w:cs="Arial"/>
          <w:sz w:val="24"/>
          <w:szCs w:val="24"/>
        </w:rPr>
      </w:pPr>
      <w:r w:rsidRPr="00960B55">
        <w:rPr>
          <w:rFonts w:ascii="Arial" w:hAnsi="Arial" w:cs="Arial"/>
          <w:b/>
          <w:color w:val="555555"/>
          <w:sz w:val="24"/>
          <w:szCs w:val="24"/>
        </w:rPr>
        <w:br/>
      </w:r>
      <w:r w:rsidRPr="002F3DE8">
        <w:rPr>
          <w:rFonts w:ascii="Arial" w:hAnsi="Arial" w:cs="Arial"/>
          <w:sz w:val="24"/>
          <w:szCs w:val="24"/>
        </w:rPr>
        <w:t>There is no additional c</w:t>
      </w:r>
      <w:r w:rsidR="00FC3969">
        <w:rPr>
          <w:rFonts w:ascii="Arial" w:hAnsi="Arial" w:cs="Arial"/>
          <w:sz w:val="24"/>
          <w:szCs w:val="24"/>
        </w:rPr>
        <w:t>ost than that shown in item 12.</w:t>
      </w:r>
    </w:p>
    <w:p w:rsidR="00881B30" w:rsidRPr="00C71224" w14:paraId="270ED5BF" w14:textId="77777777">
      <w:pPr>
        <w:pStyle w:val="PlainText"/>
        <w:rPr>
          <w:rFonts w:ascii="Times New Roman" w:hAnsi="Times New Roman"/>
          <w:sz w:val="24"/>
          <w:szCs w:val="24"/>
        </w:rPr>
      </w:pPr>
    </w:p>
    <w:p w:rsidR="00F7132E" w:rsidRPr="00F7132E" w:rsidP="00F7132E" w14:paraId="7F2AB668" w14:textId="77777777">
      <w:pPr>
        <w:shd w:val="clear" w:color="auto" w:fill="FFFFFF"/>
        <w:rPr>
          <w:rFonts w:ascii="Arial" w:hAnsi="Arial" w:cs="Arial"/>
          <w:sz w:val="24"/>
          <w:szCs w:val="24"/>
        </w:rPr>
      </w:pPr>
      <w:r w:rsidRPr="00F7132E">
        <w:rPr>
          <w:rFonts w:ascii="Arial"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1B30" w:rsidRPr="00727547" w:rsidP="00727547" w14:paraId="24A4B290" w14:textId="77777777">
      <w:pPr>
        <w:rPr>
          <w:rFonts w:ascii="Arial" w:hAnsi="Arial" w:cs="Arial"/>
          <w:sz w:val="24"/>
          <w:szCs w:val="24"/>
        </w:rPr>
      </w:pPr>
      <w:r w:rsidRPr="00727547">
        <w:rPr>
          <w:rFonts w:ascii="Arial" w:hAnsi="Arial" w:cs="Arial"/>
          <w:sz w:val="24"/>
          <w:szCs w:val="24"/>
        </w:rPr>
        <w:br/>
      </w:r>
      <w:r w:rsidRPr="00727547">
        <w:rPr>
          <w:rFonts w:ascii="Arial" w:hAnsi="Arial" w:cs="Arial"/>
          <w:sz w:val="24"/>
          <w:szCs w:val="24"/>
        </w:rPr>
        <w:t>The cost to the government for processing the financial information is driven by procedures involving</w:t>
      </w:r>
      <w:r w:rsidRPr="00727547" w:rsidR="00204676">
        <w:rPr>
          <w:rFonts w:ascii="Arial" w:hAnsi="Arial" w:cs="Arial"/>
          <w:sz w:val="24"/>
          <w:szCs w:val="24"/>
        </w:rPr>
        <w:t xml:space="preserve"> </w:t>
      </w:r>
      <w:r w:rsidRPr="00727547">
        <w:rPr>
          <w:rFonts w:ascii="Arial" w:hAnsi="Arial" w:cs="Arial"/>
          <w:sz w:val="24"/>
          <w:szCs w:val="24"/>
        </w:rPr>
        <w:t>review and analysis of the information contained in the application. The cost per first launch license</w:t>
      </w:r>
      <w:r w:rsidRPr="00727547" w:rsidR="00204676">
        <w:rPr>
          <w:rFonts w:ascii="Arial" w:hAnsi="Arial" w:cs="Arial"/>
          <w:sz w:val="24"/>
          <w:szCs w:val="24"/>
        </w:rPr>
        <w:t xml:space="preserve"> </w:t>
      </w:r>
      <w:r w:rsidRPr="00727547">
        <w:rPr>
          <w:rFonts w:ascii="Arial" w:hAnsi="Arial" w:cs="Arial"/>
          <w:sz w:val="24"/>
          <w:szCs w:val="24"/>
        </w:rPr>
        <w:t xml:space="preserve">includes additional costs related to data collection associated with the determination of </w:t>
      </w:r>
      <w:r w:rsidRPr="00727547" w:rsidR="00202EE5">
        <w:rPr>
          <w:rFonts w:ascii="Arial" w:hAnsi="Arial" w:cs="Arial"/>
          <w:sz w:val="24"/>
          <w:szCs w:val="24"/>
        </w:rPr>
        <w:t>maximum probable</w:t>
      </w:r>
      <w:r w:rsidRPr="00727547">
        <w:rPr>
          <w:rFonts w:ascii="Arial" w:hAnsi="Arial" w:cs="Arial"/>
          <w:sz w:val="24"/>
          <w:szCs w:val="24"/>
        </w:rPr>
        <w:t xml:space="preserve"> loss, as well as the verification an</w:t>
      </w:r>
      <w:r w:rsidR="00FC3969">
        <w:rPr>
          <w:rFonts w:ascii="Arial" w:hAnsi="Arial" w:cs="Arial"/>
          <w:sz w:val="24"/>
          <w:szCs w:val="24"/>
        </w:rPr>
        <w:t>d maintenance of cross waivers.</w:t>
      </w:r>
    </w:p>
    <w:p w:rsidR="00881B30" w:rsidRPr="00727547" w:rsidP="00727547" w14:paraId="5D62FEAD" w14:textId="77777777">
      <w:pPr>
        <w:pStyle w:val="BodyTextIndent3"/>
        <w:ind w:left="0"/>
        <w:rPr>
          <w:rFonts w:ascii="Arial" w:hAnsi="Arial" w:cs="Arial"/>
          <w:sz w:val="24"/>
          <w:szCs w:val="24"/>
        </w:rPr>
      </w:pPr>
    </w:p>
    <w:p w:rsidR="00727547" w:rsidRPr="00727547" w:rsidP="00727547" w14:paraId="39D10DD0" w14:textId="3F266037">
      <w:pPr>
        <w:rPr>
          <w:rFonts w:ascii="Calibri" w:hAnsi="Calibri" w:cs="Calibri"/>
          <w:color w:val="000000"/>
          <w:szCs w:val="22"/>
        </w:rPr>
      </w:pPr>
      <w:r w:rsidRPr="00727547">
        <w:rPr>
          <w:rFonts w:ascii="Arial" w:hAnsi="Arial" w:cs="Arial"/>
          <w:sz w:val="24"/>
          <w:szCs w:val="24"/>
        </w:rPr>
        <w:t xml:space="preserve">Based on the </w:t>
      </w:r>
      <w:r w:rsidRPr="00727547" w:rsidR="00F06709">
        <w:rPr>
          <w:rFonts w:ascii="Arial" w:hAnsi="Arial" w:cs="Arial"/>
          <w:sz w:val="24"/>
          <w:szCs w:val="24"/>
        </w:rPr>
        <w:t>20</w:t>
      </w:r>
      <w:r w:rsidR="002F652A">
        <w:rPr>
          <w:rFonts w:ascii="Arial" w:hAnsi="Arial" w:cs="Arial"/>
          <w:sz w:val="24"/>
          <w:szCs w:val="24"/>
        </w:rPr>
        <w:t>2</w:t>
      </w:r>
      <w:r w:rsidR="00553DE7">
        <w:rPr>
          <w:rFonts w:ascii="Arial" w:hAnsi="Arial" w:cs="Arial"/>
          <w:sz w:val="24"/>
          <w:szCs w:val="24"/>
        </w:rPr>
        <w:t>5</w:t>
      </w:r>
      <w:r w:rsidRPr="00727547" w:rsidR="00F06709">
        <w:rPr>
          <w:rFonts w:ascii="Arial" w:hAnsi="Arial" w:cs="Arial"/>
          <w:sz w:val="24"/>
          <w:szCs w:val="24"/>
        </w:rPr>
        <w:t xml:space="preserve"> GS 13 Step 5 wage</w:t>
      </w:r>
      <w:r w:rsidR="00C057D2">
        <w:rPr>
          <w:rFonts w:ascii="Arial" w:hAnsi="Arial" w:cs="Arial"/>
          <w:sz w:val="24"/>
          <w:szCs w:val="24"/>
        </w:rPr>
        <w:t>,</w:t>
      </w:r>
      <w:r>
        <w:rPr>
          <w:rStyle w:val="FootnoteReference"/>
          <w:rFonts w:ascii="Arial" w:hAnsi="Arial" w:cs="Arial"/>
          <w:color w:val="000000"/>
          <w:sz w:val="24"/>
          <w:szCs w:val="24"/>
        </w:rPr>
        <w:footnoteReference w:id="4"/>
      </w:r>
      <w:r w:rsidRPr="00727547">
        <w:rPr>
          <w:rFonts w:ascii="Arial" w:hAnsi="Arial" w:cs="Arial"/>
          <w:sz w:val="24"/>
          <w:szCs w:val="24"/>
        </w:rPr>
        <w:t xml:space="preserve"> the annua</w:t>
      </w:r>
      <w:r w:rsidRPr="00727547" w:rsidR="00016F92">
        <w:rPr>
          <w:rFonts w:ascii="Arial" w:hAnsi="Arial" w:cs="Arial"/>
          <w:sz w:val="24"/>
          <w:szCs w:val="24"/>
        </w:rPr>
        <w:t>l cost per federal worker is $</w:t>
      </w:r>
      <w:r w:rsidRPr="00727547" w:rsidR="00F06709">
        <w:rPr>
          <w:rFonts w:ascii="Arial" w:hAnsi="Arial" w:cs="Arial"/>
          <w:sz w:val="24"/>
          <w:szCs w:val="24"/>
        </w:rPr>
        <w:t>1</w:t>
      </w:r>
      <w:r w:rsidR="001079EC">
        <w:rPr>
          <w:rFonts w:ascii="Arial" w:hAnsi="Arial" w:cs="Arial"/>
          <w:sz w:val="24"/>
          <w:szCs w:val="24"/>
        </w:rPr>
        <w:t>36,658</w:t>
      </w:r>
      <w:r w:rsidRPr="00727547">
        <w:rPr>
          <w:rFonts w:ascii="Arial" w:hAnsi="Arial" w:cs="Arial"/>
          <w:sz w:val="24"/>
          <w:szCs w:val="24"/>
        </w:rPr>
        <w:t>. The government hourly rate ($</w:t>
      </w:r>
      <w:r w:rsidR="001079EC">
        <w:rPr>
          <w:rFonts w:ascii="Arial" w:hAnsi="Arial" w:cs="Arial"/>
          <w:sz w:val="24"/>
          <w:szCs w:val="24"/>
        </w:rPr>
        <w:t>65.70</w:t>
      </w:r>
      <w:r w:rsidRPr="00727547">
        <w:rPr>
          <w:rFonts w:ascii="Arial" w:hAnsi="Arial" w:cs="Arial"/>
          <w:sz w:val="24"/>
          <w:szCs w:val="24"/>
        </w:rPr>
        <w:t xml:space="preserve">) is calculated by dividing the annual salary by the total yearly government working hours (2,080) per worker. </w:t>
      </w:r>
      <w:r w:rsidRPr="00727547">
        <w:rPr>
          <w:rFonts w:ascii="Arial" w:hAnsi="Arial" w:cs="Arial"/>
          <w:sz w:val="24"/>
          <w:szCs w:val="24"/>
        </w:rPr>
        <w:t xml:space="preserve">We multiplied the hourly wage rate </w:t>
      </w:r>
      <w:r w:rsidR="002F652A">
        <w:rPr>
          <w:rFonts w:ascii="Arial" w:hAnsi="Arial" w:cs="Arial"/>
          <w:sz w:val="24"/>
          <w:szCs w:val="24"/>
        </w:rPr>
        <w:t xml:space="preserve">to </w:t>
      </w:r>
      <w:r w:rsidRPr="00727547">
        <w:rPr>
          <w:rFonts w:ascii="Arial" w:hAnsi="Arial" w:cs="Arial"/>
          <w:sz w:val="24"/>
          <w:szCs w:val="24"/>
        </w:rPr>
        <w:t xml:space="preserve">account for a fringe benefits rate of </w:t>
      </w:r>
      <w:r w:rsidR="002F652A">
        <w:rPr>
          <w:rFonts w:ascii="Arial" w:hAnsi="Arial" w:cs="Arial"/>
          <w:sz w:val="24"/>
          <w:szCs w:val="24"/>
        </w:rPr>
        <w:t>3</w:t>
      </w:r>
      <w:r w:rsidR="00A443C3">
        <w:rPr>
          <w:rFonts w:ascii="Arial" w:hAnsi="Arial" w:cs="Arial"/>
          <w:sz w:val="24"/>
          <w:szCs w:val="24"/>
        </w:rPr>
        <w:t>8</w:t>
      </w:r>
      <w:r w:rsidR="002F652A">
        <w:rPr>
          <w:rFonts w:ascii="Arial" w:hAnsi="Arial" w:cs="Arial"/>
          <w:sz w:val="24"/>
          <w:szCs w:val="24"/>
        </w:rPr>
        <w:t>.</w:t>
      </w:r>
      <w:r w:rsidR="00A443C3">
        <w:rPr>
          <w:rFonts w:ascii="Arial" w:hAnsi="Arial" w:cs="Arial"/>
          <w:sz w:val="24"/>
          <w:szCs w:val="24"/>
        </w:rPr>
        <w:t>1</w:t>
      </w:r>
      <w:r w:rsidRPr="00727547">
        <w:rPr>
          <w:rFonts w:ascii="Arial" w:hAnsi="Arial" w:cs="Arial"/>
          <w:sz w:val="24"/>
          <w:szCs w:val="24"/>
        </w:rPr>
        <w:t xml:space="preserve"> percent</w:t>
      </w:r>
      <w:r w:rsidR="00C057D2">
        <w:rPr>
          <w:rFonts w:ascii="Arial" w:hAnsi="Arial" w:cs="Arial"/>
          <w:sz w:val="24"/>
          <w:szCs w:val="24"/>
        </w:rPr>
        <w:t>,</w:t>
      </w:r>
      <w:r>
        <w:rPr>
          <w:rStyle w:val="FootnoteReference"/>
          <w:rFonts w:ascii="Arial" w:hAnsi="Arial" w:cs="Arial"/>
          <w:sz w:val="24"/>
          <w:szCs w:val="24"/>
        </w:rPr>
        <w:footnoteReference w:id="5"/>
      </w:r>
      <w:r w:rsidRPr="00727547">
        <w:rPr>
          <w:rFonts w:ascii="Arial" w:hAnsi="Arial" w:cs="Arial"/>
          <w:sz w:val="24"/>
          <w:szCs w:val="24"/>
        </w:rPr>
        <w:t xml:space="preserve"> </w:t>
      </w:r>
      <w:r w:rsidR="00C057D2">
        <w:rPr>
          <w:rFonts w:ascii="Arial" w:hAnsi="Arial" w:cs="Arial"/>
          <w:sz w:val="24"/>
          <w:szCs w:val="24"/>
        </w:rPr>
        <w:t>r</w:t>
      </w:r>
      <w:r>
        <w:rPr>
          <w:rFonts w:ascii="Arial" w:hAnsi="Arial" w:cs="Arial"/>
          <w:sz w:val="24"/>
          <w:szCs w:val="24"/>
        </w:rPr>
        <w:t>esulting in a fully loaded hour rate of $</w:t>
      </w:r>
      <w:r w:rsidR="001079EC">
        <w:rPr>
          <w:rFonts w:ascii="Arial" w:hAnsi="Arial" w:cs="Arial"/>
          <w:color w:val="000000"/>
          <w:sz w:val="24"/>
          <w:szCs w:val="24"/>
        </w:rPr>
        <w:t>90.73</w:t>
      </w:r>
      <w:r>
        <w:rPr>
          <w:rFonts w:ascii="Arial" w:hAnsi="Arial" w:cs="Arial"/>
          <w:color w:val="000000"/>
          <w:sz w:val="24"/>
          <w:szCs w:val="24"/>
        </w:rPr>
        <w:t>.</w:t>
      </w:r>
    </w:p>
    <w:p w:rsidR="00881B30" w:rsidRPr="002F3DE8" w:rsidP="001C2BE9" w14:paraId="240BABAC" w14:textId="77777777">
      <w:pPr>
        <w:pStyle w:val="BodyTextIndent3"/>
        <w:ind w:left="0"/>
        <w:rPr>
          <w:rFonts w:ascii="Arial" w:hAnsi="Arial" w:cs="Arial"/>
          <w:sz w:val="24"/>
          <w:szCs w:val="24"/>
        </w:rPr>
      </w:pPr>
    </w:p>
    <w:p w:rsidR="00881B30" w:rsidRPr="002F3DE8" w:rsidP="001C2BE9" w14:paraId="6EC5A76B" w14:textId="10FE650D">
      <w:pPr>
        <w:rPr>
          <w:rFonts w:ascii="Arial" w:hAnsi="Arial" w:cs="Arial"/>
          <w:sz w:val="24"/>
          <w:szCs w:val="24"/>
        </w:rPr>
      </w:pPr>
      <w:r w:rsidRPr="002F3DE8">
        <w:rPr>
          <w:rFonts w:ascii="Arial" w:hAnsi="Arial" w:cs="Arial"/>
          <w:sz w:val="24"/>
          <w:szCs w:val="24"/>
        </w:rPr>
        <w:t>The estimated cost to process the collected information is calculated by multiplying the average hourly wage rate ($</w:t>
      </w:r>
      <w:r w:rsidR="001079EC">
        <w:rPr>
          <w:rFonts w:ascii="Arial" w:hAnsi="Arial" w:cs="Arial"/>
          <w:color w:val="000000"/>
          <w:sz w:val="24"/>
          <w:szCs w:val="24"/>
        </w:rPr>
        <w:t>90.73</w:t>
      </w:r>
      <w:r w:rsidRPr="002F3DE8">
        <w:rPr>
          <w:rFonts w:ascii="Arial" w:hAnsi="Arial" w:cs="Arial"/>
          <w:sz w:val="24"/>
          <w:szCs w:val="24"/>
        </w:rPr>
        <w:t>) by the estimated total hours (</w:t>
      </w:r>
      <w:r w:rsidR="00312CE0">
        <w:rPr>
          <w:rFonts w:ascii="Arial" w:hAnsi="Arial" w:cs="Arial"/>
          <w:sz w:val="24"/>
          <w:szCs w:val="24"/>
        </w:rPr>
        <w:t>1</w:t>
      </w:r>
      <w:r w:rsidR="00C057D2">
        <w:rPr>
          <w:rFonts w:ascii="Arial" w:hAnsi="Arial" w:cs="Arial"/>
          <w:sz w:val="24"/>
          <w:szCs w:val="24"/>
        </w:rPr>
        <w:t>,</w:t>
      </w:r>
      <w:r w:rsidR="00312CE0">
        <w:rPr>
          <w:rFonts w:ascii="Arial" w:hAnsi="Arial" w:cs="Arial"/>
          <w:sz w:val="24"/>
          <w:szCs w:val="24"/>
        </w:rPr>
        <w:t>60</w:t>
      </w:r>
      <w:r w:rsidRPr="002F3DE8" w:rsidR="00312CE0">
        <w:rPr>
          <w:rFonts w:ascii="Arial" w:hAnsi="Arial" w:cs="Arial"/>
          <w:sz w:val="24"/>
          <w:szCs w:val="24"/>
        </w:rPr>
        <w:t>0</w:t>
      </w:r>
      <w:r w:rsidRPr="002F3DE8">
        <w:rPr>
          <w:rFonts w:ascii="Arial" w:hAnsi="Arial" w:cs="Arial"/>
          <w:sz w:val="24"/>
          <w:szCs w:val="24"/>
        </w:rPr>
        <w:t>). The total annual government hours to process the collected information (</w:t>
      </w:r>
      <w:r w:rsidR="00312CE0">
        <w:rPr>
          <w:rFonts w:ascii="Arial" w:hAnsi="Arial" w:cs="Arial"/>
          <w:sz w:val="24"/>
          <w:szCs w:val="24"/>
        </w:rPr>
        <w:t>1</w:t>
      </w:r>
      <w:r w:rsidR="00C057D2">
        <w:rPr>
          <w:rFonts w:ascii="Arial" w:hAnsi="Arial" w:cs="Arial"/>
          <w:sz w:val="24"/>
          <w:szCs w:val="24"/>
        </w:rPr>
        <w:t>,</w:t>
      </w:r>
      <w:r w:rsidRPr="002F3DE8" w:rsidR="00F5410B">
        <w:rPr>
          <w:rFonts w:ascii="Arial" w:hAnsi="Arial" w:cs="Arial"/>
          <w:sz w:val="24"/>
          <w:szCs w:val="24"/>
        </w:rPr>
        <w:t>6</w:t>
      </w:r>
      <w:r w:rsidR="00312CE0">
        <w:rPr>
          <w:rFonts w:ascii="Arial" w:hAnsi="Arial" w:cs="Arial"/>
          <w:sz w:val="24"/>
          <w:szCs w:val="24"/>
        </w:rPr>
        <w:t>0</w:t>
      </w:r>
      <w:r w:rsidRPr="002F3DE8" w:rsidR="00F5410B">
        <w:rPr>
          <w:rFonts w:ascii="Arial" w:hAnsi="Arial" w:cs="Arial"/>
          <w:sz w:val="24"/>
          <w:szCs w:val="24"/>
        </w:rPr>
        <w:t>0</w:t>
      </w:r>
      <w:r w:rsidRPr="002F3DE8">
        <w:rPr>
          <w:rFonts w:ascii="Arial" w:hAnsi="Arial" w:cs="Arial"/>
          <w:sz w:val="24"/>
          <w:szCs w:val="24"/>
        </w:rPr>
        <w:t>) are calculated by multiplying government hours required to process each application (</w:t>
      </w:r>
      <w:r w:rsidRPr="002F3DE8" w:rsidR="00F5410B">
        <w:rPr>
          <w:rFonts w:ascii="Arial" w:hAnsi="Arial" w:cs="Arial"/>
          <w:sz w:val="24"/>
          <w:szCs w:val="24"/>
        </w:rPr>
        <w:t>160</w:t>
      </w:r>
      <w:r w:rsidRPr="002F3DE8">
        <w:rPr>
          <w:rFonts w:ascii="Arial" w:hAnsi="Arial" w:cs="Arial"/>
          <w:sz w:val="24"/>
          <w:szCs w:val="24"/>
        </w:rPr>
        <w:t>) by the total number of new applications (</w:t>
      </w:r>
      <w:r w:rsidR="00312CE0">
        <w:rPr>
          <w:rFonts w:ascii="Arial" w:hAnsi="Arial" w:cs="Arial"/>
          <w:sz w:val="24"/>
          <w:szCs w:val="24"/>
        </w:rPr>
        <w:t>10</w:t>
      </w:r>
      <w:r w:rsidRPr="002F3DE8">
        <w:rPr>
          <w:rFonts w:ascii="Arial" w:hAnsi="Arial" w:cs="Arial"/>
          <w:sz w:val="24"/>
          <w:szCs w:val="24"/>
        </w:rPr>
        <w:t>). The total estimated annualized costs ($</w:t>
      </w:r>
      <w:r w:rsidR="001079EC">
        <w:rPr>
          <w:rFonts w:ascii="Arial" w:hAnsi="Arial" w:cs="Arial"/>
          <w:color w:val="000000"/>
          <w:sz w:val="24"/>
          <w:szCs w:val="22"/>
        </w:rPr>
        <w:t>145,168</w:t>
      </w:r>
      <w:r w:rsidRPr="00F21E28">
        <w:rPr>
          <w:rFonts w:ascii="Arial" w:hAnsi="Arial" w:cs="Arial"/>
          <w:sz w:val="28"/>
          <w:szCs w:val="24"/>
        </w:rPr>
        <w:t>)</w:t>
      </w:r>
      <w:r w:rsidRPr="002F3DE8">
        <w:rPr>
          <w:rFonts w:ascii="Arial" w:hAnsi="Arial" w:cs="Arial"/>
          <w:sz w:val="24"/>
          <w:szCs w:val="24"/>
        </w:rPr>
        <w:t xml:space="preserve"> are calculated by multiplying the cost to the government per application ($</w:t>
      </w:r>
      <w:r w:rsidR="00912388">
        <w:rPr>
          <w:rFonts w:ascii="Arial" w:hAnsi="Arial" w:cs="Arial"/>
          <w:color w:val="000000"/>
          <w:sz w:val="24"/>
          <w:szCs w:val="22"/>
        </w:rPr>
        <w:t>1</w:t>
      </w:r>
      <w:r w:rsidR="001079EC">
        <w:rPr>
          <w:rFonts w:ascii="Arial" w:hAnsi="Arial" w:cs="Arial"/>
          <w:color w:val="000000"/>
          <w:sz w:val="24"/>
          <w:szCs w:val="22"/>
        </w:rPr>
        <w:t>45</w:t>
      </w:r>
      <w:r w:rsidR="00912388">
        <w:rPr>
          <w:rFonts w:ascii="Arial" w:hAnsi="Arial" w:cs="Arial"/>
          <w:color w:val="000000"/>
          <w:sz w:val="24"/>
          <w:szCs w:val="22"/>
        </w:rPr>
        <w:t>,1</w:t>
      </w:r>
      <w:r w:rsidR="001079EC">
        <w:rPr>
          <w:rFonts w:ascii="Arial" w:hAnsi="Arial" w:cs="Arial"/>
          <w:color w:val="000000"/>
          <w:sz w:val="24"/>
          <w:szCs w:val="22"/>
        </w:rPr>
        <w:t>68</w:t>
      </w:r>
      <w:r w:rsidRPr="002F3DE8">
        <w:rPr>
          <w:rFonts w:ascii="Arial" w:hAnsi="Arial" w:cs="Arial"/>
          <w:sz w:val="24"/>
          <w:szCs w:val="24"/>
        </w:rPr>
        <w:t>) by the total annual applications (</w:t>
      </w:r>
      <w:r w:rsidR="00312CE0">
        <w:rPr>
          <w:rFonts w:ascii="Arial" w:hAnsi="Arial" w:cs="Arial"/>
          <w:sz w:val="24"/>
          <w:szCs w:val="24"/>
        </w:rPr>
        <w:t>10</w:t>
      </w:r>
      <w:r w:rsidRPr="002F3DE8">
        <w:rPr>
          <w:rFonts w:ascii="Arial" w:hAnsi="Arial" w:cs="Arial"/>
          <w:sz w:val="24"/>
          <w:szCs w:val="24"/>
        </w:rPr>
        <w:t>).</w:t>
      </w:r>
    </w:p>
    <w:p w:rsidR="00881B30" w:rsidRPr="002F3DE8" w:rsidP="001C2BE9" w14:paraId="2FB4AE15" w14:textId="77777777">
      <w:pPr>
        <w:pStyle w:val="PlainText"/>
        <w:rPr>
          <w:rFonts w:ascii="Arial" w:hAnsi="Arial" w:cs="Arial"/>
          <w:sz w:val="24"/>
          <w:szCs w:val="24"/>
        </w:rPr>
      </w:pPr>
    </w:p>
    <w:p w:rsidR="00881B30" w:rsidRPr="002F3DE8" w:rsidP="001C2BE9" w14:paraId="418718FF" w14:textId="77777777">
      <w:pPr>
        <w:rPr>
          <w:rFonts w:ascii="Arial" w:hAnsi="Arial" w:cs="Arial"/>
          <w:sz w:val="24"/>
          <w:szCs w:val="24"/>
        </w:rPr>
      </w:pPr>
      <w:r w:rsidRPr="002F3DE8">
        <w:rPr>
          <w:rFonts w:ascii="Arial" w:hAnsi="Arial" w:cs="Arial"/>
          <w:sz w:val="24"/>
          <w:szCs w:val="24"/>
        </w:rPr>
        <w:t>Burden estimates for the government are based on those hours required for facilitating pre-application consultation; license application acceptance and review procedures; disposition of a license (i.e., approved or disapproved); and issuance of the license. The government estimates include environmental personnel.</w:t>
      </w:r>
      <w:r w:rsidRPr="002F3DE8" w:rsidR="00AC333F">
        <w:rPr>
          <w:rFonts w:ascii="Arial" w:hAnsi="Arial" w:cs="Arial"/>
          <w:sz w:val="24"/>
          <w:szCs w:val="24"/>
        </w:rPr>
        <w:t xml:space="preserve"> </w:t>
      </w:r>
    </w:p>
    <w:p w:rsidR="00881B30" w:rsidRPr="00C71224" w14:paraId="76D6BF68" w14:textId="77777777">
      <w:pPr>
        <w:pStyle w:val="PlainText"/>
        <w:ind w:left="1440"/>
        <w:rPr>
          <w:rFonts w:ascii="Times New Roman" w:hAnsi="Times New Roman"/>
          <w:sz w:val="24"/>
          <w:szCs w:val="24"/>
        </w:rPr>
      </w:pPr>
    </w:p>
    <w:p w:rsidR="00881B30" w:rsidRPr="00C71224" w14:paraId="2779F1A4" w14:textId="77777777">
      <w:pPr>
        <w:ind w:left="1008"/>
        <w:rPr>
          <w:sz w:val="24"/>
          <w:szCs w:val="24"/>
        </w:rPr>
      </w:pPr>
      <w:r w:rsidRPr="00C71224">
        <w:rPr>
          <w:b/>
          <w:bCs/>
          <w:sz w:val="24"/>
          <w:szCs w:val="24"/>
        </w:rPr>
        <w:t>Table 2: Estimated Burden Hours and Annual Costs to Government for Verifying Financial Responsibility Requirements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1980"/>
      </w:tblGrid>
      <w:tr w14:paraId="18D7AE8B" w14:textId="77777777" w:rsidTr="00016F92">
        <w:tblPrEx>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40" w:type="dxa"/>
            <w:vAlign w:val="bottom"/>
          </w:tcPr>
          <w:p w:rsidR="00016F92" w:rsidRPr="00C71224" w:rsidP="00016F92" w14:paraId="0C37F9F9" w14:textId="77777777">
            <w:pPr>
              <w:rPr>
                <w:rFonts w:ascii="Arial" w:hAnsi="Arial" w:cs="Arial"/>
                <w:sz w:val="24"/>
                <w:szCs w:val="24"/>
              </w:rPr>
            </w:pPr>
            <w:r w:rsidRPr="00C71224">
              <w:rPr>
                <w:rFonts w:ascii="Arial" w:hAnsi="Arial" w:cs="Arial"/>
                <w:sz w:val="24"/>
                <w:szCs w:val="24"/>
              </w:rPr>
              <w:t>Annual number of applicants</w:t>
            </w:r>
          </w:p>
        </w:tc>
        <w:tc>
          <w:tcPr>
            <w:tcW w:w="1980" w:type="dxa"/>
            <w:vAlign w:val="bottom"/>
          </w:tcPr>
          <w:p w:rsidR="00016F92" w:rsidRPr="00C71224" w:rsidP="00016F92" w14:paraId="5A7D6D51" w14:textId="77777777">
            <w:pPr>
              <w:jc w:val="right"/>
              <w:rPr>
                <w:rFonts w:ascii="Arial" w:hAnsi="Arial" w:cs="Arial"/>
                <w:sz w:val="24"/>
                <w:szCs w:val="24"/>
              </w:rPr>
            </w:pPr>
            <w:r>
              <w:rPr>
                <w:rFonts w:ascii="Arial" w:hAnsi="Arial" w:cs="Arial"/>
                <w:sz w:val="24"/>
                <w:szCs w:val="24"/>
              </w:rPr>
              <w:t>10</w:t>
            </w:r>
          </w:p>
        </w:tc>
      </w:tr>
      <w:tr w14:paraId="7669CC9F" w14:textId="77777777" w:rsidTr="00016F92">
        <w:tblPrEx>
          <w:tblW w:w="0" w:type="auto"/>
          <w:tblInd w:w="1098" w:type="dxa"/>
          <w:tblLook w:val="0000"/>
        </w:tblPrEx>
        <w:tc>
          <w:tcPr>
            <w:tcW w:w="5040" w:type="dxa"/>
            <w:vAlign w:val="bottom"/>
          </w:tcPr>
          <w:p w:rsidR="00016F92" w:rsidRPr="00C71224" w:rsidP="00016F92" w14:paraId="254FD67A" w14:textId="77777777">
            <w:pPr>
              <w:rPr>
                <w:rFonts w:ascii="Arial" w:hAnsi="Arial" w:cs="Arial"/>
                <w:sz w:val="24"/>
                <w:szCs w:val="24"/>
              </w:rPr>
            </w:pPr>
            <w:r w:rsidRPr="00C71224">
              <w:rPr>
                <w:rFonts w:ascii="Arial" w:hAnsi="Arial" w:cs="Arial"/>
                <w:sz w:val="24"/>
                <w:szCs w:val="24"/>
              </w:rPr>
              <w:t>Annual number of applications per applicant</w:t>
            </w:r>
          </w:p>
        </w:tc>
        <w:tc>
          <w:tcPr>
            <w:tcW w:w="1980" w:type="dxa"/>
            <w:vAlign w:val="bottom"/>
          </w:tcPr>
          <w:p w:rsidR="00016F92" w:rsidRPr="00C71224" w:rsidP="00016F92" w14:paraId="02E3C0D8" w14:textId="77777777">
            <w:pPr>
              <w:jc w:val="right"/>
              <w:rPr>
                <w:rFonts w:ascii="Arial" w:hAnsi="Arial" w:cs="Arial"/>
                <w:sz w:val="24"/>
                <w:szCs w:val="24"/>
              </w:rPr>
            </w:pPr>
            <w:r w:rsidRPr="00C71224">
              <w:rPr>
                <w:rFonts w:ascii="Arial" w:hAnsi="Arial" w:cs="Arial"/>
                <w:sz w:val="24"/>
                <w:szCs w:val="24"/>
              </w:rPr>
              <w:t>1</w:t>
            </w:r>
          </w:p>
        </w:tc>
      </w:tr>
      <w:tr w14:paraId="4E019F3A" w14:textId="77777777" w:rsidTr="00016F92">
        <w:tblPrEx>
          <w:tblW w:w="0" w:type="auto"/>
          <w:tblInd w:w="1098" w:type="dxa"/>
          <w:tblLook w:val="0000"/>
        </w:tblPrEx>
        <w:tc>
          <w:tcPr>
            <w:tcW w:w="5040" w:type="dxa"/>
            <w:vAlign w:val="bottom"/>
          </w:tcPr>
          <w:p w:rsidR="00016F92" w:rsidRPr="00C71224" w:rsidP="00016F92" w14:paraId="53DBEBC5" w14:textId="77777777">
            <w:pPr>
              <w:jc w:val="right"/>
              <w:rPr>
                <w:rFonts w:ascii="Arial" w:hAnsi="Arial" w:cs="Arial"/>
                <w:b/>
                <w:bCs/>
                <w:sz w:val="24"/>
                <w:szCs w:val="24"/>
              </w:rPr>
            </w:pPr>
            <w:r w:rsidRPr="00C71224">
              <w:rPr>
                <w:rFonts w:ascii="Arial" w:hAnsi="Arial" w:cs="Arial"/>
                <w:b/>
                <w:bCs/>
                <w:sz w:val="24"/>
                <w:szCs w:val="24"/>
              </w:rPr>
              <w:t>Total annual applications</w:t>
            </w:r>
          </w:p>
        </w:tc>
        <w:tc>
          <w:tcPr>
            <w:tcW w:w="1980" w:type="dxa"/>
            <w:vAlign w:val="bottom"/>
          </w:tcPr>
          <w:p w:rsidR="00016F92" w:rsidRPr="00C71224" w:rsidP="00016F92" w14:paraId="36F0C6A6" w14:textId="77777777">
            <w:pPr>
              <w:jc w:val="right"/>
              <w:rPr>
                <w:rFonts w:ascii="Arial" w:hAnsi="Arial" w:cs="Arial"/>
                <w:b/>
                <w:bCs/>
                <w:sz w:val="24"/>
                <w:szCs w:val="24"/>
              </w:rPr>
            </w:pPr>
            <w:r>
              <w:rPr>
                <w:rFonts w:ascii="Arial" w:hAnsi="Arial" w:cs="Arial"/>
                <w:b/>
                <w:bCs/>
                <w:sz w:val="24"/>
                <w:szCs w:val="24"/>
              </w:rPr>
              <w:t>10</w:t>
            </w:r>
          </w:p>
        </w:tc>
      </w:tr>
      <w:tr w14:paraId="71982431" w14:textId="77777777" w:rsidTr="00016F92">
        <w:tblPrEx>
          <w:tblW w:w="0" w:type="auto"/>
          <w:tblInd w:w="1098" w:type="dxa"/>
          <w:tblLook w:val="0000"/>
        </w:tblPrEx>
        <w:tc>
          <w:tcPr>
            <w:tcW w:w="5040" w:type="dxa"/>
            <w:vAlign w:val="bottom"/>
          </w:tcPr>
          <w:p w:rsidR="00016F92" w:rsidRPr="00C71224" w:rsidP="00016F92" w14:paraId="2F465481" w14:textId="77777777">
            <w:pPr>
              <w:rPr>
                <w:rFonts w:ascii="Arial" w:hAnsi="Arial" w:cs="Arial"/>
                <w:sz w:val="24"/>
                <w:szCs w:val="24"/>
              </w:rPr>
            </w:pPr>
            <w:r w:rsidRPr="00C71224">
              <w:rPr>
                <w:rFonts w:ascii="Arial" w:hAnsi="Arial" w:cs="Arial"/>
                <w:sz w:val="24"/>
                <w:szCs w:val="24"/>
              </w:rPr>
              <w:t>Government hours to process an application</w:t>
            </w:r>
          </w:p>
        </w:tc>
        <w:tc>
          <w:tcPr>
            <w:tcW w:w="1980" w:type="dxa"/>
            <w:vAlign w:val="bottom"/>
          </w:tcPr>
          <w:p w:rsidR="00016F92" w:rsidRPr="00C71224" w:rsidP="00016F92" w14:paraId="3824A9F0" w14:textId="77777777">
            <w:pPr>
              <w:jc w:val="right"/>
              <w:rPr>
                <w:rFonts w:ascii="Arial" w:hAnsi="Arial" w:cs="Arial"/>
                <w:sz w:val="24"/>
                <w:szCs w:val="24"/>
              </w:rPr>
            </w:pPr>
            <w:r w:rsidRPr="00C71224">
              <w:rPr>
                <w:rFonts w:ascii="Arial" w:hAnsi="Arial" w:cs="Arial"/>
                <w:sz w:val="24"/>
                <w:szCs w:val="24"/>
              </w:rPr>
              <w:t>160</w:t>
            </w:r>
          </w:p>
        </w:tc>
      </w:tr>
      <w:tr w14:paraId="432E318E" w14:textId="77777777" w:rsidTr="00016F92">
        <w:tblPrEx>
          <w:tblW w:w="0" w:type="auto"/>
          <w:tblInd w:w="1098" w:type="dxa"/>
          <w:tblLook w:val="0000"/>
        </w:tblPrEx>
        <w:tc>
          <w:tcPr>
            <w:tcW w:w="5040" w:type="dxa"/>
            <w:vAlign w:val="bottom"/>
          </w:tcPr>
          <w:p w:rsidR="00016F92" w:rsidRPr="00C71224" w:rsidP="00016F92" w14:paraId="74B15AFE" w14:textId="77777777">
            <w:pPr>
              <w:jc w:val="right"/>
              <w:rPr>
                <w:rFonts w:ascii="Arial" w:hAnsi="Arial" w:cs="Arial"/>
                <w:b/>
                <w:bCs/>
                <w:sz w:val="24"/>
                <w:szCs w:val="24"/>
              </w:rPr>
            </w:pPr>
            <w:r w:rsidRPr="00C71224">
              <w:rPr>
                <w:rFonts w:ascii="Arial" w:hAnsi="Arial" w:cs="Arial"/>
                <w:b/>
                <w:bCs/>
                <w:sz w:val="24"/>
                <w:szCs w:val="24"/>
              </w:rPr>
              <w:t>Total annual Government hours</w:t>
            </w:r>
          </w:p>
        </w:tc>
        <w:tc>
          <w:tcPr>
            <w:tcW w:w="1980" w:type="dxa"/>
            <w:vAlign w:val="bottom"/>
          </w:tcPr>
          <w:p w:rsidR="00016F92" w:rsidRPr="00C71224" w:rsidP="00016F92" w14:paraId="52FCB164" w14:textId="77777777">
            <w:pPr>
              <w:jc w:val="right"/>
              <w:rPr>
                <w:rFonts w:ascii="Arial" w:hAnsi="Arial" w:cs="Arial"/>
                <w:b/>
                <w:bCs/>
                <w:sz w:val="24"/>
                <w:szCs w:val="24"/>
              </w:rPr>
            </w:pPr>
            <w:r>
              <w:rPr>
                <w:rFonts w:ascii="Arial" w:hAnsi="Arial" w:cs="Arial"/>
                <w:b/>
                <w:bCs/>
                <w:sz w:val="24"/>
                <w:szCs w:val="24"/>
              </w:rPr>
              <w:t>1</w:t>
            </w:r>
            <w:r w:rsidRPr="00C71224">
              <w:rPr>
                <w:rFonts w:ascii="Arial" w:hAnsi="Arial" w:cs="Arial"/>
                <w:b/>
                <w:bCs/>
                <w:sz w:val="24"/>
                <w:szCs w:val="24"/>
              </w:rPr>
              <w:t>6</w:t>
            </w:r>
            <w:r>
              <w:rPr>
                <w:rFonts w:ascii="Arial" w:hAnsi="Arial" w:cs="Arial"/>
                <w:b/>
                <w:bCs/>
                <w:sz w:val="24"/>
                <w:szCs w:val="24"/>
              </w:rPr>
              <w:t>0</w:t>
            </w:r>
            <w:r w:rsidRPr="00C71224">
              <w:rPr>
                <w:rFonts w:ascii="Arial" w:hAnsi="Arial" w:cs="Arial"/>
                <w:b/>
                <w:bCs/>
                <w:sz w:val="24"/>
                <w:szCs w:val="24"/>
              </w:rPr>
              <w:t>0</w:t>
            </w:r>
          </w:p>
        </w:tc>
      </w:tr>
      <w:tr w14:paraId="2B3AAA5F" w14:textId="77777777" w:rsidTr="00016F92">
        <w:tblPrEx>
          <w:tblW w:w="0" w:type="auto"/>
          <w:tblInd w:w="1098" w:type="dxa"/>
          <w:tblLook w:val="0000"/>
        </w:tblPrEx>
        <w:tc>
          <w:tcPr>
            <w:tcW w:w="5040" w:type="dxa"/>
            <w:vAlign w:val="bottom"/>
          </w:tcPr>
          <w:p w:rsidR="00016F92" w:rsidRPr="00C71224" w:rsidP="00016F92" w14:paraId="5E2FE176" w14:textId="77777777">
            <w:pPr>
              <w:rPr>
                <w:rFonts w:ascii="Arial" w:hAnsi="Arial" w:cs="Arial"/>
                <w:sz w:val="24"/>
                <w:szCs w:val="24"/>
              </w:rPr>
            </w:pPr>
            <w:r w:rsidRPr="00C71224">
              <w:rPr>
                <w:rFonts w:ascii="Arial" w:hAnsi="Arial" w:cs="Arial"/>
                <w:sz w:val="24"/>
                <w:szCs w:val="24"/>
              </w:rPr>
              <w:t>Government hourly rate</w:t>
            </w:r>
          </w:p>
        </w:tc>
        <w:tc>
          <w:tcPr>
            <w:tcW w:w="1980" w:type="dxa"/>
            <w:vAlign w:val="bottom"/>
          </w:tcPr>
          <w:p w:rsidR="00016F92" w:rsidRPr="00C71224" w:rsidP="00E85B03" w14:paraId="6DE953A4" w14:textId="7FFBE974">
            <w:pPr>
              <w:jc w:val="right"/>
              <w:rPr>
                <w:rFonts w:ascii="Arial" w:hAnsi="Arial" w:cs="Arial"/>
                <w:sz w:val="24"/>
                <w:szCs w:val="24"/>
              </w:rPr>
            </w:pPr>
            <w:r w:rsidRPr="00C71224">
              <w:rPr>
                <w:rFonts w:ascii="Arial" w:hAnsi="Arial" w:cs="Arial"/>
                <w:sz w:val="24"/>
                <w:szCs w:val="24"/>
              </w:rPr>
              <w:t>$</w:t>
            </w:r>
            <w:r w:rsidR="001079EC">
              <w:rPr>
                <w:rFonts w:ascii="Arial" w:hAnsi="Arial" w:cs="Arial"/>
                <w:sz w:val="24"/>
                <w:szCs w:val="24"/>
              </w:rPr>
              <w:t>90</w:t>
            </w:r>
            <w:r w:rsidR="00E85B03">
              <w:rPr>
                <w:rFonts w:ascii="Arial" w:hAnsi="Arial" w:cs="Arial"/>
                <w:color w:val="000000"/>
                <w:sz w:val="24"/>
                <w:szCs w:val="24"/>
              </w:rPr>
              <w:t>.</w:t>
            </w:r>
            <w:r w:rsidR="001079EC">
              <w:rPr>
                <w:rFonts w:ascii="Arial" w:hAnsi="Arial" w:cs="Arial"/>
                <w:color w:val="000000"/>
                <w:sz w:val="24"/>
                <w:szCs w:val="24"/>
              </w:rPr>
              <w:t>73</w:t>
            </w:r>
          </w:p>
        </w:tc>
      </w:tr>
      <w:tr w14:paraId="10CE851B" w14:textId="77777777" w:rsidTr="00016F92">
        <w:tblPrEx>
          <w:tblW w:w="0" w:type="auto"/>
          <w:tblInd w:w="1098" w:type="dxa"/>
          <w:tblLook w:val="0000"/>
        </w:tblPrEx>
        <w:tc>
          <w:tcPr>
            <w:tcW w:w="5040" w:type="dxa"/>
            <w:vAlign w:val="bottom"/>
          </w:tcPr>
          <w:p w:rsidR="00016F92" w:rsidRPr="00C71224" w:rsidP="00016F92" w14:paraId="04A6D8A8" w14:textId="77777777">
            <w:pPr>
              <w:rPr>
                <w:rFonts w:ascii="Arial" w:hAnsi="Arial" w:cs="Arial"/>
                <w:sz w:val="24"/>
                <w:szCs w:val="24"/>
              </w:rPr>
            </w:pPr>
            <w:r w:rsidRPr="00C71224">
              <w:rPr>
                <w:rFonts w:ascii="Arial" w:hAnsi="Arial" w:cs="Arial"/>
                <w:sz w:val="24"/>
                <w:szCs w:val="24"/>
              </w:rPr>
              <w:t>Cost to Government per application</w:t>
            </w:r>
          </w:p>
        </w:tc>
        <w:tc>
          <w:tcPr>
            <w:tcW w:w="1980" w:type="dxa"/>
            <w:vAlign w:val="bottom"/>
          </w:tcPr>
          <w:p w:rsidR="00016F92" w:rsidRPr="00C71224" w:rsidP="00E85B03" w14:paraId="0FD245DA" w14:textId="6872CB48">
            <w:pPr>
              <w:jc w:val="right"/>
              <w:rPr>
                <w:rFonts w:ascii="Arial" w:hAnsi="Arial" w:cs="Arial"/>
                <w:sz w:val="24"/>
                <w:szCs w:val="24"/>
              </w:rPr>
            </w:pPr>
            <w:r w:rsidRPr="00C71224">
              <w:rPr>
                <w:rFonts w:ascii="Arial" w:hAnsi="Arial" w:cs="Arial"/>
                <w:sz w:val="24"/>
                <w:szCs w:val="24"/>
              </w:rPr>
              <w:t>$</w:t>
            </w:r>
            <w:r w:rsidRPr="00F21E28" w:rsidR="00F21E28">
              <w:rPr>
                <w:rFonts w:ascii="Arial" w:hAnsi="Arial" w:cs="Arial"/>
                <w:color w:val="000000"/>
                <w:sz w:val="24"/>
                <w:szCs w:val="22"/>
              </w:rPr>
              <w:t>1</w:t>
            </w:r>
            <w:r w:rsidR="001079EC">
              <w:rPr>
                <w:rFonts w:ascii="Arial" w:hAnsi="Arial" w:cs="Arial"/>
                <w:color w:val="000000"/>
                <w:sz w:val="24"/>
                <w:szCs w:val="22"/>
              </w:rPr>
              <w:t>45,168</w:t>
            </w:r>
          </w:p>
        </w:tc>
      </w:tr>
      <w:tr w14:paraId="3B7963F4" w14:textId="77777777" w:rsidTr="00016F92">
        <w:tblPrEx>
          <w:tblW w:w="0" w:type="auto"/>
          <w:tblInd w:w="1098" w:type="dxa"/>
          <w:tblLook w:val="0000"/>
        </w:tblPrEx>
        <w:tc>
          <w:tcPr>
            <w:tcW w:w="5040" w:type="dxa"/>
            <w:vAlign w:val="bottom"/>
          </w:tcPr>
          <w:p w:rsidR="00016F92" w:rsidRPr="00C71224" w:rsidP="00016F92" w14:paraId="5DD5062B" w14:textId="77777777">
            <w:pPr>
              <w:jc w:val="right"/>
              <w:rPr>
                <w:rFonts w:ascii="Arial" w:hAnsi="Arial" w:cs="Arial"/>
                <w:b/>
                <w:bCs/>
                <w:sz w:val="24"/>
                <w:szCs w:val="24"/>
              </w:rPr>
            </w:pPr>
            <w:r w:rsidRPr="00C71224">
              <w:rPr>
                <w:rFonts w:ascii="Arial" w:hAnsi="Arial" w:cs="Arial"/>
                <w:b/>
                <w:bCs/>
                <w:sz w:val="24"/>
                <w:szCs w:val="24"/>
              </w:rPr>
              <w:t>Total estimated annualized costs</w:t>
            </w:r>
          </w:p>
        </w:tc>
        <w:tc>
          <w:tcPr>
            <w:tcW w:w="1980" w:type="dxa"/>
            <w:vAlign w:val="bottom"/>
          </w:tcPr>
          <w:p w:rsidR="00016F92" w:rsidRPr="00F21E28" w:rsidP="00E85B03" w14:paraId="505A83A6" w14:textId="4FCF4A56">
            <w:pPr>
              <w:jc w:val="right"/>
              <w:rPr>
                <w:rFonts w:ascii="Arial" w:hAnsi="Arial" w:cs="Arial"/>
                <w:b/>
                <w:bCs/>
                <w:sz w:val="24"/>
                <w:szCs w:val="24"/>
              </w:rPr>
            </w:pPr>
            <w:r w:rsidRPr="00F21E28">
              <w:rPr>
                <w:rFonts w:ascii="Arial" w:hAnsi="Arial" w:cs="Arial"/>
                <w:b/>
                <w:bCs/>
                <w:sz w:val="24"/>
                <w:szCs w:val="24"/>
              </w:rPr>
              <w:t>$</w:t>
            </w:r>
            <w:r w:rsidRPr="00F21E28" w:rsidR="00F21E28">
              <w:rPr>
                <w:rFonts w:ascii="Arial" w:hAnsi="Arial" w:cs="Arial"/>
                <w:b/>
                <w:color w:val="000000"/>
                <w:sz w:val="24"/>
                <w:szCs w:val="22"/>
              </w:rPr>
              <w:t>1</w:t>
            </w:r>
            <w:r w:rsidR="001079EC">
              <w:rPr>
                <w:rFonts w:ascii="Arial" w:hAnsi="Arial" w:cs="Arial"/>
                <w:b/>
                <w:color w:val="000000"/>
                <w:sz w:val="24"/>
                <w:szCs w:val="22"/>
              </w:rPr>
              <w:t>45,168</w:t>
            </w:r>
          </w:p>
        </w:tc>
      </w:tr>
    </w:tbl>
    <w:p w:rsidR="00881B30" w:rsidRPr="00C71224" w14:paraId="3AFC49A7" w14:textId="77777777">
      <w:pPr>
        <w:pStyle w:val="PlainText"/>
        <w:rPr>
          <w:rFonts w:ascii="Times New Roman" w:hAnsi="Times New Roman"/>
          <w:sz w:val="24"/>
          <w:szCs w:val="24"/>
        </w:rPr>
      </w:pPr>
    </w:p>
    <w:p w:rsidR="00F7132E" w:rsidRPr="00F7132E" w:rsidP="00F7132E" w14:paraId="7BA2667A" w14:textId="77777777">
      <w:pPr>
        <w:shd w:val="clear" w:color="auto" w:fill="FFFFFF"/>
        <w:rPr>
          <w:rFonts w:ascii="Arial" w:hAnsi="Arial" w:cs="Arial"/>
          <w:sz w:val="24"/>
          <w:szCs w:val="24"/>
        </w:rPr>
      </w:pPr>
      <w:r w:rsidRPr="00F7132E">
        <w:rPr>
          <w:rFonts w:ascii="Arial" w:hAnsi="Arial" w:cs="Arial"/>
          <w:b/>
          <w:bCs/>
          <w:sz w:val="24"/>
          <w:szCs w:val="24"/>
        </w:rPr>
        <w:t>15. Explain the reasons for any program changes or adjustments.</w:t>
      </w:r>
    </w:p>
    <w:p w:rsidR="005B1A14" w:rsidRPr="002F3DE8" w:rsidP="005B1A14" w14:paraId="20425C38" w14:textId="2F4DBE18">
      <w:pPr>
        <w:tabs>
          <w:tab w:val="left" w:pos="-720"/>
          <w:tab w:val="left" w:pos="990"/>
          <w:tab w:val="left" w:pos="1260"/>
        </w:tabs>
        <w:suppressAutoHyphens/>
        <w:rPr>
          <w:rFonts w:ascii="Arial" w:hAnsi="Arial" w:cs="Arial"/>
          <w:sz w:val="24"/>
          <w:szCs w:val="24"/>
        </w:rPr>
      </w:pPr>
      <w:r w:rsidRPr="001C2BE9">
        <w:rPr>
          <w:rFonts w:ascii="Arial" w:hAnsi="Arial" w:cs="Arial"/>
          <w:sz w:val="24"/>
          <w:szCs w:val="24"/>
        </w:rPr>
        <w:br/>
      </w:r>
      <w:r w:rsidRPr="002F3DE8" w:rsidR="001C2BE9">
        <w:rPr>
          <w:rFonts w:ascii="Arial" w:hAnsi="Arial" w:cs="Arial"/>
          <w:sz w:val="24"/>
          <w:szCs w:val="24"/>
        </w:rPr>
        <w:t>Adjustments are a result of using 20</w:t>
      </w:r>
      <w:r w:rsidR="00C057D2">
        <w:rPr>
          <w:rFonts w:ascii="Arial" w:hAnsi="Arial" w:cs="Arial"/>
          <w:sz w:val="24"/>
          <w:szCs w:val="24"/>
        </w:rPr>
        <w:t>2</w:t>
      </w:r>
      <w:r w:rsidR="00F25B06">
        <w:rPr>
          <w:rFonts w:ascii="Arial" w:hAnsi="Arial" w:cs="Arial"/>
          <w:sz w:val="24"/>
          <w:szCs w:val="24"/>
        </w:rPr>
        <w:t>4</w:t>
      </w:r>
      <w:r w:rsidR="001079EC">
        <w:rPr>
          <w:rFonts w:ascii="Arial" w:hAnsi="Arial" w:cs="Arial"/>
          <w:sz w:val="24"/>
          <w:szCs w:val="24"/>
        </w:rPr>
        <w:t xml:space="preserve"> </w:t>
      </w:r>
      <w:r w:rsidRPr="002F3DE8" w:rsidR="001C2BE9">
        <w:rPr>
          <w:rFonts w:ascii="Arial" w:hAnsi="Arial" w:cs="Arial"/>
          <w:sz w:val="24"/>
          <w:szCs w:val="24"/>
        </w:rPr>
        <w:t>labor rates for the calculation commercial burden costs. The government rate is based on the 20</w:t>
      </w:r>
      <w:r w:rsidR="00C057D2">
        <w:rPr>
          <w:rFonts w:ascii="Arial" w:hAnsi="Arial" w:cs="Arial"/>
          <w:sz w:val="24"/>
          <w:szCs w:val="24"/>
        </w:rPr>
        <w:t>2</w:t>
      </w:r>
      <w:r w:rsidR="001079EC">
        <w:rPr>
          <w:rFonts w:ascii="Arial" w:hAnsi="Arial" w:cs="Arial"/>
          <w:sz w:val="24"/>
          <w:szCs w:val="24"/>
        </w:rPr>
        <w:t>5</w:t>
      </w:r>
      <w:r w:rsidRPr="002F3DE8" w:rsidR="001C2BE9">
        <w:rPr>
          <w:rFonts w:ascii="Arial" w:hAnsi="Arial" w:cs="Arial"/>
          <w:sz w:val="24"/>
          <w:szCs w:val="24"/>
        </w:rPr>
        <w:t xml:space="preserve"> national average salary and hourly rate for GS13 step 5 employees. The industry rate is based on the 20</w:t>
      </w:r>
      <w:r w:rsidR="00C057D2">
        <w:rPr>
          <w:rFonts w:ascii="Arial" w:hAnsi="Arial" w:cs="Arial"/>
          <w:sz w:val="24"/>
          <w:szCs w:val="24"/>
        </w:rPr>
        <w:t>2</w:t>
      </w:r>
      <w:r w:rsidR="00F25B06">
        <w:rPr>
          <w:rFonts w:ascii="Arial" w:hAnsi="Arial" w:cs="Arial"/>
          <w:sz w:val="24"/>
          <w:szCs w:val="24"/>
        </w:rPr>
        <w:t>4</w:t>
      </w:r>
      <w:r w:rsidR="00C057D2">
        <w:rPr>
          <w:rFonts w:ascii="Arial" w:hAnsi="Arial" w:cs="Arial"/>
          <w:sz w:val="24"/>
          <w:szCs w:val="24"/>
        </w:rPr>
        <w:t xml:space="preserve"> </w:t>
      </w:r>
      <w:r w:rsidRPr="002F3DE8" w:rsidR="001C2BE9">
        <w:rPr>
          <w:rFonts w:ascii="Arial" w:hAnsi="Arial" w:cs="Arial"/>
          <w:sz w:val="24"/>
          <w:szCs w:val="24"/>
        </w:rPr>
        <w:t>Bureau of Labor Statistics average annual salary for aerospace engineers.</w:t>
      </w:r>
      <w:r>
        <w:rPr>
          <w:rFonts w:ascii="Arial" w:hAnsi="Arial" w:cs="Arial"/>
          <w:sz w:val="24"/>
          <w:szCs w:val="24"/>
        </w:rPr>
        <w:t xml:space="preserve"> </w:t>
      </w:r>
      <w:r w:rsidRPr="002F3DE8">
        <w:rPr>
          <w:rFonts w:ascii="Arial" w:hAnsi="Arial" w:cs="Arial"/>
          <w:sz w:val="24"/>
          <w:szCs w:val="24"/>
        </w:rPr>
        <w:t>FAA/AST has establish</w:t>
      </w:r>
      <w:r>
        <w:rPr>
          <w:rFonts w:ascii="Arial" w:hAnsi="Arial" w:cs="Arial"/>
          <w:sz w:val="24"/>
          <w:szCs w:val="24"/>
        </w:rPr>
        <w:t>ed</w:t>
      </w:r>
      <w:r w:rsidRPr="002F3DE8">
        <w:rPr>
          <w:rFonts w:ascii="Arial" w:hAnsi="Arial" w:cs="Arial"/>
          <w:sz w:val="24"/>
          <w:szCs w:val="24"/>
        </w:rPr>
        <w:t xml:space="preserve"> a means for </w:t>
      </w:r>
      <w:r>
        <w:rPr>
          <w:rFonts w:ascii="Arial" w:hAnsi="Arial" w:cs="Arial"/>
          <w:sz w:val="24"/>
          <w:szCs w:val="24"/>
        </w:rPr>
        <w:t xml:space="preserve">100% </w:t>
      </w:r>
      <w:r w:rsidRPr="002F3DE8">
        <w:rPr>
          <w:rFonts w:ascii="Arial" w:hAnsi="Arial" w:cs="Arial"/>
          <w:sz w:val="24"/>
          <w:szCs w:val="24"/>
        </w:rPr>
        <w:t>electronic submission of permit and license applications. The electron</w:t>
      </w:r>
      <w:r>
        <w:rPr>
          <w:rFonts w:ascii="Arial" w:hAnsi="Arial" w:cs="Arial"/>
          <w:sz w:val="24"/>
          <w:szCs w:val="24"/>
        </w:rPr>
        <w:t>ic</w:t>
      </w:r>
      <w:r w:rsidRPr="002F3DE8">
        <w:rPr>
          <w:rFonts w:ascii="Arial" w:hAnsi="Arial" w:cs="Arial"/>
          <w:sz w:val="24"/>
          <w:szCs w:val="24"/>
        </w:rPr>
        <w:t xml:space="preserve"> submission of applications has facilitated receiving an increasing number of applications and related information.</w:t>
      </w:r>
    </w:p>
    <w:p w:rsidR="001C2BE9" w:rsidRPr="002F3DE8" w:rsidP="001C2BE9" w14:paraId="2CD89A99" w14:textId="77777777">
      <w:pPr>
        <w:rPr>
          <w:rFonts w:ascii="Arial" w:hAnsi="Arial" w:cs="Arial"/>
          <w:sz w:val="24"/>
          <w:szCs w:val="24"/>
        </w:rPr>
      </w:pPr>
    </w:p>
    <w:p w:rsidR="001C2BE9" w:rsidRPr="001C2BE9" w:rsidP="001C2BE9" w14:paraId="0CAFB9A6" w14:textId="77777777">
      <w:pPr>
        <w:ind w:left="1008"/>
        <w:rPr>
          <w:sz w:val="24"/>
          <w:szCs w:val="24"/>
        </w:rPr>
      </w:pPr>
    </w:p>
    <w:p w:rsidR="00F7132E" w:rsidRPr="00F7132E" w:rsidP="00F7132E" w14:paraId="4C71D585" w14:textId="77777777">
      <w:pPr>
        <w:shd w:val="clear" w:color="auto" w:fill="FFFFFF"/>
        <w:rPr>
          <w:rFonts w:ascii="Arial" w:hAnsi="Arial" w:cs="Arial"/>
          <w:sz w:val="24"/>
          <w:szCs w:val="24"/>
        </w:rPr>
      </w:pPr>
      <w:r w:rsidRPr="00F7132E">
        <w:rPr>
          <w:rFonts w:ascii="Arial"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1B30" w:rsidP="00F7132E" w14:paraId="46191C58" w14:textId="77777777">
      <w:pPr>
        <w:rPr>
          <w:rFonts w:ascii="Arial" w:hAnsi="Arial" w:cs="Arial"/>
          <w:sz w:val="24"/>
          <w:szCs w:val="24"/>
        </w:rPr>
      </w:pPr>
    </w:p>
    <w:p w:rsidR="00407A68" w:rsidRPr="002F3DE8" w:rsidP="00F7132E" w14:paraId="4C612B51" w14:textId="77777777">
      <w:pPr>
        <w:rPr>
          <w:rFonts w:ascii="Arial" w:hAnsi="Arial" w:cs="Arial"/>
          <w:sz w:val="24"/>
          <w:szCs w:val="24"/>
        </w:rPr>
      </w:pPr>
      <w:r>
        <w:rPr>
          <w:rFonts w:ascii="Arial" w:hAnsi="Arial" w:cs="Arial"/>
          <w:sz w:val="24"/>
          <w:szCs w:val="24"/>
        </w:rPr>
        <w:t>The MPL determination result is a financial responsibility for license</w:t>
      </w:r>
      <w:r w:rsidR="0075537B">
        <w:rPr>
          <w:rFonts w:ascii="Arial" w:hAnsi="Arial" w:cs="Arial"/>
          <w:sz w:val="24"/>
          <w:szCs w:val="24"/>
        </w:rPr>
        <w:t>s</w:t>
      </w:r>
      <w:r>
        <w:rPr>
          <w:rFonts w:ascii="Arial" w:hAnsi="Arial" w:cs="Arial"/>
          <w:sz w:val="24"/>
          <w:szCs w:val="24"/>
        </w:rPr>
        <w:t xml:space="preserve"> </w:t>
      </w:r>
      <w:r w:rsidR="0075537B">
        <w:rPr>
          <w:rFonts w:ascii="Arial" w:hAnsi="Arial" w:cs="Arial"/>
          <w:sz w:val="24"/>
          <w:szCs w:val="24"/>
        </w:rPr>
        <w:t>or</w:t>
      </w:r>
      <w:r>
        <w:rPr>
          <w:rFonts w:ascii="Arial" w:hAnsi="Arial" w:cs="Arial"/>
          <w:sz w:val="24"/>
          <w:szCs w:val="24"/>
        </w:rPr>
        <w:t xml:space="preserve"> experimental permit</w:t>
      </w:r>
      <w:r w:rsidR="0075537B">
        <w:rPr>
          <w:rFonts w:ascii="Arial" w:hAnsi="Arial" w:cs="Arial"/>
          <w:sz w:val="24"/>
          <w:szCs w:val="24"/>
        </w:rPr>
        <w:t>s</w:t>
      </w:r>
      <w:r>
        <w:rPr>
          <w:rFonts w:ascii="Arial" w:hAnsi="Arial" w:cs="Arial"/>
          <w:sz w:val="24"/>
          <w:szCs w:val="24"/>
        </w:rPr>
        <w:t xml:space="preserve">. The MPL </w:t>
      </w:r>
      <w:r w:rsidR="0075537B">
        <w:rPr>
          <w:rFonts w:ascii="Arial" w:hAnsi="Arial" w:cs="Arial"/>
          <w:sz w:val="24"/>
          <w:szCs w:val="24"/>
        </w:rPr>
        <w:t>results appear</w:t>
      </w:r>
      <w:r>
        <w:rPr>
          <w:rFonts w:ascii="Arial" w:hAnsi="Arial" w:cs="Arial"/>
          <w:sz w:val="24"/>
          <w:szCs w:val="24"/>
        </w:rPr>
        <w:t xml:space="preserve"> in the license or experimental permit that are placed on AST’s web site. The MPL collected </w:t>
      </w:r>
      <w:r w:rsidR="0075537B">
        <w:rPr>
          <w:rFonts w:ascii="Arial" w:hAnsi="Arial" w:cs="Arial"/>
          <w:sz w:val="24"/>
          <w:szCs w:val="24"/>
        </w:rPr>
        <w:t>information data and analysis are not published.</w:t>
      </w:r>
    </w:p>
    <w:p w:rsidR="00881B30" w:rsidRPr="00C71224" w14:paraId="46C7A9FA" w14:textId="77777777">
      <w:pPr>
        <w:pStyle w:val="PlainText"/>
        <w:rPr>
          <w:rFonts w:ascii="Times New Roman" w:hAnsi="Times New Roman"/>
          <w:sz w:val="24"/>
          <w:szCs w:val="24"/>
        </w:rPr>
      </w:pPr>
    </w:p>
    <w:p w:rsidR="000046A3" w:rsidRPr="000046A3" w:rsidP="000046A3" w14:paraId="74D0B6B5" w14:textId="77777777">
      <w:pPr>
        <w:shd w:val="clear" w:color="auto" w:fill="FFFFFF"/>
        <w:rPr>
          <w:rFonts w:ascii="Arial" w:hAnsi="Arial" w:cs="Arial"/>
          <w:sz w:val="24"/>
          <w:szCs w:val="24"/>
        </w:rPr>
      </w:pPr>
      <w:r w:rsidRPr="000046A3">
        <w:rPr>
          <w:rFonts w:ascii="Arial" w:hAnsi="Arial" w:cs="Arial"/>
          <w:b/>
          <w:bCs/>
          <w:sz w:val="24"/>
          <w:szCs w:val="24"/>
        </w:rPr>
        <w:t>17. If seeking approval to not display the expiration date for OMB approval of the information collection, explain the reasons why display would be inappropriate.</w:t>
      </w:r>
    </w:p>
    <w:p w:rsidR="00881B30" w:rsidRPr="002F3DE8" w:rsidP="000046A3" w14:paraId="05FE2442" w14:textId="77777777">
      <w:pPr>
        <w:rPr>
          <w:rFonts w:ascii="Arial" w:hAnsi="Arial" w:cs="Arial"/>
          <w:sz w:val="24"/>
          <w:szCs w:val="24"/>
        </w:rPr>
      </w:pPr>
      <w:r w:rsidRPr="001C2BE9">
        <w:rPr>
          <w:rFonts w:ascii="Arial" w:hAnsi="Arial" w:cs="Arial"/>
          <w:sz w:val="24"/>
          <w:szCs w:val="24"/>
        </w:rPr>
        <w:br/>
      </w:r>
      <w:r w:rsidRPr="002F3DE8">
        <w:rPr>
          <w:rFonts w:ascii="Arial" w:hAnsi="Arial" w:cs="Arial"/>
          <w:sz w:val="24"/>
          <w:szCs w:val="24"/>
        </w:rPr>
        <w:t xml:space="preserve">No approval is sought. </w:t>
      </w:r>
    </w:p>
    <w:p w:rsidR="00881B30" w:rsidRPr="00C71224" w14:paraId="01C1BE0A" w14:textId="77777777">
      <w:pPr>
        <w:pStyle w:val="PlainText"/>
        <w:rPr>
          <w:rFonts w:ascii="Times New Roman" w:hAnsi="Times New Roman"/>
          <w:sz w:val="24"/>
          <w:szCs w:val="24"/>
        </w:rPr>
      </w:pPr>
    </w:p>
    <w:p w:rsidR="000046A3" w:rsidRPr="000046A3" w:rsidP="000046A3" w14:paraId="00A432BE" w14:textId="77777777">
      <w:pPr>
        <w:shd w:val="clear" w:color="auto" w:fill="FFFFFF"/>
        <w:rPr>
          <w:rFonts w:ascii="Arial" w:hAnsi="Arial" w:cs="Arial"/>
          <w:sz w:val="24"/>
          <w:szCs w:val="24"/>
        </w:rPr>
      </w:pPr>
      <w:r w:rsidRPr="000046A3">
        <w:rPr>
          <w:rFonts w:ascii="Arial" w:hAnsi="Arial" w:cs="Arial"/>
          <w:b/>
          <w:bCs/>
          <w:sz w:val="24"/>
          <w:szCs w:val="24"/>
        </w:rPr>
        <w:t>18. Explain each exception to the topics of the certification statement identified in “Certification for Paperwork Reduction Act Submissions.”</w:t>
      </w:r>
    </w:p>
    <w:p w:rsidR="00881B30" w:rsidRPr="002F3DE8" w:rsidP="000046A3" w14:paraId="363B63D7" w14:textId="77777777">
      <w:pPr>
        <w:rPr>
          <w:rFonts w:ascii="Arial" w:hAnsi="Arial" w:cs="Arial"/>
          <w:sz w:val="24"/>
          <w:szCs w:val="24"/>
        </w:rPr>
      </w:pPr>
      <w:r w:rsidRPr="001C2BE9">
        <w:rPr>
          <w:rFonts w:ascii="Arial" w:hAnsi="Arial" w:cs="Arial"/>
          <w:sz w:val="24"/>
          <w:szCs w:val="24"/>
        </w:rPr>
        <w:br/>
      </w:r>
      <w:r w:rsidRPr="002F3DE8">
        <w:rPr>
          <w:rFonts w:ascii="Arial" w:hAnsi="Arial" w:cs="Arial"/>
          <w:sz w:val="24"/>
          <w:szCs w:val="24"/>
        </w:rPr>
        <w:t xml:space="preserve">There are no exceptions. </w:t>
      </w:r>
    </w:p>
    <w:sectPr>
      <w:headerReference w:type="even" r:id="rId8"/>
      <w:footerReference w:type="default" r:id="rId9"/>
      <w:headerReference w:type="first" r:id="rId10"/>
      <w:pgSz w:w="12240" w:h="15840"/>
      <w:pgMar w:top="1440" w:right="100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574" w14:paraId="4255A1B0" w14:textId="54547384">
    <w:pPr>
      <w:pStyle w:val="Footer"/>
      <w:jc w:val="center"/>
    </w:pPr>
    <w:r>
      <w:fldChar w:fldCharType="begin"/>
    </w:r>
    <w:r>
      <w:instrText xml:space="preserve"> PAGE   \* MERGEFORMAT </w:instrText>
    </w:r>
    <w:r>
      <w:fldChar w:fldCharType="separate"/>
    </w:r>
    <w:r w:rsidR="00772331">
      <w:rPr>
        <w:noProof/>
      </w:rPr>
      <w:t>8</w:t>
    </w:r>
    <w:r>
      <w:rPr>
        <w:noProof/>
      </w:rPr>
      <w:fldChar w:fldCharType="end"/>
    </w:r>
  </w:p>
  <w:p w:rsidR="00421574" w14:paraId="6A28A9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2285" w:rsidP="00421574" w14:paraId="7F5A6570" w14:textId="77777777">
      <w:r>
        <w:separator/>
      </w:r>
    </w:p>
  </w:footnote>
  <w:footnote w:type="continuationSeparator" w:id="1">
    <w:p w:rsidR="00872285" w:rsidP="00421574" w14:paraId="734133EB" w14:textId="77777777">
      <w:r>
        <w:continuationSeparator/>
      </w:r>
    </w:p>
  </w:footnote>
  <w:footnote w:id="2">
    <w:p w:rsidR="007E6189" w:rsidRPr="00F67819" w:rsidP="007E6189" w14:paraId="7C5AE535" w14:textId="6BEFDCA8">
      <w:pPr>
        <w:pStyle w:val="FootnoteText"/>
        <w:rPr>
          <w:rFonts w:ascii="Arial" w:hAnsi="Arial" w:cs="Arial"/>
          <w:sz w:val="20"/>
        </w:rPr>
      </w:pPr>
      <w:r w:rsidRPr="00F67819">
        <w:rPr>
          <w:rStyle w:val="FootnoteReference"/>
          <w:rFonts w:ascii="Arial" w:hAnsi="Arial" w:cs="Arial"/>
          <w:sz w:val="20"/>
        </w:rPr>
        <w:footnoteRef/>
      </w:r>
      <w:r w:rsidRPr="00F67819">
        <w:rPr>
          <w:rFonts w:ascii="Arial" w:hAnsi="Arial" w:cs="Arial"/>
          <w:sz w:val="20"/>
        </w:rPr>
        <w:t xml:space="preserve"> U.S. Bureau of Labor Statistics, Aerospace </w:t>
      </w:r>
      <w:r w:rsidRPr="00F67819" w:rsidR="009A4436">
        <w:rPr>
          <w:rFonts w:ascii="Arial" w:hAnsi="Arial" w:cs="Arial"/>
          <w:sz w:val="20"/>
        </w:rPr>
        <w:t>Engineers,</w:t>
      </w:r>
      <w:r w:rsidR="007B4485">
        <w:rPr>
          <w:rFonts w:ascii="Arial" w:hAnsi="Arial" w:cs="Arial"/>
          <w:sz w:val="20"/>
        </w:rPr>
        <w:t xml:space="preserve"> </w:t>
      </w:r>
      <w:r w:rsidRPr="00A51198" w:rsidR="007B4485">
        <w:rPr>
          <w:rFonts w:ascii="Arial" w:hAnsi="Arial" w:cs="Arial"/>
          <w:sz w:val="20"/>
        </w:rPr>
        <w:t>May 2024,</w:t>
      </w:r>
      <w:r w:rsidR="007B4485">
        <w:rPr>
          <w:rFonts w:ascii="Arial" w:hAnsi="Arial" w:cs="Arial"/>
          <w:sz w:val="20"/>
        </w:rPr>
        <w:t xml:space="preserve"> </w:t>
      </w:r>
      <w:r w:rsidRPr="00F67819" w:rsidR="009A4436">
        <w:rPr>
          <w:rFonts w:ascii="Arial" w:hAnsi="Arial" w:cs="Arial"/>
          <w:sz w:val="20"/>
        </w:rPr>
        <w:t>$</w:t>
      </w:r>
      <w:r w:rsidRPr="00F67819">
        <w:rPr>
          <w:rFonts w:ascii="Arial" w:hAnsi="Arial" w:cs="Arial"/>
          <w:sz w:val="20"/>
        </w:rPr>
        <w:t xml:space="preserve"> mean hourly wage rate, https://www.bls.gov/oes/current/oes172011.htm </w:t>
      </w:r>
    </w:p>
  </w:footnote>
  <w:footnote w:id="3">
    <w:p w:rsidR="003B5DC1" w:rsidP="003B5DC1" w14:paraId="46182740" w14:textId="77777777">
      <w:pPr>
        <w:pStyle w:val="FootnoteText"/>
        <w:contextualSpacing/>
      </w:pPr>
      <w:r w:rsidRPr="006464F4">
        <w:rPr>
          <w:rStyle w:val="FootnoteReference"/>
        </w:rPr>
        <w:footnoteRef/>
      </w:r>
      <w:r w:rsidRPr="006464F4">
        <w:t xml:space="preserve"> Source: </w:t>
      </w:r>
      <w:r w:rsidRPr="006464F4" w:rsidR="008775FB">
        <w:t>Professional and related percentage of total compensation of 30.03% in table 4 of the Employer Costs for Employee compensation for private industry workers by occupation and industry (</w:t>
      </w:r>
      <w:hyperlink r:id="rId1" w:history="1">
        <w:r w:rsidRPr="006464F4" w:rsidR="008775FB">
          <w:rPr>
            <w:rStyle w:val="Hyperlink"/>
          </w:rPr>
          <w:t>https://www.bls.gov/news.release/pdf/ecec.pdf</w:t>
        </w:r>
      </w:hyperlink>
      <w:r w:rsidRPr="006464F4" w:rsidR="008775FB">
        <w:t>).</w:t>
      </w:r>
    </w:p>
    <w:p w:rsidR="008775FB" w:rsidP="003B5DC1" w14:paraId="27A6ABFA" w14:textId="77777777">
      <w:pPr>
        <w:pStyle w:val="FootnoteText"/>
        <w:contextualSpacing/>
      </w:pPr>
    </w:p>
    <w:p w:rsidR="008775FB" w:rsidP="003B5DC1" w14:paraId="4020549C" w14:textId="77777777">
      <w:pPr>
        <w:pStyle w:val="FootnoteText"/>
        <w:contextualSpacing/>
      </w:pPr>
    </w:p>
  </w:footnote>
  <w:footnote w:id="4">
    <w:p w:rsidR="001D2439" w:rsidRPr="006464F4" w:rsidP="001D2439" w14:paraId="335AC6C1" w14:textId="2C469866">
      <w:pPr>
        <w:pStyle w:val="FootnoteText"/>
      </w:pPr>
      <w:r w:rsidRPr="006464F4">
        <w:rPr>
          <w:rStyle w:val="FootnoteReference"/>
          <w:rFonts w:ascii="Arial" w:hAnsi="Arial" w:cs="Arial"/>
          <w:sz w:val="20"/>
        </w:rPr>
        <w:footnoteRef/>
      </w:r>
      <w:r w:rsidRPr="006464F4">
        <w:rPr>
          <w:rFonts w:ascii="Arial" w:hAnsi="Arial" w:cs="Arial"/>
          <w:sz w:val="20"/>
        </w:rPr>
        <w:t xml:space="preserve"> </w:t>
      </w:r>
      <w:r w:rsidRPr="006464F4">
        <w:t xml:space="preserve"> </w:t>
      </w:r>
      <w:r w:rsidRPr="006464F4" w:rsidR="00F47B27">
        <w:rPr>
          <w:rFonts w:ascii="Arial" w:hAnsi="Arial" w:cs="Arial"/>
          <w:sz w:val="20"/>
        </w:rPr>
        <w:t>SALARY TABLE 202</w:t>
      </w:r>
      <w:r w:rsidRPr="006464F4" w:rsidR="00F25B06">
        <w:rPr>
          <w:rFonts w:ascii="Arial" w:hAnsi="Arial" w:cs="Arial"/>
          <w:sz w:val="20"/>
        </w:rPr>
        <w:t>5</w:t>
      </w:r>
      <w:r w:rsidRPr="006464F4">
        <w:rPr>
          <w:rFonts w:ascii="Arial" w:hAnsi="Arial" w:cs="Arial"/>
          <w:sz w:val="20"/>
        </w:rPr>
        <w:t>-DCB FOR THE LOCALITY PAY AREA OF WASHINGTON-BALTIMORE-ARLINGTON, DC-MD-VA-WV-PA</w:t>
      </w:r>
    </w:p>
  </w:footnote>
  <w:footnote w:id="5">
    <w:p w:rsidR="00727547" w:rsidP="00727547" w14:paraId="3C87AB09" w14:textId="68FC6D2D">
      <w:pPr>
        <w:pStyle w:val="FootnoteText"/>
        <w:contextualSpacing/>
      </w:pPr>
      <w:r w:rsidRPr="006464F4">
        <w:rPr>
          <w:rStyle w:val="FootnoteReference"/>
        </w:rPr>
        <w:footnoteRef/>
      </w:r>
      <w:r w:rsidRPr="006464F4">
        <w:t xml:space="preserve"> Sou</w:t>
      </w:r>
      <w:r w:rsidRPr="006464F4" w:rsidR="00F47B27">
        <w:t xml:space="preserve">rce: </w:t>
      </w:r>
      <w:r w:rsidRPr="006464F4" w:rsidR="00F47B27">
        <w:t>OPM,https://www.opm.gov/policy-data-oversight/pay-leave/salaries-wages/202</w:t>
      </w:r>
      <w:r w:rsidRPr="006464F4" w:rsidR="00F25B06">
        <w:t>5</w:t>
      </w:r>
      <w:r w:rsidRPr="006464F4" w:rsidR="00F47B27">
        <w:t>/general-schedule</w:t>
      </w:r>
      <w:r w:rsidRPr="006464F4" w:rsidR="00F47B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416" w14:paraId="7CC46E2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08129" o:spid="_x0000_s2049" type="#_x0000_t136" style="width:493.05pt;height:197.2pt;margin-top:0;margin-left:0;mso-position-horizontal:center;mso-position-horizontal-relative:margin;mso-position-vertical:center;mso-position-vertical-relative:margin;position:absolute;rotation:315;z-index:-251657216" o:allowincell="f" fillcolor="#7f7f7f"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416" w14:paraId="4186C37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08128" o:spid="_x0000_s2050" type="#_x0000_t136" style="width:493.05pt;height:197.2pt;margin-top:0;margin-left:0;mso-position-horizontal:center;mso-position-horizontal-relative:margin;mso-position-vertical:center;mso-position-vertical-relative:margin;position:absolute;rotation:315;z-index:-251658240" o:allowincell="f" fillcolor="#7f7f7f"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72567"/>
    <w:multiLevelType w:val="hybridMultilevel"/>
    <w:tmpl w:val="2A72C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BD5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9F031F"/>
    <w:multiLevelType w:val="singleLevel"/>
    <w:tmpl w:val="1320087C"/>
    <w:lvl w:ilvl="0">
      <w:start w:val="4"/>
      <w:numFmt w:val="decimal"/>
      <w:lvlText w:val="%1."/>
      <w:lvlJc w:val="left"/>
      <w:pPr>
        <w:tabs>
          <w:tab w:val="num" w:pos="840"/>
        </w:tabs>
        <w:ind w:left="840" w:hanging="840"/>
      </w:pPr>
      <w:rPr>
        <w:rFonts w:hint="default"/>
      </w:rPr>
    </w:lvl>
  </w:abstractNum>
  <w:abstractNum w:abstractNumId="3">
    <w:nsid w:val="0D204768"/>
    <w:multiLevelType w:val="hybridMultilevel"/>
    <w:tmpl w:val="09FC8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D4536"/>
    <w:multiLevelType w:val="hybridMultilevel"/>
    <w:tmpl w:val="D4EE5D6C"/>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5">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290C82"/>
    <w:multiLevelType w:val="hybridMultilevel"/>
    <w:tmpl w:val="E63E72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6C6AE8"/>
    <w:multiLevelType w:val="singleLevel"/>
    <w:tmpl w:val="0409000F"/>
    <w:lvl w:ilvl="0">
      <w:start w:val="1"/>
      <w:numFmt w:val="decimal"/>
      <w:lvlText w:val="%1."/>
      <w:lvlJc w:val="left"/>
      <w:pPr>
        <w:tabs>
          <w:tab w:val="num" w:pos="360"/>
        </w:tabs>
        <w:ind w:left="360" w:hanging="360"/>
      </w:pPr>
    </w:lvl>
  </w:abstractNum>
  <w:abstractNum w:abstractNumId="8">
    <w:nsid w:val="397A2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951EA6"/>
    <w:multiLevelType w:val="hybridMultilevel"/>
    <w:tmpl w:val="F7E00150"/>
    <w:lvl w:ilvl="0">
      <w:start w:val="2"/>
      <w:numFmt w:val="decimal"/>
      <w:lvlText w:val="%1."/>
      <w:lvlJc w:val="left"/>
      <w:pPr>
        <w:tabs>
          <w:tab w:val="num" w:pos="1008"/>
        </w:tabs>
        <w:ind w:left="1008" w:hanging="648"/>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497082"/>
    <w:multiLevelType w:val="hybridMultilevel"/>
    <w:tmpl w:val="1072617A"/>
    <w:lvl w:ilvl="0">
      <w:start w:val="4"/>
      <w:numFmt w:val="decimal"/>
      <w:lvlText w:val="%1."/>
      <w:lvlJc w:val="left"/>
      <w:pPr>
        <w:tabs>
          <w:tab w:val="num" w:pos="840"/>
        </w:tabs>
        <w:ind w:left="840" w:hanging="8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1F02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9AD0432"/>
    <w:multiLevelType w:val="singleLevel"/>
    <w:tmpl w:val="3402946E"/>
    <w:lvl w:ilvl="0">
      <w:start w:val="3"/>
      <w:numFmt w:val="decimal"/>
      <w:lvlText w:val="%1."/>
      <w:lvlJc w:val="left"/>
      <w:pPr>
        <w:tabs>
          <w:tab w:val="num" w:pos="840"/>
        </w:tabs>
        <w:ind w:left="840" w:hanging="840"/>
      </w:pPr>
      <w:rPr>
        <w:rFonts w:hint="default"/>
      </w:rPr>
    </w:lvl>
  </w:abstractNum>
  <w:abstractNum w:abstractNumId="13">
    <w:nsid w:val="5ABE770E"/>
    <w:multiLevelType w:val="hybridMultilevel"/>
    <w:tmpl w:val="646CE142"/>
    <w:lvl w:ilvl="0">
      <w:start w:val="4"/>
      <w:numFmt w:val="decimal"/>
      <w:lvlText w:val="%1."/>
      <w:lvlJc w:val="left"/>
      <w:pPr>
        <w:tabs>
          <w:tab w:val="num" w:pos="1080"/>
        </w:tabs>
        <w:ind w:left="1080" w:hanging="360"/>
      </w:pPr>
      <w:rPr>
        <w:rFonts w:hint="default"/>
        <w:sz w:val="24"/>
      </w:rPr>
    </w:lvl>
    <w:lvl w:ilvl="1">
      <w:start w:val="4"/>
      <w:numFmt w:val="decimal"/>
      <w:lvlText w:val="%2."/>
      <w:lvlJc w:val="left"/>
      <w:pPr>
        <w:tabs>
          <w:tab w:val="num" w:pos="2280"/>
        </w:tabs>
        <w:ind w:left="2280" w:hanging="84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66650BD9"/>
    <w:multiLevelType w:val="hybridMultilevel"/>
    <w:tmpl w:val="6D3E5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503C0F"/>
    <w:multiLevelType w:val="singleLevel"/>
    <w:tmpl w:val="BCB86F6A"/>
    <w:lvl w:ilvl="0">
      <w:start w:val="15"/>
      <w:numFmt w:val="decimal"/>
      <w:lvlText w:val="%1."/>
      <w:lvlJc w:val="left"/>
      <w:pPr>
        <w:tabs>
          <w:tab w:val="num" w:pos="840"/>
        </w:tabs>
        <w:ind w:left="840" w:hanging="840"/>
      </w:pPr>
      <w:rPr>
        <w:rFonts w:hint="default"/>
      </w:rPr>
    </w:lvl>
  </w:abstractNum>
  <w:abstractNum w:abstractNumId="16">
    <w:nsid w:val="680C6956"/>
    <w:multiLevelType w:val="hybridMultilevel"/>
    <w:tmpl w:val="B2666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67329E"/>
    <w:multiLevelType w:val="singleLevel"/>
    <w:tmpl w:val="1D244F5C"/>
    <w:lvl w:ilvl="0">
      <w:start w:val="5"/>
      <w:numFmt w:val="decimal"/>
      <w:lvlText w:val="%1."/>
      <w:lvlJc w:val="left"/>
      <w:pPr>
        <w:tabs>
          <w:tab w:val="num" w:pos="840"/>
        </w:tabs>
        <w:ind w:left="840" w:hanging="840"/>
      </w:pPr>
      <w:rPr>
        <w:rFonts w:hint="default"/>
      </w:rPr>
    </w:lvl>
  </w:abstractNum>
  <w:abstractNum w:abstractNumId="19">
    <w:nsid w:val="756C069D"/>
    <w:multiLevelType w:val="singleLevel"/>
    <w:tmpl w:val="B5DA0E0A"/>
    <w:lvl w:ilvl="0">
      <w:start w:val="13"/>
      <w:numFmt w:val="decimal"/>
      <w:lvlText w:val="%1."/>
      <w:lvlJc w:val="left"/>
      <w:pPr>
        <w:tabs>
          <w:tab w:val="num" w:pos="840"/>
        </w:tabs>
        <w:ind w:left="840" w:hanging="840"/>
      </w:pPr>
      <w:rPr>
        <w:rFonts w:hint="default"/>
      </w:rPr>
    </w:lvl>
  </w:abstractNum>
  <w:abstractNum w:abstractNumId="20">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21">
    <w:nsid w:val="770018E8"/>
    <w:multiLevelType w:val="hybridMultilevel"/>
    <w:tmpl w:val="4FD2A138"/>
    <w:lvl w:ilvl="0">
      <w:start w:val="4"/>
      <w:numFmt w:val="decimal"/>
      <w:lvlText w:val="%1."/>
      <w:lvlJc w:val="left"/>
      <w:pPr>
        <w:tabs>
          <w:tab w:val="num" w:pos="840"/>
        </w:tabs>
        <w:ind w:left="840" w:hanging="8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78B5043"/>
    <w:multiLevelType w:val="singleLevel"/>
    <w:tmpl w:val="1D244F5C"/>
    <w:lvl w:ilvl="0">
      <w:start w:val="5"/>
      <w:numFmt w:val="decimal"/>
      <w:lvlText w:val="%1."/>
      <w:lvlJc w:val="left"/>
      <w:pPr>
        <w:tabs>
          <w:tab w:val="num" w:pos="840"/>
        </w:tabs>
        <w:ind w:left="840" w:hanging="840"/>
      </w:pPr>
      <w:rPr>
        <w:rFonts w:hint="default"/>
      </w:rPr>
    </w:lvl>
  </w:abstractNum>
  <w:abstractNum w:abstractNumId="23">
    <w:nsid w:val="7BDF6D5C"/>
    <w:multiLevelType w:val="hybridMultilevel"/>
    <w:tmpl w:val="84A88E6C"/>
    <w:lvl w:ilvl="0">
      <w:start w:val="4"/>
      <w:numFmt w:val="decimal"/>
      <w:lvlText w:val="%1."/>
      <w:lvlJc w:val="left"/>
      <w:pPr>
        <w:tabs>
          <w:tab w:val="num" w:pos="840"/>
        </w:tabs>
        <w:ind w:left="840" w:hanging="8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CE23EB9"/>
    <w:multiLevelType w:val="singleLevel"/>
    <w:tmpl w:val="B5DA0E0A"/>
    <w:lvl w:ilvl="0">
      <w:start w:val="13"/>
      <w:numFmt w:val="decimal"/>
      <w:lvlText w:val="%1."/>
      <w:lvlJc w:val="left"/>
      <w:pPr>
        <w:tabs>
          <w:tab w:val="num" w:pos="840"/>
        </w:tabs>
        <w:ind w:left="840" w:hanging="840"/>
      </w:pPr>
      <w:rPr>
        <w:rFonts w:hint="default"/>
      </w:rPr>
    </w:lvl>
  </w:abstractNum>
  <w:abstractNum w:abstractNumId="25">
    <w:nsid w:val="7F622707"/>
    <w:multiLevelType w:val="hybridMultilevel"/>
    <w:tmpl w:val="D9D66A4A"/>
    <w:lvl w:ilvl="0">
      <w:start w:val="1"/>
      <w:numFmt w:val="decimal"/>
      <w:lvlText w:val="%1."/>
      <w:lvlJc w:val="left"/>
      <w:pPr>
        <w:tabs>
          <w:tab w:val="num" w:pos="1008"/>
        </w:tabs>
        <w:ind w:left="1008" w:hanging="648"/>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88111241">
    <w:abstractNumId w:val="12"/>
  </w:num>
  <w:num w:numId="2" w16cid:durableId="70084432">
    <w:abstractNumId w:val="7"/>
  </w:num>
  <w:num w:numId="3" w16cid:durableId="433013363">
    <w:abstractNumId w:val="11"/>
  </w:num>
  <w:num w:numId="4" w16cid:durableId="367994222">
    <w:abstractNumId w:val="8"/>
  </w:num>
  <w:num w:numId="5" w16cid:durableId="1813325989">
    <w:abstractNumId w:val="1"/>
  </w:num>
  <w:num w:numId="6" w16cid:durableId="1492528772">
    <w:abstractNumId w:val="18"/>
  </w:num>
  <w:num w:numId="7" w16cid:durableId="400831983">
    <w:abstractNumId w:val="2"/>
  </w:num>
  <w:num w:numId="8" w16cid:durableId="1724215537">
    <w:abstractNumId w:val="22"/>
  </w:num>
  <w:num w:numId="9" w16cid:durableId="1554540243">
    <w:abstractNumId w:val="24"/>
  </w:num>
  <w:num w:numId="10" w16cid:durableId="313336342">
    <w:abstractNumId w:val="19"/>
  </w:num>
  <w:num w:numId="11" w16cid:durableId="708458752">
    <w:abstractNumId w:val="15"/>
  </w:num>
  <w:num w:numId="12" w16cid:durableId="975718559">
    <w:abstractNumId w:val="0"/>
  </w:num>
  <w:num w:numId="13" w16cid:durableId="1758090250">
    <w:abstractNumId w:val="25"/>
  </w:num>
  <w:num w:numId="14" w16cid:durableId="419454215">
    <w:abstractNumId w:val="21"/>
  </w:num>
  <w:num w:numId="15" w16cid:durableId="1491828362">
    <w:abstractNumId w:val="13"/>
  </w:num>
  <w:num w:numId="16" w16cid:durableId="1752389031">
    <w:abstractNumId w:val="10"/>
  </w:num>
  <w:num w:numId="17" w16cid:durableId="1724065045">
    <w:abstractNumId w:val="23"/>
  </w:num>
  <w:num w:numId="18" w16cid:durableId="60952784">
    <w:abstractNumId w:val="20"/>
  </w:num>
  <w:num w:numId="19" w16cid:durableId="1104807813">
    <w:abstractNumId w:val="4"/>
  </w:num>
  <w:num w:numId="20" w16cid:durableId="1807966860">
    <w:abstractNumId w:val="9"/>
  </w:num>
  <w:num w:numId="21" w16cid:durableId="684285874">
    <w:abstractNumId w:val="14"/>
  </w:num>
  <w:num w:numId="22" w16cid:durableId="1659337533">
    <w:abstractNumId w:val="16"/>
  </w:num>
  <w:num w:numId="23" w16cid:durableId="894587588">
    <w:abstractNumId w:val="5"/>
  </w:num>
  <w:num w:numId="24" w16cid:durableId="1262835646">
    <w:abstractNumId w:val="17"/>
  </w:num>
  <w:num w:numId="25" w16cid:durableId="263078489">
    <w:abstractNumId w:val="6"/>
  </w:num>
  <w:num w:numId="26" w16cid:durableId="2035693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FD"/>
    <w:rsid w:val="0000172D"/>
    <w:rsid w:val="000046A3"/>
    <w:rsid w:val="00016F92"/>
    <w:rsid w:val="0003121C"/>
    <w:rsid w:val="000509BE"/>
    <w:rsid w:val="00053459"/>
    <w:rsid w:val="00056FFF"/>
    <w:rsid w:val="00093EBF"/>
    <w:rsid w:val="000A483A"/>
    <w:rsid w:val="001007EF"/>
    <w:rsid w:val="001079EC"/>
    <w:rsid w:val="00111AC6"/>
    <w:rsid w:val="0012182D"/>
    <w:rsid w:val="00132243"/>
    <w:rsid w:val="00150C2C"/>
    <w:rsid w:val="0015203B"/>
    <w:rsid w:val="00152490"/>
    <w:rsid w:val="00191B15"/>
    <w:rsid w:val="001A273F"/>
    <w:rsid w:val="001B0BFD"/>
    <w:rsid w:val="001C1DF7"/>
    <w:rsid w:val="001C298F"/>
    <w:rsid w:val="001C2BE9"/>
    <w:rsid w:val="001C62EA"/>
    <w:rsid w:val="001D2439"/>
    <w:rsid w:val="001E3A15"/>
    <w:rsid w:val="001F3127"/>
    <w:rsid w:val="001F358F"/>
    <w:rsid w:val="001F7A88"/>
    <w:rsid w:val="00202EE5"/>
    <w:rsid w:val="00204676"/>
    <w:rsid w:val="002169CB"/>
    <w:rsid w:val="00233C3E"/>
    <w:rsid w:val="00252D7D"/>
    <w:rsid w:val="002612E6"/>
    <w:rsid w:val="002753A7"/>
    <w:rsid w:val="002801FE"/>
    <w:rsid w:val="002A637E"/>
    <w:rsid w:val="002F3DE8"/>
    <w:rsid w:val="002F5455"/>
    <w:rsid w:val="002F652A"/>
    <w:rsid w:val="00312CE0"/>
    <w:rsid w:val="00337FC0"/>
    <w:rsid w:val="003514B6"/>
    <w:rsid w:val="00355E7D"/>
    <w:rsid w:val="00357352"/>
    <w:rsid w:val="003661F6"/>
    <w:rsid w:val="003720EA"/>
    <w:rsid w:val="003725A7"/>
    <w:rsid w:val="00373A8C"/>
    <w:rsid w:val="00382D0A"/>
    <w:rsid w:val="00384472"/>
    <w:rsid w:val="00391E60"/>
    <w:rsid w:val="003B0AD4"/>
    <w:rsid w:val="003B1A50"/>
    <w:rsid w:val="003B5DC1"/>
    <w:rsid w:val="003B7C84"/>
    <w:rsid w:val="003C1133"/>
    <w:rsid w:val="003C634C"/>
    <w:rsid w:val="003C675E"/>
    <w:rsid w:val="003D0259"/>
    <w:rsid w:val="003E48CC"/>
    <w:rsid w:val="003E62A6"/>
    <w:rsid w:val="004007DD"/>
    <w:rsid w:val="00401B3C"/>
    <w:rsid w:val="00407A68"/>
    <w:rsid w:val="00421574"/>
    <w:rsid w:val="00427E50"/>
    <w:rsid w:val="00433F13"/>
    <w:rsid w:val="00441177"/>
    <w:rsid w:val="00494416"/>
    <w:rsid w:val="0049564B"/>
    <w:rsid w:val="00496F23"/>
    <w:rsid w:val="004B4240"/>
    <w:rsid w:val="004F797F"/>
    <w:rsid w:val="00543370"/>
    <w:rsid w:val="00544C35"/>
    <w:rsid w:val="005459B1"/>
    <w:rsid w:val="00553DE7"/>
    <w:rsid w:val="005672CE"/>
    <w:rsid w:val="0058562E"/>
    <w:rsid w:val="005B029B"/>
    <w:rsid w:val="005B1A14"/>
    <w:rsid w:val="005B4E14"/>
    <w:rsid w:val="005C78DE"/>
    <w:rsid w:val="005E56F4"/>
    <w:rsid w:val="005E6CEB"/>
    <w:rsid w:val="006064A9"/>
    <w:rsid w:val="00622C01"/>
    <w:rsid w:val="0063235A"/>
    <w:rsid w:val="006464F4"/>
    <w:rsid w:val="00654D72"/>
    <w:rsid w:val="00661833"/>
    <w:rsid w:val="00661C36"/>
    <w:rsid w:val="00662836"/>
    <w:rsid w:val="006752E5"/>
    <w:rsid w:val="006949C0"/>
    <w:rsid w:val="006D3CB7"/>
    <w:rsid w:val="006F009F"/>
    <w:rsid w:val="00705E0B"/>
    <w:rsid w:val="007140B0"/>
    <w:rsid w:val="00722918"/>
    <w:rsid w:val="00727547"/>
    <w:rsid w:val="00727CD0"/>
    <w:rsid w:val="007439B7"/>
    <w:rsid w:val="0075537B"/>
    <w:rsid w:val="00772331"/>
    <w:rsid w:val="00780324"/>
    <w:rsid w:val="007953BF"/>
    <w:rsid w:val="00797B68"/>
    <w:rsid w:val="007B1A56"/>
    <w:rsid w:val="007B4485"/>
    <w:rsid w:val="007C293D"/>
    <w:rsid w:val="007C49AC"/>
    <w:rsid w:val="007E6189"/>
    <w:rsid w:val="007E63E3"/>
    <w:rsid w:val="00800DDA"/>
    <w:rsid w:val="008017D9"/>
    <w:rsid w:val="008575B2"/>
    <w:rsid w:val="00872285"/>
    <w:rsid w:val="008775FB"/>
    <w:rsid w:val="00881B30"/>
    <w:rsid w:val="00883BD0"/>
    <w:rsid w:val="00886172"/>
    <w:rsid w:val="008A3D75"/>
    <w:rsid w:val="008B5AC5"/>
    <w:rsid w:val="008C3083"/>
    <w:rsid w:val="008D2B48"/>
    <w:rsid w:val="008F78F9"/>
    <w:rsid w:val="00912388"/>
    <w:rsid w:val="00943653"/>
    <w:rsid w:val="00960524"/>
    <w:rsid w:val="00960B55"/>
    <w:rsid w:val="00962D60"/>
    <w:rsid w:val="00964D61"/>
    <w:rsid w:val="00976236"/>
    <w:rsid w:val="00985CDA"/>
    <w:rsid w:val="00996B63"/>
    <w:rsid w:val="009A4436"/>
    <w:rsid w:val="009A4AEE"/>
    <w:rsid w:val="009B1E8A"/>
    <w:rsid w:val="009B5DEB"/>
    <w:rsid w:val="009C3C13"/>
    <w:rsid w:val="009D09CD"/>
    <w:rsid w:val="009D3A14"/>
    <w:rsid w:val="009D3F59"/>
    <w:rsid w:val="009D595F"/>
    <w:rsid w:val="009E6D0D"/>
    <w:rsid w:val="00A1478C"/>
    <w:rsid w:val="00A443C3"/>
    <w:rsid w:val="00A51198"/>
    <w:rsid w:val="00A540E8"/>
    <w:rsid w:val="00A63E35"/>
    <w:rsid w:val="00A65F1F"/>
    <w:rsid w:val="00A66492"/>
    <w:rsid w:val="00A76FD4"/>
    <w:rsid w:val="00A973B1"/>
    <w:rsid w:val="00AA5595"/>
    <w:rsid w:val="00AA605E"/>
    <w:rsid w:val="00AB5161"/>
    <w:rsid w:val="00AB7CF6"/>
    <w:rsid w:val="00AC333F"/>
    <w:rsid w:val="00AC3D5E"/>
    <w:rsid w:val="00AE5C01"/>
    <w:rsid w:val="00B07A19"/>
    <w:rsid w:val="00B32847"/>
    <w:rsid w:val="00B94329"/>
    <w:rsid w:val="00BB460D"/>
    <w:rsid w:val="00BB6047"/>
    <w:rsid w:val="00BC4B7A"/>
    <w:rsid w:val="00BE0BFD"/>
    <w:rsid w:val="00C057D2"/>
    <w:rsid w:val="00C124BD"/>
    <w:rsid w:val="00C40F24"/>
    <w:rsid w:val="00C42095"/>
    <w:rsid w:val="00C60A19"/>
    <w:rsid w:val="00C64707"/>
    <w:rsid w:val="00C71224"/>
    <w:rsid w:val="00C86B32"/>
    <w:rsid w:val="00C90E1A"/>
    <w:rsid w:val="00C940EB"/>
    <w:rsid w:val="00CA32A3"/>
    <w:rsid w:val="00CA517C"/>
    <w:rsid w:val="00CB476D"/>
    <w:rsid w:val="00CD6D32"/>
    <w:rsid w:val="00D25FB6"/>
    <w:rsid w:val="00D55139"/>
    <w:rsid w:val="00D7010F"/>
    <w:rsid w:val="00D76A8E"/>
    <w:rsid w:val="00D87CC7"/>
    <w:rsid w:val="00DA751C"/>
    <w:rsid w:val="00DA7BFB"/>
    <w:rsid w:val="00DC0453"/>
    <w:rsid w:val="00DD2A89"/>
    <w:rsid w:val="00DE7A16"/>
    <w:rsid w:val="00DF6A32"/>
    <w:rsid w:val="00E165FD"/>
    <w:rsid w:val="00E35BFA"/>
    <w:rsid w:val="00E401F4"/>
    <w:rsid w:val="00E47C81"/>
    <w:rsid w:val="00E606F5"/>
    <w:rsid w:val="00E6321A"/>
    <w:rsid w:val="00E67877"/>
    <w:rsid w:val="00E85B03"/>
    <w:rsid w:val="00EB6C15"/>
    <w:rsid w:val="00EB7B31"/>
    <w:rsid w:val="00EC0D84"/>
    <w:rsid w:val="00ED61B4"/>
    <w:rsid w:val="00F006DA"/>
    <w:rsid w:val="00F06709"/>
    <w:rsid w:val="00F210E0"/>
    <w:rsid w:val="00F21E28"/>
    <w:rsid w:val="00F25B06"/>
    <w:rsid w:val="00F321F6"/>
    <w:rsid w:val="00F41190"/>
    <w:rsid w:val="00F442BE"/>
    <w:rsid w:val="00F47B27"/>
    <w:rsid w:val="00F5410B"/>
    <w:rsid w:val="00F67819"/>
    <w:rsid w:val="00F7132E"/>
    <w:rsid w:val="00F72132"/>
    <w:rsid w:val="00F75CB2"/>
    <w:rsid w:val="00F76C38"/>
    <w:rsid w:val="00F867C9"/>
    <w:rsid w:val="00F9525D"/>
    <w:rsid w:val="00FB326D"/>
    <w:rsid w:val="00FC294D"/>
    <w:rsid w:val="00FC3969"/>
    <w:rsid w:val="00FC410B"/>
    <w:rsid w:val="00FD0F6D"/>
    <w:rsid w:val="00FD60DA"/>
    <w:rsid w:val="00FF59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0D173D"/>
  <w15:docId w15:val="{CCCC1E4A-BD83-4250-945E-49912C13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407A68"/>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aliases w:val="*Footnote Text"/>
    <w:basedOn w:val="Normal"/>
    <w:link w:val="FootnoteTextChar"/>
    <w:uiPriority w:val="99"/>
    <w:qFormat/>
    <w:pPr>
      <w:widowControl w:val="0"/>
    </w:pPr>
    <w:rPr>
      <w:rFonts w:ascii="Courier" w:hAnsi="Courier"/>
      <w:sz w:val="24"/>
    </w:rPr>
  </w:style>
  <w:style w:type="paragraph" w:styleId="BodyTextIndent">
    <w:name w:val="Body Text Indent"/>
    <w:basedOn w:val="Normal"/>
    <w:pPr>
      <w:tabs>
        <w:tab w:val="left" w:pos="-720"/>
        <w:tab w:val="left" w:pos="0"/>
        <w:tab w:val="left" w:pos="720"/>
      </w:tabs>
      <w:suppressAutoHyphens/>
      <w:ind w:left="1440" w:hanging="144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
    <w:name w:val="Body Text"/>
    <w:basedOn w:val="Normal"/>
    <w:pPr>
      <w:suppressAutoHyphens/>
    </w:pPr>
    <w:rPr>
      <w:sz w:val="24"/>
    </w:rPr>
  </w:style>
  <w:style w:type="paragraph" w:styleId="BodyText3">
    <w:name w:val="Body Text 3"/>
    <w:basedOn w:val="Normal"/>
    <w:pPr>
      <w:jc w:val="center"/>
    </w:pPr>
    <w:rPr>
      <w:b/>
      <w:bCs/>
    </w:rPr>
  </w:style>
  <w:style w:type="paragraph" w:styleId="BodyTextIndent3">
    <w:name w:val="Body Text Indent 3"/>
    <w:basedOn w:val="Normal"/>
    <w:pPr>
      <w:ind w:left="720"/>
    </w:pPr>
  </w:style>
  <w:style w:type="paragraph" w:styleId="BalloonText">
    <w:name w:val="Balloon Text"/>
    <w:basedOn w:val="Normal"/>
    <w:semiHidden/>
    <w:rsid w:val="00CA517C"/>
    <w:rPr>
      <w:rFonts w:ascii="Tahoma" w:hAnsi="Tahoma" w:cs="Tahoma"/>
      <w:sz w:val="16"/>
      <w:szCs w:val="16"/>
    </w:rPr>
  </w:style>
  <w:style w:type="character" w:styleId="CommentReference">
    <w:name w:val="annotation reference"/>
    <w:rsid w:val="006D3CB7"/>
    <w:rPr>
      <w:sz w:val="16"/>
      <w:szCs w:val="16"/>
    </w:rPr>
  </w:style>
  <w:style w:type="paragraph" w:styleId="CommentText">
    <w:name w:val="annotation text"/>
    <w:basedOn w:val="Normal"/>
    <w:link w:val="CommentTextChar"/>
    <w:rsid w:val="006D3CB7"/>
    <w:rPr>
      <w:sz w:val="20"/>
    </w:rPr>
  </w:style>
  <w:style w:type="character" w:customStyle="1" w:styleId="CommentTextChar">
    <w:name w:val="Comment Text Char"/>
    <w:basedOn w:val="DefaultParagraphFont"/>
    <w:link w:val="CommentText"/>
    <w:rsid w:val="006D3CB7"/>
  </w:style>
  <w:style w:type="paragraph" w:styleId="CommentSubject">
    <w:name w:val="annotation subject"/>
    <w:basedOn w:val="CommentText"/>
    <w:next w:val="CommentText"/>
    <w:link w:val="CommentSubjectChar"/>
    <w:rsid w:val="006D3CB7"/>
    <w:rPr>
      <w:b/>
      <w:bCs/>
    </w:rPr>
  </w:style>
  <w:style w:type="character" w:customStyle="1" w:styleId="CommentSubjectChar">
    <w:name w:val="Comment Subject Char"/>
    <w:link w:val="CommentSubject"/>
    <w:rsid w:val="006D3CB7"/>
    <w:rPr>
      <w:b/>
      <w:bCs/>
    </w:rPr>
  </w:style>
  <w:style w:type="paragraph" w:styleId="Revision">
    <w:name w:val="Revision"/>
    <w:hidden/>
    <w:uiPriority w:val="99"/>
    <w:semiHidden/>
    <w:rsid w:val="00FD0F6D"/>
    <w:rPr>
      <w:sz w:val="22"/>
    </w:rPr>
  </w:style>
  <w:style w:type="paragraph" w:styleId="ListParagraph">
    <w:name w:val="List Paragraph"/>
    <w:basedOn w:val="Normal"/>
    <w:uiPriority w:val="34"/>
    <w:qFormat/>
    <w:rsid w:val="00421574"/>
    <w:pPr>
      <w:ind w:left="720"/>
    </w:pPr>
  </w:style>
  <w:style w:type="paragraph" w:styleId="Header">
    <w:name w:val="header"/>
    <w:basedOn w:val="Normal"/>
    <w:link w:val="HeaderChar"/>
    <w:uiPriority w:val="99"/>
    <w:rsid w:val="00421574"/>
    <w:pPr>
      <w:tabs>
        <w:tab w:val="center" w:pos="4680"/>
        <w:tab w:val="right" w:pos="9360"/>
      </w:tabs>
    </w:pPr>
  </w:style>
  <w:style w:type="character" w:customStyle="1" w:styleId="HeaderChar">
    <w:name w:val="Header Char"/>
    <w:link w:val="Header"/>
    <w:uiPriority w:val="99"/>
    <w:rsid w:val="00421574"/>
    <w:rPr>
      <w:sz w:val="22"/>
    </w:rPr>
  </w:style>
  <w:style w:type="paragraph" w:styleId="Footer">
    <w:name w:val="footer"/>
    <w:basedOn w:val="Normal"/>
    <w:link w:val="FooterChar"/>
    <w:uiPriority w:val="99"/>
    <w:rsid w:val="00421574"/>
    <w:pPr>
      <w:tabs>
        <w:tab w:val="center" w:pos="4680"/>
        <w:tab w:val="right" w:pos="9360"/>
      </w:tabs>
    </w:pPr>
  </w:style>
  <w:style w:type="character" w:customStyle="1" w:styleId="FooterChar">
    <w:name w:val="Footer Char"/>
    <w:link w:val="Footer"/>
    <w:uiPriority w:val="99"/>
    <w:rsid w:val="00421574"/>
    <w:rPr>
      <w:sz w:val="22"/>
    </w:rPr>
  </w:style>
  <w:style w:type="character" w:customStyle="1" w:styleId="enumxml">
    <w:name w:val="enumxml"/>
    <w:rsid w:val="00407A68"/>
  </w:style>
  <w:style w:type="character" w:styleId="Hyperlink">
    <w:name w:val="Hyperlink"/>
    <w:uiPriority w:val="99"/>
    <w:unhideWhenUsed/>
    <w:rsid w:val="00407A68"/>
    <w:rPr>
      <w:color w:val="0000FF"/>
      <w:u w:val="single"/>
    </w:rPr>
  </w:style>
  <w:style w:type="character" w:customStyle="1" w:styleId="Heading1Char">
    <w:name w:val="Heading 1 Char"/>
    <w:link w:val="Heading1"/>
    <w:rsid w:val="00407A68"/>
    <w:rPr>
      <w:rFonts w:ascii="Calibri Light" w:eastAsia="Times New Roman" w:hAnsi="Calibri Light" w:cs="Times New Roman"/>
      <w:b/>
      <w:bCs/>
      <w:kern w:val="32"/>
      <w:sz w:val="32"/>
      <w:szCs w:val="32"/>
    </w:rPr>
  </w:style>
  <w:style w:type="character" w:styleId="FootnoteReference">
    <w:name w:val="footnote reference"/>
    <w:aliases w:val="*Footnote Reference,Number"/>
    <w:uiPriority w:val="99"/>
    <w:qFormat/>
    <w:rsid w:val="007E6189"/>
    <w:rPr>
      <w:vertAlign w:val="superscript"/>
    </w:rPr>
  </w:style>
  <w:style w:type="character" w:customStyle="1" w:styleId="FootnoteTextChar">
    <w:name w:val="Footnote Text Char"/>
    <w:aliases w:val="*Footnote Text Char"/>
    <w:basedOn w:val="DefaultParagraphFont"/>
    <w:link w:val="FootnoteText"/>
    <w:uiPriority w:val="99"/>
    <w:rsid w:val="003B5DC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astapplications@" TargetMode="External" /><Relationship Id="rId7" Type="http://schemas.openxmlformats.org/officeDocument/2006/relationships/hyperlink" Target="https://www.law.cornell.edu/definitions/index.php?width=840&amp;height=800&amp;iframe=true&amp;def_id=9c9ab82ef5023e907caff0f4e9410e03&amp;term_occur=1&amp;term_src=Title:14:Chapter:III:Subchapter:C:Part:413:413.9"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3F3E-2656-4494-A2AB-2555490B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PAPERWORK REDUCTION STATEMENT:</vt:lpstr>
    </vt:vector>
  </TitlesOfParts>
  <Company>FederalAviationAdministration</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STATEMENT:</dc:title>
  <dc:creator>AST</dc:creator>
  <cp:lastModifiedBy>Bishop, Doris D (FAA)</cp:lastModifiedBy>
  <cp:revision>2</cp:revision>
  <cp:lastPrinted>2025-11-25T18:52:00Z</cp:lastPrinted>
  <dcterms:created xsi:type="dcterms:W3CDTF">2025-11-25T19:11:00Z</dcterms:created>
  <dcterms:modified xsi:type="dcterms:W3CDTF">2025-11-25T19:11:00Z</dcterms:modified>
</cp:coreProperties>
</file>