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3B1" w:rsidP="006C7FAE" w14:paraId="78239CE7" w14:textId="77777777">
      <w:pPr>
        <w:jc w:val="center"/>
        <w:rPr>
          <w:b/>
          <w:sz w:val="24"/>
          <w:szCs w:val="24"/>
        </w:rPr>
      </w:pPr>
      <w:r w:rsidRPr="00167E53">
        <w:rPr>
          <w:b/>
          <w:sz w:val="24"/>
          <w:szCs w:val="24"/>
        </w:rPr>
        <w:t>Supporting Statement for Paperwork Reduction Act Submissions</w:t>
      </w:r>
    </w:p>
    <w:p w:rsidR="006A04A1" w:rsidRPr="006A04A1" w:rsidP="006A04A1" w14:paraId="290CAB79" w14:textId="77777777">
      <w:pPr>
        <w:jc w:val="center"/>
        <w:rPr>
          <w:b/>
          <w:bCs/>
          <w:sz w:val="24"/>
          <w:szCs w:val="24"/>
        </w:rPr>
      </w:pPr>
      <w:r w:rsidRPr="006A04A1">
        <w:rPr>
          <w:b/>
          <w:bCs/>
          <w:sz w:val="24"/>
          <w:szCs w:val="24"/>
        </w:rPr>
        <w:t>Application for Fee or Roster Personnel (Appraisers) Designation and Appraisal Reports</w:t>
      </w:r>
    </w:p>
    <w:p w:rsidR="006A04A1" w:rsidRPr="006A04A1" w:rsidP="006A04A1" w14:paraId="661B18C5" w14:textId="65F6C099">
      <w:pPr>
        <w:rPr>
          <w:b/>
          <w:sz w:val="24"/>
          <w:szCs w:val="24"/>
        </w:rPr>
      </w:pPr>
      <w:r>
        <w:rPr>
          <w:b/>
          <w:sz w:val="24"/>
          <w:szCs w:val="24"/>
        </w:rPr>
        <w:tab/>
      </w:r>
      <w:r>
        <w:rPr>
          <w:b/>
          <w:sz w:val="24"/>
          <w:szCs w:val="24"/>
        </w:rPr>
        <w:tab/>
      </w:r>
      <w:r>
        <w:rPr>
          <w:b/>
          <w:sz w:val="24"/>
          <w:szCs w:val="24"/>
        </w:rPr>
        <w:tab/>
      </w:r>
      <w:r>
        <w:rPr>
          <w:b/>
          <w:sz w:val="24"/>
          <w:szCs w:val="24"/>
        </w:rPr>
        <w:tab/>
      </w:r>
      <w:r w:rsidRPr="006A04A1">
        <w:rPr>
          <w:b/>
          <w:sz w:val="24"/>
          <w:szCs w:val="24"/>
        </w:rPr>
        <w:t>OMB Control Number: 2502-0538</w:t>
      </w:r>
    </w:p>
    <w:p w:rsidR="009E13B1" w:rsidP="006C7FAE" w14:paraId="176A8089" w14:textId="77777777">
      <w:pPr>
        <w:rPr>
          <w:b/>
          <w:sz w:val="24"/>
          <w:szCs w:val="24"/>
        </w:rPr>
      </w:pPr>
    </w:p>
    <w:p w:rsidR="009E13B1" w:rsidRPr="006C7FAE" w14:paraId="6BD1C1B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rsidR="009E13B1" w:rsidRPr="006C7FAE" w14:paraId="690066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rsidR="009E13B1" w:rsidRPr="0070247F" w:rsidP="00B22F46" w14:paraId="4F66A6EF" w14:textId="603868F2">
      <w:pPr>
        <w:pStyle w:val="ListParagraph"/>
        <w:keepLines/>
        <w:numPr>
          <w:ilvl w:val="0"/>
          <w:numId w:val="15"/>
        </w:numPr>
        <w:tabs>
          <w:tab w:val="left" w:pos="360"/>
        </w:tabs>
        <w:spacing w:after="80"/>
        <w:rPr>
          <w:b/>
          <w:bCs/>
          <w:sz w:val="24"/>
          <w:szCs w:val="24"/>
        </w:rPr>
      </w:pPr>
      <w:r w:rsidRPr="0070247F">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22F46" w:rsidRPr="00AD3B58" w:rsidP="00B22F46" w14:paraId="5EA0F734" w14:textId="77777777">
      <w:pPr>
        <w:keepLines/>
        <w:tabs>
          <w:tab w:val="left" w:pos="360"/>
        </w:tabs>
        <w:spacing w:after="80"/>
        <w:ind w:left="360"/>
        <w:rPr>
          <w:sz w:val="16"/>
          <w:szCs w:val="16"/>
        </w:rPr>
      </w:pPr>
    </w:p>
    <w:p w:rsidR="00015B2F" w:rsidRPr="00015B2F" w:rsidP="00121819" w14:paraId="0FE007CC" w14:textId="77777777">
      <w:pPr>
        <w:tabs>
          <w:tab w:val="left" w:pos="360"/>
        </w:tabs>
        <w:ind w:left="360" w:hanging="360"/>
        <w:rPr>
          <w:b/>
          <w:sz w:val="24"/>
          <w:szCs w:val="24"/>
        </w:rPr>
      </w:pPr>
      <w:r>
        <w:rPr>
          <w:sz w:val="24"/>
          <w:szCs w:val="24"/>
        </w:rPr>
        <w:tab/>
      </w:r>
      <w:r w:rsidRPr="00015B2F">
        <w:rPr>
          <w:sz w:val="24"/>
          <w:szCs w:val="24"/>
        </w:rPr>
        <w:t>This information collection clearance package seeks to renew the OMB approval of 2502-0538.  Chapter 13 Title 12 of the National Housing Act, (Pub. L. 73-479, 48 Stat. 1246,</w:t>
      </w:r>
      <w:r w:rsidRPr="00015B2F">
        <w:rPr>
          <w:b/>
          <w:bCs/>
          <w:sz w:val="24"/>
          <w:szCs w:val="24"/>
        </w:rPr>
        <w:t xml:space="preserve"> </w:t>
      </w:r>
      <w:r w:rsidRPr="00015B2F">
        <w:rPr>
          <w:sz w:val="24"/>
          <w:szCs w:val="24"/>
        </w:rPr>
        <w:t xml:space="preserve">12 U.S.C. 1709 et seq.) authorizes the Secretary of HUD, upon application by the lender, to insure mortgages offered to HUD that are eligible for insurance. The Housing and Community Development Act of 1987, </w:t>
      </w:r>
      <w:hyperlink r:id="rId8" w:anchor=":~:text=Go!-,42%20U.S.%20Code%20%C2%A7%203543,-%2D%20Preventing%20fraud%20" w:history="1">
        <w:r w:rsidRPr="00015B2F">
          <w:rPr>
            <w:rStyle w:val="Hyperlink"/>
            <w:sz w:val="24"/>
            <w:szCs w:val="24"/>
          </w:rPr>
          <w:t>42 U.S. Code § 3543</w:t>
        </w:r>
      </w:hyperlink>
      <w:r w:rsidRPr="00015B2F">
        <w:rPr>
          <w:sz w:val="24"/>
          <w:szCs w:val="24"/>
        </w:rPr>
        <w:t xml:space="preserve"> authorizes HUD to collect the SSN on form 92563-A. Regulations codified at 24 CFR 203.15 require valuations pertinent to eligibility for HUDs single family mortgage insurance programs.</w:t>
      </w:r>
    </w:p>
    <w:p w:rsidR="009E13B1" w:rsidRPr="00AD3B58" w:rsidP="00B22F46" w14:paraId="301F0D45" w14:textId="2097C5F3">
      <w:pPr>
        <w:tabs>
          <w:tab w:val="left" w:pos="360"/>
        </w:tabs>
        <w:ind w:left="720" w:hanging="360"/>
        <w:rPr>
          <w:sz w:val="16"/>
          <w:szCs w:val="16"/>
        </w:rPr>
      </w:pPr>
    </w:p>
    <w:p w:rsidR="00A9437B" w:rsidRPr="00A9437B" w:rsidP="00121819" w14:paraId="1F727102" w14:textId="4DD5974A">
      <w:pPr>
        <w:tabs>
          <w:tab w:val="left" w:pos="360"/>
        </w:tabs>
        <w:ind w:left="360" w:hanging="360"/>
        <w:rPr>
          <w:b/>
          <w:bCs/>
          <w:sz w:val="24"/>
          <w:szCs w:val="24"/>
        </w:rPr>
      </w:pPr>
      <w:r>
        <w:rPr>
          <w:sz w:val="24"/>
          <w:szCs w:val="24"/>
        </w:rPr>
        <w:tab/>
      </w:r>
      <w:r w:rsidRPr="00A9437B">
        <w:rPr>
          <w:sz w:val="24"/>
          <w:szCs w:val="24"/>
        </w:rPr>
        <w:t>Accurate and thorough appraisal reporting is critical to the accuracy of underwriting for the mortgage insurance process.  The need for accuracy is increased for FHA insured mortgages since buyers tend to have more limited income and lower equity in the properties.  This collection of information provides a more thorough and complete appraisal of prospective HUD-insured single-family properties ensuring that mortgages are acceptable for FHA insurance and thereby protect the interest of HUD, the taxpayers, and the FHA insurance fund.  Policies and procedures for governing the national FHA Appraiser Roster are set forth in Title 24 of the CFR: 24 CFR 200.200-202, 206.</w:t>
      </w:r>
      <w:r w:rsidRPr="00A9437B">
        <w:rPr>
          <w:b/>
          <w:bCs/>
          <w:sz w:val="24"/>
          <w:szCs w:val="24"/>
        </w:rPr>
        <w:t xml:space="preserve">  </w:t>
      </w:r>
    </w:p>
    <w:p w:rsidR="00D81406" w:rsidRPr="006C7FAE" w14:paraId="232EE019" w14:textId="046620B0">
      <w:pPr>
        <w:tabs>
          <w:tab w:val="left" w:pos="360"/>
        </w:tabs>
        <w:ind w:left="360" w:hanging="360"/>
        <w:rPr>
          <w:sz w:val="24"/>
          <w:szCs w:val="24"/>
        </w:rPr>
      </w:pPr>
    </w:p>
    <w:p w:rsidR="009E13B1" w:rsidRPr="0070247F" w14:paraId="324CDFDE" w14:textId="77777777">
      <w:pPr>
        <w:keepLines/>
        <w:tabs>
          <w:tab w:val="left" w:pos="360"/>
        </w:tabs>
        <w:spacing w:after="80"/>
        <w:ind w:left="360" w:hanging="360"/>
        <w:rPr>
          <w:b/>
          <w:bCs/>
          <w:sz w:val="24"/>
          <w:szCs w:val="24"/>
        </w:rPr>
      </w:pPr>
      <w:r w:rsidRPr="0070247F">
        <w:rPr>
          <w:b/>
          <w:bCs/>
          <w:sz w:val="24"/>
          <w:szCs w:val="24"/>
        </w:rPr>
        <w:t>2.</w:t>
      </w:r>
      <w:r w:rsidRPr="0070247F">
        <w:rPr>
          <w:b/>
          <w:bCs/>
          <w:sz w:val="24"/>
          <w:szCs w:val="24"/>
        </w:rPr>
        <w:tab/>
        <w:t>Indicate how, by whom and for what purpose the information is to be used.  Except for a new collection, indicate the actual use the agency has made of the information received from the current collection.</w:t>
      </w:r>
    </w:p>
    <w:p w:rsidR="006F710F" w:rsidRPr="006F710F" w:rsidP="00121819" w14:paraId="3BA914A7" w14:textId="6415106D">
      <w:pPr>
        <w:keepLines/>
        <w:tabs>
          <w:tab w:val="left" w:pos="360"/>
          <w:tab w:val="left" w:pos="720"/>
        </w:tabs>
        <w:ind w:left="360"/>
        <w:rPr>
          <w:sz w:val="24"/>
          <w:szCs w:val="24"/>
        </w:rPr>
      </w:pPr>
      <w:r>
        <w:rPr>
          <w:sz w:val="24"/>
          <w:szCs w:val="24"/>
        </w:rPr>
        <w:t>In compliance with regu</w:t>
      </w:r>
      <w:r w:rsidR="0072396B">
        <w:rPr>
          <w:sz w:val="24"/>
          <w:szCs w:val="24"/>
        </w:rPr>
        <w:t>l</w:t>
      </w:r>
      <w:r>
        <w:rPr>
          <w:sz w:val="24"/>
          <w:szCs w:val="24"/>
        </w:rPr>
        <w:t xml:space="preserve">ations </w:t>
      </w:r>
      <w:r w:rsidR="0072396B">
        <w:rPr>
          <w:sz w:val="24"/>
          <w:szCs w:val="24"/>
        </w:rPr>
        <w:t>at</w:t>
      </w:r>
      <w:r>
        <w:rPr>
          <w:sz w:val="24"/>
          <w:szCs w:val="24"/>
        </w:rPr>
        <w:t xml:space="preserve"> </w:t>
      </w:r>
      <w:r w:rsidRPr="006F710F" w:rsidR="0072396B">
        <w:rPr>
          <w:sz w:val="24"/>
          <w:szCs w:val="24"/>
        </w:rPr>
        <w:t>24 CFR 200.202</w:t>
      </w:r>
      <w:r w:rsidR="0072396B">
        <w:rPr>
          <w:sz w:val="24"/>
          <w:szCs w:val="24"/>
        </w:rPr>
        <w:t xml:space="preserve">, </w:t>
      </w:r>
      <w:r w:rsidR="004D5763">
        <w:rPr>
          <w:sz w:val="24"/>
          <w:szCs w:val="24"/>
        </w:rPr>
        <w:t xml:space="preserve">application </w:t>
      </w:r>
      <w:r w:rsidR="00062BB0">
        <w:rPr>
          <w:sz w:val="24"/>
          <w:szCs w:val="24"/>
        </w:rPr>
        <w:t xml:space="preserve">for placement on the FHA Appraiser Roster </w:t>
      </w:r>
      <w:r w:rsidR="00FB0E84">
        <w:rPr>
          <w:sz w:val="24"/>
          <w:szCs w:val="24"/>
        </w:rPr>
        <w:t>requires completio</w:t>
      </w:r>
      <w:r w:rsidR="0061630B">
        <w:rPr>
          <w:sz w:val="24"/>
          <w:szCs w:val="24"/>
        </w:rPr>
        <w:t>n</w:t>
      </w:r>
      <w:r w:rsidR="00FB0E84">
        <w:rPr>
          <w:sz w:val="24"/>
          <w:szCs w:val="24"/>
        </w:rPr>
        <w:t xml:space="preserve"> and submission of form HUD-92563A</w:t>
      </w:r>
      <w:r w:rsidR="0061630B">
        <w:rPr>
          <w:sz w:val="24"/>
          <w:szCs w:val="24"/>
        </w:rPr>
        <w:t xml:space="preserve">, </w:t>
      </w:r>
      <w:r w:rsidRPr="006F710F" w:rsidR="0061630B">
        <w:rPr>
          <w:sz w:val="24"/>
          <w:szCs w:val="24"/>
        </w:rPr>
        <w:t>Application for Roster Personnel Designation</w:t>
      </w:r>
      <w:r w:rsidRPr="0061630B" w:rsidR="0061630B">
        <w:rPr>
          <w:sz w:val="24"/>
          <w:szCs w:val="24"/>
        </w:rPr>
        <w:t xml:space="preserve"> </w:t>
      </w:r>
      <w:r w:rsidR="00FB0E84">
        <w:rPr>
          <w:sz w:val="24"/>
          <w:szCs w:val="24"/>
        </w:rPr>
        <w:t>to HUD for re</w:t>
      </w:r>
      <w:r w:rsidR="0061630B">
        <w:rPr>
          <w:sz w:val="24"/>
          <w:szCs w:val="24"/>
        </w:rPr>
        <w:t xml:space="preserve">view and processing. </w:t>
      </w:r>
    </w:p>
    <w:p w:rsidR="006F710F" w:rsidRPr="00AD3B58" w:rsidP="00557196" w14:paraId="608A1C43" w14:textId="77777777">
      <w:pPr>
        <w:keepLines/>
        <w:tabs>
          <w:tab w:val="left" w:pos="360"/>
          <w:tab w:val="left" w:pos="720"/>
        </w:tabs>
        <w:ind w:left="720"/>
        <w:rPr>
          <w:sz w:val="16"/>
          <w:szCs w:val="16"/>
        </w:rPr>
      </w:pPr>
    </w:p>
    <w:p w:rsidR="00BA2DFD" w:rsidRPr="00BA2DFD" w:rsidP="00121819" w14:paraId="0542EBE9" w14:textId="452A8106">
      <w:pPr>
        <w:keepLines/>
        <w:tabs>
          <w:tab w:val="left" w:pos="360"/>
          <w:tab w:val="left" w:pos="720"/>
        </w:tabs>
        <w:ind w:left="360"/>
        <w:rPr>
          <w:sz w:val="24"/>
          <w:szCs w:val="24"/>
        </w:rPr>
      </w:pPr>
      <w:r w:rsidRPr="006F710F">
        <w:rPr>
          <w:sz w:val="24"/>
          <w:szCs w:val="24"/>
        </w:rPr>
        <w:t>Prior to June 15, 2024, the form required the appraiser to print, sign, scan and send the completed form with all the certifications that the appraiser makes above the appraiser’s signature, to HUD.  On June 15, 2024, digital signature capability was implemented.</w:t>
      </w:r>
      <w:r w:rsidR="00121819">
        <w:rPr>
          <w:sz w:val="24"/>
          <w:szCs w:val="24"/>
        </w:rPr>
        <w:t xml:space="preserve"> </w:t>
      </w:r>
      <w:r w:rsidRPr="002D58F1">
        <w:rPr>
          <w:sz w:val="24"/>
          <w:szCs w:val="24"/>
        </w:rPr>
        <w:t>HUD no longer requires a scan of an “ink” signature, and that signature is captured electronically.  This information is collected when the appraiser applies to be on the FHA Appraiser Roster and is stored electronically in FHA Connection but can only be viewed by HUD employees with special clearance.  Qualified applicants are then placed on the</w:t>
      </w:r>
      <w:r>
        <w:rPr>
          <w:sz w:val="24"/>
          <w:szCs w:val="24"/>
        </w:rPr>
        <w:t xml:space="preserve"> </w:t>
      </w:r>
      <w:r w:rsidRPr="00BA2DFD">
        <w:rPr>
          <w:sz w:val="24"/>
          <w:szCs w:val="24"/>
        </w:rPr>
        <w:t>FHA Appraiser Roster from which FHA approved mortgagees select appraisers. The information is not shared with any other government agency.</w:t>
      </w:r>
      <w:r w:rsidR="00AD3B58">
        <w:rPr>
          <w:sz w:val="24"/>
          <w:szCs w:val="24"/>
        </w:rPr>
        <w:t xml:space="preserve"> </w:t>
      </w:r>
      <w:r w:rsidRPr="00BA2DFD">
        <w:rPr>
          <w:sz w:val="24"/>
          <w:szCs w:val="24"/>
        </w:rPr>
        <w:t>Appraisers seeking renewal to remain on the FHA Appraiser Roster only submit copies of their updated state certification/license.</w:t>
      </w:r>
    </w:p>
    <w:p w:rsidR="00BA2DFD" w:rsidRPr="00AD3B58" w:rsidP="00557196" w14:paraId="7360F852" w14:textId="77777777">
      <w:pPr>
        <w:keepLines/>
        <w:tabs>
          <w:tab w:val="left" w:pos="360"/>
          <w:tab w:val="left" w:pos="720"/>
        </w:tabs>
        <w:ind w:left="720"/>
        <w:rPr>
          <w:sz w:val="16"/>
          <w:szCs w:val="16"/>
        </w:rPr>
      </w:pPr>
    </w:p>
    <w:p w:rsidR="00BA2DFD" w:rsidRPr="00BA2DFD" w:rsidP="00121819" w14:paraId="6A236835" w14:textId="77777777">
      <w:pPr>
        <w:keepLines/>
        <w:tabs>
          <w:tab w:val="left" w:pos="360"/>
          <w:tab w:val="left" w:pos="720"/>
        </w:tabs>
        <w:ind w:left="360"/>
        <w:rPr>
          <w:sz w:val="24"/>
          <w:szCs w:val="24"/>
        </w:rPr>
      </w:pPr>
      <w:r w:rsidRPr="00BA2DFD">
        <w:rPr>
          <w:sz w:val="24"/>
          <w:szCs w:val="24"/>
        </w:rPr>
        <w:t>To remove an appraiser from the roster, HUD must provide the appraiser with a written notice.  An appraiser wishing to be reinstated must send HUD a written response appealing the proposed removal and send a written request for a conference.  If there has been a state sanction against an appraiser, HUD requires evidence demonstrating that the state-imposed sanction has been lifted.  The average time to prepare a response to the notification of sanction is approximately 90 minutes.</w:t>
      </w:r>
    </w:p>
    <w:p w:rsidR="00BA2DFD" w:rsidRPr="00BA2DFD" w:rsidP="00557196" w14:paraId="6B61B45C" w14:textId="77777777">
      <w:pPr>
        <w:keepLines/>
        <w:tabs>
          <w:tab w:val="left" w:pos="360"/>
          <w:tab w:val="left" w:pos="720"/>
        </w:tabs>
        <w:ind w:left="720"/>
        <w:rPr>
          <w:b/>
          <w:sz w:val="24"/>
          <w:szCs w:val="24"/>
        </w:rPr>
      </w:pPr>
    </w:p>
    <w:p w:rsidR="00BA2DFD" w:rsidRPr="00BA2DFD" w:rsidP="00121819" w14:paraId="1E5117F9" w14:textId="77777777">
      <w:pPr>
        <w:keepLines/>
        <w:tabs>
          <w:tab w:val="left" w:pos="360"/>
          <w:tab w:val="left" w:pos="720"/>
        </w:tabs>
        <w:ind w:left="360"/>
        <w:rPr>
          <w:sz w:val="24"/>
          <w:szCs w:val="24"/>
        </w:rPr>
      </w:pPr>
      <w:r w:rsidRPr="00BA2DFD">
        <w:rPr>
          <w:sz w:val="24"/>
          <w:szCs w:val="24"/>
        </w:rPr>
        <w:t xml:space="preserve">During the past year, HUD has received approximately </w:t>
      </w:r>
      <w:r w:rsidRPr="00BA2DFD">
        <w:rPr>
          <w:b/>
          <w:bCs/>
          <w:sz w:val="24"/>
          <w:szCs w:val="24"/>
        </w:rPr>
        <w:t>820</w:t>
      </w:r>
      <w:r w:rsidRPr="00BA2DFD">
        <w:rPr>
          <w:sz w:val="24"/>
          <w:szCs w:val="24"/>
        </w:rPr>
        <w:t xml:space="preserve"> new applications from appraiser respondents. </w:t>
      </w:r>
    </w:p>
    <w:p w:rsidR="00BA2DFD" w:rsidRPr="00BA2DFD" w:rsidP="00BA2DFD" w14:paraId="28116A53" w14:textId="77777777">
      <w:pPr>
        <w:keepLines/>
        <w:tabs>
          <w:tab w:val="left" w:pos="360"/>
          <w:tab w:val="left" w:pos="720"/>
        </w:tabs>
        <w:ind w:left="360"/>
        <w:rPr>
          <w:sz w:val="24"/>
          <w:szCs w:val="24"/>
        </w:rPr>
      </w:pPr>
    </w:p>
    <w:p w:rsidR="009E13B1" w:rsidP="006E682A" w14:paraId="70250EAE" w14:textId="1803E3BB">
      <w:pPr>
        <w:pStyle w:val="ListParagraph"/>
        <w:keepLines/>
        <w:numPr>
          <w:ilvl w:val="0"/>
          <w:numId w:val="16"/>
        </w:numPr>
        <w:tabs>
          <w:tab w:val="left" w:pos="360"/>
        </w:tabs>
        <w:spacing w:after="80"/>
        <w:rPr>
          <w:b/>
          <w:bCs/>
          <w:sz w:val="24"/>
          <w:szCs w:val="24"/>
        </w:rPr>
      </w:pPr>
      <w:r w:rsidRPr="0070247F">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714DF" w:rsidRPr="0070247F" w:rsidP="00C714DF" w14:paraId="2CEA5B89" w14:textId="77777777">
      <w:pPr>
        <w:pStyle w:val="NoSpacing"/>
      </w:pPr>
    </w:p>
    <w:p w:rsidR="00F506C9" w:rsidRPr="00F506C9" w:rsidP="00121819" w14:paraId="3D691D74" w14:textId="02D9976A">
      <w:pPr>
        <w:keepLines/>
        <w:tabs>
          <w:tab w:val="left" w:pos="360"/>
        </w:tabs>
        <w:spacing w:after="80"/>
        <w:ind w:left="360"/>
        <w:rPr>
          <w:sz w:val="24"/>
          <w:szCs w:val="24"/>
        </w:rPr>
      </w:pPr>
      <w:r w:rsidRPr="00F506C9">
        <w:rPr>
          <w:sz w:val="24"/>
          <w:szCs w:val="24"/>
        </w:rPr>
        <w:t xml:space="preserve">HUD </w:t>
      </w:r>
      <w:r w:rsidRPr="00F506C9">
        <w:rPr>
          <w:sz w:val="24"/>
          <w:szCs w:val="24"/>
        </w:rPr>
        <w:t>Form -92563-A , “Application for Appraiser Fee or Roster Personnel Designation,” and Form HUD</w:t>
      </w:r>
      <w:r w:rsidRPr="00121819">
        <w:t xml:space="preserve"> </w:t>
      </w:r>
      <w:r w:rsidRPr="00121819">
        <w:rPr>
          <w:sz w:val="24"/>
          <w:szCs w:val="24"/>
        </w:rPr>
        <w:t>Form</w:t>
      </w:r>
      <w:r>
        <w:rPr>
          <w:sz w:val="24"/>
          <w:szCs w:val="24"/>
        </w:rPr>
        <w:t xml:space="preserve"> </w:t>
      </w:r>
      <w:r w:rsidRPr="00F506C9">
        <w:rPr>
          <w:sz w:val="24"/>
          <w:szCs w:val="24"/>
        </w:rPr>
        <w:t xml:space="preserve">-92564-CN, “For Your Protection: Get A Home Inspection,” are available online at HUD’s Client Information and Policy System (HUD Clips) world wide web address, </w:t>
      </w:r>
      <w:hyperlink r:id="rId9" w:history="1">
        <w:r w:rsidRPr="00975E64">
          <w:rPr>
            <w:rStyle w:val="Hyperlink"/>
            <w:sz w:val="24"/>
            <w:szCs w:val="24"/>
          </w:rPr>
          <w:t>https://www.hud.gov/program_offices/administration/hudclips/forms</w:t>
        </w:r>
      </w:hyperlink>
      <w:r w:rsidRPr="00F506C9">
        <w:rPr>
          <w:sz w:val="24"/>
          <w:szCs w:val="24"/>
        </w:rPr>
        <w:t>.</w:t>
      </w:r>
      <w:r>
        <w:rPr>
          <w:sz w:val="24"/>
          <w:szCs w:val="24"/>
        </w:rPr>
        <w:t xml:space="preserve"> </w:t>
      </w:r>
      <w:r w:rsidRPr="00F506C9">
        <w:rPr>
          <w:sz w:val="24"/>
          <w:szCs w:val="24"/>
        </w:rPr>
        <w:t xml:space="preserve"> </w:t>
      </w:r>
    </w:p>
    <w:p w:rsidR="00F506C9" w:rsidRPr="00F506C9" w:rsidP="00F506C9" w14:paraId="049BCC54" w14:textId="77777777">
      <w:pPr>
        <w:keepLines/>
        <w:tabs>
          <w:tab w:val="left" w:pos="360"/>
        </w:tabs>
        <w:spacing w:after="80"/>
        <w:ind w:left="720"/>
        <w:rPr>
          <w:sz w:val="16"/>
          <w:szCs w:val="16"/>
        </w:rPr>
      </w:pPr>
    </w:p>
    <w:p w:rsidR="00F506C9" w:rsidRPr="00F506C9" w:rsidP="00121819" w14:paraId="67FA562E" w14:textId="77777777">
      <w:pPr>
        <w:keepLines/>
        <w:tabs>
          <w:tab w:val="left" w:pos="360"/>
        </w:tabs>
        <w:spacing w:after="80"/>
        <w:ind w:left="360"/>
        <w:rPr>
          <w:sz w:val="24"/>
          <w:szCs w:val="24"/>
        </w:rPr>
      </w:pPr>
      <w:r w:rsidRPr="00F506C9">
        <w:rPr>
          <w:sz w:val="24"/>
          <w:szCs w:val="24"/>
        </w:rPr>
        <w:t>Prior to June 15, 2024, form HUD-92563-A was a PDF fillable file format that new applicants were required to fill-in and print the application form HUD-92563-A from A HUD webpage, sign it and scan into a PDF format for delivery, so that HUD will have original signatures on file. On June 15, 2024, the data collection is done electronically from FHA Connection (FHAC) via https://entp.hud.gov/idapp/html/f17apr-application.cfm. The online form allows the user to input the required information, collects an electronic signature, and creates a HUD-92563-A PDF that the appraiser can download for their records, and is also stored automatically in FHA Connection (FHAC) as a PDF. Applicants must also scan their state-issued certification in PDF format to upload in the required area of FHAC.</w:t>
      </w:r>
    </w:p>
    <w:p w:rsidR="00F506C9" w:rsidRPr="00F506C9" w:rsidP="00F506C9" w14:paraId="09C90E3D" w14:textId="77777777">
      <w:pPr>
        <w:keepLines/>
        <w:tabs>
          <w:tab w:val="left" w:pos="360"/>
        </w:tabs>
        <w:spacing w:after="80"/>
        <w:ind w:left="720"/>
        <w:rPr>
          <w:sz w:val="16"/>
          <w:szCs w:val="16"/>
        </w:rPr>
      </w:pPr>
    </w:p>
    <w:p w:rsidR="00831CEF" w:rsidP="00121819" w14:paraId="4AE8B8E9" w14:textId="77777777">
      <w:pPr>
        <w:keepLines/>
        <w:tabs>
          <w:tab w:val="left" w:pos="360"/>
        </w:tabs>
        <w:spacing w:after="80"/>
        <w:ind w:left="360"/>
        <w:rPr>
          <w:sz w:val="24"/>
          <w:szCs w:val="24"/>
        </w:rPr>
      </w:pPr>
      <w:r w:rsidRPr="00F506C9">
        <w:rPr>
          <w:sz w:val="24"/>
          <w:szCs w:val="24"/>
        </w:rPr>
        <w:t>Under FHA-Single Family’s current insurance endorsement policy, a Direct Endorsement (DE) lender may apply for FHA insurance based upon its underwriting of the loan.  During the closing process, most lenders log on to a web-based application, FHAC, to verify the information in the Appraisal Logging Screen and complete the Insurance Application.  The data entered in FHAC are subsequently transferred to the Computerized Homes Underwriting Management System (CHUMS) and Single-Family Data Warehouse (SFDW), the system of record for the endorsement process.  Large lenders with Loan</w:t>
      </w:r>
      <w:r>
        <w:rPr>
          <w:sz w:val="24"/>
          <w:szCs w:val="24"/>
        </w:rPr>
        <w:t xml:space="preserve"> </w:t>
      </w:r>
      <w:r w:rsidRPr="00831CEF">
        <w:rPr>
          <w:sz w:val="24"/>
          <w:szCs w:val="24"/>
        </w:rPr>
        <w:t>Origination Systems (LOS) transmit data from their LOS or use third party software to send data to CHUMS via a digital method known as B2G (Business to Government).</w:t>
      </w:r>
    </w:p>
    <w:p w:rsidR="00C714DF" w:rsidP="009610C3" w14:paraId="74E639CF" w14:textId="77777777">
      <w:pPr>
        <w:pStyle w:val="ListParagraph"/>
        <w:ind w:left="360"/>
        <w:rPr>
          <w:b/>
          <w:bCs/>
          <w:sz w:val="24"/>
          <w:szCs w:val="24"/>
        </w:rPr>
      </w:pPr>
    </w:p>
    <w:p w:rsidR="009610C3" w:rsidRPr="00CD10BC" w:rsidP="009610C3" w14:paraId="731208FF" w14:textId="2E9DC047">
      <w:pPr>
        <w:pStyle w:val="ListParagraph"/>
        <w:ind w:left="360"/>
        <w:rPr>
          <w:sz w:val="24"/>
          <w:szCs w:val="24"/>
        </w:rPr>
      </w:pPr>
      <w:r w:rsidRPr="00CD10BC">
        <w:rPr>
          <w:b/>
          <w:bCs/>
          <w:sz w:val="24"/>
          <w:szCs w:val="24"/>
        </w:rPr>
        <w:t>Fannie Mae Forms: 1004, 1004C, 1004D, 1007, 1025, 1073, 1075, and 2055.</w:t>
      </w:r>
      <w:r w:rsidRPr="00CD10BC">
        <w:rPr>
          <w:sz w:val="24"/>
          <w:szCs w:val="24"/>
        </w:rPr>
        <w:t xml:space="preserve">  12 U.S.C. 1708(g) requires the Secretary to prescribe standards for the appraisal of all properties to be insured by FHA.  Appraisal requirements for FHA properties are set forth in Title 24 of the Code of Federal Regulations (CFR) at 24 CFR 200.145, 203.5, 203.15, 203.37a, 203.255, 203.258, 203.284, </w:t>
      </w:r>
      <w:r w:rsidRPr="00CD10BC">
        <w:rPr>
          <w:sz w:val="24"/>
          <w:szCs w:val="24"/>
        </w:rPr>
        <w:t>203.368, 206.3</w:t>
      </w:r>
      <w:r w:rsidRPr="00CD10BC">
        <w:rPr>
          <w:sz w:val="24"/>
          <w:szCs w:val="24"/>
        </w:rPr>
        <w:t>, 206.52, 206.115, 206.125, 206.127.  There are additional appraisal requirements in the HUD Single Family Policy Handbook 4000.1, Section II.D, and in FHA’s Appraisal Report and Data Delivery Guide.</w:t>
      </w:r>
    </w:p>
    <w:p w:rsidR="009610C3" w:rsidRPr="00CD10BC" w:rsidP="009610C3" w14:paraId="15F004C4" w14:textId="77777777">
      <w:pPr>
        <w:pStyle w:val="ListParagraph"/>
        <w:ind w:left="360"/>
        <w:rPr>
          <w:color w:val="000000"/>
          <w:sz w:val="24"/>
          <w:szCs w:val="24"/>
        </w:rPr>
      </w:pPr>
    </w:p>
    <w:p w:rsidR="009610C3" w:rsidRPr="00CD10BC" w:rsidP="009610C3" w14:paraId="33F39CDC" w14:textId="77777777">
      <w:pPr>
        <w:pStyle w:val="ListParagraph"/>
        <w:ind w:left="360"/>
        <w:rPr>
          <w:color w:val="000000"/>
          <w:sz w:val="24"/>
          <w:szCs w:val="24"/>
        </w:rPr>
      </w:pPr>
      <w:r w:rsidRPr="00CD10BC">
        <w:rPr>
          <w:color w:val="000000"/>
          <w:sz w:val="24"/>
          <w:szCs w:val="24"/>
        </w:rPr>
        <w:t>An appraisal</w:t>
      </w:r>
      <w:r w:rsidRPr="00CD10BC">
        <w:rPr>
          <w:color w:val="000000"/>
          <w:sz w:val="24"/>
          <w:szCs w:val="24"/>
        </w:rPr>
        <w:t xml:space="preserve"> is generally required for all single-family mortgage transactions.  It is a real estate/mortgage industry standard required by organizations such as the Federal National Mortgage Association (Fannie Mae), the Federal Home Loan Mortgage Corporation (Freddie Mac) and the Department of Veterans Affairs (VA).</w:t>
      </w:r>
    </w:p>
    <w:p w:rsidR="009610C3" w:rsidRPr="00CD10BC" w:rsidP="009610C3" w14:paraId="23D56C9B" w14:textId="77777777">
      <w:pPr>
        <w:pStyle w:val="ListParagraph"/>
        <w:ind w:left="360"/>
        <w:rPr>
          <w:color w:val="000000"/>
          <w:sz w:val="24"/>
          <w:szCs w:val="24"/>
        </w:rPr>
      </w:pPr>
    </w:p>
    <w:p w:rsidR="009610C3" w:rsidRPr="00CD10BC" w:rsidP="009610C3" w14:paraId="4DB43120" w14:textId="77777777">
      <w:pPr>
        <w:pStyle w:val="ListParagraph"/>
        <w:ind w:left="360"/>
        <w:rPr>
          <w:color w:val="000000"/>
          <w:sz w:val="24"/>
          <w:szCs w:val="24"/>
        </w:rPr>
      </w:pPr>
      <w:r w:rsidRPr="00CD10BC">
        <w:rPr>
          <w:color w:val="000000"/>
          <w:sz w:val="24"/>
          <w:szCs w:val="24"/>
        </w:rPr>
        <w:t>FHA requires the Fannie Mae and Freddie Mac Appraisal Report Forms referenced below for specific types of properties.  Lenders collect these forms for every loan and submit them through the Electronic Appraisal Delivery (EAD) web portal.  The information is not shared with any other government agency.</w:t>
      </w:r>
    </w:p>
    <w:p w:rsidR="009610C3" w:rsidRPr="00CD10BC" w:rsidP="009610C3" w14:paraId="14CD8905" w14:textId="77777777">
      <w:pPr>
        <w:pStyle w:val="ListParagraph"/>
        <w:ind w:left="360"/>
        <w:rPr>
          <w:sz w:val="24"/>
          <w:szCs w:val="24"/>
        </w:rPr>
      </w:pPr>
    </w:p>
    <w:p w:rsidR="009610C3" w:rsidRPr="00CD10BC" w:rsidP="009610C3" w14:paraId="2C0E49FA" w14:textId="77777777">
      <w:pPr>
        <w:pStyle w:val="ListParagraph"/>
        <w:numPr>
          <w:ilvl w:val="0"/>
          <w:numId w:val="20"/>
        </w:numPr>
        <w:overflowPunct/>
        <w:autoSpaceDE/>
        <w:autoSpaceDN/>
        <w:adjustRightInd/>
        <w:spacing w:after="200" w:line="276" w:lineRule="auto"/>
        <w:contextualSpacing/>
        <w:textAlignment w:val="auto"/>
        <w:rPr>
          <w:color w:val="000000"/>
          <w:sz w:val="24"/>
          <w:szCs w:val="24"/>
        </w:rPr>
      </w:pPr>
      <w:r w:rsidRPr="00CD10BC">
        <w:rPr>
          <w:color w:val="000000"/>
          <w:sz w:val="24"/>
          <w:szCs w:val="24"/>
        </w:rPr>
        <w:t>Fannie Mae Form 1004 dated March 2005, “Uniform Residential Appraisal Report” required to report an appraisal of a one-unit property or a one-unit property with an accessory unit.</w:t>
      </w:r>
    </w:p>
    <w:p w:rsidR="009610C3" w:rsidRPr="00CD10BC" w:rsidP="009610C3" w14:paraId="3B38C866" w14:textId="77777777">
      <w:pPr>
        <w:pStyle w:val="ListParagraph"/>
        <w:numPr>
          <w:ilvl w:val="0"/>
          <w:numId w:val="20"/>
        </w:numPr>
        <w:overflowPunct/>
        <w:autoSpaceDE/>
        <w:autoSpaceDN/>
        <w:adjustRightInd/>
        <w:spacing w:after="200" w:line="276" w:lineRule="auto"/>
        <w:contextualSpacing/>
        <w:textAlignment w:val="auto"/>
        <w:rPr>
          <w:color w:val="000000"/>
          <w:sz w:val="24"/>
          <w:szCs w:val="24"/>
        </w:rPr>
      </w:pPr>
      <w:r w:rsidRPr="00CD10BC">
        <w:rPr>
          <w:color w:val="000000"/>
          <w:sz w:val="24"/>
          <w:szCs w:val="24"/>
        </w:rPr>
        <w:t>Fannie Mae Form 1004C dated March 2005, “Manufactured Home Appraisal Report” required to report an appraisal of a one-unit manufactured home.</w:t>
      </w:r>
    </w:p>
    <w:p w:rsidR="009610C3" w:rsidRPr="00CD10BC" w:rsidP="009610C3" w14:paraId="0C6CBCF6" w14:textId="77777777">
      <w:pPr>
        <w:pStyle w:val="ListParagraph"/>
        <w:numPr>
          <w:ilvl w:val="0"/>
          <w:numId w:val="20"/>
        </w:numPr>
        <w:overflowPunct/>
        <w:autoSpaceDE/>
        <w:autoSpaceDN/>
        <w:adjustRightInd/>
        <w:spacing w:after="200" w:line="276" w:lineRule="auto"/>
        <w:contextualSpacing/>
        <w:textAlignment w:val="auto"/>
        <w:rPr>
          <w:color w:val="000000"/>
          <w:sz w:val="24"/>
          <w:szCs w:val="24"/>
        </w:rPr>
      </w:pPr>
      <w:r w:rsidRPr="00CD10BC">
        <w:rPr>
          <w:color w:val="000000"/>
          <w:sz w:val="24"/>
          <w:szCs w:val="24"/>
        </w:rPr>
        <w:t>Fannie Mae Form 1004D dated March 2005, “Appraisal Update and/or Completion Report” required to provide an accurate update of a prior appraisal and/or to report a certification of completion.</w:t>
      </w:r>
    </w:p>
    <w:p w:rsidR="009610C3" w:rsidRPr="00CD10BC" w:rsidP="009610C3" w14:paraId="4299DCEB" w14:textId="77777777">
      <w:pPr>
        <w:pStyle w:val="ListParagraph"/>
        <w:numPr>
          <w:ilvl w:val="0"/>
          <w:numId w:val="20"/>
        </w:numPr>
        <w:overflowPunct/>
        <w:autoSpaceDE/>
        <w:autoSpaceDN/>
        <w:adjustRightInd/>
        <w:spacing w:after="200" w:line="276" w:lineRule="auto"/>
        <w:contextualSpacing/>
        <w:textAlignment w:val="auto"/>
        <w:rPr>
          <w:color w:val="000000"/>
          <w:sz w:val="24"/>
          <w:szCs w:val="24"/>
        </w:rPr>
      </w:pPr>
      <w:r w:rsidRPr="00CD10BC">
        <w:rPr>
          <w:color w:val="000000"/>
          <w:sz w:val="24"/>
          <w:szCs w:val="24"/>
        </w:rPr>
        <w:t>Fannie Mae Form 1007 dated August 1988, “Single Family Comparable Rent Schedule” required to provide market rent for a one-unit property or a one-unit property with an accessory unit.</w:t>
      </w:r>
    </w:p>
    <w:p w:rsidR="009610C3" w:rsidRPr="00CD10BC" w:rsidP="009610C3" w14:paraId="23BCFC03" w14:textId="77777777">
      <w:pPr>
        <w:pStyle w:val="ListParagraph"/>
        <w:numPr>
          <w:ilvl w:val="0"/>
          <w:numId w:val="20"/>
        </w:numPr>
        <w:overflowPunct/>
        <w:autoSpaceDE/>
        <w:autoSpaceDN/>
        <w:adjustRightInd/>
        <w:spacing w:after="200" w:line="276" w:lineRule="auto"/>
        <w:contextualSpacing/>
        <w:textAlignment w:val="auto"/>
        <w:rPr>
          <w:color w:val="000000"/>
          <w:sz w:val="24"/>
          <w:szCs w:val="24"/>
        </w:rPr>
      </w:pPr>
      <w:r w:rsidRPr="00CD10BC">
        <w:rPr>
          <w:color w:val="000000"/>
          <w:sz w:val="24"/>
          <w:szCs w:val="24"/>
        </w:rPr>
        <w:t>Fannie Mae Form 1025 dated March 2005, “Small Residential Income Property Appraisal Report” required to report an appraisal of a two- to four-unit property.</w:t>
      </w:r>
    </w:p>
    <w:p w:rsidR="009610C3" w:rsidRPr="00CD10BC" w:rsidP="009610C3" w14:paraId="241CD45C" w14:textId="77777777">
      <w:pPr>
        <w:pStyle w:val="ListParagraph"/>
        <w:numPr>
          <w:ilvl w:val="0"/>
          <w:numId w:val="20"/>
        </w:numPr>
        <w:overflowPunct/>
        <w:autoSpaceDE/>
        <w:autoSpaceDN/>
        <w:adjustRightInd/>
        <w:spacing w:after="200" w:line="276" w:lineRule="auto"/>
        <w:contextualSpacing/>
        <w:textAlignment w:val="auto"/>
        <w:rPr>
          <w:color w:val="000000"/>
          <w:sz w:val="24"/>
          <w:szCs w:val="24"/>
        </w:rPr>
      </w:pPr>
      <w:r w:rsidRPr="00CD10BC">
        <w:rPr>
          <w:color w:val="000000"/>
          <w:sz w:val="24"/>
          <w:szCs w:val="24"/>
        </w:rPr>
        <w:t>Fannie Mae Form 1073 dated March 2005, “Individual Condominium Unit Appraisal Report” required to report an appraisal of a unit in a condominium project or a condominium unit in a planned unit development (PUD).</w:t>
      </w:r>
    </w:p>
    <w:p w:rsidR="009610C3" w:rsidRPr="00A52A90" w:rsidP="009610C3" w14:paraId="010B9C07" w14:textId="77777777">
      <w:pPr>
        <w:pStyle w:val="ListParagraph"/>
        <w:numPr>
          <w:ilvl w:val="0"/>
          <w:numId w:val="20"/>
        </w:numPr>
        <w:overflowPunct/>
        <w:autoSpaceDE/>
        <w:autoSpaceDN/>
        <w:adjustRightInd/>
        <w:spacing w:after="200" w:line="276" w:lineRule="auto"/>
        <w:contextualSpacing/>
        <w:textAlignment w:val="auto"/>
        <w:rPr>
          <w:color w:val="000000"/>
          <w:sz w:val="24"/>
          <w:szCs w:val="24"/>
        </w:rPr>
      </w:pPr>
      <w:r w:rsidRPr="00A52A90">
        <w:rPr>
          <w:color w:val="000000"/>
          <w:sz w:val="24"/>
          <w:szCs w:val="24"/>
        </w:rPr>
        <w:t>Fannie Mae Form 1075 dated March 2005, “Exterior-Only Inspection Individual Condominium Unit Appraisal Report” required to report an appraisal of a unit in a condominium project or a condominium unit in a planned unit development (PUD). in an FHA-to-FHA refinance transaction only.</w:t>
      </w:r>
    </w:p>
    <w:p w:rsidR="00831CEF" w:rsidP="00121819" w14:paraId="7CF69DA3" w14:textId="4DBAA49B">
      <w:pPr>
        <w:keepLines/>
        <w:tabs>
          <w:tab w:val="left" w:pos="360"/>
        </w:tabs>
        <w:spacing w:after="80"/>
        <w:ind w:left="360"/>
        <w:rPr>
          <w:sz w:val="24"/>
          <w:szCs w:val="24"/>
        </w:rPr>
      </w:pPr>
      <w:r w:rsidRPr="00A52A90">
        <w:rPr>
          <w:color w:val="000000"/>
          <w:sz w:val="24"/>
          <w:szCs w:val="24"/>
        </w:rPr>
        <w:t>Fannie Mae Form 2055 dated March 2005, “Exterior-Only Inspection Residential Appraisal Report” may be used to report an appraisal of a one-unit property or a one-unit property with an accessory unit in an FHA-to-FHA refinance transaction only.</w:t>
      </w:r>
      <w:r w:rsidR="00C714DF">
        <w:rPr>
          <w:color w:val="000000"/>
          <w:sz w:val="24"/>
          <w:szCs w:val="24"/>
        </w:rPr>
        <w:t xml:space="preserve"> </w:t>
      </w:r>
      <w:r w:rsidRPr="00831CEF">
        <w:rPr>
          <w:sz w:val="24"/>
          <w:szCs w:val="24"/>
        </w:rPr>
        <w:t xml:space="preserve">Fannie Mae appraisal forms are also available online at </w:t>
      </w:r>
      <w:hyperlink r:id="rId10" w:history="1">
        <w:r w:rsidRPr="00831CEF">
          <w:rPr>
            <w:rStyle w:val="Hyperlink"/>
            <w:sz w:val="24"/>
            <w:szCs w:val="24"/>
          </w:rPr>
          <w:t>https://singlefamily.fanniemae.com/learning-center/applications/appraisers-property-underwriting</w:t>
        </w:r>
      </w:hyperlink>
      <w:r w:rsidRPr="00831CEF">
        <w:rPr>
          <w:sz w:val="24"/>
          <w:szCs w:val="24"/>
        </w:rPr>
        <w:t xml:space="preserve">. </w:t>
      </w:r>
    </w:p>
    <w:p w:rsidR="009610C3" w:rsidRPr="00831CEF" w:rsidP="00C714DF" w14:paraId="2743E10C" w14:textId="77777777">
      <w:pPr>
        <w:pStyle w:val="NoSpacing"/>
      </w:pPr>
    </w:p>
    <w:p w:rsidR="00DF5E6E" w:rsidP="00121819" w14:paraId="2EF56A83" w14:textId="556E3B12">
      <w:pPr>
        <w:keepLines/>
        <w:tabs>
          <w:tab w:val="left" w:pos="360"/>
        </w:tabs>
        <w:spacing w:after="80"/>
        <w:ind w:left="360"/>
        <w:rPr>
          <w:sz w:val="24"/>
          <w:szCs w:val="24"/>
        </w:rPr>
      </w:pPr>
      <w:r w:rsidRPr="00831CEF">
        <w:rPr>
          <w:sz w:val="24"/>
          <w:szCs w:val="24"/>
        </w:rPr>
        <w:t>As of June 27, 2016, lenders are required to upload electronic appraisals directly into HUD’s Electronic Appraisal Delivery (EAD) portal.  The portal eliminates the need for lenders to print appraisals and include them in paper case binders.  Lenders are required to automate the submission of appraisals through direct integration or submit them through an EAD web portal.</w:t>
      </w:r>
    </w:p>
    <w:p w:rsidR="009610C3" w:rsidRPr="00DF5E6E" w:rsidP="00121819" w14:paraId="457DDD12" w14:textId="77777777">
      <w:pPr>
        <w:keepLines/>
        <w:tabs>
          <w:tab w:val="left" w:pos="360"/>
        </w:tabs>
        <w:spacing w:after="80"/>
        <w:ind w:left="360"/>
        <w:rPr>
          <w:sz w:val="24"/>
          <w:szCs w:val="24"/>
        </w:rPr>
      </w:pPr>
    </w:p>
    <w:p w:rsidR="009E13B1" w:rsidRPr="00B80D80" w14:paraId="58B111F6" w14:textId="77777777">
      <w:pPr>
        <w:tabs>
          <w:tab w:val="left" w:pos="360"/>
        </w:tabs>
        <w:ind w:left="360" w:hanging="360"/>
        <w:rPr>
          <w:sz w:val="16"/>
          <w:szCs w:val="16"/>
        </w:rPr>
      </w:pPr>
    </w:p>
    <w:p w:rsidR="009E13B1" w:rsidRPr="0070247F" w14:paraId="1C0AE1D0" w14:textId="77777777">
      <w:pPr>
        <w:keepLines/>
        <w:tabs>
          <w:tab w:val="left" w:pos="360"/>
        </w:tabs>
        <w:spacing w:after="80"/>
        <w:ind w:left="360" w:hanging="360"/>
        <w:rPr>
          <w:b/>
          <w:bCs/>
          <w:sz w:val="24"/>
          <w:szCs w:val="24"/>
        </w:rPr>
      </w:pPr>
      <w:r w:rsidRPr="0070247F">
        <w:rPr>
          <w:b/>
          <w:bCs/>
          <w:sz w:val="24"/>
          <w:szCs w:val="24"/>
        </w:rPr>
        <w:t>4.</w:t>
      </w:r>
      <w:r w:rsidRPr="0070247F">
        <w:rPr>
          <w:b/>
          <w:bCs/>
          <w:sz w:val="24"/>
          <w:szCs w:val="24"/>
        </w:rPr>
        <w:tab/>
        <w:t>Describe efforts to identify duplication.  Show specifically why any similar information already available cannot be used or modified for use for the purposes described in Item 2 above.</w:t>
      </w:r>
    </w:p>
    <w:p w:rsidR="00E32028" w:rsidRPr="00AD3B58" w:rsidP="005A68F1" w14:paraId="19E591C3" w14:textId="77777777">
      <w:pPr>
        <w:keepLines/>
        <w:tabs>
          <w:tab w:val="left" w:pos="360"/>
          <w:tab w:val="left" w:pos="720"/>
        </w:tabs>
        <w:ind w:left="720"/>
        <w:rPr>
          <w:sz w:val="16"/>
          <w:szCs w:val="16"/>
        </w:rPr>
      </w:pPr>
    </w:p>
    <w:p w:rsidR="009E13B1" w:rsidP="00121819" w14:paraId="68859B10" w14:textId="539F1B42">
      <w:pPr>
        <w:keepLines/>
        <w:tabs>
          <w:tab w:val="left" w:pos="360"/>
          <w:tab w:val="left" w:pos="720"/>
        </w:tabs>
        <w:ind w:left="360"/>
        <w:rPr>
          <w:sz w:val="24"/>
          <w:szCs w:val="24"/>
        </w:rPr>
      </w:pPr>
      <w:r w:rsidRPr="005A68F1">
        <w:rPr>
          <w:sz w:val="24"/>
          <w:szCs w:val="24"/>
        </w:rPr>
        <w:t>A review of other information collections did not identify duplication with other forms or processes.</w:t>
      </w:r>
    </w:p>
    <w:p w:rsidR="005A68F1" w:rsidRPr="006C7FAE" w:rsidP="005A68F1" w14:paraId="26ACBF41" w14:textId="77777777">
      <w:pPr>
        <w:keepLines/>
        <w:tabs>
          <w:tab w:val="left" w:pos="360"/>
          <w:tab w:val="left" w:pos="720"/>
        </w:tabs>
        <w:ind w:left="720"/>
        <w:rPr>
          <w:sz w:val="24"/>
          <w:szCs w:val="24"/>
        </w:rPr>
      </w:pPr>
    </w:p>
    <w:p w:rsidR="009E13B1" w:rsidRPr="0070247F" w14:paraId="689A9EFC" w14:textId="77777777">
      <w:pPr>
        <w:keepLines/>
        <w:tabs>
          <w:tab w:val="left" w:pos="360"/>
        </w:tabs>
        <w:spacing w:after="80"/>
        <w:ind w:left="360" w:hanging="360"/>
        <w:rPr>
          <w:b/>
          <w:bCs/>
          <w:sz w:val="24"/>
          <w:szCs w:val="24"/>
        </w:rPr>
      </w:pPr>
      <w:r w:rsidRPr="0070247F">
        <w:rPr>
          <w:b/>
          <w:bCs/>
          <w:sz w:val="24"/>
          <w:szCs w:val="24"/>
        </w:rPr>
        <w:t>5.</w:t>
      </w:r>
      <w:r w:rsidRPr="0070247F">
        <w:rPr>
          <w:b/>
          <w:bCs/>
          <w:sz w:val="24"/>
          <w:szCs w:val="24"/>
        </w:rPr>
        <w:tab/>
        <w:t>If the collection of information impacts small businesses or other small entities describe any methods used to minimize burden.</w:t>
      </w:r>
    </w:p>
    <w:p w:rsidR="00FE1E23" w:rsidRPr="00AD3B58" w:rsidP="00FE1E23" w14:paraId="21BF5370" w14:textId="77777777">
      <w:pPr>
        <w:tabs>
          <w:tab w:val="left" w:pos="360"/>
        </w:tabs>
        <w:ind w:left="1080" w:hanging="360"/>
        <w:rPr>
          <w:sz w:val="16"/>
          <w:szCs w:val="16"/>
        </w:rPr>
      </w:pPr>
    </w:p>
    <w:p w:rsidR="009E13B1" w:rsidP="00121819" w14:paraId="0ED21226" w14:textId="2EEEFF27">
      <w:pPr>
        <w:tabs>
          <w:tab w:val="left" w:pos="360"/>
        </w:tabs>
        <w:ind w:left="720" w:hanging="360"/>
        <w:rPr>
          <w:sz w:val="24"/>
          <w:szCs w:val="24"/>
        </w:rPr>
      </w:pPr>
      <w:r w:rsidRPr="00FE1E23">
        <w:rPr>
          <w:sz w:val="24"/>
          <w:szCs w:val="24"/>
        </w:rPr>
        <w:t>There is no significant impact on small businesses or other small entities.</w:t>
      </w:r>
    </w:p>
    <w:p w:rsidR="00FE1E23" w:rsidRPr="006C7FAE" w:rsidP="00FE1E23" w14:paraId="135E97B7" w14:textId="77777777">
      <w:pPr>
        <w:tabs>
          <w:tab w:val="left" w:pos="360"/>
        </w:tabs>
        <w:ind w:left="1080" w:hanging="360"/>
        <w:rPr>
          <w:sz w:val="24"/>
          <w:szCs w:val="24"/>
        </w:rPr>
      </w:pPr>
    </w:p>
    <w:p w:rsidR="009E13B1" w:rsidRPr="0070247F" w14:paraId="2C0F0529" w14:textId="77777777">
      <w:pPr>
        <w:keepLines/>
        <w:tabs>
          <w:tab w:val="left" w:pos="360"/>
        </w:tabs>
        <w:spacing w:after="80"/>
        <w:ind w:left="360" w:hanging="360"/>
        <w:rPr>
          <w:b/>
          <w:bCs/>
          <w:sz w:val="24"/>
          <w:szCs w:val="24"/>
        </w:rPr>
      </w:pPr>
      <w:r w:rsidRPr="0070247F">
        <w:rPr>
          <w:b/>
          <w:bCs/>
          <w:sz w:val="24"/>
          <w:szCs w:val="24"/>
        </w:rPr>
        <w:t>6.</w:t>
      </w:r>
      <w:r w:rsidRPr="0070247F">
        <w:rPr>
          <w:b/>
          <w:bCs/>
          <w:sz w:val="24"/>
          <w:szCs w:val="24"/>
        </w:rPr>
        <w:tab/>
        <w:t>Describe the consequence to Federal program or policy activities if the collection is not conducted or is conducted less frequently, as well as any technical or legal obstacles to reducing burden.</w:t>
      </w:r>
    </w:p>
    <w:p w:rsidR="009E13B1" w:rsidRPr="00AD3B58" w14:paraId="5745C910" w14:textId="77777777">
      <w:pPr>
        <w:keepLines/>
        <w:tabs>
          <w:tab w:val="left" w:pos="360"/>
          <w:tab w:val="left" w:pos="720"/>
        </w:tabs>
        <w:ind w:left="360"/>
        <w:rPr>
          <w:sz w:val="16"/>
          <w:szCs w:val="16"/>
        </w:rPr>
      </w:pPr>
    </w:p>
    <w:p w:rsidR="00284407" w:rsidP="00121819" w14:paraId="562BC2F7" w14:textId="44D8DFFF">
      <w:pPr>
        <w:keepLines/>
        <w:tabs>
          <w:tab w:val="left" w:pos="360"/>
          <w:tab w:val="left" w:pos="720"/>
        </w:tabs>
        <w:ind w:left="360"/>
        <w:rPr>
          <w:sz w:val="24"/>
          <w:szCs w:val="24"/>
        </w:rPr>
      </w:pPr>
      <w:r w:rsidRPr="00284407">
        <w:rPr>
          <w:sz w:val="24"/>
          <w:szCs w:val="24"/>
        </w:rPr>
        <w:t xml:space="preserve">The appraisal of the property is a necessary underwriting requirement of FHA mortgage     insurance, as well as a requirement for mortgages in the private sector or for other government agencies such as the VA. FHA is not imposing an additional burden or a requirement that differs from the private sector. </w:t>
      </w:r>
      <w:r w:rsidRPr="0090106F" w:rsidR="0090106F">
        <w:rPr>
          <w:sz w:val="24"/>
          <w:szCs w:val="24"/>
        </w:rPr>
        <w:t>A lack of an appraisal can result in the insurance of mortgages that are not acceptable (i.e., should not be insured) and thereby risk a financial loss to the FHA insurance fund.  Additionally, an appraisal that is not performed by a qualified and knowledgeable appraiser presents a risk to the FHA insurance fund.</w:t>
      </w:r>
    </w:p>
    <w:p w:rsidR="0090106F" w:rsidRPr="006C7FAE" w:rsidP="00284407" w14:paraId="778A8AAA" w14:textId="77777777">
      <w:pPr>
        <w:keepLines/>
        <w:tabs>
          <w:tab w:val="left" w:pos="360"/>
          <w:tab w:val="left" w:pos="720"/>
        </w:tabs>
        <w:ind w:left="720"/>
        <w:rPr>
          <w:sz w:val="24"/>
          <w:szCs w:val="24"/>
        </w:rPr>
      </w:pPr>
    </w:p>
    <w:p w:rsidR="00A65F9E" w:rsidRPr="00010165" w14:paraId="2B3F5C7B" w14:textId="77777777">
      <w:pPr>
        <w:numPr>
          <w:ilvl w:val="0"/>
          <w:numId w:val="13"/>
        </w:numPr>
        <w:tabs>
          <w:tab w:val="left" w:pos="360"/>
        </w:tabs>
        <w:rPr>
          <w:b/>
          <w:bCs/>
          <w:sz w:val="24"/>
          <w:szCs w:val="24"/>
        </w:rPr>
      </w:pPr>
      <w:r w:rsidRPr="00010165">
        <w:rPr>
          <w:b/>
          <w:bCs/>
          <w:sz w:val="24"/>
          <w:szCs w:val="24"/>
        </w:rPr>
        <w:t>Explain any special circumstances that would cause an information collection to be conducted in a manner:</w:t>
      </w:r>
    </w:p>
    <w:p w:rsidR="009E13B1" w:rsidRPr="00AD3B58" w:rsidP="00A65F9E" w14:paraId="38CBA337" w14:textId="77777777">
      <w:pPr>
        <w:tabs>
          <w:tab w:val="left" w:pos="360"/>
        </w:tabs>
        <w:ind w:left="360"/>
        <w:rPr>
          <w:sz w:val="16"/>
          <w:szCs w:val="16"/>
        </w:rPr>
      </w:pPr>
      <w:r w:rsidRPr="006C7FAE">
        <w:rPr>
          <w:sz w:val="24"/>
          <w:szCs w:val="24"/>
        </w:rPr>
        <w:t xml:space="preserve"> </w:t>
      </w:r>
    </w:p>
    <w:p w:rsidR="009E13B1" w:rsidRPr="006C7FAE" w:rsidP="00DE2C79" w14:paraId="77414839" w14:textId="1645FEFC">
      <w:pPr>
        <w:numPr>
          <w:ilvl w:val="0"/>
          <w:numId w:val="19"/>
        </w:numPr>
        <w:tabs>
          <w:tab w:val="left" w:pos="600"/>
        </w:tabs>
        <w:rPr>
          <w:sz w:val="24"/>
          <w:szCs w:val="24"/>
        </w:rPr>
      </w:pPr>
      <w:r w:rsidRPr="006C7FAE">
        <w:rPr>
          <w:sz w:val="24"/>
          <w:szCs w:val="24"/>
        </w:rPr>
        <w:t xml:space="preserve">requiring respondents to report information to the agency more than quarterly; </w:t>
      </w:r>
      <w:r w:rsidRPr="00C36D45" w:rsidR="00DE2C79">
        <w:rPr>
          <w:b/>
          <w:bCs/>
          <w:color w:val="000000"/>
          <w:sz w:val="24"/>
          <w:szCs w:val="24"/>
        </w:rPr>
        <w:t>Does not apply</w:t>
      </w:r>
    </w:p>
    <w:p w:rsidR="009E13B1" w:rsidP="00DE2C79" w14:paraId="2FC61388" w14:textId="0F3E21FE">
      <w:pPr>
        <w:numPr>
          <w:ilvl w:val="0"/>
          <w:numId w:val="19"/>
        </w:numPr>
        <w:tabs>
          <w:tab w:val="left" w:pos="600"/>
        </w:tabs>
        <w:rPr>
          <w:sz w:val="24"/>
          <w:szCs w:val="24"/>
        </w:rPr>
      </w:pPr>
      <w:r w:rsidRPr="006C7FAE">
        <w:rPr>
          <w:sz w:val="24"/>
          <w:szCs w:val="24"/>
        </w:rPr>
        <w:t xml:space="preserve">requiring respondents to prepare a written response to a collection of information in fewer than 30 days after receipt of it; </w:t>
      </w:r>
      <w:r w:rsidRPr="00C36D45" w:rsidR="00DE2C79">
        <w:rPr>
          <w:b/>
          <w:bCs/>
          <w:color w:val="000000"/>
          <w:sz w:val="24"/>
          <w:szCs w:val="24"/>
        </w:rPr>
        <w:t>Does not apply</w:t>
      </w:r>
    </w:p>
    <w:p w:rsidR="009E13B1" w:rsidP="00DE2C79" w14:paraId="4BDEF174" w14:textId="062CE792">
      <w:pPr>
        <w:numPr>
          <w:ilvl w:val="0"/>
          <w:numId w:val="19"/>
        </w:numPr>
        <w:tabs>
          <w:tab w:val="left" w:pos="600"/>
        </w:tabs>
        <w:rPr>
          <w:sz w:val="24"/>
          <w:szCs w:val="24"/>
        </w:rPr>
      </w:pPr>
      <w:r w:rsidRPr="006C7FAE">
        <w:rPr>
          <w:sz w:val="24"/>
          <w:szCs w:val="24"/>
        </w:rPr>
        <w:t xml:space="preserve">requiring respondents to submit more than an original and two copies of any document; </w:t>
      </w:r>
      <w:r w:rsidRPr="00C36D45" w:rsidR="00DE2C79">
        <w:rPr>
          <w:b/>
          <w:bCs/>
          <w:color w:val="000000"/>
          <w:sz w:val="24"/>
          <w:szCs w:val="24"/>
        </w:rPr>
        <w:t>Does not apply</w:t>
      </w:r>
    </w:p>
    <w:p w:rsidR="009E13B1" w:rsidRPr="006C7FAE" w:rsidP="00DE2C79" w14:paraId="6A77FBE6" w14:textId="099981F4">
      <w:pPr>
        <w:numPr>
          <w:ilvl w:val="0"/>
          <w:numId w:val="19"/>
        </w:numPr>
        <w:tabs>
          <w:tab w:val="left" w:pos="600"/>
        </w:tabs>
        <w:rPr>
          <w:sz w:val="24"/>
          <w:szCs w:val="24"/>
        </w:rPr>
      </w:pPr>
      <w:r w:rsidRPr="006C7FAE">
        <w:rPr>
          <w:sz w:val="24"/>
          <w:szCs w:val="24"/>
        </w:rPr>
        <w:t xml:space="preserve">requiring respondents to retain records other than health, medical, government contract, grant-in-aid, or tax records for more than three years; </w:t>
      </w:r>
      <w:r w:rsidRPr="00C36D45" w:rsidR="00DE2C79">
        <w:rPr>
          <w:b/>
          <w:bCs/>
          <w:color w:val="000000"/>
          <w:sz w:val="24"/>
          <w:szCs w:val="24"/>
        </w:rPr>
        <w:t>Does not apply</w:t>
      </w:r>
    </w:p>
    <w:p w:rsidR="009E13B1" w:rsidRPr="006C7FAE" w:rsidP="00DE2C79" w14:paraId="73DB0897" w14:textId="642889FC">
      <w:pPr>
        <w:numPr>
          <w:ilvl w:val="0"/>
          <w:numId w:val="19"/>
        </w:numPr>
        <w:tabs>
          <w:tab w:val="left" w:pos="600"/>
        </w:tabs>
        <w:rPr>
          <w:sz w:val="24"/>
          <w:szCs w:val="24"/>
        </w:rPr>
      </w:pPr>
      <w:r w:rsidRPr="006C7FAE">
        <w:rPr>
          <w:sz w:val="24"/>
          <w:szCs w:val="24"/>
        </w:rPr>
        <w:t xml:space="preserve">in connection with a statistical </w:t>
      </w:r>
      <w:r w:rsidRPr="006C7FAE">
        <w:rPr>
          <w:sz w:val="24"/>
          <w:szCs w:val="24"/>
        </w:rPr>
        <w:t>survey,</w:t>
      </w:r>
      <w:r w:rsidRPr="006C7FAE">
        <w:rPr>
          <w:sz w:val="24"/>
          <w:szCs w:val="24"/>
        </w:rPr>
        <w:t xml:space="preserve"> that is not designed to produce valid and reliable results than can be generalized to the universe of study; </w:t>
      </w:r>
      <w:r w:rsidRPr="00C36D45" w:rsidR="00DE2C79">
        <w:rPr>
          <w:b/>
          <w:bCs/>
          <w:color w:val="000000"/>
          <w:sz w:val="24"/>
          <w:szCs w:val="24"/>
        </w:rPr>
        <w:t>Does not apply</w:t>
      </w:r>
    </w:p>
    <w:p w:rsidR="00DE2C79" w:rsidP="00DE2C79" w14:paraId="0A8F790C" w14:textId="19B64020">
      <w:pPr>
        <w:numPr>
          <w:ilvl w:val="0"/>
          <w:numId w:val="19"/>
        </w:numPr>
        <w:tabs>
          <w:tab w:val="left" w:pos="600"/>
        </w:tabs>
        <w:rPr>
          <w:sz w:val="24"/>
          <w:szCs w:val="24"/>
        </w:rPr>
      </w:pPr>
      <w:r w:rsidRPr="00DE2C79">
        <w:rPr>
          <w:sz w:val="24"/>
          <w:szCs w:val="24"/>
        </w:rPr>
        <w:t>requiring the use of a statistical data classification that has not been reviewed and approved by OMB;</w:t>
      </w:r>
      <w:r>
        <w:rPr>
          <w:sz w:val="24"/>
          <w:szCs w:val="24"/>
        </w:rPr>
        <w:t xml:space="preserve"> </w:t>
      </w:r>
      <w:r w:rsidRPr="00C36D45">
        <w:rPr>
          <w:b/>
          <w:bCs/>
          <w:color w:val="000000"/>
          <w:sz w:val="24"/>
          <w:szCs w:val="24"/>
        </w:rPr>
        <w:t>Does not apply</w:t>
      </w:r>
    </w:p>
    <w:p w:rsidR="00DE2C79" w:rsidP="00DE2C79" w14:paraId="4EEE702F" w14:textId="7FC6C0D2">
      <w:pPr>
        <w:numPr>
          <w:ilvl w:val="0"/>
          <w:numId w:val="19"/>
        </w:numPr>
        <w:tabs>
          <w:tab w:val="left" w:pos="600"/>
        </w:tabs>
        <w:rPr>
          <w:sz w:val="24"/>
          <w:szCs w:val="24"/>
        </w:rPr>
      </w:pPr>
      <w:r w:rsidRPr="00DE2C79">
        <w:rPr>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C36D45">
        <w:rPr>
          <w:b/>
          <w:bCs/>
          <w:color w:val="000000"/>
          <w:sz w:val="24"/>
          <w:szCs w:val="24"/>
        </w:rPr>
        <w:t>Does</w:t>
      </w:r>
      <w:r w:rsidRPr="00C36D45">
        <w:rPr>
          <w:b/>
          <w:bCs/>
          <w:color w:val="000000"/>
          <w:sz w:val="24"/>
          <w:szCs w:val="24"/>
        </w:rPr>
        <w:t xml:space="preserve"> not apply</w:t>
      </w:r>
    </w:p>
    <w:p w:rsidR="009E13B1" w:rsidRPr="00DE2C79" w:rsidP="00DE2C79" w14:paraId="0DB9F02B" w14:textId="62B04DD9">
      <w:pPr>
        <w:numPr>
          <w:ilvl w:val="0"/>
          <w:numId w:val="19"/>
        </w:numPr>
        <w:tabs>
          <w:tab w:val="left" w:pos="600"/>
        </w:tabs>
        <w:rPr>
          <w:sz w:val="24"/>
          <w:szCs w:val="24"/>
        </w:rPr>
      </w:pPr>
      <w:r w:rsidRPr="00DE2C79">
        <w:rPr>
          <w:sz w:val="24"/>
          <w:szCs w:val="24"/>
        </w:rPr>
        <w:t xml:space="preserve">requiring respondents to submit proprietary trade </w:t>
      </w:r>
      <w:r w:rsidRPr="00DE2C79">
        <w:rPr>
          <w:sz w:val="24"/>
          <w:szCs w:val="24"/>
        </w:rPr>
        <w:t>secret</w:t>
      </w:r>
      <w:r w:rsidRPr="00DE2C79">
        <w:rPr>
          <w:sz w:val="24"/>
          <w:szCs w:val="24"/>
        </w:rPr>
        <w:t>, or other confidential information unless the agency can demonstrate that it has instituted procedures to protect the information's confidentiality to the extent permitted by law.</w:t>
      </w:r>
      <w:r w:rsidRPr="00DE2C79" w:rsidR="00DE2C79">
        <w:rPr>
          <w:b/>
          <w:bCs/>
          <w:color w:val="000000"/>
          <w:sz w:val="24"/>
          <w:szCs w:val="24"/>
        </w:rPr>
        <w:t xml:space="preserve"> </w:t>
      </w:r>
      <w:r w:rsidRPr="00C36D45" w:rsidR="00DE2C79">
        <w:rPr>
          <w:b/>
          <w:bCs/>
          <w:color w:val="000000"/>
          <w:sz w:val="24"/>
          <w:szCs w:val="24"/>
        </w:rPr>
        <w:t>Does not apply</w:t>
      </w:r>
    </w:p>
    <w:p w:rsidR="009C1143" w:rsidRPr="00AD3B58" w:rsidP="009C1143" w14:paraId="47FF5083" w14:textId="77777777">
      <w:pPr>
        <w:rPr>
          <w:sz w:val="16"/>
          <w:szCs w:val="16"/>
        </w:rPr>
      </w:pPr>
    </w:p>
    <w:p w:rsidR="009E13B1" w:rsidRPr="009C1143" w:rsidP="00A15CC1" w14:paraId="313F58B2" w14:textId="078ABD6D">
      <w:pPr>
        <w:tabs>
          <w:tab w:val="left" w:pos="360"/>
        </w:tabs>
        <w:ind w:left="1134" w:hanging="360"/>
        <w:rPr>
          <w:bCs/>
          <w:sz w:val="24"/>
          <w:szCs w:val="24"/>
        </w:rPr>
      </w:pPr>
      <w:r w:rsidRPr="009C1143">
        <w:rPr>
          <w:bCs/>
          <w:sz w:val="24"/>
          <w:szCs w:val="24"/>
        </w:rPr>
        <w:t>There are no special circumstances required in this collection of information:</w:t>
      </w:r>
    </w:p>
    <w:p w:rsidR="00A7471C" w:rsidRPr="006C7FAE" w:rsidP="00A7471C" w14:paraId="0BD78C7D" w14:textId="5402B947">
      <w:pPr>
        <w:tabs>
          <w:tab w:val="left" w:pos="360"/>
        </w:tabs>
        <w:ind w:left="1800" w:hanging="360"/>
        <w:rPr>
          <w:sz w:val="24"/>
          <w:szCs w:val="24"/>
        </w:rPr>
      </w:pPr>
    </w:p>
    <w:p w:rsidR="00A65F9E" w:rsidRPr="00111942" w:rsidP="00A65F9E" w14:paraId="663A6B8B" w14:textId="6032B4BA">
      <w:pPr>
        <w:numPr>
          <w:ilvl w:val="0"/>
          <w:numId w:val="13"/>
        </w:numPr>
        <w:tabs>
          <w:tab w:val="left" w:pos="360"/>
        </w:tabs>
        <w:rPr>
          <w:b/>
          <w:bCs/>
          <w:sz w:val="24"/>
          <w:szCs w:val="24"/>
        </w:rPr>
      </w:pPr>
      <w:r w:rsidRPr="00111942">
        <w:rPr>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111942" w:rsidR="00061F11">
        <w:rPr>
          <w:b/>
          <w:bCs/>
          <w:sz w:val="24"/>
          <w:szCs w:val="24"/>
        </w:rPr>
        <w:t xml:space="preserve"> </w:t>
      </w:r>
    </w:p>
    <w:p w:rsidR="00995FB4" w:rsidP="00C714DF" w14:paraId="24053277" w14:textId="77777777">
      <w:pPr>
        <w:pStyle w:val="NoSpacing"/>
      </w:pPr>
    </w:p>
    <w:p w:rsidR="00AD3B58" w:rsidRPr="00AD3B58" w:rsidP="00AD3B58" w14:paraId="125F18E6" w14:textId="77777777">
      <w:pPr>
        <w:tabs>
          <w:tab w:val="left" w:pos="360"/>
        </w:tabs>
        <w:ind w:left="336"/>
        <w:rPr>
          <w:b/>
          <w:bCs/>
          <w:sz w:val="16"/>
          <w:szCs w:val="16"/>
        </w:rPr>
      </w:pPr>
    </w:p>
    <w:p w:rsidR="009E13B1" w:rsidRPr="00111942" w:rsidP="009C1143" w14:paraId="34CF76D2" w14:textId="77444D87">
      <w:pPr>
        <w:numPr>
          <w:ilvl w:val="0"/>
          <w:numId w:val="18"/>
        </w:numPr>
        <w:tabs>
          <w:tab w:val="left" w:pos="360"/>
        </w:tabs>
        <w:ind w:left="480"/>
        <w:rPr>
          <w:b/>
          <w:bCs/>
          <w:sz w:val="24"/>
          <w:szCs w:val="24"/>
        </w:rPr>
      </w:pPr>
      <w:r w:rsidRPr="00111942">
        <w:rPr>
          <w:b/>
          <w:bCs/>
          <w:sz w:val="24"/>
          <w:szCs w:val="24"/>
        </w:rPr>
        <w:t xml:space="preserve">Describe efforts to consult with </w:t>
      </w:r>
      <w:r w:rsidRPr="00111942">
        <w:rPr>
          <w:b/>
          <w:bCs/>
          <w:sz w:val="24"/>
          <w:szCs w:val="24"/>
        </w:rPr>
        <w:t>persons</w:t>
      </w:r>
      <w:r w:rsidRPr="00111942">
        <w:rPr>
          <w:b/>
          <w:bCs/>
          <w:sz w:val="24"/>
          <w:szCs w:val="24"/>
        </w:rPr>
        <w:t xml:space="preserve"> outside the agency to obtain their views on the availability of data, frequency of collection, the clarity of instructions and recordkeeping disclosure, or reporting format (if any) and the data elements to be recorded, disclosed, or reported.</w:t>
      </w:r>
    </w:p>
    <w:p w:rsidR="00A65F9E" w:rsidRPr="00AD3B58" w:rsidP="00A65F9E" w14:paraId="160E38D3" w14:textId="77777777">
      <w:pPr>
        <w:keepLines/>
        <w:tabs>
          <w:tab w:val="left" w:pos="360"/>
        </w:tabs>
        <w:spacing w:after="80"/>
        <w:ind w:left="480"/>
        <w:rPr>
          <w:b/>
          <w:bCs/>
          <w:sz w:val="16"/>
          <w:szCs w:val="16"/>
        </w:rPr>
      </w:pPr>
    </w:p>
    <w:p w:rsidR="009E13B1" w:rsidRPr="00111942" w:rsidP="009C1143" w14:paraId="3AA6A4A9" w14:textId="34907F09">
      <w:pPr>
        <w:keepLines/>
        <w:numPr>
          <w:ilvl w:val="0"/>
          <w:numId w:val="18"/>
        </w:numPr>
        <w:tabs>
          <w:tab w:val="left" w:pos="360"/>
        </w:tabs>
        <w:spacing w:after="80"/>
        <w:ind w:left="480"/>
        <w:rPr>
          <w:b/>
          <w:bCs/>
          <w:sz w:val="24"/>
          <w:szCs w:val="24"/>
        </w:rPr>
      </w:pPr>
      <w:r w:rsidRPr="00111942">
        <w:rPr>
          <w:b/>
          <w:bCs/>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DE2C79" w:rsidP="00DE2C79" w14:paraId="130F0B60" w14:textId="43340FBB">
      <w:pPr>
        <w:tabs>
          <w:tab w:val="left" w:pos="360"/>
        </w:tabs>
        <w:ind w:left="480"/>
        <w:rPr>
          <w:sz w:val="24"/>
          <w:szCs w:val="24"/>
        </w:rPr>
      </w:pPr>
    </w:p>
    <w:p w:rsidR="009E13B1" w:rsidRPr="00DE2C79" w:rsidP="00DE2C79" w14:paraId="2607AF1A" w14:textId="3F4C5911">
      <w:pPr>
        <w:tabs>
          <w:tab w:val="left" w:pos="360"/>
        </w:tabs>
        <w:ind w:left="360" w:hanging="360"/>
        <w:rPr>
          <w:sz w:val="16"/>
          <w:szCs w:val="16"/>
        </w:rPr>
      </w:pPr>
      <w:r>
        <w:rPr>
          <w:sz w:val="24"/>
          <w:szCs w:val="24"/>
        </w:rPr>
        <w:tab/>
      </w:r>
      <w:r w:rsidRPr="00F154BB">
        <w:rPr>
          <w:sz w:val="24"/>
          <w:szCs w:val="24"/>
        </w:rPr>
        <w:t xml:space="preserve">In accordance with 5 CFR 1320.8(d), a 60-day Federal Register Notice </w:t>
      </w:r>
      <w:r>
        <w:rPr>
          <w:sz w:val="24"/>
          <w:szCs w:val="24"/>
        </w:rPr>
        <w:t>(</w:t>
      </w:r>
      <w:r w:rsidRPr="00CF2CA0">
        <w:rPr>
          <w:sz w:val="24"/>
          <w:szCs w:val="24"/>
        </w:rPr>
        <w:t>FR-7086-N-34</w:t>
      </w:r>
      <w:r>
        <w:rPr>
          <w:sz w:val="24"/>
          <w:szCs w:val="24"/>
        </w:rPr>
        <w:t>)</w:t>
      </w:r>
      <w:r w:rsidRPr="00CF2CA0">
        <w:rPr>
          <w:sz w:val="24"/>
          <w:szCs w:val="24"/>
        </w:rPr>
        <w:t xml:space="preserve"> </w:t>
      </w:r>
      <w:r w:rsidRPr="00F154BB">
        <w:rPr>
          <w:sz w:val="24"/>
          <w:szCs w:val="24"/>
        </w:rPr>
        <w:t xml:space="preserve">soliciting public comments was </w:t>
      </w:r>
      <w:r>
        <w:rPr>
          <w:sz w:val="24"/>
          <w:szCs w:val="24"/>
        </w:rPr>
        <w:t xml:space="preserve">published </w:t>
      </w:r>
      <w:r w:rsidRPr="00F154BB">
        <w:rPr>
          <w:sz w:val="24"/>
          <w:szCs w:val="24"/>
        </w:rPr>
        <w:t>in the Federal Register on December 27, 2024, FR 2024-30796</w:t>
      </w:r>
      <w:r>
        <w:rPr>
          <w:sz w:val="24"/>
          <w:szCs w:val="24"/>
        </w:rPr>
        <w:t xml:space="preserve"> with comments due by February 25, 2025. </w:t>
      </w:r>
      <w:r w:rsidRPr="00111942" w:rsidR="00F12B1A">
        <w:rPr>
          <w:sz w:val="24"/>
          <w:szCs w:val="24"/>
        </w:rPr>
        <w:t>No comments were received.</w:t>
      </w:r>
    </w:p>
    <w:p w:rsidR="00F12B1A" w:rsidRPr="006C7FAE" w14:paraId="7C1D9D7C" w14:textId="77777777">
      <w:pPr>
        <w:tabs>
          <w:tab w:val="left" w:pos="360"/>
        </w:tabs>
        <w:ind w:left="360" w:hanging="360"/>
        <w:rPr>
          <w:sz w:val="24"/>
          <w:szCs w:val="24"/>
        </w:rPr>
      </w:pPr>
    </w:p>
    <w:p w:rsidR="00DE2C79" w:rsidRPr="00DE2C79" w:rsidP="00DE2C79" w14:paraId="7B7B1736" w14:textId="3C365C57">
      <w:pPr>
        <w:pStyle w:val="ListParagraph"/>
        <w:keepLines/>
        <w:numPr>
          <w:ilvl w:val="0"/>
          <w:numId w:val="13"/>
        </w:numPr>
        <w:tabs>
          <w:tab w:val="left" w:pos="360"/>
        </w:tabs>
        <w:spacing w:after="80"/>
        <w:rPr>
          <w:b/>
          <w:bCs/>
          <w:sz w:val="24"/>
          <w:szCs w:val="24"/>
        </w:rPr>
      </w:pPr>
      <w:r w:rsidRPr="00DE2C79">
        <w:rPr>
          <w:b/>
          <w:bCs/>
          <w:sz w:val="24"/>
          <w:szCs w:val="24"/>
        </w:rPr>
        <w:t>Explain any decision to provide any payment or gift to respondents, other than renumeration of contractors or grantees.</w:t>
      </w:r>
    </w:p>
    <w:p w:rsidR="00DE2C79" w:rsidP="00DE2C79" w14:paraId="2FD298BE" w14:textId="77777777">
      <w:pPr>
        <w:pStyle w:val="ListParagraph"/>
        <w:keepLines/>
        <w:tabs>
          <w:tab w:val="left" w:pos="360"/>
        </w:tabs>
        <w:spacing w:after="80"/>
        <w:ind w:left="360"/>
        <w:rPr>
          <w:sz w:val="24"/>
          <w:szCs w:val="24"/>
        </w:rPr>
      </w:pPr>
    </w:p>
    <w:p w:rsidR="009E13B1" w:rsidRPr="00DE2C79" w:rsidP="00DE2C79" w14:paraId="04C87772" w14:textId="58C8F101">
      <w:pPr>
        <w:pStyle w:val="ListParagraph"/>
        <w:keepLines/>
        <w:tabs>
          <w:tab w:val="left" w:pos="360"/>
        </w:tabs>
        <w:spacing w:after="80"/>
        <w:ind w:left="360"/>
        <w:rPr>
          <w:b/>
          <w:bCs/>
          <w:sz w:val="24"/>
          <w:szCs w:val="24"/>
        </w:rPr>
      </w:pPr>
      <w:r w:rsidRPr="00DE2C79">
        <w:rPr>
          <w:sz w:val="24"/>
          <w:szCs w:val="24"/>
        </w:rPr>
        <w:t>Respondents are not provided with payments or gifts for this information collection.</w:t>
      </w:r>
    </w:p>
    <w:p w:rsidR="00A15CC1" w:rsidP="00111942" w14:paraId="36C6A14E" w14:textId="77777777">
      <w:pPr>
        <w:tabs>
          <w:tab w:val="left" w:pos="360"/>
        </w:tabs>
        <w:ind w:left="720" w:hanging="360"/>
        <w:rPr>
          <w:sz w:val="24"/>
          <w:szCs w:val="24"/>
        </w:rPr>
      </w:pPr>
    </w:p>
    <w:p w:rsidR="009E13B1" w:rsidRPr="00111942" w14:paraId="199B10B5" w14:textId="77777777">
      <w:pPr>
        <w:keepLines/>
        <w:tabs>
          <w:tab w:val="left" w:pos="360"/>
        </w:tabs>
        <w:spacing w:after="80"/>
        <w:ind w:left="360" w:hanging="360"/>
        <w:rPr>
          <w:b/>
          <w:bCs/>
          <w:sz w:val="24"/>
          <w:szCs w:val="24"/>
        </w:rPr>
      </w:pPr>
      <w:r w:rsidRPr="00111942">
        <w:rPr>
          <w:b/>
          <w:bCs/>
          <w:sz w:val="24"/>
          <w:szCs w:val="24"/>
        </w:rPr>
        <w:t>10.</w:t>
      </w:r>
      <w:r w:rsidRPr="00111942">
        <w:rPr>
          <w:b/>
          <w:bCs/>
          <w:sz w:val="24"/>
          <w:szCs w:val="24"/>
        </w:rPr>
        <w:tab/>
        <w:t>Describe any assurance of confidentiality provided to respondents and the basis for assurance in statute, regulation or agency policy.</w:t>
      </w:r>
      <w:r w:rsidRPr="00111942" w:rsidR="000D5079">
        <w:rPr>
          <w:b/>
          <w:bCs/>
        </w:rPr>
        <w:t xml:space="preserve"> </w:t>
      </w:r>
      <w:r w:rsidRPr="00111942" w:rsidR="000D5079">
        <w:rPr>
          <w:b/>
          <w:bCs/>
          <w:sz w:val="24"/>
          <w:szCs w:val="24"/>
        </w:rPr>
        <w:t xml:space="preserve">If the collection requires a </w:t>
      </w:r>
      <w:r w:rsidRPr="00111942" w:rsidR="00BB2518">
        <w:rPr>
          <w:b/>
          <w:bCs/>
          <w:sz w:val="24"/>
          <w:szCs w:val="24"/>
        </w:rPr>
        <w:t>system of records notice (SORN)</w:t>
      </w:r>
      <w:r w:rsidRPr="00111942" w:rsidR="000D5079">
        <w:rPr>
          <w:b/>
          <w:bCs/>
          <w:sz w:val="24"/>
          <w:szCs w:val="24"/>
        </w:rPr>
        <w:t xml:space="preserve"> or privacy impact assessment (PIA), those should be cited and described here.</w:t>
      </w:r>
    </w:p>
    <w:p w:rsidR="009E13B1" w:rsidRPr="00AD3B58" w14:paraId="6CDC9D62" w14:textId="0517BD6F">
      <w:pPr>
        <w:tabs>
          <w:tab w:val="left" w:pos="360"/>
        </w:tabs>
        <w:ind w:left="360" w:hanging="360"/>
        <w:rPr>
          <w:sz w:val="16"/>
          <w:szCs w:val="16"/>
        </w:rPr>
      </w:pPr>
      <w:r>
        <w:rPr>
          <w:sz w:val="24"/>
          <w:szCs w:val="24"/>
        </w:rPr>
        <w:tab/>
      </w:r>
    </w:p>
    <w:p w:rsidR="00E21387" w:rsidP="00DE2C79" w14:paraId="58531381" w14:textId="3D3A81A6">
      <w:pPr>
        <w:tabs>
          <w:tab w:val="left" w:pos="360"/>
        </w:tabs>
        <w:ind w:left="360"/>
        <w:rPr>
          <w:bCs/>
          <w:sz w:val="24"/>
          <w:szCs w:val="24"/>
        </w:rPr>
      </w:pPr>
      <w:r w:rsidRPr="00E21387">
        <w:rPr>
          <w:sz w:val="24"/>
          <w:szCs w:val="24"/>
        </w:rPr>
        <w:t>No assurance of confidentiality is provided for the information collection except as noted in the Privacy Act Statement on form HUD-92563-A, which prohibits disclosure outside the agency without the individual’s consent, except to verify the accuracy of the information; or if necessary, disclosing the information as part of an investigation.  The Privacy Act of 1974 protects respondents who meet these information-reporting requirements for all other forms.  The information collected is secured in the FHA Connection system with access limited to a few key HUD employees.  The Housing and Community Development Act of 1987, 42 U.S.C. 3543 authorizes HUD to collect the SSN on form 92563-A.</w:t>
      </w:r>
      <w:r w:rsidRPr="00E21387">
        <w:rPr>
          <w:b/>
          <w:sz w:val="24"/>
          <w:szCs w:val="24"/>
        </w:rPr>
        <w:t xml:space="preserve"> </w:t>
      </w:r>
      <w:r w:rsidRPr="00E21387">
        <w:rPr>
          <w:bCs/>
          <w:sz w:val="24"/>
          <w:szCs w:val="24"/>
        </w:rPr>
        <w:t>HUD Form 92563-A collect personally identifiable information (PII).  The information collected is required in compliance with 24 CFR §200.202 that prohibits appraisers who have defaulted on a federal obligation as demonstrated by being listed in HUD’s Credit Alert Interactive Verification Response System (CAIVRS) from being approved for placement on the FHA Appraiser Roster. CAIVRS searches for matches to defaulted federal obligations by social security number.  To comply with the requirements of the regulations, HUD must collect the social security numbers of potential appraisers.</w:t>
      </w:r>
    </w:p>
    <w:p w:rsidR="00E21387" w:rsidRPr="006C7FAE" w14:paraId="2A7455FD" w14:textId="77777777">
      <w:pPr>
        <w:tabs>
          <w:tab w:val="left" w:pos="360"/>
        </w:tabs>
        <w:ind w:left="360" w:hanging="360"/>
        <w:rPr>
          <w:sz w:val="24"/>
          <w:szCs w:val="24"/>
        </w:rPr>
      </w:pPr>
    </w:p>
    <w:p w:rsidR="009E13B1" w:rsidRPr="00111942" w14:paraId="668EAA31" w14:textId="77777777">
      <w:pPr>
        <w:keepLines/>
        <w:tabs>
          <w:tab w:val="left" w:pos="360"/>
        </w:tabs>
        <w:spacing w:after="80"/>
        <w:ind w:left="360" w:hanging="360"/>
        <w:rPr>
          <w:b/>
          <w:bCs/>
          <w:sz w:val="24"/>
          <w:szCs w:val="24"/>
        </w:rPr>
      </w:pPr>
      <w:r w:rsidRPr="00111942">
        <w:rPr>
          <w:b/>
          <w:bCs/>
          <w:sz w:val="24"/>
          <w:szCs w:val="24"/>
        </w:rPr>
        <w:t>11.</w:t>
      </w:r>
      <w:r w:rsidRPr="00111942">
        <w:rPr>
          <w:b/>
          <w:bCs/>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E13B1" w:rsidRPr="00AD3B58" w14:paraId="0A2401BB" w14:textId="77777777">
      <w:pPr>
        <w:tabs>
          <w:tab w:val="left" w:pos="360"/>
        </w:tabs>
        <w:ind w:left="360" w:hanging="360"/>
        <w:rPr>
          <w:sz w:val="16"/>
          <w:szCs w:val="16"/>
        </w:rPr>
      </w:pPr>
    </w:p>
    <w:p w:rsidR="007F3741" w:rsidRPr="007F3741" w:rsidP="00DE2C79" w14:paraId="38D4DEFB" w14:textId="088C81DE">
      <w:pPr>
        <w:tabs>
          <w:tab w:val="left" w:pos="360"/>
        </w:tabs>
        <w:ind w:left="360"/>
        <w:rPr>
          <w:b/>
          <w:sz w:val="24"/>
          <w:szCs w:val="24"/>
        </w:rPr>
      </w:pPr>
      <w:r w:rsidRPr="007F3741">
        <w:rPr>
          <w:sz w:val="24"/>
          <w:szCs w:val="24"/>
        </w:rPr>
        <w:t>This information collection does not contain questions of a sensitive nature.  The information collected on Form HUD 92563-A is required to comply with the requirements of regulations at 24 CFR 200.202 that to be eligible for placement on the Appraiser Roster, the applicant must not be listed on HUD’s Credit Alert Verification Reporting System (CAIVRS). Such listing is indicative of having defaulted on a federal obligation. HUD must collect the social security number in order to conduct a search in CAIVRS to determine eligibility for placement on the FHA Appraiser Roster.</w:t>
      </w:r>
      <w:r w:rsidRPr="007F3741">
        <w:rPr>
          <w:b/>
          <w:sz w:val="24"/>
          <w:szCs w:val="24"/>
        </w:rPr>
        <w:t xml:space="preserve"> </w:t>
      </w:r>
    </w:p>
    <w:p w:rsidR="00A65F9E" w14:paraId="06BC304E" w14:textId="77777777">
      <w:pPr>
        <w:tabs>
          <w:tab w:val="left" w:pos="360"/>
        </w:tabs>
        <w:ind w:left="360" w:hanging="360"/>
        <w:rPr>
          <w:sz w:val="24"/>
          <w:szCs w:val="24"/>
        </w:rPr>
      </w:pPr>
    </w:p>
    <w:p w:rsidR="000D5079" w:rsidRPr="00111942" w14:paraId="7C95C366" w14:textId="77777777">
      <w:pPr>
        <w:tabs>
          <w:tab w:val="left" w:pos="360"/>
        </w:tabs>
        <w:ind w:left="360" w:hanging="360"/>
        <w:rPr>
          <w:b/>
          <w:bCs/>
          <w:sz w:val="24"/>
          <w:szCs w:val="24"/>
        </w:rPr>
      </w:pPr>
      <w:r w:rsidRPr="00111942">
        <w:rPr>
          <w:b/>
          <w:bCs/>
          <w:sz w:val="24"/>
          <w:szCs w:val="24"/>
        </w:rPr>
        <w:t>12.</w:t>
      </w:r>
      <w:r w:rsidRPr="00111942">
        <w:rPr>
          <w:b/>
          <w:bCs/>
          <w:sz w:val="24"/>
          <w:szCs w:val="24"/>
        </w:rPr>
        <w:tab/>
        <w:t>Provide estimates of the hour burden of the collection of information.  The statement should:</w:t>
      </w:r>
    </w:p>
    <w:p w:rsidR="009E13B1" w:rsidRPr="006C7FAE" w14:paraId="1876208F" w14:textId="77777777">
      <w:pPr>
        <w:tabs>
          <w:tab w:val="left" w:pos="360"/>
        </w:tabs>
        <w:ind w:left="360" w:hanging="360"/>
        <w:rPr>
          <w:sz w:val="24"/>
          <w:szCs w:val="24"/>
        </w:rPr>
      </w:pPr>
      <w:r w:rsidRPr="006C7FAE">
        <w:rPr>
          <w:sz w:val="24"/>
          <w:szCs w:val="24"/>
        </w:rPr>
        <w:t xml:space="preserve"> </w:t>
      </w:r>
    </w:p>
    <w:p w:rsidR="009E13B1" w:rsidRPr="006C7FAE" w:rsidP="009C1143" w14:paraId="06CBD536" w14:textId="77777777">
      <w:pPr>
        <w:numPr>
          <w:ilvl w:val="0"/>
          <w:numId w:val="18"/>
        </w:numPr>
        <w:tabs>
          <w:tab w:val="left" w:pos="480"/>
        </w:tabs>
        <w:ind w:left="480"/>
        <w:rPr>
          <w:sz w:val="24"/>
          <w:szCs w:val="24"/>
        </w:rPr>
      </w:pPr>
      <w:r>
        <w:rPr>
          <w:sz w:val="24"/>
          <w:szCs w:val="24"/>
        </w:rPr>
        <w:t>I</w:t>
      </w:r>
      <w:r w:rsidRPr="006C7FAE">
        <w:rPr>
          <w:sz w:val="24"/>
          <w:szCs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6C7FAE" w:rsidR="006C7FAE">
        <w:rPr>
          <w:sz w:val="24"/>
          <w:szCs w:val="24"/>
        </w:rPr>
        <w:t>Generally,</w:t>
      </w:r>
      <w:r w:rsidRPr="006C7FAE">
        <w:rPr>
          <w:sz w:val="24"/>
          <w:szCs w:val="24"/>
        </w:rPr>
        <w:t xml:space="preserve"> estimates should not include burden hours for customary and usual business practices; </w:t>
      </w:r>
    </w:p>
    <w:p w:rsidR="009E13B1" w:rsidRPr="006C7FAE" w:rsidP="009C1143" w14:paraId="54BF2220" w14:textId="77777777">
      <w:pPr>
        <w:numPr>
          <w:ilvl w:val="0"/>
          <w:numId w:val="18"/>
        </w:numPr>
        <w:tabs>
          <w:tab w:val="left" w:pos="480"/>
        </w:tabs>
        <w:ind w:left="480"/>
        <w:rPr>
          <w:sz w:val="24"/>
          <w:szCs w:val="24"/>
        </w:rPr>
      </w:pPr>
      <w:r>
        <w:rPr>
          <w:sz w:val="24"/>
          <w:szCs w:val="24"/>
        </w:rPr>
        <w:t>I</w:t>
      </w:r>
      <w:r w:rsidRPr="006C7FAE">
        <w:rPr>
          <w:sz w:val="24"/>
          <w:szCs w:val="24"/>
        </w:rPr>
        <w:t xml:space="preserve">f this request covers more than one form, provide separate hour burden estimates for each form and aggregate the hour burdens in </w:t>
      </w:r>
      <w:r w:rsidR="00CA06CC">
        <w:rPr>
          <w:sz w:val="24"/>
          <w:szCs w:val="24"/>
        </w:rPr>
        <w:t>chart below</w:t>
      </w:r>
      <w:r w:rsidRPr="006C7FAE">
        <w:rPr>
          <w:sz w:val="24"/>
          <w:szCs w:val="24"/>
        </w:rPr>
        <w:t xml:space="preserve">; and </w:t>
      </w:r>
    </w:p>
    <w:p w:rsidR="009E13B1" w:rsidP="009C1143" w14:paraId="438D1797" w14:textId="77777777">
      <w:pPr>
        <w:keepLines/>
        <w:numPr>
          <w:ilvl w:val="0"/>
          <w:numId w:val="18"/>
        </w:numPr>
        <w:tabs>
          <w:tab w:val="left" w:pos="480"/>
        </w:tabs>
        <w:spacing w:after="80"/>
        <w:ind w:left="480"/>
        <w:rPr>
          <w:sz w:val="24"/>
          <w:szCs w:val="24"/>
        </w:rPr>
      </w:pPr>
      <w:r>
        <w:rPr>
          <w:sz w:val="24"/>
          <w:szCs w:val="24"/>
        </w:rPr>
        <w:t>P</w:t>
      </w:r>
      <w:r w:rsidRPr="006C7FAE">
        <w:rPr>
          <w:sz w:val="24"/>
          <w:szCs w:val="24"/>
        </w:rPr>
        <w:t xml:space="preserve">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6C7FAE" w:rsidR="00CA06CC">
        <w:rPr>
          <w:sz w:val="24"/>
          <w:szCs w:val="24"/>
        </w:rPr>
        <w:t>Instead,</w:t>
      </w:r>
      <w:r w:rsidRPr="006C7FAE">
        <w:rPr>
          <w:sz w:val="24"/>
          <w:szCs w:val="24"/>
        </w:rPr>
        <w:t xml:space="preserve"> this cost should be included in Item 13.</w:t>
      </w:r>
    </w:p>
    <w:p w:rsidR="00DE2C79" w:rsidP="00DE2C79" w14:paraId="7F4B10F9" w14:textId="77777777">
      <w:pPr>
        <w:keepLines/>
        <w:tabs>
          <w:tab w:val="left" w:pos="480"/>
        </w:tabs>
        <w:spacing w:after="80"/>
        <w:rPr>
          <w:sz w:val="16"/>
          <w:szCs w:val="16"/>
        </w:rPr>
      </w:pPr>
    </w:p>
    <w:p w:rsidR="00367881" w:rsidP="00DE2C79" w14:paraId="46BB9333" w14:textId="115EDCD8">
      <w:pPr>
        <w:keepLines/>
        <w:tabs>
          <w:tab w:val="left" w:pos="480"/>
        </w:tabs>
        <w:spacing w:after="80"/>
        <w:ind w:left="336"/>
        <w:rPr>
          <w:sz w:val="24"/>
          <w:szCs w:val="24"/>
        </w:rPr>
      </w:pPr>
      <w:r w:rsidRPr="00367881">
        <w:rPr>
          <w:sz w:val="24"/>
          <w:szCs w:val="24"/>
        </w:rPr>
        <w:t xml:space="preserve">In the past year, HUD has received approximately </w:t>
      </w:r>
      <w:r w:rsidRPr="00367881">
        <w:rPr>
          <w:b/>
          <w:bCs/>
          <w:sz w:val="24"/>
          <w:szCs w:val="24"/>
        </w:rPr>
        <w:t>820</w:t>
      </w:r>
      <w:r w:rsidRPr="00367881">
        <w:rPr>
          <w:sz w:val="24"/>
          <w:szCs w:val="24"/>
        </w:rPr>
        <w:t xml:space="preserve"> new applications from appraisers, that includes copies of their state licenses as required. HUD requires the form HUD-92564-CN to be provided by lenders to potential home purchasers yet is not signed or collected by FHA and neither stored nor provided to any other agency.</w:t>
      </w:r>
    </w:p>
    <w:p w:rsidR="00DE2C79" w:rsidRPr="006C7FAE" w:rsidP="00111942" w14:paraId="4BD70C2E" w14:textId="77777777">
      <w:pPr>
        <w:keepLines/>
        <w:tabs>
          <w:tab w:val="left" w:pos="480"/>
        </w:tabs>
        <w:spacing w:after="80"/>
        <w:ind w:left="720"/>
        <w:rPr>
          <w:sz w:val="24"/>
          <w:szCs w:val="24"/>
        </w:rPr>
      </w:pPr>
    </w:p>
    <w:tbl>
      <w:tblPr>
        <w:tblW w:w="98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520"/>
        <w:gridCol w:w="1306"/>
        <w:gridCol w:w="1242"/>
        <w:gridCol w:w="1332"/>
        <w:gridCol w:w="1170"/>
        <w:gridCol w:w="974"/>
        <w:gridCol w:w="1017"/>
        <w:gridCol w:w="1249"/>
      </w:tblGrid>
      <w:tr w14:paraId="2AF62206" w14:textId="77777777" w:rsidTr="002C167E">
        <w:tblPrEx>
          <w:tblW w:w="98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520" w:type="dxa"/>
            <w:tcMar>
              <w:top w:w="0" w:type="dxa"/>
              <w:left w:w="108" w:type="dxa"/>
              <w:bottom w:w="0" w:type="dxa"/>
              <w:right w:w="108" w:type="dxa"/>
            </w:tcMar>
            <w:hideMark/>
          </w:tcPr>
          <w:p w:rsidR="00167E53" w:rsidRPr="006C7FAE" w:rsidP="00167E53" w14:paraId="18951238" w14:textId="72A87E67">
            <w:pPr>
              <w:adjustRightInd/>
              <w:jc w:val="center"/>
              <w:textAlignment w:val="auto"/>
              <w:rPr>
                <w:rFonts w:eastAsia="Calibri"/>
                <w:b/>
                <w:bCs/>
                <w:color w:val="000000"/>
              </w:rPr>
            </w:pPr>
            <w:bookmarkStart w:id="0" w:name="_Hlk72491044"/>
            <w:r w:rsidRPr="006C7FAE">
              <w:rPr>
                <w:rFonts w:eastAsia="Calibri"/>
                <w:b/>
                <w:bCs/>
                <w:color w:val="000000"/>
              </w:rPr>
              <w:t>Information Collection</w:t>
            </w:r>
          </w:p>
        </w:tc>
        <w:tc>
          <w:tcPr>
            <w:tcW w:w="1306" w:type="dxa"/>
            <w:tcMar>
              <w:top w:w="0" w:type="dxa"/>
              <w:left w:w="108" w:type="dxa"/>
              <w:bottom w:w="0" w:type="dxa"/>
              <w:right w:w="108" w:type="dxa"/>
            </w:tcMar>
            <w:hideMark/>
          </w:tcPr>
          <w:p w:rsidR="00167E53" w:rsidRPr="006C7FAE" w:rsidP="00167E53" w14:paraId="29E8A4AB"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242" w:type="dxa"/>
            <w:tcMar>
              <w:top w:w="0" w:type="dxa"/>
              <w:left w:w="108" w:type="dxa"/>
              <w:bottom w:w="0" w:type="dxa"/>
              <w:right w:w="108" w:type="dxa"/>
            </w:tcMar>
            <w:hideMark/>
          </w:tcPr>
          <w:p w:rsidR="00167E53" w:rsidRPr="006C7FAE" w:rsidP="00167E53" w14:paraId="5D02020C"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332" w:type="dxa"/>
            <w:tcMar>
              <w:top w:w="0" w:type="dxa"/>
              <w:left w:w="108" w:type="dxa"/>
              <w:bottom w:w="0" w:type="dxa"/>
              <w:right w:w="108" w:type="dxa"/>
            </w:tcMar>
            <w:hideMark/>
          </w:tcPr>
          <w:p w:rsidR="00167E53" w:rsidRPr="006C7FAE" w:rsidP="00167E53" w14:paraId="31155C9A"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167E53" w:rsidRPr="006C7FAE" w:rsidP="00167E53" w14:paraId="1B8E5C69" w14:textId="77777777">
            <w:pPr>
              <w:adjustRightInd/>
              <w:jc w:val="center"/>
              <w:textAlignment w:val="auto"/>
              <w:rPr>
                <w:rFonts w:eastAsia="Calibri"/>
                <w:b/>
                <w:bCs/>
                <w:color w:val="000000"/>
              </w:rPr>
            </w:pPr>
            <w:r w:rsidRPr="006C7FAE">
              <w:rPr>
                <w:rFonts w:eastAsia="Calibri"/>
                <w:b/>
                <w:bCs/>
                <w:color w:val="000000"/>
              </w:rPr>
              <w:t>Per Annum</w:t>
            </w:r>
          </w:p>
        </w:tc>
        <w:tc>
          <w:tcPr>
            <w:tcW w:w="1170" w:type="dxa"/>
            <w:tcMar>
              <w:top w:w="0" w:type="dxa"/>
              <w:left w:w="108" w:type="dxa"/>
              <w:bottom w:w="0" w:type="dxa"/>
              <w:right w:w="108" w:type="dxa"/>
            </w:tcMar>
            <w:hideMark/>
          </w:tcPr>
          <w:p w:rsidR="00167E53" w:rsidRPr="006C7FAE" w:rsidP="00167E53" w14:paraId="3F7BE12A"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974" w:type="dxa"/>
            <w:tcMar>
              <w:top w:w="0" w:type="dxa"/>
              <w:left w:w="108" w:type="dxa"/>
              <w:bottom w:w="0" w:type="dxa"/>
              <w:right w:w="108" w:type="dxa"/>
            </w:tcMar>
            <w:hideMark/>
          </w:tcPr>
          <w:p w:rsidR="00167E53" w:rsidRPr="006C7FAE" w:rsidP="00167E53" w14:paraId="0E79EADE" w14:textId="77777777">
            <w:pPr>
              <w:adjustRightInd/>
              <w:jc w:val="center"/>
              <w:textAlignment w:val="auto"/>
              <w:rPr>
                <w:rFonts w:eastAsia="Calibri"/>
                <w:b/>
                <w:bCs/>
                <w:color w:val="000000"/>
              </w:rPr>
            </w:pPr>
            <w:r w:rsidRPr="006C7FAE">
              <w:rPr>
                <w:rFonts w:eastAsia="Calibri"/>
                <w:b/>
                <w:bCs/>
                <w:color w:val="000000"/>
              </w:rPr>
              <w:t>Annual Burden Hours</w:t>
            </w:r>
          </w:p>
        </w:tc>
        <w:tc>
          <w:tcPr>
            <w:tcW w:w="1017" w:type="dxa"/>
            <w:tcMar>
              <w:top w:w="0" w:type="dxa"/>
              <w:left w:w="108" w:type="dxa"/>
              <w:bottom w:w="0" w:type="dxa"/>
              <w:right w:w="108" w:type="dxa"/>
            </w:tcMar>
            <w:hideMark/>
          </w:tcPr>
          <w:p w:rsidR="00167E53" w:rsidRPr="006C7FAE" w:rsidP="00167E53" w14:paraId="7633FB9F"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249" w:type="dxa"/>
            <w:tcMar>
              <w:top w:w="0" w:type="dxa"/>
              <w:left w:w="108" w:type="dxa"/>
              <w:bottom w:w="0" w:type="dxa"/>
              <w:right w:w="108" w:type="dxa"/>
            </w:tcMar>
          </w:tcPr>
          <w:p w:rsidR="00167E53" w:rsidRPr="006C7FAE" w:rsidP="00167E53" w14:paraId="4348ECB6"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167E53" w:rsidRPr="006C7FAE" w:rsidP="00167E53" w14:paraId="5FADD5F6" w14:textId="77777777">
            <w:pPr>
              <w:adjustRightInd/>
              <w:jc w:val="center"/>
              <w:textAlignment w:val="auto"/>
              <w:rPr>
                <w:rFonts w:eastAsia="Calibri"/>
                <w:b/>
                <w:bCs/>
                <w:color w:val="000000"/>
              </w:rPr>
            </w:pPr>
          </w:p>
        </w:tc>
      </w:tr>
      <w:tr w14:paraId="1F2840D6" w14:textId="77777777" w:rsidTr="002C167E">
        <w:tblPrEx>
          <w:tblW w:w="9810" w:type="dxa"/>
          <w:tblInd w:w="-10" w:type="dxa"/>
          <w:tblCellMar>
            <w:left w:w="0" w:type="dxa"/>
            <w:right w:w="0" w:type="dxa"/>
          </w:tblCellMar>
          <w:tblLook w:val="04A0"/>
        </w:tblPrEx>
        <w:tc>
          <w:tcPr>
            <w:tcW w:w="1520" w:type="dxa"/>
            <w:tcMar>
              <w:top w:w="0" w:type="dxa"/>
              <w:left w:w="108" w:type="dxa"/>
              <w:bottom w:w="0" w:type="dxa"/>
              <w:right w:w="108" w:type="dxa"/>
            </w:tcMar>
          </w:tcPr>
          <w:p w:rsidR="00167E53" w:rsidRPr="00C01BA1" w:rsidP="00167E53" w14:paraId="3F8409FC" w14:textId="17DDB2B2">
            <w:pPr>
              <w:adjustRightInd/>
              <w:textAlignment w:val="auto"/>
              <w:rPr>
                <w:rFonts w:eastAsia="Calibri"/>
                <w:color w:val="000000"/>
              </w:rPr>
            </w:pPr>
            <w:r>
              <w:rPr>
                <w:rFonts w:eastAsia="Calibri"/>
                <w:color w:val="000000"/>
              </w:rPr>
              <w:t>HUD-92563-A</w:t>
            </w:r>
          </w:p>
        </w:tc>
        <w:tc>
          <w:tcPr>
            <w:tcW w:w="1306" w:type="dxa"/>
            <w:tcMar>
              <w:top w:w="0" w:type="dxa"/>
              <w:left w:w="108" w:type="dxa"/>
              <w:bottom w:w="0" w:type="dxa"/>
              <w:right w:w="108" w:type="dxa"/>
            </w:tcMar>
          </w:tcPr>
          <w:p w:rsidR="00167E53" w:rsidRPr="00C01BA1" w:rsidP="00167E53" w14:paraId="477FDF2A" w14:textId="74CD783B">
            <w:pPr>
              <w:adjustRightInd/>
              <w:jc w:val="center"/>
              <w:textAlignment w:val="auto"/>
              <w:rPr>
                <w:rFonts w:eastAsia="Calibri"/>
                <w:color w:val="000000"/>
              </w:rPr>
            </w:pPr>
            <w:r w:rsidRPr="00C01BA1">
              <w:rPr>
                <w:rFonts w:eastAsia="Calibri"/>
                <w:color w:val="000000"/>
              </w:rPr>
              <w:t>820</w:t>
            </w:r>
          </w:p>
        </w:tc>
        <w:tc>
          <w:tcPr>
            <w:tcW w:w="1242" w:type="dxa"/>
            <w:tcMar>
              <w:top w:w="0" w:type="dxa"/>
              <w:left w:w="108" w:type="dxa"/>
              <w:bottom w:w="0" w:type="dxa"/>
              <w:right w:w="108" w:type="dxa"/>
            </w:tcMar>
          </w:tcPr>
          <w:p w:rsidR="00167E53" w:rsidRPr="00C01BA1" w:rsidP="00167E53" w14:paraId="0FA12733" w14:textId="098A6500">
            <w:pPr>
              <w:adjustRightInd/>
              <w:jc w:val="center"/>
              <w:textAlignment w:val="auto"/>
              <w:rPr>
                <w:rFonts w:eastAsia="Calibri"/>
                <w:color w:val="000000"/>
              </w:rPr>
            </w:pPr>
            <w:r w:rsidRPr="00C01BA1">
              <w:rPr>
                <w:rFonts w:eastAsia="Calibri"/>
                <w:color w:val="000000"/>
              </w:rPr>
              <w:t>1</w:t>
            </w:r>
          </w:p>
        </w:tc>
        <w:tc>
          <w:tcPr>
            <w:tcW w:w="1332" w:type="dxa"/>
            <w:tcMar>
              <w:top w:w="0" w:type="dxa"/>
              <w:left w:w="108" w:type="dxa"/>
              <w:bottom w:w="0" w:type="dxa"/>
              <w:right w:w="108" w:type="dxa"/>
            </w:tcMar>
          </w:tcPr>
          <w:p w:rsidR="00167E53" w:rsidRPr="00C01BA1" w:rsidP="00167E53" w14:paraId="34699A4F" w14:textId="16015478">
            <w:pPr>
              <w:adjustRightInd/>
              <w:jc w:val="center"/>
              <w:textAlignment w:val="auto"/>
              <w:rPr>
                <w:rFonts w:eastAsia="Calibri"/>
                <w:color w:val="000000"/>
              </w:rPr>
            </w:pPr>
            <w:r w:rsidRPr="00C01BA1">
              <w:rPr>
                <w:rFonts w:eastAsia="Calibri"/>
                <w:color w:val="000000"/>
              </w:rPr>
              <w:t>820</w:t>
            </w:r>
          </w:p>
        </w:tc>
        <w:tc>
          <w:tcPr>
            <w:tcW w:w="1170" w:type="dxa"/>
            <w:tcMar>
              <w:top w:w="0" w:type="dxa"/>
              <w:left w:w="108" w:type="dxa"/>
              <w:bottom w:w="0" w:type="dxa"/>
              <w:right w:w="108" w:type="dxa"/>
            </w:tcMar>
          </w:tcPr>
          <w:p w:rsidR="00167E53" w:rsidRPr="00C01BA1" w:rsidP="00167E53" w14:paraId="525186D0" w14:textId="42E1F5CE">
            <w:pPr>
              <w:adjustRightInd/>
              <w:jc w:val="center"/>
              <w:textAlignment w:val="auto"/>
              <w:rPr>
                <w:rFonts w:eastAsia="Calibri"/>
                <w:color w:val="000000"/>
              </w:rPr>
            </w:pPr>
            <w:r w:rsidRPr="00C01BA1">
              <w:rPr>
                <w:rFonts w:eastAsia="Calibri"/>
                <w:color w:val="000000"/>
              </w:rPr>
              <w:t>0.2</w:t>
            </w:r>
          </w:p>
        </w:tc>
        <w:tc>
          <w:tcPr>
            <w:tcW w:w="974" w:type="dxa"/>
            <w:tcMar>
              <w:top w:w="0" w:type="dxa"/>
              <w:left w:w="108" w:type="dxa"/>
              <w:bottom w:w="0" w:type="dxa"/>
              <w:right w:w="108" w:type="dxa"/>
            </w:tcMar>
          </w:tcPr>
          <w:p w:rsidR="00167E53" w:rsidRPr="00C01BA1" w:rsidP="00167E53" w14:paraId="1CADC9A8" w14:textId="25E80ECE">
            <w:pPr>
              <w:adjustRightInd/>
              <w:jc w:val="center"/>
              <w:textAlignment w:val="auto"/>
              <w:rPr>
                <w:rFonts w:eastAsia="Calibri"/>
                <w:color w:val="000000"/>
              </w:rPr>
            </w:pPr>
            <w:r w:rsidRPr="00C01BA1">
              <w:rPr>
                <w:rFonts w:eastAsia="Calibri"/>
                <w:color w:val="000000"/>
              </w:rPr>
              <w:t>164</w:t>
            </w:r>
          </w:p>
        </w:tc>
        <w:tc>
          <w:tcPr>
            <w:tcW w:w="1017" w:type="dxa"/>
            <w:tcMar>
              <w:top w:w="0" w:type="dxa"/>
              <w:left w:w="108" w:type="dxa"/>
              <w:bottom w:w="0" w:type="dxa"/>
              <w:right w:w="108" w:type="dxa"/>
            </w:tcMar>
          </w:tcPr>
          <w:p w:rsidR="00167E53" w:rsidRPr="00C01BA1" w:rsidP="00167E53" w14:paraId="521E01AE" w14:textId="0E4C7E0F">
            <w:pPr>
              <w:adjustRightInd/>
              <w:jc w:val="right"/>
              <w:textAlignment w:val="auto"/>
              <w:rPr>
                <w:rFonts w:eastAsia="Calibri"/>
                <w:color w:val="000000"/>
              </w:rPr>
            </w:pPr>
            <w:r w:rsidRPr="00C01BA1">
              <w:rPr>
                <w:rFonts w:eastAsia="Calibri"/>
                <w:color w:val="000000"/>
              </w:rPr>
              <w:t>$37.10</w:t>
            </w:r>
          </w:p>
        </w:tc>
        <w:tc>
          <w:tcPr>
            <w:tcW w:w="1249" w:type="dxa"/>
            <w:tcMar>
              <w:top w:w="0" w:type="dxa"/>
              <w:left w:w="108" w:type="dxa"/>
              <w:bottom w:w="0" w:type="dxa"/>
              <w:right w:w="108" w:type="dxa"/>
            </w:tcMar>
          </w:tcPr>
          <w:p w:rsidR="00167E53" w:rsidRPr="00C01BA1" w:rsidP="00167E53" w14:paraId="64334D45" w14:textId="4C03D3DC">
            <w:pPr>
              <w:adjustRightInd/>
              <w:jc w:val="right"/>
              <w:textAlignment w:val="auto"/>
              <w:rPr>
                <w:rFonts w:eastAsia="Calibri"/>
                <w:color w:val="000000"/>
              </w:rPr>
            </w:pPr>
            <w:r w:rsidRPr="00C01BA1">
              <w:rPr>
                <w:rFonts w:eastAsia="Calibri"/>
                <w:color w:val="000000"/>
              </w:rPr>
              <w:t>$6,084</w:t>
            </w:r>
          </w:p>
        </w:tc>
      </w:tr>
      <w:tr w14:paraId="7D4EF46E" w14:textId="77777777" w:rsidTr="002C167E">
        <w:tblPrEx>
          <w:tblW w:w="9810" w:type="dxa"/>
          <w:tblInd w:w="-10" w:type="dxa"/>
          <w:tblCellMar>
            <w:left w:w="0" w:type="dxa"/>
            <w:right w:w="0" w:type="dxa"/>
          </w:tblCellMar>
          <w:tblLook w:val="04A0"/>
        </w:tblPrEx>
        <w:trPr>
          <w:trHeight w:val="85"/>
        </w:trPr>
        <w:tc>
          <w:tcPr>
            <w:tcW w:w="1520" w:type="dxa"/>
            <w:tcMar>
              <w:top w:w="0" w:type="dxa"/>
              <w:left w:w="108" w:type="dxa"/>
              <w:bottom w:w="0" w:type="dxa"/>
              <w:right w:w="108" w:type="dxa"/>
            </w:tcMar>
          </w:tcPr>
          <w:p w:rsidR="00D717DB" w:rsidRPr="00C01BA1" w:rsidP="00167E53" w14:paraId="664C1361" w14:textId="0AD55CB2">
            <w:pPr>
              <w:adjustRightInd/>
              <w:textAlignment w:val="auto"/>
              <w:rPr>
                <w:rFonts w:eastAsia="Calibri"/>
                <w:color w:val="000000"/>
              </w:rPr>
            </w:pPr>
            <w:r>
              <w:rPr>
                <w:rFonts w:eastAsia="Calibri"/>
                <w:color w:val="000000"/>
              </w:rPr>
              <w:t>State License</w:t>
            </w:r>
          </w:p>
        </w:tc>
        <w:tc>
          <w:tcPr>
            <w:tcW w:w="1306" w:type="dxa"/>
            <w:tcMar>
              <w:top w:w="0" w:type="dxa"/>
              <w:left w:w="108" w:type="dxa"/>
              <w:bottom w:w="0" w:type="dxa"/>
              <w:right w:w="108" w:type="dxa"/>
            </w:tcMar>
          </w:tcPr>
          <w:p w:rsidR="00D717DB" w:rsidRPr="00C01BA1" w:rsidP="00167E53" w14:paraId="0F904E94" w14:textId="30ACD7C9">
            <w:pPr>
              <w:adjustRightInd/>
              <w:jc w:val="center"/>
              <w:textAlignment w:val="auto"/>
              <w:rPr>
                <w:rFonts w:eastAsia="Calibri"/>
                <w:color w:val="000000"/>
              </w:rPr>
            </w:pPr>
            <w:r w:rsidRPr="00C01BA1">
              <w:rPr>
                <w:rFonts w:eastAsia="Calibri"/>
                <w:color w:val="000000"/>
              </w:rPr>
              <w:t>22,973</w:t>
            </w:r>
          </w:p>
        </w:tc>
        <w:tc>
          <w:tcPr>
            <w:tcW w:w="1242" w:type="dxa"/>
            <w:tcMar>
              <w:top w:w="0" w:type="dxa"/>
              <w:left w:w="108" w:type="dxa"/>
              <w:bottom w:w="0" w:type="dxa"/>
              <w:right w:w="108" w:type="dxa"/>
            </w:tcMar>
          </w:tcPr>
          <w:p w:rsidR="00D717DB" w:rsidRPr="00C01BA1" w:rsidP="00167E53" w14:paraId="2E232B2E" w14:textId="71DF0BEA">
            <w:pPr>
              <w:adjustRightInd/>
              <w:jc w:val="center"/>
              <w:textAlignment w:val="auto"/>
              <w:rPr>
                <w:rFonts w:eastAsia="Calibri"/>
                <w:color w:val="000000"/>
              </w:rPr>
            </w:pPr>
            <w:r w:rsidRPr="00C01BA1">
              <w:rPr>
                <w:rFonts w:eastAsia="Calibri"/>
                <w:color w:val="000000"/>
              </w:rPr>
              <w:t>1</w:t>
            </w:r>
          </w:p>
        </w:tc>
        <w:tc>
          <w:tcPr>
            <w:tcW w:w="1332" w:type="dxa"/>
            <w:tcMar>
              <w:top w:w="0" w:type="dxa"/>
              <w:left w:w="108" w:type="dxa"/>
              <w:bottom w:w="0" w:type="dxa"/>
              <w:right w:w="108" w:type="dxa"/>
            </w:tcMar>
          </w:tcPr>
          <w:p w:rsidR="00D717DB" w:rsidRPr="00C01BA1" w:rsidP="00167E53" w14:paraId="163C4C05" w14:textId="3573285C">
            <w:pPr>
              <w:adjustRightInd/>
              <w:jc w:val="center"/>
              <w:textAlignment w:val="auto"/>
              <w:rPr>
                <w:rFonts w:eastAsia="Calibri"/>
                <w:color w:val="000000"/>
              </w:rPr>
            </w:pPr>
            <w:r w:rsidRPr="00C01BA1">
              <w:rPr>
                <w:rFonts w:eastAsia="Calibri"/>
                <w:color w:val="000000"/>
              </w:rPr>
              <w:t>22,973</w:t>
            </w:r>
          </w:p>
        </w:tc>
        <w:tc>
          <w:tcPr>
            <w:tcW w:w="1170" w:type="dxa"/>
            <w:tcMar>
              <w:top w:w="0" w:type="dxa"/>
              <w:left w:w="108" w:type="dxa"/>
              <w:bottom w:w="0" w:type="dxa"/>
              <w:right w:w="108" w:type="dxa"/>
            </w:tcMar>
          </w:tcPr>
          <w:p w:rsidR="00D717DB" w:rsidRPr="00C01BA1" w:rsidP="00167E53" w14:paraId="223D1A29" w14:textId="27A5B9A0">
            <w:pPr>
              <w:adjustRightInd/>
              <w:jc w:val="center"/>
              <w:textAlignment w:val="auto"/>
              <w:rPr>
                <w:rFonts w:eastAsia="Calibri"/>
                <w:color w:val="000000"/>
              </w:rPr>
            </w:pPr>
            <w:r w:rsidRPr="00C01BA1">
              <w:rPr>
                <w:rFonts w:eastAsia="Calibri"/>
                <w:color w:val="000000"/>
              </w:rPr>
              <w:t>0.05</w:t>
            </w:r>
          </w:p>
        </w:tc>
        <w:tc>
          <w:tcPr>
            <w:tcW w:w="974" w:type="dxa"/>
            <w:tcMar>
              <w:top w:w="0" w:type="dxa"/>
              <w:left w:w="108" w:type="dxa"/>
              <w:bottom w:w="0" w:type="dxa"/>
              <w:right w:w="108" w:type="dxa"/>
            </w:tcMar>
          </w:tcPr>
          <w:p w:rsidR="00D717DB" w:rsidRPr="00C01BA1" w:rsidP="00167E53" w14:paraId="1D214F2B" w14:textId="006F2B7C">
            <w:pPr>
              <w:adjustRightInd/>
              <w:jc w:val="center"/>
              <w:textAlignment w:val="auto"/>
              <w:rPr>
                <w:rFonts w:eastAsia="Calibri"/>
                <w:color w:val="000000"/>
              </w:rPr>
            </w:pPr>
            <w:r w:rsidRPr="00C01BA1">
              <w:rPr>
                <w:rFonts w:eastAsia="Calibri"/>
                <w:color w:val="000000"/>
              </w:rPr>
              <w:t>1</w:t>
            </w:r>
            <w:r>
              <w:rPr>
                <w:rFonts w:eastAsia="Calibri"/>
                <w:color w:val="000000"/>
              </w:rPr>
              <w:t>,</w:t>
            </w:r>
            <w:r w:rsidRPr="00C01BA1">
              <w:rPr>
                <w:rFonts w:eastAsia="Calibri"/>
                <w:color w:val="000000"/>
              </w:rPr>
              <w:t>149</w:t>
            </w:r>
          </w:p>
        </w:tc>
        <w:tc>
          <w:tcPr>
            <w:tcW w:w="1017" w:type="dxa"/>
            <w:tcMar>
              <w:top w:w="0" w:type="dxa"/>
              <w:left w:w="108" w:type="dxa"/>
              <w:bottom w:w="0" w:type="dxa"/>
              <w:right w:w="108" w:type="dxa"/>
            </w:tcMar>
          </w:tcPr>
          <w:p w:rsidR="00D717DB" w:rsidRPr="00C01BA1" w:rsidP="00167E53" w14:paraId="21E6E7E9" w14:textId="2D7DE614">
            <w:pPr>
              <w:adjustRightInd/>
              <w:jc w:val="right"/>
              <w:textAlignment w:val="auto"/>
              <w:rPr>
                <w:rFonts w:eastAsia="Calibri"/>
                <w:color w:val="000000"/>
              </w:rPr>
            </w:pPr>
            <w:r>
              <w:rPr>
                <w:rFonts w:eastAsia="Calibri"/>
                <w:color w:val="000000"/>
              </w:rPr>
              <w:t>$37.</w:t>
            </w:r>
            <w:r w:rsidR="0071510E">
              <w:rPr>
                <w:rFonts w:eastAsia="Calibri"/>
                <w:color w:val="000000"/>
              </w:rPr>
              <w:t>10</w:t>
            </w:r>
          </w:p>
        </w:tc>
        <w:tc>
          <w:tcPr>
            <w:tcW w:w="1249" w:type="dxa"/>
            <w:tcMar>
              <w:top w:w="0" w:type="dxa"/>
              <w:left w:w="108" w:type="dxa"/>
              <w:bottom w:w="0" w:type="dxa"/>
              <w:right w:w="108" w:type="dxa"/>
            </w:tcMar>
          </w:tcPr>
          <w:p w:rsidR="00D717DB" w:rsidRPr="00C01BA1" w:rsidP="00167E53" w14:paraId="325B8D78" w14:textId="278507F1">
            <w:pPr>
              <w:adjustRightInd/>
              <w:jc w:val="right"/>
              <w:textAlignment w:val="auto"/>
              <w:rPr>
                <w:rFonts w:eastAsia="Calibri"/>
                <w:color w:val="000000"/>
              </w:rPr>
            </w:pPr>
            <w:r>
              <w:rPr>
                <w:rFonts w:eastAsia="Calibri"/>
                <w:color w:val="000000"/>
              </w:rPr>
              <w:t>$42,6</w:t>
            </w:r>
            <w:r w:rsidR="00E97B9C">
              <w:rPr>
                <w:rFonts w:eastAsia="Calibri"/>
                <w:color w:val="000000"/>
              </w:rPr>
              <w:t>14.92</w:t>
            </w:r>
          </w:p>
        </w:tc>
      </w:tr>
      <w:tr w14:paraId="6B63FEED" w14:textId="77777777" w:rsidTr="002C167E">
        <w:tblPrEx>
          <w:tblW w:w="9810" w:type="dxa"/>
          <w:tblInd w:w="-10" w:type="dxa"/>
          <w:tblCellMar>
            <w:left w:w="0" w:type="dxa"/>
            <w:right w:w="0" w:type="dxa"/>
          </w:tblCellMar>
          <w:tblLook w:val="04A0"/>
        </w:tblPrEx>
        <w:trPr>
          <w:trHeight w:val="85"/>
        </w:trPr>
        <w:tc>
          <w:tcPr>
            <w:tcW w:w="1520" w:type="dxa"/>
            <w:tcMar>
              <w:top w:w="0" w:type="dxa"/>
              <w:left w:w="108" w:type="dxa"/>
              <w:bottom w:w="0" w:type="dxa"/>
              <w:right w:w="108" w:type="dxa"/>
            </w:tcMar>
          </w:tcPr>
          <w:p w:rsidR="0071510E" w:rsidRPr="00C01BA1" w:rsidP="00167E53" w14:paraId="5EBA660E" w14:textId="2ECF04F1">
            <w:pPr>
              <w:adjustRightInd/>
              <w:textAlignment w:val="auto"/>
              <w:rPr>
                <w:rFonts w:eastAsia="Calibri"/>
                <w:color w:val="000000"/>
              </w:rPr>
            </w:pPr>
            <w:r>
              <w:rPr>
                <w:rFonts w:eastAsia="Calibri"/>
                <w:color w:val="000000"/>
              </w:rPr>
              <w:t>HUD-</w:t>
            </w:r>
            <w:r w:rsidR="00A55566">
              <w:rPr>
                <w:rFonts w:eastAsia="Calibri"/>
                <w:color w:val="000000"/>
              </w:rPr>
              <w:t>92564-CN</w:t>
            </w:r>
          </w:p>
        </w:tc>
        <w:tc>
          <w:tcPr>
            <w:tcW w:w="1306" w:type="dxa"/>
            <w:tcMar>
              <w:top w:w="0" w:type="dxa"/>
              <w:left w:w="108" w:type="dxa"/>
              <w:bottom w:w="0" w:type="dxa"/>
              <w:right w:w="108" w:type="dxa"/>
            </w:tcMar>
          </w:tcPr>
          <w:p w:rsidR="0071510E" w:rsidRPr="00C01BA1" w:rsidP="00167E53" w14:paraId="2FEA1169" w14:textId="12B91276">
            <w:pPr>
              <w:adjustRightInd/>
              <w:jc w:val="center"/>
              <w:textAlignment w:val="auto"/>
              <w:rPr>
                <w:rFonts w:eastAsia="Calibri"/>
                <w:color w:val="000000"/>
              </w:rPr>
            </w:pPr>
            <w:r>
              <w:rPr>
                <w:rFonts w:eastAsia="Calibri"/>
                <w:color w:val="000000"/>
              </w:rPr>
              <w:t>633</w:t>
            </w:r>
            <w:r w:rsidR="000E3AD6">
              <w:rPr>
                <w:rFonts w:eastAsia="Calibri"/>
                <w:color w:val="000000"/>
              </w:rPr>
              <w:t>,494</w:t>
            </w:r>
          </w:p>
        </w:tc>
        <w:tc>
          <w:tcPr>
            <w:tcW w:w="1242" w:type="dxa"/>
            <w:tcBorders>
              <w:bottom w:val="single" w:sz="4" w:space="0" w:color="auto"/>
            </w:tcBorders>
            <w:tcMar>
              <w:top w:w="0" w:type="dxa"/>
              <w:left w:w="108" w:type="dxa"/>
              <w:bottom w:w="0" w:type="dxa"/>
              <w:right w:w="108" w:type="dxa"/>
            </w:tcMar>
          </w:tcPr>
          <w:p w:rsidR="0071510E" w:rsidRPr="00C01BA1" w:rsidP="00167E53" w14:paraId="41AAB951" w14:textId="6105EB5E">
            <w:pPr>
              <w:adjustRightInd/>
              <w:jc w:val="center"/>
              <w:textAlignment w:val="auto"/>
              <w:rPr>
                <w:rFonts w:eastAsia="Calibri"/>
                <w:color w:val="000000"/>
              </w:rPr>
            </w:pPr>
            <w:r>
              <w:rPr>
                <w:rFonts w:eastAsia="Calibri"/>
                <w:color w:val="000000"/>
              </w:rPr>
              <w:t>1</w:t>
            </w:r>
          </w:p>
        </w:tc>
        <w:tc>
          <w:tcPr>
            <w:tcW w:w="1332" w:type="dxa"/>
            <w:tcMar>
              <w:top w:w="0" w:type="dxa"/>
              <w:left w:w="108" w:type="dxa"/>
              <w:bottom w:w="0" w:type="dxa"/>
              <w:right w:w="108" w:type="dxa"/>
            </w:tcMar>
          </w:tcPr>
          <w:p w:rsidR="0071510E" w:rsidRPr="00C01BA1" w:rsidP="00167E53" w14:paraId="4D943FE7" w14:textId="178FF0A1">
            <w:pPr>
              <w:adjustRightInd/>
              <w:jc w:val="center"/>
              <w:textAlignment w:val="auto"/>
              <w:rPr>
                <w:rFonts w:eastAsia="Calibri"/>
                <w:color w:val="000000"/>
              </w:rPr>
            </w:pPr>
            <w:r>
              <w:rPr>
                <w:rFonts w:eastAsia="Calibri"/>
                <w:color w:val="000000"/>
              </w:rPr>
              <w:t>633,494</w:t>
            </w:r>
          </w:p>
        </w:tc>
        <w:tc>
          <w:tcPr>
            <w:tcW w:w="1170" w:type="dxa"/>
            <w:tcBorders>
              <w:bottom w:val="single" w:sz="4" w:space="0" w:color="auto"/>
            </w:tcBorders>
            <w:tcMar>
              <w:top w:w="0" w:type="dxa"/>
              <w:left w:w="108" w:type="dxa"/>
              <w:bottom w:w="0" w:type="dxa"/>
              <w:right w:w="108" w:type="dxa"/>
            </w:tcMar>
          </w:tcPr>
          <w:p w:rsidR="0071510E" w:rsidRPr="00C01BA1" w:rsidP="00167E53" w14:paraId="4B6454D6" w14:textId="450AA2F2">
            <w:pPr>
              <w:adjustRightInd/>
              <w:jc w:val="center"/>
              <w:textAlignment w:val="auto"/>
              <w:rPr>
                <w:rFonts w:eastAsia="Calibri"/>
                <w:color w:val="000000"/>
              </w:rPr>
            </w:pPr>
            <w:r>
              <w:rPr>
                <w:rFonts w:eastAsia="Calibri"/>
                <w:color w:val="000000"/>
              </w:rPr>
              <w:t>0.02</w:t>
            </w:r>
          </w:p>
        </w:tc>
        <w:tc>
          <w:tcPr>
            <w:tcW w:w="974" w:type="dxa"/>
            <w:tcMar>
              <w:top w:w="0" w:type="dxa"/>
              <w:left w:w="108" w:type="dxa"/>
              <w:bottom w:w="0" w:type="dxa"/>
              <w:right w:w="108" w:type="dxa"/>
            </w:tcMar>
          </w:tcPr>
          <w:p w:rsidR="0071510E" w:rsidRPr="00C01BA1" w:rsidP="00167E53" w14:paraId="6317805D" w14:textId="05F62024">
            <w:pPr>
              <w:adjustRightInd/>
              <w:jc w:val="center"/>
              <w:textAlignment w:val="auto"/>
              <w:rPr>
                <w:rFonts w:eastAsia="Calibri"/>
                <w:color w:val="000000"/>
              </w:rPr>
            </w:pPr>
            <w:r>
              <w:rPr>
                <w:rFonts w:eastAsia="Calibri"/>
                <w:color w:val="000000"/>
              </w:rPr>
              <w:t>12,670</w:t>
            </w:r>
          </w:p>
        </w:tc>
        <w:tc>
          <w:tcPr>
            <w:tcW w:w="1017" w:type="dxa"/>
            <w:tcBorders>
              <w:bottom w:val="single" w:sz="4" w:space="0" w:color="auto"/>
            </w:tcBorders>
            <w:tcMar>
              <w:top w:w="0" w:type="dxa"/>
              <w:left w:w="108" w:type="dxa"/>
              <w:bottom w:w="0" w:type="dxa"/>
              <w:right w:w="108" w:type="dxa"/>
            </w:tcMar>
          </w:tcPr>
          <w:p w:rsidR="0071510E" w:rsidP="00167E53" w14:paraId="17A45BD6" w14:textId="6142929F">
            <w:pPr>
              <w:adjustRightInd/>
              <w:jc w:val="right"/>
              <w:textAlignment w:val="auto"/>
              <w:rPr>
                <w:rFonts w:eastAsia="Calibri"/>
                <w:color w:val="000000"/>
              </w:rPr>
            </w:pPr>
            <w:r>
              <w:rPr>
                <w:rFonts w:eastAsia="Calibri"/>
                <w:color w:val="000000"/>
              </w:rPr>
              <w:t>$33</w:t>
            </w:r>
            <w:r w:rsidR="000D0B69">
              <w:rPr>
                <w:rFonts w:eastAsia="Calibri"/>
                <w:color w:val="000000"/>
              </w:rPr>
              <w:t>.74</w:t>
            </w:r>
          </w:p>
        </w:tc>
        <w:tc>
          <w:tcPr>
            <w:tcW w:w="1249" w:type="dxa"/>
            <w:tcMar>
              <w:top w:w="0" w:type="dxa"/>
              <w:left w:w="108" w:type="dxa"/>
              <w:bottom w:w="0" w:type="dxa"/>
              <w:right w:w="108" w:type="dxa"/>
            </w:tcMar>
          </w:tcPr>
          <w:p w:rsidR="0071510E" w:rsidP="00167E53" w14:paraId="1763D160" w14:textId="542D94F6">
            <w:pPr>
              <w:adjustRightInd/>
              <w:jc w:val="right"/>
              <w:textAlignment w:val="auto"/>
              <w:rPr>
                <w:rFonts w:eastAsia="Calibri"/>
                <w:color w:val="000000"/>
              </w:rPr>
            </w:pPr>
            <w:r>
              <w:rPr>
                <w:rFonts w:eastAsia="Calibri"/>
                <w:color w:val="000000"/>
              </w:rPr>
              <w:t>$427,48</w:t>
            </w:r>
            <w:r w:rsidR="00E97B9C">
              <w:rPr>
                <w:rFonts w:eastAsia="Calibri"/>
                <w:color w:val="000000"/>
              </w:rPr>
              <w:t>1.75</w:t>
            </w:r>
          </w:p>
        </w:tc>
      </w:tr>
      <w:tr w14:paraId="5132C2B0" w14:textId="77777777" w:rsidTr="002C167E">
        <w:tblPrEx>
          <w:tblW w:w="9810" w:type="dxa"/>
          <w:tblInd w:w="-10" w:type="dxa"/>
          <w:tblCellMar>
            <w:left w:w="0" w:type="dxa"/>
            <w:right w:w="0" w:type="dxa"/>
          </w:tblCellMar>
          <w:tblLook w:val="04A0"/>
        </w:tblPrEx>
        <w:trPr>
          <w:trHeight w:val="85"/>
        </w:trPr>
        <w:tc>
          <w:tcPr>
            <w:tcW w:w="1520" w:type="dxa"/>
            <w:tcMar>
              <w:top w:w="0" w:type="dxa"/>
              <w:left w:w="108" w:type="dxa"/>
              <w:bottom w:w="0" w:type="dxa"/>
              <w:right w:w="108" w:type="dxa"/>
            </w:tcMar>
          </w:tcPr>
          <w:p w:rsidR="000D0B69" w:rsidRPr="000D0B69" w:rsidP="00167E53" w14:paraId="0D799BBA" w14:textId="7B47B2C0">
            <w:pPr>
              <w:adjustRightInd/>
              <w:textAlignment w:val="auto"/>
              <w:rPr>
                <w:rFonts w:eastAsia="Calibri"/>
                <w:b/>
                <w:bCs/>
                <w:color w:val="000000"/>
              </w:rPr>
            </w:pPr>
            <w:r w:rsidRPr="000D0B69">
              <w:rPr>
                <w:rFonts w:eastAsia="Calibri"/>
                <w:b/>
                <w:bCs/>
                <w:color w:val="000000"/>
              </w:rPr>
              <w:t>Total</w:t>
            </w:r>
          </w:p>
        </w:tc>
        <w:tc>
          <w:tcPr>
            <w:tcW w:w="1306" w:type="dxa"/>
            <w:tcMar>
              <w:top w:w="0" w:type="dxa"/>
              <w:left w:w="108" w:type="dxa"/>
              <w:bottom w:w="0" w:type="dxa"/>
              <w:right w:w="108" w:type="dxa"/>
            </w:tcMar>
          </w:tcPr>
          <w:p w:rsidR="000D0B69" w:rsidP="00167E53" w14:paraId="0D57ECFD" w14:textId="483E33F7">
            <w:pPr>
              <w:adjustRightInd/>
              <w:jc w:val="center"/>
              <w:textAlignment w:val="auto"/>
              <w:rPr>
                <w:rFonts w:eastAsia="Calibri"/>
                <w:color w:val="000000"/>
              </w:rPr>
            </w:pPr>
            <w:r>
              <w:rPr>
                <w:rFonts w:eastAsia="Calibri"/>
                <w:color w:val="000000"/>
              </w:rPr>
              <w:t>657,287</w:t>
            </w:r>
          </w:p>
        </w:tc>
        <w:tc>
          <w:tcPr>
            <w:tcW w:w="1242" w:type="dxa"/>
            <w:tcBorders>
              <w:top w:val="single" w:sz="4" w:space="0" w:color="auto"/>
              <w:bottom w:val="single" w:sz="8" w:space="0" w:color="auto"/>
            </w:tcBorders>
            <w:shd w:val="clear" w:color="auto" w:fill="000000" w:themeFill="text1"/>
            <w:tcMar>
              <w:top w:w="0" w:type="dxa"/>
              <w:left w:w="108" w:type="dxa"/>
              <w:bottom w:w="0" w:type="dxa"/>
              <w:right w:w="108" w:type="dxa"/>
            </w:tcMar>
          </w:tcPr>
          <w:p w:rsidR="000D0B69" w:rsidRPr="000D0B69" w:rsidP="00167E53" w14:paraId="012B6527" w14:textId="77777777">
            <w:pPr>
              <w:adjustRightInd/>
              <w:jc w:val="center"/>
              <w:textAlignment w:val="auto"/>
              <w:rPr>
                <w:rFonts w:eastAsia="Calibri"/>
                <w:color w:val="000000" w:themeColor="text1"/>
                <w:highlight w:val="black"/>
              </w:rPr>
            </w:pPr>
          </w:p>
        </w:tc>
        <w:tc>
          <w:tcPr>
            <w:tcW w:w="1332" w:type="dxa"/>
            <w:tcMar>
              <w:top w:w="0" w:type="dxa"/>
              <w:left w:w="108" w:type="dxa"/>
              <w:bottom w:w="0" w:type="dxa"/>
              <w:right w:w="108" w:type="dxa"/>
            </w:tcMar>
          </w:tcPr>
          <w:p w:rsidR="000D0B69" w:rsidP="00167E53" w14:paraId="78D44854" w14:textId="6BA08288">
            <w:pPr>
              <w:adjustRightInd/>
              <w:jc w:val="center"/>
              <w:textAlignment w:val="auto"/>
              <w:rPr>
                <w:rFonts w:eastAsia="Calibri"/>
                <w:color w:val="000000"/>
              </w:rPr>
            </w:pPr>
            <w:r>
              <w:rPr>
                <w:rFonts w:eastAsia="Calibri"/>
                <w:color w:val="000000"/>
              </w:rPr>
              <w:t>657,287</w:t>
            </w:r>
          </w:p>
        </w:tc>
        <w:tc>
          <w:tcPr>
            <w:tcW w:w="1170" w:type="dxa"/>
            <w:tcBorders>
              <w:top w:val="single" w:sz="4" w:space="0" w:color="auto"/>
              <w:bottom w:val="single" w:sz="8" w:space="0" w:color="auto"/>
            </w:tcBorders>
            <w:shd w:val="clear" w:color="auto" w:fill="000000" w:themeFill="text1"/>
            <w:tcMar>
              <w:top w:w="0" w:type="dxa"/>
              <w:left w:w="108" w:type="dxa"/>
              <w:bottom w:w="0" w:type="dxa"/>
              <w:right w:w="108" w:type="dxa"/>
            </w:tcMar>
          </w:tcPr>
          <w:p w:rsidR="000D0B69" w:rsidP="00167E53" w14:paraId="02E7C372" w14:textId="77777777">
            <w:pPr>
              <w:adjustRightInd/>
              <w:jc w:val="center"/>
              <w:textAlignment w:val="auto"/>
              <w:rPr>
                <w:rFonts w:eastAsia="Calibri"/>
                <w:color w:val="000000"/>
              </w:rPr>
            </w:pPr>
          </w:p>
        </w:tc>
        <w:tc>
          <w:tcPr>
            <w:tcW w:w="974" w:type="dxa"/>
            <w:tcMar>
              <w:top w:w="0" w:type="dxa"/>
              <w:left w:w="108" w:type="dxa"/>
              <w:bottom w:w="0" w:type="dxa"/>
              <w:right w:w="108" w:type="dxa"/>
            </w:tcMar>
          </w:tcPr>
          <w:p w:rsidR="000D0B69" w:rsidP="00167E53" w14:paraId="10418DE9" w14:textId="04E3B257">
            <w:pPr>
              <w:adjustRightInd/>
              <w:jc w:val="center"/>
              <w:textAlignment w:val="auto"/>
              <w:rPr>
                <w:rFonts w:eastAsia="Calibri"/>
                <w:color w:val="000000"/>
              </w:rPr>
            </w:pPr>
            <w:r>
              <w:rPr>
                <w:rFonts w:eastAsia="Calibri"/>
                <w:color w:val="000000"/>
              </w:rPr>
              <w:t>13,983</w:t>
            </w:r>
          </w:p>
        </w:tc>
        <w:tc>
          <w:tcPr>
            <w:tcW w:w="1017" w:type="dxa"/>
            <w:tcBorders>
              <w:top w:val="single" w:sz="4" w:space="0" w:color="auto"/>
              <w:bottom w:val="single" w:sz="8" w:space="0" w:color="auto"/>
            </w:tcBorders>
            <w:shd w:val="clear" w:color="auto" w:fill="000000" w:themeFill="text1"/>
            <w:tcMar>
              <w:top w:w="0" w:type="dxa"/>
              <w:left w:w="108" w:type="dxa"/>
              <w:bottom w:w="0" w:type="dxa"/>
              <w:right w:w="108" w:type="dxa"/>
            </w:tcMar>
          </w:tcPr>
          <w:p w:rsidR="000D0B69" w:rsidP="00167E53" w14:paraId="3DEDDE8A" w14:textId="77777777">
            <w:pPr>
              <w:adjustRightInd/>
              <w:jc w:val="right"/>
              <w:textAlignment w:val="auto"/>
              <w:rPr>
                <w:rFonts w:eastAsia="Calibri"/>
                <w:color w:val="000000"/>
              </w:rPr>
            </w:pPr>
          </w:p>
        </w:tc>
        <w:tc>
          <w:tcPr>
            <w:tcW w:w="1249" w:type="dxa"/>
            <w:tcMar>
              <w:top w:w="0" w:type="dxa"/>
              <w:left w:w="108" w:type="dxa"/>
              <w:bottom w:w="0" w:type="dxa"/>
              <w:right w:w="108" w:type="dxa"/>
            </w:tcMar>
          </w:tcPr>
          <w:p w:rsidR="000D0B69" w:rsidP="00167E53" w14:paraId="697F3C22" w14:textId="33132877">
            <w:pPr>
              <w:adjustRightInd/>
              <w:jc w:val="right"/>
              <w:textAlignment w:val="auto"/>
              <w:rPr>
                <w:rFonts w:eastAsia="Calibri"/>
                <w:color w:val="000000"/>
              </w:rPr>
            </w:pPr>
            <w:r>
              <w:rPr>
                <w:rFonts w:eastAsia="Calibri"/>
                <w:color w:val="000000"/>
              </w:rPr>
              <w:t>$476,18</w:t>
            </w:r>
            <w:r w:rsidR="00E97B9C">
              <w:rPr>
                <w:rFonts w:eastAsia="Calibri"/>
                <w:color w:val="000000"/>
              </w:rPr>
              <w:t>1.07</w:t>
            </w:r>
          </w:p>
        </w:tc>
      </w:tr>
    </w:tbl>
    <w:bookmarkEnd w:id="0"/>
    <w:p w:rsidR="00F60A29" w:rsidRPr="00DE2C79" w:rsidP="002C167E" w14:paraId="43DB1AD8" w14:textId="0583501D">
      <w:pPr>
        <w:tabs>
          <w:tab w:val="left" w:pos="-720"/>
        </w:tabs>
        <w:suppressAutoHyphens/>
        <w:rPr>
          <w:sz w:val="18"/>
          <w:szCs w:val="18"/>
        </w:rPr>
      </w:pPr>
      <w:r w:rsidRPr="00DE2C79">
        <w:rPr>
          <w:sz w:val="18"/>
          <w:szCs w:val="18"/>
        </w:rPr>
        <w:t>According to the U.S. Department of Labor, Bureau of Labor Statistics website (</w:t>
      </w:r>
      <w:r>
        <w:fldChar w:fldCharType="begin"/>
      </w:r>
      <w:r w:rsidRPr="00DE2C79">
        <w:rPr>
          <w:rStyle w:val="Hyperlink"/>
          <w:sz w:val="18"/>
          <w:szCs w:val="18"/>
        </w:rPr>
        <w:instrText xml:space="preserve"> HYPERLINK "http://www.bls.gov" </w:instrText>
      </w:r>
      <w:r>
        <w:fldChar w:fldCharType="separate"/>
      </w:r>
      <w:r w:rsidRPr="00DE2C79">
        <w:rPr>
          <w:rStyle w:val="Hyperlink"/>
          <w:sz w:val="18"/>
          <w:szCs w:val="18"/>
        </w:rPr>
        <w:t>www.bls.gov</w:t>
      </w:r>
      <w:r>
        <w:fldChar w:fldCharType="end"/>
      </w:r>
      <w:r w:rsidRPr="00DE2C79">
        <w:rPr>
          <w:sz w:val="18"/>
          <w:szCs w:val="18"/>
        </w:rPr>
        <w:t xml:space="preserve">) the wage rate category for appraisers is estimated to be $37.10 per hour. </w:t>
      </w:r>
      <w:r w:rsidRPr="00DE2C79">
        <w:rPr>
          <w:sz w:val="18"/>
          <w:szCs w:val="18"/>
        </w:rPr>
        <w:t>therefore</w:t>
      </w:r>
      <w:r w:rsidRPr="00DE2C79">
        <w:rPr>
          <w:sz w:val="18"/>
          <w:szCs w:val="18"/>
        </w:rPr>
        <w:t>, the estimated burden hour cost to respondents/appraisers is estimated to be $48,712 annually.</w:t>
      </w:r>
    </w:p>
    <w:p w:rsidR="00F60A29" w:rsidRPr="00DE2C79" w:rsidP="002C167E" w14:paraId="47A1A1C4" w14:textId="0B294278">
      <w:pPr>
        <w:tabs>
          <w:tab w:val="left" w:pos="-720"/>
        </w:tabs>
        <w:suppressAutoHyphens/>
        <w:rPr>
          <w:sz w:val="18"/>
          <w:szCs w:val="18"/>
        </w:rPr>
      </w:pPr>
      <w:r w:rsidRPr="00DE2C79">
        <w:rPr>
          <w:sz w:val="18"/>
          <w:szCs w:val="18"/>
        </w:rPr>
        <w:t>According to the U.S. Department of Labor, Bureau of Labor Statistics website (</w:t>
      </w:r>
      <w:hyperlink r:id="rId11" w:history="1">
        <w:r w:rsidRPr="00DE2C79">
          <w:rPr>
            <w:rStyle w:val="Hyperlink"/>
            <w:sz w:val="18"/>
            <w:szCs w:val="18"/>
          </w:rPr>
          <w:t>www.bls.gov</w:t>
        </w:r>
      </w:hyperlink>
      <w:r w:rsidRPr="00DE2C79">
        <w:rPr>
          <w:sz w:val="18"/>
          <w:szCs w:val="18"/>
        </w:rPr>
        <w:t xml:space="preserve">) the wage rate category for all occupations (home purchaser) is estimated to be $33.74 per hour including the wage rate multiplier, therefore, the estimated burden hour cost to respondents all occupations (home purchasers) is estimated </w:t>
      </w:r>
      <w:r w:rsidRPr="00CA0D55">
        <w:rPr>
          <w:sz w:val="18"/>
          <w:szCs w:val="18"/>
          <w:highlight w:val="yellow"/>
        </w:rPr>
        <w:t>to be $427,48</w:t>
      </w:r>
      <w:r w:rsidR="00F25FE3">
        <w:rPr>
          <w:sz w:val="18"/>
          <w:szCs w:val="18"/>
          <w:highlight w:val="yellow"/>
        </w:rPr>
        <w:t>1</w:t>
      </w:r>
      <w:r w:rsidRPr="00CA0D55">
        <w:rPr>
          <w:sz w:val="18"/>
          <w:szCs w:val="18"/>
          <w:highlight w:val="yellow"/>
        </w:rPr>
        <w:t xml:space="preserve"> annually</w:t>
      </w:r>
      <w:r w:rsidRPr="00DE2C79">
        <w:rPr>
          <w:sz w:val="18"/>
          <w:szCs w:val="18"/>
        </w:rPr>
        <w:t>.</w:t>
      </w:r>
    </w:p>
    <w:p w:rsidR="00F60A29" w:rsidP="00167E53" w14:paraId="004D9C0F" w14:textId="77777777">
      <w:pPr>
        <w:keepLines/>
        <w:tabs>
          <w:tab w:val="left" w:pos="360"/>
          <w:tab w:val="left" w:pos="720"/>
          <w:tab w:val="center" w:pos="1680"/>
          <w:tab w:val="center" w:pos="3120"/>
          <w:tab w:val="center" w:pos="4560"/>
          <w:tab w:val="center" w:pos="6000"/>
          <w:tab w:val="center" w:pos="7440"/>
          <w:tab w:val="center" w:pos="8880"/>
        </w:tabs>
        <w:ind w:left="840"/>
        <w:rPr>
          <w:sz w:val="24"/>
          <w:szCs w:val="24"/>
        </w:rPr>
      </w:pPr>
    </w:p>
    <w:p w:rsidR="000D5079" w14:paraId="0CEE4D0B" w14:textId="0584E0E5">
      <w:pPr>
        <w:tabs>
          <w:tab w:val="left" w:pos="360"/>
        </w:tabs>
        <w:ind w:left="360" w:hanging="360"/>
        <w:rPr>
          <w:sz w:val="24"/>
          <w:szCs w:val="24"/>
        </w:rPr>
      </w:pPr>
      <w:r w:rsidRPr="004768E6">
        <w:rPr>
          <w:b/>
          <w:bCs/>
          <w:sz w:val="24"/>
          <w:szCs w:val="24"/>
        </w:rPr>
        <w:t>13.</w:t>
      </w:r>
      <w:r w:rsidRPr="004768E6">
        <w:rPr>
          <w:b/>
          <w:bCs/>
          <w:sz w:val="24"/>
          <w:szCs w:val="24"/>
        </w:rPr>
        <w:tab/>
        <w:t>Provide an estimate of the total annual cost burden to respondents or recordkeepers resulting from the collection of information</w:t>
      </w:r>
      <w:r w:rsidRPr="004768E6">
        <w:rPr>
          <w:b/>
          <w:bCs/>
          <w:sz w:val="24"/>
          <w:szCs w:val="24"/>
        </w:rPr>
        <w:t>. (Do not include the cost of any hour burden already reflected on the burden worksheet</w:t>
      </w:r>
      <w:r w:rsidRPr="004768E6">
        <w:rPr>
          <w:b/>
          <w:bCs/>
          <w:sz w:val="24"/>
          <w:szCs w:val="24"/>
        </w:rPr>
        <w:t xml:space="preserve"> shown in Items 12 and 14).</w:t>
      </w:r>
      <w:r w:rsidRPr="004768E6" w:rsidR="00CE3602">
        <w:rPr>
          <w:b/>
          <w:bCs/>
          <w:sz w:val="24"/>
          <w:szCs w:val="24"/>
        </w:rPr>
        <w:t xml:space="preserve"> </w:t>
      </w:r>
      <w:r w:rsidRPr="004768E6" w:rsidR="00C8374E">
        <w:rPr>
          <w:b/>
          <w:bCs/>
          <w:sz w:val="24"/>
          <w:szCs w:val="24"/>
        </w:rPr>
        <w:t>No additional costs are incurred.</w:t>
      </w:r>
    </w:p>
    <w:p w:rsidR="009E13B1" w:rsidRPr="006C7FAE" w14:paraId="2D0E6548" w14:textId="77777777">
      <w:pPr>
        <w:tabs>
          <w:tab w:val="left" w:pos="360"/>
        </w:tabs>
        <w:ind w:left="360" w:hanging="360"/>
        <w:rPr>
          <w:sz w:val="24"/>
          <w:szCs w:val="24"/>
        </w:rPr>
      </w:pPr>
      <w:r w:rsidRPr="006C7FAE">
        <w:rPr>
          <w:sz w:val="24"/>
          <w:szCs w:val="24"/>
        </w:rPr>
        <w:t xml:space="preserve"> </w:t>
      </w:r>
    </w:p>
    <w:p w:rsidR="00C8374E" w:rsidRPr="00C8374E" w:rsidP="00C8374E" w14:paraId="28C78905" w14:textId="5D1C1E34">
      <w:pPr>
        <w:pStyle w:val="ListParagraph"/>
        <w:numPr>
          <w:ilvl w:val="0"/>
          <w:numId w:val="17"/>
        </w:numPr>
        <w:rPr>
          <w:sz w:val="24"/>
          <w:szCs w:val="24"/>
        </w:rPr>
      </w:pPr>
      <w:r w:rsidRPr="00DE2C79">
        <w:rPr>
          <w:b/>
          <w:bCs/>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DE2C79">
        <w:rPr>
          <w:b/>
          <w:bCs/>
          <w:sz w:val="24"/>
          <w:szCs w:val="24"/>
        </w:rPr>
        <w:t>take into account</w:t>
      </w:r>
      <w:r w:rsidRPr="00DE2C79">
        <w:rPr>
          <w:b/>
          <w:bCs/>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DE2C79">
        <w:rPr>
          <w:b/>
          <w:bCs/>
          <w:sz w:val="24"/>
          <w:szCs w:val="24"/>
        </w:rPr>
        <w:t>time period</w:t>
      </w:r>
      <w:r w:rsidRPr="00DE2C79">
        <w:rPr>
          <w:b/>
          <w:bCs/>
          <w:sz w:val="24"/>
          <w:szCs w:val="24"/>
        </w:rPr>
        <w:t xml:space="preserve"> </w:t>
      </w:r>
      <w:r w:rsidRPr="00DE2C79">
        <w:rPr>
          <w:b/>
          <w:bCs/>
          <w:sz w:val="24"/>
          <w:szCs w:val="24"/>
        </w:rPr>
        <w:t>over</w:t>
      </w:r>
      <w:r w:rsidRPr="00DE2C79">
        <w:rPr>
          <w:b/>
          <w:bCs/>
          <w:sz w:val="24"/>
          <w:szCs w:val="24"/>
        </w:rPr>
        <w:t xml:space="preserve"> which costs will be incurred.  Capital and start-up costs include, among other items, preparations for collecting information such as purchasing computers and software; monitoring, sampling, drilling and testing equipment; and record storage facilities</w:t>
      </w:r>
      <w:r w:rsidRPr="00C8374E">
        <w:rPr>
          <w:sz w:val="24"/>
          <w:szCs w:val="24"/>
        </w:rPr>
        <w:t>.</w:t>
      </w:r>
    </w:p>
    <w:p w:rsidR="00C8374E" w:rsidP="00C8374E" w14:paraId="7F2C09BE" w14:textId="77777777">
      <w:pPr>
        <w:ind w:left="720"/>
        <w:rPr>
          <w:sz w:val="24"/>
          <w:szCs w:val="24"/>
        </w:rPr>
      </w:pPr>
    </w:p>
    <w:p w:rsidR="00C8374E" w:rsidRPr="00A8335D" w:rsidP="00A15CC1" w14:paraId="55B460C5" w14:textId="577EC50B">
      <w:pPr>
        <w:ind w:left="720"/>
        <w:rPr>
          <w:bCs/>
          <w:color w:val="000000"/>
          <w:sz w:val="24"/>
          <w:szCs w:val="24"/>
        </w:rPr>
      </w:pPr>
      <w:r w:rsidRPr="00A8335D">
        <w:rPr>
          <w:bCs/>
          <w:color w:val="000000"/>
          <w:sz w:val="24"/>
          <w:szCs w:val="24"/>
        </w:rPr>
        <w:t>No costs are incurred for (a) a total capital and start-up cost component (annualized over its expected useful life) and (b) a total operation and maintenance and purchase of services component.</w:t>
      </w:r>
    </w:p>
    <w:p w:rsidR="009E13B1" w:rsidP="00C8374E" w14:paraId="1C503D2C" w14:textId="03F14C86">
      <w:pPr>
        <w:tabs>
          <w:tab w:val="left" w:pos="360"/>
        </w:tabs>
        <w:ind w:left="840"/>
        <w:rPr>
          <w:sz w:val="24"/>
          <w:szCs w:val="24"/>
        </w:rPr>
      </w:pPr>
    </w:p>
    <w:p w:rsidR="009E13B1" w:rsidRPr="00DE2C79" w:rsidP="00DE2C79" w14:paraId="4D47756F" w14:textId="77777777">
      <w:pPr>
        <w:pStyle w:val="ListParagraph"/>
        <w:numPr>
          <w:ilvl w:val="0"/>
          <w:numId w:val="17"/>
        </w:numPr>
        <w:tabs>
          <w:tab w:val="left" w:pos="360"/>
        </w:tabs>
        <w:rPr>
          <w:b/>
          <w:bCs/>
          <w:sz w:val="24"/>
          <w:szCs w:val="24"/>
        </w:rPr>
      </w:pPr>
      <w:r w:rsidRPr="00DE2C79">
        <w:rPr>
          <w:b/>
          <w:bCs/>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w:t>
      </w:r>
      <w:r w:rsidRPr="00DE2C79">
        <w:rPr>
          <w:b/>
          <w:bCs/>
          <w:sz w:val="24"/>
          <w:szCs w:val="24"/>
        </w:rPr>
        <w:t>burden estimate</w:t>
      </w:r>
      <w:r w:rsidRPr="00DE2C79">
        <w:rPr>
          <w:b/>
          <w:bCs/>
          <w:sz w:val="24"/>
          <w:szCs w:val="24"/>
        </w:rPr>
        <w:t xml:space="preserv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4D3794" w:rsidP="004D3794" w14:paraId="3F20D6D9" w14:textId="77777777">
      <w:pPr>
        <w:keepLines/>
        <w:tabs>
          <w:tab w:val="left" w:pos="360"/>
        </w:tabs>
        <w:spacing w:after="80"/>
        <w:rPr>
          <w:sz w:val="24"/>
          <w:szCs w:val="24"/>
        </w:rPr>
      </w:pPr>
    </w:p>
    <w:p w:rsidR="004D3794" w:rsidP="00762932" w14:paraId="1CF8B428" w14:textId="77777777">
      <w:pPr>
        <w:ind w:left="720"/>
        <w:rPr>
          <w:bCs/>
          <w:color w:val="000000"/>
          <w:sz w:val="24"/>
          <w:szCs w:val="24"/>
        </w:rPr>
      </w:pPr>
      <w:r w:rsidRPr="00A8335D">
        <w:rPr>
          <w:bCs/>
          <w:color w:val="000000"/>
          <w:sz w:val="24"/>
          <w:szCs w:val="24"/>
        </w:rPr>
        <w:t>No costs are incurred for purchasing or contracting out information collections services; therefore, no cost estimates are expected to vary widely.</w:t>
      </w:r>
    </w:p>
    <w:p w:rsidR="004D3794" w:rsidP="004D3794" w14:paraId="0C241F60" w14:textId="77777777">
      <w:pPr>
        <w:ind w:left="360"/>
        <w:rPr>
          <w:bCs/>
          <w:color w:val="000000"/>
          <w:sz w:val="24"/>
          <w:szCs w:val="24"/>
        </w:rPr>
      </w:pPr>
    </w:p>
    <w:p w:rsidR="009E13B1" w:rsidRPr="00DE2C79" w:rsidP="00DE2C79" w14:paraId="497102DC" w14:textId="4EC03793">
      <w:pPr>
        <w:pStyle w:val="ListParagraph"/>
        <w:keepLines/>
        <w:numPr>
          <w:ilvl w:val="0"/>
          <w:numId w:val="17"/>
        </w:numPr>
        <w:tabs>
          <w:tab w:val="left" w:pos="360"/>
        </w:tabs>
        <w:spacing w:after="80"/>
        <w:rPr>
          <w:b/>
          <w:bCs/>
          <w:sz w:val="24"/>
          <w:szCs w:val="24"/>
        </w:rPr>
      </w:pPr>
      <w:r w:rsidRPr="00DE2C79">
        <w:rPr>
          <w:b/>
          <w:bCs/>
          <w:sz w:val="24"/>
          <w:szCs w:val="24"/>
        </w:rPr>
        <w:t>G</w:t>
      </w:r>
      <w:r w:rsidRPr="00DE2C79">
        <w:rPr>
          <w:b/>
          <w:bCs/>
          <w:sz w:val="24"/>
          <w:szCs w:val="24"/>
        </w:rPr>
        <w:t xml:space="preserve">enerally, estimates should not include purchases of equipment or services, or portions thereof made: (1) prior to October 1, 1995, (2) to achieve regulatory compliance with requirements not associated with the information collection, (3) for reasons other than </w:t>
      </w:r>
      <w:r w:rsidRPr="00DE2C79">
        <w:rPr>
          <w:b/>
          <w:bCs/>
          <w:sz w:val="24"/>
          <w:szCs w:val="24"/>
        </w:rPr>
        <w:t>to provide</w:t>
      </w:r>
      <w:r w:rsidRPr="00DE2C79">
        <w:rPr>
          <w:b/>
          <w:bCs/>
          <w:sz w:val="24"/>
          <w:szCs w:val="24"/>
        </w:rPr>
        <w:t xml:space="preserve"> information or </w:t>
      </w:r>
      <w:r w:rsidRPr="00DE2C79">
        <w:rPr>
          <w:b/>
          <w:bCs/>
          <w:sz w:val="24"/>
          <w:szCs w:val="24"/>
        </w:rPr>
        <w:t>keep</w:t>
      </w:r>
      <w:r w:rsidRPr="00DE2C79">
        <w:rPr>
          <w:b/>
          <w:bCs/>
          <w:sz w:val="24"/>
          <w:szCs w:val="24"/>
        </w:rPr>
        <w:t xml:space="preserve"> records for the government, or (4) as part of customary and usual business or private practices.</w:t>
      </w:r>
    </w:p>
    <w:p w:rsidR="0000163A" w:rsidP="00981373" w14:paraId="618B4C5D" w14:textId="77777777">
      <w:pPr>
        <w:ind w:left="720"/>
        <w:rPr>
          <w:sz w:val="24"/>
          <w:szCs w:val="24"/>
        </w:rPr>
      </w:pPr>
    </w:p>
    <w:p w:rsidR="00981373" w:rsidRPr="001F2916" w:rsidP="00121819" w14:paraId="5D35B94F" w14:textId="1FE2F986">
      <w:pPr>
        <w:ind w:left="720"/>
        <w:rPr>
          <w:sz w:val="24"/>
          <w:szCs w:val="24"/>
        </w:rPr>
      </w:pPr>
      <w:r>
        <w:rPr>
          <w:sz w:val="24"/>
          <w:szCs w:val="24"/>
        </w:rPr>
        <w:t>N</w:t>
      </w:r>
      <w:r w:rsidRPr="001F2916">
        <w:rPr>
          <w:sz w:val="24"/>
          <w:szCs w:val="24"/>
        </w:rPr>
        <w:t>o costs are incurred for purchases of equipment or services, or portions thereof; therefore, no estimates are needed.</w:t>
      </w:r>
    </w:p>
    <w:p w:rsidR="00182CFB" w:rsidP="00182CFB" w14:paraId="24CE92E5" w14:textId="77777777">
      <w:pPr>
        <w:ind w:left="540"/>
        <w:rPr>
          <w:b/>
          <w:bCs/>
          <w:color w:val="000000"/>
          <w:sz w:val="24"/>
          <w:szCs w:val="24"/>
        </w:rPr>
      </w:pPr>
    </w:p>
    <w:p w:rsidR="009610C3" w:rsidP="00182CFB" w14:paraId="2019DE2B" w14:textId="77777777">
      <w:pPr>
        <w:ind w:left="540"/>
        <w:rPr>
          <w:b/>
          <w:bCs/>
          <w:color w:val="000000"/>
          <w:sz w:val="24"/>
          <w:szCs w:val="24"/>
        </w:rPr>
      </w:pPr>
    </w:p>
    <w:p w:rsidR="009610C3" w:rsidP="00182CFB" w14:paraId="39563D22" w14:textId="77777777">
      <w:pPr>
        <w:ind w:left="540"/>
        <w:rPr>
          <w:b/>
          <w:bCs/>
          <w:color w:val="000000"/>
          <w:sz w:val="24"/>
          <w:szCs w:val="24"/>
        </w:rPr>
      </w:pPr>
    </w:p>
    <w:p w:rsidR="009610C3" w:rsidRPr="004768E6" w:rsidP="00182CFB" w14:paraId="4A80D849" w14:textId="77777777">
      <w:pPr>
        <w:ind w:left="540"/>
        <w:rPr>
          <w:b/>
          <w:bCs/>
          <w:color w:val="000000"/>
          <w:sz w:val="24"/>
          <w:szCs w:val="24"/>
        </w:rPr>
      </w:pPr>
    </w:p>
    <w:p w:rsidR="009E13B1" w:rsidRPr="004768E6" w14:paraId="0F877C1B" w14:textId="77777777">
      <w:pPr>
        <w:keepLines/>
        <w:tabs>
          <w:tab w:val="left" w:pos="360"/>
        </w:tabs>
        <w:spacing w:after="80"/>
        <w:ind w:left="360" w:hanging="360"/>
        <w:rPr>
          <w:b/>
          <w:bCs/>
          <w:sz w:val="24"/>
          <w:szCs w:val="24"/>
        </w:rPr>
      </w:pPr>
      <w:r w:rsidRPr="004768E6">
        <w:rPr>
          <w:b/>
          <w:bCs/>
          <w:sz w:val="24"/>
          <w:szCs w:val="24"/>
        </w:rPr>
        <w:t>14.</w:t>
      </w:r>
      <w:r w:rsidRPr="004768E6">
        <w:rPr>
          <w:b/>
          <w:bCs/>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7E53" w:rsidRPr="006C7FAE" w:rsidP="00167E53" w14:paraId="5BB0C48A" w14:textId="77777777">
      <w:pPr>
        <w:overflowPunct/>
        <w:autoSpaceDE/>
        <w:autoSpaceDN/>
        <w:adjustRightInd/>
        <w:spacing w:after="80"/>
        <w:ind w:left="360"/>
        <w:textAlignment w:val="auto"/>
        <w:rPr>
          <w:rFonts w:eastAsia="Calibri"/>
          <w:color w:val="000000"/>
        </w:rPr>
      </w:pPr>
    </w:p>
    <w:tbl>
      <w:tblPr>
        <w:tblW w:w="915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483"/>
        <w:gridCol w:w="1306"/>
        <w:gridCol w:w="1127"/>
        <w:gridCol w:w="1094"/>
        <w:gridCol w:w="1155"/>
        <w:gridCol w:w="861"/>
        <w:gridCol w:w="1017"/>
        <w:gridCol w:w="1116"/>
      </w:tblGrid>
      <w:tr w14:paraId="1B46F95A" w14:textId="77777777" w:rsidTr="002C167E">
        <w:tblPrEx>
          <w:tblW w:w="915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Ex>
        <w:tc>
          <w:tcPr>
            <w:tcW w:w="1621" w:type="dxa"/>
            <w:tcMar>
              <w:top w:w="0" w:type="dxa"/>
              <w:left w:w="108" w:type="dxa"/>
              <w:bottom w:w="0" w:type="dxa"/>
              <w:right w:w="108" w:type="dxa"/>
            </w:tcMar>
            <w:hideMark/>
          </w:tcPr>
          <w:p w:rsidR="00167E53" w:rsidRPr="006C7FAE" w:rsidP="00167E53" w14:paraId="2770CCD5" w14:textId="77777777">
            <w:pPr>
              <w:adjustRightInd/>
              <w:jc w:val="center"/>
              <w:textAlignment w:val="auto"/>
              <w:rPr>
                <w:rFonts w:eastAsia="Calibri"/>
                <w:b/>
                <w:bCs/>
                <w:color w:val="000000"/>
              </w:rPr>
            </w:pPr>
            <w:r w:rsidRPr="006C7FAE">
              <w:rPr>
                <w:rFonts w:eastAsia="Calibri"/>
                <w:b/>
                <w:bCs/>
                <w:color w:val="000000"/>
              </w:rPr>
              <w:t>Information Collection</w:t>
            </w:r>
          </w:p>
        </w:tc>
        <w:tc>
          <w:tcPr>
            <w:tcW w:w="1306" w:type="dxa"/>
            <w:tcMar>
              <w:top w:w="0" w:type="dxa"/>
              <w:left w:w="108" w:type="dxa"/>
              <w:bottom w:w="0" w:type="dxa"/>
              <w:right w:w="108" w:type="dxa"/>
            </w:tcMar>
            <w:hideMark/>
          </w:tcPr>
          <w:p w:rsidR="00167E53" w:rsidRPr="006C7FAE" w:rsidP="00167E53" w14:paraId="2D6ED408" w14:textId="77777777">
            <w:pPr>
              <w:adjustRightInd/>
              <w:jc w:val="center"/>
              <w:textAlignment w:val="auto"/>
              <w:rPr>
                <w:rFonts w:eastAsia="Calibri"/>
                <w:b/>
                <w:bCs/>
                <w:color w:val="000000"/>
              </w:rPr>
            </w:pPr>
            <w:r w:rsidRPr="006C7FAE">
              <w:rPr>
                <w:rFonts w:eastAsia="Calibri"/>
                <w:b/>
                <w:bCs/>
                <w:color w:val="000000"/>
              </w:rPr>
              <w:t>Number of Respondents</w:t>
            </w:r>
          </w:p>
        </w:tc>
        <w:tc>
          <w:tcPr>
            <w:tcW w:w="1127" w:type="dxa"/>
            <w:tcMar>
              <w:top w:w="0" w:type="dxa"/>
              <w:left w:w="108" w:type="dxa"/>
              <w:bottom w:w="0" w:type="dxa"/>
              <w:right w:w="108" w:type="dxa"/>
            </w:tcMar>
            <w:hideMark/>
          </w:tcPr>
          <w:p w:rsidR="00167E53" w:rsidRPr="006C7FAE" w:rsidP="00167E53" w14:paraId="0FC909C8" w14:textId="77777777">
            <w:pPr>
              <w:adjustRightInd/>
              <w:jc w:val="center"/>
              <w:textAlignment w:val="auto"/>
              <w:rPr>
                <w:rFonts w:eastAsia="Calibri"/>
                <w:b/>
                <w:bCs/>
                <w:color w:val="000000"/>
              </w:rPr>
            </w:pPr>
            <w:r w:rsidRPr="006C7FAE">
              <w:rPr>
                <w:rFonts w:eastAsia="Calibri"/>
                <w:b/>
                <w:bCs/>
                <w:color w:val="000000"/>
              </w:rPr>
              <w:t>Frequency of Response</w:t>
            </w:r>
          </w:p>
        </w:tc>
        <w:tc>
          <w:tcPr>
            <w:tcW w:w="1094" w:type="dxa"/>
            <w:tcMar>
              <w:top w:w="0" w:type="dxa"/>
              <w:left w:w="108" w:type="dxa"/>
              <w:bottom w:w="0" w:type="dxa"/>
              <w:right w:w="108" w:type="dxa"/>
            </w:tcMar>
            <w:hideMark/>
          </w:tcPr>
          <w:p w:rsidR="00167E53" w:rsidRPr="006C7FAE" w:rsidP="00167E53" w14:paraId="2E88ED16" w14:textId="77777777">
            <w:pPr>
              <w:overflowPunct/>
              <w:autoSpaceDE/>
              <w:autoSpaceDN/>
              <w:adjustRightInd/>
              <w:jc w:val="center"/>
              <w:textAlignment w:val="auto"/>
              <w:rPr>
                <w:rFonts w:eastAsia="Calibri"/>
                <w:b/>
                <w:bCs/>
                <w:color w:val="000000"/>
              </w:rPr>
            </w:pPr>
            <w:r w:rsidRPr="006C7FAE">
              <w:rPr>
                <w:rFonts w:eastAsia="Calibri"/>
                <w:b/>
                <w:bCs/>
                <w:color w:val="000000"/>
              </w:rPr>
              <w:t>Responses</w:t>
            </w:r>
          </w:p>
          <w:p w:rsidR="00167E53" w:rsidRPr="006C7FAE" w:rsidP="00167E53" w14:paraId="55FC3E02" w14:textId="77777777">
            <w:pPr>
              <w:adjustRightInd/>
              <w:jc w:val="center"/>
              <w:textAlignment w:val="auto"/>
              <w:rPr>
                <w:rFonts w:eastAsia="Calibri"/>
                <w:b/>
                <w:bCs/>
                <w:color w:val="000000"/>
              </w:rPr>
            </w:pPr>
            <w:r w:rsidRPr="006C7FAE">
              <w:rPr>
                <w:rFonts w:eastAsia="Calibri"/>
                <w:b/>
                <w:bCs/>
                <w:color w:val="000000"/>
              </w:rPr>
              <w:t>Per Annum</w:t>
            </w:r>
          </w:p>
        </w:tc>
        <w:tc>
          <w:tcPr>
            <w:tcW w:w="1242" w:type="dxa"/>
            <w:tcMar>
              <w:top w:w="0" w:type="dxa"/>
              <w:left w:w="108" w:type="dxa"/>
              <w:bottom w:w="0" w:type="dxa"/>
              <w:right w:w="108" w:type="dxa"/>
            </w:tcMar>
            <w:hideMark/>
          </w:tcPr>
          <w:p w:rsidR="00167E53" w:rsidRPr="006C7FAE" w:rsidP="00167E53" w14:paraId="48E3A479" w14:textId="77777777">
            <w:pPr>
              <w:adjustRightInd/>
              <w:jc w:val="center"/>
              <w:textAlignment w:val="auto"/>
              <w:rPr>
                <w:rFonts w:eastAsia="Calibri"/>
                <w:b/>
                <w:bCs/>
                <w:color w:val="000000"/>
              </w:rPr>
            </w:pPr>
            <w:r w:rsidRPr="006C7FAE">
              <w:rPr>
                <w:rFonts w:eastAsia="Calibri"/>
                <w:b/>
                <w:bCs/>
                <w:color w:val="000000"/>
              </w:rPr>
              <w:t>Burden Hour Per Response</w:t>
            </w:r>
          </w:p>
        </w:tc>
        <w:tc>
          <w:tcPr>
            <w:tcW w:w="636" w:type="dxa"/>
            <w:tcMar>
              <w:top w:w="0" w:type="dxa"/>
              <w:left w:w="108" w:type="dxa"/>
              <w:bottom w:w="0" w:type="dxa"/>
              <w:right w:w="108" w:type="dxa"/>
            </w:tcMar>
            <w:hideMark/>
          </w:tcPr>
          <w:p w:rsidR="00167E53" w:rsidRPr="006C7FAE" w:rsidP="00167E53" w14:paraId="60299650" w14:textId="77777777">
            <w:pPr>
              <w:adjustRightInd/>
              <w:jc w:val="center"/>
              <w:textAlignment w:val="auto"/>
              <w:rPr>
                <w:rFonts w:eastAsia="Calibri"/>
                <w:b/>
                <w:bCs/>
                <w:color w:val="000000"/>
              </w:rPr>
            </w:pPr>
            <w:r w:rsidRPr="006C7FAE">
              <w:rPr>
                <w:rFonts w:eastAsia="Calibri"/>
                <w:b/>
                <w:bCs/>
                <w:color w:val="000000"/>
              </w:rPr>
              <w:t>Annual Burden Hours</w:t>
            </w:r>
          </w:p>
        </w:tc>
        <w:tc>
          <w:tcPr>
            <w:tcW w:w="1017" w:type="dxa"/>
            <w:tcMar>
              <w:top w:w="0" w:type="dxa"/>
              <w:left w:w="108" w:type="dxa"/>
              <w:bottom w:w="0" w:type="dxa"/>
              <w:right w:w="108" w:type="dxa"/>
            </w:tcMar>
            <w:hideMark/>
          </w:tcPr>
          <w:p w:rsidR="00167E53" w:rsidRPr="006C7FAE" w:rsidP="00167E53" w14:paraId="36786B88" w14:textId="77777777">
            <w:pPr>
              <w:adjustRightInd/>
              <w:jc w:val="center"/>
              <w:textAlignment w:val="auto"/>
              <w:rPr>
                <w:rFonts w:eastAsia="Calibri"/>
                <w:b/>
                <w:bCs/>
                <w:color w:val="000000"/>
              </w:rPr>
            </w:pPr>
            <w:r w:rsidRPr="006C7FAE">
              <w:rPr>
                <w:rFonts w:eastAsia="Calibri"/>
                <w:b/>
                <w:bCs/>
                <w:color w:val="000000"/>
              </w:rPr>
              <w:t>Hourly Cost Per Response</w:t>
            </w:r>
          </w:p>
        </w:tc>
        <w:tc>
          <w:tcPr>
            <w:tcW w:w="1116" w:type="dxa"/>
            <w:tcMar>
              <w:top w:w="0" w:type="dxa"/>
              <w:left w:w="108" w:type="dxa"/>
              <w:bottom w:w="0" w:type="dxa"/>
              <w:right w:w="108" w:type="dxa"/>
            </w:tcMar>
          </w:tcPr>
          <w:p w:rsidR="00167E53" w:rsidRPr="006C7FAE" w:rsidP="00167E53" w14:paraId="44C20C89" w14:textId="77777777">
            <w:pPr>
              <w:overflowPunct/>
              <w:autoSpaceDE/>
              <w:autoSpaceDN/>
              <w:adjustRightInd/>
              <w:jc w:val="center"/>
              <w:textAlignment w:val="auto"/>
              <w:rPr>
                <w:rFonts w:eastAsia="Calibri"/>
                <w:b/>
                <w:bCs/>
                <w:color w:val="000000"/>
              </w:rPr>
            </w:pPr>
            <w:r w:rsidRPr="006C7FAE">
              <w:rPr>
                <w:rFonts w:eastAsia="Calibri"/>
                <w:b/>
                <w:bCs/>
                <w:color w:val="000000"/>
              </w:rPr>
              <w:t>Annual Cost</w:t>
            </w:r>
          </w:p>
          <w:p w:rsidR="00167E53" w:rsidRPr="006C7FAE" w:rsidP="00167E53" w14:paraId="6367AC39" w14:textId="77777777">
            <w:pPr>
              <w:adjustRightInd/>
              <w:jc w:val="center"/>
              <w:textAlignment w:val="auto"/>
              <w:rPr>
                <w:rFonts w:eastAsia="Calibri"/>
                <w:b/>
                <w:bCs/>
                <w:color w:val="000000"/>
              </w:rPr>
            </w:pPr>
          </w:p>
        </w:tc>
      </w:tr>
      <w:tr w14:paraId="6A87C799" w14:textId="77777777" w:rsidTr="002C167E">
        <w:tblPrEx>
          <w:tblW w:w="9159" w:type="dxa"/>
          <w:tblInd w:w="-10" w:type="dxa"/>
          <w:tblCellMar>
            <w:left w:w="0" w:type="dxa"/>
            <w:right w:w="0" w:type="dxa"/>
          </w:tblCellMar>
          <w:tblLook w:val="04A0"/>
        </w:tblPrEx>
        <w:tc>
          <w:tcPr>
            <w:tcW w:w="1621" w:type="dxa"/>
            <w:tcMar>
              <w:top w:w="0" w:type="dxa"/>
              <w:left w:w="108" w:type="dxa"/>
              <w:bottom w:w="0" w:type="dxa"/>
              <w:right w:w="108" w:type="dxa"/>
            </w:tcMar>
          </w:tcPr>
          <w:p w:rsidR="00167E53" w:rsidRPr="008C3B26" w:rsidP="00167E53" w14:paraId="0CD8A1BA" w14:textId="77E2F3A3">
            <w:pPr>
              <w:adjustRightInd/>
              <w:textAlignment w:val="auto"/>
              <w:rPr>
                <w:rFonts w:eastAsia="Calibri"/>
                <w:color w:val="000000"/>
              </w:rPr>
            </w:pPr>
            <w:r w:rsidRPr="008C3B26">
              <w:rPr>
                <w:rFonts w:eastAsia="Calibri"/>
                <w:color w:val="000000"/>
              </w:rPr>
              <w:t>All forms</w:t>
            </w:r>
            <w:r w:rsidRPr="008C3B26" w:rsidR="008C3B26">
              <w:rPr>
                <w:rFonts w:eastAsia="Calibri"/>
                <w:color w:val="000000"/>
              </w:rPr>
              <w:t xml:space="preserve"> submitted for HUD Review</w:t>
            </w:r>
          </w:p>
        </w:tc>
        <w:tc>
          <w:tcPr>
            <w:tcW w:w="1306" w:type="dxa"/>
            <w:tcMar>
              <w:top w:w="0" w:type="dxa"/>
              <w:left w:w="108" w:type="dxa"/>
              <w:bottom w:w="0" w:type="dxa"/>
              <w:right w:w="108" w:type="dxa"/>
            </w:tcMar>
          </w:tcPr>
          <w:p w:rsidR="00167E53" w:rsidRPr="008C3B26" w:rsidP="00167E53" w14:paraId="6DC1209A" w14:textId="36341C37">
            <w:pPr>
              <w:adjustRightInd/>
              <w:jc w:val="center"/>
              <w:textAlignment w:val="auto"/>
              <w:rPr>
                <w:rFonts w:eastAsia="Calibri"/>
                <w:color w:val="000000"/>
              </w:rPr>
            </w:pPr>
            <w:r w:rsidRPr="008C3B26">
              <w:rPr>
                <w:rFonts w:eastAsia="Calibri"/>
                <w:color w:val="000000"/>
              </w:rPr>
              <w:t>38,196</w:t>
            </w:r>
          </w:p>
        </w:tc>
        <w:tc>
          <w:tcPr>
            <w:tcW w:w="1127" w:type="dxa"/>
            <w:tcMar>
              <w:top w:w="0" w:type="dxa"/>
              <w:left w:w="108" w:type="dxa"/>
              <w:bottom w:w="0" w:type="dxa"/>
              <w:right w:w="108" w:type="dxa"/>
            </w:tcMar>
          </w:tcPr>
          <w:p w:rsidR="00167E53" w:rsidRPr="008C3B26" w:rsidP="00167E53" w14:paraId="250CB174" w14:textId="082B4134">
            <w:pPr>
              <w:adjustRightInd/>
              <w:jc w:val="center"/>
              <w:textAlignment w:val="auto"/>
              <w:rPr>
                <w:rFonts w:eastAsia="Calibri"/>
                <w:color w:val="000000"/>
              </w:rPr>
            </w:pPr>
            <w:r w:rsidRPr="008C3B26">
              <w:rPr>
                <w:rFonts w:eastAsia="Calibri"/>
                <w:color w:val="000000"/>
              </w:rPr>
              <w:t>1</w:t>
            </w:r>
          </w:p>
        </w:tc>
        <w:tc>
          <w:tcPr>
            <w:tcW w:w="1094" w:type="dxa"/>
            <w:tcMar>
              <w:top w:w="0" w:type="dxa"/>
              <w:left w:w="108" w:type="dxa"/>
              <w:bottom w:w="0" w:type="dxa"/>
              <w:right w:w="108" w:type="dxa"/>
            </w:tcMar>
          </w:tcPr>
          <w:p w:rsidR="00167E53" w:rsidRPr="006C7FAE" w:rsidP="00167E53" w14:paraId="73006C34" w14:textId="72C1F5EE">
            <w:pPr>
              <w:adjustRightInd/>
              <w:jc w:val="center"/>
              <w:textAlignment w:val="auto"/>
              <w:rPr>
                <w:rFonts w:eastAsia="Calibri"/>
                <w:b/>
                <w:bCs/>
                <w:color w:val="000000"/>
              </w:rPr>
            </w:pPr>
            <w:r>
              <w:rPr>
                <w:rFonts w:eastAsia="Calibri"/>
                <w:b/>
                <w:bCs/>
                <w:color w:val="000000"/>
              </w:rPr>
              <w:t>38,196</w:t>
            </w:r>
          </w:p>
        </w:tc>
        <w:tc>
          <w:tcPr>
            <w:tcW w:w="1242" w:type="dxa"/>
            <w:tcMar>
              <w:top w:w="0" w:type="dxa"/>
              <w:left w:w="108" w:type="dxa"/>
              <w:bottom w:w="0" w:type="dxa"/>
              <w:right w:w="108" w:type="dxa"/>
            </w:tcMar>
          </w:tcPr>
          <w:p w:rsidR="00167E53" w:rsidRPr="008C3B26" w:rsidP="00167E53" w14:paraId="72440884" w14:textId="43990BD0">
            <w:pPr>
              <w:adjustRightInd/>
              <w:jc w:val="center"/>
              <w:textAlignment w:val="auto"/>
              <w:rPr>
                <w:rFonts w:eastAsia="Calibri"/>
                <w:color w:val="000000"/>
              </w:rPr>
            </w:pPr>
            <w:r>
              <w:rPr>
                <w:rFonts w:eastAsia="Calibri"/>
                <w:color w:val="000000"/>
              </w:rPr>
              <w:t>0.0286</w:t>
            </w:r>
          </w:p>
        </w:tc>
        <w:tc>
          <w:tcPr>
            <w:tcW w:w="636" w:type="dxa"/>
            <w:tcMar>
              <w:top w:w="0" w:type="dxa"/>
              <w:left w:w="108" w:type="dxa"/>
              <w:bottom w:w="0" w:type="dxa"/>
              <w:right w:w="108" w:type="dxa"/>
            </w:tcMar>
          </w:tcPr>
          <w:p w:rsidR="00167E53" w:rsidRPr="003270F8" w:rsidP="00167E53" w14:paraId="37079316" w14:textId="2F9F956B">
            <w:pPr>
              <w:adjustRightInd/>
              <w:jc w:val="center"/>
              <w:textAlignment w:val="auto"/>
              <w:rPr>
                <w:rFonts w:eastAsia="Calibri"/>
                <w:color w:val="000000"/>
              </w:rPr>
            </w:pPr>
            <w:r>
              <w:rPr>
                <w:rFonts w:eastAsia="Calibri"/>
                <w:color w:val="000000"/>
              </w:rPr>
              <w:t>1,092</w:t>
            </w:r>
          </w:p>
        </w:tc>
        <w:tc>
          <w:tcPr>
            <w:tcW w:w="1017" w:type="dxa"/>
            <w:tcMar>
              <w:top w:w="0" w:type="dxa"/>
              <w:left w:w="108" w:type="dxa"/>
              <w:bottom w:w="0" w:type="dxa"/>
              <w:right w:w="108" w:type="dxa"/>
            </w:tcMar>
          </w:tcPr>
          <w:p w:rsidR="00167E53" w:rsidRPr="006C7FAE" w:rsidP="00167E53" w14:paraId="38A27275" w14:textId="352A8F17">
            <w:pPr>
              <w:adjustRightInd/>
              <w:jc w:val="right"/>
              <w:textAlignment w:val="auto"/>
              <w:rPr>
                <w:rFonts w:eastAsia="Calibri"/>
                <w:b/>
                <w:bCs/>
                <w:color w:val="000000"/>
              </w:rPr>
            </w:pPr>
            <w:r>
              <w:rPr>
                <w:rFonts w:eastAsia="Calibri"/>
                <w:b/>
                <w:bCs/>
                <w:color w:val="000000"/>
              </w:rPr>
              <w:t>$57</w:t>
            </w:r>
            <w:r w:rsidR="00C87BE1">
              <w:rPr>
                <w:rFonts w:eastAsia="Calibri"/>
                <w:b/>
                <w:bCs/>
                <w:color w:val="000000"/>
              </w:rPr>
              <w:t>.78</w:t>
            </w:r>
          </w:p>
        </w:tc>
        <w:tc>
          <w:tcPr>
            <w:tcW w:w="1116" w:type="dxa"/>
            <w:tcMar>
              <w:top w:w="0" w:type="dxa"/>
              <w:left w:w="108" w:type="dxa"/>
              <w:bottom w:w="0" w:type="dxa"/>
              <w:right w:w="108" w:type="dxa"/>
            </w:tcMar>
          </w:tcPr>
          <w:p w:rsidR="00167E53" w:rsidRPr="00C87BE1" w:rsidP="00167E53" w14:paraId="4B0DC693" w14:textId="542AB365">
            <w:pPr>
              <w:adjustRightInd/>
              <w:jc w:val="right"/>
              <w:textAlignment w:val="auto"/>
              <w:rPr>
                <w:rFonts w:eastAsia="Calibri"/>
                <w:color w:val="000000"/>
              </w:rPr>
            </w:pPr>
            <w:r w:rsidRPr="00C87BE1">
              <w:rPr>
                <w:rFonts w:eastAsia="Calibri"/>
                <w:color w:val="000000"/>
              </w:rPr>
              <w:t>$6</w:t>
            </w:r>
            <w:r w:rsidR="00121819">
              <w:rPr>
                <w:rFonts w:eastAsia="Calibri"/>
                <w:color w:val="000000"/>
              </w:rPr>
              <w:t>3</w:t>
            </w:r>
            <w:r w:rsidRPr="00C87BE1">
              <w:rPr>
                <w:rFonts w:eastAsia="Calibri"/>
                <w:color w:val="000000"/>
              </w:rPr>
              <w:t>,</w:t>
            </w:r>
            <w:r w:rsidR="00121819">
              <w:rPr>
                <w:rFonts w:eastAsia="Calibri"/>
                <w:color w:val="000000"/>
              </w:rPr>
              <w:t>119.20</w:t>
            </w:r>
          </w:p>
        </w:tc>
      </w:tr>
    </w:tbl>
    <w:p w:rsidR="002907D3" w:rsidP="002C167E" w14:paraId="2BB6983E" w14:textId="0AE326D8">
      <w:pPr>
        <w:tabs>
          <w:tab w:val="left" w:pos="-720"/>
        </w:tabs>
        <w:suppressAutoHyphens/>
        <w:rPr>
          <w:sz w:val="18"/>
          <w:szCs w:val="18"/>
        </w:rPr>
      </w:pPr>
      <w:r w:rsidRPr="002C167E">
        <w:rPr>
          <w:rFonts w:eastAsia="Calibri"/>
          <w:sz w:val="18"/>
          <w:szCs w:val="18"/>
        </w:rPr>
        <w:t>This cost involves the time it takes  a Credit Policy Specialist to review the HUD 92563-A</w:t>
      </w:r>
      <w:r w:rsidRPr="002C167E">
        <w:rPr>
          <w:rFonts w:eastAsia="Calibri"/>
          <w:b/>
          <w:bCs/>
          <w:sz w:val="18"/>
          <w:szCs w:val="18"/>
        </w:rPr>
        <w:t xml:space="preserve"> </w:t>
      </w:r>
      <w:r w:rsidRPr="002C167E">
        <w:rPr>
          <w:rFonts w:eastAsia="Calibri"/>
          <w:sz w:val="18"/>
          <w:szCs w:val="18"/>
        </w:rPr>
        <w:t>to review and process Appraiser Roster Applications and renewal documentation , including appraiser license(s),</w:t>
      </w:r>
      <w:r w:rsidRPr="002C167E">
        <w:rPr>
          <w:rFonts w:eastAsia="Calibri"/>
          <w:b/>
          <w:bCs/>
          <w:sz w:val="18"/>
          <w:szCs w:val="18"/>
        </w:rPr>
        <w:t xml:space="preserve"> </w:t>
      </w:r>
      <w:r w:rsidRPr="002C167E">
        <w:rPr>
          <w:rFonts w:eastAsia="Calibri"/>
          <w:sz w:val="18"/>
          <w:szCs w:val="18"/>
        </w:rPr>
        <w:t xml:space="preserve">, staff preparation time, and system data entry, etc. The hourly cost to conduct the review is based on an estimate of $57.78. (base hourly salary for a GS-13 Step 1) employee as determined by the Office of Personnel, </w:t>
      </w:r>
      <w:r w:rsidRPr="002C167E">
        <w:rPr>
          <w:sz w:val="18"/>
          <w:szCs w:val="18"/>
        </w:rPr>
        <w:t xml:space="preserve">OPM </w:t>
      </w:r>
      <w:r w:rsidRPr="002C167E" w:rsidR="00810ADB">
        <w:rPr>
          <w:sz w:val="18"/>
          <w:szCs w:val="18"/>
        </w:rPr>
        <w:t xml:space="preserve">2025 </w:t>
      </w:r>
      <w:r w:rsidRPr="002C167E">
        <w:rPr>
          <w:sz w:val="18"/>
          <w:szCs w:val="18"/>
        </w:rPr>
        <w:t>Salary (Hourly) Rate Table GS-13, Step 1) =$57.78)</w:t>
      </w:r>
      <w:r w:rsidRPr="002C167E" w:rsidR="00810ADB">
        <w:rPr>
          <w:sz w:val="18"/>
          <w:szCs w:val="18"/>
        </w:rPr>
        <w:t>.</w:t>
      </w:r>
    </w:p>
    <w:p w:rsidR="002907D3" w:rsidP="002C167E" w14:paraId="3DE78B1B" w14:textId="273FF93D">
      <w:pPr>
        <w:tabs>
          <w:tab w:val="left" w:pos="-720"/>
        </w:tabs>
        <w:suppressAutoHyphens/>
      </w:pPr>
      <w:hyperlink r:id="rId12" w:history="1">
        <w:r w:rsidRPr="00975E64">
          <w:rPr>
            <w:rStyle w:val="Hyperlink"/>
            <w:sz w:val="18"/>
            <w:szCs w:val="18"/>
          </w:rPr>
          <w:t>https://www.opm.gov/policy-data-oversight/pay-leave/salaries-wages/2025/general-schedule/</w:t>
        </w:r>
      </w:hyperlink>
    </w:p>
    <w:p w:rsidR="00AD3B58" w:rsidP="00AD3B58" w14:paraId="0188709C" w14:textId="380A360B">
      <w:pPr>
        <w:tabs>
          <w:tab w:val="left" w:pos="3060"/>
        </w:tabs>
        <w:ind w:left="360" w:hanging="360"/>
        <w:rPr>
          <w:sz w:val="24"/>
          <w:szCs w:val="24"/>
        </w:rPr>
      </w:pPr>
      <w:r>
        <w:rPr>
          <w:sz w:val="24"/>
          <w:szCs w:val="24"/>
        </w:rPr>
        <w:tab/>
      </w:r>
    </w:p>
    <w:p w:rsidR="009E13B1" w14:paraId="005FDD51" w14:textId="77777777">
      <w:pPr>
        <w:keepLines/>
        <w:tabs>
          <w:tab w:val="left" w:pos="360"/>
        </w:tabs>
        <w:spacing w:after="80"/>
        <w:ind w:left="360" w:hanging="360"/>
        <w:rPr>
          <w:sz w:val="24"/>
          <w:szCs w:val="24"/>
        </w:rPr>
      </w:pPr>
      <w:r w:rsidRPr="006C7FAE">
        <w:rPr>
          <w:sz w:val="24"/>
          <w:szCs w:val="24"/>
        </w:rPr>
        <w:t>15.</w:t>
      </w:r>
      <w:r w:rsidRPr="006C7FAE">
        <w:rPr>
          <w:sz w:val="24"/>
          <w:szCs w:val="24"/>
        </w:rPr>
        <w:tab/>
      </w:r>
      <w:r w:rsidRPr="004768E6">
        <w:rPr>
          <w:b/>
          <w:bCs/>
          <w:sz w:val="24"/>
          <w:szCs w:val="24"/>
        </w:rPr>
        <w:t>Explain the reasons for any program changes or adjustments reported in Items 1</w:t>
      </w:r>
      <w:r w:rsidRPr="004768E6" w:rsidR="000D5079">
        <w:rPr>
          <w:b/>
          <w:bCs/>
          <w:sz w:val="24"/>
          <w:szCs w:val="24"/>
        </w:rPr>
        <w:t>2</w:t>
      </w:r>
      <w:r w:rsidRPr="004768E6">
        <w:rPr>
          <w:b/>
          <w:bCs/>
          <w:sz w:val="24"/>
          <w:szCs w:val="24"/>
        </w:rPr>
        <w:t xml:space="preserve"> and 14 of the </w:t>
      </w:r>
      <w:r w:rsidRPr="004768E6" w:rsidR="00CA06CC">
        <w:rPr>
          <w:b/>
          <w:bCs/>
          <w:sz w:val="24"/>
          <w:szCs w:val="24"/>
        </w:rPr>
        <w:t>Supporting Statement</w:t>
      </w:r>
      <w:r w:rsidRPr="004768E6">
        <w:rPr>
          <w:b/>
          <w:bCs/>
          <w:sz w:val="24"/>
          <w:szCs w:val="24"/>
        </w:rPr>
        <w:t>.</w:t>
      </w:r>
    </w:p>
    <w:p w:rsidR="00A81361" w:rsidP="00A81361" w14:paraId="305435E2" w14:textId="77777777">
      <w:pPr>
        <w:keepLines/>
        <w:tabs>
          <w:tab w:val="left" w:pos="360"/>
        </w:tabs>
        <w:spacing w:after="80"/>
        <w:ind w:left="360" w:hanging="360"/>
        <w:rPr>
          <w:sz w:val="24"/>
          <w:szCs w:val="24"/>
        </w:rPr>
      </w:pPr>
      <w:r>
        <w:rPr>
          <w:sz w:val="24"/>
          <w:szCs w:val="24"/>
        </w:rPr>
        <w:tab/>
      </w:r>
    </w:p>
    <w:p w:rsidR="003105A7" w:rsidRPr="003105A7" w:rsidP="00121819" w14:paraId="40B43E07" w14:textId="29A3FCD7">
      <w:pPr>
        <w:keepLines/>
        <w:tabs>
          <w:tab w:val="left" w:pos="360"/>
        </w:tabs>
        <w:spacing w:after="80"/>
        <w:ind w:left="360" w:hanging="360"/>
        <w:rPr>
          <w:sz w:val="24"/>
          <w:szCs w:val="24"/>
        </w:rPr>
      </w:pPr>
      <w:r>
        <w:rPr>
          <w:sz w:val="24"/>
          <w:szCs w:val="24"/>
        </w:rPr>
        <w:tab/>
      </w:r>
      <w:r w:rsidRPr="003105A7">
        <w:rPr>
          <w:sz w:val="24"/>
          <w:szCs w:val="24"/>
        </w:rPr>
        <w:t xml:space="preserve">This is an extension of a currently approved collection.  As of June 16, 2024, information on Form HUD-92563 was automated allowing the electronic collection of the information required on the form. Prior to 2008 Form HUD-92563, titled </w:t>
      </w:r>
      <w:r w:rsidRPr="003105A7">
        <w:rPr>
          <w:i/>
          <w:iCs/>
          <w:sz w:val="24"/>
          <w:szCs w:val="24"/>
        </w:rPr>
        <w:t>“Application for Fee or Roster Personnel Designation</w:t>
      </w:r>
      <w:r w:rsidRPr="003105A7">
        <w:rPr>
          <w:sz w:val="24"/>
          <w:szCs w:val="24"/>
        </w:rPr>
        <w:t xml:space="preserve">”, served a dual purpose as application for placement on FHA Inspector Roster and Application for placement on FHA Appraiser Roster. On July 2, 2018 HUD published </w:t>
      </w:r>
      <w:hyperlink r:id="rId13" w:history="1">
        <w:r w:rsidRPr="003105A7">
          <w:rPr>
            <w:rStyle w:val="Hyperlink"/>
            <w:sz w:val="24"/>
            <w:szCs w:val="24"/>
          </w:rPr>
          <w:t>Final Rule FR-5457-F-02,</w:t>
        </w:r>
      </w:hyperlink>
      <w:r w:rsidRPr="003105A7">
        <w:rPr>
          <w:b/>
          <w:bCs/>
          <w:sz w:val="24"/>
          <w:szCs w:val="24"/>
        </w:rPr>
        <w:t xml:space="preserve"> </w:t>
      </w:r>
      <w:r w:rsidRPr="003105A7">
        <w:rPr>
          <w:i/>
          <w:iCs/>
          <w:sz w:val="24"/>
          <w:szCs w:val="24"/>
        </w:rPr>
        <w:t xml:space="preserve">Streamlining Inspection Requirements for Federal Housing Administration (FHA) Single- Family Mortgage Insurance: Removal of the FHA Inspector Roster. </w:t>
      </w:r>
      <w:r w:rsidRPr="003105A7">
        <w:rPr>
          <w:sz w:val="24"/>
          <w:szCs w:val="24"/>
        </w:rPr>
        <w:t xml:space="preserve">The  removal of the Inspector Roster eliminated the need to retain a checkbox for “Compliance Inspectors” on HUD-92563, and the form was revised accordingly. </w:t>
      </w:r>
      <w:r w:rsidR="003B3592">
        <w:rPr>
          <w:sz w:val="24"/>
          <w:szCs w:val="24"/>
        </w:rPr>
        <w:t>Below are the before and after versions of the form</w:t>
      </w:r>
      <w:r w:rsidR="005E7CAF">
        <w:rPr>
          <w:sz w:val="24"/>
          <w:szCs w:val="24"/>
        </w:rPr>
        <w:t>.</w:t>
      </w:r>
      <w:r w:rsidRPr="003105A7">
        <w:rPr>
          <w:sz w:val="24"/>
          <w:szCs w:val="24"/>
        </w:rPr>
        <w:t xml:space="preserve"> </w:t>
      </w:r>
    </w:p>
    <w:p w:rsidR="00CA0BEE" w:rsidP="00A81361" w14:paraId="01886348" w14:textId="6D797169">
      <w:pPr>
        <w:keepLines/>
        <w:tabs>
          <w:tab w:val="left" w:pos="1290"/>
        </w:tabs>
        <w:spacing w:after="80"/>
        <w:ind w:left="360" w:hanging="360"/>
        <w:rPr>
          <w:sz w:val="24"/>
          <w:szCs w:val="24"/>
        </w:rPr>
      </w:pPr>
      <w:r>
        <w:rPr>
          <w:sz w:val="24"/>
          <w:szCs w:val="24"/>
        </w:rPr>
        <w:tab/>
      </w:r>
      <w:r>
        <w:rPr>
          <w:sz w:val="24"/>
          <w:szCs w:val="24"/>
        </w:rPr>
        <w:tab/>
      </w:r>
    </w:p>
    <w:p w:rsidR="009E13B1" w:rsidRPr="006C7FAE" w:rsidP="00542282" w14:paraId="78BA2B5D" w14:textId="20D168FA">
      <w:pPr>
        <w:keepLines/>
        <w:tabs>
          <w:tab w:val="left" w:pos="970"/>
          <w:tab w:val="left" w:pos="1290"/>
        </w:tabs>
        <w:spacing w:after="80"/>
        <w:ind w:left="1080" w:hanging="360"/>
        <w:rPr>
          <w:sz w:val="24"/>
          <w:szCs w:val="24"/>
        </w:rPr>
      </w:pPr>
      <w:r>
        <w:rPr>
          <w:sz w:val="24"/>
          <w:szCs w:val="24"/>
        </w:rPr>
        <w:tab/>
      </w:r>
      <w:r>
        <w:rPr>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icon="t" o:ole="">
            <v:imagedata r:id="rId14" o:title=""/>
          </v:shape>
          <o:OLEObject Type="Embed" ProgID="PowerPDF.Document" ShapeID="_x0000_i1025" DrawAspect="Icon" ObjectID="_1815294975" r:id="rId15"/>
        </w:object>
      </w:r>
      <w:r w:rsidR="00425640">
        <w:rPr>
          <w:sz w:val="24"/>
          <w:szCs w:val="24"/>
        </w:rPr>
        <w:tab/>
      </w:r>
      <w:r w:rsidR="00425640">
        <w:rPr>
          <w:sz w:val="24"/>
          <w:szCs w:val="24"/>
        </w:rPr>
        <w:tab/>
      </w:r>
      <w:r>
        <w:rPr>
          <w:sz w:val="24"/>
          <w:szCs w:val="24"/>
        </w:rPr>
        <w:object>
          <v:shape id="_x0000_i1026" type="#_x0000_t75" style="width:75.75pt;height:48.75pt" o:oleicon="t" o:ole="">
            <v:imagedata r:id="rId16" o:title=""/>
          </v:shape>
          <o:OLEObject Type="Embed" ProgID="PowerPDF.Document" ShapeID="_x0000_i1026" DrawAspect="Icon" ObjectID="_1815294976" r:id="rId17"/>
        </w:object>
      </w:r>
      <w:r>
        <w:rPr>
          <w:sz w:val="24"/>
          <w:szCs w:val="24"/>
        </w:rPr>
        <w:br w:type="textWrapping" w:clear="all"/>
      </w:r>
    </w:p>
    <w:p w:rsidR="009E13B1" w:rsidRPr="006C7FAE" w14:paraId="191E7ECF" w14:textId="77777777">
      <w:pPr>
        <w:keepLines/>
        <w:tabs>
          <w:tab w:val="left" w:pos="360"/>
        </w:tabs>
        <w:spacing w:after="80"/>
        <w:ind w:left="360" w:hanging="360"/>
        <w:rPr>
          <w:sz w:val="24"/>
          <w:szCs w:val="24"/>
        </w:rPr>
      </w:pPr>
      <w:r w:rsidRPr="006C7FAE">
        <w:rPr>
          <w:sz w:val="24"/>
          <w:szCs w:val="24"/>
        </w:rPr>
        <w:t>16.</w:t>
      </w:r>
      <w:r w:rsidRPr="006C7FAE">
        <w:rPr>
          <w:sz w:val="24"/>
          <w:szCs w:val="24"/>
        </w:rPr>
        <w:tab/>
      </w:r>
      <w:r w:rsidRPr="004768E6">
        <w:rPr>
          <w:b/>
          <w:bCs/>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E13B1" w14:paraId="41F37BFA" w14:textId="77777777">
      <w:pPr>
        <w:tabs>
          <w:tab w:val="left" w:pos="360"/>
        </w:tabs>
        <w:ind w:left="360" w:hanging="360"/>
        <w:rPr>
          <w:sz w:val="24"/>
          <w:szCs w:val="24"/>
        </w:rPr>
      </w:pPr>
    </w:p>
    <w:p w:rsidR="00FB345F" w:rsidP="00121819" w14:paraId="73D66631" w14:textId="656535CB">
      <w:pPr>
        <w:tabs>
          <w:tab w:val="left" w:pos="360"/>
        </w:tabs>
        <w:ind w:left="360" w:hanging="360"/>
        <w:rPr>
          <w:sz w:val="24"/>
          <w:szCs w:val="24"/>
        </w:rPr>
      </w:pPr>
      <w:r>
        <w:rPr>
          <w:sz w:val="24"/>
          <w:szCs w:val="24"/>
        </w:rPr>
        <w:tab/>
      </w:r>
      <w:r w:rsidRPr="00FB345F">
        <w:rPr>
          <w:sz w:val="24"/>
          <w:szCs w:val="24"/>
        </w:rPr>
        <w:t xml:space="preserve">The results of this information collection will be published only to the extent that approved applicants will be listed on the FHA Appraiser Roster.  The list is available online, restricted to authorized HUD employees, via HUD’s intranet website at </w:t>
      </w:r>
      <w:hyperlink r:id="rId18" w:history="1">
        <w:r w:rsidRPr="00FB345F">
          <w:rPr>
            <w:rStyle w:val="Hyperlink"/>
            <w:sz w:val="24"/>
            <w:szCs w:val="24"/>
          </w:rPr>
          <w:t>https://entp.hud.gov/idapp/protect/apprlook.cfm</w:t>
        </w:r>
      </w:hyperlink>
      <w:r w:rsidRPr="00FB345F">
        <w:rPr>
          <w:sz w:val="24"/>
          <w:szCs w:val="24"/>
          <w:u w:val="single"/>
        </w:rPr>
        <w:t xml:space="preserve"> </w:t>
      </w:r>
      <w:r w:rsidRPr="00FB345F">
        <w:rPr>
          <w:sz w:val="24"/>
          <w:szCs w:val="24"/>
        </w:rPr>
        <w:t>and via the public facing website at</w:t>
      </w:r>
      <w:r>
        <w:rPr>
          <w:sz w:val="24"/>
          <w:szCs w:val="24"/>
        </w:rPr>
        <w:t xml:space="preserve"> </w:t>
      </w:r>
      <w:hyperlink r:id="rId19" w:history="1">
        <w:r w:rsidRPr="00007B02" w:rsidR="00007B02">
          <w:rPr>
            <w:rStyle w:val="Hyperlink"/>
            <w:sz w:val="24"/>
            <w:szCs w:val="24"/>
          </w:rPr>
          <w:t>https://entp.hud.gov/idapp/html/apprlook.cfm</w:t>
        </w:r>
      </w:hyperlink>
      <w:r w:rsidRPr="00007B02" w:rsidR="00007B02">
        <w:rPr>
          <w:sz w:val="24"/>
          <w:szCs w:val="24"/>
        </w:rPr>
        <w:t>.  No complex or analytical techniques will be used, and there is no termination date for this activity.</w:t>
      </w:r>
    </w:p>
    <w:p w:rsidR="00007B02" w:rsidRPr="006C7FAE" w:rsidP="00FB345F" w14:paraId="0F3EE43A" w14:textId="77777777">
      <w:pPr>
        <w:tabs>
          <w:tab w:val="left" w:pos="360"/>
        </w:tabs>
        <w:ind w:left="360" w:hanging="360"/>
        <w:rPr>
          <w:sz w:val="24"/>
          <w:szCs w:val="24"/>
        </w:rPr>
      </w:pPr>
    </w:p>
    <w:p w:rsidR="009E13B1" w:rsidRPr="006C7FAE" w14:paraId="34E8092D" w14:textId="77777777">
      <w:pPr>
        <w:keepLines/>
        <w:tabs>
          <w:tab w:val="left" w:pos="360"/>
        </w:tabs>
        <w:spacing w:after="80"/>
        <w:ind w:left="360" w:hanging="360"/>
        <w:rPr>
          <w:sz w:val="24"/>
          <w:szCs w:val="24"/>
        </w:rPr>
      </w:pPr>
      <w:r w:rsidRPr="006C7FAE">
        <w:rPr>
          <w:sz w:val="24"/>
          <w:szCs w:val="24"/>
        </w:rPr>
        <w:t>17</w:t>
      </w:r>
      <w:r w:rsidRPr="004768E6">
        <w:rPr>
          <w:b/>
          <w:bCs/>
          <w:sz w:val="24"/>
          <w:szCs w:val="24"/>
        </w:rPr>
        <w:t>.</w:t>
      </w:r>
      <w:r w:rsidRPr="004768E6">
        <w:rPr>
          <w:b/>
          <w:bCs/>
          <w:sz w:val="24"/>
          <w:szCs w:val="24"/>
        </w:rPr>
        <w:tab/>
        <w:t>If seeking approval to not display the expiration date for OMB approval of the information collection, explain the reasons that display would be inappropriate.</w:t>
      </w:r>
    </w:p>
    <w:p w:rsidR="009E13B1" w14:paraId="44B4D7A4" w14:textId="77777777">
      <w:pPr>
        <w:keepLines/>
        <w:tabs>
          <w:tab w:val="left" w:pos="360"/>
          <w:tab w:val="left" w:pos="720"/>
        </w:tabs>
        <w:ind w:left="360"/>
        <w:rPr>
          <w:sz w:val="24"/>
          <w:szCs w:val="24"/>
        </w:rPr>
      </w:pPr>
    </w:p>
    <w:p w:rsidR="00F619D9" w:rsidP="00121819" w14:paraId="7567BC50" w14:textId="1E1AE1A1">
      <w:pPr>
        <w:keepLines/>
        <w:tabs>
          <w:tab w:val="left" w:pos="360"/>
          <w:tab w:val="left" w:pos="720"/>
        </w:tabs>
        <w:ind w:left="360"/>
        <w:rPr>
          <w:sz w:val="24"/>
          <w:szCs w:val="24"/>
        </w:rPr>
      </w:pPr>
      <w:r w:rsidRPr="00F619D9">
        <w:rPr>
          <w:sz w:val="24"/>
          <w:szCs w:val="24"/>
        </w:rPr>
        <w:t>HUD is not seeking approval to avoid displaying the OMB expiration date.</w:t>
      </w:r>
    </w:p>
    <w:p w:rsidR="00F619D9" w:rsidRPr="006C7FAE" w14:paraId="7ECCD28E" w14:textId="77777777">
      <w:pPr>
        <w:keepLines/>
        <w:tabs>
          <w:tab w:val="left" w:pos="360"/>
          <w:tab w:val="left" w:pos="720"/>
        </w:tabs>
        <w:ind w:left="360"/>
        <w:rPr>
          <w:sz w:val="24"/>
          <w:szCs w:val="24"/>
        </w:rPr>
      </w:pPr>
    </w:p>
    <w:p w:rsidR="009E13B1" w:rsidRPr="006C7FAE" w14:paraId="68C195AD" w14:textId="77777777">
      <w:pPr>
        <w:keepLines/>
        <w:tabs>
          <w:tab w:val="left" w:pos="360"/>
        </w:tabs>
        <w:spacing w:after="80"/>
        <w:ind w:left="360" w:hanging="360"/>
        <w:rPr>
          <w:rFonts w:ascii="Courier" w:hAnsi="Courier"/>
          <w:sz w:val="24"/>
          <w:szCs w:val="24"/>
        </w:rPr>
      </w:pPr>
      <w:r w:rsidRPr="006C7FAE">
        <w:rPr>
          <w:sz w:val="24"/>
          <w:szCs w:val="24"/>
        </w:rPr>
        <w:t>18.</w:t>
      </w:r>
      <w:r w:rsidRPr="006C7FAE">
        <w:rPr>
          <w:sz w:val="24"/>
          <w:szCs w:val="24"/>
        </w:rPr>
        <w:tab/>
      </w:r>
      <w:r w:rsidRPr="004768E6">
        <w:rPr>
          <w:b/>
          <w:bCs/>
          <w:sz w:val="24"/>
          <w:szCs w:val="24"/>
        </w:rPr>
        <w:t>Explain each exception to the certification statement identified in item 19.</w:t>
      </w:r>
    </w:p>
    <w:p w:rsidR="009E13B1" w:rsidRPr="009C19EA" w14:paraId="65980BA6" w14:textId="77777777">
      <w:pPr>
        <w:keepLines/>
        <w:tabs>
          <w:tab w:val="left" w:pos="360"/>
          <w:tab w:val="left" w:pos="720"/>
        </w:tabs>
        <w:ind w:left="360"/>
        <w:rPr>
          <w:sz w:val="16"/>
          <w:szCs w:val="16"/>
        </w:rPr>
      </w:pPr>
    </w:p>
    <w:p w:rsidR="004768E6" w:rsidRPr="006C7FAE" w:rsidP="00121819" w14:paraId="696B0158" w14:textId="505F0EC6">
      <w:pPr>
        <w:keepLines/>
        <w:tabs>
          <w:tab w:val="left" w:pos="360"/>
          <w:tab w:val="left" w:pos="720"/>
        </w:tabs>
        <w:ind w:left="360"/>
        <w:rPr>
          <w:sz w:val="24"/>
          <w:szCs w:val="24"/>
        </w:rPr>
      </w:pPr>
      <w:r w:rsidRPr="004768E6">
        <w:rPr>
          <w:sz w:val="24"/>
          <w:szCs w:val="24"/>
        </w:rPr>
        <w:t>There are no exceptions to the certification statement identified in item 19</w:t>
      </w:r>
      <w:r w:rsidR="00DE2C79">
        <w:rPr>
          <w:sz w:val="24"/>
          <w:szCs w:val="24"/>
        </w:rPr>
        <w:t>.</w:t>
      </w:r>
    </w:p>
    <w:p w:rsidR="009E13B1" w:rsidRPr="006C7FAE" w14:paraId="1503DE89" w14:textId="77777777">
      <w:pPr>
        <w:tabs>
          <w:tab w:val="left" w:pos="360"/>
          <w:tab w:val="left" w:pos="720"/>
        </w:tabs>
        <w:rPr>
          <w:sz w:val="24"/>
          <w:szCs w:val="24"/>
        </w:rPr>
      </w:pPr>
    </w:p>
    <w:p w:rsidR="009E13B1" w:rsidP="00167E53" w14:paraId="507CF194"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szCs w:val="24"/>
        </w:rPr>
      </w:pPr>
      <w:r w:rsidRPr="006C7FAE">
        <w:rPr>
          <w:rFonts w:ascii="Helvetica" w:hAnsi="Helvetica"/>
          <w:b/>
          <w:sz w:val="24"/>
          <w:szCs w:val="24"/>
        </w:rPr>
        <w:t xml:space="preserve">B. </w:t>
      </w:r>
      <w:r w:rsidRPr="006C7FAE">
        <w:rPr>
          <w:rFonts w:ascii="Helvetica" w:hAnsi="Helvetica"/>
          <w:b/>
          <w:sz w:val="24"/>
          <w:szCs w:val="24"/>
        </w:rPr>
        <w:tab/>
        <w:t>Collections of Information Employing Statistical Methods</w:t>
      </w:r>
    </w:p>
    <w:p w:rsidR="002C7C3F" w:rsidP="00167E53" w14:paraId="6DFC1000"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szCs w:val="24"/>
        </w:rPr>
      </w:pPr>
    </w:p>
    <w:p w:rsidR="002C7C3F" w:rsidRPr="002C7C3F" w:rsidP="002C7C3F" w14:paraId="3F1EB14B" w14:textId="0907C414">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4"/>
          <w:szCs w:val="24"/>
        </w:rPr>
      </w:pPr>
      <w:r>
        <w:rPr>
          <w:bCs/>
          <w:sz w:val="24"/>
          <w:szCs w:val="24"/>
        </w:rPr>
        <w:tab/>
        <w:t>Not Applicable</w:t>
      </w:r>
    </w:p>
    <w:sectPr w:rsidSect="006C7FAE">
      <w:headerReference w:type="default" r:id="rId20"/>
      <w:pgSz w:w="12240" w:h="15840"/>
      <w:pgMar w:top="1440" w:right="1440" w:bottom="1440" w:left="900" w:header="480" w:footer="480" w:gutter="0"/>
      <w:cols w:space="480" w:equalWidth="0">
        <w:col w:w="10080"/>
      </w:cols>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13B1" w14:paraId="7AC637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02B47005"/>
    <w:multiLevelType w:val="hybridMultilevel"/>
    <w:tmpl w:val="A0D45AA4"/>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497C9F"/>
    <w:multiLevelType w:val="hybridMultilevel"/>
    <w:tmpl w:val="82A8E434"/>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1C202906"/>
    <w:multiLevelType w:val="hybridMultilevel"/>
    <w:tmpl w:val="006CA0C4"/>
    <w:lvl w:ilvl="0">
      <w:start w:val="1"/>
      <w:numFmt w:val="bullet"/>
      <w:lvlText w:val=""/>
      <w:legacy w:legacy="1" w:legacySpace="0" w:legacyIndent="144"/>
      <w:lvlJc w:val="left"/>
      <w:pPr>
        <w:ind w:left="774" w:hanging="144"/>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8">
    <w:nsid w:val="2C933DEB"/>
    <w:multiLevelType w:val="hybridMultilevel"/>
    <w:tmpl w:val="77EC27C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01976B9"/>
    <w:multiLevelType w:val="hybridMultilevel"/>
    <w:tmpl w:val="3C785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4B206095"/>
    <w:multiLevelType w:val="singleLevel"/>
    <w:tmpl w:val="64E053F6"/>
    <w:lvl w:ilvl="0">
      <w:start w:val="7"/>
      <w:numFmt w:val="decimal"/>
      <w:lvlText w:val="%1. "/>
      <w:legacy w:legacy="1" w:legacySpace="0" w:legacyIndent="360"/>
      <w:lvlJc w:val="left"/>
      <w:pPr>
        <w:ind w:left="360" w:hanging="360"/>
      </w:pPr>
      <w:rPr>
        <w:rFonts w:ascii="Times New Roman" w:hAnsi="Times New Roman" w:hint="default"/>
        <w:b/>
        <w:bCs w:val="0"/>
        <w:i w:val="0"/>
        <w:sz w:val="24"/>
        <w:szCs w:val="24"/>
        <w:u w:val="none"/>
      </w:rPr>
    </w:lvl>
  </w:abstractNum>
  <w:abstractNum w:abstractNumId="13">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6D231BE6"/>
    <w:multiLevelType w:val="hybridMultilevel"/>
    <w:tmpl w:val="1B4EF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743601999">
    <w:abstractNumId w:val="7"/>
  </w:num>
  <w:num w:numId="2" w16cid:durableId="1939675396">
    <w:abstractNumId w:val="4"/>
  </w:num>
  <w:num w:numId="3" w16cid:durableId="1587377701">
    <w:abstractNumId w:val="13"/>
  </w:num>
  <w:num w:numId="4" w16cid:durableId="887451858">
    <w:abstractNumId w:val="10"/>
  </w:num>
  <w:num w:numId="5" w16cid:durableId="1830825219">
    <w:abstractNumId w:val="11"/>
  </w:num>
  <w:num w:numId="6" w16cid:durableId="2036811765">
    <w:abstractNumId w:val="1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017346939">
    <w:abstractNumId w:val="5"/>
  </w:num>
  <w:num w:numId="8" w16cid:durableId="1708868018">
    <w:abstractNumId w:val="17"/>
  </w:num>
  <w:num w:numId="9" w16cid:durableId="36247648">
    <w:abstractNumId w:val="3"/>
  </w:num>
  <w:num w:numId="10" w16cid:durableId="1269002932">
    <w:abstractNumId w:val="16"/>
  </w:num>
  <w:num w:numId="11" w16cid:durableId="804929379">
    <w:abstractNumId w:val="15"/>
  </w:num>
  <w:num w:numId="12" w16cid:durableId="1778601022">
    <w:abstractNumId w:val="1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16cid:durableId="962225968">
    <w:abstractNumId w:val="12"/>
  </w:num>
  <w:num w:numId="14" w16cid:durableId="1774594277">
    <w:abstractNumId w:val="0"/>
    <w:lvlOverride w:ilvl="0">
      <w:lvl w:ilvl="0">
        <w:start w:val="1"/>
        <w:numFmt w:val="bullet"/>
        <w:lvlText w:val=""/>
        <w:legacy w:legacy="1" w:legacySpace="0" w:legacyIndent="144"/>
        <w:lvlJc w:val="left"/>
        <w:pPr>
          <w:ind w:left="774" w:hanging="144"/>
        </w:pPr>
        <w:rPr>
          <w:rFonts w:ascii="Symbol" w:hAnsi="Symbol" w:hint="default"/>
          <w:sz w:val="16"/>
        </w:rPr>
      </w:lvl>
    </w:lvlOverride>
  </w:num>
  <w:num w:numId="15" w16cid:durableId="303432441">
    <w:abstractNumId w:val="8"/>
  </w:num>
  <w:num w:numId="16" w16cid:durableId="1797094254">
    <w:abstractNumId w:val="1"/>
  </w:num>
  <w:num w:numId="17" w16cid:durableId="216818119">
    <w:abstractNumId w:val="14"/>
  </w:num>
  <w:num w:numId="18" w16cid:durableId="2901774">
    <w:abstractNumId w:val="6"/>
  </w:num>
  <w:num w:numId="19" w16cid:durableId="884483170">
    <w:abstractNumId w:val="2"/>
  </w:num>
  <w:num w:numId="20" w16cid:durableId="406417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0"/>
    <w:rsid w:val="0000163A"/>
    <w:rsid w:val="00007301"/>
    <w:rsid w:val="00007B02"/>
    <w:rsid w:val="00010165"/>
    <w:rsid w:val="00015B2F"/>
    <w:rsid w:val="00037972"/>
    <w:rsid w:val="000474CE"/>
    <w:rsid w:val="000515DF"/>
    <w:rsid w:val="00057AA7"/>
    <w:rsid w:val="00061F11"/>
    <w:rsid w:val="00062BB0"/>
    <w:rsid w:val="00067C41"/>
    <w:rsid w:val="000814E7"/>
    <w:rsid w:val="000A1639"/>
    <w:rsid w:val="000C117C"/>
    <w:rsid w:val="000C38FD"/>
    <w:rsid w:val="000D0B69"/>
    <w:rsid w:val="000D5079"/>
    <w:rsid w:val="000E00A8"/>
    <w:rsid w:val="000E2A89"/>
    <w:rsid w:val="000E3AD6"/>
    <w:rsid w:val="00111942"/>
    <w:rsid w:val="00121819"/>
    <w:rsid w:val="00162F0B"/>
    <w:rsid w:val="00167E53"/>
    <w:rsid w:val="00182CFB"/>
    <w:rsid w:val="001B6259"/>
    <w:rsid w:val="001C49B8"/>
    <w:rsid w:val="001E546D"/>
    <w:rsid w:val="001F26EA"/>
    <w:rsid w:val="001F2916"/>
    <w:rsid w:val="00211848"/>
    <w:rsid w:val="00213FD3"/>
    <w:rsid w:val="00226F35"/>
    <w:rsid w:val="0023256B"/>
    <w:rsid w:val="002351AD"/>
    <w:rsid w:val="00242B61"/>
    <w:rsid w:val="00281954"/>
    <w:rsid w:val="00284407"/>
    <w:rsid w:val="0028513A"/>
    <w:rsid w:val="002905C1"/>
    <w:rsid w:val="002907D3"/>
    <w:rsid w:val="002C167E"/>
    <w:rsid w:val="002C1D59"/>
    <w:rsid w:val="002C5BA8"/>
    <w:rsid w:val="002C7C3F"/>
    <w:rsid w:val="002D58F1"/>
    <w:rsid w:val="002F6CE8"/>
    <w:rsid w:val="003035C0"/>
    <w:rsid w:val="003105A7"/>
    <w:rsid w:val="003270F8"/>
    <w:rsid w:val="00330A77"/>
    <w:rsid w:val="003521B3"/>
    <w:rsid w:val="00353BC0"/>
    <w:rsid w:val="00360090"/>
    <w:rsid w:val="00367881"/>
    <w:rsid w:val="00393E38"/>
    <w:rsid w:val="003A7961"/>
    <w:rsid w:val="003B16F7"/>
    <w:rsid w:val="003B3592"/>
    <w:rsid w:val="00411C31"/>
    <w:rsid w:val="00416EB5"/>
    <w:rsid w:val="00425640"/>
    <w:rsid w:val="00436BCD"/>
    <w:rsid w:val="00450591"/>
    <w:rsid w:val="00457DD6"/>
    <w:rsid w:val="004768E6"/>
    <w:rsid w:val="004C793C"/>
    <w:rsid w:val="004D3794"/>
    <w:rsid w:val="004D5763"/>
    <w:rsid w:val="00504A5D"/>
    <w:rsid w:val="00524E1E"/>
    <w:rsid w:val="00532200"/>
    <w:rsid w:val="0054131F"/>
    <w:rsid w:val="00542282"/>
    <w:rsid w:val="00550934"/>
    <w:rsid w:val="00553EC4"/>
    <w:rsid w:val="00557196"/>
    <w:rsid w:val="00584348"/>
    <w:rsid w:val="0058747D"/>
    <w:rsid w:val="005A68F1"/>
    <w:rsid w:val="005B3C89"/>
    <w:rsid w:val="005C77C7"/>
    <w:rsid w:val="005E7CAF"/>
    <w:rsid w:val="0061630B"/>
    <w:rsid w:val="00632404"/>
    <w:rsid w:val="006A04A1"/>
    <w:rsid w:val="006B7674"/>
    <w:rsid w:val="006C4830"/>
    <w:rsid w:val="006C7FAE"/>
    <w:rsid w:val="006E682A"/>
    <w:rsid w:val="006F6829"/>
    <w:rsid w:val="006F710F"/>
    <w:rsid w:val="0070247F"/>
    <w:rsid w:val="0071510E"/>
    <w:rsid w:val="0072396B"/>
    <w:rsid w:val="00726AF5"/>
    <w:rsid w:val="00762932"/>
    <w:rsid w:val="0079259A"/>
    <w:rsid w:val="007A5E00"/>
    <w:rsid w:val="007B4A33"/>
    <w:rsid w:val="007B6D89"/>
    <w:rsid w:val="007F3741"/>
    <w:rsid w:val="00810ADB"/>
    <w:rsid w:val="008314BA"/>
    <w:rsid w:val="00831CEF"/>
    <w:rsid w:val="0088728C"/>
    <w:rsid w:val="008A7175"/>
    <w:rsid w:val="008C3B26"/>
    <w:rsid w:val="008E0A84"/>
    <w:rsid w:val="0090106F"/>
    <w:rsid w:val="0090122B"/>
    <w:rsid w:val="00902718"/>
    <w:rsid w:val="00936B51"/>
    <w:rsid w:val="009610C3"/>
    <w:rsid w:val="00975E64"/>
    <w:rsid w:val="00981373"/>
    <w:rsid w:val="00995FB4"/>
    <w:rsid w:val="009A3B5D"/>
    <w:rsid w:val="009A40C0"/>
    <w:rsid w:val="009C1143"/>
    <w:rsid w:val="009C19EA"/>
    <w:rsid w:val="009D1DB0"/>
    <w:rsid w:val="009E0C3E"/>
    <w:rsid w:val="009E13B1"/>
    <w:rsid w:val="009F6805"/>
    <w:rsid w:val="00A15CC1"/>
    <w:rsid w:val="00A16FA9"/>
    <w:rsid w:val="00A52A90"/>
    <w:rsid w:val="00A55566"/>
    <w:rsid w:val="00A65F9E"/>
    <w:rsid w:val="00A7471C"/>
    <w:rsid w:val="00A81361"/>
    <w:rsid w:val="00A8335D"/>
    <w:rsid w:val="00A83E46"/>
    <w:rsid w:val="00A9437B"/>
    <w:rsid w:val="00AD3B58"/>
    <w:rsid w:val="00AD4652"/>
    <w:rsid w:val="00AE2CA7"/>
    <w:rsid w:val="00B01940"/>
    <w:rsid w:val="00B03398"/>
    <w:rsid w:val="00B04BA6"/>
    <w:rsid w:val="00B22F46"/>
    <w:rsid w:val="00B80D80"/>
    <w:rsid w:val="00B94401"/>
    <w:rsid w:val="00BA2DFD"/>
    <w:rsid w:val="00BB2518"/>
    <w:rsid w:val="00BB7ECB"/>
    <w:rsid w:val="00BC10AF"/>
    <w:rsid w:val="00BC50C0"/>
    <w:rsid w:val="00C00197"/>
    <w:rsid w:val="00C01BA1"/>
    <w:rsid w:val="00C06B8A"/>
    <w:rsid w:val="00C156AD"/>
    <w:rsid w:val="00C36D45"/>
    <w:rsid w:val="00C37810"/>
    <w:rsid w:val="00C714DF"/>
    <w:rsid w:val="00C8374E"/>
    <w:rsid w:val="00C87BE1"/>
    <w:rsid w:val="00CA06CC"/>
    <w:rsid w:val="00CA0BEE"/>
    <w:rsid w:val="00CA0D55"/>
    <w:rsid w:val="00CD10BC"/>
    <w:rsid w:val="00CD3EE5"/>
    <w:rsid w:val="00CE1567"/>
    <w:rsid w:val="00CE3602"/>
    <w:rsid w:val="00CF2CA0"/>
    <w:rsid w:val="00D717DB"/>
    <w:rsid w:val="00D74136"/>
    <w:rsid w:val="00D81406"/>
    <w:rsid w:val="00D87EE2"/>
    <w:rsid w:val="00D97588"/>
    <w:rsid w:val="00DB3914"/>
    <w:rsid w:val="00DD3286"/>
    <w:rsid w:val="00DE2C79"/>
    <w:rsid w:val="00DE4072"/>
    <w:rsid w:val="00DF5E6E"/>
    <w:rsid w:val="00E01140"/>
    <w:rsid w:val="00E21387"/>
    <w:rsid w:val="00E25D90"/>
    <w:rsid w:val="00E32028"/>
    <w:rsid w:val="00E97B9C"/>
    <w:rsid w:val="00EB0B1E"/>
    <w:rsid w:val="00F035D5"/>
    <w:rsid w:val="00F04583"/>
    <w:rsid w:val="00F04E02"/>
    <w:rsid w:val="00F12B1A"/>
    <w:rsid w:val="00F154BB"/>
    <w:rsid w:val="00F25FE3"/>
    <w:rsid w:val="00F27C8F"/>
    <w:rsid w:val="00F41FCC"/>
    <w:rsid w:val="00F506C9"/>
    <w:rsid w:val="00F5145B"/>
    <w:rsid w:val="00F53B9D"/>
    <w:rsid w:val="00F60A29"/>
    <w:rsid w:val="00F619D9"/>
    <w:rsid w:val="00F77214"/>
    <w:rsid w:val="00FA537C"/>
    <w:rsid w:val="00FB0E84"/>
    <w:rsid w:val="00FB345F"/>
    <w:rsid w:val="00FB4E2A"/>
    <w:rsid w:val="00FC5B66"/>
    <w:rsid w:val="00FC690F"/>
    <w:rsid w:val="00FD42F3"/>
    <w:rsid w:val="00FE0547"/>
    <w:rsid w:val="00FE1E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20CF03"/>
  <w15:chartTrackingRefBased/>
  <w15:docId w15:val="{3A2AB263-B26C-40F8-8369-1CCD19EA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styleId="ListParagraph">
    <w:name w:val="List Paragraph"/>
    <w:basedOn w:val="Normal"/>
    <w:uiPriority w:val="34"/>
    <w:qFormat/>
    <w:rsid w:val="00A65F9E"/>
    <w:pPr>
      <w:ind w:left="720"/>
    </w:pPr>
  </w:style>
  <w:style w:type="paragraph" w:styleId="BodyTextIndent3">
    <w:name w:val="Body Text Indent 3"/>
    <w:basedOn w:val="Normal"/>
    <w:link w:val="BodyTextIndent3Char"/>
    <w:uiPriority w:val="99"/>
    <w:semiHidden/>
    <w:unhideWhenUsed/>
    <w:rsid w:val="00015B2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15B2F"/>
    <w:rPr>
      <w:sz w:val="16"/>
      <w:szCs w:val="16"/>
    </w:rPr>
  </w:style>
  <w:style w:type="character" w:styleId="Hyperlink">
    <w:name w:val="Hyperlink"/>
    <w:basedOn w:val="DefaultParagraphFont"/>
    <w:uiPriority w:val="99"/>
    <w:unhideWhenUsed/>
    <w:rsid w:val="00015B2F"/>
    <w:rPr>
      <w:color w:val="467886" w:themeColor="hyperlink"/>
      <w:u w:val="single"/>
    </w:rPr>
  </w:style>
  <w:style w:type="character" w:styleId="UnresolvedMention">
    <w:name w:val="Unresolved Mention"/>
    <w:basedOn w:val="DefaultParagraphFont"/>
    <w:uiPriority w:val="99"/>
    <w:semiHidden/>
    <w:unhideWhenUsed/>
    <w:rsid w:val="00015B2F"/>
    <w:rPr>
      <w:color w:val="605E5C"/>
      <w:shd w:val="clear" w:color="auto" w:fill="E1DFDD"/>
    </w:rPr>
  </w:style>
  <w:style w:type="character" w:styleId="CommentReference">
    <w:name w:val="annotation reference"/>
    <w:basedOn w:val="DefaultParagraphFont"/>
    <w:uiPriority w:val="99"/>
    <w:semiHidden/>
    <w:unhideWhenUsed/>
    <w:rsid w:val="00A7471C"/>
    <w:rPr>
      <w:sz w:val="16"/>
      <w:szCs w:val="16"/>
    </w:rPr>
  </w:style>
  <w:style w:type="paragraph" w:styleId="CommentText">
    <w:name w:val="annotation text"/>
    <w:basedOn w:val="Normal"/>
    <w:link w:val="CommentTextChar"/>
    <w:uiPriority w:val="99"/>
    <w:unhideWhenUsed/>
    <w:rsid w:val="00A7471C"/>
    <w:pPr>
      <w:overflowPunct/>
      <w:autoSpaceDE/>
      <w:autoSpaceDN/>
      <w:adjustRightInd/>
      <w:spacing w:after="200"/>
      <w:textAlignment w:val="auto"/>
    </w:pPr>
    <w:rPr>
      <w:rFonts w:ascii="Calibri" w:hAnsi="Calibri"/>
    </w:rPr>
  </w:style>
  <w:style w:type="character" w:customStyle="1" w:styleId="CommentTextChar">
    <w:name w:val="Comment Text Char"/>
    <w:basedOn w:val="DefaultParagraphFont"/>
    <w:link w:val="CommentText"/>
    <w:uiPriority w:val="99"/>
    <w:rsid w:val="00A7471C"/>
    <w:rPr>
      <w:rFonts w:ascii="Calibri" w:hAnsi="Calibri"/>
    </w:rPr>
  </w:style>
  <w:style w:type="character" w:styleId="FollowedHyperlink">
    <w:name w:val="FollowedHyperlink"/>
    <w:basedOn w:val="DefaultParagraphFont"/>
    <w:uiPriority w:val="99"/>
    <w:semiHidden/>
    <w:unhideWhenUsed/>
    <w:rsid w:val="009A40C0"/>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CA0D55"/>
    <w:pPr>
      <w:overflowPunct w:val="0"/>
      <w:autoSpaceDE w:val="0"/>
      <w:autoSpaceDN w:val="0"/>
      <w:adjustRightInd w:val="0"/>
      <w:spacing w:after="0"/>
      <w:textAlignment w:val="baseline"/>
    </w:pPr>
    <w:rPr>
      <w:rFonts w:ascii="Times New Roman" w:hAnsi="Times New Roman"/>
      <w:b/>
      <w:bCs/>
    </w:rPr>
  </w:style>
  <w:style w:type="character" w:customStyle="1" w:styleId="CommentSubjectChar">
    <w:name w:val="Comment Subject Char"/>
    <w:basedOn w:val="CommentTextChar"/>
    <w:link w:val="CommentSubject"/>
    <w:uiPriority w:val="99"/>
    <w:semiHidden/>
    <w:rsid w:val="00CA0D55"/>
    <w:rPr>
      <w:rFonts w:ascii="Calibri" w:hAnsi="Calibri"/>
      <w:b/>
      <w:bCs/>
    </w:rPr>
  </w:style>
  <w:style w:type="paragraph" w:styleId="NoSpacing">
    <w:name w:val="No Spacing"/>
    <w:uiPriority w:val="1"/>
    <w:qFormat/>
    <w:rsid w:val="00C714DF"/>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inglefamily.fanniemae.com/learning-center/applications/appraisers-property-underwriting" TargetMode="External" /><Relationship Id="rId11" Type="http://schemas.openxmlformats.org/officeDocument/2006/relationships/hyperlink" Target="http://www.bls.gov" TargetMode="External" /><Relationship Id="rId12" Type="http://schemas.openxmlformats.org/officeDocument/2006/relationships/hyperlink" Target="https://www.opm.gov/policy-data-oversight/pay-leave/salaries-wages/2025/general-schedule/" TargetMode="External" /><Relationship Id="rId13" Type="http://schemas.openxmlformats.org/officeDocument/2006/relationships/hyperlink" Target="https://www.regulations.gov/document/HUD-2013-0011-0009" TargetMode="External" /><Relationship Id="rId14" Type="http://schemas.openxmlformats.org/officeDocument/2006/relationships/image" Target="media/image1.emf" /><Relationship Id="rId15" Type="http://schemas.openxmlformats.org/officeDocument/2006/relationships/oleObject" Target="embeddings/oleObject1.bin" /><Relationship Id="rId16" Type="http://schemas.openxmlformats.org/officeDocument/2006/relationships/image" Target="media/image2.emf" /><Relationship Id="rId17" Type="http://schemas.openxmlformats.org/officeDocument/2006/relationships/oleObject" Target="embeddings/oleObject2.bin" /><Relationship Id="rId18" Type="http://schemas.openxmlformats.org/officeDocument/2006/relationships/hyperlink" Target="https://entp.hud.gov/idapp/protect/apprlook.cfm" TargetMode="External" /><Relationship Id="rId19" Type="http://schemas.openxmlformats.org/officeDocument/2006/relationships/hyperlink" Target="https://entp.hud.gov/idapp/html/apprlook.cfm"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law.cornell.edu/uscode/text/42/3543" TargetMode="External" /><Relationship Id="rId9" Type="http://schemas.openxmlformats.org/officeDocument/2006/relationships/hyperlink" Target="https://www.hud.gov/program_offices/administration/hudclips/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d90dfa2cff6cfb46cb55e09fff85b58f">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ff2878398517a6040330cde16783e480"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F01091-BF72-4B3E-88B9-34BB13B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34654-5ED5-4176-9CFA-6BC5B2A11231}">
  <ds:schemaRefs>
    <ds:schemaRef ds:uri="http://schemas.openxmlformats.org/officeDocument/2006/bibliography"/>
  </ds:schemaRefs>
</ds:datastoreItem>
</file>

<file path=customXml/itemProps3.xml><?xml version="1.0" encoding="utf-8"?>
<ds:datastoreItem xmlns:ds="http://schemas.openxmlformats.org/officeDocument/2006/customXml" ds:itemID="{753B7782-02BD-4EFC-ABDD-E5EB6B32463E}">
  <ds:schemaRefs>
    <ds:schemaRef ds:uri="http://schemas.microsoft.com/sharepoint/v3/contenttype/forms"/>
  </ds:schemaRefs>
</ds:datastoreItem>
</file>

<file path=customXml/itemProps4.xml><?xml version="1.0" encoding="utf-8"?>
<ds:datastoreItem xmlns:ds="http://schemas.openxmlformats.org/officeDocument/2006/customXml" ds:itemID="{D7EC86D7-B7B0-45C9-94ED-DEB24A9249F7}">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3738</Words>
  <Characters>22033</Characters>
  <Application>Microsoft Office Word</Application>
  <DocSecurity>2</DocSecurity>
  <Lines>183</Lines>
  <Paragraphs>51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Guido, Anna P</cp:lastModifiedBy>
  <cp:revision>2</cp:revision>
  <cp:lastPrinted>2016-10-19T20:19:00Z</cp:lastPrinted>
  <dcterms:created xsi:type="dcterms:W3CDTF">2025-07-29T15:50:00Z</dcterms:created>
  <dcterms:modified xsi:type="dcterms:W3CDTF">2025-07-29T15:50:00Z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NewReviewCycle">
    <vt:lpwstr/>
  </property>
</Properties>
</file>