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167E53" w:rsidRPr="00167E53" w14:paraId="094736B8" w14:textId="5DEAA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bookmarkStart w:id="0" w:name="_Hlk199337248"/>
      <w:r>
        <w:rPr>
          <w:b/>
          <w:sz w:val="24"/>
          <w:szCs w:val="24"/>
        </w:rPr>
        <w:t>Single Family Mortgage Insurance on Hawaiian Home Lands</w:t>
      </w:r>
      <w:bookmarkEnd w:id="0"/>
    </w:p>
    <w:p w:rsidR="00167E53" w:rsidRPr="00167E53" w14:paraId="0C0ADA6F" w14:textId="2A21F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AA3F24">
        <w:rPr>
          <w:b/>
          <w:sz w:val="24"/>
          <w:szCs w:val="24"/>
        </w:rPr>
        <w:t>2502-0358</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14:paraId="4F66A6EF" w14:textId="77777777">
      <w:pPr>
        <w:keepLines/>
        <w:tabs>
          <w:tab w:val="left" w:pos="360"/>
        </w:tabs>
        <w:spacing w:after="80"/>
        <w:ind w:left="360" w:hanging="360"/>
        <w:rPr>
          <w:b/>
          <w:bCs/>
          <w:sz w:val="24"/>
          <w:szCs w:val="24"/>
        </w:rPr>
      </w:pPr>
      <w:r w:rsidRPr="00B57771">
        <w:rPr>
          <w:b/>
          <w:bCs/>
          <w:sz w:val="24"/>
          <w:szCs w:val="24"/>
        </w:rPr>
        <w:t>1.</w:t>
      </w:r>
      <w:r w:rsidRPr="00B57771">
        <w:rPr>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57771" w:rsidRPr="00B57771" w14:paraId="6656759B" w14:textId="77777777">
      <w:pPr>
        <w:keepLines/>
        <w:tabs>
          <w:tab w:val="left" w:pos="360"/>
        </w:tabs>
        <w:spacing w:after="80"/>
        <w:ind w:left="360" w:hanging="360"/>
        <w:rPr>
          <w:b/>
          <w:bCs/>
          <w:sz w:val="24"/>
          <w:szCs w:val="24"/>
        </w:rPr>
      </w:pPr>
    </w:p>
    <w:p w:rsidR="00B57771" w:rsidP="00B57771" w14:paraId="7F2AFB47" w14:textId="7028549F">
      <w:pPr>
        <w:ind w:left="360"/>
        <w:rPr>
          <w:color w:val="000000"/>
          <w:sz w:val="24"/>
          <w:szCs w:val="24"/>
        </w:rPr>
      </w:pPr>
      <w:r w:rsidRPr="00BF4954">
        <w:rPr>
          <w:color w:val="000000"/>
          <w:sz w:val="24"/>
          <w:szCs w:val="24"/>
        </w:rPr>
        <w:t>The Federal Housing Administration offer</w:t>
      </w:r>
      <w:r>
        <w:rPr>
          <w:color w:val="000000"/>
          <w:sz w:val="24"/>
          <w:szCs w:val="24"/>
        </w:rPr>
        <w:t>s</w:t>
      </w:r>
      <w:r w:rsidRPr="00BF4954">
        <w:rPr>
          <w:color w:val="000000"/>
          <w:sz w:val="24"/>
          <w:szCs w:val="24"/>
        </w:rPr>
        <w:t xml:space="preserve"> mortgage insurance for eligible mortgag</w:t>
      </w:r>
      <w:r>
        <w:rPr>
          <w:color w:val="000000"/>
          <w:sz w:val="24"/>
          <w:szCs w:val="24"/>
        </w:rPr>
        <w:t>ors</w:t>
      </w:r>
      <w:r w:rsidRPr="00BF4954">
        <w:rPr>
          <w:color w:val="000000"/>
          <w:sz w:val="24"/>
          <w:szCs w:val="24"/>
        </w:rPr>
        <w:t xml:space="preserve"> for the </w:t>
      </w:r>
      <w:r>
        <w:rPr>
          <w:color w:val="000000"/>
          <w:sz w:val="24"/>
          <w:szCs w:val="24"/>
        </w:rPr>
        <w:t xml:space="preserve">   </w:t>
      </w:r>
      <w:r w:rsidRPr="00BF4954">
        <w:rPr>
          <w:color w:val="000000"/>
          <w:sz w:val="24"/>
          <w:szCs w:val="24"/>
        </w:rPr>
        <w:t>purchase of single-family dwellings pursuant to Title II of the National Housing Act (NHA) (12 U</w:t>
      </w:r>
      <w:r>
        <w:rPr>
          <w:color w:val="000000"/>
          <w:sz w:val="24"/>
          <w:szCs w:val="24"/>
        </w:rPr>
        <w:t>.</w:t>
      </w:r>
      <w:r w:rsidRPr="00BF4954">
        <w:rPr>
          <w:color w:val="000000"/>
          <w:sz w:val="24"/>
          <w:szCs w:val="24"/>
        </w:rPr>
        <w:t>S</w:t>
      </w:r>
      <w:r>
        <w:rPr>
          <w:color w:val="000000"/>
          <w:sz w:val="24"/>
          <w:szCs w:val="24"/>
        </w:rPr>
        <w:t>.</w:t>
      </w:r>
      <w:r w:rsidRPr="00BF4954">
        <w:rPr>
          <w:color w:val="000000"/>
          <w:sz w:val="24"/>
          <w:szCs w:val="24"/>
        </w:rPr>
        <w:t>C</w:t>
      </w:r>
      <w:r>
        <w:rPr>
          <w:color w:val="000000"/>
          <w:sz w:val="24"/>
          <w:szCs w:val="24"/>
        </w:rPr>
        <w:t>.</w:t>
      </w:r>
      <w:r w:rsidRPr="00BF4954">
        <w:rPr>
          <w:color w:val="000000"/>
          <w:sz w:val="24"/>
          <w:szCs w:val="24"/>
        </w:rPr>
        <w:t xml:space="preserve"> 1701, </w:t>
      </w:r>
      <w:r w:rsidRPr="00BF4954">
        <w:rPr>
          <w:i/>
          <w:iCs/>
          <w:color w:val="000000"/>
          <w:sz w:val="24"/>
          <w:szCs w:val="24"/>
        </w:rPr>
        <w:t>et seq</w:t>
      </w:r>
      <w:r w:rsidRPr="00BF4954">
        <w:rPr>
          <w:color w:val="000000"/>
          <w:sz w:val="24"/>
          <w:szCs w:val="24"/>
        </w:rPr>
        <w:t>.). The Housing and Urban</w:t>
      </w:r>
      <w:r>
        <w:rPr>
          <w:color w:val="000000"/>
          <w:sz w:val="24"/>
          <w:szCs w:val="24"/>
        </w:rPr>
        <w:t>-</w:t>
      </w:r>
      <w:r w:rsidRPr="00BF4954">
        <w:rPr>
          <w:color w:val="000000"/>
          <w:sz w:val="24"/>
          <w:szCs w:val="24"/>
        </w:rPr>
        <w:t>Rural Recovery Act</w:t>
      </w:r>
      <w:r>
        <w:rPr>
          <w:color w:val="000000"/>
          <w:sz w:val="24"/>
          <w:szCs w:val="24"/>
        </w:rPr>
        <w:t xml:space="preserve"> of 1983 </w:t>
      </w:r>
      <w:r w:rsidRPr="00BF4954">
        <w:rPr>
          <w:color w:val="000000"/>
          <w:sz w:val="24"/>
          <w:szCs w:val="24"/>
        </w:rPr>
        <w:t>(P.L. 98-181) amended the NHA to add Section 247 (12 U</w:t>
      </w:r>
      <w:r>
        <w:rPr>
          <w:color w:val="000000"/>
          <w:sz w:val="24"/>
          <w:szCs w:val="24"/>
        </w:rPr>
        <w:t>.</w:t>
      </w:r>
      <w:r w:rsidRPr="00BF4954">
        <w:rPr>
          <w:color w:val="000000"/>
          <w:sz w:val="24"/>
          <w:szCs w:val="24"/>
        </w:rPr>
        <w:t>S</w:t>
      </w:r>
      <w:r>
        <w:rPr>
          <w:color w:val="000000"/>
          <w:sz w:val="24"/>
          <w:szCs w:val="24"/>
        </w:rPr>
        <w:t>.</w:t>
      </w:r>
      <w:r w:rsidRPr="00BF4954">
        <w:rPr>
          <w:color w:val="000000"/>
          <w:sz w:val="24"/>
          <w:szCs w:val="24"/>
        </w:rPr>
        <w:t>C</w:t>
      </w:r>
      <w:r>
        <w:rPr>
          <w:color w:val="000000"/>
          <w:sz w:val="24"/>
          <w:szCs w:val="24"/>
        </w:rPr>
        <w:t>.</w:t>
      </w:r>
      <w:r w:rsidRPr="00BF4954">
        <w:rPr>
          <w:color w:val="000000"/>
          <w:sz w:val="24"/>
          <w:szCs w:val="24"/>
        </w:rPr>
        <w:t xml:space="preserve"> 1715z-12) to permit FHA to insure mortgages for properties located on Hawaiian Home Lands (HHL).  </w:t>
      </w:r>
    </w:p>
    <w:p w:rsidR="00085D9B" w:rsidP="00B57771" w14:paraId="11BDC353" w14:textId="77777777">
      <w:pPr>
        <w:ind w:left="360"/>
        <w:rPr>
          <w:color w:val="000000"/>
          <w:sz w:val="24"/>
          <w:szCs w:val="24"/>
        </w:rPr>
      </w:pPr>
    </w:p>
    <w:p w:rsidR="00085D9B" w:rsidP="00085D9B" w14:paraId="3DA382AA" w14:textId="6A43DBF0">
      <w:pPr>
        <w:ind w:left="360"/>
        <w:rPr>
          <w:color w:val="000000"/>
          <w:sz w:val="24"/>
          <w:szCs w:val="24"/>
        </w:rPr>
      </w:pPr>
      <w:r w:rsidRPr="00304243">
        <w:rPr>
          <w:color w:val="000000"/>
          <w:sz w:val="24"/>
          <w:szCs w:val="24"/>
        </w:rPr>
        <w:t>Section 247 requires that the Department of Hawaiian Home</w:t>
      </w:r>
      <w:r>
        <w:rPr>
          <w:color w:val="000000"/>
          <w:sz w:val="24"/>
          <w:szCs w:val="24"/>
        </w:rPr>
        <w:t xml:space="preserve"> L</w:t>
      </w:r>
      <w:r w:rsidRPr="00304243">
        <w:rPr>
          <w:color w:val="000000"/>
          <w:sz w:val="24"/>
          <w:szCs w:val="24"/>
        </w:rPr>
        <w:t xml:space="preserve">ands (DHHL) of the State of Hawaii (a) will be a co-mortgagor; (b) guarantees or reimburses the Secretary for any mortgage insurance claim paid in connection with a property on Hawaiian </w:t>
      </w:r>
      <w:r>
        <w:rPr>
          <w:color w:val="000000"/>
          <w:sz w:val="24"/>
          <w:szCs w:val="24"/>
        </w:rPr>
        <w:t>HHL</w:t>
      </w:r>
      <w:r w:rsidRPr="00304243">
        <w:rPr>
          <w:color w:val="000000"/>
          <w:sz w:val="24"/>
          <w:szCs w:val="24"/>
        </w:rPr>
        <w:t xml:space="preserve">; or (c) offers other security acceptable to the Secretary. There are no changes to this program for this submission.  </w:t>
      </w:r>
    </w:p>
    <w:p w:rsidR="00085D9B" w:rsidP="00085D9B" w14:paraId="2AF6197D" w14:textId="77777777">
      <w:pPr>
        <w:ind w:left="360"/>
        <w:rPr>
          <w:color w:val="000000"/>
          <w:sz w:val="24"/>
          <w:szCs w:val="24"/>
        </w:rPr>
      </w:pPr>
    </w:p>
    <w:p w:rsidR="00085D9B" w:rsidP="00085D9B" w14:paraId="355F8D53" w14:textId="57D338EA">
      <w:pPr>
        <w:ind w:left="360"/>
        <w:rPr>
          <w:color w:val="000000"/>
          <w:sz w:val="24"/>
          <w:szCs w:val="24"/>
        </w:rPr>
      </w:pPr>
      <w:r w:rsidRPr="00A207F4">
        <w:rPr>
          <w:color w:val="333333"/>
          <w:sz w:val="24"/>
          <w:szCs w:val="24"/>
          <w:shd w:val="clear" w:color="auto" w:fill="FFFFFF"/>
        </w:rPr>
        <w:t xml:space="preserve">Under the </w:t>
      </w:r>
      <w:r>
        <w:rPr>
          <w:color w:val="333333"/>
          <w:sz w:val="24"/>
          <w:szCs w:val="24"/>
          <w:shd w:val="clear" w:color="auto" w:fill="FFFFFF"/>
        </w:rPr>
        <w:t xml:space="preserve">laws of the </w:t>
      </w:r>
      <w:r w:rsidRPr="00A207F4">
        <w:rPr>
          <w:color w:val="333333"/>
          <w:sz w:val="24"/>
          <w:szCs w:val="24"/>
          <w:shd w:val="clear" w:color="auto" w:fill="FFFFFF"/>
        </w:rPr>
        <w:t xml:space="preserve">State of Hawaii, the DHHL is responsible for management of </w:t>
      </w:r>
      <w:r>
        <w:rPr>
          <w:color w:val="333333"/>
          <w:sz w:val="24"/>
          <w:szCs w:val="24"/>
          <w:shd w:val="clear" w:color="auto" w:fill="FFFFFF"/>
        </w:rPr>
        <w:t>HHL</w:t>
      </w:r>
      <w:r w:rsidRPr="00A207F4">
        <w:rPr>
          <w:color w:val="333333"/>
          <w:sz w:val="24"/>
          <w:szCs w:val="24"/>
          <w:shd w:val="clear" w:color="auto" w:fill="FFFFFF"/>
        </w:rPr>
        <w:t xml:space="preserve"> for the benefit of native Hawaiians. The DHHL determines whether </w:t>
      </w:r>
      <w:r w:rsidRPr="00A207F4">
        <w:rPr>
          <w:color w:val="000000"/>
          <w:sz w:val="24"/>
          <w:szCs w:val="24"/>
        </w:rPr>
        <w:t xml:space="preserve">a prospective mortgagor meets eligibility requirements as a native Hawaiian.  </w:t>
      </w:r>
    </w:p>
    <w:p w:rsidR="00085D9B" w:rsidRPr="00BF4954" w:rsidP="00B57771" w14:paraId="3217880B" w14:textId="77777777">
      <w:pPr>
        <w:ind w:left="360"/>
        <w:rPr>
          <w:color w:val="000000"/>
          <w:sz w:val="24"/>
          <w:szCs w:val="24"/>
        </w:rPr>
      </w:pPr>
    </w:p>
    <w:p w:rsidR="00D81406" w:rsidRPr="00B57771" w14:paraId="232EE019" w14:textId="77777777">
      <w:pPr>
        <w:tabs>
          <w:tab w:val="left" w:pos="360"/>
        </w:tabs>
        <w:ind w:left="360" w:hanging="360"/>
        <w:rPr>
          <w:b/>
          <w:bCs/>
          <w:sz w:val="24"/>
          <w:szCs w:val="24"/>
        </w:rPr>
      </w:pPr>
    </w:p>
    <w:p w:rsidR="009E13B1" w:rsidRPr="00B57771" w14:paraId="324CDFDE" w14:textId="77777777">
      <w:pPr>
        <w:keepLines/>
        <w:tabs>
          <w:tab w:val="left" w:pos="360"/>
        </w:tabs>
        <w:spacing w:after="80"/>
        <w:ind w:left="360" w:hanging="360"/>
        <w:rPr>
          <w:b/>
          <w:bCs/>
          <w:sz w:val="24"/>
          <w:szCs w:val="24"/>
        </w:rPr>
      </w:pPr>
      <w:r w:rsidRPr="00B57771">
        <w:rPr>
          <w:b/>
          <w:bCs/>
          <w:sz w:val="24"/>
          <w:szCs w:val="24"/>
        </w:rPr>
        <w:t>2.</w:t>
      </w:r>
      <w:r w:rsidRPr="00B57771">
        <w:rPr>
          <w:b/>
          <w:bCs/>
          <w:sz w:val="24"/>
          <w:szCs w:val="24"/>
        </w:rPr>
        <w:tab/>
        <w:t>Indicate how, by whom and for what purpose the information is to be used.  Except for a new collection, indicate the actual use the agency has made of the information received from the current collection.</w:t>
      </w:r>
    </w:p>
    <w:p w:rsidR="009E13B1" w:rsidRPr="00B57771" w14:paraId="4A350C48" w14:textId="77777777">
      <w:pPr>
        <w:keepLines/>
        <w:tabs>
          <w:tab w:val="left" w:pos="360"/>
          <w:tab w:val="left" w:pos="720"/>
        </w:tabs>
        <w:ind w:left="360"/>
        <w:rPr>
          <w:b/>
          <w:bCs/>
          <w:sz w:val="24"/>
          <w:szCs w:val="24"/>
        </w:rPr>
      </w:pPr>
    </w:p>
    <w:p w:rsidR="00085D9B" w:rsidP="00085D9B" w14:paraId="06D64DA3" w14:textId="72CF4EDC">
      <w:pPr>
        <w:ind w:left="360"/>
        <w:rPr>
          <w:color w:val="000000"/>
          <w:sz w:val="24"/>
          <w:szCs w:val="24"/>
        </w:rPr>
      </w:pPr>
      <w:r w:rsidRPr="00422B19">
        <w:rPr>
          <w:color w:val="000000"/>
          <w:sz w:val="24"/>
          <w:szCs w:val="24"/>
        </w:rPr>
        <w:t xml:space="preserve">This is a reinstatement with a change of a currently approved collection. </w:t>
      </w:r>
      <w:r w:rsidRPr="003530EC">
        <w:rPr>
          <w:color w:val="000000"/>
          <w:sz w:val="24"/>
          <w:szCs w:val="24"/>
        </w:rPr>
        <w:t xml:space="preserve">Respondents are FHA-approved lenders seeking mortgage insurance on a mortgage loan secured by </w:t>
      </w:r>
      <w:r>
        <w:rPr>
          <w:color w:val="000000"/>
          <w:sz w:val="24"/>
          <w:szCs w:val="24"/>
        </w:rPr>
        <w:t xml:space="preserve">property located on HHL. </w:t>
      </w:r>
      <w:r w:rsidRPr="003530EC">
        <w:rPr>
          <w:color w:val="000000"/>
          <w:sz w:val="24"/>
          <w:szCs w:val="24"/>
        </w:rPr>
        <w:t>To be eligible for the program, a borrower must be a native Hawaiian as defined at NHA section 247(d)(1)</w:t>
      </w:r>
      <w:r>
        <w:rPr>
          <w:color w:val="000000"/>
          <w:sz w:val="24"/>
          <w:szCs w:val="24"/>
        </w:rPr>
        <w:t>(12 U.S.C. 1715z-12(d)(1) and 24 CFR 203.43i1</w:t>
      </w:r>
      <w:r w:rsidRPr="003530EC">
        <w:rPr>
          <w:color w:val="000000"/>
          <w:sz w:val="24"/>
          <w:szCs w:val="24"/>
        </w:rPr>
        <w:t xml:space="preserve">., </w:t>
      </w:r>
      <w:r>
        <w:rPr>
          <w:color w:val="000000"/>
          <w:sz w:val="24"/>
          <w:szCs w:val="24"/>
        </w:rPr>
        <w:t>T</w:t>
      </w:r>
      <w:r w:rsidRPr="003530EC">
        <w:rPr>
          <w:color w:val="000000"/>
          <w:sz w:val="24"/>
          <w:szCs w:val="24"/>
        </w:rPr>
        <w:t xml:space="preserve">he collection of information is verification that a loan applicant is a native Hawaiian and that the applicant holds a lease on land in a </w:t>
      </w:r>
      <w:r>
        <w:rPr>
          <w:color w:val="000000"/>
          <w:sz w:val="24"/>
          <w:szCs w:val="24"/>
        </w:rPr>
        <w:t>HHL</w:t>
      </w:r>
      <w:r w:rsidRPr="003530EC">
        <w:rPr>
          <w:color w:val="000000"/>
          <w:sz w:val="24"/>
          <w:szCs w:val="24"/>
        </w:rPr>
        <w:t xml:space="preserve"> area. The FHA-approved lender must obtain verification of the borrower’s eligibility, as confirmed by the DHHL.  </w:t>
      </w:r>
    </w:p>
    <w:p w:rsidR="00085D9B" w:rsidP="00085D9B" w14:paraId="235341F0" w14:textId="77777777">
      <w:pPr>
        <w:ind w:left="360"/>
        <w:rPr>
          <w:color w:val="000000"/>
          <w:sz w:val="24"/>
          <w:szCs w:val="24"/>
        </w:rPr>
      </w:pPr>
    </w:p>
    <w:p w:rsidR="00085D9B" w:rsidP="00085D9B" w14:paraId="6CBAB942" w14:textId="13B2A1FB">
      <w:pPr>
        <w:ind w:left="360"/>
        <w:rPr>
          <w:color w:val="000000"/>
          <w:sz w:val="24"/>
          <w:szCs w:val="24"/>
        </w:rPr>
      </w:pPr>
      <w:r w:rsidRPr="003530EC">
        <w:rPr>
          <w:color w:val="000000"/>
          <w:sz w:val="24"/>
          <w:szCs w:val="24"/>
        </w:rPr>
        <w:t xml:space="preserve">The lender is responsible for reviewing the documents submitted to ascertain that a mortgagor meets all the regulatory requirements. A prospective borrower is ineligible for Section 247 financing without proof of status as a native Hawaiian from the State’s DHHL. </w:t>
      </w:r>
      <w:r>
        <w:rPr>
          <w:color w:val="000000"/>
          <w:sz w:val="24"/>
          <w:szCs w:val="24"/>
        </w:rPr>
        <w:t xml:space="preserve">Only native Hawaiians are eligible for this </w:t>
      </w:r>
      <w:r w:rsidRPr="003530EC">
        <w:rPr>
          <w:color w:val="000000"/>
          <w:sz w:val="24"/>
          <w:szCs w:val="24"/>
        </w:rPr>
        <w:t>leasehold program</w:t>
      </w:r>
      <w:r>
        <w:rPr>
          <w:color w:val="000000"/>
          <w:sz w:val="24"/>
          <w:szCs w:val="24"/>
        </w:rPr>
        <w:t>.</w:t>
      </w:r>
    </w:p>
    <w:p w:rsidR="00085D9B" w:rsidP="00085D9B" w14:paraId="6214CB59" w14:textId="77777777">
      <w:pPr>
        <w:ind w:left="360"/>
        <w:rPr>
          <w:color w:val="000000"/>
          <w:sz w:val="24"/>
          <w:szCs w:val="24"/>
        </w:rPr>
      </w:pPr>
    </w:p>
    <w:p w:rsidR="00085D9B" w:rsidP="00085D9B" w14:paraId="2A789F2C" w14:textId="792B15BF">
      <w:pPr>
        <w:ind w:left="360"/>
        <w:rPr>
          <w:color w:val="000000"/>
          <w:sz w:val="24"/>
          <w:szCs w:val="24"/>
        </w:rPr>
      </w:pPr>
      <w:r w:rsidRPr="003530EC">
        <w:rPr>
          <w:color w:val="000000"/>
          <w:sz w:val="24"/>
          <w:szCs w:val="24"/>
        </w:rPr>
        <w:t xml:space="preserve">In accordance with 24 CFR 203.439(c), lenders must report monthly to </w:t>
      </w:r>
      <w:r w:rsidRPr="009E62B8">
        <w:rPr>
          <w:color w:val="000000"/>
          <w:sz w:val="24"/>
          <w:szCs w:val="24"/>
        </w:rPr>
        <w:t>HUD</w:t>
      </w:r>
      <w:r>
        <w:rPr>
          <w:color w:val="000000"/>
          <w:sz w:val="24"/>
          <w:szCs w:val="24"/>
        </w:rPr>
        <w:t xml:space="preserve"> </w:t>
      </w:r>
      <w:r w:rsidRPr="003530EC">
        <w:rPr>
          <w:color w:val="000000"/>
          <w:sz w:val="24"/>
          <w:szCs w:val="24"/>
        </w:rPr>
        <w:t>and</w:t>
      </w:r>
      <w:r>
        <w:rPr>
          <w:color w:val="000000"/>
          <w:sz w:val="24"/>
          <w:szCs w:val="24"/>
        </w:rPr>
        <w:t xml:space="preserve"> </w:t>
      </w:r>
      <w:r w:rsidRPr="003530EC">
        <w:rPr>
          <w:color w:val="000000"/>
          <w:sz w:val="24"/>
          <w:szCs w:val="24"/>
        </w:rPr>
        <w:t xml:space="preserve">the DHHL about the number of section 247 loans that are delinquent. Lenders Monthly Delinquent Loan </w:t>
      </w:r>
      <w:r>
        <w:rPr>
          <w:color w:val="000000"/>
          <w:sz w:val="24"/>
          <w:szCs w:val="24"/>
        </w:rPr>
        <w:t>R</w:t>
      </w:r>
      <w:r w:rsidRPr="003530EC">
        <w:rPr>
          <w:color w:val="000000"/>
          <w:sz w:val="24"/>
          <w:szCs w:val="24"/>
        </w:rPr>
        <w:t xml:space="preserve">eports </w:t>
      </w:r>
      <w:r>
        <w:rPr>
          <w:color w:val="000000"/>
          <w:sz w:val="24"/>
          <w:szCs w:val="24"/>
        </w:rPr>
        <w:t>to</w:t>
      </w:r>
      <w:r w:rsidRPr="003530EC">
        <w:rPr>
          <w:color w:val="000000"/>
          <w:sz w:val="24"/>
          <w:szCs w:val="24"/>
        </w:rPr>
        <w:t xml:space="preserve"> HUD are collected under OMB Control number 2502-0</w:t>
      </w:r>
      <w:r>
        <w:rPr>
          <w:color w:val="000000"/>
          <w:sz w:val="24"/>
          <w:szCs w:val="24"/>
        </w:rPr>
        <w:t>584</w:t>
      </w:r>
      <w:r w:rsidRPr="003530EC">
        <w:rPr>
          <w:color w:val="000000"/>
          <w:sz w:val="24"/>
          <w:szCs w:val="24"/>
        </w:rPr>
        <w:t xml:space="preserve">.  </w:t>
      </w:r>
    </w:p>
    <w:p w:rsidR="00085D9B" w:rsidP="00085D9B" w14:paraId="59189669" w14:textId="77777777">
      <w:pPr>
        <w:ind w:left="360"/>
        <w:rPr>
          <w:color w:val="000000"/>
          <w:sz w:val="24"/>
          <w:szCs w:val="24"/>
        </w:rPr>
      </w:pPr>
    </w:p>
    <w:p w:rsidR="00085D9B" w:rsidRPr="00706162" w:rsidP="00085D9B" w14:paraId="0E0C40B8" w14:textId="77777777">
      <w:pPr>
        <w:ind w:left="360"/>
        <w:rPr>
          <w:color w:val="000000"/>
          <w:sz w:val="24"/>
          <w:szCs w:val="24"/>
        </w:rPr>
      </w:pPr>
      <w:r w:rsidRPr="00706162">
        <w:rPr>
          <w:color w:val="000000"/>
          <w:sz w:val="24"/>
          <w:szCs w:val="24"/>
        </w:rPr>
        <w:t xml:space="preserve">The DHHL works with these delinquent borrowers in </w:t>
      </w:r>
      <w:r>
        <w:rPr>
          <w:color w:val="000000"/>
          <w:sz w:val="24"/>
          <w:szCs w:val="24"/>
        </w:rPr>
        <w:t xml:space="preserve">mitigating </w:t>
      </w:r>
      <w:r w:rsidRPr="00706162">
        <w:rPr>
          <w:color w:val="000000"/>
          <w:sz w:val="24"/>
          <w:szCs w:val="24"/>
        </w:rPr>
        <w:t xml:space="preserve">foreclosure </w:t>
      </w:r>
      <w:r>
        <w:rPr>
          <w:color w:val="000000"/>
          <w:sz w:val="24"/>
          <w:szCs w:val="24"/>
        </w:rPr>
        <w:t xml:space="preserve">risk </w:t>
      </w:r>
      <w:r w:rsidRPr="00706162">
        <w:rPr>
          <w:color w:val="000000"/>
          <w:sz w:val="24"/>
          <w:szCs w:val="24"/>
        </w:rPr>
        <w:t xml:space="preserve">by intervening as soon as possible, and DHHL relies on the delinquency information to assist borrowers in resolving defaults to mitigate the risk of a claim to HUD.  </w:t>
      </w:r>
    </w:p>
    <w:p w:rsidR="00B57771" w:rsidRPr="00B57771" w14:paraId="4620EEDD" w14:textId="77777777">
      <w:pPr>
        <w:keepLines/>
        <w:tabs>
          <w:tab w:val="left" w:pos="360"/>
          <w:tab w:val="left" w:pos="720"/>
        </w:tabs>
        <w:ind w:left="360"/>
        <w:rPr>
          <w:b/>
          <w:bCs/>
          <w:sz w:val="24"/>
          <w:szCs w:val="24"/>
        </w:rPr>
      </w:pPr>
    </w:p>
    <w:p w:rsidR="009E13B1" w:rsidRPr="00B57771" w14:paraId="70250EAE" w14:textId="77777777">
      <w:pPr>
        <w:keepLines/>
        <w:tabs>
          <w:tab w:val="left" w:pos="360"/>
        </w:tabs>
        <w:spacing w:after="80"/>
        <w:ind w:left="360" w:hanging="360"/>
        <w:rPr>
          <w:b/>
          <w:bCs/>
          <w:sz w:val="24"/>
          <w:szCs w:val="24"/>
        </w:rPr>
      </w:pPr>
      <w:r w:rsidRPr="00B57771">
        <w:rPr>
          <w:b/>
          <w:bCs/>
          <w:sz w:val="24"/>
          <w:szCs w:val="24"/>
        </w:rPr>
        <w:t>3.</w:t>
      </w:r>
      <w:r w:rsidRPr="00B57771">
        <w:rPr>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E13B1" w14:paraId="58B111F6" w14:textId="77777777">
      <w:pPr>
        <w:tabs>
          <w:tab w:val="left" w:pos="360"/>
        </w:tabs>
        <w:ind w:left="360" w:hanging="360"/>
        <w:rPr>
          <w:b/>
          <w:bCs/>
          <w:sz w:val="24"/>
          <w:szCs w:val="24"/>
        </w:rPr>
      </w:pPr>
    </w:p>
    <w:p w:rsidR="00AB048C" w:rsidP="00FA6A76" w14:paraId="5FEDBFC4" w14:textId="77777777">
      <w:pPr>
        <w:ind w:left="360"/>
        <w:rPr>
          <w:sz w:val="22"/>
          <w:szCs w:val="22"/>
        </w:rPr>
      </w:pPr>
      <w:r>
        <w:rPr>
          <w:sz w:val="22"/>
          <w:szCs w:val="22"/>
        </w:rPr>
        <w:t>No HUD-specific forms are required from lenders originating loans under the HHL program. The DHHL, a state agency, requires an application packet to be completed by potential homeowners, which is then delivered to their offices after being notarized.</w:t>
      </w:r>
    </w:p>
    <w:p w:rsidR="00AB048C" w:rsidP="00AB048C" w14:paraId="3EE2BD29" w14:textId="77777777">
      <w:pPr>
        <w:rPr>
          <w:sz w:val="22"/>
          <w:szCs w:val="22"/>
        </w:rPr>
      </w:pPr>
    </w:p>
    <w:p w:rsidR="00AB048C" w:rsidP="00FA6A76" w14:paraId="1B7FAA82" w14:textId="77777777">
      <w:pPr>
        <w:ind w:left="360"/>
        <w:rPr>
          <w:bCs/>
          <w:sz w:val="22"/>
          <w:szCs w:val="22"/>
        </w:rPr>
      </w:pPr>
      <w:r w:rsidRPr="00BC559A">
        <w:rPr>
          <w:sz w:val="22"/>
          <w:szCs w:val="22"/>
        </w:rPr>
        <w:t xml:space="preserve">Origination documentation that lenders collect as part of </w:t>
      </w:r>
      <w:r>
        <w:rPr>
          <w:sz w:val="22"/>
          <w:szCs w:val="22"/>
        </w:rPr>
        <w:t>their required application for FHA-insured financing</w:t>
      </w:r>
      <w:r w:rsidRPr="00BC559A">
        <w:rPr>
          <w:sz w:val="22"/>
          <w:szCs w:val="22"/>
        </w:rPr>
        <w:t xml:space="preserve"> include copies of leases, and verification </w:t>
      </w:r>
      <w:r>
        <w:rPr>
          <w:sz w:val="22"/>
          <w:szCs w:val="22"/>
        </w:rPr>
        <w:t>documentation confirming the</w:t>
      </w:r>
      <w:r w:rsidRPr="00BC559A">
        <w:rPr>
          <w:sz w:val="22"/>
          <w:szCs w:val="22"/>
        </w:rPr>
        <w:t xml:space="preserve"> borrower</w:t>
      </w:r>
      <w:r>
        <w:rPr>
          <w:sz w:val="22"/>
          <w:szCs w:val="22"/>
        </w:rPr>
        <w:t xml:space="preserve">’s program </w:t>
      </w:r>
      <w:r w:rsidRPr="00BC559A">
        <w:rPr>
          <w:sz w:val="22"/>
          <w:szCs w:val="22"/>
        </w:rPr>
        <w:t xml:space="preserve">eligibility from the DHHL. </w:t>
      </w:r>
      <w:r>
        <w:rPr>
          <w:sz w:val="22"/>
          <w:szCs w:val="22"/>
        </w:rPr>
        <w:t xml:space="preserve">All origination documentation is required to be included in the </w:t>
      </w:r>
      <w:r w:rsidRPr="00BC559A">
        <w:rPr>
          <w:sz w:val="22"/>
          <w:szCs w:val="22"/>
        </w:rPr>
        <w:t>standard case binder information</w:t>
      </w:r>
      <w:r>
        <w:rPr>
          <w:sz w:val="22"/>
          <w:szCs w:val="22"/>
        </w:rPr>
        <w:t>.</w:t>
      </w:r>
      <w:r w:rsidRPr="00BC559A">
        <w:rPr>
          <w:sz w:val="22"/>
          <w:szCs w:val="22"/>
        </w:rPr>
        <w:t xml:space="preserve"> </w:t>
      </w:r>
      <w:r>
        <w:rPr>
          <w:sz w:val="22"/>
          <w:szCs w:val="22"/>
        </w:rPr>
        <w:t>The</w:t>
      </w:r>
      <w:r w:rsidRPr="00BC559A">
        <w:rPr>
          <w:sz w:val="22"/>
          <w:szCs w:val="22"/>
        </w:rPr>
        <w:t xml:space="preserve"> lender electronically submits</w:t>
      </w:r>
      <w:r>
        <w:rPr>
          <w:sz w:val="22"/>
          <w:szCs w:val="22"/>
        </w:rPr>
        <w:t xml:space="preserve"> case binders</w:t>
      </w:r>
      <w:r w:rsidRPr="00BC559A">
        <w:rPr>
          <w:sz w:val="22"/>
          <w:szCs w:val="22"/>
        </w:rPr>
        <w:t xml:space="preserve"> to HUD through</w:t>
      </w:r>
      <w:r>
        <w:rPr>
          <w:sz w:val="22"/>
          <w:szCs w:val="22"/>
        </w:rPr>
        <w:t xml:space="preserve"> either</w:t>
      </w:r>
      <w:r w:rsidRPr="00BC559A">
        <w:rPr>
          <w:bCs/>
          <w:sz w:val="22"/>
          <w:szCs w:val="22"/>
        </w:rPr>
        <w:t xml:space="preserve"> the FHA Connection</w:t>
      </w:r>
      <w:r>
        <w:rPr>
          <w:bCs/>
          <w:sz w:val="22"/>
          <w:szCs w:val="22"/>
        </w:rPr>
        <w:t xml:space="preserve"> (FHAC) system or the FHA Catalyst portal, depending on Lender Insurance or standard Direct Endorsement approval of the lender. FHAC provides</w:t>
      </w:r>
      <w:r w:rsidRPr="00BC559A">
        <w:rPr>
          <w:bCs/>
          <w:sz w:val="22"/>
          <w:szCs w:val="22"/>
        </w:rPr>
        <w:t xml:space="preserve"> FHA-approved lenders and business partners with direct, secure, online access to HUD computer systems</w:t>
      </w:r>
      <w:r>
        <w:rPr>
          <w:bCs/>
          <w:sz w:val="22"/>
          <w:szCs w:val="22"/>
        </w:rPr>
        <w:t xml:space="preserve"> for the origination and endorsement of loans. FHA migrated to completely paperless origination processes in 2020 as a response to the COVID-19 pandemic. The paperless process continues to be an effective tool for lenders by reducing the costs to lenders of printing, and delivery of physical case binders, while also relieving HUD of the financial burden of storing case binders post-endorsement.</w:t>
      </w:r>
    </w:p>
    <w:p w:rsidR="00AB048C" w:rsidP="00AB048C" w14:paraId="0BBD0430" w14:textId="77777777">
      <w:pPr>
        <w:rPr>
          <w:sz w:val="22"/>
          <w:szCs w:val="22"/>
        </w:rPr>
      </w:pPr>
    </w:p>
    <w:p w:rsidR="00AB048C" w:rsidP="00FA6A76" w14:paraId="6D56596F" w14:textId="77777777">
      <w:pPr>
        <w:ind w:left="360"/>
        <w:rPr>
          <w:sz w:val="22"/>
          <w:szCs w:val="22"/>
        </w:rPr>
      </w:pPr>
      <w:r>
        <w:rPr>
          <w:sz w:val="22"/>
          <w:szCs w:val="22"/>
        </w:rPr>
        <w:t xml:space="preserve">After endorsement and the repayment period begins, servicers must report the status of FHA-insured HHL loans on a monthly basis. These reports are transmitted to HUD electronically through the Single-Family Default Monitoring System (SFDMS). </w:t>
      </w:r>
    </w:p>
    <w:p w:rsidR="00AB048C" w:rsidP="00AB048C" w14:paraId="24B1F9C7" w14:textId="77777777">
      <w:pPr>
        <w:rPr>
          <w:sz w:val="22"/>
          <w:szCs w:val="22"/>
        </w:rPr>
      </w:pPr>
    </w:p>
    <w:p w:rsidR="00AB048C" w:rsidP="00FA6A76" w14:paraId="5AC803E9" w14:textId="37D110A3">
      <w:pPr>
        <w:ind w:left="360"/>
        <w:rPr>
          <w:sz w:val="22"/>
          <w:szCs w:val="22"/>
        </w:rPr>
      </w:pPr>
      <w:r>
        <w:rPr>
          <w:sz w:val="22"/>
          <w:szCs w:val="22"/>
        </w:rPr>
        <w:t xml:space="preserve">In the event of a default, servicers must submit their claim documentation through the P260 system. The P260 system User Guide directs servicers and HUD staff on the information to be input and the required documentation to be uploaded to </w:t>
      </w:r>
      <w:r w:rsidR="00EF662D">
        <w:rPr>
          <w:sz w:val="22"/>
          <w:szCs w:val="22"/>
        </w:rPr>
        <w:t xml:space="preserve">begin </w:t>
      </w:r>
      <w:r>
        <w:rPr>
          <w:sz w:val="22"/>
          <w:szCs w:val="22"/>
        </w:rPr>
        <w:t>the claim process. After HUD staff review the package in P260, a determination is made to accept or deny the package. Once the package is accepted by HUD, the servicer can file their claim for final processing.</w:t>
      </w:r>
    </w:p>
    <w:p w:rsidR="00AB048C" w:rsidP="00AB048C" w14:paraId="464AD976" w14:textId="77777777">
      <w:pPr>
        <w:rPr>
          <w:sz w:val="22"/>
          <w:szCs w:val="22"/>
        </w:rPr>
      </w:pPr>
    </w:p>
    <w:p w:rsidR="00AB048C" w:rsidP="00FA6A76" w14:paraId="40855936" w14:textId="6ED96DD7">
      <w:pPr>
        <w:ind w:left="360"/>
        <w:rPr>
          <w:sz w:val="22"/>
          <w:szCs w:val="22"/>
        </w:rPr>
      </w:pPr>
      <w:r>
        <w:rPr>
          <w:sz w:val="22"/>
          <w:szCs w:val="22"/>
        </w:rPr>
        <w:t>Once the claim is paid, DHHL will be notifi</w:t>
      </w:r>
      <w:r w:rsidR="00F27EAB">
        <w:rPr>
          <w:sz w:val="22"/>
          <w:szCs w:val="22"/>
        </w:rPr>
        <w:t xml:space="preserve">ed </w:t>
      </w:r>
      <w:r>
        <w:rPr>
          <w:sz w:val="22"/>
          <w:szCs w:val="22"/>
        </w:rPr>
        <w:t xml:space="preserve">by </w:t>
      </w:r>
      <w:r w:rsidR="00F27EAB">
        <w:rPr>
          <w:sz w:val="22"/>
          <w:szCs w:val="22"/>
        </w:rPr>
        <w:t xml:space="preserve">HUD via </w:t>
      </w:r>
      <w:r>
        <w:rPr>
          <w:sz w:val="22"/>
          <w:szCs w:val="22"/>
        </w:rPr>
        <w:t>printing and mailing the</w:t>
      </w:r>
      <w:r w:rsidR="00650066">
        <w:rPr>
          <w:sz w:val="22"/>
          <w:szCs w:val="22"/>
        </w:rPr>
        <w:t xml:space="preserve"> </w:t>
      </w:r>
      <w:r>
        <w:rPr>
          <w:sz w:val="22"/>
          <w:szCs w:val="22"/>
        </w:rPr>
        <w:t>package. The package includes copies of the claim documents and the original Note, endorsed to the DHHL.</w:t>
      </w:r>
    </w:p>
    <w:p w:rsidR="000E05E3" w:rsidP="00AB048C" w14:paraId="6F81A5C6" w14:textId="77777777">
      <w:pPr>
        <w:tabs>
          <w:tab w:val="left" w:pos="360"/>
        </w:tabs>
        <w:ind w:left="360" w:hanging="360"/>
        <w:rPr>
          <w:b/>
          <w:bCs/>
          <w:sz w:val="24"/>
          <w:szCs w:val="24"/>
        </w:rPr>
      </w:pPr>
    </w:p>
    <w:p w:rsidR="009E13B1" w14:paraId="1C0AE1D0" w14:textId="77777777">
      <w:pPr>
        <w:keepLines/>
        <w:tabs>
          <w:tab w:val="left" w:pos="360"/>
        </w:tabs>
        <w:spacing w:after="80"/>
        <w:ind w:left="360" w:hanging="360"/>
        <w:rPr>
          <w:b/>
          <w:bCs/>
          <w:sz w:val="24"/>
          <w:szCs w:val="24"/>
        </w:rPr>
      </w:pPr>
      <w:r w:rsidRPr="00B57771">
        <w:rPr>
          <w:b/>
          <w:bCs/>
          <w:sz w:val="24"/>
          <w:szCs w:val="24"/>
        </w:rPr>
        <w:t>4.</w:t>
      </w:r>
      <w:r w:rsidRPr="00B57771">
        <w:rPr>
          <w:b/>
          <w:bCs/>
          <w:sz w:val="24"/>
          <w:szCs w:val="24"/>
        </w:rPr>
        <w:tab/>
        <w:t>Describe efforts to identify duplication.  Show specifically why any similar information already available cannot be used or modified for use for the purposes described in Item 2 above.</w:t>
      </w:r>
    </w:p>
    <w:p w:rsidR="0033187B" w14:paraId="4F07FBCB" w14:textId="77777777">
      <w:pPr>
        <w:keepLines/>
        <w:tabs>
          <w:tab w:val="left" w:pos="360"/>
        </w:tabs>
        <w:spacing w:after="80"/>
        <w:ind w:left="360" w:hanging="360"/>
        <w:rPr>
          <w:sz w:val="24"/>
        </w:rPr>
      </w:pPr>
    </w:p>
    <w:p w:rsidR="00085D9B" w:rsidRPr="00B57771" w14:paraId="0E765FC8" w14:textId="40D1E341">
      <w:pPr>
        <w:keepLines/>
        <w:tabs>
          <w:tab w:val="left" w:pos="360"/>
        </w:tabs>
        <w:spacing w:after="80"/>
        <w:ind w:left="360" w:hanging="360"/>
        <w:rPr>
          <w:b/>
          <w:bCs/>
          <w:sz w:val="24"/>
          <w:szCs w:val="24"/>
        </w:rPr>
      </w:pPr>
      <w:r>
        <w:rPr>
          <w:sz w:val="24"/>
        </w:rPr>
        <w:tab/>
      </w:r>
      <w:r w:rsidRPr="00962C14">
        <w:rPr>
          <w:sz w:val="24"/>
        </w:rPr>
        <w:t>No duplication exists. The information collected is unique to each home, the respective DHHL lease, and</w:t>
      </w:r>
      <w:r>
        <w:rPr>
          <w:sz w:val="24"/>
        </w:rPr>
        <w:t xml:space="preserve"> the</w:t>
      </w:r>
      <w:r w:rsidRPr="00962C14">
        <w:rPr>
          <w:sz w:val="24"/>
        </w:rPr>
        <w:t xml:space="preserve"> eligibility of individual borrowers. Sim</w:t>
      </w:r>
      <w:r w:rsidRPr="00962C14">
        <w:rPr>
          <w:color w:val="000000"/>
          <w:sz w:val="24"/>
          <w:szCs w:val="24"/>
        </w:rPr>
        <w:t>ilar information is unavailable.</w:t>
      </w:r>
    </w:p>
    <w:p w:rsidR="009E13B1" w:rsidRPr="00B57771" w14:paraId="68859B10" w14:textId="77777777">
      <w:pPr>
        <w:keepLines/>
        <w:tabs>
          <w:tab w:val="left" w:pos="360"/>
          <w:tab w:val="left" w:pos="720"/>
        </w:tabs>
        <w:ind w:left="360"/>
        <w:rPr>
          <w:b/>
          <w:bCs/>
          <w:sz w:val="24"/>
          <w:szCs w:val="24"/>
        </w:rPr>
      </w:pPr>
    </w:p>
    <w:p w:rsidR="00B57771" w:rsidRPr="00B57771" w14:paraId="16283815" w14:textId="77777777">
      <w:pPr>
        <w:keepLines/>
        <w:tabs>
          <w:tab w:val="left" w:pos="360"/>
          <w:tab w:val="left" w:pos="720"/>
        </w:tabs>
        <w:ind w:left="360"/>
        <w:rPr>
          <w:b/>
          <w:bCs/>
          <w:sz w:val="24"/>
          <w:szCs w:val="24"/>
        </w:rPr>
      </w:pPr>
    </w:p>
    <w:p w:rsidR="00B57771" w:rsidRPr="00B57771" w14:paraId="2B16D1E9" w14:textId="77777777">
      <w:pPr>
        <w:keepLines/>
        <w:tabs>
          <w:tab w:val="left" w:pos="360"/>
          <w:tab w:val="left" w:pos="720"/>
        </w:tabs>
        <w:ind w:left="360"/>
        <w:rPr>
          <w:b/>
          <w:bCs/>
          <w:sz w:val="24"/>
          <w:szCs w:val="24"/>
        </w:rPr>
      </w:pPr>
    </w:p>
    <w:p w:rsidR="009E13B1" w:rsidRPr="00B57771" w14:paraId="689A9EFC" w14:textId="77777777">
      <w:pPr>
        <w:keepLines/>
        <w:tabs>
          <w:tab w:val="left" w:pos="360"/>
        </w:tabs>
        <w:spacing w:after="80"/>
        <w:ind w:left="360" w:hanging="360"/>
        <w:rPr>
          <w:b/>
          <w:bCs/>
          <w:sz w:val="24"/>
          <w:szCs w:val="24"/>
        </w:rPr>
      </w:pPr>
      <w:r w:rsidRPr="00B57771">
        <w:rPr>
          <w:b/>
          <w:bCs/>
          <w:sz w:val="24"/>
          <w:szCs w:val="24"/>
        </w:rPr>
        <w:t>5.</w:t>
      </w:r>
      <w:r w:rsidRPr="00B57771">
        <w:rPr>
          <w:b/>
          <w:bCs/>
          <w:sz w:val="24"/>
          <w:szCs w:val="24"/>
        </w:rPr>
        <w:tab/>
        <w:t>If the collection of information impacts small businesses or other small entities describe any methods used to minimize burden.</w:t>
      </w:r>
    </w:p>
    <w:p w:rsidR="009E13B1" w14:paraId="0ED21226" w14:textId="77777777">
      <w:pPr>
        <w:tabs>
          <w:tab w:val="left" w:pos="360"/>
        </w:tabs>
        <w:ind w:left="360" w:hanging="360"/>
        <w:rPr>
          <w:b/>
          <w:bCs/>
          <w:sz w:val="24"/>
          <w:szCs w:val="24"/>
        </w:rPr>
      </w:pPr>
    </w:p>
    <w:p w:rsidR="00085D9B" w:rsidRPr="00B57771" w14:paraId="2A12F85F" w14:textId="4D858F6F">
      <w:pPr>
        <w:tabs>
          <w:tab w:val="left" w:pos="360"/>
        </w:tabs>
        <w:ind w:left="360" w:hanging="360"/>
        <w:rPr>
          <w:b/>
          <w:bCs/>
          <w:sz w:val="24"/>
          <w:szCs w:val="24"/>
        </w:rPr>
      </w:pPr>
      <w:r>
        <w:rPr>
          <w:sz w:val="24"/>
          <w:szCs w:val="24"/>
        </w:rPr>
        <w:tab/>
      </w:r>
      <w:r w:rsidRPr="00A54047">
        <w:rPr>
          <w:sz w:val="24"/>
          <w:szCs w:val="24"/>
        </w:rPr>
        <w:t xml:space="preserve">Mortgage lenders are typically not small businesses. The information collected for the land lease, and to confirm borrower eligibility with the DHHL would have minimal impact on any lenders that are small business or other small entities, considering that the estimated burden time is </w:t>
      </w:r>
      <w:r w:rsidRPr="002E4E21">
        <w:rPr>
          <w:sz w:val="24"/>
          <w:szCs w:val="24"/>
        </w:rPr>
        <w:t>35</w:t>
      </w:r>
      <w:r w:rsidRPr="00A54047">
        <w:rPr>
          <w:sz w:val="24"/>
          <w:szCs w:val="24"/>
        </w:rPr>
        <w:t xml:space="preserve"> minutes per combined response and the</w:t>
      </w:r>
      <w:r>
        <w:rPr>
          <w:sz w:val="24"/>
          <w:szCs w:val="24"/>
        </w:rPr>
        <w:t xml:space="preserve"> eligibility</w:t>
      </w:r>
      <w:r w:rsidRPr="00A54047">
        <w:rPr>
          <w:sz w:val="24"/>
          <w:szCs w:val="24"/>
        </w:rPr>
        <w:t xml:space="preserve"> information is provided by the DHHL documentation. The reporting burden is loan specific and, thus, cannot be conducted less frequently than once for every </w:t>
      </w:r>
      <w:r>
        <w:rPr>
          <w:sz w:val="24"/>
          <w:szCs w:val="24"/>
        </w:rPr>
        <w:t>HHL m</w:t>
      </w:r>
      <w:r w:rsidRPr="00A54047">
        <w:rPr>
          <w:sz w:val="24"/>
          <w:szCs w:val="24"/>
        </w:rPr>
        <w:t>ortgage submitted to FHA for insurance</w:t>
      </w:r>
      <w:r>
        <w:rPr>
          <w:sz w:val="24"/>
          <w:szCs w:val="24"/>
        </w:rPr>
        <w:t xml:space="preserve"> endorsement</w:t>
      </w:r>
      <w:r w:rsidRPr="00A54047">
        <w:rPr>
          <w:sz w:val="24"/>
          <w:szCs w:val="24"/>
        </w:rPr>
        <w:t>.</w:t>
      </w:r>
    </w:p>
    <w:p w:rsidR="00B57771" w:rsidRPr="00B57771" w14:paraId="2524E73A" w14:textId="77777777">
      <w:pPr>
        <w:tabs>
          <w:tab w:val="left" w:pos="360"/>
        </w:tabs>
        <w:ind w:left="360" w:hanging="360"/>
        <w:rPr>
          <w:b/>
          <w:bCs/>
          <w:sz w:val="24"/>
          <w:szCs w:val="24"/>
        </w:rPr>
      </w:pPr>
    </w:p>
    <w:p w:rsidR="009E13B1" w:rsidRPr="00B57771" w14:paraId="2C0F0529" w14:textId="77777777">
      <w:pPr>
        <w:keepLines/>
        <w:tabs>
          <w:tab w:val="left" w:pos="360"/>
        </w:tabs>
        <w:spacing w:after="80"/>
        <w:ind w:left="360" w:hanging="360"/>
        <w:rPr>
          <w:b/>
          <w:bCs/>
          <w:sz w:val="24"/>
          <w:szCs w:val="24"/>
        </w:rPr>
      </w:pPr>
      <w:r w:rsidRPr="00B57771">
        <w:rPr>
          <w:b/>
          <w:bCs/>
          <w:sz w:val="24"/>
          <w:szCs w:val="24"/>
        </w:rPr>
        <w:t>6.</w:t>
      </w:r>
      <w:r w:rsidRPr="00B57771">
        <w:rPr>
          <w:b/>
          <w:bCs/>
          <w:sz w:val="24"/>
          <w:szCs w:val="24"/>
        </w:rPr>
        <w:tab/>
        <w:t>Describe the consequence to Federal program or policy activities if the collection is not conducted or is conducted less frequently, as well as any technical or legal obstacles to reducing burden.</w:t>
      </w:r>
    </w:p>
    <w:p w:rsidR="009E13B1" w14:paraId="5745C910" w14:textId="77777777">
      <w:pPr>
        <w:keepLines/>
        <w:tabs>
          <w:tab w:val="left" w:pos="360"/>
          <w:tab w:val="left" w:pos="720"/>
        </w:tabs>
        <w:ind w:left="360"/>
        <w:rPr>
          <w:sz w:val="24"/>
          <w:szCs w:val="24"/>
        </w:rPr>
      </w:pPr>
    </w:p>
    <w:p w:rsidR="00085D9B" w:rsidRPr="00491488" w:rsidP="00085D9B" w14:paraId="3B589228" w14:textId="77777777">
      <w:pPr>
        <w:ind w:left="360"/>
        <w:contextualSpacing/>
        <w:rPr>
          <w:color w:val="000000"/>
          <w:sz w:val="24"/>
          <w:szCs w:val="24"/>
        </w:rPr>
      </w:pPr>
      <w:r w:rsidRPr="00491488">
        <w:rPr>
          <w:sz w:val="24"/>
          <w:szCs w:val="24"/>
        </w:rPr>
        <w:t>Information collected for the land lease and borrower eligibility is a one-time “on occasion” type, as part of the mortgage origination</w:t>
      </w:r>
      <w:r>
        <w:rPr>
          <w:sz w:val="24"/>
          <w:szCs w:val="24"/>
        </w:rPr>
        <w:t xml:space="preserve"> process</w:t>
      </w:r>
      <w:r w:rsidRPr="00491488">
        <w:rPr>
          <w:sz w:val="24"/>
          <w:szCs w:val="24"/>
        </w:rPr>
        <w:t xml:space="preserve">. The collection of borrower delinquency status throughout the loan term is automated for monthly electronic collection. All information collected is specific to each loan. The collection cannot be conducted less frequently than on every loan submitted to FHA for insurance endorsement, and monthly for payment status.   </w:t>
      </w:r>
      <w:r w:rsidRPr="00491488">
        <w:rPr>
          <w:color w:val="000000"/>
          <w:sz w:val="24"/>
          <w:szCs w:val="24"/>
        </w:rPr>
        <w:t xml:space="preserve">  </w:t>
      </w:r>
    </w:p>
    <w:p w:rsidR="00B57771" w14:paraId="62E9E102" w14:textId="11E59531">
      <w:pPr>
        <w:keepLines/>
        <w:tabs>
          <w:tab w:val="left" w:pos="360"/>
          <w:tab w:val="left" w:pos="720"/>
        </w:tabs>
        <w:ind w:left="360"/>
        <w:rPr>
          <w:sz w:val="24"/>
          <w:szCs w:val="24"/>
        </w:rPr>
      </w:pPr>
      <w:r>
        <w:rPr>
          <w:sz w:val="24"/>
          <w:szCs w:val="24"/>
        </w:rPr>
        <w:tab/>
      </w:r>
    </w:p>
    <w:p w:rsidR="00085D9B" w:rsidP="00085D9B" w14:paraId="68AD831E" w14:textId="77777777">
      <w:pPr>
        <w:ind w:left="360"/>
        <w:rPr>
          <w:rFonts w:eastAsiaTheme="minorEastAsia"/>
          <w:color w:val="000000"/>
          <w:sz w:val="24"/>
          <w:szCs w:val="24"/>
        </w:rPr>
      </w:pPr>
      <w:r w:rsidRPr="00491488">
        <w:rPr>
          <w:rFonts w:eastAsiaTheme="minorEastAsia"/>
          <w:color w:val="000000"/>
          <w:sz w:val="24"/>
          <w:szCs w:val="24"/>
        </w:rPr>
        <w:t xml:space="preserve">Before applying for FHA insurance, lenders must collect information to determine that the borrower is eligible for the DHHL program. Lenders that finance </w:t>
      </w:r>
      <w:r>
        <w:rPr>
          <w:rFonts w:eastAsiaTheme="minorEastAsia"/>
          <w:color w:val="000000"/>
          <w:sz w:val="24"/>
          <w:szCs w:val="24"/>
        </w:rPr>
        <w:t>HHL</w:t>
      </w:r>
      <w:r w:rsidRPr="00491488">
        <w:rPr>
          <w:rFonts w:eastAsiaTheme="minorEastAsia"/>
          <w:color w:val="000000"/>
          <w:sz w:val="24"/>
          <w:szCs w:val="24"/>
        </w:rPr>
        <w:t xml:space="preserve"> </w:t>
      </w:r>
      <w:r>
        <w:rPr>
          <w:rFonts w:eastAsiaTheme="minorEastAsia"/>
          <w:color w:val="000000"/>
          <w:sz w:val="24"/>
          <w:szCs w:val="24"/>
        </w:rPr>
        <w:t xml:space="preserve">loans </w:t>
      </w:r>
      <w:r w:rsidRPr="00491488">
        <w:rPr>
          <w:rFonts w:eastAsiaTheme="minorEastAsia"/>
          <w:color w:val="000000"/>
          <w:sz w:val="24"/>
          <w:szCs w:val="24"/>
        </w:rPr>
        <w:t>will be unable to obtain FHA-insured financing if th</w:t>
      </w:r>
      <w:r>
        <w:rPr>
          <w:rFonts w:eastAsiaTheme="minorEastAsia"/>
          <w:color w:val="000000"/>
          <w:sz w:val="24"/>
          <w:szCs w:val="24"/>
        </w:rPr>
        <w:t>is</w:t>
      </w:r>
      <w:r w:rsidRPr="00491488">
        <w:rPr>
          <w:rFonts w:eastAsiaTheme="minorEastAsia"/>
          <w:color w:val="000000"/>
          <w:sz w:val="24"/>
          <w:szCs w:val="24"/>
        </w:rPr>
        <w:t xml:space="preserve"> information is not collected.  </w:t>
      </w:r>
    </w:p>
    <w:p w:rsidR="00085D9B" w:rsidP="00085D9B" w14:paraId="2404DD4B" w14:textId="77777777">
      <w:pPr>
        <w:ind w:left="360"/>
        <w:rPr>
          <w:rFonts w:eastAsiaTheme="minorEastAsia"/>
          <w:color w:val="000000"/>
          <w:sz w:val="24"/>
          <w:szCs w:val="24"/>
        </w:rPr>
      </w:pPr>
    </w:p>
    <w:p w:rsidR="00085D9B" w:rsidP="00085D9B" w14:paraId="43C8709E" w14:textId="104B5C0B">
      <w:pPr>
        <w:ind w:left="360"/>
        <w:rPr>
          <w:sz w:val="24"/>
          <w:szCs w:val="24"/>
        </w:rPr>
      </w:pPr>
      <w:r w:rsidRPr="00491488">
        <w:rPr>
          <w:sz w:val="24"/>
          <w:szCs w:val="24"/>
        </w:rPr>
        <w:t>The documentation requirements also reduce HUD’s exposure to insurance losses from loan defaults</w:t>
      </w:r>
      <w:r>
        <w:rPr>
          <w:sz w:val="24"/>
          <w:szCs w:val="24"/>
        </w:rPr>
        <w:t>.</w:t>
      </w:r>
    </w:p>
    <w:p w:rsidR="00085D9B" w:rsidP="00085D9B" w14:paraId="216932BA" w14:textId="77777777">
      <w:pPr>
        <w:ind w:left="360"/>
        <w:rPr>
          <w:sz w:val="24"/>
          <w:szCs w:val="24"/>
        </w:rPr>
      </w:pPr>
    </w:p>
    <w:p w:rsidR="00085D9B" w:rsidRPr="00491488" w:rsidP="00085D9B" w14:paraId="1085D03B" w14:textId="77777777">
      <w:pPr>
        <w:ind w:left="360"/>
        <w:rPr>
          <w:rFonts w:eastAsiaTheme="minorEastAsia"/>
          <w:color w:val="000000"/>
          <w:sz w:val="24"/>
          <w:szCs w:val="24"/>
        </w:rPr>
      </w:pPr>
      <w:r w:rsidRPr="00491488">
        <w:rPr>
          <w:rFonts w:eastAsiaTheme="minorEastAsia"/>
          <w:color w:val="000000"/>
          <w:sz w:val="24"/>
          <w:szCs w:val="24"/>
        </w:rPr>
        <w:t xml:space="preserve">To assist the DHHL in identifying delinquent loans, lenders report payment status monthly. If information were collected less frequently, the DHHL would have less time to offer loss mitigation measures and reduce losses. </w:t>
      </w:r>
    </w:p>
    <w:p w:rsidR="00085D9B" w:rsidRPr="00491488" w:rsidP="00085D9B" w14:paraId="362278DD" w14:textId="77777777">
      <w:pPr>
        <w:ind w:left="360"/>
        <w:rPr>
          <w:rFonts w:eastAsiaTheme="minorEastAsia"/>
          <w:color w:val="000000"/>
          <w:sz w:val="24"/>
          <w:szCs w:val="24"/>
        </w:rPr>
      </w:pPr>
    </w:p>
    <w:p w:rsidR="00A65F9E" w:rsidRPr="00B57771" w14:paraId="2B3F5C7B" w14:textId="77777777">
      <w:pPr>
        <w:numPr>
          <w:ilvl w:val="0"/>
          <w:numId w:val="13"/>
        </w:numPr>
        <w:tabs>
          <w:tab w:val="left" w:pos="360"/>
        </w:tabs>
        <w:rPr>
          <w:b/>
          <w:bCs/>
          <w:sz w:val="24"/>
          <w:szCs w:val="24"/>
        </w:rPr>
      </w:pPr>
      <w:r w:rsidRPr="00B57771">
        <w:rPr>
          <w:b/>
          <w:bCs/>
          <w:sz w:val="24"/>
          <w:szCs w:val="24"/>
        </w:rPr>
        <w:t>Explain any special circumstances that would cause an information collection to be conducted in a manner:</w:t>
      </w:r>
    </w:p>
    <w:p w:rsidR="009E13B1" w:rsidRPr="00B57771" w:rsidP="00A65F9E" w14:paraId="38CBA337" w14:textId="77777777">
      <w:pPr>
        <w:tabs>
          <w:tab w:val="left" w:pos="360"/>
        </w:tabs>
        <w:ind w:left="360"/>
        <w:rPr>
          <w:b/>
          <w:bCs/>
          <w:sz w:val="24"/>
          <w:szCs w:val="24"/>
        </w:rPr>
      </w:pPr>
      <w:r w:rsidRPr="00B57771">
        <w:rPr>
          <w:b/>
          <w:bCs/>
          <w:sz w:val="24"/>
          <w:szCs w:val="24"/>
        </w:rPr>
        <w:t xml:space="preserve"> </w:t>
      </w:r>
    </w:p>
    <w:p w:rsidR="009E13B1" w:rsidRPr="0033187B" w:rsidP="0033187B" w14:paraId="77414839" w14:textId="77777777">
      <w:pPr>
        <w:pStyle w:val="ListParagraph"/>
        <w:numPr>
          <w:ilvl w:val="0"/>
          <w:numId w:val="19"/>
        </w:numPr>
        <w:tabs>
          <w:tab w:val="left" w:pos="600"/>
        </w:tabs>
        <w:rPr>
          <w:b/>
          <w:bCs/>
          <w:sz w:val="24"/>
          <w:szCs w:val="24"/>
        </w:rPr>
      </w:pPr>
      <w:r w:rsidRPr="0033187B">
        <w:rPr>
          <w:b/>
          <w:bCs/>
          <w:sz w:val="24"/>
          <w:szCs w:val="24"/>
        </w:rPr>
        <w:t xml:space="preserve">requiring respondents to report information to the agency more than quarterly; </w:t>
      </w:r>
    </w:p>
    <w:p w:rsidR="00CB441D" w:rsidP="0033187B" w14:paraId="47DC844A" w14:textId="77777777">
      <w:pPr>
        <w:tabs>
          <w:tab w:val="left" w:pos="600"/>
        </w:tabs>
        <w:rPr>
          <w:b/>
          <w:bCs/>
          <w:sz w:val="24"/>
          <w:szCs w:val="24"/>
        </w:rPr>
      </w:pPr>
    </w:p>
    <w:p w:rsidR="00CB441D" w:rsidRPr="0033187B" w:rsidP="0033187B" w14:paraId="5501BB5E" w14:textId="17996F41">
      <w:pPr>
        <w:pStyle w:val="ListParagraph"/>
        <w:contextualSpacing/>
        <w:rPr>
          <w:sz w:val="24"/>
          <w:szCs w:val="24"/>
        </w:rPr>
      </w:pPr>
      <w:r w:rsidRPr="0033187B">
        <w:rPr>
          <w:color w:val="000000"/>
          <w:sz w:val="24"/>
          <w:szCs w:val="24"/>
        </w:rPr>
        <w:t>Respondents are required to report information more than quarterly.</w:t>
      </w:r>
      <w:r w:rsidRPr="0033187B">
        <w:rPr>
          <w:sz w:val="24"/>
          <w:szCs w:val="24"/>
        </w:rPr>
        <w:t xml:space="preserve"> The information collection is loan-specific and is collected at the origination of every loan submitted to FHA for insurance endorsement.  </w:t>
      </w:r>
    </w:p>
    <w:p w:rsidR="0033187B" w:rsidP="0033187B" w14:paraId="41E6B047" w14:textId="77777777">
      <w:pPr>
        <w:tabs>
          <w:tab w:val="left" w:pos="600"/>
        </w:tabs>
        <w:rPr>
          <w:b/>
          <w:bCs/>
          <w:sz w:val="24"/>
          <w:szCs w:val="24"/>
        </w:rPr>
      </w:pPr>
    </w:p>
    <w:p w:rsidR="009E13B1" w:rsidRPr="0033187B" w:rsidP="0033187B" w14:paraId="2FC61388" w14:textId="01F57DC5">
      <w:pPr>
        <w:pStyle w:val="ListParagraph"/>
        <w:numPr>
          <w:ilvl w:val="0"/>
          <w:numId w:val="19"/>
        </w:numPr>
        <w:tabs>
          <w:tab w:val="left" w:pos="600"/>
        </w:tabs>
        <w:rPr>
          <w:b/>
          <w:bCs/>
          <w:sz w:val="24"/>
          <w:szCs w:val="24"/>
        </w:rPr>
      </w:pPr>
      <w:r w:rsidRPr="0033187B">
        <w:rPr>
          <w:b/>
          <w:bCs/>
          <w:sz w:val="24"/>
          <w:szCs w:val="24"/>
        </w:rPr>
        <w:t xml:space="preserve">requiring respondents to prepare a written response to a collection of information in fewer than 30 days after receipt of it; </w:t>
      </w:r>
    </w:p>
    <w:p w:rsidR="00CB441D" w:rsidP="0033187B" w14:paraId="0B3FD626" w14:textId="77777777">
      <w:pPr>
        <w:tabs>
          <w:tab w:val="left" w:pos="600"/>
        </w:tabs>
        <w:rPr>
          <w:b/>
          <w:bCs/>
          <w:sz w:val="24"/>
          <w:szCs w:val="24"/>
        </w:rPr>
      </w:pPr>
    </w:p>
    <w:p w:rsidR="00CB441D" w:rsidRPr="0033187B" w:rsidP="0033187B" w14:paraId="4E7C34D3" w14:textId="494CACE8">
      <w:pPr>
        <w:pStyle w:val="ListParagraph"/>
        <w:tabs>
          <w:tab w:val="left" w:pos="600"/>
        </w:tabs>
        <w:rPr>
          <w:b/>
          <w:bCs/>
          <w:sz w:val="24"/>
          <w:szCs w:val="24"/>
        </w:rPr>
      </w:pPr>
      <w:r w:rsidRPr="0033187B">
        <w:rPr>
          <w:color w:val="000000"/>
          <w:sz w:val="24"/>
          <w:szCs w:val="24"/>
        </w:rPr>
        <w:t>Respondents are not required to prepare a written response in fewer than 30 days.</w:t>
      </w:r>
    </w:p>
    <w:p w:rsidR="0033187B" w:rsidP="0033187B" w14:paraId="5EB4B469" w14:textId="77777777">
      <w:pPr>
        <w:tabs>
          <w:tab w:val="left" w:pos="600"/>
        </w:tabs>
        <w:rPr>
          <w:b/>
          <w:bCs/>
          <w:sz w:val="24"/>
          <w:szCs w:val="24"/>
        </w:rPr>
      </w:pPr>
    </w:p>
    <w:p w:rsidR="009E13B1" w:rsidRPr="0033187B" w:rsidP="0033187B" w14:paraId="4BDEF174" w14:textId="3EE1277D">
      <w:pPr>
        <w:pStyle w:val="ListParagraph"/>
        <w:numPr>
          <w:ilvl w:val="0"/>
          <w:numId w:val="19"/>
        </w:numPr>
        <w:tabs>
          <w:tab w:val="left" w:pos="600"/>
        </w:tabs>
        <w:rPr>
          <w:b/>
          <w:bCs/>
          <w:sz w:val="24"/>
          <w:szCs w:val="24"/>
        </w:rPr>
      </w:pPr>
      <w:r w:rsidRPr="0033187B">
        <w:rPr>
          <w:b/>
          <w:bCs/>
          <w:sz w:val="24"/>
          <w:szCs w:val="24"/>
        </w:rPr>
        <w:t xml:space="preserve">requiring respondents to submit more than an original and two copies of any document; </w:t>
      </w:r>
    </w:p>
    <w:p w:rsidR="00CB441D" w:rsidP="0033187B" w14:paraId="142DA842" w14:textId="77777777">
      <w:pPr>
        <w:tabs>
          <w:tab w:val="left" w:pos="600"/>
        </w:tabs>
        <w:rPr>
          <w:b/>
          <w:bCs/>
          <w:sz w:val="24"/>
          <w:szCs w:val="24"/>
        </w:rPr>
      </w:pPr>
    </w:p>
    <w:p w:rsidR="00CB441D" w:rsidRPr="0033187B" w:rsidP="0033187B" w14:paraId="27753420" w14:textId="1D768C6F">
      <w:pPr>
        <w:pStyle w:val="ListParagraph"/>
        <w:rPr>
          <w:color w:val="000000"/>
          <w:sz w:val="24"/>
          <w:szCs w:val="24"/>
        </w:rPr>
      </w:pPr>
      <w:r w:rsidRPr="0033187B">
        <w:rPr>
          <w:color w:val="000000"/>
          <w:sz w:val="24"/>
          <w:szCs w:val="24"/>
        </w:rPr>
        <w:t>Respondents are not required to submit more than an original and two copies of any document.</w:t>
      </w:r>
    </w:p>
    <w:p w:rsidR="00A65F9E" w:rsidRPr="00B57771" w:rsidP="0033187B" w14:paraId="42E1C60F" w14:textId="77777777">
      <w:pPr>
        <w:pStyle w:val="ListParagraph"/>
        <w:ind w:left="360"/>
        <w:rPr>
          <w:b/>
          <w:bCs/>
          <w:sz w:val="24"/>
          <w:szCs w:val="24"/>
        </w:rPr>
      </w:pPr>
    </w:p>
    <w:p w:rsidR="009E13B1" w:rsidRPr="0033187B" w:rsidP="0033187B" w14:paraId="6A77FBE6" w14:textId="77777777">
      <w:pPr>
        <w:pStyle w:val="ListParagraph"/>
        <w:numPr>
          <w:ilvl w:val="0"/>
          <w:numId w:val="19"/>
        </w:numPr>
        <w:tabs>
          <w:tab w:val="left" w:pos="600"/>
        </w:tabs>
        <w:rPr>
          <w:b/>
          <w:bCs/>
          <w:sz w:val="24"/>
          <w:szCs w:val="24"/>
        </w:rPr>
      </w:pPr>
      <w:r w:rsidRPr="0033187B">
        <w:rPr>
          <w:b/>
          <w:bCs/>
          <w:sz w:val="24"/>
          <w:szCs w:val="24"/>
        </w:rPr>
        <w:t xml:space="preserve">requiring respondents to retain records other than health, medical, government contract, grant-in-aid, or tax records for more than three years; </w:t>
      </w:r>
    </w:p>
    <w:p w:rsidR="00CB441D" w:rsidP="0033187B" w14:paraId="1732954D" w14:textId="77777777">
      <w:pPr>
        <w:tabs>
          <w:tab w:val="left" w:pos="600"/>
        </w:tabs>
        <w:rPr>
          <w:b/>
          <w:bCs/>
          <w:sz w:val="24"/>
          <w:szCs w:val="24"/>
        </w:rPr>
      </w:pPr>
    </w:p>
    <w:p w:rsidR="00CB441D" w:rsidRPr="0033187B" w:rsidP="0033187B" w14:paraId="6E1A2FEF" w14:textId="05FF22D7">
      <w:pPr>
        <w:pStyle w:val="ListParagraph"/>
        <w:rPr>
          <w:color w:val="000000"/>
          <w:sz w:val="24"/>
          <w:szCs w:val="24"/>
        </w:rPr>
      </w:pPr>
      <w:r w:rsidRPr="0033187B">
        <w:rPr>
          <w:color w:val="000000"/>
          <w:sz w:val="24"/>
          <w:szCs w:val="24"/>
        </w:rPr>
        <w:t>Respondents are required to retain records for the duration of the mortgage, which is the term of    FHA’s insurance obligation.</w:t>
      </w:r>
    </w:p>
    <w:p w:rsidR="00CB441D" w:rsidRPr="00B57771" w:rsidP="0033187B" w14:paraId="46560C14" w14:textId="77777777">
      <w:pPr>
        <w:tabs>
          <w:tab w:val="left" w:pos="600"/>
        </w:tabs>
        <w:rPr>
          <w:b/>
          <w:bCs/>
          <w:sz w:val="24"/>
          <w:szCs w:val="24"/>
        </w:rPr>
      </w:pPr>
    </w:p>
    <w:p w:rsidR="009E13B1" w:rsidRPr="0033187B" w:rsidP="0033187B" w14:paraId="73DB0897" w14:textId="77777777">
      <w:pPr>
        <w:pStyle w:val="ListParagraph"/>
        <w:numPr>
          <w:ilvl w:val="0"/>
          <w:numId w:val="19"/>
        </w:numPr>
        <w:tabs>
          <w:tab w:val="left" w:pos="600"/>
        </w:tabs>
        <w:rPr>
          <w:b/>
          <w:bCs/>
          <w:sz w:val="24"/>
          <w:szCs w:val="24"/>
        </w:rPr>
      </w:pPr>
      <w:r w:rsidRPr="0033187B">
        <w:rPr>
          <w:b/>
          <w:bCs/>
          <w:sz w:val="24"/>
          <w:szCs w:val="24"/>
        </w:rPr>
        <w:t xml:space="preserve">in connection with a statistical survey, that is not designed to produce valid and reliable results than can be generalized to the universe of study; </w:t>
      </w:r>
    </w:p>
    <w:p w:rsidR="0033187B" w:rsidP="0033187B" w14:paraId="0E4FD44B" w14:textId="77777777">
      <w:pPr>
        <w:tabs>
          <w:tab w:val="left" w:pos="600"/>
        </w:tabs>
        <w:rPr>
          <w:b/>
          <w:bCs/>
          <w:sz w:val="24"/>
          <w:szCs w:val="24"/>
        </w:rPr>
      </w:pPr>
    </w:p>
    <w:p w:rsidR="00CB441D" w:rsidRPr="0033187B" w:rsidP="0033187B" w14:paraId="10FC063A" w14:textId="0ABCF6AC">
      <w:pPr>
        <w:pStyle w:val="ListParagraph"/>
        <w:tabs>
          <w:tab w:val="left" w:pos="600"/>
        </w:tabs>
        <w:rPr>
          <w:color w:val="000000"/>
          <w:sz w:val="24"/>
          <w:szCs w:val="24"/>
        </w:rPr>
      </w:pPr>
      <w:r w:rsidRPr="0033187B">
        <w:rPr>
          <w:color w:val="000000"/>
          <w:sz w:val="24"/>
          <w:szCs w:val="24"/>
        </w:rPr>
        <w:t>Respondents are not required to provide a statistical survey.</w:t>
      </w:r>
    </w:p>
    <w:p w:rsidR="00CB441D" w:rsidRPr="00B57771" w:rsidP="0033187B" w14:paraId="6F2598AC" w14:textId="77777777">
      <w:pPr>
        <w:tabs>
          <w:tab w:val="left" w:pos="600"/>
        </w:tabs>
        <w:rPr>
          <w:b/>
          <w:bCs/>
          <w:sz w:val="24"/>
          <w:szCs w:val="24"/>
        </w:rPr>
      </w:pPr>
    </w:p>
    <w:p w:rsidR="00A65F9E" w:rsidRPr="0033187B" w:rsidP="0033187B" w14:paraId="34E5913A" w14:textId="77777777">
      <w:pPr>
        <w:pStyle w:val="ListParagraph"/>
        <w:numPr>
          <w:ilvl w:val="0"/>
          <w:numId w:val="19"/>
        </w:numPr>
        <w:tabs>
          <w:tab w:val="left" w:pos="600"/>
        </w:tabs>
        <w:rPr>
          <w:b/>
          <w:bCs/>
          <w:sz w:val="24"/>
          <w:szCs w:val="24"/>
        </w:rPr>
      </w:pPr>
      <w:r w:rsidRPr="0033187B">
        <w:rPr>
          <w:b/>
          <w:bCs/>
          <w:sz w:val="24"/>
          <w:szCs w:val="24"/>
        </w:rPr>
        <w:t>requiring the use of a statistical data classification that has not been reviewed and approved by OMB;</w:t>
      </w:r>
    </w:p>
    <w:p w:rsidR="00CB441D" w:rsidP="0033187B" w14:paraId="6A4C1819" w14:textId="77777777">
      <w:pPr>
        <w:tabs>
          <w:tab w:val="left" w:pos="600"/>
        </w:tabs>
        <w:rPr>
          <w:b/>
          <w:bCs/>
          <w:sz w:val="24"/>
          <w:szCs w:val="24"/>
        </w:rPr>
      </w:pPr>
    </w:p>
    <w:p w:rsidR="00CB441D" w:rsidRPr="0033187B" w:rsidP="0033187B" w14:paraId="747A45AB" w14:textId="7ED1BE84">
      <w:pPr>
        <w:pStyle w:val="ListParagraph"/>
        <w:rPr>
          <w:color w:val="000000"/>
          <w:sz w:val="24"/>
          <w:szCs w:val="24"/>
        </w:rPr>
      </w:pPr>
      <w:r w:rsidRPr="0033187B">
        <w:rPr>
          <w:color w:val="000000"/>
          <w:sz w:val="24"/>
          <w:szCs w:val="24"/>
        </w:rPr>
        <w:t>Respondents are not required to use a statistical data classification not approved by OMB.</w:t>
      </w:r>
    </w:p>
    <w:p w:rsidR="009E13B1" w:rsidRPr="00B57771" w:rsidP="0033187B" w14:paraId="66012806" w14:textId="34A8C4B3">
      <w:pPr>
        <w:tabs>
          <w:tab w:val="left" w:pos="600"/>
        </w:tabs>
        <w:ind w:left="324" w:firstLine="60"/>
        <w:rPr>
          <w:b/>
          <w:bCs/>
          <w:sz w:val="24"/>
          <w:szCs w:val="24"/>
        </w:rPr>
      </w:pPr>
    </w:p>
    <w:p w:rsidR="009E13B1" w:rsidP="0033187B" w14:paraId="556952BC" w14:textId="77777777">
      <w:pPr>
        <w:numPr>
          <w:ilvl w:val="0"/>
          <w:numId w:val="19"/>
        </w:numPr>
        <w:tabs>
          <w:tab w:val="left" w:pos="600"/>
        </w:tabs>
        <w:rPr>
          <w:b/>
          <w:bCs/>
          <w:sz w:val="24"/>
          <w:szCs w:val="24"/>
        </w:rPr>
      </w:pPr>
      <w:r w:rsidRPr="00B57771">
        <w:rPr>
          <w:b/>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B441D" w:rsidP="0033187B" w14:paraId="79EFECE1" w14:textId="77777777">
      <w:pPr>
        <w:tabs>
          <w:tab w:val="left" w:pos="600"/>
        </w:tabs>
        <w:rPr>
          <w:b/>
          <w:bCs/>
          <w:sz w:val="24"/>
          <w:szCs w:val="24"/>
        </w:rPr>
      </w:pPr>
    </w:p>
    <w:p w:rsidR="00CB441D" w:rsidRPr="0033187B" w:rsidP="0033187B" w14:paraId="5B3AC9F4" w14:textId="7E2D2DE7">
      <w:pPr>
        <w:pStyle w:val="ListParagraph"/>
        <w:rPr>
          <w:color w:val="000000"/>
          <w:sz w:val="24"/>
          <w:szCs w:val="24"/>
        </w:rPr>
      </w:pPr>
      <w:r w:rsidRPr="0033187B">
        <w:rPr>
          <w:sz w:val="24"/>
          <w:szCs w:val="24"/>
        </w:rPr>
        <w:t>Respondents are not required to submit information that includes a pledge of confidentiality that is   not supported by authority established in a statute or regulation, that is not supported by disclosure and data security policies that are consistent with the pledge, or which unnecessarily impedes sharing of data with other agencies for compatible confidential use</w:t>
      </w:r>
    </w:p>
    <w:p w:rsidR="00A65F9E" w:rsidRPr="00B57771" w:rsidP="0033187B" w14:paraId="4497C6FF" w14:textId="77777777">
      <w:pPr>
        <w:keepLines/>
        <w:tabs>
          <w:tab w:val="left" w:pos="600"/>
        </w:tabs>
        <w:spacing w:after="80"/>
        <w:rPr>
          <w:b/>
          <w:bCs/>
          <w:sz w:val="24"/>
          <w:szCs w:val="24"/>
        </w:rPr>
      </w:pPr>
    </w:p>
    <w:p w:rsidR="009E13B1" w:rsidP="0033187B" w14:paraId="0DB9F02B" w14:textId="77777777">
      <w:pPr>
        <w:keepLines/>
        <w:numPr>
          <w:ilvl w:val="0"/>
          <w:numId w:val="19"/>
        </w:numPr>
        <w:tabs>
          <w:tab w:val="left" w:pos="600"/>
        </w:tabs>
        <w:spacing w:after="80"/>
        <w:rPr>
          <w:b/>
          <w:bCs/>
          <w:sz w:val="24"/>
          <w:szCs w:val="24"/>
        </w:rPr>
      </w:pPr>
      <w:r w:rsidRPr="00B57771">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CB441D" w:rsidP="0033187B" w14:paraId="3663F68B" w14:textId="77777777">
      <w:pPr>
        <w:rPr>
          <w:b/>
          <w:color w:val="000000"/>
          <w:sz w:val="24"/>
          <w:szCs w:val="24"/>
        </w:rPr>
      </w:pPr>
    </w:p>
    <w:p w:rsidR="00CB441D" w:rsidRPr="0033187B" w:rsidP="0033187B" w14:paraId="41D98395" w14:textId="665723D9">
      <w:pPr>
        <w:pStyle w:val="ListParagraph"/>
        <w:keepLines/>
        <w:tabs>
          <w:tab w:val="left" w:pos="360"/>
        </w:tabs>
        <w:spacing w:after="80"/>
        <w:rPr>
          <w:b/>
          <w:bCs/>
          <w:sz w:val="24"/>
          <w:szCs w:val="24"/>
        </w:rPr>
      </w:pPr>
      <w:r w:rsidRPr="0033187B">
        <w:rPr>
          <w:bCs/>
          <w:color w:val="000000"/>
          <w:sz w:val="24"/>
          <w:szCs w:val="24"/>
        </w:rPr>
        <w:t>Respondents are not required to submit proprietary trade secrets or other confidential information.</w:t>
      </w:r>
    </w:p>
    <w:p w:rsidR="009E13B1" w:rsidRPr="00B57771" w14:paraId="313F58B2" w14:textId="77777777">
      <w:pPr>
        <w:tabs>
          <w:tab w:val="left" w:pos="360"/>
        </w:tabs>
        <w:ind w:left="360" w:hanging="360"/>
        <w:rPr>
          <w:b/>
          <w:bCs/>
          <w:sz w:val="24"/>
          <w:szCs w:val="24"/>
        </w:rPr>
      </w:pPr>
    </w:p>
    <w:p w:rsidR="00A65F9E" w:rsidRPr="00B57771" w:rsidP="00A65F9E" w14:paraId="663A6B8B" w14:textId="77777777">
      <w:pPr>
        <w:numPr>
          <w:ilvl w:val="0"/>
          <w:numId w:val="13"/>
        </w:numPr>
        <w:tabs>
          <w:tab w:val="left" w:pos="360"/>
        </w:tabs>
        <w:rPr>
          <w:b/>
          <w:bCs/>
          <w:sz w:val="24"/>
          <w:szCs w:val="24"/>
        </w:rPr>
      </w:pPr>
      <w:r w:rsidRPr="00B57771">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3187B" w:rsidRPr="00B57771" w:rsidP="0033187B" w14:paraId="1B5CDF54" w14:textId="77777777">
      <w:pPr>
        <w:tabs>
          <w:tab w:val="left" w:pos="360"/>
        </w:tabs>
        <w:ind w:left="360"/>
        <w:rPr>
          <w:b/>
          <w:bCs/>
          <w:sz w:val="24"/>
          <w:szCs w:val="24"/>
        </w:rPr>
      </w:pPr>
    </w:p>
    <w:p w:rsidR="0033187B" w:rsidRPr="00B57771" w:rsidP="0033187B" w14:paraId="54F068F0" w14:textId="77777777">
      <w:pPr>
        <w:numPr>
          <w:ilvl w:val="0"/>
          <w:numId w:val="14"/>
        </w:numPr>
        <w:tabs>
          <w:tab w:val="left" w:pos="360"/>
        </w:tabs>
        <w:ind w:left="480"/>
        <w:rPr>
          <w:b/>
          <w:bCs/>
          <w:sz w:val="24"/>
          <w:szCs w:val="24"/>
        </w:rPr>
      </w:pPr>
      <w:r w:rsidRPr="00B57771">
        <w:rPr>
          <w:b/>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33187B" w:rsidRPr="00B57771" w:rsidP="0033187B" w14:paraId="25F6ADB5" w14:textId="77777777">
      <w:pPr>
        <w:keepLines/>
        <w:tabs>
          <w:tab w:val="left" w:pos="360"/>
        </w:tabs>
        <w:spacing w:after="80"/>
        <w:ind w:left="480"/>
        <w:rPr>
          <w:b/>
          <w:bCs/>
          <w:sz w:val="24"/>
          <w:szCs w:val="24"/>
        </w:rPr>
      </w:pPr>
    </w:p>
    <w:p w:rsidR="0033187B" w:rsidRPr="00B57771" w:rsidP="0033187B" w14:paraId="0372CF86" w14:textId="77777777">
      <w:pPr>
        <w:keepLines/>
        <w:numPr>
          <w:ilvl w:val="0"/>
          <w:numId w:val="14"/>
        </w:numPr>
        <w:tabs>
          <w:tab w:val="left" w:pos="360"/>
        </w:tabs>
        <w:spacing w:after="80"/>
        <w:ind w:left="480"/>
        <w:rPr>
          <w:b/>
          <w:bCs/>
          <w:sz w:val="24"/>
          <w:szCs w:val="24"/>
        </w:rPr>
      </w:pPr>
      <w:r w:rsidRPr="00B57771">
        <w:rPr>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A3F24" w:rsidP="00A87CCD" w14:paraId="393B1E9A" w14:textId="1518EA42">
      <w:pPr>
        <w:tabs>
          <w:tab w:val="left" w:pos="1080"/>
        </w:tabs>
        <w:rPr>
          <w:sz w:val="24"/>
          <w:szCs w:val="24"/>
        </w:rPr>
      </w:pPr>
    </w:p>
    <w:p w:rsidR="00AA3F24" w:rsidRPr="00BC6DA9" w:rsidP="0033187B" w14:paraId="3A5DE195" w14:textId="6AE408DD">
      <w:pPr>
        <w:tabs>
          <w:tab w:val="left" w:pos="1080"/>
        </w:tabs>
        <w:ind w:left="336"/>
        <w:rPr>
          <w:sz w:val="24"/>
          <w:szCs w:val="24"/>
        </w:rPr>
      </w:pPr>
      <w:r w:rsidRPr="00544B6C">
        <w:rPr>
          <w:sz w:val="24"/>
          <w:szCs w:val="24"/>
        </w:rPr>
        <w:t>HUD regularly receives comments and input on its information collection requirements from lending institutions that will lend on Hawaiian Homelands. This is not inconsistent with the guidelines in 5 CFR 1320.6. The agency notice soliciting comments on this information collection</w:t>
      </w:r>
      <w:r>
        <w:rPr>
          <w:sz w:val="24"/>
          <w:szCs w:val="24"/>
        </w:rPr>
        <w:t xml:space="preserve"> was published in the Federal Register on </w:t>
      </w:r>
      <w:r w:rsidRPr="00BC6DA9">
        <w:rPr>
          <w:sz w:val="24"/>
          <w:szCs w:val="24"/>
        </w:rPr>
        <w:t xml:space="preserve">August 6, 2024. </w:t>
      </w:r>
      <w:r w:rsidRPr="00361534">
        <w:rPr>
          <w:i/>
          <w:iCs/>
          <w:sz w:val="24"/>
          <w:szCs w:val="24"/>
        </w:rPr>
        <w:t>See</w:t>
      </w:r>
      <w:r w:rsidRPr="00BC6DA9">
        <w:rPr>
          <w:sz w:val="24"/>
          <w:szCs w:val="24"/>
        </w:rPr>
        <w:t xml:space="preserve"> 89 FR 63958</w:t>
      </w:r>
      <w:r>
        <w:rPr>
          <w:sz w:val="24"/>
          <w:szCs w:val="24"/>
        </w:rPr>
        <w:t xml:space="preserve"> </w:t>
      </w:r>
      <w:r w:rsidRPr="00BC6DA9">
        <w:rPr>
          <w:sz w:val="24"/>
          <w:szCs w:val="24"/>
        </w:rPr>
        <w:t>(</w:t>
      </w:r>
      <w:r w:rsidRPr="00361534">
        <w:rPr>
          <w:sz w:val="24"/>
          <w:szCs w:val="24"/>
        </w:rPr>
        <w:t>60-Day Notice of Proposed Information Collection: Single Family Mortgage Insurance on Hawaiian Home Lands; OMB Control No.: 2502–0358)</w:t>
      </w:r>
      <w:r w:rsidRPr="00544B6C">
        <w:rPr>
          <w:sz w:val="24"/>
          <w:szCs w:val="24"/>
        </w:rPr>
        <w:t>. No comments were received</w:t>
      </w:r>
      <w:r>
        <w:rPr>
          <w:sz w:val="24"/>
          <w:szCs w:val="24"/>
        </w:rPr>
        <w:t>.</w:t>
      </w:r>
    </w:p>
    <w:p w:rsidR="009E13B1" w:rsidRPr="00B57771" w14:paraId="2607AF1A" w14:textId="77777777">
      <w:pPr>
        <w:tabs>
          <w:tab w:val="left" w:pos="360"/>
        </w:tabs>
        <w:ind w:left="360" w:hanging="360"/>
        <w:rPr>
          <w:b/>
          <w:bCs/>
          <w:sz w:val="24"/>
          <w:szCs w:val="24"/>
        </w:rPr>
      </w:pPr>
    </w:p>
    <w:p w:rsidR="00AA3F24" w:rsidP="00AA3F24" w14:paraId="469EF014" w14:textId="14359690">
      <w:pPr>
        <w:pStyle w:val="ListParagraph"/>
        <w:keepLines/>
        <w:numPr>
          <w:ilvl w:val="0"/>
          <w:numId w:val="13"/>
        </w:numPr>
        <w:tabs>
          <w:tab w:val="left" w:pos="360"/>
        </w:tabs>
        <w:spacing w:after="80"/>
        <w:rPr>
          <w:b/>
          <w:bCs/>
          <w:sz w:val="24"/>
          <w:szCs w:val="24"/>
        </w:rPr>
      </w:pPr>
      <w:r w:rsidRPr="00AA3F24">
        <w:rPr>
          <w:b/>
          <w:bCs/>
          <w:sz w:val="24"/>
          <w:szCs w:val="24"/>
        </w:rPr>
        <w:t>Explain any decision to provide any payment or gift to respondents, other than renumeration of contractors or grantees.</w:t>
      </w:r>
    </w:p>
    <w:p w:rsidR="00B174C4" w:rsidRPr="00B174C4" w:rsidP="00B174C4" w14:paraId="1FE4581E" w14:textId="77777777">
      <w:pPr>
        <w:pStyle w:val="ListParagraph"/>
        <w:keepLines/>
        <w:tabs>
          <w:tab w:val="left" w:pos="360"/>
        </w:tabs>
        <w:spacing w:after="80"/>
        <w:ind w:left="360"/>
        <w:rPr>
          <w:b/>
          <w:bCs/>
          <w:sz w:val="24"/>
          <w:szCs w:val="24"/>
        </w:rPr>
      </w:pPr>
    </w:p>
    <w:p w:rsidR="00B174C4" w:rsidRPr="00B174C4" w:rsidP="00B174C4" w14:paraId="2CE0B824" w14:textId="16154C65">
      <w:pPr>
        <w:pStyle w:val="ListParagraph"/>
        <w:keepLines/>
        <w:tabs>
          <w:tab w:val="left" w:pos="360"/>
        </w:tabs>
        <w:spacing w:after="80"/>
        <w:ind w:left="360"/>
        <w:rPr>
          <w:sz w:val="24"/>
          <w:szCs w:val="24"/>
        </w:rPr>
      </w:pPr>
      <w:r w:rsidRPr="00B174C4">
        <w:rPr>
          <w:sz w:val="24"/>
          <w:szCs w:val="24"/>
        </w:rPr>
        <w:t>There are no gifts or other types of payments made to respondents.</w:t>
      </w:r>
    </w:p>
    <w:p w:rsidR="00B174C4" w:rsidRPr="00B174C4" w:rsidP="00B174C4" w14:paraId="14F67F98" w14:textId="77777777">
      <w:pPr>
        <w:keepLines/>
        <w:tabs>
          <w:tab w:val="left" w:pos="360"/>
        </w:tabs>
        <w:spacing w:after="80"/>
        <w:rPr>
          <w:b/>
          <w:bCs/>
          <w:sz w:val="24"/>
          <w:szCs w:val="24"/>
        </w:rPr>
      </w:pPr>
    </w:p>
    <w:p w:rsidR="009E13B1" w:rsidP="00AA3F24" w14:paraId="199B10B5" w14:textId="04B38780">
      <w:pPr>
        <w:pStyle w:val="ListParagraph"/>
        <w:keepLines/>
        <w:numPr>
          <w:ilvl w:val="0"/>
          <w:numId w:val="13"/>
        </w:numPr>
        <w:tabs>
          <w:tab w:val="left" w:pos="360"/>
        </w:tabs>
        <w:spacing w:after="80"/>
        <w:rPr>
          <w:b/>
          <w:bCs/>
          <w:sz w:val="24"/>
          <w:szCs w:val="24"/>
        </w:rPr>
      </w:pPr>
      <w:r w:rsidRPr="00AA3F24">
        <w:rPr>
          <w:b/>
          <w:bCs/>
          <w:sz w:val="24"/>
          <w:szCs w:val="24"/>
        </w:rPr>
        <w:t>Describe any assurance of confidentiality provided to respondents and the basis for assurance in statute, regulation or agency policy.</w:t>
      </w:r>
      <w:r w:rsidRPr="00AA3F24" w:rsidR="000D5079">
        <w:rPr>
          <w:b/>
          <w:bCs/>
        </w:rPr>
        <w:t xml:space="preserve"> </w:t>
      </w:r>
      <w:r w:rsidRPr="00AA3F24" w:rsidR="000D5079">
        <w:rPr>
          <w:b/>
          <w:bCs/>
          <w:sz w:val="24"/>
          <w:szCs w:val="24"/>
        </w:rPr>
        <w:t xml:space="preserve">If the collection requires a </w:t>
      </w:r>
      <w:r w:rsidRPr="00AA3F24" w:rsidR="00BB2518">
        <w:rPr>
          <w:b/>
          <w:bCs/>
          <w:sz w:val="24"/>
          <w:szCs w:val="24"/>
        </w:rPr>
        <w:t>system of records notice (SORN)</w:t>
      </w:r>
      <w:r w:rsidRPr="00AA3F24" w:rsidR="000D5079">
        <w:rPr>
          <w:b/>
          <w:bCs/>
          <w:sz w:val="24"/>
          <w:szCs w:val="24"/>
        </w:rPr>
        <w:t xml:space="preserve"> or privacy impact assessment (PIA), those should be cited and described here.</w:t>
      </w:r>
    </w:p>
    <w:p w:rsidR="0033187B" w:rsidRPr="0033187B" w:rsidP="0033187B" w14:paraId="168EBDDC" w14:textId="77777777">
      <w:pPr>
        <w:keepLines/>
        <w:tabs>
          <w:tab w:val="left" w:pos="360"/>
        </w:tabs>
        <w:spacing w:after="80"/>
        <w:rPr>
          <w:b/>
          <w:bCs/>
          <w:sz w:val="24"/>
          <w:szCs w:val="24"/>
        </w:rPr>
      </w:pPr>
    </w:p>
    <w:p w:rsidR="0033187B" w:rsidP="0033187B" w14:paraId="08B1B928" w14:textId="7D166DDF">
      <w:pPr>
        <w:keepLines/>
        <w:tabs>
          <w:tab w:val="left" w:pos="360"/>
        </w:tabs>
        <w:spacing w:after="80"/>
        <w:ind w:left="360"/>
        <w:rPr>
          <w:sz w:val="24"/>
          <w:szCs w:val="24"/>
        </w:rPr>
      </w:pPr>
      <w:r w:rsidRPr="0033187B">
        <w:rPr>
          <w:sz w:val="24"/>
          <w:szCs w:val="24"/>
        </w:rPr>
        <w:t>There are no confidential issues involved, therefore no assurances of confidentiality.</w:t>
      </w:r>
    </w:p>
    <w:p w:rsidR="0033187B" w:rsidRPr="0033187B" w:rsidP="0033187B" w14:paraId="77EE7F6E" w14:textId="77777777">
      <w:pPr>
        <w:keepLines/>
        <w:tabs>
          <w:tab w:val="left" w:pos="360"/>
        </w:tabs>
        <w:spacing w:after="80"/>
        <w:ind w:left="360"/>
        <w:rPr>
          <w:sz w:val="24"/>
          <w:szCs w:val="24"/>
        </w:rPr>
      </w:pPr>
    </w:p>
    <w:p w:rsidR="009E13B1" w:rsidRPr="00AA3F24" w:rsidP="00AA3F24" w14:paraId="668EAA31" w14:textId="535FB272">
      <w:pPr>
        <w:pStyle w:val="ListParagraph"/>
        <w:keepLines/>
        <w:numPr>
          <w:ilvl w:val="0"/>
          <w:numId w:val="13"/>
        </w:numPr>
        <w:tabs>
          <w:tab w:val="left" w:pos="360"/>
        </w:tabs>
        <w:spacing w:after="80"/>
        <w:rPr>
          <w:b/>
          <w:bCs/>
          <w:sz w:val="24"/>
          <w:szCs w:val="24"/>
        </w:rPr>
      </w:pPr>
      <w:r w:rsidRPr="00AA3F24">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3F24" w:rsidP="00AA3F24" w14:paraId="72A8DE29" w14:textId="77777777">
      <w:pPr>
        <w:keepLines/>
        <w:tabs>
          <w:tab w:val="left" w:pos="360"/>
        </w:tabs>
        <w:spacing w:after="80"/>
        <w:rPr>
          <w:b/>
          <w:bCs/>
          <w:sz w:val="24"/>
          <w:szCs w:val="24"/>
        </w:rPr>
      </w:pPr>
    </w:p>
    <w:p w:rsidR="00AA3F24" w:rsidRPr="0074296E" w:rsidP="0033187B" w14:paraId="3AA4B8D5" w14:textId="35EB6910">
      <w:pPr>
        <w:ind w:left="360"/>
        <w:rPr>
          <w:bCs/>
          <w:color w:val="000000"/>
          <w:sz w:val="24"/>
          <w:szCs w:val="24"/>
        </w:rPr>
      </w:pPr>
      <w:r w:rsidRPr="0074296E">
        <w:rPr>
          <w:bCs/>
          <w:color w:val="000000"/>
          <w:sz w:val="24"/>
          <w:szCs w:val="24"/>
        </w:rPr>
        <w:t>This information collection does not contain any questions of a sensitive nature.</w:t>
      </w:r>
    </w:p>
    <w:p w:rsidR="00A65F9E" w:rsidP="00AA3F24" w14:paraId="06BC304E" w14:textId="77777777">
      <w:pPr>
        <w:tabs>
          <w:tab w:val="left" w:pos="360"/>
        </w:tabs>
        <w:rPr>
          <w:sz w:val="24"/>
          <w:szCs w:val="24"/>
        </w:rPr>
      </w:pPr>
    </w:p>
    <w:p w:rsidR="000D5079" w:rsidRPr="00B57771" w14:paraId="7C95C366" w14:textId="77777777">
      <w:pPr>
        <w:tabs>
          <w:tab w:val="left" w:pos="360"/>
        </w:tabs>
        <w:ind w:left="360" w:hanging="360"/>
        <w:rPr>
          <w:b/>
          <w:bCs/>
          <w:sz w:val="24"/>
          <w:szCs w:val="24"/>
        </w:rPr>
      </w:pPr>
      <w:r w:rsidRPr="00B57771">
        <w:rPr>
          <w:b/>
          <w:bCs/>
          <w:sz w:val="24"/>
          <w:szCs w:val="24"/>
        </w:rPr>
        <w:t>12.</w:t>
      </w:r>
      <w:r w:rsidRPr="00B57771">
        <w:rPr>
          <w:b/>
          <w:bCs/>
          <w:sz w:val="24"/>
          <w:szCs w:val="24"/>
        </w:rPr>
        <w:tab/>
        <w:t>Provide estimates of the hour burden of the collection of information.  The statement should:</w:t>
      </w:r>
    </w:p>
    <w:p w:rsidR="009E13B1" w:rsidRPr="00B57771" w14:paraId="1876208F" w14:textId="77777777">
      <w:pPr>
        <w:tabs>
          <w:tab w:val="left" w:pos="360"/>
        </w:tabs>
        <w:ind w:left="360" w:hanging="360"/>
        <w:rPr>
          <w:b/>
          <w:bCs/>
          <w:sz w:val="24"/>
          <w:szCs w:val="24"/>
        </w:rPr>
      </w:pPr>
      <w:r w:rsidRPr="00B57771">
        <w:rPr>
          <w:b/>
          <w:bCs/>
          <w:sz w:val="24"/>
          <w:szCs w:val="24"/>
        </w:rPr>
        <w:t xml:space="preserve"> </w:t>
      </w:r>
    </w:p>
    <w:p w:rsidR="001857C3" w:rsidRPr="001857C3" w:rsidP="001857C3" w14:paraId="08EEA375" w14:textId="417BE31E">
      <w:pPr>
        <w:numPr>
          <w:ilvl w:val="0"/>
          <w:numId w:val="14"/>
        </w:numPr>
        <w:tabs>
          <w:tab w:val="left" w:pos="480"/>
        </w:tabs>
        <w:ind w:left="480"/>
        <w:rPr>
          <w:b/>
          <w:bCs/>
          <w:sz w:val="24"/>
          <w:szCs w:val="24"/>
        </w:rPr>
      </w:pPr>
      <w:r w:rsidRPr="00B57771">
        <w:rPr>
          <w:b/>
          <w:bCs/>
          <w:sz w:val="24"/>
          <w:szCs w:val="24"/>
        </w:rPr>
        <w:t>I</w:t>
      </w:r>
      <w:r w:rsidRPr="00B57771" w:rsidR="009E13B1">
        <w:rPr>
          <w:b/>
          <w:bCs/>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57771" w:rsidR="006C7FAE">
        <w:rPr>
          <w:b/>
          <w:bCs/>
          <w:sz w:val="24"/>
          <w:szCs w:val="24"/>
        </w:rPr>
        <w:t>Generally,</w:t>
      </w:r>
      <w:r w:rsidRPr="00B57771" w:rsidR="009E13B1">
        <w:rPr>
          <w:b/>
          <w:bCs/>
          <w:sz w:val="24"/>
          <w:szCs w:val="24"/>
        </w:rPr>
        <w:t xml:space="preserve"> estimates should not include burden hours for customary and usual business practices; </w:t>
      </w:r>
    </w:p>
    <w:p w:rsidR="009E13B1" w:rsidRPr="00B57771" w14:paraId="54BF2220" w14:textId="77777777">
      <w:pPr>
        <w:numPr>
          <w:ilvl w:val="0"/>
          <w:numId w:val="14"/>
        </w:numPr>
        <w:tabs>
          <w:tab w:val="left" w:pos="480"/>
        </w:tabs>
        <w:ind w:left="480"/>
        <w:rPr>
          <w:b/>
          <w:bCs/>
          <w:sz w:val="24"/>
          <w:szCs w:val="24"/>
        </w:rPr>
      </w:pPr>
      <w:r w:rsidRPr="00B57771">
        <w:rPr>
          <w:b/>
          <w:bCs/>
          <w:sz w:val="24"/>
          <w:szCs w:val="24"/>
        </w:rPr>
        <w:t>I</w:t>
      </w:r>
      <w:r w:rsidRPr="00B57771">
        <w:rPr>
          <w:b/>
          <w:bCs/>
          <w:sz w:val="24"/>
          <w:szCs w:val="24"/>
        </w:rPr>
        <w:t xml:space="preserve">f this request covers more than one form, provide separate hour burden estimates for each form and aggregate the hour burdens in </w:t>
      </w:r>
      <w:r w:rsidRPr="00B57771" w:rsidR="00CA06CC">
        <w:rPr>
          <w:b/>
          <w:bCs/>
          <w:sz w:val="24"/>
          <w:szCs w:val="24"/>
        </w:rPr>
        <w:t>chart below</w:t>
      </w:r>
      <w:r w:rsidRPr="00B57771">
        <w:rPr>
          <w:b/>
          <w:bCs/>
          <w:sz w:val="24"/>
          <w:szCs w:val="24"/>
        </w:rPr>
        <w:t xml:space="preserve">; and </w:t>
      </w:r>
    </w:p>
    <w:p w:rsidR="009E13B1" w:rsidRPr="00B57771" w14:paraId="438D1797" w14:textId="77777777">
      <w:pPr>
        <w:keepLines/>
        <w:numPr>
          <w:ilvl w:val="0"/>
          <w:numId w:val="14"/>
        </w:numPr>
        <w:tabs>
          <w:tab w:val="left" w:pos="480"/>
        </w:tabs>
        <w:spacing w:after="80"/>
        <w:ind w:left="480"/>
        <w:rPr>
          <w:b/>
          <w:bCs/>
          <w:sz w:val="24"/>
          <w:szCs w:val="24"/>
        </w:rPr>
      </w:pPr>
      <w:r w:rsidRPr="00B57771">
        <w:rPr>
          <w:b/>
          <w:bCs/>
          <w:sz w:val="24"/>
          <w:szCs w:val="24"/>
        </w:rPr>
        <w:t>P</w:t>
      </w:r>
      <w:r w:rsidRPr="00B57771">
        <w:rPr>
          <w:b/>
          <w:bCs/>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B57771" w:rsidR="00CA06CC">
        <w:rPr>
          <w:b/>
          <w:bCs/>
          <w:sz w:val="24"/>
          <w:szCs w:val="24"/>
        </w:rPr>
        <w:t>Instead,</w:t>
      </w:r>
      <w:r w:rsidRPr="00B57771">
        <w:rPr>
          <w:b/>
          <w:bCs/>
          <w:sz w:val="24"/>
          <w:szCs w:val="24"/>
        </w:rPr>
        <w:t xml:space="preserve"> this cost should be included in Item 13.</w:t>
      </w:r>
    </w:p>
    <w:p w:rsidR="00BC50C0" w:rsidRPr="006C7FAE" w:rsidP="00BC50C0" w14:paraId="16CEE043" w14:textId="77777777">
      <w:pPr>
        <w:keepLines/>
        <w:tabs>
          <w:tab w:val="left" w:pos="480"/>
        </w:tabs>
        <w:spacing w:after="80"/>
        <w:ind w:left="480"/>
        <w:rPr>
          <w:sz w:val="24"/>
          <w:szCs w:val="24"/>
        </w:rPr>
      </w:pPr>
    </w:p>
    <w:tbl>
      <w:tblPr>
        <w:tblW w:w="10160" w:type="dxa"/>
        <w:tblInd w:w="-1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299"/>
        <w:gridCol w:w="1197"/>
        <w:gridCol w:w="1301"/>
        <w:gridCol w:w="1251"/>
        <w:gridCol w:w="1142"/>
        <w:gridCol w:w="896"/>
        <w:gridCol w:w="1061"/>
        <w:gridCol w:w="1013"/>
      </w:tblGrid>
      <w:tr w14:paraId="2AF62206" w14:textId="77777777" w:rsidTr="006A5E25">
        <w:tblPrEx>
          <w:tblW w:w="10160" w:type="dxa"/>
          <w:tblInd w:w="-1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2340" w:type="dxa"/>
            <w:shd w:val="clear" w:color="auto" w:fill="auto"/>
            <w:tcMar>
              <w:top w:w="0" w:type="dxa"/>
              <w:left w:w="108" w:type="dxa"/>
              <w:bottom w:w="0" w:type="dxa"/>
              <w:right w:w="108" w:type="dxa"/>
            </w:tcMar>
            <w:hideMark/>
          </w:tcPr>
          <w:p w:rsidR="00167E53" w:rsidRPr="006A5E25" w:rsidP="00167E53" w14:paraId="18951238" w14:textId="77777777">
            <w:pPr>
              <w:adjustRightInd/>
              <w:jc w:val="center"/>
              <w:textAlignment w:val="auto"/>
              <w:rPr>
                <w:rFonts w:eastAsia="Calibri"/>
                <w:b/>
                <w:bCs/>
                <w:color w:val="000000"/>
                <w:sz w:val="18"/>
                <w:szCs w:val="18"/>
              </w:rPr>
            </w:pPr>
            <w:bookmarkStart w:id="1" w:name="_Hlk72491044"/>
            <w:r w:rsidRPr="006A5E25">
              <w:rPr>
                <w:rFonts w:eastAsia="Calibri"/>
                <w:b/>
                <w:bCs/>
                <w:color w:val="000000"/>
                <w:sz w:val="18"/>
                <w:szCs w:val="18"/>
              </w:rPr>
              <w:t>Information Collection</w:t>
            </w:r>
          </w:p>
        </w:tc>
        <w:tc>
          <w:tcPr>
            <w:tcW w:w="1120" w:type="dxa"/>
            <w:shd w:val="clear" w:color="auto" w:fill="auto"/>
            <w:tcMar>
              <w:top w:w="0" w:type="dxa"/>
              <w:left w:w="108" w:type="dxa"/>
              <w:bottom w:w="0" w:type="dxa"/>
              <w:right w:w="108" w:type="dxa"/>
            </w:tcMar>
            <w:hideMark/>
          </w:tcPr>
          <w:p w:rsidR="00167E53" w:rsidRPr="006A5E25" w:rsidP="006A5E25" w14:paraId="29E8A4AB" w14:textId="77777777">
            <w:pPr>
              <w:adjustRightInd/>
              <w:textAlignment w:val="auto"/>
              <w:rPr>
                <w:rFonts w:eastAsia="Calibri"/>
                <w:b/>
                <w:bCs/>
                <w:color w:val="000000"/>
                <w:sz w:val="18"/>
                <w:szCs w:val="18"/>
              </w:rPr>
            </w:pPr>
            <w:r w:rsidRPr="006A5E25">
              <w:rPr>
                <w:rFonts w:eastAsia="Calibri"/>
                <w:b/>
                <w:bCs/>
                <w:color w:val="000000"/>
                <w:sz w:val="18"/>
                <w:szCs w:val="18"/>
              </w:rPr>
              <w:t>Number of Respondents</w:t>
            </w:r>
          </w:p>
        </w:tc>
        <w:tc>
          <w:tcPr>
            <w:tcW w:w="1310" w:type="dxa"/>
            <w:shd w:val="clear" w:color="auto" w:fill="auto"/>
            <w:tcMar>
              <w:top w:w="0" w:type="dxa"/>
              <w:left w:w="108" w:type="dxa"/>
              <w:bottom w:w="0" w:type="dxa"/>
              <w:right w:w="108" w:type="dxa"/>
            </w:tcMar>
            <w:hideMark/>
          </w:tcPr>
          <w:p w:rsidR="00167E53" w:rsidRPr="006A5E25" w:rsidP="00167E53" w14:paraId="5D02020C" w14:textId="77777777">
            <w:pPr>
              <w:adjustRightInd/>
              <w:jc w:val="center"/>
              <w:textAlignment w:val="auto"/>
              <w:rPr>
                <w:rFonts w:eastAsia="Calibri"/>
                <w:b/>
                <w:bCs/>
                <w:color w:val="000000"/>
                <w:sz w:val="18"/>
                <w:szCs w:val="18"/>
              </w:rPr>
            </w:pPr>
            <w:r w:rsidRPr="006A5E25">
              <w:rPr>
                <w:rFonts w:eastAsia="Calibri"/>
                <w:b/>
                <w:bCs/>
                <w:color w:val="000000"/>
                <w:sz w:val="18"/>
                <w:szCs w:val="18"/>
              </w:rPr>
              <w:t>Frequency of Response</w:t>
            </w:r>
          </w:p>
        </w:tc>
        <w:tc>
          <w:tcPr>
            <w:tcW w:w="1260" w:type="dxa"/>
            <w:shd w:val="clear" w:color="auto" w:fill="auto"/>
            <w:tcMar>
              <w:top w:w="0" w:type="dxa"/>
              <w:left w:w="108" w:type="dxa"/>
              <w:bottom w:w="0" w:type="dxa"/>
              <w:right w:w="108" w:type="dxa"/>
            </w:tcMar>
            <w:hideMark/>
          </w:tcPr>
          <w:p w:rsidR="00167E53" w:rsidRPr="006A5E25" w:rsidP="00167E53" w14:paraId="31155C9A" w14:textId="77777777">
            <w:pPr>
              <w:overflowPunct/>
              <w:autoSpaceDE/>
              <w:autoSpaceDN/>
              <w:adjustRightInd/>
              <w:jc w:val="center"/>
              <w:textAlignment w:val="auto"/>
              <w:rPr>
                <w:rFonts w:eastAsia="Calibri"/>
                <w:b/>
                <w:bCs/>
                <w:color w:val="000000"/>
                <w:sz w:val="18"/>
                <w:szCs w:val="18"/>
              </w:rPr>
            </w:pPr>
            <w:r w:rsidRPr="006A5E25">
              <w:rPr>
                <w:rFonts w:eastAsia="Calibri"/>
                <w:b/>
                <w:bCs/>
                <w:color w:val="000000"/>
                <w:sz w:val="18"/>
                <w:szCs w:val="18"/>
              </w:rPr>
              <w:t>Responses</w:t>
            </w:r>
          </w:p>
          <w:p w:rsidR="00167E53" w:rsidRPr="006A5E25" w:rsidP="00167E53" w14:paraId="1B8E5C69" w14:textId="77777777">
            <w:pPr>
              <w:adjustRightInd/>
              <w:jc w:val="center"/>
              <w:textAlignment w:val="auto"/>
              <w:rPr>
                <w:rFonts w:eastAsia="Calibri"/>
                <w:b/>
                <w:bCs/>
                <w:color w:val="000000"/>
                <w:sz w:val="18"/>
                <w:szCs w:val="18"/>
              </w:rPr>
            </w:pPr>
            <w:r w:rsidRPr="006A5E25">
              <w:rPr>
                <w:rFonts w:eastAsia="Calibri"/>
                <w:b/>
                <w:bCs/>
                <w:color w:val="000000"/>
                <w:sz w:val="18"/>
                <w:szCs w:val="18"/>
              </w:rPr>
              <w:t>Per Annum</w:t>
            </w:r>
          </w:p>
        </w:tc>
        <w:tc>
          <w:tcPr>
            <w:tcW w:w="1149" w:type="dxa"/>
            <w:shd w:val="clear" w:color="auto" w:fill="auto"/>
            <w:tcMar>
              <w:top w:w="0" w:type="dxa"/>
              <w:left w:w="108" w:type="dxa"/>
              <w:bottom w:w="0" w:type="dxa"/>
              <w:right w:w="108" w:type="dxa"/>
            </w:tcMar>
            <w:hideMark/>
          </w:tcPr>
          <w:p w:rsidR="00167E53" w:rsidRPr="006A5E25" w:rsidP="00167E53" w14:paraId="3F7BE12A" w14:textId="77777777">
            <w:pPr>
              <w:adjustRightInd/>
              <w:jc w:val="center"/>
              <w:textAlignment w:val="auto"/>
              <w:rPr>
                <w:rFonts w:eastAsia="Calibri"/>
                <w:b/>
                <w:bCs/>
                <w:color w:val="000000"/>
                <w:sz w:val="18"/>
                <w:szCs w:val="18"/>
              </w:rPr>
            </w:pPr>
            <w:r w:rsidRPr="006A5E25">
              <w:rPr>
                <w:rFonts w:eastAsia="Calibri"/>
                <w:b/>
                <w:bCs/>
                <w:color w:val="000000"/>
                <w:sz w:val="18"/>
                <w:szCs w:val="18"/>
              </w:rPr>
              <w:t>Burden Hour Per Response</w:t>
            </w:r>
          </w:p>
        </w:tc>
        <w:tc>
          <w:tcPr>
            <w:tcW w:w="900" w:type="dxa"/>
            <w:shd w:val="clear" w:color="auto" w:fill="auto"/>
            <w:tcMar>
              <w:top w:w="0" w:type="dxa"/>
              <w:left w:w="108" w:type="dxa"/>
              <w:bottom w:w="0" w:type="dxa"/>
              <w:right w:w="108" w:type="dxa"/>
            </w:tcMar>
            <w:hideMark/>
          </w:tcPr>
          <w:p w:rsidR="00167E53" w:rsidRPr="006A5E25" w:rsidP="00167E53" w14:paraId="0E79EADE" w14:textId="77777777">
            <w:pPr>
              <w:adjustRightInd/>
              <w:jc w:val="center"/>
              <w:textAlignment w:val="auto"/>
              <w:rPr>
                <w:rFonts w:eastAsia="Calibri"/>
                <w:b/>
                <w:bCs/>
                <w:color w:val="000000"/>
                <w:sz w:val="18"/>
                <w:szCs w:val="18"/>
              </w:rPr>
            </w:pPr>
            <w:r w:rsidRPr="006A5E25">
              <w:rPr>
                <w:rFonts w:eastAsia="Calibri"/>
                <w:b/>
                <w:bCs/>
                <w:color w:val="000000"/>
                <w:sz w:val="18"/>
                <w:szCs w:val="18"/>
              </w:rPr>
              <w:t>Annual Burden Hours</w:t>
            </w:r>
          </w:p>
        </w:tc>
        <w:tc>
          <w:tcPr>
            <w:tcW w:w="1065" w:type="dxa"/>
            <w:shd w:val="clear" w:color="auto" w:fill="auto"/>
            <w:tcMar>
              <w:top w:w="0" w:type="dxa"/>
              <w:left w:w="108" w:type="dxa"/>
              <w:bottom w:w="0" w:type="dxa"/>
              <w:right w:w="108" w:type="dxa"/>
            </w:tcMar>
            <w:hideMark/>
          </w:tcPr>
          <w:p w:rsidR="00167E53" w:rsidRPr="006A5E25" w:rsidP="00167E53" w14:paraId="7633FB9F" w14:textId="77777777">
            <w:pPr>
              <w:adjustRightInd/>
              <w:jc w:val="center"/>
              <w:textAlignment w:val="auto"/>
              <w:rPr>
                <w:rFonts w:eastAsia="Calibri"/>
                <w:b/>
                <w:bCs/>
                <w:color w:val="000000"/>
                <w:sz w:val="18"/>
                <w:szCs w:val="18"/>
              </w:rPr>
            </w:pPr>
            <w:r w:rsidRPr="006A5E25">
              <w:rPr>
                <w:rFonts w:eastAsia="Calibri"/>
                <w:b/>
                <w:bCs/>
                <w:color w:val="000000"/>
                <w:sz w:val="18"/>
                <w:szCs w:val="18"/>
              </w:rPr>
              <w:t>Hourly Cost Per Response</w:t>
            </w:r>
          </w:p>
        </w:tc>
        <w:tc>
          <w:tcPr>
            <w:tcW w:w="1016" w:type="dxa"/>
            <w:shd w:val="clear" w:color="auto" w:fill="auto"/>
            <w:tcMar>
              <w:top w:w="0" w:type="dxa"/>
              <w:left w:w="108" w:type="dxa"/>
              <w:bottom w:w="0" w:type="dxa"/>
              <w:right w:w="108" w:type="dxa"/>
            </w:tcMar>
          </w:tcPr>
          <w:p w:rsidR="00167E53" w:rsidRPr="006A5E25" w:rsidP="00167E53" w14:paraId="4348ECB6" w14:textId="77777777">
            <w:pPr>
              <w:overflowPunct/>
              <w:autoSpaceDE/>
              <w:autoSpaceDN/>
              <w:adjustRightInd/>
              <w:jc w:val="center"/>
              <w:textAlignment w:val="auto"/>
              <w:rPr>
                <w:rFonts w:eastAsia="Calibri"/>
                <w:b/>
                <w:bCs/>
                <w:color w:val="000000"/>
                <w:sz w:val="18"/>
                <w:szCs w:val="18"/>
              </w:rPr>
            </w:pPr>
            <w:r w:rsidRPr="006A5E25">
              <w:rPr>
                <w:rFonts w:eastAsia="Calibri"/>
                <w:b/>
                <w:bCs/>
                <w:color w:val="000000"/>
                <w:sz w:val="18"/>
                <w:szCs w:val="18"/>
              </w:rPr>
              <w:t>Annual Cost</w:t>
            </w:r>
          </w:p>
          <w:p w:rsidR="00167E53" w:rsidRPr="006A5E25" w:rsidP="00167E53" w14:paraId="5FADD5F6" w14:textId="77777777">
            <w:pPr>
              <w:adjustRightInd/>
              <w:jc w:val="center"/>
              <w:textAlignment w:val="auto"/>
              <w:rPr>
                <w:rFonts w:eastAsia="Calibri"/>
                <w:b/>
                <w:bCs/>
                <w:color w:val="000000"/>
                <w:sz w:val="18"/>
                <w:szCs w:val="18"/>
              </w:rPr>
            </w:pPr>
          </w:p>
        </w:tc>
      </w:tr>
      <w:tr w14:paraId="1F2840D6" w14:textId="77777777" w:rsidTr="006A5E25">
        <w:tblPrEx>
          <w:tblW w:w="10160" w:type="dxa"/>
          <w:tblInd w:w="-100" w:type="dxa"/>
          <w:tblCellMar>
            <w:left w:w="0" w:type="dxa"/>
            <w:right w:w="0" w:type="dxa"/>
          </w:tblCellMar>
          <w:tblLook w:val="04A0"/>
        </w:tblPrEx>
        <w:tc>
          <w:tcPr>
            <w:tcW w:w="2340" w:type="dxa"/>
            <w:shd w:val="clear" w:color="auto" w:fill="auto"/>
            <w:tcMar>
              <w:top w:w="0" w:type="dxa"/>
              <w:left w:w="108" w:type="dxa"/>
              <w:bottom w:w="0" w:type="dxa"/>
              <w:right w:w="108" w:type="dxa"/>
            </w:tcMar>
          </w:tcPr>
          <w:p w:rsidR="001F647C" w:rsidRPr="006A5E25" w:rsidP="001F647C" w14:paraId="3F8409FC" w14:textId="286A6EFB">
            <w:pPr>
              <w:adjustRightInd/>
              <w:textAlignment w:val="auto"/>
              <w:rPr>
                <w:rFonts w:eastAsia="Calibri"/>
                <w:color w:val="000000"/>
                <w:sz w:val="18"/>
                <w:szCs w:val="18"/>
              </w:rPr>
            </w:pPr>
            <w:r w:rsidRPr="006A5E25">
              <w:rPr>
                <w:rFonts w:eastAsia="Calibri"/>
                <w:color w:val="000000"/>
                <w:sz w:val="18"/>
                <w:szCs w:val="18"/>
              </w:rPr>
              <w:t>Certification that borrower is a native Hawaiian</w:t>
            </w:r>
          </w:p>
        </w:tc>
        <w:tc>
          <w:tcPr>
            <w:tcW w:w="1120" w:type="dxa"/>
            <w:shd w:val="clear" w:color="auto" w:fill="auto"/>
            <w:tcMar>
              <w:top w:w="0" w:type="dxa"/>
              <w:left w:w="108" w:type="dxa"/>
              <w:bottom w:w="0" w:type="dxa"/>
              <w:right w:w="108" w:type="dxa"/>
            </w:tcMar>
          </w:tcPr>
          <w:p w:rsidR="001F647C" w:rsidRPr="006A5E25" w:rsidP="001F647C" w14:paraId="477FDF2A" w14:textId="3B74250D">
            <w:pPr>
              <w:adjustRightInd/>
              <w:jc w:val="center"/>
              <w:textAlignment w:val="auto"/>
              <w:rPr>
                <w:rFonts w:eastAsia="Calibri"/>
                <w:color w:val="000000"/>
                <w:sz w:val="18"/>
                <w:szCs w:val="18"/>
              </w:rPr>
            </w:pPr>
            <w:r w:rsidRPr="006A5E25">
              <w:rPr>
                <w:sz w:val="18"/>
                <w:szCs w:val="18"/>
              </w:rPr>
              <w:t>310</w:t>
            </w:r>
          </w:p>
        </w:tc>
        <w:tc>
          <w:tcPr>
            <w:tcW w:w="1310" w:type="dxa"/>
            <w:shd w:val="clear" w:color="auto" w:fill="auto"/>
            <w:tcMar>
              <w:top w:w="0" w:type="dxa"/>
              <w:left w:w="108" w:type="dxa"/>
              <w:bottom w:w="0" w:type="dxa"/>
              <w:right w:w="108" w:type="dxa"/>
            </w:tcMar>
          </w:tcPr>
          <w:p w:rsidR="001F647C" w:rsidRPr="006A5E25" w:rsidP="001F647C" w14:paraId="0FA12733" w14:textId="60112677">
            <w:pPr>
              <w:adjustRightInd/>
              <w:jc w:val="center"/>
              <w:textAlignment w:val="auto"/>
              <w:rPr>
                <w:rFonts w:eastAsia="Calibri"/>
                <w:color w:val="000000"/>
                <w:sz w:val="18"/>
                <w:szCs w:val="18"/>
              </w:rPr>
            </w:pPr>
            <w:r w:rsidRPr="006A5E25">
              <w:rPr>
                <w:rFonts w:eastAsia="Calibri"/>
                <w:color w:val="000000"/>
                <w:sz w:val="18"/>
                <w:szCs w:val="18"/>
              </w:rPr>
              <w:t>1</w:t>
            </w:r>
          </w:p>
        </w:tc>
        <w:tc>
          <w:tcPr>
            <w:tcW w:w="1260" w:type="dxa"/>
            <w:shd w:val="clear" w:color="auto" w:fill="auto"/>
            <w:tcMar>
              <w:top w:w="0" w:type="dxa"/>
              <w:left w:w="108" w:type="dxa"/>
              <w:bottom w:w="0" w:type="dxa"/>
              <w:right w:w="108" w:type="dxa"/>
            </w:tcMar>
          </w:tcPr>
          <w:p w:rsidR="001F647C" w:rsidRPr="006A5E25" w:rsidP="001F647C" w14:paraId="34699A4F" w14:textId="7B14302E">
            <w:pPr>
              <w:adjustRightInd/>
              <w:jc w:val="center"/>
              <w:textAlignment w:val="auto"/>
              <w:rPr>
                <w:rFonts w:eastAsia="Calibri"/>
                <w:color w:val="000000"/>
                <w:sz w:val="18"/>
                <w:szCs w:val="18"/>
              </w:rPr>
            </w:pPr>
            <w:r w:rsidRPr="006A5E25">
              <w:rPr>
                <w:rFonts w:eastAsia="Calibri"/>
                <w:color w:val="000000"/>
                <w:sz w:val="18"/>
                <w:szCs w:val="18"/>
              </w:rPr>
              <w:t>310</w:t>
            </w:r>
          </w:p>
        </w:tc>
        <w:tc>
          <w:tcPr>
            <w:tcW w:w="1149" w:type="dxa"/>
            <w:shd w:val="clear" w:color="auto" w:fill="auto"/>
            <w:tcMar>
              <w:top w:w="0" w:type="dxa"/>
              <w:left w:w="108" w:type="dxa"/>
              <w:bottom w:w="0" w:type="dxa"/>
              <w:right w:w="108" w:type="dxa"/>
            </w:tcMar>
          </w:tcPr>
          <w:p w:rsidR="001F647C" w:rsidRPr="006A5E25" w:rsidP="001F647C" w14:paraId="525186D0" w14:textId="378C9ABD">
            <w:pPr>
              <w:adjustRightInd/>
              <w:jc w:val="center"/>
              <w:textAlignment w:val="auto"/>
              <w:rPr>
                <w:rFonts w:eastAsia="Calibri"/>
                <w:color w:val="000000"/>
                <w:sz w:val="18"/>
                <w:szCs w:val="18"/>
              </w:rPr>
            </w:pPr>
            <w:r w:rsidRPr="006A5E25">
              <w:rPr>
                <w:rFonts w:eastAsia="Calibri"/>
                <w:color w:val="000000"/>
                <w:sz w:val="18"/>
                <w:szCs w:val="18"/>
              </w:rPr>
              <w:t>.08</w:t>
            </w:r>
          </w:p>
        </w:tc>
        <w:tc>
          <w:tcPr>
            <w:tcW w:w="900" w:type="dxa"/>
            <w:shd w:val="clear" w:color="auto" w:fill="auto"/>
            <w:tcMar>
              <w:top w:w="0" w:type="dxa"/>
              <w:left w:w="108" w:type="dxa"/>
              <w:bottom w:w="0" w:type="dxa"/>
              <w:right w:w="108" w:type="dxa"/>
            </w:tcMar>
          </w:tcPr>
          <w:p w:rsidR="001F647C" w:rsidRPr="006A5E25" w:rsidP="001F647C" w14:paraId="1CADC9A8" w14:textId="11A76844">
            <w:pPr>
              <w:adjustRightInd/>
              <w:jc w:val="center"/>
              <w:textAlignment w:val="auto"/>
              <w:rPr>
                <w:rFonts w:eastAsia="Calibri"/>
                <w:color w:val="000000"/>
                <w:sz w:val="18"/>
                <w:szCs w:val="18"/>
              </w:rPr>
            </w:pPr>
            <w:r w:rsidRPr="006A5E25">
              <w:rPr>
                <w:rFonts w:eastAsia="Calibri"/>
                <w:color w:val="000000"/>
                <w:sz w:val="18"/>
                <w:szCs w:val="18"/>
              </w:rPr>
              <w:t>24.8</w:t>
            </w:r>
          </w:p>
        </w:tc>
        <w:tc>
          <w:tcPr>
            <w:tcW w:w="1065" w:type="dxa"/>
            <w:shd w:val="clear" w:color="auto" w:fill="auto"/>
            <w:tcMar>
              <w:top w:w="0" w:type="dxa"/>
              <w:left w:w="108" w:type="dxa"/>
              <w:bottom w:w="0" w:type="dxa"/>
              <w:right w:w="108" w:type="dxa"/>
            </w:tcMar>
          </w:tcPr>
          <w:p w:rsidR="001F647C" w:rsidRPr="006A5E25" w:rsidP="001F647C" w14:paraId="521E01AE" w14:textId="6A780B23">
            <w:pPr>
              <w:adjustRightInd/>
              <w:jc w:val="right"/>
              <w:textAlignment w:val="auto"/>
              <w:rPr>
                <w:rFonts w:eastAsia="Calibri"/>
                <w:color w:val="000000"/>
                <w:sz w:val="18"/>
                <w:szCs w:val="18"/>
              </w:rPr>
            </w:pPr>
            <w:r w:rsidRPr="006A5E25">
              <w:rPr>
                <w:rFonts w:eastAsia="Calibri"/>
                <w:color w:val="000000"/>
                <w:sz w:val="18"/>
                <w:szCs w:val="18"/>
              </w:rPr>
              <w:t>$47.14</w:t>
            </w:r>
          </w:p>
        </w:tc>
        <w:tc>
          <w:tcPr>
            <w:tcW w:w="1016" w:type="dxa"/>
            <w:shd w:val="clear" w:color="auto" w:fill="auto"/>
            <w:tcMar>
              <w:top w:w="0" w:type="dxa"/>
              <w:left w:w="108" w:type="dxa"/>
              <w:bottom w:w="0" w:type="dxa"/>
              <w:right w:w="108" w:type="dxa"/>
            </w:tcMar>
          </w:tcPr>
          <w:p w:rsidR="001F647C" w:rsidRPr="006A5E25" w:rsidP="006A5E25" w14:paraId="64334D45" w14:textId="697BCBA9">
            <w:pPr>
              <w:adjustRightInd/>
              <w:jc w:val="right"/>
              <w:textAlignment w:val="auto"/>
              <w:rPr>
                <w:rFonts w:eastAsia="Calibri"/>
                <w:color w:val="000000"/>
                <w:sz w:val="18"/>
                <w:szCs w:val="18"/>
              </w:rPr>
            </w:pPr>
            <w:r w:rsidRPr="006A5E25">
              <w:rPr>
                <w:rFonts w:eastAsia="Calibri"/>
                <w:color w:val="000000"/>
                <w:sz w:val="18"/>
                <w:szCs w:val="18"/>
              </w:rPr>
              <w:t>$1,169.07</w:t>
            </w:r>
          </w:p>
        </w:tc>
      </w:tr>
      <w:tr w14:paraId="49744982" w14:textId="77777777" w:rsidTr="006A5E25">
        <w:tblPrEx>
          <w:tblW w:w="10160" w:type="dxa"/>
          <w:tblInd w:w="-100" w:type="dxa"/>
          <w:tblCellMar>
            <w:left w:w="0" w:type="dxa"/>
            <w:right w:w="0" w:type="dxa"/>
          </w:tblCellMar>
          <w:tblLook w:val="04A0"/>
        </w:tblPrEx>
        <w:trPr>
          <w:trHeight w:val="85"/>
        </w:trPr>
        <w:tc>
          <w:tcPr>
            <w:tcW w:w="2340" w:type="dxa"/>
            <w:shd w:val="clear" w:color="auto" w:fill="auto"/>
            <w:tcMar>
              <w:top w:w="0" w:type="dxa"/>
              <w:left w:w="108" w:type="dxa"/>
              <w:bottom w:w="0" w:type="dxa"/>
              <w:right w:w="108" w:type="dxa"/>
            </w:tcMar>
          </w:tcPr>
          <w:p w:rsidR="001F647C" w:rsidRPr="006A5E25" w:rsidP="001F647C" w14:paraId="475BE289" w14:textId="499CBEB3">
            <w:pPr>
              <w:adjustRightInd/>
              <w:textAlignment w:val="auto"/>
              <w:rPr>
                <w:rFonts w:eastAsia="Calibri"/>
                <w:color w:val="000000"/>
                <w:sz w:val="18"/>
                <w:szCs w:val="18"/>
              </w:rPr>
            </w:pPr>
            <w:r w:rsidRPr="006A5E25">
              <w:rPr>
                <w:rFonts w:eastAsia="Calibri"/>
                <w:color w:val="000000"/>
                <w:sz w:val="18"/>
                <w:szCs w:val="18"/>
              </w:rPr>
              <w:t xml:space="preserve">Copy of lease on land in Hawaiian </w:t>
            </w:r>
            <w:r w:rsidRPr="006A5E25">
              <w:rPr>
                <w:rFonts w:eastAsia="Calibri"/>
                <w:color w:val="000000"/>
                <w:sz w:val="18"/>
                <w:szCs w:val="18"/>
              </w:rPr>
              <w:t>Home Lands</w:t>
            </w:r>
            <w:r w:rsidRPr="006A5E25">
              <w:rPr>
                <w:rFonts w:eastAsia="Calibri"/>
                <w:color w:val="000000"/>
                <w:sz w:val="18"/>
                <w:szCs w:val="18"/>
              </w:rPr>
              <w:t xml:space="preserve"> area</w:t>
            </w:r>
          </w:p>
        </w:tc>
        <w:tc>
          <w:tcPr>
            <w:tcW w:w="1120" w:type="dxa"/>
            <w:shd w:val="clear" w:color="auto" w:fill="auto"/>
            <w:tcMar>
              <w:top w:w="0" w:type="dxa"/>
              <w:left w:w="108" w:type="dxa"/>
              <w:bottom w:w="0" w:type="dxa"/>
              <w:right w:w="108" w:type="dxa"/>
            </w:tcMar>
          </w:tcPr>
          <w:p w:rsidR="001F647C" w:rsidRPr="006A5E25" w:rsidP="001F647C" w14:paraId="2B0E747E" w14:textId="2B356483">
            <w:pPr>
              <w:adjustRightInd/>
              <w:jc w:val="center"/>
              <w:textAlignment w:val="auto"/>
              <w:rPr>
                <w:rFonts w:eastAsia="Calibri"/>
                <w:color w:val="000000"/>
                <w:sz w:val="18"/>
                <w:szCs w:val="18"/>
              </w:rPr>
            </w:pPr>
            <w:r w:rsidRPr="006A5E25">
              <w:rPr>
                <w:sz w:val="18"/>
                <w:szCs w:val="18"/>
              </w:rPr>
              <w:t>310</w:t>
            </w:r>
          </w:p>
        </w:tc>
        <w:tc>
          <w:tcPr>
            <w:tcW w:w="1310" w:type="dxa"/>
            <w:shd w:val="clear" w:color="auto" w:fill="auto"/>
            <w:tcMar>
              <w:top w:w="0" w:type="dxa"/>
              <w:left w:w="108" w:type="dxa"/>
              <w:bottom w:w="0" w:type="dxa"/>
              <w:right w:w="108" w:type="dxa"/>
            </w:tcMar>
          </w:tcPr>
          <w:p w:rsidR="001F647C" w:rsidRPr="006A5E25" w:rsidP="001F647C" w14:paraId="6497CDA1" w14:textId="00CE7178">
            <w:pPr>
              <w:adjustRightInd/>
              <w:jc w:val="center"/>
              <w:textAlignment w:val="auto"/>
              <w:rPr>
                <w:rFonts w:eastAsia="Calibri"/>
                <w:color w:val="000000"/>
                <w:sz w:val="18"/>
                <w:szCs w:val="18"/>
              </w:rPr>
            </w:pPr>
            <w:r w:rsidRPr="006A5E25">
              <w:rPr>
                <w:rFonts w:eastAsia="Calibri"/>
                <w:color w:val="000000"/>
                <w:sz w:val="18"/>
                <w:szCs w:val="18"/>
              </w:rPr>
              <w:t>1</w:t>
            </w:r>
          </w:p>
        </w:tc>
        <w:tc>
          <w:tcPr>
            <w:tcW w:w="1260" w:type="dxa"/>
            <w:shd w:val="clear" w:color="auto" w:fill="auto"/>
            <w:tcMar>
              <w:top w:w="0" w:type="dxa"/>
              <w:left w:w="108" w:type="dxa"/>
              <w:bottom w:w="0" w:type="dxa"/>
              <w:right w:w="108" w:type="dxa"/>
            </w:tcMar>
          </w:tcPr>
          <w:p w:rsidR="001F647C" w:rsidRPr="006A5E25" w:rsidP="001F647C" w14:paraId="2EB87ABF" w14:textId="0569DE95">
            <w:pPr>
              <w:adjustRightInd/>
              <w:jc w:val="center"/>
              <w:textAlignment w:val="auto"/>
              <w:rPr>
                <w:rFonts w:eastAsia="Calibri"/>
                <w:color w:val="000000"/>
                <w:sz w:val="18"/>
                <w:szCs w:val="18"/>
              </w:rPr>
            </w:pPr>
            <w:r w:rsidRPr="006A5E25">
              <w:rPr>
                <w:rFonts w:eastAsia="Calibri"/>
                <w:color w:val="000000"/>
                <w:sz w:val="18"/>
                <w:szCs w:val="18"/>
              </w:rPr>
              <w:t>310</w:t>
            </w:r>
          </w:p>
        </w:tc>
        <w:tc>
          <w:tcPr>
            <w:tcW w:w="1149" w:type="dxa"/>
            <w:shd w:val="clear" w:color="auto" w:fill="auto"/>
            <w:tcMar>
              <w:top w:w="0" w:type="dxa"/>
              <w:left w:w="108" w:type="dxa"/>
              <w:bottom w:w="0" w:type="dxa"/>
              <w:right w:w="108" w:type="dxa"/>
            </w:tcMar>
          </w:tcPr>
          <w:p w:rsidR="001F647C" w:rsidRPr="006A5E25" w:rsidP="001F647C" w14:paraId="7649C262" w14:textId="09A64ED9">
            <w:pPr>
              <w:adjustRightInd/>
              <w:jc w:val="center"/>
              <w:textAlignment w:val="auto"/>
              <w:rPr>
                <w:rFonts w:eastAsia="Calibri"/>
                <w:color w:val="000000"/>
                <w:sz w:val="18"/>
                <w:szCs w:val="18"/>
              </w:rPr>
            </w:pPr>
            <w:r w:rsidRPr="006A5E25">
              <w:rPr>
                <w:rFonts w:eastAsia="Calibri"/>
                <w:color w:val="000000"/>
                <w:sz w:val="18"/>
                <w:szCs w:val="18"/>
              </w:rPr>
              <w:t>.08</w:t>
            </w:r>
          </w:p>
        </w:tc>
        <w:tc>
          <w:tcPr>
            <w:tcW w:w="900" w:type="dxa"/>
            <w:shd w:val="clear" w:color="auto" w:fill="auto"/>
            <w:tcMar>
              <w:top w:w="0" w:type="dxa"/>
              <w:left w:w="108" w:type="dxa"/>
              <w:bottom w:w="0" w:type="dxa"/>
              <w:right w:w="108" w:type="dxa"/>
            </w:tcMar>
          </w:tcPr>
          <w:p w:rsidR="001F647C" w:rsidRPr="006A5E25" w:rsidP="001F647C" w14:paraId="06B31102" w14:textId="399E3E79">
            <w:pPr>
              <w:adjustRightInd/>
              <w:jc w:val="center"/>
              <w:textAlignment w:val="auto"/>
              <w:rPr>
                <w:rFonts w:eastAsia="Calibri"/>
                <w:color w:val="000000"/>
                <w:sz w:val="18"/>
                <w:szCs w:val="18"/>
              </w:rPr>
            </w:pPr>
            <w:r w:rsidRPr="006A5E25">
              <w:rPr>
                <w:rFonts w:eastAsia="Calibri"/>
                <w:color w:val="000000"/>
                <w:sz w:val="18"/>
                <w:szCs w:val="18"/>
              </w:rPr>
              <w:t>24.8</w:t>
            </w:r>
          </w:p>
        </w:tc>
        <w:tc>
          <w:tcPr>
            <w:tcW w:w="1065" w:type="dxa"/>
            <w:shd w:val="clear" w:color="auto" w:fill="auto"/>
            <w:tcMar>
              <w:top w:w="0" w:type="dxa"/>
              <w:left w:w="108" w:type="dxa"/>
              <w:bottom w:w="0" w:type="dxa"/>
              <w:right w:w="108" w:type="dxa"/>
            </w:tcMar>
          </w:tcPr>
          <w:p w:rsidR="001F647C" w:rsidRPr="006A5E25" w:rsidP="001F647C" w14:paraId="1EA02051" w14:textId="12DA3841">
            <w:pPr>
              <w:adjustRightInd/>
              <w:jc w:val="right"/>
              <w:textAlignment w:val="auto"/>
              <w:rPr>
                <w:rFonts w:eastAsia="Calibri"/>
                <w:color w:val="000000"/>
                <w:sz w:val="18"/>
                <w:szCs w:val="18"/>
              </w:rPr>
            </w:pPr>
            <w:r w:rsidRPr="006A5E25">
              <w:rPr>
                <w:rFonts w:eastAsia="Calibri"/>
                <w:color w:val="000000"/>
                <w:sz w:val="18"/>
                <w:szCs w:val="18"/>
              </w:rPr>
              <w:t>$47.14</w:t>
            </w:r>
          </w:p>
        </w:tc>
        <w:tc>
          <w:tcPr>
            <w:tcW w:w="1016" w:type="dxa"/>
            <w:shd w:val="clear" w:color="auto" w:fill="auto"/>
            <w:tcMar>
              <w:top w:w="0" w:type="dxa"/>
              <w:left w:w="108" w:type="dxa"/>
              <w:bottom w:w="0" w:type="dxa"/>
              <w:right w:w="108" w:type="dxa"/>
            </w:tcMar>
          </w:tcPr>
          <w:p w:rsidR="001F647C" w:rsidRPr="006A5E25" w:rsidP="006A5E25" w14:paraId="00048BD0" w14:textId="7B409F68">
            <w:pPr>
              <w:adjustRightInd/>
              <w:jc w:val="right"/>
              <w:textAlignment w:val="auto"/>
              <w:rPr>
                <w:rFonts w:eastAsia="Calibri"/>
                <w:color w:val="000000"/>
                <w:sz w:val="18"/>
                <w:szCs w:val="18"/>
              </w:rPr>
            </w:pPr>
            <w:r w:rsidRPr="006A5E25">
              <w:rPr>
                <w:rFonts w:eastAsia="Calibri"/>
                <w:color w:val="000000"/>
                <w:sz w:val="18"/>
                <w:szCs w:val="18"/>
              </w:rPr>
              <w:t>$1,169.07</w:t>
            </w:r>
          </w:p>
        </w:tc>
      </w:tr>
      <w:tr w14:paraId="7D4EF46E" w14:textId="77777777" w:rsidTr="006A5E25">
        <w:tblPrEx>
          <w:tblW w:w="10160" w:type="dxa"/>
          <w:tblInd w:w="-100" w:type="dxa"/>
          <w:tblCellMar>
            <w:left w:w="0" w:type="dxa"/>
            <w:right w:w="0" w:type="dxa"/>
          </w:tblCellMar>
          <w:tblLook w:val="04A0"/>
        </w:tblPrEx>
        <w:trPr>
          <w:trHeight w:val="85"/>
        </w:trPr>
        <w:tc>
          <w:tcPr>
            <w:tcW w:w="2340" w:type="dxa"/>
            <w:shd w:val="clear" w:color="auto" w:fill="auto"/>
            <w:tcMar>
              <w:top w:w="0" w:type="dxa"/>
              <w:left w:w="108" w:type="dxa"/>
              <w:bottom w:w="0" w:type="dxa"/>
              <w:right w:w="108" w:type="dxa"/>
            </w:tcMar>
          </w:tcPr>
          <w:p w:rsidR="00C96747" w:rsidRPr="006A5E25" w:rsidP="00C96747" w14:paraId="664C1361" w14:textId="0461B2FB">
            <w:pPr>
              <w:adjustRightInd/>
              <w:textAlignment w:val="auto"/>
              <w:rPr>
                <w:rFonts w:eastAsia="Calibri"/>
                <w:color w:val="000000" w:themeColor="text1"/>
                <w:sz w:val="18"/>
                <w:szCs w:val="18"/>
              </w:rPr>
            </w:pPr>
            <w:r w:rsidRPr="006A5E25">
              <w:rPr>
                <w:rFonts w:eastAsia="Calibri"/>
                <w:color w:val="000000" w:themeColor="text1"/>
                <w:sz w:val="18"/>
                <w:szCs w:val="18"/>
              </w:rPr>
              <w:t>Notice of delinquency</w:t>
            </w:r>
          </w:p>
        </w:tc>
        <w:tc>
          <w:tcPr>
            <w:tcW w:w="1120" w:type="dxa"/>
            <w:shd w:val="clear" w:color="auto" w:fill="auto"/>
            <w:tcMar>
              <w:top w:w="0" w:type="dxa"/>
              <w:left w:w="108" w:type="dxa"/>
              <w:bottom w:w="0" w:type="dxa"/>
              <w:right w:w="108" w:type="dxa"/>
            </w:tcMar>
          </w:tcPr>
          <w:p w:rsidR="00C96747" w:rsidRPr="006A5E25" w:rsidP="00C96747" w14:paraId="0F904E94" w14:textId="3722FCC7">
            <w:pPr>
              <w:adjustRightInd/>
              <w:jc w:val="center"/>
              <w:textAlignment w:val="auto"/>
              <w:rPr>
                <w:rFonts w:eastAsia="Calibri"/>
                <w:color w:val="000000" w:themeColor="text1"/>
                <w:sz w:val="18"/>
                <w:szCs w:val="18"/>
              </w:rPr>
            </w:pPr>
            <w:r w:rsidRPr="006A5E25">
              <w:rPr>
                <w:rFonts w:eastAsia="Calibri"/>
                <w:color w:val="000000" w:themeColor="text1"/>
                <w:sz w:val="18"/>
                <w:szCs w:val="18"/>
              </w:rPr>
              <w:t>13</w:t>
            </w:r>
          </w:p>
        </w:tc>
        <w:tc>
          <w:tcPr>
            <w:tcW w:w="1310" w:type="dxa"/>
            <w:shd w:val="clear" w:color="auto" w:fill="auto"/>
            <w:tcMar>
              <w:top w:w="0" w:type="dxa"/>
              <w:left w:w="108" w:type="dxa"/>
              <w:bottom w:w="0" w:type="dxa"/>
              <w:right w:w="108" w:type="dxa"/>
            </w:tcMar>
          </w:tcPr>
          <w:p w:rsidR="00C96747" w:rsidRPr="006A5E25" w:rsidP="00C96747" w14:paraId="2E232B2E" w14:textId="47F3457A">
            <w:pPr>
              <w:adjustRightInd/>
              <w:jc w:val="center"/>
              <w:textAlignment w:val="auto"/>
              <w:rPr>
                <w:rFonts w:eastAsia="Calibri"/>
                <w:color w:val="000000" w:themeColor="text1"/>
                <w:sz w:val="18"/>
                <w:szCs w:val="18"/>
              </w:rPr>
            </w:pPr>
            <w:r w:rsidRPr="006A5E25">
              <w:rPr>
                <w:rFonts w:eastAsia="Calibri"/>
                <w:color w:val="000000" w:themeColor="text1"/>
                <w:sz w:val="18"/>
                <w:szCs w:val="18"/>
              </w:rPr>
              <w:t>1</w:t>
            </w:r>
          </w:p>
        </w:tc>
        <w:tc>
          <w:tcPr>
            <w:tcW w:w="1260" w:type="dxa"/>
            <w:shd w:val="clear" w:color="auto" w:fill="auto"/>
            <w:tcMar>
              <w:top w:w="0" w:type="dxa"/>
              <w:left w:w="108" w:type="dxa"/>
              <w:bottom w:w="0" w:type="dxa"/>
              <w:right w:w="108" w:type="dxa"/>
            </w:tcMar>
          </w:tcPr>
          <w:p w:rsidR="00C96747" w:rsidRPr="006A5E25" w:rsidP="00C96747" w14:paraId="163C4C05" w14:textId="3AB55B47">
            <w:pPr>
              <w:adjustRightInd/>
              <w:jc w:val="center"/>
              <w:textAlignment w:val="auto"/>
              <w:rPr>
                <w:rFonts w:eastAsia="Calibri"/>
                <w:color w:val="000000" w:themeColor="text1"/>
                <w:sz w:val="18"/>
                <w:szCs w:val="18"/>
              </w:rPr>
            </w:pPr>
            <w:r w:rsidRPr="006A5E25">
              <w:rPr>
                <w:rFonts w:eastAsia="Calibri"/>
                <w:color w:val="000000" w:themeColor="text1"/>
                <w:sz w:val="18"/>
                <w:szCs w:val="18"/>
              </w:rPr>
              <w:t>13</w:t>
            </w:r>
          </w:p>
        </w:tc>
        <w:tc>
          <w:tcPr>
            <w:tcW w:w="1149" w:type="dxa"/>
            <w:shd w:val="clear" w:color="auto" w:fill="auto"/>
            <w:tcMar>
              <w:top w:w="0" w:type="dxa"/>
              <w:left w:w="108" w:type="dxa"/>
              <w:bottom w:w="0" w:type="dxa"/>
              <w:right w:w="108" w:type="dxa"/>
            </w:tcMar>
          </w:tcPr>
          <w:p w:rsidR="00C96747" w:rsidRPr="006A5E25" w:rsidP="00C96747" w14:paraId="223D1A29" w14:textId="6BD971F5">
            <w:pPr>
              <w:adjustRightInd/>
              <w:jc w:val="center"/>
              <w:textAlignment w:val="auto"/>
              <w:rPr>
                <w:rFonts w:eastAsia="Calibri"/>
                <w:color w:val="000000" w:themeColor="text1"/>
                <w:sz w:val="18"/>
                <w:szCs w:val="18"/>
              </w:rPr>
            </w:pPr>
            <w:r w:rsidRPr="006A5E25">
              <w:rPr>
                <w:rFonts w:eastAsia="Calibri"/>
                <w:color w:val="000000" w:themeColor="text1"/>
                <w:sz w:val="18"/>
                <w:szCs w:val="18"/>
              </w:rPr>
              <w:t>.</w:t>
            </w:r>
            <w:r w:rsidRPr="006A5E25" w:rsidR="00425C49">
              <w:rPr>
                <w:rFonts w:eastAsia="Calibri"/>
                <w:color w:val="000000" w:themeColor="text1"/>
                <w:sz w:val="18"/>
                <w:szCs w:val="18"/>
              </w:rPr>
              <w:t>42</w:t>
            </w:r>
          </w:p>
        </w:tc>
        <w:tc>
          <w:tcPr>
            <w:tcW w:w="900" w:type="dxa"/>
            <w:shd w:val="clear" w:color="auto" w:fill="auto"/>
            <w:tcMar>
              <w:top w:w="0" w:type="dxa"/>
              <w:left w:w="108" w:type="dxa"/>
              <w:bottom w:w="0" w:type="dxa"/>
              <w:right w:w="108" w:type="dxa"/>
            </w:tcMar>
          </w:tcPr>
          <w:p w:rsidR="00C96747" w:rsidRPr="006A5E25" w:rsidP="00C96747" w14:paraId="1D214F2B" w14:textId="13A7BAD4">
            <w:pPr>
              <w:adjustRightInd/>
              <w:jc w:val="center"/>
              <w:textAlignment w:val="auto"/>
              <w:rPr>
                <w:rFonts w:eastAsia="Calibri"/>
                <w:color w:val="000000" w:themeColor="text1"/>
                <w:sz w:val="18"/>
                <w:szCs w:val="18"/>
              </w:rPr>
            </w:pPr>
            <w:r w:rsidRPr="006A5E25">
              <w:rPr>
                <w:rFonts w:eastAsia="Calibri"/>
                <w:color w:val="000000" w:themeColor="text1"/>
                <w:sz w:val="18"/>
                <w:szCs w:val="18"/>
              </w:rPr>
              <w:t>5.46</w:t>
            </w:r>
          </w:p>
        </w:tc>
        <w:tc>
          <w:tcPr>
            <w:tcW w:w="1065" w:type="dxa"/>
            <w:shd w:val="clear" w:color="auto" w:fill="auto"/>
            <w:tcMar>
              <w:top w:w="0" w:type="dxa"/>
              <w:left w:w="108" w:type="dxa"/>
              <w:bottom w:w="0" w:type="dxa"/>
              <w:right w:w="108" w:type="dxa"/>
            </w:tcMar>
          </w:tcPr>
          <w:p w:rsidR="00C96747" w:rsidRPr="006A5E25" w:rsidP="00C96747" w14:paraId="21E6E7E9" w14:textId="617806D7">
            <w:pPr>
              <w:adjustRightInd/>
              <w:jc w:val="right"/>
              <w:textAlignment w:val="auto"/>
              <w:rPr>
                <w:rFonts w:eastAsia="Calibri"/>
                <w:color w:val="000000" w:themeColor="text1"/>
                <w:sz w:val="18"/>
                <w:szCs w:val="18"/>
              </w:rPr>
            </w:pPr>
            <w:r w:rsidRPr="006A5E25">
              <w:rPr>
                <w:rFonts w:eastAsia="Calibri"/>
                <w:color w:val="000000" w:themeColor="text1"/>
                <w:sz w:val="18"/>
                <w:szCs w:val="18"/>
              </w:rPr>
              <w:t>$</w:t>
            </w:r>
            <w:r w:rsidRPr="006A5E25" w:rsidR="00030904">
              <w:rPr>
                <w:rFonts w:eastAsia="Calibri"/>
                <w:color w:val="000000" w:themeColor="text1"/>
                <w:sz w:val="18"/>
                <w:szCs w:val="18"/>
              </w:rPr>
              <w:t>47.14</w:t>
            </w:r>
          </w:p>
        </w:tc>
        <w:tc>
          <w:tcPr>
            <w:tcW w:w="1016" w:type="dxa"/>
            <w:shd w:val="clear" w:color="auto" w:fill="auto"/>
            <w:tcMar>
              <w:top w:w="0" w:type="dxa"/>
              <w:left w:w="108" w:type="dxa"/>
              <w:bottom w:w="0" w:type="dxa"/>
              <w:right w:w="108" w:type="dxa"/>
            </w:tcMar>
          </w:tcPr>
          <w:p w:rsidR="00345048" w:rsidRPr="006A5E25" w:rsidP="006A5E25" w14:paraId="325B8D78" w14:textId="5B090E84">
            <w:pPr>
              <w:adjustRightInd/>
              <w:jc w:val="right"/>
              <w:textAlignment w:val="auto"/>
              <w:rPr>
                <w:rFonts w:eastAsia="Calibri"/>
                <w:color w:val="000000" w:themeColor="text1"/>
                <w:sz w:val="18"/>
                <w:szCs w:val="18"/>
              </w:rPr>
            </w:pPr>
            <w:r w:rsidRPr="006A5E25">
              <w:rPr>
                <w:rFonts w:eastAsia="Calibri"/>
                <w:color w:val="000000" w:themeColor="text1"/>
                <w:sz w:val="18"/>
                <w:szCs w:val="18"/>
              </w:rPr>
              <w:t>$257.38</w:t>
            </w:r>
          </w:p>
        </w:tc>
      </w:tr>
      <w:tr w14:paraId="2CA22B31" w14:textId="77777777" w:rsidTr="006A5E25">
        <w:tblPrEx>
          <w:tblW w:w="10160" w:type="dxa"/>
          <w:tblInd w:w="-100" w:type="dxa"/>
          <w:tblCellMar>
            <w:left w:w="0" w:type="dxa"/>
            <w:right w:w="0" w:type="dxa"/>
          </w:tblCellMar>
          <w:tblLook w:val="04A0"/>
        </w:tblPrEx>
        <w:trPr>
          <w:trHeight w:val="85"/>
        </w:trPr>
        <w:tc>
          <w:tcPr>
            <w:tcW w:w="2340" w:type="dxa"/>
            <w:shd w:val="clear" w:color="auto" w:fill="auto"/>
            <w:tcMar>
              <w:top w:w="0" w:type="dxa"/>
              <w:left w:w="108" w:type="dxa"/>
              <w:bottom w:w="0" w:type="dxa"/>
              <w:right w:w="108" w:type="dxa"/>
            </w:tcMar>
          </w:tcPr>
          <w:p w:rsidR="00DD2E5F" w:rsidRPr="006A5E25" w:rsidP="00C96747" w14:paraId="2AF9E663" w14:textId="4E01BE59">
            <w:pPr>
              <w:adjustRightInd/>
              <w:textAlignment w:val="auto"/>
              <w:rPr>
                <w:rFonts w:eastAsia="Calibri"/>
                <w:color w:val="000000" w:themeColor="text1"/>
                <w:sz w:val="18"/>
                <w:szCs w:val="18"/>
              </w:rPr>
            </w:pPr>
            <w:r w:rsidRPr="006A5E25">
              <w:rPr>
                <w:rFonts w:eastAsia="Calibri"/>
                <w:color w:val="000000" w:themeColor="text1"/>
                <w:sz w:val="18"/>
                <w:szCs w:val="18"/>
              </w:rPr>
              <w:t>Notice of default</w:t>
            </w:r>
          </w:p>
        </w:tc>
        <w:tc>
          <w:tcPr>
            <w:tcW w:w="1120" w:type="dxa"/>
            <w:shd w:val="clear" w:color="auto" w:fill="auto"/>
            <w:tcMar>
              <w:top w:w="0" w:type="dxa"/>
              <w:left w:w="108" w:type="dxa"/>
              <w:bottom w:w="0" w:type="dxa"/>
              <w:right w:w="108" w:type="dxa"/>
            </w:tcMar>
          </w:tcPr>
          <w:p w:rsidR="00DD2E5F" w:rsidRPr="006A5E25" w:rsidP="00C96747" w14:paraId="50082C45" w14:textId="45B6AA01">
            <w:pPr>
              <w:adjustRightInd/>
              <w:jc w:val="center"/>
              <w:textAlignment w:val="auto"/>
              <w:rPr>
                <w:rFonts w:eastAsia="Calibri"/>
                <w:color w:val="000000" w:themeColor="text1"/>
                <w:sz w:val="18"/>
                <w:szCs w:val="18"/>
              </w:rPr>
            </w:pPr>
            <w:r w:rsidRPr="006A5E25">
              <w:rPr>
                <w:rFonts w:eastAsia="Calibri"/>
                <w:color w:val="000000" w:themeColor="text1"/>
                <w:sz w:val="18"/>
                <w:szCs w:val="18"/>
              </w:rPr>
              <w:t>16</w:t>
            </w:r>
          </w:p>
        </w:tc>
        <w:tc>
          <w:tcPr>
            <w:tcW w:w="1310" w:type="dxa"/>
            <w:shd w:val="clear" w:color="auto" w:fill="auto"/>
            <w:tcMar>
              <w:top w:w="0" w:type="dxa"/>
              <w:left w:w="108" w:type="dxa"/>
              <w:bottom w:w="0" w:type="dxa"/>
              <w:right w:w="108" w:type="dxa"/>
            </w:tcMar>
          </w:tcPr>
          <w:p w:rsidR="00DD2E5F" w:rsidRPr="006A5E25" w:rsidP="00C96747" w14:paraId="649737C5" w14:textId="2BF9B2D8">
            <w:pPr>
              <w:adjustRightInd/>
              <w:jc w:val="center"/>
              <w:textAlignment w:val="auto"/>
              <w:rPr>
                <w:rFonts w:eastAsia="Calibri"/>
                <w:color w:val="000000" w:themeColor="text1"/>
                <w:sz w:val="18"/>
                <w:szCs w:val="18"/>
              </w:rPr>
            </w:pPr>
            <w:r w:rsidRPr="006A5E25">
              <w:rPr>
                <w:rFonts w:eastAsia="Calibri"/>
                <w:color w:val="000000" w:themeColor="text1"/>
                <w:sz w:val="18"/>
                <w:szCs w:val="18"/>
              </w:rPr>
              <w:t>1</w:t>
            </w:r>
          </w:p>
        </w:tc>
        <w:tc>
          <w:tcPr>
            <w:tcW w:w="1260" w:type="dxa"/>
            <w:shd w:val="clear" w:color="auto" w:fill="auto"/>
            <w:tcMar>
              <w:top w:w="0" w:type="dxa"/>
              <w:left w:w="108" w:type="dxa"/>
              <w:bottom w:w="0" w:type="dxa"/>
              <w:right w:w="108" w:type="dxa"/>
            </w:tcMar>
          </w:tcPr>
          <w:p w:rsidR="00DD2E5F" w:rsidRPr="006A5E25" w:rsidP="00C96747" w14:paraId="18435F34" w14:textId="45CE97EF">
            <w:pPr>
              <w:adjustRightInd/>
              <w:jc w:val="center"/>
              <w:textAlignment w:val="auto"/>
              <w:rPr>
                <w:rFonts w:eastAsia="Calibri"/>
                <w:color w:val="000000" w:themeColor="text1"/>
                <w:sz w:val="18"/>
                <w:szCs w:val="18"/>
              </w:rPr>
            </w:pPr>
            <w:r w:rsidRPr="006A5E25">
              <w:rPr>
                <w:rFonts w:eastAsia="Calibri"/>
                <w:color w:val="000000" w:themeColor="text1"/>
                <w:sz w:val="18"/>
                <w:szCs w:val="18"/>
              </w:rPr>
              <w:t>16</w:t>
            </w:r>
          </w:p>
        </w:tc>
        <w:tc>
          <w:tcPr>
            <w:tcW w:w="1149" w:type="dxa"/>
            <w:shd w:val="clear" w:color="auto" w:fill="auto"/>
            <w:tcMar>
              <w:top w:w="0" w:type="dxa"/>
              <w:left w:w="108" w:type="dxa"/>
              <w:bottom w:w="0" w:type="dxa"/>
              <w:right w:w="108" w:type="dxa"/>
            </w:tcMar>
          </w:tcPr>
          <w:p w:rsidR="00DD2E5F" w:rsidRPr="006A5E25" w:rsidP="00C96747" w14:paraId="6BA8112D" w14:textId="50453AAC">
            <w:pPr>
              <w:adjustRightInd/>
              <w:jc w:val="center"/>
              <w:textAlignment w:val="auto"/>
              <w:rPr>
                <w:rFonts w:eastAsia="Calibri"/>
                <w:color w:val="000000" w:themeColor="text1"/>
                <w:sz w:val="18"/>
                <w:szCs w:val="18"/>
              </w:rPr>
            </w:pPr>
            <w:r w:rsidRPr="006A5E25">
              <w:rPr>
                <w:rFonts w:eastAsia="Calibri"/>
                <w:color w:val="000000" w:themeColor="text1"/>
                <w:sz w:val="18"/>
                <w:szCs w:val="18"/>
              </w:rPr>
              <w:t>.50</w:t>
            </w:r>
          </w:p>
        </w:tc>
        <w:tc>
          <w:tcPr>
            <w:tcW w:w="900" w:type="dxa"/>
            <w:shd w:val="clear" w:color="auto" w:fill="auto"/>
            <w:tcMar>
              <w:top w:w="0" w:type="dxa"/>
              <w:left w:w="108" w:type="dxa"/>
              <w:bottom w:w="0" w:type="dxa"/>
              <w:right w:w="108" w:type="dxa"/>
            </w:tcMar>
          </w:tcPr>
          <w:p w:rsidR="00DD2E5F" w:rsidRPr="006A5E25" w:rsidP="00C96747" w14:paraId="29A7C989" w14:textId="794168E5">
            <w:pPr>
              <w:adjustRightInd/>
              <w:jc w:val="center"/>
              <w:textAlignment w:val="auto"/>
              <w:rPr>
                <w:rFonts w:eastAsia="Calibri"/>
                <w:color w:val="000000" w:themeColor="text1"/>
                <w:sz w:val="18"/>
                <w:szCs w:val="18"/>
              </w:rPr>
            </w:pPr>
            <w:r w:rsidRPr="006A5E25">
              <w:rPr>
                <w:rFonts w:eastAsia="Calibri"/>
                <w:color w:val="000000" w:themeColor="text1"/>
                <w:sz w:val="18"/>
                <w:szCs w:val="18"/>
              </w:rPr>
              <w:t>8</w:t>
            </w:r>
          </w:p>
        </w:tc>
        <w:tc>
          <w:tcPr>
            <w:tcW w:w="1065" w:type="dxa"/>
            <w:shd w:val="clear" w:color="auto" w:fill="auto"/>
            <w:tcMar>
              <w:top w:w="0" w:type="dxa"/>
              <w:left w:w="108" w:type="dxa"/>
              <w:bottom w:w="0" w:type="dxa"/>
              <w:right w:w="108" w:type="dxa"/>
            </w:tcMar>
          </w:tcPr>
          <w:p w:rsidR="00DD2E5F" w:rsidRPr="006A5E25" w:rsidP="00C96747" w14:paraId="24EB4CAF" w14:textId="4B2DDCA7">
            <w:pPr>
              <w:adjustRightInd/>
              <w:jc w:val="right"/>
              <w:textAlignment w:val="auto"/>
              <w:rPr>
                <w:rFonts w:eastAsia="Calibri"/>
                <w:color w:val="000000" w:themeColor="text1"/>
                <w:sz w:val="18"/>
                <w:szCs w:val="18"/>
              </w:rPr>
            </w:pPr>
            <w:r w:rsidRPr="006A5E25">
              <w:rPr>
                <w:rFonts w:eastAsia="Calibri"/>
                <w:color w:val="000000" w:themeColor="text1"/>
                <w:sz w:val="18"/>
                <w:szCs w:val="18"/>
              </w:rPr>
              <w:t>$</w:t>
            </w:r>
            <w:r w:rsidRPr="006A5E25" w:rsidR="00030904">
              <w:rPr>
                <w:rFonts w:eastAsia="Calibri"/>
                <w:color w:val="000000" w:themeColor="text1"/>
                <w:sz w:val="18"/>
                <w:szCs w:val="18"/>
              </w:rPr>
              <w:t>47.14</w:t>
            </w:r>
          </w:p>
        </w:tc>
        <w:tc>
          <w:tcPr>
            <w:tcW w:w="1016" w:type="dxa"/>
            <w:shd w:val="clear" w:color="auto" w:fill="auto"/>
            <w:tcMar>
              <w:top w:w="0" w:type="dxa"/>
              <w:left w:w="108" w:type="dxa"/>
              <w:bottom w:w="0" w:type="dxa"/>
              <w:right w:w="108" w:type="dxa"/>
            </w:tcMar>
          </w:tcPr>
          <w:p w:rsidR="00345048" w:rsidRPr="006A5E25" w:rsidP="006A5E25" w14:paraId="71E9AD16" w14:textId="0AD869E2">
            <w:pPr>
              <w:adjustRightInd/>
              <w:jc w:val="right"/>
              <w:textAlignment w:val="auto"/>
              <w:rPr>
                <w:rFonts w:eastAsia="Calibri"/>
                <w:color w:val="000000" w:themeColor="text1"/>
                <w:sz w:val="18"/>
                <w:szCs w:val="18"/>
              </w:rPr>
            </w:pPr>
            <w:r w:rsidRPr="006A5E25">
              <w:rPr>
                <w:rFonts w:eastAsia="Calibri"/>
                <w:color w:val="000000" w:themeColor="text1"/>
                <w:sz w:val="18"/>
                <w:szCs w:val="18"/>
              </w:rPr>
              <w:t>$377.12</w:t>
            </w:r>
          </w:p>
        </w:tc>
      </w:tr>
      <w:tr w14:paraId="02F986ED" w14:textId="77777777" w:rsidTr="006A5E25">
        <w:tblPrEx>
          <w:tblW w:w="10160" w:type="dxa"/>
          <w:tblInd w:w="-100" w:type="dxa"/>
          <w:tblCellMar>
            <w:left w:w="0" w:type="dxa"/>
            <w:right w:w="0" w:type="dxa"/>
          </w:tblCellMar>
          <w:tblLook w:val="04A0"/>
        </w:tblPrEx>
        <w:trPr>
          <w:trHeight w:val="85"/>
        </w:trPr>
        <w:tc>
          <w:tcPr>
            <w:tcW w:w="2340" w:type="dxa"/>
            <w:shd w:val="clear" w:color="auto" w:fill="auto"/>
            <w:tcMar>
              <w:top w:w="0" w:type="dxa"/>
              <w:left w:w="108" w:type="dxa"/>
              <w:bottom w:w="0" w:type="dxa"/>
              <w:right w:w="108" w:type="dxa"/>
            </w:tcMar>
          </w:tcPr>
          <w:p w:rsidR="00C96747" w:rsidRPr="006A5E25" w:rsidP="00C96747" w14:paraId="0C0196E4" w14:textId="66284B0D">
            <w:pPr>
              <w:adjustRightInd/>
              <w:textAlignment w:val="auto"/>
              <w:rPr>
                <w:rFonts w:eastAsia="Calibri"/>
                <w:b/>
                <w:bCs/>
                <w:color w:val="000000" w:themeColor="text1"/>
                <w:sz w:val="18"/>
                <w:szCs w:val="18"/>
              </w:rPr>
            </w:pPr>
            <w:r w:rsidRPr="006A5E25">
              <w:rPr>
                <w:rFonts w:eastAsia="Calibri"/>
                <w:b/>
                <w:bCs/>
                <w:color w:val="000000" w:themeColor="text1"/>
                <w:sz w:val="18"/>
                <w:szCs w:val="18"/>
              </w:rPr>
              <w:t>TOTALS</w:t>
            </w:r>
          </w:p>
        </w:tc>
        <w:tc>
          <w:tcPr>
            <w:tcW w:w="1120" w:type="dxa"/>
            <w:shd w:val="clear" w:color="auto" w:fill="auto"/>
            <w:tcMar>
              <w:top w:w="0" w:type="dxa"/>
              <w:left w:w="108" w:type="dxa"/>
              <w:bottom w:w="0" w:type="dxa"/>
              <w:right w:w="108" w:type="dxa"/>
            </w:tcMar>
          </w:tcPr>
          <w:p w:rsidR="00C96747" w:rsidRPr="006A5E25" w:rsidP="00C96747" w14:paraId="34066C57" w14:textId="2285E0F3">
            <w:pPr>
              <w:adjustRightInd/>
              <w:jc w:val="center"/>
              <w:textAlignment w:val="auto"/>
              <w:rPr>
                <w:rFonts w:eastAsia="Calibri"/>
                <w:b/>
                <w:bCs/>
                <w:color w:val="000000" w:themeColor="text1"/>
                <w:sz w:val="18"/>
                <w:szCs w:val="18"/>
              </w:rPr>
            </w:pPr>
            <w:r w:rsidRPr="006A5E25">
              <w:rPr>
                <w:rFonts w:eastAsia="Calibri"/>
                <w:b/>
                <w:bCs/>
                <w:color w:val="000000" w:themeColor="text1"/>
                <w:sz w:val="18"/>
                <w:szCs w:val="18"/>
              </w:rPr>
              <w:t>339</w:t>
            </w:r>
          </w:p>
        </w:tc>
        <w:tc>
          <w:tcPr>
            <w:tcW w:w="1310" w:type="dxa"/>
            <w:shd w:val="clear" w:color="auto" w:fill="auto"/>
            <w:tcMar>
              <w:top w:w="0" w:type="dxa"/>
              <w:left w:w="108" w:type="dxa"/>
              <w:bottom w:w="0" w:type="dxa"/>
              <w:right w:w="108" w:type="dxa"/>
            </w:tcMar>
          </w:tcPr>
          <w:p w:rsidR="00C96747" w:rsidRPr="006A5E25" w:rsidP="00C96747" w14:paraId="75771254" w14:textId="60D736F1">
            <w:pPr>
              <w:adjustRightInd/>
              <w:jc w:val="center"/>
              <w:textAlignment w:val="auto"/>
              <w:rPr>
                <w:rFonts w:eastAsia="Calibri"/>
                <w:b/>
                <w:bCs/>
                <w:color w:val="000000" w:themeColor="text1"/>
                <w:sz w:val="18"/>
                <w:szCs w:val="18"/>
              </w:rPr>
            </w:pPr>
          </w:p>
        </w:tc>
        <w:tc>
          <w:tcPr>
            <w:tcW w:w="1260" w:type="dxa"/>
            <w:shd w:val="clear" w:color="auto" w:fill="auto"/>
            <w:tcMar>
              <w:top w:w="0" w:type="dxa"/>
              <w:left w:w="108" w:type="dxa"/>
              <w:bottom w:w="0" w:type="dxa"/>
              <w:right w:w="108" w:type="dxa"/>
            </w:tcMar>
          </w:tcPr>
          <w:p w:rsidR="00C96747" w:rsidRPr="006A5E25" w:rsidP="00C96747" w14:paraId="740720B7" w14:textId="4DE2011C">
            <w:pPr>
              <w:adjustRightInd/>
              <w:jc w:val="center"/>
              <w:textAlignment w:val="auto"/>
              <w:rPr>
                <w:rFonts w:eastAsia="Calibri"/>
                <w:b/>
                <w:bCs/>
                <w:color w:val="000000" w:themeColor="text1"/>
                <w:sz w:val="18"/>
                <w:szCs w:val="18"/>
              </w:rPr>
            </w:pPr>
            <w:r w:rsidRPr="006A5E25">
              <w:rPr>
                <w:rFonts w:eastAsia="Calibri"/>
                <w:b/>
                <w:bCs/>
                <w:color w:val="000000" w:themeColor="text1"/>
                <w:sz w:val="18"/>
                <w:szCs w:val="18"/>
              </w:rPr>
              <w:t>3</w:t>
            </w:r>
            <w:r w:rsidRPr="006A5E25" w:rsidR="00D514BB">
              <w:rPr>
                <w:rFonts w:eastAsia="Calibri"/>
                <w:b/>
                <w:bCs/>
                <w:color w:val="000000" w:themeColor="text1"/>
                <w:sz w:val="18"/>
                <w:szCs w:val="18"/>
              </w:rPr>
              <w:t>39</w:t>
            </w:r>
          </w:p>
        </w:tc>
        <w:tc>
          <w:tcPr>
            <w:tcW w:w="1149" w:type="dxa"/>
            <w:shd w:val="clear" w:color="auto" w:fill="auto"/>
            <w:tcMar>
              <w:top w:w="0" w:type="dxa"/>
              <w:left w:w="108" w:type="dxa"/>
              <w:bottom w:w="0" w:type="dxa"/>
              <w:right w:w="108" w:type="dxa"/>
            </w:tcMar>
          </w:tcPr>
          <w:p w:rsidR="00C96747" w:rsidRPr="006A5E25" w:rsidP="00C96747" w14:paraId="507F0497" w14:textId="5897419D">
            <w:pPr>
              <w:adjustRightInd/>
              <w:jc w:val="center"/>
              <w:textAlignment w:val="auto"/>
              <w:rPr>
                <w:rFonts w:eastAsia="Calibri"/>
                <w:b/>
                <w:bCs/>
                <w:color w:val="000000" w:themeColor="text1"/>
                <w:sz w:val="18"/>
                <w:szCs w:val="18"/>
              </w:rPr>
            </w:pPr>
            <w:r w:rsidRPr="006A5E25">
              <w:rPr>
                <w:rFonts w:eastAsia="Calibri"/>
                <w:b/>
                <w:bCs/>
                <w:color w:val="000000" w:themeColor="text1"/>
                <w:sz w:val="18"/>
                <w:szCs w:val="18"/>
              </w:rPr>
              <w:t>1.</w:t>
            </w:r>
            <w:r w:rsidR="00C84B10">
              <w:rPr>
                <w:rFonts w:eastAsia="Calibri"/>
                <w:b/>
                <w:bCs/>
                <w:color w:val="000000" w:themeColor="text1"/>
                <w:sz w:val="18"/>
                <w:szCs w:val="18"/>
              </w:rPr>
              <w:t>0</w:t>
            </w:r>
            <w:r w:rsidRPr="006A5E25" w:rsidR="006A5E25">
              <w:rPr>
                <w:rFonts w:eastAsia="Calibri"/>
                <w:b/>
                <w:bCs/>
                <w:color w:val="000000" w:themeColor="text1"/>
                <w:sz w:val="18"/>
                <w:szCs w:val="18"/>
              </w:rPr>
              <w:t>8</w:t>
            </w:r>
          </w:p>
        </w:tc>
        <w:tc>
          <w:tcPr>
            <w:tcW w:w="900" w:type="dxa"/>
            <w:shd w:val="clear" w:color="auto" w:fill="auto"/>
            <w:tcMar>
              <w:top w:w="0" w:type="dxa"/>
              <w:left w:w="108" w:type="dxa"/>
              <w:bottom w:w="0" w:type="dxa"/>
              <w:right w:w="108" w:type="dxa"/>
            </w:tcMar>
          </w:tcPr>
          <w:p w:rsidR="00237D20" w:rsidRPr="006A5E25" w:rsidP="004138A2" w14:paraId="33DFF54A" w14:textId="16DE0B8B">
            <w:pPr>
              <w:adjustRightInd/>
              <w:jc w:val="center"/>
              <w:textAlignment w:val="auto"/>
              <w:rPr>
                <w:rFonts w:eastAsia="Calibri"/>
                <w:b/>
                <w:bCs/>
                <w:color w:val="000000" w:themeColor="text1"/>
                <w:sz w:val="18"/>
                <w:szCs w:val="18"/>
              </w:rPr>
            </w:pPr>
            <w:r w:rsidRPr="006A5E25">
              <w:rPr>
                <w:rFonts w:eastAsia="Calibri"/>
                <w:b/>
                <w:bCs/>
                <w:color w:val="000000" w:themeColor="text1"/>
                <w:sz w:val="18"/>
                <w:szCs w:val="18"/>
              </w:rPr>
              <w:t>63</w:t>
            </w:r>
            <w:r w:rsidRPr="006A5E25" w:rsidR="004138A2">
              <w:rPr>
                <w:rFonts w:eastAsia="Calibri"/>
                <w:b/>
                <w:bCs/>
                <w:color w:val="000000" w:themeColor="text1"/>
                <w:sz w:val="18"/>
                <w:szCs w:val="18"/>
              </w:rPr>
              <w:t>.06</w:t>
            </w:r>
          </w:p>
        </w:tc>
        <w:tc>
          <w:tcPr>
            <w:tcW w:w="1065" w:type="dxa"/>
            <w:shd w:val="clear" w:color="auto" w:fill="auto"/>
            <w:tcMar>
              <w:top w:w="0" w:type="dxa"/>
              <w:left w:w="108" w:type="dxa"/>
              <w:bottom w:w="0" w:type="dxa"/>
              <w:right w:w="108" w:type="dxa"/>
            </w:tcMar>
          </w:tcPr>
          <w:p w:rsidR="00C96747" w:rsidRPr="006A5E25" w:rsidP="00C96747" w14:paraId="31D1E8F5" w14:textId="77777777">
            <w:pPr>
              <w:adjustRightInd/>
              <w:jc w:val="right"/>
              <w:textAlignment w:val="auto"/>
              <w:rPr>
                <w:rFonts w:eastAsia="Calibri"/>
                <w:b/>
                <w:bCs/>
                <w:color w:val="000000" w:themeColor="text1"/>
                <w:sz w:val="18"/>
                <w:szCs w:val="18"/>
              </w:rPr>
            </w:pPr>
          </w:p>
        </w:tc>
        <w:tc>
          <w:tcPr>
            <w:tcW w:w="1016" w:type="dxa"/>
            <w:shd w:val="clear" w:color="auto" w:fill="auto"/>
            <w:tcMar>
              <w:top w:w="0" w:type="dxa"/>
              <w:left w:w="108" w:type="dxa"/>
              <w:bottom w:w="0" w:type="dxa"/>
              <w:right w:w="108" w:type="dxa"/>
            </w:tcMar>
          </w:tcPr>
          <w:p w:rsidR="00345048" w:rsidRPr="006A5E25" w:rsidP="006A5E25" w14:paraId="5CE2C702" w14:textId="20903D95">
            <w:pPr>
              <w:adjustRightInd/>
              <w:jc w:val="right"/>
              <w:textAlignment w:val="auto"/>
              <w:rPr>
                <w:rFonts w:eastAsia="Calibri"/>
                <w:b/>
                <w:bCs/>
                <w:color w:val="000000" w:themeColor="text1"/>
                <w:sz w:val="18"/>
                <w:szCs w:val="18"/>
              </w:rPr>
            </w:pPr>
            <w:r w:rsidRPr="006A5E25">
              <w:rPr>
                <w:rFonts w:eastAsia="Calibri"/>
                <w:b/>
                <w:bCs/>
                <w:color w:val="000000" w:themeColor="text1"/>
                <w:sz w:val="18"/>
                <w:szCs w:val="18"/>
              </w:rPr>
              <w:t>$2,972.6</w:t>
            </w:r>
            <w:r w:rsidR="00C84B10">
              <w:rPr>
                <w:rFonts w:eastAsia="Calibri"/>
                <w:b/>
                <w:bCs/>
                <w:color w:val="000000" w:themeColor="text1"/>
                <w:sz w:val="18"/>
                <w:szCs w:val="18"/>
              </w:rPr>
              <w:t>5</w:t>
            </w:r>
          </w:p>
        </w:tc>
      </w:tr>
      <w:bookmarkEnd w:id="1"/>
    </w:tbl>
    <w:p w:rsidR="00167E53"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98376C" w:rsidP="0098376C" w14:paraId="40C410F0" w14:textId="13D8C3B1">
      <w:pPr>
        <w:tabs>
          <w:tab w:val="left" w:pos="-720"/>
        </w:tabs>
        <w:suppressAutoHyphens/>
        <w:rPr>
          <w:sz w:val="24"/>
          <w:szCs w:val="24"/>
        </w:rPr>
      </w:pPr>
      <w:r w:rsidRPr="00685DEE">
        <w:rPr>
          <w:sz w:val="24"/>
          <w:szCs w:val="24"/>
        </w:rPr>
        <w:t>According to the U.S. Department of Labor, Bureau of Labor Statistics website (</w:t>
      </w:r>
      <w:hyperlink r:id="rId7" w:history="1">
        <w:r w:rsidRPr="00685DEE">
          <w:rPr>
            <w:rStyle w:val="Hyperlink"/>
            <w:sz w:val="24"/>
            <w:szCs w:val="24"/>
          </w:rPr>
          <w:t>www.bls.gov</w:t>
        </w:r>
      </w:hyperlink>
      <w:r w:rsidRPr="00685DEE">
        <w:rPr>
          <w:sz w:val="24"/>
          <w:szCs w:val="24"/>
        </w:rPr>
        <w:t xml:space="preserve">) the wage rate category for </w:t>
      </w:r>
      <w:r w:rsidRPr="00917D02">
        <w:rPr>
          <w:sz w:val="24"/>
          <w:szCs w:val="24"/>
        </w:rPr>
        <w:t>a</w:t>
      </w:r>
      <w:r>
        <w:rPr>
          <w:color w:val="0000FF"/>
          <w:sz w:val="24"/>
          <w:szCs w:val="24"/>
        </w:rPr>
        <w:t xml:space="preserve"> </w:t>
      </w:r>
      <w:r w:rsidRPr="004D12FC">
        <w:rPr>
          <w:b/>
          <w:bCs/>
          <w:sz w:val="24"/>
          <w:szCs w:val="24"/>
        </w:rPr>
        <w:t>Credit Analyst</w:t>
      </w:r>
      <w:r>
        <w:rPr>
          <w:b/>
          <w:bCs/>
          <w:sz w:val="24"/>
          <w:szCs w:val="24"/>
        </w:rPr>
        <w:t>s</w:t>
      </w:r>
      <w:r w:rsidRPr="004D12FC">
        <w:rPr>
          <w:b/>
          <w:bCs/>
          <w:sz w:val="24"/>
          <w:szCs w:val="24"/>
        </w:rPr>
        <w:t xml:space="preserve"> 13-2041</w:t>
      </w:r>
      <w:r w:rsidRPr="00685DEE">
        <w:rPr>
          <w:color w:val="0000FF"/>
          <w:sz w:val="24"/>
          <w:szCs w:val="24"/>
        </w:rPr>
        <w:t xml:space="preserve"> </w:t>
      </w:r>
      <w:r w:rsidRPr="00685DEE">
        <w:rPr>
          <w:sz w:val="24"/>
          <w:szCs w:val="24"/>
        </w:rPr>
        <w:t xml:space="preserve">is estimated to be </w:t>
      </w:r>
      <w:r w:rsidRPr="004D12FC">
        <w:rPr>
          <w:b/>
          <w:bCs/>
          <w:sz w:val="24"/>
          <w:szCs w:val="24"/>
        </w:rPr>
        <w:t>$</w:t>
      </w:r>
      <w:r w:rsidR="00030904">
        <w:rPr>
          <w:sz w:val="24"/>
          <w:szCs w:val="24"/>
        </w:rPr>
        <w:t xml:space="preserve">47.14 </w:t>
      </w:r>
      <w:r w:rsidRPr="00685DEE">
        <w:rPr>
          <w:sz w:val="24"/>
          <w:szCs w:val="24"/>
        </w:rPr>
        <w:t xml:space="preserve"> therefore, the estimated burden hour cost to respondents</w:t>
      </w:r>
      <w:r w:rsidRPr="00685DEE">
        <w:rPr>
          <w:color w:val="0000FF"/>
          <w:sz w:val="24"/>
          <w:szCs w:val="24"/>
        </w:rPr>
        <w:t xml:space="preserve"> </w:t>
      </w:r>
      <w:r w:rsidRPr="00685DEE">
        <w:rPr>
          <w:sz w:val="24"/>
          <w:szCs w:val="24"/>
        </w:rPr>
        <w:t xml:space="preserve">is estimated to </w:t>
      </w:r>
      <w:r w:rsidRPr="004D12FC">
        <w:rPr>
          <w:sz w:val="24"/>
          <w:szCs w:val="24"/>
        </w:rPr>
        <w:t xml:space="preserve">be </w:t>
      </w:r>
      <w:r w:rsidRPr="00BA157D">
        <w:rPr>
          <w:b/>
          <w:bCs/>
          <w:sz w:val="24"/>
          <w:szCs w:val="24"/>
        </w:rPr>
        <w:t>$</w:t>
      </w:r>
      <w:r w:rsidR="00345048">
        <w:rPr>
          <w:b/>
          <w:bCs/>
          <w:sz w:val="24"/>
          <w:szCs w:val="24"/>
        </w:rPr>
        <w:t>2,972.64</w:t>
      </w:r>
      <w:r w:rsidR="006344C0">
        <w:rPr>
          <w:b/>
          <w:bCs/>
          <w:sz w:val="24"/>
          <w:szCs w:val="24"/>
        </w:rPr>
        <w:t xml:space="preserve"> </w:t>
      </w:r>
      <w:r w:rsidRPr="00BA157D">
        <w:rPr>
          <w:sz w:val="24"/>
          <w:szCs w:val="24"/>
        </w:rPr>
        <w:t>annually</w:t>
      </w:r>
      <w:r w:rsidRPr="00685DEE">
        <w:rPr>
          <w:sz w:val="24"/>
          <w:szCs w:val="24"/>
        </w:rPr>
        <w:t>.</w:t>
      </w:r>
    </w:p>
    <w:p w:rsidR="0098376C" w:rsidRPr="00685DEE" w:rsidP="0098376C" w14:paraId="61E1DFD4" w14:textId="77777777">
      <w:pPr>
        <w:tabs>
          <w:tab w:val="left" w:pos="-720"/>
        </w:tabs>
        <w:suppressAutoHyphens/>
        <w:rPr>
          <w:sz w:val="24"/>
          <w:szCs w:val="24"/>
        </w:rPr>
      </w:pPr>
    </w:p>
    <w:p w:rsidR="0098376C" w:rsidP="0098376C" w14:paraId="3CCA9D48" w14:textId="77777777">
      <w:pPr>
        <w:keepLines/>
        <w:tabs>
          <w:tab w:val="left" w:pos="360"/>
          <w:tab w:val="left" w:pos="720"/>
        </w:tabs>
        <w:rPr>
          <w:sz w:val="24"/>
        </w:rPr>
      </w:pPr>
      <w:r w:rsidRPr="00BD78D1">
        <w:rPr>
          <w:sz w:val="24"/>
        </w:rPr>
        <w:t>Overall, burden hours have increased</w:t>
      </w:r>
      <w:r>
        <w:rPr>
          <w:sz w:val="24"/>
        </w:rPr>
        <w:t xml:space="preserve"> slightly</w:t>
      </w:r>
      <w:r w:rsidRPr="00BD78D1">
        <w:rPr>
          <w:sz w:val="24"/>
        </w:rPr>
        <w:t xml:space="preserve"> from the existing collection</w:t>
      </w:r>
      <w:r>
        <w:rPr>
          <w:sz w:val="24"/>
        </w:rPr>
        <w:t>.</w:t>
      </w:r>
      <w:r w:rsidRPr="00BD78D1">
        <w:rPr>
          <w:sz w:val="24"/>
        </w:rPr>
        <w:t xml:space="preserve"> </w:t>
      </w:r>
    </w:p>
    <w:p w:rsidR="006A5E25" w:rsidP="0098376C" w14:paraId="6773B2D5" w14:textId="77777777">
      <w:pPr>
        <w:keepLines/>
        <w:tabs>
          <w:tab w:val="left" w:pos="360"/>
          <w:tab w:val="left" w:pos="720"/>
        </w:tabs>
        <w:rPr>
          <w:sz w:val="24"/>
        </w:rPr>
      </w:pPr>
    </w:p>
    <w:p w:rsidR="0098376C" w:rsidP="00FA6A76" w14:paraId="271DD4F7" w14:textId="715AB2B8">
      <w:pPr>
        <w:keepLines/>
        <w:tabs>
          <w:tab w:val="left" w:pos="360"/>
          <w:tab w:val="left" w:pos="720"/>
          <w:tab w:val="center" w:pos="1680"/>
          <w:tab w:val="center" w:pos="3120"/>
          <w:tab w:val="center" w:pos="4560"/>
          <w:tab w:val="center" w:pos="6000"/>
          <w:tab w:val="center" w:pos="7440"/>
          <w:tab w:val="center" w:pos="8880"/>
        </w:tabs>
        <w:rPr>
          <w:sz w:val="24"/>
          <w:szCs w:val="24"/>
        </w:rPr>
      </w:pPr>
      <w:r>
        <w:rPr>
          <w:sz w:val="24"/>
          <w:szCs w:val="24"/>
        </w:rPr>
        <w:t>Table Notes:</w:t>
      </w:r>
    </w:p>
    <w:p w:rsidR="0098376C" w:rsidP="0098376C" w14:paraId="6A127879" w14:textId="63BACA0E">
      <w:pPr>
        <w:pStyle w:val="ListParagraph"/>
        <w:numPr>
          <w:ilvl w:val="0"/>
          <w:numId w:val="17"/>
        </w:numPr>
        <w:overflowPunct/>
        <w:snapToGrid w:val="0"/>
        <w:ind w:left="1080"/>
        <w:textAlignment w:val="auto"/>
        <w:rPr>
          <w:sz w:val="24"/>
        </w:rPr>
      </w:pPr>
      <w:r>
        <w:rPr>
          <w:sz w:val="24"/>
        </w:rPr>
        <w:t xml:space="preserve">For calendar years 2020-2023, </w:t>
      </w:r>
      <w:r w:rsidR="00A12E1B">
        <w:rPr>
          <w:sz w:val="24"/>
        </w:rPr>
        <w:t xml:space="preserve">HHL </w:t>
      </w:r>
      <w:r>
        <w:rPr>
          <w:sz w:val="24"/>
        </w:rPr>
        <w:t xml:space="preserve">lenders originated </w:t>
      </w:r>
      <w:r w:rsidR="00A12E1B">
        <w:rPr>
          <w:sz w:val="24"/>
        </w:rPr>
        <w:t xml:space="preserve">a total of </w:t>
      </w:r>
      <w:r>
        <w:rPr>
          <w:sz w:val="24"/>
        </w:rPr>
        <w:t xml:space="preserve">930 HHL mortgages.  </w:t>
      </w:r>
    </w:p>
    <w:p w:rsidR="0098376C" w:rsidRPr="00C62481" w:rsidP="0098376C" w14:paraId="61A49B10" w14:textId="3D549BB4">
      <w:pPr>
        <w:pStyle w:val="ListParagraph"/>
        <w:numPr>
          <w:ilvl w:val="0"/>
          <w:numId w:val="17"/>
        </w:numPr>
        <w:overflowPunct/>
        <w:snapToGrid w:val="0"/>
        <w:ind w:left="1080"/>
        <w:textAlignment w:val="auto"/>
        <w:rPr>
          <w:sz w:val="24"/>
        </w:rPr>
      </w:pPr>
      <w:r>
        <w:rPr>
          <w:sz w:val="24"/>
        </w:rPr>
        <w:t>The a</w:t>
      </w:r>
      <w:r w:rsidR="009A4804">
        <w:rPr>
          <w:sz w:val="24"/>
        </w:rPr>
        <w:t>nnual average</w:t>
      </w:r>
      <w:r>
        <w:rPr>
          <w:sz w:val="24"/>
        </w:rPr>
        <w:t xml:space="preserve"> of cases endorsed for insurance under this program is 310  (This average reflects a small increase from annual average cases reported in the prior Paperwork Reduction Act package submitted to the Office of Management and Budget</w:t>
      </w:r>
      <w:r w:rsidR="009A4804">
        <w:rPr>
          <w:sz w:val="24"/>
        </w:rPr>
        <w:t>)</w:t>
      </w:r>
      <w:r w:rsidR="0089218B">
        <w:rPr>
          <w:sz w:val="24"/>
        </w:rPr>
        <w:t>.</w:t>
      </w:r>
    </w:p>
    <w:p w:rsidR="0098376C" w:rsidRPr="00C62481" w:rsidP="0098376C" w14:paraId="02DD9E3E" w14:textId="4EBDA092">
      <w:pPr>
        <w:pStyle w:val="ListParagraph"/>
        <w:numPr>
          <w:ilvl w:val="0"/>
          <w:numId w:val="17"/>
        </w:numPr>
        <w:overflowPunct/>
        <w:snapToGrid w:val="0"/>
        <w:ind w:left="1080"/>
        <w:textAlignment w:val="auto"/>
        <w:rPr>
          <w:sz w:val="24"/>
        </w:rPr>
      </w:pPr>
      <w:r w:rsidRPr="00B82907">
        <w:rPr>
          <w:rFonts w:eastAsiaTheme="minorEastAsia" w:cstheme="minorBidi"/>
          <w:sz w:val="24"/>
        </w:rPr>
        <w:t>Th</w:t>
      </w:r>
      <w:r>
        <w:rPr>
          <w:rFonts w:eastAsiaTheme="minorEastAsia" w:cstheme="minorBidi"/>
          <w:sz w:val="24"/>
        </w:rPr>
        <w:t>is three</w:t>
      </w:r>
      <w:r w:rsidRPr="00B82907">
        <w:rPr>
          <w:rFonts w:eastAsiaTheme="minorEastAsia" w:cstheme="minorBidi"/>
          <w:sz w:val="24"/>
        </w:rPr>
        <w:t>-year average of</w:t>
      </w:r>
      <w:r>
        <w:rPr>
          <w:rFonts w:eastAsiaTheme="minorEastAsia" w:cstheme="minorBidi"/>
          <w:sz w:val="24"/>
        </w:rPr>
        <w:t xml:space="preserve"> 310 HHL</w:t>
      </w:r>
      <w:r w:rsidRPr="00B82907">
        <w:rPr>
          <w:rFonts w:eastAsiaTheme="minorEastAsia" w:cstheme="minorBidi"/>
          <w:sz w:val="24"/>
        </w:rPr>
        <w:t xml:space="preserve"> </w:t>
      </w:r>
      <w:r>
        <w:rPr>
          <w:rFonts w:eastAsiaTheme="minorEastAsia" w:cstheme="minorBidi"/>
          <w:sz w:val="24"/>
        </w:rPr>
        <w:t xml:space="preserve">mortgages </w:t>
      </w:r>
      <w:r w:rsidRPr="00B82907">
        <w:rPr>
          <w:rFonts w:eastAsiaTheme="minorEastAsia" w:cstheme="minorBidi"/>
          <w:sz w:val="24"/>
        </w:rPr>
        <w:t>endorsed</w:t>
      </w:r>
      <w:r w:rsidR="0089218B">
        <w:rPr>
          <w:rFonts w:eastAsiaTheme="minorEastAsia" w:cstheme="minorBidi"/>
          <w:sz w:val="24"/>
        </w:rPr>
        <w:t xml:space="preserve"> annually</w:t>
      </w:r>
      <w:r w:rsidRPr="00B82907">
        <w:rPr>
          <w:rFonts w:eastAsiaTheme="minorEastAsia" w:cstheme="minorBidi"/>
          <w:sz w:val="24"/>
        </w:rPr>
        <w:t xml:space="preserve"> </w:t>
      </w:r>
      <w:r>
        <w:rPr>
          <w:rFonts w:eastAsiaTheme="minorEastAsia" w:cstheme="minorBidi"/>
          <w:sz w:val="24"/>
        </w:rPr>
        <w:t xml:space="preserve">indicates that the on-going COVID 19 pandemic, which ended in May 2023, did not have any further impact on endorsements. It is believed that the rising numbers from the prior Paperwork Reduction Act submission indicated that lenders were seeking FHA insurance protection due to the risk associated with the pandemic, which can result in lower household income and an increase mortgage default.  </w:t>
      </w:r>
    </w:p>
    <w:p w:rsidR="0098376C" w:rsidRPr="00BB67B1" w:rsidP="0098376C" w14:paraId="0B0C5372" w14:textId="36031008">
      <w:pPr>
        <w:pStyle w:val="ListParagraph"/>
        <w:numPr>
          <w:ilvl w:val="0"/>
          <w:numId w:val="17"/>
        </w:numPr>
        <w:tabs>
          <w:tab w:val="left" w:pos="360"/>
          <w:tab w:val="left" w:pos="720"/>
        </w:tabs>
        <w:overflowPunct/>
        <w:snapToGrid w:val="0"/>
        <w:ind w:left="1080"/>
        <w:textAlignment w:val="auto"/>
        <w:rPr>
          <w:rFonts w:eastAsiaTheme="minorEastAsia"/>
          <w:color w:val="0070C0"/>
          <w:sz w:val="24"/>
          <w:szCs w:val="24"/>
        </w:rPr>
      </w:pPr>
      <w:r w:rsidRPr="00BB67B1">
        <w:rPr>
          <w:sz w:val="24"/>
        </w:rPr>
        <w:t xml:space="preserve">The total number of respondents is 23, reflecting the total number of FHA-approved lenders that originated mortgages during the </w:t>
      </w:r>
      <w:r>
        <w:rPr>
          <w:sz w:val="24"/>
        </w:rPr>
        <w:t>three</w:t>
      </w:r>
      <w:r w:rsidRPr="00BB67B1">
        <w:rPr>
          <w:sz w:val="24"/>
        </w:rPr>
        <w:t xml:space="preserve">-year </w:t>
      </w:r>
      <w:r w:rsidR="00D11856">
        <w:rPr>
          <w:sz w:val="24"/>
        </w:rPr>
        <w:t>calendar</w:t>
      </w:r>
      <w:r w:rsidRPr="00BB67B1">
        <w:rPr>
          <w:sz w:val="24"/>
        </w:rPr>
        <w:t xml:space="preserve"> year period ending 2023. For this collection, FHA adjusted the numbers of respondents to accurately reflect the number of lenders that participate in the HHL program, lending in the limited Hawaiian Home Lands area</w:t>
      </w:r>
      <w:r w:rsidR="003A0015">
        <w:rPr>
          <w:sz w:val="24"/>
        </w:rPr>
        <w:t xml:space="preserve"> versus the number of lenders that participate in FHA loan programs in general</w:t>
      </w:r>
      <w:r w:rsidRPr="00BB67B1">
        <w:rPr>
          <w:sz w:val="24"/>
        </w:rPr>
        <w:t>.</w:t>
      </w:r>
    </w:p>
    <w:p w:rsidR="0098376C" w:rsidRPr="00D953F7" w:rsidP="0098376C" w14:paraId="72E9E241" w14:textId="7DD815DE">
      <w:pPr>
        <w:pStyle w:val="ListParagraph"/>
        <w:numPr>
          <w:ilvl w:val="0"/>
          <w:numId w:val="17"/>
        </w:numPr>
        <w:tabs>
          <w:tab w:val="left" w:pos="360"/>
          <w:tab w:val="left" w:pos="720"/>
        </w:tabs>
        <w:overflowPunct/>
        <w:snapToGrid w:val="0"/>
        <w:ind w:left="1080"/>
        <w:textAlignment w:val="auto"/>
        <w:rPr>
          <w:rFonts w:eastAsiaTheme="minorEastAsia"/>
          <w:color w:val="0070C0"/>
          <w:sz w:val="24"/>
          <w:szCs w:val="24"/>
        </w:rPr>
      </w:pPr>
      <w:r w:rsidRPr="00CD6BAB">
        <w:rPr>
          <w:sz w:val="24"/>
        </w:rPr>
        <w:t>The average number of de</w:t>
      </w:r>
      <w:r w:rsidR="00FE3F2C">
        <w:rPr>
          <w:sz w:val="24"/>
        </w:rPr>
        <w:t>linquency</w:t>
      </w:r>
      <w:r w:rsidRPr="00CD6BAB">
        <w:rPr>
          <w:sz w:val="24"/>
        </w:rPr>
        <w:t xml:space="preserve"> reported </w:t>
      </w:r>
      <w:r>
        <w:rPr>
          <w:sz w:val="24"/>
        </w:rPr>
        <w:t>during calendar years 2020-2023</w:t>
      </w:r>
      <w:r w:rsidR="00345048">
        <w:rPr>
          <w:sz w:val="24"/>
        </w:rPr>
        <w:t xml:space="preserve"> of 13</w:t>
      </w:r>
      <w:r w:rsidRPr="00CD6BAB">
        <w:rPr>
          <w:sz w:val="24"/>
        </w:rPr>
        <w:t xml:space="preserve"> </w:t>
      </w:r>
      <w:r>
        <w:rPr>
          <w:sz w:val="24"/>
        </w:rPr>
        <w:t>represents a decrease from the prior PRA.</w:t>
      </w:r>
      <w:r w:rsidR="00345048">
        <w:rPr>
          <w:sz w:val="24"/>
        </w:rPr>
        <w:t xml:space="preserve"> </w:t>
      </w:r>
      <w:r>
        <w:rPr>
          <w:sz w:val="24"/>
        </w:rPr>
        <w:t xml:space="preserve">The previously high level of default can be attributed to </w:t>
      </w:r>
      <w:r w:rsidRPr="00CD6BAB">
        <w:rPr>
          <w:sz w:val="24"/>
        </w:rPr>
        <w:t>fiscal years 2020 and 2021</w:t>
      </w:r>
      <w:r>
        <w:rPr>
          <w:sz w:val="24"/>
        </w:rPr>
        <w:t xml:space="preserve">; the onset of COVID-19 pandemic. With the end of the pandemic and the stabilization of employment, delinquency levels have steadily decreased. </w:t>
      </w:r>
      <w:r w:rsidRPr="00D953F7">
        <w:rPr>
          <w:rFonts w:eastAsiaTheme="minorEastAsia"/>
          <w:sz w:val="24"/>
          <w:szCs w:val="24"/>
        </w:rPr>
        <w:t>These delinquencies represent loan payment</w:t>
      </w:r>
      <w:r>
        <w:rPr>
          <w:rFonts w:eastAsiaTheme="minorEastAsia"/>
          <w:sz w:val="24"/>
          <w:szCs w:val="24"/>
        </w:rPr>
        <w:t xml:space="preserve">s made </w:t>
      </w:r>
      <w:r w:rsidRPr="00D953F7">
        <w:rPr>
          <w:rFonts w:eastAsiaTheme="minorEastAsia"/>
          <w:sz w:val="24"/>
          <w:szCs w:val="24"/>
        </w:rPr>
        <w:t xml:space="preserve">30 days late </w:t>
      </w:r>
      <w:r>
        <w:rPr>
          <w:rFonts w:eastAsiaTheme="minorEastAsia"/>
          <w:sz w:val="24"/>
          <w:szCs w:val="24"/>
        </w:rPr>
        <w:t xml:space="preserve">(after due date) </w:t>
      </w:r>
      <w:r w:rsidRPr="00D953F7">
        <w:rPr>
          <w:rFonts w:eastAsiaTheme="minorEastAsia"/>
          <w:sz w:val="24"/>
          <w:szCs w:val="24"/>
        </w:rPr>
        <w:t>at least one time.  HUD’s reporting requirements allow the DHHL to act quickly with homeowners facing challenges.</w:t>
      </w:r>
      <w:r w:rsidR="00345048">
        <w:rPr>
          <w:rFonts w:eastAsiaTheme="minorEastAsia"/>
          <w:sz w:val="24"/>
          <w:szCs w:val="24"/>
        </w:rPr>
        <w:t xml:space="preserve"> The average number of defaults during this same period was 16.</w:t>
      </w:r>
      <w:r w:rsidR="006F2B13">
        <w:rPr>
          <w:rFonts w:eastAsiaTheme="minorEastAsia"/>
          <w:sz w:val="24"/>
          <w:szCs w:val="24"/>
        </w:rPr>
        <w:t xml:space="preserve"> Delinquency is typically described as a required payment being paid late or missed; default is when the</w:t>
      </w:r>
      <w:r w:rsidRPr="006F2B13" w:rsidR="006F2B13">
        <w:rPr>
          <w:rFonts w:eastAsiaTheme="minorEastAsia"/>
          <w:sz w:val="24"/>
          <w:szCs w:val="24"/>
        </w:rPr>
        <w:t> borrower fails to keep up with ongoing loan obligations or doesn't repay the loan according to the terms laid out in the promissory note </w:t>
      </w:r>
    </w:p>
    <w:p w:rsidR="0098376C" w:rsidRPr="006C7FAE" w:rsidP="00167E53" w14:paraId="6333BEA0"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rsidRPr="00B57771" w14:paraId="0CEE4D0B" w14:textId="77777777">
      <w:pPr>
        <w:tabs>
          <w:tab w:val="left" w:pos="360"/>
        </w:tabs>
        <w:ind w:left="360" w:hanging="360"/>
        <w:rPr>
          <w:b/>
          <w:bCs/>
          <w:sz w:val="24"/>
          <w:szCs w:val="24"/>
        </w:rPr>
      </w:pPr>
      <w:r w:rsidRPr="00B57771">
        <w:rPr>
          <w:b/>
          <w:bCs/>
          <w:sz w:val="24"/>
          <w:szCs w:val="24"/>
        </w:rPr>
        <w:t>13.</w:t>
      </w:r>
      <w:r w:rsidRPr="00B57771">
        <w:rPr>
          <w:b/>
          <w:bCs/>
          <w:sz w:val="24"/>
          <w:szCs w:val="24"/>
        </w:rPr>
        <w:tab/>
        <w:t>Provide an estimate of the total annual cost burden to respondents or recordkeepers resulting from the collection of information</w:t>
      </w:r>
      <w:r w:rsidRPr="00B57771">
        <w:rPr>
          <w:b/>
          <w:bCs/>
          <w:sz w:val="24"/>
          <w:szCs w:val="24"/>
        </w:rPr>
        <w:t>. (Do not include the cost of any hour burden already reflected on the burden worksheet</w:t>
      </w:r>
      <w:r w:rsidRPr="00B57771">
        <w:rPr>
          <w:b/>
          <w:bCs/>
          <w:sz w:val="24"/>
          <w:szCs w:val="24"/>
        </w:rPr>
        <w:t xml:space="preserve"> shown in Items 12 and 14).</w:t>
      </w:r>
    </w:p>
    <w:p w:rsidR="009E13B1" w:rsidRPr="00B57771" w14:paraId="2D0E6548" w14:textId="77777777">
      <w:pPr>
        <w:tabs>
          <w:tab w:val="left" w:pos="360"/>
        </w:tabs>
        <w:ind w:left="360" w:hanging="360"/>
        <w:rPr>
          <w:b/>
          <w:bCs/>
          <w:sz w:val="24"/>
          <w:szCs w:val="24"/>
        </w:rPr>
      </w:pPr>
      <w:r w:rsidRPr="00B57771">
        <w:rPr>
          <w:b/>
          <w:bCs/>
          <w:sz w:val="24"/>
          <w:szCs w:val="24"/>
        </w:rPr>
        <w:t xml:space="preserve"> </w:t>
      </w:r>
    </w:p>
    <w:p w:rsidR="009E13B1" w14:paraId="1C503D2C" w14:textId="77777777">
      <w:pPr>
        <w:numPr>
          <w:ilvl w:val="0"/>
          <w:numId w:val="14"/>
        </w:numPr>
        <w:tabs>
          <w:tab w:val="left" w:pos="360"/>
        </w:tabs>
        <w:ind w:left="480"/>
        <w:rPr>
          <w:b/>
          <w:bCs/>
          <w:sz w:val="24"/>
          <w:szCs w:val="24"/>
        </w:rPr>
      </w:pPr>
      <w:r w:rsidRPr="00B57771">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AA3F24" w:rsidP="00AA3F24" w14:paraId="64E588F5" w14:textId="77777777">
      <w:pPr>
        <w:tabs>
          <w:tab w:val="left" w:pos="360"/>
        </w:tabs>
        <w:rPr>
          <w:b/>
          <w:bCs/>
          <w:sz w:val="24"/>
          <w:szCs w:val="24"/>
        </w:rPr>
      </w:pPr>
    </w:p>
    <w:p w:rsidR="00AA3F24" w:rsidRPr="003701E6" w:rsidP="00AA3F24" w14:paraId="6D74CEBA" w14:textId="5A4DF5CC">
      <w:pPr>
        <w:pStyle w:val="BodyTextIndent2"/>
        <w:ind w:left="336"/>
      </w:pPr>
      <w:r>
        <w:tab/>
      </w:r>
      <w:r w:rsidRPr="003701E6">
        <w:t>There are no additional costs to respondents or recordkeepers resulting from the collection of information. Costs associated with total capital and start-up component</w:t>
      </w:r>
      <w:r>
        <w:t>s</w:t>
      </w:r>
      <w:r w:rsidRPr="003701E6">
        <w:t xml:space="preserve"> (annualized over its expected useful life) and total operation and maintenance, and purchase of services component</w:t>
      </w:r>
      <w:r>
        <w:t>s</w:t>
      </w:r>
      <w:r w:rsidRPr="003701E6">
        <w:t xml:space="preserve"> are customary and a standard part of </w:t>
      </w:r>
      <w:r>
        <w:t>a l</w:t>
      </w:r>
      <w:r w:rsidRPr="003701E6">
        <w:t>ender’s business.</w:t>
      </w:r>
    </w:p>
    <w:p w:rsidR="00AA3F24" w:rsidRPr="00B57771" w:rsidP="00AA3F24" w14:paraId="346C94AB" w14:textId="77777777">
      <w:pPr>
        <w:tabs>
          <w:tab w:val="left" w:pos="360"/>
        </w:tabs>
        <w:rPr>
          <w:b/>
          <w:bCs/>
          <w:sz w:val="24"/>
          <w:szCs w:val="24"/>
        </w:rPr>
      </w:pPr>
    </w:p>
    <w:p w:rsidR="009E13B1" w14:paraId="4D47756F" w14:textId="77777777">
      <w:pPr>
        <w:numPr>
          <w:ilvl w:val="0"/>
          <w:numId w:val="14"/>
        </w:numPr>
        <w:tabs>
          <w:tab w:val="left" w:pos="360"/>
        </w:tabs>
        <w:ind w:left="480"/>
        <w:rPr>
          <w:b/>
          <w:bCs/>
          <w:sz w:val="24"/>
          <w:szCs w:val="24"/>
        </w:rPr>
      </w:pPr>
      <w:r w:rsidRPr="00B57771">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A3F24" w:rsidP="00AA3F24" w14:paraId="2BD878FC" w14:textId="77777777">
      <w:pPr>
        <w:tabs>
          <w:tab w:val="left" w:pos="360"/>
        </w:tabs>
        <w:rPr>
          <w:b/>
          <w:bCs/>
          <w:sz w:val="24"/>
          <w:szCs w:val="24"/>
        </w:rPr>
      </w:pPr>
    </w:p>
    <w:p w:rsidR="00AA3F24" w:rsidRPr="00D23101" w:rsidP="00AA3F24" w14:paraId="7FA0C97A" w14:textId="49EA66C9">
      <w:pPr>
        <w:ind w:left="336"/>
        <w:rPr>
          <w:b/>
          <w:bCs/>
          <w:color w:val="000000"/>
          <w:sz w:val="24"/>
          <w:szCs w:val="24"/>
        </w:rPr>
      </w:pPr>
      <w:r w:rsidRPr="00D23101">
        <w:rPr>
          <w:sz w:val="24"/>
          <w:szCs w:val="24"/>
        </w:rPr>
        <w:t>Since there are no additional costs for HHL program participation, there are no reportable cost estimates that may be expected to vary widel</w:t>
      </w:r>
      <w:r>
        <w:rPr>
          <w:sz w:val="24"/>
          <w:szCs w:val="24"/>
        </w:rPr>
        <w:t>y.</w:t>
      </w:r>
    </w:p>
    <w:p w:rsidR="00AA3F24" w:rsidRPr="00B57771" w:rsidP="00AA3F24" w14:paraId="44807277" w14:textId="1F72F82C">
      <w:pPr>
        <w:tabs>
          <w:tab w:val="left" w:pos="360"/>
        </w:tabs>
        <w:rPr>
          <w:b/>
          <w:bCs/>
          <w:sz w:val="24"/>
          <w:szCs w:val="24"/>
        </w:rPr>
      </w:pPr>
      <w:r>
        <w:rPr>
          <w:b/>
          <w:bCs/>
          <w:sz w:val="24"/>
          <w:szCs w:val="24"/>
        </w:rPr>
        <w:tab/>
      </w:r>
    </w:p>
    <w:p w:rsidR="009E13B1" w14:paraId="497102DC" w14:textId="77777777">
      <w:pPr>
        <w:keepLines/>
        <w:numPr>
          <w:ilvl w:val="0"/>
          <w:numId w:val="14"/>
        </w:numPr>
        <w:tabs>
          <w:tab w:val="left" w:pos="360"/>
        </w:tabs>
        <w:spacing w:after="80"/>
        <w:ind w:left="480"/>
        <w:rPr>
          <w:b/>
          <w:bCs/>
          <w:sz w:val="24"/>
          <w:szCs w:val="24"/>
        </w:rPr>
      </w:pPr>
      <w:r w:rsidRPr="00B57771">
        <w:rPr>
          <w:b/>
          <w:bCs/>
          <w:sz w:val="24"/>
          <w:szCs w:val="24"/>
        </w:rPr>
        <w:t>G</w:t>
      </w:r>
      <w:r w:rsidRPr="00B57771">
        <w:rPr>
          <w:b/>
          <w:bCs/>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A3F24" w:rsidP="00AA3F24" w14:paraId="0D3F3D16" w14:textId="77777777">
      <w:pPr>
        <w:keepLines/>
        <w:tabs>
          <w:tab w:val="left" w:pos="360"/>
        </w:tabs>
        <w:spacing w:after="80"/>
        <w:rPr>
          <w:b/>
          <w:bCs/>
          <w:sz w:val="24"/>
          <w:szCs w:val="24"/>
        </w:rPr>
      </w:pPr>
    </w:p>
    <w:p w:rsidR="00AA3F24" w:rsidP="00AA3F24" w14:paraId="69477776" w14:textId="0BF09BC6">
      <w:pPr>
        <w:keepLines/>
        <w:tabs>
          <w:tab w:val="left" w:pos="360"/>
        </w:tabs>
        <w:spacing w:after="80"/>
        <w:ind w:left="336"/>
        <w:rPr>
          <w:sz w:val="24"/>
          <w:szCs w:val="24"/>
        </w:rPr>
      </w:pPr>
      <w:r>
        <w:rPr>
          <w:sz w:val="24"/>
          <w:szCs w:val="24"/>
        </w:rPr>
        <w:tab/>
      </w:r>
      <w:r w:rsidRPr="00D775AA">
        <w:rPr>
          <w:sz w:val="24"/>
          <w:szCs w:val="24"/>
        </w:rPr>
        <w:t xml:space="preserve">Since there are no additional costs for a consultant or </w:t>
      </w:r>
      <w:r>
        <w:rPr>
          <w:sz w:val="24"/>
          <w:szCs w:val="24"/>
        </w:rPr>
        <w:t>a l</w:t>
      </w:r>
      <w:r w:rsidRPr="00D775AA">
        <w:rPr>
          <w:sz w:val="24"/>
          <w:szCs w:val="24"/>
        </w:rPr>
        <w:t>ender’s origination of HHL participation and origination, there are no reportable estimates that include purchases or</w:t>
      </w:r>
      <w:r>
        <w:rPr>
          <w:sz w:val="24"/>
          <w:szCs w:val="24"/>
        </w:rPr>
        <w:t xml:space="preserve"> </w:t>
      </w:r>
      <w:r w:rsidRPr="00D775AA">
        <w:rPr>
          <w:sz w:val="24"/>
          <w:szCs w:val="24"/>
        </w:rPr>
        <w:t xml:space="preserve">equipment or services or a portion thereof. Costs for these items are a customary and usual business practice.  </w:t>
      </w:r>
    </w:p>
    <w:p w:rsidR="00AA3F24" w:rsidRPr="00B57771" w:rsidP="00AA3F24" w14:paraId="56D3870B" w14:textId="77777777">
      <w:pPr>
        <w:keepLines/>
        <w:tabs>
          <w:tab w:val="left" w:pos="360"/>
        </w:tabs>
        <w:spacing w:after="80"/>
        <w:rPr>
          <w:b/>
          <w:bCs/>
          <w:sz w:val="24"/>
          <w:szCs w:val="24"/>
        </w:rPr>
      </w:pPr>
    </w:p>
    <w:p w:rsidR="009E13B1" w14:paraId="0F877C1B" w14:textId="77777777">
      <w:pPr>
        <w:keepLines/>
        <w:tabs>
          <w:tab w:val="left" w:pos="360"/>
        </w:tabs>
        <w:spacing w:after="80"/>
        <w:ind w:left="360" w:hanging="360"/>
        <w:rPr>
          <w:b/>
          <w:bCs/>
          <w:sz w:val="24"/>
          <w:szCs w:val="24"/>
        </w:rPr>
      </w:pPr>
      <w:r w:rsidRPr="00B57771">
        <w:rPr>
          <w:b/>
          <w:bCs/>
          <w:sz w:val="24"/>
          <w:szCs w:val="24"/>
        </w:rPr>
        <w:t>14.</w:t>
      </w:r>
      <w:r w:rsidRPr="00B57771">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A5E25" w14:paraId="3160488F" w14:textId="77777777">
      <w:pPr>
        <w:keepLines/>
        <w:tabs>
          <w:tab w:val="left" w:pos="360"/>
        </w:tabs>
        <w:spacing w:after="80"/>
        <w:ind w:left="360" w:hanging="360"/>
        <w:rPr>
          <w:b/>
          <w:bCs/>
          <w:sz w:val="24"/>
          <w:szCs w:val="24"/>
        </w:rPr>
      </w:pPr>
    </w:p>
    <w:tbl>
      <w:tblPr>
        <w:tblW w:w="100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2250"/>
        <w:gridCol w:w="1260"/>
        <w:gridCol w:w="1170"/>
        <w:gridCol w:w="1260"/>
        <w:gridCol w:w="1170"/>
        <w:gridCol w:w="900"/>
        <w:gridCol w:w="1080"/>
        <w:gridCol w:w="990"/>
      </w:tblGrid>
      <w:tr w14:paraId="554BB6E3" w14:textId="77777777" w:rsidTr="00EB228A">
        <w:tblPrEx>
          <w:tblW w:w="100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Ex>
        <w:tc>
          <w:tcPr>
            <w:tcW w:w="2250" w:type="dxa"/>
            <w:tcMar>
              <w:top w:w="0" w:type="dxa"/>
              <w:left w:w="108" w:type="dxa"/>
              <w:bottom w:w="0" w:type="dxa"/>
              <w:right w:w="108" w:type="dxa"/>
            </w:tcMar>
            <w:hideMark/>
          </w:tcPr>
          <w:p w:rsidR="006A5E25" w:rsidRPr="006A5E25" w:rsidP="00EB228A" w14:paraId="0524DEE2" w14:textId="77777777">
            <w:pPr>
              <w:adjustRightInd/>
              <w:jc w:val="center"/>
              <w:textAlignment w:val="auto"/>
              <w:rPr>
                <w:rFonts w:eastAsia="Calibri"/>
                <w:b/>
                <w:bCs/>
                <w:color w:val="000000"/>
                <w:sz w:val="18"/>
                <w:szCs w:val="18"/>
              </w:rPr>
            </w:pPr>
            <w:r w:rsidRPr="006A5E25">
              <w:rPr>
                <w:rFonts w:eastAsia="Calibri"/>
                <w:b/>
                <w:bCs/>
                <w:color w:val="000000"/>
                <w:sz w:val="18"/>
                <w:szCs w:val="18"/>
              </w:rPr>
              <w:t>Information Collection</w:t>
            </w:r>
          </w:p>
        </w:tc>
        <w:tc>
          <w:tcPr>
            <w:tcW w:w="1260" w:type="dxa"/>
            <w:tcMar>
              <w:top w:w="0" w:type="dxa"/>
              <w:left w:w="108" w:type="dxa"/>
              <w:bottom w:w="0" w:type="dxa"/>
              <w:right w:w="108" w:type="dxa"/>
            </w:tcMar>
            <w:hideMark/>
          </w:tcPr>
          <w:p w:rsidR="006A5E25" w:rsidRPr="006A5E25" w:rsidP="00EB228A" w14:paraId="728728AA" w14:textId="77777777">
            <w:pPr>
              <w:adjustRightInd/>
              <w:textAlignment w:val="auto"/>
              <w:rPr>
                <w:rFonts w:eastAsia="Calibri"/>
                <w:b/>
                <w:bCs/>
                <w:color w:val="000000"/>
                <w:sz w:val="18"/>
                <w:szCs w:val="18"/>
              </w:rPr>
            </w:pPr>
            <w:r w:rsidRPr="006A5E25">
              <w:rPr>
                <w:rFonts w:eastAsia="Calibri"/>
                <w:b/>
                <w:bCs/>
                <w:color w:val="000000"/>
                <w:sz w:val="18"/>
                <w:szCs w:val="18"/>
              </w:rPr>
              <w:t>Number of Respondents</w:t>
            </w:r>
          </w:p>
        </w:tc>
        <w:tc>
          <w:tcPr>
            <w:tcW w:w="1170" w:type="dxa"/>
            <w:tcMar>
              <w:top w:w="0" w:type="dxa"/>
              <w:left w:w="108" w:type="dxa"/>
              <w:bottom w:w="0" w:type="dxa"/>
              <w:right w:w="108" w:type="dxa"/>
            </w:tcMar>
            <w:hideMark/>
          </w:tcPr>
          <w:p w:rsidR="006A5E25" w:rsidRPr="006A5E25" w:rsidP="00EB228A" w14:paraId="462FF42C" w14:textId="77777777">
            <w:pPr>
              <w:adjustRightInd/>
              <w:textAlignment w:val="auto"/>
              <w:rPr>
                <w:rFonts w:eastAsia="Calibri"/>
                <w:b/>
                <w:bCs/>
                <w:color w:val="000000"/>
                <w:sz w:val="18"/>
                <w:szCs w:val="18"/>
              </w:rPr>
            </w:pPr>
            <w:r w:rsidRPr="006A5E25">
              <w:rPr>
                <w:rFonts w:eastAsia="Calibri"/>
                <w:b/>
                <w:bCs/>
                <w:color w:val="000000"/>
                <w:sz w:val="18"/>
                <w:szCs w:val="18"/>
              </w:rPr>
              <w:t>Frequency of Response</w:t>
            </w:r>
          </w:p>
        </w:tc>
        <w:tc>
          <w:tcPr>
            <w:tcW w:w="1260" w:type="dxa"/>
            <w:tcMar>
              <w:top w:w="0" w:type="dxa"/>
              <w:left w:w="108" w:type="dxa"/>
              <w:bottom w:w="0" w:type="dxa"/>
              <w:right w:w="108" w:type="dxa"/>
            </w:tcMar>
            <w:hideMark/>
          </w:tcPr>
          <w:p w:rsidR="006A5E25" w:rsidRPr="006A5E25" w:rsidP="00EB228A" w14:paraId="38B723E9" w14:textId="77777777">
            <w:pPr>
              <w:overflowPunct/>
              <w:autoSpaceDE/>
              <w:autoSpaceDN/>
              <w:adjustRightInd/>
              <w:textAlignment w:val="auto"/>
              <w:rPr>
                <w:rFonts w:eastAsia="Calibri"/>
                <w:b/>
                <w:bCs/>
                <w:color w:val="000000"/>
                <w:sz w:val="18"/>
                <w:szCs w:val="18"/>
              </w:rPr>
            </w:pPr>
            <w:r w:rsidRPr="006A5E25">
              <w:rPr>
                <w:rFonts w:eastAsia="Calibri"/>
                <w:b/>
                <w:bCs/>
                <w:color w:val="000000"/>
                <w:sz w:val="18"/>
                <w:szCs w:val="18"/>
              </w:rPr>
              <w:t>Responses Per Annum</w:t>
            </w:r>
          </w:p>
        </w:tc>
        <w:tc>
          <w:tcPr>
            <w:tcW w:w="1170" w:type="dxa"/>
            <w:tcMar>
              <w:top w:w="0" w:type="dxa"/>
              <w:left w:w="108" w:type="dxa"/>
              <w:bottom w:w="0" w:type="dxa"/>
              <w:right w:w="108" w:type="dxa"/>
            </w:tcMar>
            <w:hideMark/>
          </w:tcPr>
          <w:p w:rsidR="006A5E25" w:rsidRPr="006A5E25" w:rsidP="00EB228A" w14:paraId="64E97902" w14:textId="77777777">
            <w:pPr>
              <w:adjustRightInd/>
              <w:textAlignment w:val="auto"/>
              <w:rPr>
                <w:rFonts w:eastAsia="Calibri"/>
                <w:b/>
                <w:bCs/>
                <w:color w:val="000000"/>
                <w:sz w:val="18"/>
                <w:szCs w:val="18"/>
              </w:rPr>
            </w:pPr>
            <w:r w:rsidRPr="006A5E25">
              <w:rPr>
                <w:rFonts w:eastAsia="Calibri"/>
                <w:b/>
                <w:bCs/>
                <w:color w:val="000000"/>
                <w:sz w:val="18"/>
                <w:szCs w:val="18"/>
              </w:rPr>
              <w:t>Burden Hour Per Response</w:t>
            </w:r>
          </w:p>
        </w:tc>
        <w:tc>
          <w:tcPr>
            <w:tcW w:w="900" w:type="dxa"/>
            <w:tcMar>
              <w:top w:w="0" w:type="dxa"/>
              <w:left w:w="108" w:type="dxa"/>
              <w:bottom w:w="0" w:type="dxa"/>
              <w:right w:w="108" w:type="dxa"/>
            </w:tcMar>
            <w:hideMark/>
          </w:tcPr>
          <w:p w:rsidR="006A5E25" w:rsidRPr="006A5E25" w:rsidP="00EB228A" w14:paraId="6BD439FC" w14:textId="77777777">
            <w:pPr>
              <w:adjustRightInd/>
              <w:textAlignment w:val="auto"/>
              <w:rPr>
                <w:rFonts w:eastAsia="Calibri"/>
                <w:b/>
                <w:bCs/>
                <w:color w:val="000000"/>
                <w:sz w:val="18"/>
                <w:szCs w:val="18"/>
              </w:rPr>
            </w:pPr>
            <w:r w:rsidRPr="006A5E25">
              <w:rPr>
                <w:rFonts w:eastAsia="Calibri"/>
                <w:b/>
                <w:bCs/>
                <w:color w:val="000000"/>
                <w:sz w:val="18"/>
                <w:szCs w:val="18"/>
              </w:rPr>
              <w:t>Annual Burden Hours</w:t>
            </w:r>
          </w:p>
        </w:tc>
        <w:tc>
          <w:tcPr>
            <w:tcW w:w="1080" w:type="dxa"/>
            <w:tcMar>
              <w:top w:w="0" w:type="dxa"/>
              <w:left w:w="108" w:type="dxa"/>
              <w:bottom w:w="0" w:type="dxa"/>
              <w:right w:w="108" w:type="dxa"/>
            </w:tcMar>
            <w:hideMark/>
          </w:tcPr>
          <w:p w:rsidR="006A5E25" w:rsidRPr="006A5E25" w:rsidP="00EB228A" w14:paraId="47C166D7" w14:textId="77777777">
            <w:pPr>
              <w:adjustRightInd/>
              <w:textAlignment w:val="auto"/>
              <w:rPr>
                <w:rFonts w:eastAsia="Calibri"/>
                <w:b/>
                <w:bCs/>
                <w:color w:val="000000"/>
                <w:sz w:val="18"/>
                <w:szCs w:val="18"/>
              </w:rPr>
            </w:pPr>
            <w:r w:rsidRPr="006A5E25">
              <w:rPr>
                <w:rFonts w:eastAsia="Calibri"/>
                <w:b/>
                <w:bCs/>
                <w:color w:val="000000"/>
                <w:sz w:val="18"/>
                <w:szCs w:val="18"/>
              </w:rPr>
              <w:t>Hourly Cost Per Response</w:t>
            </w:r>
          </w:p>
        </w:tc>
        <w:tc>
          <w:tcPr>
            <w:tcW w:w="990" w:type="dxa"/>
            <w:tcMar>
              <w:top w:w="0" w:type="dxa"/>
              <w:left w:w="108" w:type="dxa"/>
              <w:bottom w:w="0" w:type="dxa"/>
              <w:right w:w="108" w:type="dxa"/>
            </w:tcMar>
          </w:tcPr>
          <w:p w:rsidR="006A5E25" w:rsidRPr="006A5E25" w:rsidP="00EB228A" w14:paraId="61932E54" w14:textId="77777777">
            <w:pPr>
              <w:overflowPunct/>
              <w:autoSpaceDE/>
              <w:autoSpaceDN/>
              <w:adjustRightInd/>
              <w:textAlignment w:val="auto"/>
              <w:rPr>
                <w:rFonts w:eastAsia="Calibri"/>
                <w:b/>
                <w:bCs/>
                <w:color w:val="000000"/>
                <w:sz w:val="18"/>
                <w:szCs w:val="18"/>
              </w:rPr>
            </w:pPr>
            <w:r w:rsidRPr="006A5E25">
              <w:rPr>
                <w:rFonts w:eastAsia="Calibri"/>
                <w:b/>
                <w:bCs/>
                <w:color w:val="000000"/>
                <w:sz w:val="18"/>
                <w:szCs w:val="18"/>
              </w:rPr>
              <w:t>Annual Cost</w:t>
            </w:r>
          </w:p>
          <w:p w:rsidR="006A5E25" w:rsidRPr="006A5E25" w:rsidP="00EB228A" w14:paraId="66653FC1" w14:textId="77777777">
            <w:pPr>
              <w:adjustRightInd/>
              <w:jc w:val="center"/>
              <w:textAlignment w:val="auto"/>
              <w:rPr>
                <w:rFonts w:eastAsia="Calibri"/>
                <w:b/>
                <w:bCs/>
                <w:color w:val="000000"/>
                <w:sz w:val="18"/>
                <w:szCs w:val="18"/>
              </w:rPr>
            </w:pPr>
          </w:p>
        </w:tc>
      </w:tr>
      <w:tr w14:paraId="1B8F443F" w14:textId="77777777" w:rsidTr="00EB228A">
        <w:tblPrEx>
          <w:tblW w:w="10080" w:type="dxa"/>
          <w:tblInd w:w="-10" w:type="dxa"/>
          <w:tblLayout w:type="fixed"/>
          <w:tblCellMar>
            <w:left w:w="0" w:type="dxa"/>
            <w:right w:w="0" w:type="dxa"/>
          </w:tblCellMar>
          <w:tblLook w:val="04A0"/>
        </w:tblPrEx>
        <w:tc>
          <w:tcPr>
            <w:tcW w:w="2250" w:type="dxa"/>
            <w:tcMar>
              <w:top w:w="0" w:type="dxa"/>
              <w:left w:w="108" w:type="dxa"/>
              <w:bottom w:w="0" w:type="dxa"/>
              <w:right w:w="108" w:type="dxa"/>
            </w:tcMar>
          </w:tcPr>
          <w:p w:rsidR="006A5E25" w:rsidRPr="006A5E25" w:rsidP="00EB228A" w14:paraId="54B41242" w14:textId="77777777">
            <w:pPr>
              <w:adjustRightInd/>
              <w:textAlignment w:val="auto"/>
              <w:rPr>
                <w:rFonts w:eastAsia="Calibri"/>
                <w:color w:val="000000"/>
                <w:sz w:val="18"/>
                <w:szCs w:val="18"/>
              </w:rPr>
            </w:pPr>
            <w:r w:rsidRPr="006A5E25">
              <w:rPr>
                <w:rFonts w:eastAsia="Calibri"/>
                <w:color w:val="000000"/>
                <w:sz w:val="18"/>
                <w:szCs w:val="18"/>
              </w:rPr>
              <w:t>Certification that borrower is a native Hawaiian</w:t>
            </w:r>
          </w:p>
        </w:tc>
        <w:tc>
          <w:tcPr>
            <w:tcW w:w="1260" w:type="dxa"/>
            <w:tcMar>
              <w:top w:w="0" w:type="dxa"/>
              <w:left w:w="108" w:type="dxa"/>
              <w:bottom w:w="0" w:type="dxa"/>
              <w:right w:w="108" w:type="dxa"/>
            </w:tcMar>
          </w:tcPr>
          <w:p w:rsidR="006A5E25" w:rsidRPr="006A5E25" w:rsidP="00EB228A" w14:paraId="1B2D481E" w14:textId="77777777">
            <w:pPr>
              <w:adjustRightInd/>
              <w:jc w:val="right"/>
              <w:textAlignment w:val="auto"/>
              <w:rPr>
                <w:rFonts w:eastAsia="Calibri"/>
                <w:color w:val="000000"/>
                <w:sz w:val="18"/>
                <w:szCs w:val="18"/>
              </w:rPr>
            </w:pPr>
            <w:r w:rsidRPr="006A5E25">
              <w:rPr>
                <w:sz w:val="18"/>
                <w:szCs w:val="18"/>
              </w:rPr>
              <w:t>310</w:t>
            </w:r>
          </w:p>
        </w:tc>
        <w:tc>
          <w:tcPr>
            <w:tcW w:w="1170" w:type="dxa"/>
            <w:tcMar>
              <w:top w:w="0" w:type="dxa"/>
              <w:left w:w="108" w:type="dxa"/>
              <w:bottom w:w="0" w:type="dxa"/>
              <w:right w:w="108" w:type="dxa"/>
            </w:tcMar>
          </w:tcPr>
          <w:p w:rsidR="006A5E25" w:rsidRPr="006A5E25" w:rsidP="00EB228A" w14:paraId="33346E15" w14:textId="77777777">
            <w:pPr>
              <w:adjustRightInd/>
              <w:jc w:val="right"/>
              <w:textAlignment w:val="auto"/>
              <w:rPr>
                <w:rFonts w:eastAsia="Calibri"/>
                <w:color w:val="000000"/>
                <w:sz w:val="18"/>
                <w:szCs w:val="18"/>
              </w:rPr>
            </w:pPr>
            <w:r w:rsidRPr="006A5E25">
              <w:rPr>
                <w:rFonts w:eastAsia="Calibri"/>
                <w:color w:val="000000"/>
                <w:sz w:val="18"/>
                <w:szCs w:val="18"/>
              </w:rPr>
              <w:t>1</w:t>
            </w:r>
          </w:p>
        </w:tc>
        <w:tc>
          <w:tcPr>
            <w:tcW w:w="1260" w:type="dxa"/>
            <w:tcMar>
              <w:top w:w="0" w:type="dxa"/>
              <w:left w:w="108" w:type="dxa"/>
              <w:bottom w:w="0" w:type="dxa"/>
              <w:right w:w="108" w:type="dxa"/>
            </w:tcMar>
          </w:tcPr>
          <w:p w:rsidR="006A5E25" w:rsidRPr="006A5E25" w:rsidP="00EB228A" w14:paraId="7D6FE488" w14:textId="77777777">
            <w:pPr>
              <w:adjustRightInd/>
              <w:jc w:val="right"/>
              <w:textAlignment w:val="auto"/>
              <w:rPr>
                <w:rFonts w:eastAsia="Calibri"/>
                <w:color w:val="000000"/>
                <w:sz w:val="18"/>
                <w:szCs w:val="18"/>
              </w:rPr>
            </w:pPr>
            <w:r w:rsidRPr="006A5E25">
              <w:rPr>
                <w:rFonts w:eastAsia="Calibri"/>
                <w:color w:val="000000"/>
                <w:sz w:val="18"/>
                <w:szCs w:val="18"/>
              </w:rPr>
              <w:t>310</w:t>
            </w:r>
          </w:p>
        </w:tc>
        <w:tc>
          <w:tcPr>
            <w:tcW w:w="1170" w:type="dxa"/>
            <w:tcMar>
              <w:top w:w="0" w:type="dxa"/>
              <w:left w:w="108" w:type="dxa"/>
              <w:bottom w:w="0" w:type="dxa"/>
              <w:right w:w="108" w:type="dxa"/>
            </w:tcMar>
          </w:tcPr>
          <w:p w:rsidR="006A5E25" w:rsidRPr="006A5E25" w:rsidP="00EB228A" w14:paraId="489F2B7E" w14:textId="77777777">
            <w:pPr>
              <w:adjustRightInd/>
              <w:jc w:val="right"/>
              <w:textAlignment w:val="auto"/>
              <w:rPr>
                <w:rFonts w:eastAsia="Calibri"/>
                <w:color w:val="000000"/>
                <w:sz w:val="18"/>
                <w:szCs w:val="18"/>
              </w:rPr>
            </w:pPr>
            <w:r w:rsidRPr="006A5E25">
              <w:rPr>
                <w:rFonts w:eastAsia="Calibri"/>
                <w:color w:val="000000"/>
                <w:sz w:val="18"/>
                <w:szCs w:val="18"/>
              </w:rPr>
              <w:t>.08</w:t>
            </w:r>
          </w:p>
        </w:tc>
        <w:tc>
          <w:tcPr>
            <w:tcW w:w="900" w:type="dxa"/>
            <w:tcMar>
              <w:top w:w="0" w:type="dxa"/>
              <w:left w:w="108" w:type="dxa"/>
              <w:bottom w:w="0" w:type="dxa"/>
              <w:right w:w="108" w:type="dxa"/>
            </w:tcMar>
          </w:tcPr>
          <w:p w:rsidR="006A5E25" w:rsidRPr="006A5E25" w:rsidP="00EB228A" w14:paraId="1D5464CE" w14:textId="77777777">
            <w:pPr>
              <w:adjustRightInd/>
              <w:jc w:val="right"/>
              <w:textAlignment w:val="auto"/>
              <w:rPr>
                <w:rFonts w:eastAsia="Calibri"/>
                <w:color w:val="000000"/>
                <w:sz w:val="18"/>
                <w:szCs w:val="18"/>
              </w:rPr>
            </w:pPr>
            <w:r w:rsidRPr="006A5E25">
              <w:rPr>
                <w:rFonts w:eastAsia="Calibri"/>
                <w:color w:val="000000"/>
                <w:sz w:val="18"/>
                <w:szCs w:val="18"/>
              </w:rPr>
              <w:t>24.8</w:t>
            </w:r>
          </w:p>
        </w:tc>
        <w:tc>
          <w:tcPr>
            <w:tcW w:w="1080" w:type="dxa"/>
            <w:tcMar>
              <w:top w:w="0" w:type="dxa"/>
              <w:left w:w="108" w:type="dxa"/>
              <w:bottom w:w="0" w:type="dxa"/>
              <w:right w:w="108" w:type="dxa"/>
            </w:tcMar>
          </w:tcPr>
          <w:p w:rsidR="006A5E25" w:rsidRPr="006A5E25" w:rsidP="00EB228A" w14:paraId="49ABF91E" w14:textId="6D290A6C">
            <w:pPr>
              <w:adjustRightInd/>
              <w:jc w:val="right"/>
              <w:textAlignment w:val="auto"/>
              <w:rPr>
                <w:rFonts w:eastAsia="Calibri"/>
                <w:color w:val="000000"/>
                <w:sz w:val="18"/>
                <w:szCs w:val="18"/>
              </w:rPr>
            </w:pPr>
            <w:r w:rsidRPr="006A5E25">
              <w:rPr>
                <w:rFonts w:eastAsia="Calibri"/>
                <w:color w:val="000000"/>
                <w:sz w:val="18"/>
                <w:szCs w:val="18"/>
              </w:rPr>
              <w:t>$48.5</w:t>
            </w:r>
            <w:r w:rsidR="00126D8F">
              <w:rPr>
                <w:rFonts w:eastAsia="Calibri"/>
                <w:color w:val="000000"/>
                <w:sz w:val="18"/>
                <w:szCs w:val="18"/>
              </w:rPr>
              <w:t>9</w:t>
            </w:r>
          </w:p>
        </w:tc>
        <w:tc>
          <w:tcPr>
            <w:tcW w:w="990" w:type="dxa"/>
            <w:tcMar>
              <w:top w:w="0" w:type="dxa"/>
              <w:left w:w="108" w:type="dxa"/>
              <w:bottom w:w="0" w:type="dxa"/>
              <w:right w:w="108" w:type="dxa"/>
            </w:tcMar>
          </w:tcPr>
          <w:p w:rsidR="006A5E25" w:rsidRPr="006A5E25" w:rsidP="00EB228A" w14:paraId="6580DC46" w14:textId="77777777">
            <w:pPr>
              <w:adjustRightInd/>
              <w:textAlignment w:val="auto"/>
              <w:rPr>
                <w:rFonts w:eastAsia="Calibri"/>
                <w:color w:val="000000"/>
                <w:sz w:val="18"/>
                <w:szCs w:val="18"/>
              </w:rPr>
            </w:pPr>
            <w:r w:rsidRPr="006A5E25">
              <w:rPr>
                <w:sz w:val="18"/>
                <w:szCs w:val="18"/>
              </w:rPr>
              <w:t xml:space="preserve">$1,205.03 </w:t>
            </w:r>
          </w:p>
        </w:tc>
      </w:tr>
      <w:tr w14:paraId="3BA11381" w14:textId="77777777" w:rsidTr="00EB228A">
        <w:tblPrEx>
          <w:tblW w:w="10080" w:type="dxa"/>
          <w:tblInd w:w="-10" w:type="dxa"/>
          <w:tblLayout w:type="fixed"/>
          <w:tblCellMar>
            <w:left w:w="0" w:type="dxa"/>
            <w:right w:w="0" w:type="dxa"/>
          </w:tblCellMar>
          <w:tblLook w:val="04A0"/>
        </w:tblPrEx>
        <w:tc>
          <w:tcPr>
            <w:tcW w:w="2250" w:type="dxa"/>
            <w:tcMar>
              <w:top w:w="0" w:type="dxa"/>
              <w:left w:w="108" w:type="dxa"/>
              <w:bottom w:w="0" w:type="dxa"/>
              <w:right w:w="108" w:type="dxa"/>
            </w:tcMar>
          </w:tcPr>
          <w:p w:rsidR="006A5E25" w:rsidRPr="006A5E25" w:rsidP="00EB228A" w14:paraId="6239DE0E" w14:textId="77777777">
            <w:pPr>
              <w:adjustRightInd/>
              <w:textAlignment w:val="auto"/>
              <w:rPr>
                <w:rFonts w:eastAsia="Calibri"/>
                <w:color w:val="000000"/>
                <w:sz w:val="18"/>
                <w:szCs w:val="18"/>
              </w:rPr>
            </w:pPr>
            <w:r w:rsidRPr="006A5E25">
              <w:rPr>
                <w:rFonts w:eastAsia="Calibri"/>
                <w:color w:val="000000"/>
                <w:sz w:val="18"/>
                <w:szCs w:val="18"/>
              </w:rPr>
              <w:t xml:space="preserve">Copy of lease on land in Hawaiian </w:t>
            </w:r>
            <w:r w:rsidRPr="006A5E25">
              <w:rPr>
                <w:rFonts w:eastAsia="Calibri"/>
                <w:color w:val="000000"/>
                <w:sz w:val="18"/>
                <w:szCs w:val="18"/>
              </w:rPr>
              <w:t>Home Lands</w:t>
            </w:r>
            <w:r w:rsidRPr="006A5E25">
              <w:rPr>
                <w:rFonts w:eastAsia="Calibri"/>
                <w:color w:val="000000"/>
                <w:sz w:val="18"/>
                <w:szCs w:val="18"/>
              </w:rPr>
              <w:t xml:space="preserve"> area</w:t>
            </w:r>
          </w:p>
        </w:tc>
        <w:tc>
          <w:tcPr>
            <w:tcW w:w="1260" w:type="dxa"/>
            <w:tcMar>
              <w:top w:w="0" w:type="dxa"/>
              <w:left w:w="108" w:type="dxa"/>
              <w:bottom w:w="0" w:type="dxa"/>
              <w:right w:w="108" w:type="dxa"/>
            </w:tcMar>
          </w:tcPr>
          <w:p w:rsidR="006A5E25" w:rsidRPr="006A5E25" w:rsidP="00EB228A" w14:paraId="6108AFA0" w14:textId="77777777">
            <w:pPr>
              <w:adjustRightInd/>
              <w:jc w:val="right"/>
              <w:textAlignment w:val="auto"/>
              <w:rPr>
                <w:rFonts w:eastAsia="Calibri"/>
                <w:color w:val="000000"/>
                <w:sz w:val="18"/>
                <w:szCs w:val="18"/>
              </w:rPr>
            </w:pPr>
            <w:r w:rsidRPr="006A5E25">
              <w:rPr>
                <w:sz w:val="18"/>
                <w:szCs w:val="18"/>
              </w:rPr>
              <w:t>310</w:t>
            </w:r>
          </w:p>
        </w:tc>
        <w:tc>
          <w:tcPr>
            <w:tcW w:w="1170" w:type="dxa"/>
            <w:tcMar>
              <w:top w:w="0" w:type="dxa"/>
              <w:left w:w="108" w:type="dxa"/>
              <w:bottom w:w="0" w:type="dxa"/>
              <w:right w:w="108" w:type="dxa"/>
            </w:tcMar>
          </w:tcPr>
          <w:p w:rsidR="006A5E25" w:rsidRPr="006A5E25" w:rsidP="00EB228A" w14:paraId="25468696" w14:textId="77777777">
            <w:pPr>
              <w:adjustRightInd/>
              <w:jc w:val="right"/>
              <w:textAlignment w:val="auto"/>
              <w:rPr>
                <w:rFonts w:eastAsia="Calibri"/>
                <w:color w:val="000000"/>
                <w:sz w:val="18"/>
                <w:szCs w:val="18"/>
              </w:rPr>
            </w:pPr>
            <w:r w:rsidRPr="006A5E25">
              <w:rPr>
                <w:rFonts w:eastAsia="Calibri"/>
                <w:color w:val="000000"/>
                <w:sz w:val="18"/>
                <w:szCs w:val="18"/>
              </w:rPr>
              <w:t>1</w:t>
            </w:r>
          </w:p>
        </w:tc>
        <w:tc>
          <w:tcPr>
            <w:tcW w:w="1260" w:type="dxa"/>
            <w:tcMar>
              <w:top w:w="0" w:type="dxa"/>
              <w:left w:w="108" w:type="dxa"/>
              <w:bottom w:w="0" w:type="dxa"/>
              <w:right w:w="108" w:type="dxa"/>
            </w:tcMar>
          </w:tcPr>
          <w:p w:rsidR="006A5E25" w:rsidRPr="006A5E25" w:rsidP="00EB228A" w14:paraId="1DA5ECD4" w14:textId="77777777">
            <w:pPr>
              <w:adjustRightInd/>
              <w:jc w:val="right"/>
              <w:textAlignment w:val="auto"/>
              <w:rPr>
                <w:rFonts w:eastAsia="Calibri"/>
                <w:color w:val="000000"/>
                <w:sz w:val="18"/>
                <w:szCs w:val="18"/>
              </w:rPr>
            </w:pPr>
            <w:r w:rsidRPr="006A5E25">
              <w:rPr>
                <w:rFonts w:eastAsia="Calibri"/>
                <w:color w:val="000000"/>
                <w:sz w:val="18"/>
                <w:szCs w:val="18"/>
              </w:rPr>
              <w:t>310</w:t>
            </w:r>
          </w:p>
        </w:tc>
        <w:tc>
          <w:tcPr>
            <w:tcW w:w="1170" w:type="dxa"/>
            <w:tcMar>
              <w:top w:w="0" w:type="dxa"/>
              <w:left w:w="108" w:type="dxa"/>
              <w:bottom w:w="0" w:type="dxa"/>
              <w:right w:w="108" w:type="dxa"/>
            </w:tcMar>
          </w:tcPr>
          <w:p w:rsidR="006A5E25" w:rsidRPr="006A5E25" w:rsidP="00EB228A" w14:paraId="017B4DAC" w14:textId="77777777">
            <w:pPr>
              <w:adjustRightInd/>
              <w:jc w:val="right"/>
              <w:textAlignment w:val="auto"/>
              <w:rPr>
                <w:rFonts w:eastAsia="Calibri"/>
                <w:color w:val="000000"/>
                <w:sz w:val="18"/>
                <w:szCs w:val="18"/>
              </w:rPr>
            </w:pPr>
            <w:r w:rsidRPr="006A5E25">
              <w:rPr>
                <w:rFonts w:eastAsia="Calibri"/>
                <w:color w:val="000000"/>
                <w:sz w:val="18"/>
                <w:szCs w:val="18"/>
              </w:rPr>
              <w:t>.08</w:t>
            </w:r>
          </w:p>
        </w:tc>
        <w:tc>
          <w:tcPr>
            <w:tcW w:w="900" w:type="dxa"/>
            <w:tcMar>
              <w:top w:w="0" w:type="dxa"/>
              <w:left w:w="108" w:type="dxa"/>
              <w:bottom w:w="0" w:type="dxa"/>
              <w:right w:w="108" w:type="dxa"/>
            </w:tcMar>
          </w:tcPr>
          <w:p w:rsidR="006A5E25" w:rsidRPr="006A5E25" w:rsidP="00EB228A" w14:paraId="725F6BFD" w14:textId="77777777">
            <w:pPr>
              <w:adjustRightInd/>
              <w:jc w:val="right"/>
              <w:textAlignment w:val="auto"/>
              <w:rPr>
                <w:rFonts w:eastAsia="Calibri"/>
                <w:color w:val="000000"/>
                <w:sz w:val="18"/>
                <w:szCs w:val="18"/>
              </w:rPr>
            </w:pPr>
            <w:r w:rsidRPr="006A5E25">
              <w:rPr>
                <w:rFonts w:eastAsia="Calibri"/>
                <w:color w:val="000000"/>
                <w:sz w:val="18"/>
                <w:szCs w:val="18"/>
              </w:rPr>
              <w:t>24.8</w:t>
            </w:r>
          </w:p>
        </w:tc>
        <w:tc>
          <w:tcPr>
            <w:tcW w:w="1080" w:type="dxa"/>
            <w:tcMar>
              <w:top w:w="0" w:type="dxa"/>
              <w:left w:w="108" w:type="dxa"/>
              <w:bottom w:w="0" w:type="dxa"/>
              <w:right w:w="108" w:type="dxa"/>
            </w:tcMar>
          </w:tcPr>
          <w:p w:rsidR="006A5E25" w:rsidRPr="006A5E25" w:rsidP="00EB228A" w14:paraId="51BEC511" w14:textId="3C646006">
            <w:pPr>
              <w:adjustRightInd/>
              <w:jc w:val="right"/>
              <w:textAlignment w:val="auto"/>
              <w:rPr>
                <w:rFonts w:eastAsia="Calibri"/>
                <w:color w:val="000000"/>
                <w:sz w:val="18"/>
                <w:szCs w:val="18"/>
              </w:rPr>
            </w:pPr>
            <w:r w:rsidRPr="006A5E25">
              <w:rPr>
                <w:rFonts w:eastAsia="Calibri"/>
                <w:color w:val="000000"/>
                <w:sz w:val="18"/>
                <w:szCs w:val="18"/>
              </w:rPr>
              <w:t>$48.5</w:t>
            </w:r>
            <w:r w:rsidR="00126D8F">
              <w:rPr>
                <w:rFonts w:eastAsia="Calibri"/>
                <w:color w:val="000000"/>
                <w:sz w:val="18"/>
                <w:szCs w:val="18"/>
              </w:rPr>
              <w:t>9</w:t>
            </w:r>
          </w:p>
        </w:tc>
        <w:tc>
          <w:tcPr>
            <w:tcW w:w="990" w:type="dxa"/>
            <w:tcMar>
              <w:top w:w="0" w:type="dxa"/>
              <w:left w:w="108" w:type="dxa"/>
              <w:bottom w:w="0" w:type="dxa"/>
              <w:right w:w="108" w:type="dxa"/>
            </w:tcMar>
          </w:tcPr>
          <w:p w:rsidR="006A5E25" w:rsidRPr="006A5E25" w:rsidP="00EB228A" w14:paraId="1E9B01CF" w14:textId="77777777">
            <w:pPr>
              <w:adjustRightInd/>
              <w:jc w:val="center"/>
              <w:textAlignment w:val="auto"/>
              <w:rPr>
                <w:rFonts w:eastAsia="Calibri"/>
                <w:color w:val="000000"/>
                <w:sz w:val="18"/>
                <w:szCs w:val="18"/>
              </w:rPr>
            </w:pPr>
            <w:r w:rsidRPr="006A5E25">
              <w:rPr>
                <w:sz w:val="18"/>
                <w:szCs w:val="18"/>
              </w:rPr>
              <w:t xml:space="preserve">$1,205.03 </w:t>
            </w:r>
          </w:p>
        </w:tc>
      </w:tr>
      <w:tr w14:paraId="232F271A" w14:textId="77777777" w:rsidTr="00EB228A">
        <w:tblPrEx>
          <w:tblW w:w="10080" w:type="dxa"/>
          <w:tblInd w:w="-10" w:type="dxa"/>
          <w:tblLayout w:type="fixed"/>
          <w:tblCellMar>
            <w:left w:w="0" w:type="dxa"/>
            <w:right w:w="0" w:type="dxa"/>
          </w:tblCellMar>
          <w:tblLook w:val="04A0"/>
        </w:tblPrEx>
        <w:tc>
          <w:tcPr>
            <w:tcW w:w="2250" w:type="dxa"/>
            <w:tcMar>
              <w:top w:w="0" w:type="dxa"/>
              <w:left w:w="108" w:type="dxa"/>
              <w:bottom w:w="0" w:type="dxa"/>
              <w:right w:w="108" w:type="dxa"/>
            </w:tcMar>
          </w:tcPr>
          <w:p w:rsidR="006A5E25" w:rsidRPr="006A5E25" w:rsidP="00EB228A" w14:paraId="2D760345" w14:textId="77777777">
            <w:pPr>
              <w:adjustRightInd/>
              <w:textAlignment w:val="auto"/>
              <w:rPr>
                <w:rFonts w:eastAsia="Calibri"/>
                <w:color w:val="000000"/>
                <w:sz w:val="18"/>
                <w:szCs w:val="18"/>
              </w:rPr>
            </w:pPr>
            <w:r w:rsidRPr="006A5E25">
              <w:rPr>
                <w:rFonts w:eastAsia="Calibri"/>
                <w:color w:val="000000" w:themeColor="text1"/>
                <w:sz w:val="18"/>
                <w:szCs w:val="18"/>
              </w:rPr>
              <w:t>Notice of delinquency</w:t>
            </w:r>
          </w:p>
        </w:tc>
        <w:tc>
          <w:tcPr>
            <w:tcW w:w="1260" w:type="dxa"/>
            <w:tcMar>
              <w:top w:w="0" w:type="dxa"/>
              <w:left w:w="108" w:type="dxa"/>
              <w:bottom w:w="0" w:type="dxa"/>
              <w:right w:w="108" w:type="dxa"/>
            </w:tcMar>
          </w:tcPr>
          <w:p w:rsidR="006A5E25" w:rsidRPr="006A5E25" w:rsidP="00EB228A" w14:paraId="23684BE1" w14:textId="77777777">
            <w:pPr>
              <w:adjustRightInd/>
              <w:jc w:val="right"/>
              <w:textAlignment w:val="auto"/>
              <w:rPr>
                <w:rFonts w:eastAsia="Calibri"/>
                <w:color w:val="000000"/>
                <w:sz w:val="18"/>
                <w:szCs w:val="18"/>
              </w:rPr>
            </w:pPr>
            <w:r w:rsidRPr="006A5E25">
              <w:rPr>
                <w:rFonts w:eastAsia="Calibri"/>
                <w:color w:val="000000"/>
                <w:sz w:val="18"/>
                <w:szCs w:val="18"/>
              </w:rPr>
              <w:t>13</w:t>
            </w:r>
          </w:p>
        </w:tc>
        <w:tc>
          <w:tcPr>
            <w:tcW w:w="1170" w:type="dxa"/>
            <w:tcMar>
              <w:top w:w="0" w:type="dxa"/>
              <w:left w:w="108" w:type="dxa"/>
              <w:bottom w:w="0" w:type="dxa"/>
              <w:right w:w="108" w:type="dxa"/>
            </w:tcMar>
          </w:tcPr>
          <w:p w:rsidR="006A5E25" w:rsidRPr="006A5E25" w:rsidP="00EB228A" w14:paraId="7333BA19" w14:textId="77777777">
            <w:pPr>
              <w:adjustRightInd/>
              <w:jc w:val="right"/>
              <w:textAlignment w:val="auto"/>
              <w:rPr>
                <w:rFonts w:eastAsia="Calibri"/>
                <w:color w:val="000000"/>
                <w:sz w:val="18"/>
                <w:szCs w:val="18"/>
              </w:rPr>
            </w:pPr>
            <w:r w:rsidRPr="006A5E25">
              <w:rPr>
                <w:rFonts w:eastAsia="Calibri"/>
                <w:color w:val="000000"/>
                <w:sz w:val="18"/>
                <w:szCs w:val="18"/>
              </w:rPr>
              <w:t>1</w:t>
            </w:r>
          </w:p>
        </w:tc>
        <w:tc>
          <w:tcPr>
            <w:tcW w:w="1260" w:type="dxa"/>
            <w:tcMar>
              <w:top w:w="0" w:type="dxa"/>
              <w:left w:w="108" w:type="dxa"/>
              <w:bottom w:w="0" w:type="dxa"/>
              <w:right w:w="108" w:type="dxa"/>
            </w:tcMar>
          </w:tcPr>
          <w:p w:rsidR="006A5E25" w:rsidRPr="006A5E25" w:rsidP="00EB228A" w14:paraId="2277363D" w14:textId="77777777">
            <w:pPr>
              <w:adjustRightInd/>
              <w:jc w:val="right"/>
              <w:textAlignment w:val="auto"/>
              <w:rPr>
                <w:rFonts w:eastAsia="Calibri"/>
                <w:color w:val="000000"/>
                <w:sz w:val="18"/>
                <w:szCs w:val="18"/>
              </w:rPr>
            </w:pPr>
            <w:r w:rsidRPr="006A5E25">
              <w:rPr>
                <w:rFonts w:eastAsia="Calibri"/>
                <w:color w:val="000000"/>
                <w:sz w:val="18"/>
                <w:szCs w:val="18"/>
              </w:rPr>
              <w:t>13</w:t>
            </w:r>
          </w:p>
        </w:tc>
        <w:tc>
          <w:tcPr>
            <w:tcW w:w="1170" w:type="dxa"/>
            <w:tcMar>
              <w:top w:w="0" w:type="dxa"/>
              <w:left w:w="108" w:type="dxa"/>
              <w:bottom w:w="0" w:type="dxa"/>
              <w:right w:w="108" w:type="dxa"/>
            </w:tcMar>
          </w:tcPr>
          <w:p w:rsidR="006A5E25" w:rsidRPr="006A5E25" w:rsidP="00EB228A" w14:paraId="52687E07" w14:textId="77777777">
            <w:pPr>
              <w:adjustRightInd/>
              <w:jc w:val="right"/>
              <w:textAlignment w:val="auto"/>
              <w:rPr>
                <w:rFonts w:eastAsia="Calibri"/>
                <w:color w:val="000000"/>
                <w:sz w:val="18"/>
                <w:szCs w:val="18"/>
              </w:rPr>
            </w:pPr>
            <w:r w:rsidRPr="006A5E25">
              <w:rPr>
                <w:rFonts w:eastAsia="Calibri"/>
                <w:color w:val="000000"/>
                <w:sz w:val="18"/>
                <w:szCs w:val="18"/>
              </w:rPr>
              <w:t>.25</w:t>
            </w:r>
          </w:p>
        </w:tc>
        <w:tc>
          <w:tcPr>
            <w:tcW w:w="900" w:type="dxa"/>
            <w:tcMar>
              <w:top w:w="0" w:type="dxa"/>
              <w:left w:w="108" w:type="dxa"/>
              <w:bottom w:w="0" w:type="dxa"/>
              <w:right w:w="108" w:type="dxa"/>
            </w:tcMar>
          </w:tcPr>
          <w:p w:rsidR="006A5E25" w:rsidRPr="006A5E25" w:rsidP="00EB228A" w14:paraId="0DB7B168" w14:textId="77777777">
            <w:pPr>
              <w:adjustRightInd/>
              <w:jc w:val="right"/>
              <w:textAlignment w:val="auto"/>
              <w:rPr>
                <w:rFonts w:eastAsia="Calibri"/>
                <w:color w:val="000000"/>
                <w:sz w:val="18"/>
                <w:szCs w:val="18"/>
              </w:rPr>
            </w:pPr>
            <w:r w:rsidRPr="006A5E25">
              <w:rPr>
                <w:rFonts w:eastAsia="Calibri"/>
                <w:color w:val="000000"/>
                <w:sz w:val="18"/>
                <w:szCs w:val="18"/>
              </w:rPr>
              <w:t>3.25</w:t>
            </w:r>
          </w:p>
        </w:tc>
        <w:tc>
          <w:tcPr>
            <w:tcW w:w="1080" w:type="dxa"/>
            <w:tcMar>
              <w:top w:w="0" w:type="dxa"/>
              <w:left w:w="108" w:type="dxa"/>
              <w:bottom w:w="0" w:type="dxa"/>
              <w:right w:w="108" w:type="dxa"/>
            </w:tcMar>
          </w:tcPr>
          <w:p w:rsidR="006A5E25" w:rsidRPr="006A5E25" w:rsidP="00EB228A" w14:paraId="5B1D949B" w14:textId="20EDBDF6">
            <w:pPr>
              <w:adjustRightInd/>
              <w:jc w:val="right"/>
              <w:textAlignment w:val="auto"/>
              <w:rPr>
                <w:rFonts w:eastAsia="Calibri"/>
                <w:color w:val="000000"/>
                <w:sz w:val="18"/>
                <w:szCs w:val="18"/>
              </w:rPr>
            </w:pPr>
            <w:r w:rsidRPr="006A5E25">
              <w:rPr>
                <w:rFonts w:eastAsia="Calibri"/>
                <w:color w:val="000000"/>
                <w:sz w:val="18"/>
                <w:szCs w:val="18"/>
              </w:rPr>
              <w:t>$48.5</w:t>
            </w:r>
            <w:r w:rsidR="00126D8F">
              <w:rPr>
                <w:rFonts w:eastAsia="Calibri"/>
                <w:color w:val="000000"/>
                <w:sz w:val="18"/>
                <w:szCs w:val="18"/>
              </w:rPr>
              <w:t>9</w:t>
            </w:r>
          </w:p>
        </w:tc>
        <w:tc>
          <w:tcPr>
            <w:tcW w:w="990" w:type="dxa"/>
            <w:tcMar>
              <w:top w:w="0" w:type="dxa"/>
              <w:left w:w="108" w:type="dxa"/>
              <w:bottom w:w="0" w:type="dxa"/>
              <w:right w:w="108" w:type="dxa"/>
            </w:tcMar>
          </w:tcPr>
          <w:p w:rsidR="006A5E25" w:rsidRPr="006A5E25" w:rsidP="00EB228A" w14:paraId="18DAF67F" w14:textId="77777777">
            <w:pPr>
              <w:adjustRightInd/>
              <w:jc w:val="right"/>
              <w:textAlignment w:val="auto"/>
              <w:rPr>
                <w:rFonts w:eastAsia="Calibri"/>
                <w:color w:val="000000"/>
                <w:sz w:val="18"/>
                <w:szCs w:val="18"/>
              </w:rPr>
            </w:pPr>
            <w:r w:rsidRPr="006A5E25">
              <w:rPr>
                <w:sz w:val="18"/>
                <w:szCs w:val="18"/>
              </w:rPr>
              <w:t xml:space="preserve"> $157.92 </w:t>
            </w:r>
          </w:p>
        </w:tc>
      </w:tr>
      <w:tr w14:paraId="4E5DD3E9" w14:textId="77777777" w:rsidTr="00EB228A">
        <w:tblPrEx>
          <w:tblW w:w="10080" w:type="dxa"/>
          <w:tblInd w:w="-10" w:type="dxa"/>
          <w:tblLayout w:type="fixed"/>
          <w:tblCellMar>
            <w:left w:w="0" w:type="dxa"/>
            <w:right w:w="0" w:type="dxa"/>
          </w:tblCellMar>
          <w:tblLook w:val="04A0"/>
        </w:tblPrEx>
        <w:tc>
          <w:tcPr>
            <w:tcW w:w="2250" w:type="dxa"/>
            <w:tcMar>
              <w:top w:w="0" w:type="dxa"/>
              <w:left w:w="108" w:type="dxa"/>
              <w:bottom w:w="0" w:type="dxa"/>
              <w:right w:w="108" w:type="dxa"/>
            </w:tcMar>
          </w:tcPr>
          <w:p w:rsidR="006A5E25" w:rsidRPr="006A5E25" w:rsidP="00EB228A" w14:paraId="62FBD66D" w14:textId="77777777">
            <w:pPr>
              <w:adjustRightInd/>
              <w:textAlignment w:val="auto"/>
              <w:rPr>
                <w:rFonts w:eastAsia="Calibri"/>
                <w:color w:val="000000"/>
                <w:sz w:val="18"/>
                <w:szCs w:val="18"/>
              </w:rPr>
            </w:pPr>
            <w:r w:rsidRPr="006A5E25">
              <w:rPr>
                <w:rFonts w:eastAsia="Calibri"/>
                <w:color w:val="000000" w:themeColor="text1"/>
                <w:sz w:val="18"/>
                <w:szCs w:val="18"/>
              </w:rPr>
              <w:t>Notice of delinquency</w:t>
            </w:r>
          </w:p>
        </w:tc>
        <w:tc>
          <w:tcPr>
            <w:tcW w:w="1260" w:type="dxa"/>
            <w:tcMar>
              <w:top w:w="0" w:type="dxa"/>
              <w:left w:w="108" w:type="dxa"/>
              <w:bottom w:w="0" w:type="dxa"/>
              <w:right w:w="108" w:type="dxa"/>
            </w:tcMar>
          </w:tcPr>
          <w:p w:rsidR="006A5E25" w:rsidRPr="006A5E25" w:rsidP="00EB228A" w14:paraId="725E0676" w14:textId="77777777">
            <w:pPr>
              <w:adjustRightInd/>
              <w:jc w:val="right"/>
              <w:textAlignment w:val="auto"/>
              <w:rPr>
                <w:rFonts w:eastAsia="Calibri"/>
                <w:color w:val="000000"/>
                <w:sz w:val="18"/>
                <w:szCs w:val="18"/>
              </w:rPr>
            </w:pPr>
            <w:r w:rsidRPr="006A5E25">
              <w:rPr>
                <w:rFonts w:eastAsia="Calibri"/>
                <w:color w:val="000000"/>
                <w:sz w:val="18"/>
                <w:szCs w:val="18"/>
              </w:rPr>
              <w:t>16</w:t>
            </w:r>
          </w:p>
        </w:tc>
        <w:tc>
          <w:tcPr>
            <w:tcW w:w="1170" w:type="dxa"/>
            <w:tcMar>
              <w:top w:w="0" w:type="dxa"/>
              <w:left w:w="108" w:type="dxa"/>
              <w:bottom w:w="0" w:type="dxa"/>
              <w:right w:w="108" w:type="dxa"/>
            </w:tcMar>
          </w:tcPr>
          <w:p w:rsidR="006A5E25" w:rsidRPr="006A5E25" w:rsidP="00EB228A" w14:paraId="1C2AC82B" w14:textId="77777777">
            <w:pPr>
              <w:adjustRightInd/>
              <w:jc w:val="right"/>
              <w:textAlignment w:val="auto"/>
              <w:rPr>
                <w:rFonts w:eastAsia="Calibri"/>
                <w:color w:val="000000"/>
                <w:sz w:val="18"/>
                <w:szCs w:val="18"/>
              </w:rPr>
            </w:pPr>
            <w:r w:rsidRPr="006A5E25">
              <w:rPr>
                <w:rFonts w:eastAsia="Calibri"/>
                <w:color w:val="000000"/>
                <w:sz w:val="18"/>
                <w:szCs w:val="18"/>
              </w:rPr>
              <w:t>1</w:t>
            </w:r>
          </w:p>
        </w:tc>
        <w:tc>
          <w:tcPr>
            <w:tcW w:w="1260" w:type="dxa"/>
            <w:tcMar>
              <w:top w:w="0" w:type="dxa"/>
              <w:left w:w="108" w:type="dxa"/>
              <w:bottom w:w="0" w:type="dxa"/>
              <w:right w:w="108" w:type="dxa"/>
            </w:tcMar>
          </w:tcPr>
          <w:p w:rsidR="006A5E25" w:rsidRPr="006A5E25" w:rsidP="00EB228A" w14:paraId="304DD14B" w14:textId="77777777">
            <w:pPr>
              <w:adjustRightInd/>
              <w:jc w:val="right"/>
              <w:textAlignment w:val="auto"/>
              <w:rPr>
                <w:rFonts w:eastAsia="Calibri"/>
                <w:color w:val="000000"/>
                <w:sz w:val="18"/>
                <w:szCs w:val="18"/>
              </w:rPr>
            </w:pPr>
            <w:r w:rsidRPr="006A5E25">
              <w:rPr>
                <w:rFonts w:eastAsia="Calibri"/>
                <w:color w:val="000000"/>
                <w:sz w:val="18"/>
                <w:szCs w:val="18"/>
              </w:rPr>
              <w:t>16</w:t>
            </w:r>
          </w:p>
        </w:tc>
        <w:tc>
          <w:tcPr>
            <w:tcW w:w="1170" w:type="dxa"/>
            <w:tcMar>
              <w:top w:w="0" w:type="dxa"/>
              <w:left w:w="108" w:type="dxa"/>
              <w:bottom w:w="0" w:type="dxa"/>
              <w:right w:w="108" w:type="dxa"/>
            </w:tcMar>
          </w:tcPr>
          <w:p w:rsidR="006A5E25" w:rsidRPr="006A5E25" w:rsidP="00EB228A" w14:paraId="34630283" w14:textId="77777777">
            <w:pPr>
              <w:adjustRightInd/>
              <w:jc w:val="right"/>
              <w:textAlignment w:val="auto"/>
              <w:rPr>
                <w:rFonts w:eastAsia="Calibri"/>
                <w:color w:val="000000"/>
                <w:sz w:val="18"/>
                <w:szCs w:val="18"/>
              </w:rPr>
            </w:pPr>
            <w:r w:rsidRPr="006A5E25">
              <w:rPr>
                <w:rFonts w:eastAsia="Calibri"/>
                <w:color w:val="000000"/>
                <w:sz w:val="18"/>
                <w:szCs w:val="18"/>
              </w:rPr>
              <w:t>.40</w:t>
            </w:r>
          </w:p>
        </w:tc>
        <w:tc>
          <w:tcPr>
            <w:tcW w:w="900" w:type="dxa"/>
            <w:tcMar>
              <w:top w:w="0" w:type="dxa"/>
              <w:left w:w="108" w:type="dxa"/>
              <w:bottom w:w="0" w:type="dxa"/>
              <w:right w:w="108" w:type="dxa"/>
            </w:tcMar>
          </w:tcPr>
          <w:p w:rsidR="006A5E25" w:rsidRPr="006A5E25" w:rsidP="00EB228A" w14:paraId="55643461" w14:textId="77777777">
            <w:pPr>
              <w:adjustRightInd/>
              <w:jc w:val="right"/>
              <w:textAlignment w:val="auto"/>
              <w:rPr>
                <w:rFonts w:eastAsia="Calibri"/>
                <w:color w:val="000000"/>
                <w:sz w:val="18"/>
                <w:szCs w:val="18"/>
              </w:rPr>
            </w:pPr>
            <w:r w:rsidRPr="006A5E25">
              <w:rPr>
                <w:rFonts w:eastAsia="Calibri"/>
                <w:color w:val="000000"/>
                <w:sz w:val="18"/>
                <w:szCs w:val="18"/>
              </w:rPr>
              <w:t>6.40</w:t>
            </w:r>
          </w:p>
        </w:tc>
        <w:tc>
          <w:tcPr>
            <w:tcW w:w="1080" w:type="dxa"/>
            <w:tcMar>
              <w:top w:w="0" w:type="dxa"/>
              <w:left w:w="108" w:type="dxa"/>
              <w:bottom w:w="0" w:type="dxa"/>
              <w:right w:w="108" w:type="dxa"/>
            </w:tcMar>
          </w:tcPr>
          <w:p w:rsidR="006A5E25" w:rsidRPr="006A5E25" w:rsidP="00EB228A" w14:paraId="003A5073" w14:textId="3E2D7230">
            <w:pPr>
              <w:adjustRightInd/>
              <w:jc w:val="right"/>
              <w:textAlignment w:val="auto"/>
              <w:rPr>
                <w:rFonts w:eastAsia="Calibri"/>
                <w:color w:val="000000"/>
                <w:sz w:val="18"/>
                <w:szCs w:val="18"/>
              </w:rPr>
            </w:pPr>
            <w:r w:rsidRPr="006A5E25">
              <w:rPr>
                <w:rFonts w:eastAsia="Calibri"/>
                <w:color w:val="000000"/>
                <w:sz w:val="18"/>
                <w:szCs w:val="18"/>
              </w:rPr>
              <w:t>$48.5</w:t>
            </w:r>
            <w:r w:rsidR="00126D8F">
              <w:rPr>
                <w:rFonts w:eastAsia="Calibri"/>
                <w:color w:val="000000"/>
                <w:sz w:val="18"/>
                <w:szCs w:val="18"/>
              </w:rPr>
              <w:t>9</w:t>
            </w:r>
          </w:p>
        </w:tc>
        <w:tc>
          <w:tcPr>
            <w:tcW w:w="990" w:type="dxa"/>
            <w:tcMar>
              <w:top w:w="0" w:type="dxa"/>
              <w:left w:w="108" w:type="dxa"/>
              <w:bottom w:w="0" w:type="dxa"/>
              <w:right w:w="108" w:type="dxa"/>
            </w:tcMar>
          </w:tcPr>
          <w:p w:rsidR="006A5E25" w:rsidRPr="006A5E25" w:rsidP="00EB228A" w14:paraId="582CEBC5" w14:textId="77777777">
            <w:pPr>
              <w:adjustRightInd/>
              <w:jc w:val="right"/>
              <w:textAlignment w:val="auto"/>
              <w:rPr>
                <w:rFonts w:eastAsia="Calibri"/>
                <w:color w:val="000000"/>
                <w:sz w:val="18"/>
                <w:szCs w:val="18"/>
              </w:rPr>
            </w:pPr>
            <w:r w:rsidRPr="006A5E25">
              <w:rPr>
                <w:sz w:val="18"/>
                <w:szCs w:val="18"/>
              </w:rPr>
              <w:t xml:space="preserve"> $310.98 </w:t>
            </w:r>
          </w:p>
        </w:tc>
      </w:tr>
      <w:tr w14:paraId="043CFFEC" w14:textId="77777777" w:rsidTr="00EB228A">
        <w:tblPrEx>
          <w:tblW w:w="10080" w:type="dxa"/>
          <w:tblInd w:w="-10" w:type="dxa"/>
          <w:tblLayout w:type="fixed"/>
          <w:tblCellMar>
            <w:left w:w="0" w:type="dxa"/>
            <w:right w:w="0" w:type="dxa"/>
          </w:tblCellMar>
          <w:tblLook w:val="04A0"/>
        </w:tblPrEx>
        <w:trPr>
          <w:trHeight w:val="215"/>
        </w:trPr>
        <w:tc>
          <w:tcPr>
            <w:tcW w:w="2250" w:type="dxa"/>
            <w:tcMar>
              <w:top w:w="0" w:type="dxa"/>
              <w:left w:w="108" w:type="dxa"/>
              <w:bottom w:w="0" w:type="dxa"/>
              <w:right w:w="108" w:type="dxa"/>
            </w:tcMar>
          </w:tcPr>
          <w:p w:rsidR="006A5E25" w:rsidRPr="006A5E25" w:rsidP="00EB228A" w14:paraId="009776BA" w14:textId="77777777">
            <w:pPr>
              <w:adjustRightInd/>
              <w:textAlignment w:val="auto"/>
              <w:rPr>
                <w:rFonts w:eastAsia="Calibri"/>
                <w:b/>
                <w:bCs/>
                <w:color w:val="000000" w:themeColor="text1"/>
                <w:sz w:val="18"/>
                <w:szCs w:val="18"/>
              </w:rPr>
            </w:pPr>
            <w:r w:rsidRPr="006A5E25">
              <w:rPr>
                <w:rFonts w:eastAsia="Calibri"/>
                <w:b/>
                <w:bCs/>
                <w:color w:val="000000" w:themeColor="text1"/>
                <w:sz w:val="18"/>
                <w:szCs w:val="18"/>
              </w:rPr>
              <w:t>Totals</w:t>
            </w:r>
          </w:p>
        </w:tc>
        <w:tc>
          <w:tcPr>
            <w:tcW w:w="1260" w:type="dxa"/>
            <w:tcMar>
              <w:top w:w="0" w:type="dxa"/>
              <w:left w:w="108" w:type="dxa"/>
              <w:bottom w:w="0" w:type="dxa"/>
              <w:right w:w="108" w:type="dxa"/>
            </w:tcMar>
          </w:tcPr>
          <w:p w:rsidR="006A5E25" w:rsidRPr="006A5E25" w:rsidP="00EB228A" w14:paraId="4DB27252" w14:textId="77777777">
            <w:pPr>
              <w:adjustRightInd/>
              <w:jc w:val="right"/>
              <w:textAlignment w:val="auto"/>
              <w:rPr>
                <w:rFonts w:eastAsia="Calibri"/>
                <w:b/>
                <w:bCs/>
                <w:color w:val="000000"/>
                <w:sz w:val="18"/>
                <w:szCs w:val="18"/>
              </w:rPr>
            </w:pPr>
            <w:r>
              <w:rPr>
                <w:rFonts w:eastAsia="Calibri"/>
                <w:b/>
                <w:bCs/>
                <w:color w:val="000000"/>
                <w:sz w:val="18"/>
                <w:szCs w:val="18"/>
              </w:rPr>
              <w:t>339</w:t>
            </w:r>
          </w:p>
        </w:tc>
        <w:tc>
          <w:tcPr>
            <w:tcW w:w="1170" w:type="dxa"/>
            <w:tcMar>
              <w:top w:w="0" w:type="dxa"/>
              <w:left w:w="108" w:type="dxa"/>
              <w:bottom w:w="0" w:type="dxa"/>
              <w:right w:w="108" w:type="dxa"/>
            </w:tcMar>
          </w:tcPr>
          <w:p w:rsidR="006A5E25" w:rsidRPr="006A5E25" w:rsidP="00EB228A" w14:paraId="51D888D5" w14:textId="77777777">
            <w:pPr>
              <w:adjustRightInd/>
              <w:jc w:val="right"/>
              <w:textAlignment w:val="auto"/>
              <w:rPr>
                <w:rFonts w:eastAsia="Calibri"/>
                <w:b/>
                <w:bCs/>
                <w:color w:val="000000"/>
                <w:sz w:val="18"/>
                <w:szCs w:val="18"/>
              </w:rPr>
            </w:pPr>
          </w:p>
        </w:tc>
        <w:tc>
          <w:tcPr>
            <w:tcW w:w="1260" w:type="dxa"/>
            <w:tcMar>
              <w:top w:w="0" w:type="dxa"/>
              <w:left w:w="108" w:type="dxa"/>
              <w:bottom w:w="0" w:type="dxa"/>
              <w:right w:w="108" w:type="dxa"/>
            </w:tcMar>
          </w:tcPr>
          <w:p w:rsidR="006A5E25" w:rsidRPr="006A5E25" w:rsidP="00EB228A" w14:paraId="7B063EE6" w14:textId="77777777">
            <w:pPr>
              <w:adjustRightInd/>
              <w:jc w:val="right"/>
              <w:textAlignment w:val="auto"/>
              <w:rPr>
                <w:rFonts w:eastAsia="Calibri"/>
                <w:b/>
                <w:bCs/>
                <w:color w:val="000000"/>
                <w:sz w:val="18"/>
                <w:szCs w:val="18"/>
              </w:rPr>
            </w:pPr>
            <w:r w:rsidRPr="006A5E25">
              <w:rPr>
                <w:rFonts w:eastAsia="Calibri"/>
                <w:b/>
                <w:bCs/>
                <w:color w:val="000000"/>
                <w:sz w:val="18"/>
                <w:szCs w:val="18"/>
              </w:rPr>
              <w:t>339</w:t>
            </w:r>
          </w:p>
        </w:tc>
        <w:tc>
          <w:tcPr>
            <w:tcW w:w="1170" w:type="dxa"/>
            <w:tcMar>
              <w:top w:w="0" w:type="dxa"/>
              <w:left w:w="108" w:type="dxa"/>
              <w:bottom w:w="0" w:type="dxa"/>
              <w:right w:w="108" w:type="dxa"/>
            </w:tcMar>
          </w:tcPr>
          <w:p w:rsidR="006A5E25" w:rsidRPr="006A5E25" w:rsidP="00EB228A" w14:paraId="39A7F07F" w14:textId="77777777">
            <w:pPr>
              <w:adjustRightInd/>
              <w:jc w:val="right"/>
              <w:textAlignment w:val="auto"/>
              <w:rPr>
                <w:rFonts w:eastAsia="Calibri"/>
                <w:b/>
                <w:bCs/>
                <w:color w:val="000000"/>
                <w:sz w:val="18"/>
                <w:szCs w:val="18"/>
              </w:rPr>
            </w:pPr>
            <w:r w:rsidRPr="006A5E25">
              <w:rPr>
                <w:rFonts w:eastAsia="Calibri"/>
                <w:b/>
                <w:bCs/>
                <w:color w:val="000000"/>
                <w:sz w:val="18"/>
                <w:szCs w:val="18"/>
              </w:rPr>
              <w:t>.81</w:t>
            </w:r>
          </w:p>
        </w:tc>
        <w:tc>
          <w:tcPr>
            <w:tcW w:w="900" w:type="dxa"/>
            <w:tcMar>
              <w:top w:w="0" w:type="dxa"/>
              <w:left w:w="108" w:type="dxa"/>
              <w:bottom w:w="0" w:type="dxa"/>
              <w:right w:w="108" w:type="dxa"/>
            </w:tcMar>
          </w:tcPr>
          <w:p w:rsidR="006A5E25" w:rsidRPr="006A5E25" w:rsidP="00EB228A" w14:paraId="7AC20430" w14:textId="77777777">
            <w:pPr>
              <w:adjustRightInd/>
              <w:jc w:val="right"/>
              <w:textAlignment w:val="auto"/>
              <w:rPr>
                <w:rFonts w:eastAsia="Calibri"/>
                <w:b/>
                <w:bCs/>
                <w:color w:val="000000"/>
                <w:sz w:val="18"/>
                <w:szCs w:val="18"/>
              </w:rPr>
            </w:pPr>
            <w:r w:rsidRPr="006A5E25">
              <w:rPr>
                <w:rFonts w:eastAsia="Calibri"/>
                <w:b/>
                <w:bCs/>
                <w:color w:val="000000"/>
                <w:sz w:val="18"/>
                <w:szCs w:val="18"/>
              </w:rPr>
              <w:t>59.25</w:t>
            </w:r>
          </w:p>
        </w:tc>
        <w:tc>
          <w:tcPr>
            <w:tcW w:w="1080" w:type="dxa"/>
            <w:tcMar>
              <w:top w:w="0" w:type="dxa"/>
              <w:left w:w="108" w:type="dxa"/>
              <w:bottom w:w="0" w:type="dxa"/>
              <w:right w:w="108" w:type="dxa"/>
            </w:tcMar>
          </w:tcPr>
          <w:p w:rsidR="006A5E25" w:rsidRPr="006A5E25" w:rsidP="00EB228A" w14:paraId="00278D4B" w14:textId="77777777">
            <w:pPr>
              <w:adjustRightInd/>
              <w:jc w:val="right"/>
              <w:textAlignment w:val="auto"/>
              <w:rPr>
                <w:rFonts w:eastAsia="Calibri"/>
                <w:b/>
                <w:bCs/>
                <w:color w:val="000000"/>
                <w:sz w:val="18"/>
                <w:szCs w:val="18"/>
              </w:rPr>
            </w:pPr>
          </w:p>
        </w:tc>
        <w:tc>
          <w:tcPr>
            <w:tcW w:w="990" w:type="dxa"/>
            <w:tcMar>
              <w:top w:w="0" w:type="dxa"/>
              <w:left w:w="108" w:type="dxa"/>
              <w:bottom w:w="0" w:type="dxa"/>
              <w:right w:w="108" w:type="dxa"/>
            </w:tcMar>
          </w:tcPr>
          <w:p w:rsidR="006A5E25" w:rsidRPr="006A5E25" w:rsidP="00EB228A" w14:paraId="0864206F" w14:textId="77777777">
            <w:pPr>
              <w:adjustRightInd/>
              <w:jc w:val="right"/>
              <w:textAlignment w:val="auto"/>
              <w:rPr>
                <w:rFonts w:eastAsia="Calibri"/>
                <w:b/>
                <w:bCs/>
                <w:color w:val="000000"/>
                <w:sz w:val="18"/>
                <w:szCs w:val="18"/>
              </w:rPr>
            </w:pPr>
            <w:r w:rsidRPr="006A5E25">
              <w:rPr>
                <w:sz w:val="18"/>
                <w:szCs w:val="18"/>
              </w:rPr>
              <w:t xml:space="preserve"> </w:t>
            </w:r>
            <w:r w:rsidRPr="006A5E25">
              <w:rPr>
                <w:b/>
                <w:bCs/>
                <w:sz w:val="18"/>
                <w:szCs w:val="18"/>
              </w:rPr>
              <w:t xml:space="preserve">2,878.96 </w:t>
            </w:r>
          </w:p>
        </w:tc>
      </w:tr>
    </w:tbl>
    <w:p w:rsidR="009E13B1" w:rsidRPr="006C7FAE" w:rsidP="00167E53" w14:paraId="2B5F16DA" w14:textId="77777777">
      <w:pPr>
        <w:keepLines/>
        <w:tabs>
          <w:tab w:val="left" w:pos="360"/>
          <w:tab w:val="left" w:pos="720"/>
        </w:tabs>
        <w:ind w:left="720"/>
      </w:pPr>
    </w:p>
    <w:p w:rsidR="009E13B1" w:rsidRPr="00126D8F" w:rsidP="00126D8F" w14:paraId="79FC8641" w14:textId="1B2AFF8F">
      <w:pPr>
        <w:pStyle w:val="NoSpacing"/>
        <w:rPr>
          <w:sz w:val="24"/>
          <w:szCs w:val="24"/>
        </w:rPr>
      </w:pPr>
      <w:r w:rsidRPr="00126D8F">
        <w:rPr>
          <w:sz w:val="24"/>
          <w:szCs w:val="24"/>
        </w:rPr>
        <w:t xml:space="preserve">The Federal cost includes compliance reviews. The hourly cost of </w:t>
      </w:r>
      <w:r w:rsidRPr="00126D8F">
        <w:rPr>
          <w:b/>
          <w:bCs/>
          <w:sz w:val="24"/>
          <w:szCs w:val="24"/>
        </w:rPr>
        <w:t>$</w:t>
      </w:r>
      <w:r w:rsidRPr="00126D8F" w:rsidR="006C33B7">
        <w:rPr>
          <w:sz w:val="24"/>
          <w:szCs w:val="24"/>
        </w:rPr>
        <w:t>48.58</w:t>
      </w:r>
      <w:r w:rsidRPr="00126D8F" w:rsidR="00126D8F">
        <w:rPr>
          <w:sz w:val="24"/>
          <w:szCs w:val="24"/>
        </w:rPr>
        <w:t xml:space="preserve"> </w:t>
      </w:r>
      <w:r w:rsidRPr="00126D8F">
        <w:rPr>
          <w:sz w:val="24"/>
          <w:szCs w:val="24"/>
        </w:rPr>
        <w:t>is based on the national mean</w:t>
      </w:r>
      <w:r w:rsidRPr="00126D8F" w:rsidR="00126D8F">
        <w:rPr>
          <w:sz w:val="24"/>
          <w:szCs w:val="24"/>
        </w:rPr>
        <w:t xml:space="preserve"> </w:t>
      </w:r>
      <w:r w:rsidRPr="00126D8F">
        <w:rPr>
          <w:sz w:val="24"/>
          <w:szCs w:val="24"/>
        </w:rPr>
        <w:t>hourly wage of</w:t>
      </w:r>
      <w:r w:rsidRPr="00126D8F" w:rsidR="006C33B7">
        <w:rPr>
          <w:sz w:val="24"/>
          <w:szCs w:val="24"/>
        </w:rPr>
        <w:t xml:space="preserve"> GS-12, Step 1 found at https://www.opm.gov/policy-data-oversight/pay-leave/salaries-wages/2025/general-schedule/. </w:t>
      </w:r>
      <w:r w:rsidRPr="00126D8F">
        <w:rPr>
          <w:sz w:val="24"/>
          <w:szCs w:val="24"/>
        </w:rPr>
        <w:t xml:space="preserve"> </w:t>
      </w:r>
    </w:p>
    <w:p w:rsidR="006C7FAE" w:rsidRPr="00126D8F" w:rsidP="00126D8F" w14:paraId="67B75C61" w14:textId="77777777">
      <w:pPr>
        <w:pStyle w:val="NoSpacing"/>
        <w:rPr>
          <w:sz w:val="24"/>
          <w:szCs w:val="24"/>
        </w:rPr>
      </w:pPr>
    </w:p>
    <w:p w:rsidR="009E13B1" w14:paraId="005FDD51" w14:textId="77777777">
      <w:pPr>
        <w:keepLines/>
        <w:tabs>
          <w:tab w:val="left" w:pos="360"/>
        </w:tabs>
        <w:spacing w:after="80"/>
        <w:ind w:left="360" w:hanging="360"/>
        <w:rPr>
          <w:b/>
          <w:bCs/>
          <w:sz w:val="24"/>
          <w:szCs w:val="24"/>
        </w:rPr>
      </w:pPr>
      <w:r w:rsidRPr="00B57771">
        <w:rPr>
          <w:b/>
          <w:bCs/>
          <w:sz w:val="24"/>
          <w:szCs w:val="24"/>
        </w:rPr>
        <w:t>15.</w:t>
      </w:r>
      <w:r w:rsidRPr="00B57771">
        <w:rPr>
          <w:b/>
          <w:bCs/>
          <w:sz w:val="24"/>
          <w:szCs w:val="24"/>
        </w:rPr>
        <w:tab/>
        <w:t>Explain the reasons for any program changes or adjustments reported in Items 1</w:t>
      </w:r>
      <w:r w:rsidRPr="00B57771" w:rsidR="000D5079">
        <w:rPr>
          <w:b/>
          <w:bCs/>
          <w:sz w:val="24"/>
          <w:szCs w:val="24"/>
        </w:rPr>
        <w:t>2</w:t>
      </w:r>
      <w:r w:rsidRPr="00B57771">
        <w:rPr>
          <w:b/>
          <w:bCs/>
          <w:sz w:val="24"/>
          <w:szCs w:val="24"/>
        </w:rPr>
        <w:t xml:space="preserve"> and 14 of the </w:t>
      </w:r>
      <w:r w:rsidRPr="00B57771" w:rsidR="00CA06CC">
        <w:rPr>
          <w:b/>
          <w:bCs/>
          <w:sz w:val="24"/>
          <w:szCs w:val="24"/>
        </w:rPr>
        <w:t>Supporting Statement</w:t>
      </w:r>
      <w:r w:rsidRPr="00B57771">
        <w:rPr>
          <w:b/>
          <w:bCs/>
          <w:sz w:val="24"/>
          <w:szCs w:val="24"/>
        </w:rPr>
        <w:t>.</w:t>
      </w:r>
    </w:p>
    <w:p w:rsidR="00AA3F24" w14:paraId="574FE2CD" w14:textId="77777777">
      <w:pPr>
        <w:keepLines/>
        <w:tabs>
          <w:tab w:val="left" w:pos="360"/>
        </w:tabs>
        <w:spacing w:after="80"/>
        <w:ind w:left="360" w:hanging="360"/>
        <w:rPr>
          <w:b/>
          <w:bCs/>
          <w:sz w:val="24"/>
          <w:szCs w:val="24"/>
        </w:rPr>
      </w:pPr>
    </w:p>
    <w:p w:rsidR="00AA3F24" w:rsidP="00770085" w14:paraId="189E1A0E" w14:textId="2A8C7C4A">
      <w:pPr>
        <w:ind w:left="360"/>
        <w:rPr>
          <w:sz w:val="24"/>
          <w:szCs w:val="24"/>
        </w:rPr>
      </w:pPr>
      <w:r w:rsidRPr="003701E6">
        <w:rPr>
          <w:sz w:val="24"/>
          <w:szCs w:val="24"/>
        </w:rPr>
        <w:t xml:space="preserve">This is </w:t>
      </w:r>
      <w:r w:rsidRPr="003701E6" w:rsidR="00C84B10">
        <w:rPr>
          <w:sz w:val="24"/>
          <w:szCs w:val="24"/>
        </w:rPr>
        <w:t>a</w:t>
      </w:r>
      <w:r w:rsidRPr="003701E6">
        <w:rPr>
          <w:sz w:val="24"/>
          <w:szCs w:val="24"/>
        </w:rPr>
        <w:t xml:space="preserve"> </w:t>
      </w:r>
      <w:r w:rsidR="00C84B10">
        <w:rPr>
          <w:sz w:val="24"/>
          <w:szCs w:val="24"/>
        </w:rPr>
        <w:t>reinstatement with a change</w:t>
      </w:r>
      <w:r w:rsidRPr="003701E6">
        <w:rPr>
          <w:sz w:val="24"/>
          <w:szCs w:val="24"/>
        </w:rPr>
        <w:t xml:space="preserve"> of a currently approved </w:t>
      </w:r>
      <w:r>
        <w:rPr>
          <w:sz w:val="24"/>
          <w:szCs w:val="24"/>
        </w:rPr>
        <w:t>collection</w:t>
      </w:r>
      <w:r w:rsidRPr="003701E6">
        <w:rPr>
          <w:sz w:val="24"/>
          <w:szCs w:val="24"/>
        </w:rPr>
        <w:t xml:space="preserve">. There </w:t>
      </w:r>
      <w:r w:rsidR="00C84B10">
        <w:rPr>
          <w:sz w:val="24"/>
          <w:szCs w:val="24"/>
        </w:rPr>
        <w:t>has been a slight increase in the number of respondents from the last submission</w:t>
      </w:r>
      <w:r>
        <w:rPr>
          <w:sz w:val="24"/>
          <w:szCs w:val="24"/>
        </w:rPr>
        <w:t>.</w:t>
      </w:r>
    </w:p>
    <w:p w:rsidR="00AA3F24" w:rsidP="00770085" w14:paraId="5885DF11" w14:textId="77777777">
      <w:pPr>
        <w:ind w:left="360"/>
        <w:rPr>
          <w:sz w:val="24"/>
          <w:szCs w:val="24"/>
        </w:rPr>
      </w:pPr>
    </w:p>
    <w:p w:rsidR="00AA3F24" w:rsidRPr="003701E6" w:rsidP="00770085" w14:paraId="3C1B0E9C" w14:textId="77777777">
      <w:pPr>
        <w:snapToGrid w:val="0"/>
        <w:ind w:left="360"/>
        <w:rPr>
          <w:sz w:val="24"/>
          <w:szCs w:val="24"/>
        </w:rPr>
      </w:pPr>
      <w:r w:rsidRPr="0020722A">
        <w:rPr>
          <w:sz w:val="24"/>
          <w:szCs w:val="24"/>
        </w:rPr>
        <w:t xml:space="preserve">Keeping with its purpose, FHA mortgage insurance helps to stabilize housing markets during periods of economic distress.  When housing markets weaken, private </w:t>
      </w:r>
      <w:r>
        <w:rPr>
          <w:sz w:val="24"/>
          <w:szCs w:val="24"/>
        </w:rPr>
        <w:t>l</w:t>
      </w:r>
      <w:r w:rsidRPr="0020722A">
        <w:rPr>
          <w:sz w:val="24"/>
          <w:szCs w:val="24"/>
        </w:rPr>
        <w:t xml:space="preserve">enders seek a greater share of loans with FHA insurance.  As the economy improves, </w:t>
      </w:r>
      <w:r>
        <w:rPr>
          <w:sz w:val="24"/>
          <w:szCs w:val="24"/>
        </w:rPr>
        <w:t>l</w:t>
      </w:r>
      <w:r w:rsidRPr="0020722A">
        <w:rPr>
          <w:sz w:val="24"/>
          <w:szCs w:val="24"/>
        </w:rPr>
        <w:t>enders shift from Federal insurance support towards conventional lending models</w:t>
      </w:r>
      <w:r w:rsidRPr="003701E6">
        <w:rPr>
          <w:sz w:val="24"/>
          <w:szCs w:val="24"/>
        </w:rPr>
        <w:t>.</w:t>
      </w:r>
    </w:p>
    <w:p w:rsidR="00AA3F24" w:rsidRPr="00AA3F24" w:rsidP="00AA3F24" w14:paraId="70C7CD47" w14:textId="77777777">
      <w:pPr>
        <w:rPr>
          <w:sz w:val="24"/>
          <w:szCs w:val="24"/>
        </w:rPr>
      </w:pPr>
    </w:p>
    <w:p w:rsidR="009E13B1" w:rsidRPr="00B57771" w14:paraId="78BA2B5D" w14:textId="77777777">
      <w:pPr>
        <w:keepLines/>
        <w:tabs>
          <w:tab w:val="left" w:pos="360"/>
          <w:tab w:val="left" w:pos="720"/>
        </w:tabs>
        <w:ind w:left="360"/>
        <w:rPr>
          <w:b/>
          <w:bCs/>
          <w:sz w:val="24"/>
          <w:szCs w:val="24"/>
        </w:rPr>
      </w:pPr>
    </w:p>
    <w:p w:rsidR="009E13B1" w14:paraId="191E7ECF" w14:textId="77777777">
      <w:pPr>
        <w:keepLines/>
        <w:tabs>
          <w:tab w:val="left" w:pos="360"/>
        </w:tabs>
        <w:spacing w:after="80"/>
        <w:ind w:left="360" w:hanging="360"/>
        <w:rPr>
          <w:b/>
          <w:bCs/>
          <w:sz w:val="24"/>
          <w:szCs w:val="24"/>
        </w:rPr>
      </w:pPr>
      <w:r w:rsidRPr="00B57771">
        <w:rPr>
          <w:b/>
          <w:bCs/>
          <w:sz w:val="24"/>
          <w:szCs w:val="24"/>
        </w:rPr>
        <w:t>16.</w:t>
      </w:r>
      <w:r w:rsidRPr="00B57771">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A3F24" w14:paraId="42169786" w14:textId="77777777">
      <w:pPr>
        <w:keepLines/>
        <w:tabs>
          <w:tab w:val="left" w:pos="360"/>
        </w:tabs>
        <w:spacing w:after="80"/>
        <w:ind w:left="360" w:hanging="360"/>
        <w:rPr>
          <w:b/>
          <w:bCs/>
          <w:sz w:val="24"/>
          <w:szCs w:val="24"/>
        </w:rPr>
      </w:pPr>
    </w:p>
    <w:p w:rsidR="00AA3F24" w:rsidRPr="00075C02" w:rsidP="00770085" w14:paraId="5122D35A" w14:textId="77777777">
      <w:pPr>
        <w:ind w:left="360"/>
        <w:rPr>
          <w:bCs/>
          <w:color w:val="000000"/>
          <w:sz w:val="24"/>
          <w:szCs w:val="24"/>
        </w:rPr>
      </w:pPr>
      <w:r w:rsidRPr="00075C02">
        <w:rPr>
          <w:bCs/>
          <w:color w:val="000000"/>
          <w:sz w:val="24"/>
          <w:szCs w:val="24"/>
        </w:rPr>
        <w:t>This information collection does not include results that will be published.</w:t>
      </w:r>
    </w:p>
    <w:p w:rsidR="009E13B1" w:rsidRPr="00B57771" w:rsidP="00AA3F24" w14:paraId="41F37BFA" w14:textId="77777777">
      <w:pPr>
        <w:tabs>
          <w:tab w:val="left" w:pos="360"/>
        </w:tabs>
        <w:rPr>
          <w:b/>
          <w:bCs/>
          <w:sz w:val="24"/>
          <w:szCs w:val="24"/>
        </w:rPr>
      </w:pPr>
    </w:p>
    <w:p w:rsidR="009E13B1" w14:paraId="34E8092D" w14:textId="77777777">
      <w:pPr>
        <w:keepLines/>
        <w:tabs>
          <w:tab w:val="left" w:pos="360"/>
        </w:tabs>
        <w:spacing w:after="80"/>
        <w:ind w:left="360" w:hanging="360"/>
        <w:rPr>
          <w:b/>
          <w:bCs/>
          <w:sz w:val="24"/>
          <w:szCs w:val="24"/>
        </w:rPr>
      </w:pPr>
      <w:r w:rsidRPr="00B57771">
        <w:rPr>
          <w:b/>
          <w:bCs/>
          <w:sz w:val="24"/>
          <w:szCs w:val="24"/>
        </w:rPr>
        <w:t>17.</w:t>
      </w:r>
      <w:r w:rsidRPr="00B57771">
        <w:rPr>
          <w:b/>
          <w:bCs/>
          <w:sz w:val="24"/>
          <w:szCs w:val="24"/>
        </w:rPr>
        <w:tab/>
        <w:t>If seeking approval to not display the expiration date for OMB approval of the information collection, explain the reasons that display would be inappropriate.</w:t>
      </w:r>
    </w:p>
    <w:p w:rsidR="00AA3F24" w14:paraId="04F1CEC9" w14:textId="77777777">
      <w:pPr>
        <w:keepLines/>
        <w:tabs>
          <w:tab w:val="left" w:pos="360"/>
        </w:tabs>
        <w:spacing w:after="80"/>
        <w:ind w:left="360" w:hanging="360"/>
        <w:rPr>
          <w:b/>
          <w:bCs/>
          <w:sz w:val="24"/>
          <w:szCs w:val="24"/>
        </w:rPr>
      </w:pPr>
    </w:p>
    <w:p w:rsidR="00AA3F24" w:rsidRPr="00B57771" w:rsidP="00770085" w14:paraId="6BFEF680" w14:textId="2F436D15">
      <w:pPr>
        <w:keepLines/>
        <w:tabs>
          <w:tab w:val="left" w:pos="360"/>
        </w:tabs>
        <w:spacing w:after="80"/>
        <w:ind w:left="720" w:hanging="360"/>
        <w:rPr>
          <w:b/>
          <w:bCs/>
          <w:sz w:val="24"/>
          <w:szCs w:val="24"/>
        </w:rPr>
      </w:pPr>
      <w:r>
        <w:rPr>
          <w:color w:val="000000"/>
          <w:sz w:val="24"/>
          <w:szCs w:val="24"/>
        </w:rPr>
        <w:t>HUD is not seeking approval to avoid displaying the expiration date for the OMB approval</w:t>
      </w:r>
    </w:p>
    <w:sectPr w:rsidSect="006C7FAE">
      <w:headerReference w:type="default" r:id="rId8"/>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1CC1EFF"/>
    <w:multiLevelType w:val="hybridMultilevel"/>
    <w:tmpl w:val="5BC8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18741A"/>
    <w:multiLevelType w:val="hybridMultilevel"/>
    <w:tmpl w:val="A20AC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2C7F390A"/>
    <w:multiLevelType w:val="hybridMultilevel"/>
    <w:tmpl w:val="DB1654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1">
    <w:nsid w:val="55B0191F"/>
    <w:multiLevelType w:val="hybridMultilevel"/>
    <w:tmpl w:val="E85A793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2">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5E8905A9"/>
    <w:multiLevelType w:val="hybridMultilevel"/>
    <w:tmpl w:val="37AAC444"/>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6"/>
  </w:num>
  <w:num w:numId="2" w16cid:durableId="1939675396">
    <w:abstractNumId w:val="4"/>
  </w:num>
  <w:num w:numId="3" w16cid:durableId="1587377701">
    <w:abstractNumId w:val="12"/>
  </w:num>
  <w:num w:numId="4" w16cid:durableId="887451858">
    <w:abstractNumId w:val="8"/>
  </w:num>
  <w:num w:numId="5" w16cid:durableId="1830825219">
    <w:abstractNumId w:val="9"/>
  </w:num>
  <w:num w:numId="6" w16cid:durableId="2036811765">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5"/>
  </w:num>
  <w:num w:numId="8" w16cid:durableId="1708868018">
    <w:abstractNumId w:val="16"/>
  </w:num>
  <w:num w:numId="9" w16cid:durableId="36247648">
    <w:abstractNumId w:val="3"/>
  </w:num>
  <w:num w:numId="10" w16cid:durableId="1269002932">
    <w:abstractNumId w:val="15"/>
  </w:num>
  <w:num w:numId="11" w16cid:durableId="804929379">
    <w:abstractNumId w:val="14"/>
  </w:num>
  <w:num w:numId="12" w16cid:durableId="1778601022">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0"/>
  </w:num>
  <w:num w:numId="14" w16cid:durableId="1774594277">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16cid:durableId="20978028">
    <w:abstractNumId w:val="7"/>
  </w:num>
  <w:num w:numId="16" w16cid:durableId="462236890">
    <w:abstractNumId w:val="11"/>
  </w:num>
  <w:num w:numId="17" w16cid:durableId="368455052">
    <w:abstractNumId w:val="13"/>
  </w:num>
  <w:num w:numId="18" w16cid:durableId="1956017076">
    <w:abstractNumId w:val="1"/>
  </w:num>
  <w:num w:numId="19" w16cid:durableId="9328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6"/>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1FCC"/>
    <w:rsid w:val="00030904"/>
    <w:rsid w:val="000453C0"/>
    <w:rsid w:val="000515DF"/>
    <w:rsid w:val="00075C02"/>
    <w:rsid w:val="00085D9B"/>
    <w:rsid w:val="00093CDA"/>
    <w:rsid w:val="000A1639"/>
    <w:rsid w:val="000C117C"/>
    <w:rsid w:val="000C38FD"/>
    <w:rsid w:val="000C501C"/>
    <w:rsid w:val="000D5079"/>
    <w:rsid w:val="000E00A8"/>
    <w:rsid w:val="000E05E3"/>
    <w:rsid w:val="000E2A89"/>
    <w:rsid w:val="000E5743"/>
    <w:rsid w:val="000F05B4"/>
    <w:rsid w:val="00104082"/>
    <w:rsid w:val="001066E2"/>
    <w:rsid w:val="00126D8F"/>
    <w:rsid w:val="00152C9A"/>
    <w:rsid w:val="001670A6"/>
    <w:rsid w:val="00167E53"/>
    <w:rsid w:val="001735F0"/>
    <w:rsid w:val="001857C3"/>
    <w:rsid w:val="001D53C0"/>
    <w:rsid w:val="001F647C"/>
    <w:rsid w:val="0020722A"/>
    <w:rsid w:val="00211848"/>
    <w:rsid w:val="00226B66"/>
    <w:rsid w:val="0023256B"/>
    <w:rsid w:val="00237D20"/>
    <w:rsid w:val="00276F2C"/>
    <w:rsid w:val="0028513A"/>
    <w:rsid w:val="002855EE"/>
    <w:rsid w:val="002C5BA8"/>
    <w:rsid w:val="002D5F36"/>
    <w:rsid w:val="002E4E21"/>
    <w:rsid w:val="002E6CC9"/>
    <w:rsid w:val="002F1D24"/>
    <w:rsid w:val="002F6CE8"/>
    <w:rsid w:val="003035C0"/>
    <w:rsid w:val="00304243"/>
    <w:rsid w:val="00312D53"/>
    <w:rsid w:val="00331152"/>
    <w:rsid w:val="0033187B"/>
    <w:rsid w:val="003327EE"/>
    <w:rsid w:val="003328BA"/>
    <w:rsid w:val="003421BA"/>
    <w:rsid w:val="00345048"/>
    <w:rsid w:val="003530EC"/>
    <w:rsid w:val="00360090"/>
    <w:rsid w:val="00361534"/>
    <w:rsid w:val="003701E6"/>
    <w:rsid w:val="00391367"/>
    <w:rsid w:val="00393E38"/>
    <w:rsid w:val="003A0015"/>
    <w:rsid w:val="003B57F8"/>
    <w:rsid w:val="0040069A"/>
    <w:rsid w:val="004138A2"/>
    <w:rsid w:val="0041777E"/>
    <w:rsid w:val="00422B19"/>
    <w:rsid w:val="00425C49"/>
    <w:rsid w:val="00436BCD"/>
    <w:rsid w:val="00442246"/>
    <w:rsid w:val="00450591"/>
    <w:rsid w:val="0045073C"/>
    <w:rsid w:val="00463F84"/>
    <w:rsid w:val="00480B10"/>
    <w:rsid w:val="00490DDC"/>
    <w:rsid w:val="00491488"/>
    <w:rsid w:val="004B5974"/>
    <w:rsid w:val="004B6F55"/>
    <w:rsid w:val="004D12FC"/>
    <w:rsid w:val="004F727B"/>
    <w:rsid w:val="005024D6"/>
    <w:rsid w:val="00524E1E"/>
    <w:rsid w:val="005301CA"/>
    <w:rsid w:val="0053103E"/>
    <w:rsid w:val="00532200"/>
    <w:rsid w:val="00544B6C"/>
    <w:rsid w:val="00550934"/>
    <w:rsid w:val="00553281"/>
    <w:rsid w:val="0058747D"/>
    <w:rsid w:val="006157A4"/>
    <w:rsid w:val="006344C0"/>
    <w:rsid w:val="00644260"/>
    <w:rsid w:val="00650066"/>
    <w:rsid w:val="006814B3"/>
    <w:rsid w:val="00685DEE"/>
    <w:rsid w:val="00696A98"/>
    <w:rsid w:val="006A0FA5"/>
    <w:rsid w:val="006A5E25"/>
    <w:rsid w:val="006B7674"/>
    <w:rsid w:val="006C33B7"/>
    <w:rsid w:val="006C3BBC"/>
    <w:rsid w:val="006C4830"/>
    <w:rsid w:val="006C7FAE"/>
    <w:rsid w:val="006F2B13"/>
    <w:rsid w:val="00706162"/>
    <w:rsid w:val="00710262"/>
    <w:rsid w:val="0072384D"/>
    <w:rsid w:val="0074296E"/>
    <w:rsid w:val="00770085"/>
    <w:rsid w:val="00777B08"/>
    <w:rsid w:val="0079259A"/>
    <w:rsid w:val="007B4A33"/>
    <w:rsid w:val="008314BA"/>
    <w:rsid w:val="00863D86"/>
    <w:rsid w:val="0089218B"/>
    <w:rsid w:val="008A7175"/>
    <w:rsid w:val="008B65D4"/>
    <w:rsid w:val="008E0A84"/>
    <w:rsid w:val="00917D02"/>
    <w:rsid w:val="00957B10"/>
    <w:rsid w:val="00962C14"/>
    <w:rsid w:val="00970B28"/>
    <w:rsid w:val="0098376C"/>
    <w:rsid w:val="009846E6"/>
    <w:rsid w:val="009A4804"/>
    <w:rsid w:val="009E0C3E"/>
    <w:rsid w:val="009E13B1"/>
    <w:rsid w:val="009E62B8"/>
    <w:rsid w:val="00A12E1B"/>
    <w:rsid w:val="00A16FA9"/>
    <w:rsid w:val="00A1766F"/>
    <w:rsid w:val="00A207F4"/>
    <w:rsid w:val="00A22CF6"/>
    <w:rsid w:val="00A25FAC"/>
    <w:rsid w:val="00A54047"/>
    <w:rsid w:val="00A65F9E"/>
    <w:rsid w:val="00A83E46"/>
    <w:rsid w:val="00A87CCD"/>
    <w:rsid w:val="00AA3F24"/>
    <w:rsid w:val="00AB048C"/>
    <w:rsid w:val="00AF1A4D"/>
    <w:rsid w:val="00AF2625"/>
    <w:rsid w:val="00B01940"/>
    <w:rsid w:val="00B03398"/>
    <w:rsid w:val="00B04BA6"/>
    <w:rsid w:val="00B174C4"/>
    <w:rsid w:val="00B57771"/>
    <w:rsid w:val="00B82907"/>
    <w:rsid w:val="00B94401"/>
    <w:rsid w:val="00B94521"/>
    <w:rsid w:val="00BA157D"/>
    <w:rsid w:val="00BB2518"/>
    <w:rsid w:val="00BB67B1"/>
    <w:rsid w:val="00BC10AF"/>
    <w:rsid w:val="00BC39B9"/>
    <w:rsid w:val="00BC50C0"/>
    <w:rsid w:val="00BC559A"/>
    <w:rsid w:val="00BC6DA9"/>
    <w:rsid w:val="00BD78D1"/>
    <w:rsid w:val="00BF4954"/>
    <w:rsid w:val="00C06B8A"/>
    <w:rsid w:val="00C4074F"/>
    <w:rsid w:val="00C62481"/>
    <w:rsid w:val="00C84B10"/>
    <w:rsid w:val="00C96747"/>
    <w:rsid w:val="00CA06CC"/>
    <w:rsid w:val="00CB441D"/>
    <w:rsid w:val="00CD6BAB"/>
    <w:rsid w:val="00CE1567"/>
    <w:rsid w:val="00CF7194"/>
    <w:rsid w:val="00CF7A19"/>
    <w:rsid w:val="00D034E5"/>
    <w:rsid w:val="00D11856"/>
    <w:rsid w:val="00D23101"/>
    <w:rsid w:val="00D514BB"/>
    <w:rsid w:val="00D717DB"/>
    <w:rsid w:val="00D74136"/>
    <w:rsid w:val="00D75F1E"/>
    <w:rsid w:val="00D775AA"/>
    <w:rsid w:val="00D81406"/>
    <w:rsid w:val="00D953F7"/>
    <w:rsid w:val="00DA6FFE"/>
    <w:rsid w:val="00DD2E5F"/>
    <w:rsid w:val="00DD3286"/>
    <w:rsid w:val="00E01140"/>
    <w:rsid w:val="00E356AC"/>
    <w:rsid w:val="00E44232"/>
    <w:rsid w:val="00E4609E"/>
    <w:rsid w:val="00EB228A"/>
    <w:rsid w:val="00ED6C41"/>
    <w:rsid w:val="00EE6AB9"/>
    <w:rsid w:val="00EF662D"/>
    <w:rsid w:val="00F035D5"/>
    <w:rsid w:val="00F04583"/>
    <w:rsid w:val="00F27C8F"/>
    <w:rsid w:val="00F27EAB"/>
    <w:rsid w:val="00F5145B"/>
    <w:rsid w:val="00F75540"/>
    <w:rsid w:val="00F80EF1"/>
    <w:rsid w:val="00F96189"/>
    <w:rsid w:val="00FA1058"/>
    <w:rsid w:val="00FA68A5"/>
    <w:rsid w:val="00FA6A76"/>
    <w:rsid w:val="00FE3F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CommentReference">
    <w:name w:val="annotation reference"/>
    <w:basedOn w:val="DefaultParagraphFont"/>
    <w:uiPriority w:val="99"/>
    <w:semiHidden/>
    <w:unhideWhenUsed/>
    <w:rsid w:val="00085D9B"/>
    <w:rPr>
      <w:sz w:val="16"/>
      <w:szCs w:val="16"/>
    </w:rPr>
  </w:style>
  <w:style w:type="paragraph" w:styleId="CommentText">
    <w:name w:val="annotation text"/>
    <w:basedOn w:val="Normal"/>
    <w:link w:val="CommentTextChar"/>
    <w:uiPriority w:val="99"/>
    <w:unhideWhenUsed/>
    <w:rsid w:val="00085D9B"/>
  </w:style>
  <w:style w:type="character" w:customStyle="1" w:styleId="CommentTextChar">
    <w:name w:val="Comment Text Char"/>
    <w:basedOn w:val="DefaultParagraphFont"/>
    <w:link w:val="CommentText"/>
    <w:uiPriority w:val="99"/>
    <w:rsid w:val="00085D9B"/>
  </w:style>
  <w:style w:type="paragraph" w:styleId="BodyTextIndent2">
    <w:name w:val="Body Text Indent 2"/>
    <w:basedOn w:val="Normal"/>
    <w:link w:val="BodyTextIndent2Char"/>
    <w:rsid w:val="00AA3F24"/>
    <w:pPr>
      <w:keepLines/>
      <w:tabs>
        <w:tab w:val="left" w:pos="360"/>
      </w:tabs>
      <w:ind w:left="360"/>
    </w:pPr>
    <w:rPr>
      <w:color w:val="000000"/>
      <w:sz w:val="24"/>
    </w:rPr>
  </w:style>
  <w:style w:type="character" w:customStyle="1" w:styleId="BodyTextIndent2Char">
    <w:name w:val="Body Text Indent 2 Char"/>
    <w:basedOn w:val="DefaultParagraphFont"/>
    <w:link w:val="BodyTextIndent2"/>
    <w:rsid w:val="00AA3F24"/>
    <w:rPr>
      <w:color w:val="000000"/>
      <w:sz w:val="24"/>
    </w:rPr>
  </w:style>
  <w:style w:type="paragraph" w:styleId="CommentSubject">
    <w:name w:val="annotation subject"/>
    <w:basedOn w:val="CommentText"/>
    <w:next w:val="CommentText"/>
    <w:link w:val="CommentSubjectChar"/>
    <w:uiPriority w:val="99"/>
    <w:semiHidden/>
    <w:unhideWhenUsed/>
    <w:rsid w:val="00104082"/>
    <w:rPr>
      <w:b/>
      <w:bCs/>
    </w:rPr>
  </w:style>
  <w:style w:type="character" w:customStyle="1" w:styleId="CommentSubjectChar">
    <w:name w:val="Comment Subject Char"/>
    <w:basedOn w:val="CommentTextChar"/>
    <w:link w:val="CommentSubject"/>
    <w:uiPriority w:val="99"/>
    <w:semiHidden/>
    <w:rsid w:val="00104082"/>
    <w:rPr>
      <w:b/>
      <w:bCs/>
    </w:rPr>
  </w:style>
  <w:style w:type="paragraph" w:styleId="Revision">
    <w:name w:val="Revision"/>
    <w:hidden/>
    <w:uiPriority w:val="99"/>
    <w:semiHidden/>
    <w:rsid w:val="006C3BBC"/>
  </w:style>
  <w:style w:type="character" w:styleId="Hyperlink">
    <w:name w:val="Hyperlink"/>
    <w:rsid w:val="0098376C"/>
    <w:rPr>
      <w:color w:val="0000FF"/>
      <w:u w:val="single"/>
    </w:rPr>
  </w:style>
  <w:style w:type="character" w:styleId="FollowedHyperlink">
    <w:name w:val="FollowedHyperlink"/>
    <w:basedOn w:val="DefaultParagraphFont"/>
    <w:uiPriority w:val="99"/>
    <w:semiHidden/>
    <w:unhideWhenUsed/>
    <w:rsid w:val="0098376C"/>
    <w:rPr>
      <w:color w:val="96607D" w:themeColor="followedHyperlink"/>
      <w:u w:val="single"/>
    </w:rPr>
  </w:style>
  <w:style w:type="paragraph" w:styleId="NoSpacing">
    <w:name w:val="No Spacing"/>
    <w:uiPriority w:val="1"/>
    <w:qFormat/>
    <w:rsid w:val="0033187B"/>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bl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3435</Words>
  <Characters>19281</Characters>
  <Application>Microsoft Office Word</Application>
  <DocSecurity>2</DocSecurity>
  <Lines>160</Lines>
  <Paragraphs>45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2025-05-28T19:19:00Z</dcterms:created>
  <dcterms:modified xsi:type="dcterms:W3CDTF">2025-05-28T19:19:00Z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