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7388" w:rsidP="004E6601" w14:paraId="229BE6D7" w14:textId="77777777">
      <w:pPr>
        <w:suppressAutoHyphens/>
        <w:jc w:val="center"/>
        <w:rPr>
          <w:rFonts w:ascii="Times New Roman" w:hAnsi="Times New Roman"/>
          <w:b/>
        </w:rPr>
      </w:pPr>
      <w:r>
        <w:rPr>
          <w:rFonts w:ascii="Times New Roman" w:hAnsi="Times New Roman"/>
          <w:b/>
        </w:rPr>
        <w:t>SUPPORTING STATEMENT FOR NEW AND</w:t>
      </w:r>
    </w:p>
    <w:p w:rsidR="00005CFE" w:rsidP="004E6601" w14:paraId="77A709C3" w14:textId="1FE52071">
      <w:pPr>
        <w:suppressAutoHyphens/>
        <w:spacing w:after="240"/>
        <w:jc w:val="center"/>
        <w:rPr>
          <w:rFonts w:ascii="Times New Roman" w:hAnsi="Times New Roman"/>
          <w:b/>
        </w:rPr>
      </w:pPr>
      <w:r>
        <w:rPr>
          <w:rFonts w:ascii="Times New Roman" w:hAnsi="Times New Roman"/>
          <w:b/>
        </w:rPr>
        <w:t>REVISED INFORMATION COLLECTIONS</w:t>
      </w:r>
    </w:p>
    <w:p w:rsidR="008A51EA" w:rsidRPr="00172514" w:rsidP="004E6601" w14:paraId="09ADBFB4" w14:textId="341A5BDA">
      <w:pPr>
        <w:suppressAutoHyphens/>
        <w:jc w:val="center"/>
        <w:rPr>
          <w:rFonts w:ascii="Times New Roman" w:hAnsi="Times New Roman"/>
        </w:rPr>
      </w:pPr>
      <w:bookmarkStart w:id="0" w:name="_Hlk194416197"/>
      <w:r w:rsidRPr="00172514">
        <w:rPr>
          <w:rFonts w:ascii="Times New Roman" w:hAnsi="Times New Roman"/>
        </w:rPr>
        <w:t>Re</w:t>
      </w:r>
      <w:r w:rsidRPr="00172514">
        <w:rPr>
          <w:rFonts w:ascii="Times New Roman" w:hAnsi="Times New Roman"/>
        </w:rPr>
        <w:t>porting, Recordkeeping, and Daily Trading Records Requirements</w:t>
      </w:r>
    </w:p>
    <w:p w:rsidR="00005CFE" w:rsidRPr="00DB749C" w:rsidP="004E6601" w14:paraId="3A548E7F" w14:textId="5BEA40A5">
      <w:pPr>
        <w:suppressAutoHyphens/>
        <w:spacing w:after="240"/>
        <w:jc w:val="center"/>
        <w:rPr>
          <w:rFonts w:ascii="Times New Roman" w:hAnsi="Times New Roman"/>
        </w:rPr>
      </w:pPr>
      <w:r w:rsidRPr="00172514">
        <w:rPr>
          <w:rFonts w:ascii="Times New Roman" w:hAnsi="Times New Roman"/>
        </w:rPr>
        <w:t xml:space="preserve">For </w:t>
      </w:r>
      <w:r w:rsidRPr="00172514" w:rsidR="008A51EA">
        <w:rPr>
          <w:rFonts w:ascii="Times New Roman" w:hAnsi="Times New Roman"/>
        </w:rPr>
        <w:t>Swap Dealers and Major Swap Participants</w:t>
      </w:r>
      <w:bookmarkEnd w:id="0"/>
    </w:p>
    <w:p w:rsidR="00DB749C" w:rsidRPr="00DB749C" w:rsidP="004E6601" w14:paraId="15F6C80D" w14:textId="6EE8850B">
      <w:pPr>
        <w:tabs>
          <w:tab w:val="center" w:pos="4680"/>
        </w:tabs>
        <w:suppressAutoHyphens/>
        <w:spacing w:after="240"/>
        <w:jc w:val="center"/>
        <w:rPr>
          <w:rFonts w:ascii="Times New Roman" w:hAnsi="Times New Roman"/>
          <w:bCs/>
        </w:rPr>
      </w:pPr>
      <w:r>
        <w:rPr>
          <w:rFonts w:ascii="Times New Roman" w:hAnsi="Times New Roman"/>
          <w:b/>
        </w:rPr>
        <w:t>OMB CONTROL NUMBER 3038-0087</w:t>
      </w:r>
    </w:p>
    <w:p w:rsidR="00F77388" w:rsidP="004E6601" w14:paraId="1DD6FE63" w14:textId="18F9BAFB">
      <w:pPr>
        <w:pStyle w:val="Heading1"/>
        <w:keepNext w:val="0"/>
        <w:spacing w:after="240"/>
      </w:pPr>
      <w:r>
        <w:rPr>
          <w:rFonts w:ascii="Times New Roman" w:hAnsi="Times New Roman"/>
          <w:szCs w:val="24"/>
        </w:rPr>
        <w:t>Justification</w:t>
      </w:r>
    </w:p>
    <w:p w:rsidR="00F77388" w:rsidP="004E6601" w14:paraId="34632CBD" w14:textId="4B5958B6">
      <w:pPr>
        <w:tabs>
          <w:tab w:val="left" w:pos="-720"/>
        </w:tabs>
        <w:spacing w:after="240"/>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77388" w:rsidP="004E6601" w14:paraId="440A7BC2" w14:textId="2C577199">
      <w:pPr>
        <w:pStyle w:val="Default"/>
        <w:spacing w:after="240"/>
        <w:jc w:val="both"/>
        <w:rPr>
          <w:rFonts w:ascii="Times New Roman" w:hAnsi="Times New Roman" w:cs="Times New Roman"/>
        </w:rPr>
      </w:pPr>
      <w:r>
        <w:rPr>
          <w:rFonts w:ascii="Times New Roman" w:hAnsi="Times New Roman" w:cs="Times New Roman"/>
        </w:rPr>
        <w:t>Section 731 of Title VII of the Dodd-Frank Wall Street Reform and Consumer Protection Act (Dodd-Frank Act, Pub L. No. 111-203, 124 Stat. 1376 (2010)) amended the Commodity Exchange Act (</w:t>
      </w:r>
      <w:r w:rsidR="00E5456C">
        <w:rPr>
          <w:rFonts w:ascii="Times New Roman" w:hAnsi="Times New Roman" w:cs="Times New Roman"/>
        </w:rPr>
        <w:t>“</w:t>
      </w:r>
      <w:r>
        <w:rPr>
          <w:rFonts w:ascii="Times New Roman" w:hAnsi="Times New Roman" w:cs="Times New Roman"/>
        </w:rPr>
        <w:t>CEA</w:t>
      </w:r>
      <w:r w:rsidR="00E5456C">
        <w:rPr>
          <w:rFonts w:ascii="Times New Roman" w:hAnsi="Times New Roman" w:cs="Times New Roman"/>
        </w:rPr>
        <w:t>”</w:t>
      </w:r>
      <w:r>
        <w:rPr>
          <w:rFonts w:ascii="Times New Roman" w:hAnsi="Times New Roman" w:cs="Times New Roman"/>
        </w:rPr>
        <w:t xml:space="preserve">) to add section 4s(f) and 4s(g) which establish certain reporting, recordkeeping, and daily trading records requirements for swap dealers </w:t>
      </w:r>
      <w:r w:rsidR="00DA1794">
        <w:rPr>
          <w:rFonts w:ascii="Times New Roman" w:hAnsi="Times New Roman" w:cs="Times New Roman"/>
        </w:rPr>
        <w:t>(</w:t>
      </w:r>
      <w:r w:rsidR="00E5456C">
        <w:rPr>
          <w:rFonts w:ascii="Times New Roman" w:hAnsi="Times New Roman" w:cs="Times New Roman"/>
        </w:rPr>
        <w:t>“</w:t>
      </w:r>
      <w:r w:rsidR="00DA1794">
        <w:rPr>
          <w:rFonts w:ascii="Times New Roman" w:hAnsi="Times New Roman" w:cs="Times New Roman"/>
        </w:rPr>
        <w:t>SDs</w:t>
      </w:r>
      <w:r w:rsidR="00E5456C">
        <w:rPr>
          <w:rFonts w:ascii="Times New Roman" w:hAnsi="Times New Roman" w:cs="Times New Roman"/>
        </w:rPr>
        <w:t>”</w:t>
      </w:r>
      <w:r w:rsidR="00DA1794">
        <w:rPr>
          <w:rFonts w:ascii="Times New Roman" w:hAnsi="Times New Roman" w:cs="Times New Roman"/>
        </w:rPr>
        <w:t xml:space="preserve">) </w:t>
      </w:r>
      <w:r>
        <w:rPr>
          <w:rFonts w:ascii="Times New Roman" w:hAnsi="Times New Roman" w:cs="Times New Roman"/>
        </w:rPr>
        <w:t>and major swap participants</w:t>
      </w:r>
      <w:r w:rsidR="00DA1794">
        <w:rPr>
          <w:rFonts w:ascii="Times New Roman" w:hAnsi="Times New Roman" w:cs="Times New Roman"/>
        </w:rPr>
        <w:t xml:space="preserve"> (</w:t>
      </w:r>
      <w:r w:rsidR="00E5456C">
        <w:rPr>
          <w:rFonts w:ascii="Times New Roman" w:hAnsi="Times New Roman" w:cs="Times New Roman"/>
        </w:rPr>
        <w:t>“</w:t>
      </w:r>
      <w:r w:rsidR="00DA1794">
        <w:rPr>
          <w:rFonts w:ascii="Times New Roman" w:hAnsi="Times New Roman" w:cs="Times New Roman"/>
        </w:rPr>
        <w:t>MSPs</w:t>
      </w:r>
      <w:r w:rsidR="00E5456C">
        <w:rPr>
          <w:rFonts w:ascii="Times New Roman" w:hAnsi="Times New Roman" w:cs="Times New Roman"/>
        </w:rPr>
        <w:t>”</w:t>
      </w:r>
      <w:r w:rsidR="00DA1794">
        <w:rPr>
          <w:rFonts w:ascii="Times New Roman" w:hAnsi="Times New Roman" w:cs="Times New Roman"/>
        </w:rPr>
        <w:t>)</w:t>
      </w:r>
      <w:r>
        <w:rPr>
          <w:rFonts w:ascii="Times New Roman" w:hAnsi="Times New Roman" w:cs="Times New Roman"/>
        </w:rPr>
        <w:t xml:space="preserve">.  Specifically, section 4s(f) authorizes the Commission to promulgate books and records and </w:t>
      </w:r>
      <w:r>
        <w:rPr>
          <w:rFonts w:ascii="Times New Roman" w:hAnsi="Times New Roman" w:cs="Times New Roman"/>
        </w:rPr>
        <w:t>reporting</w:t>
      </w:r>
      <w:r>
        <w:rPr>
          <w:rFonts w:ascii="Times New Roman" w:hAnsi="Times New Roman" w:cs="Times New Roman"/>
        </w:rPr>
        <w:t xml:space="preserve"> requirements for </w:t>
      </w:r>
      <w:r w:rsidR="00DA1794">
        <w:rPr>
          <w:rFonts w:ascii="Times New Roman" w:hAnsi="Times New Roman" w:cs="Times New Roman"/>
        </w:rPr>
        <w:t xml:space="preserve">SDs and MSPs.  It also </w:t>
      </w:r>
      <w:r>
        <w:rPr>
          <w:rFonts w:ascii="Times New Roman" w:hAnsi="Times New Roman" w:cs="Times New Roman"/>
        </w:rPr>
        <w:t xml:space="preserve">expressly </w:t>
      </w:r>
      <w:r>
        <w:rPr>
          <w:rFonts w:ascii="Times New Roman" w:hAnsi="Times New Roman" w:cs="Times New Roman"/>
        </w:rPr>
        <w:t>obligates</w:t>
      </w:r>
      <w:r>
        <w:rPr>
          <w:rFonts w:ascii="Times New Roman" w:hAnsi="Times New Roman" w:cs="Times New Roman"/>
        </w:rPr>
        <w:t xml:space="preserve"> </w:t>
      </w:r>
      <w:r w:rsidR="00DA1794">
        <w:rPr>
          <w:rFonts w:ascii="Times New Roman" w:hAnsi="Times New Roman" w:cs="Times New Roman"/>
        </w:rPr>
        <w:t>SDs and MSPs</w:t>
      </w:r>
      <w:r>
        <w:rPr>
          <w:rFonts w:ascii="Times New Roman" w:hAnsi="Times New Roman" w:cs="Times New Roman"/>
        </w:rPr>
        <w:t xml:space="preserve"> to maintain records of all activities related to their swaps businesses and to make reports regarding their transactions, positions and financial condition, as required by such regulations.  Section 4s(g) requires </w:t>
      </w:r>
      <w:r w:rsidR="00DA1794">
        <w:rPr>
          <w:rFonts w:ascii="Times New Roman" w:hAnsi="Times New Roman" w:cs="Times New Roman"/>
        </w:rPr>
        <w:t>SDs and MSPs</w:t>
      </w:r>
      <w:r>
        <w:rPr>
          <w:rFonts w:ascii="Times New Roman" w:hAnsi="Times New Roman" w:cs="Times New Roman"/>
        </w:rPr>
        <w:t xml:space="preserve"> to maintain</w:t>
      </w:r>
      <w:r w:rsidR="00311D4B">
        <w:rPr>
          <w:rFonts w:ascii="Times New Roman" w:hAnsi="Times New Roman" w:cs="Times New Roman"/>
        </w:rPr>
        <w:t>:</w:t>
      </w:r>
      <w:r>
        <w:rPr>
          <w:rFonts w:ascii="Times New Roman" w:hAnsi="Times New Roman" w:cs="Times New Roman"/>
        </w:rPr>
        <w:t xml:space="preserve"> </w:t>
      </w:r>
      <w:r w:rsidR="00ED7EC3">
        <w:rPr>
          <w:rFonts w:ascii="Times New Roman" w:hAnsi="Times New Roman" w:cs="Times New Roman"/>
        </w:rPr>
        <w:t xml:space="preserve">(1) </w:t>
      </w:r>
      <w:r>
        <w:rPr>
          <w:rFonts w:ascii="Times New Roman" w:hAnsi="Times New Roman" w:cs="Times New Roman"/>
        </w:rPr>
        <w:t xml:space="preserve">daily trading records of their swaps that contain any information prescribed by Commission regulations; </w:t>
      </w:r>
      <w:r w:rsidR="00ED7EC3">
        <w:rPr>
          <w:rFonts w:ascii="Times New Roman" w:hAnsi="Times New Roman" w:cs="Times New Roman"/>
        </w:rPr>
        <w:t xml:space="preserve">(2) </w:t>
      </w:r>
      <w:r>
        <w:rPr>
          <w:rFonts w:ascii="Times New Roman" w:hAnsi="Times New Roman" w:cs="Times New Roman"/>
        </w:rPr>
        <w:t xml:space="preserve">all related records (including records of related cash and forward transactions); </w:t>
      </w:r>
      <w:r w:rsidR="00ED7EC3">
        <w:rPr>
          <w:rFonts w:ascii="Times New Roman" w:hAnsi="Times New Roman" w:cs="Times New Roman"/>
        </w:rPr>
        <w:t xml:space="preserve">(3) </w:t>
      </w:r>
      <w:r>
        <w:rPr>
          <w:rFonts w:ascii="Times New Roman" w:hAnsi="Times New Roman" w:cs="Times New Roman"/>
        </w:rPr>
        <w:t xml:space="preserve">all recorded communications (including electronic mail, instant messages, and recordings of telephone calls); and </w:t>
      </w:r>
      <w:r w:rsidR="00ED7EC3">
        <w:rPr>
          <w:rFonts w:ascii="Times New Roman" w:hAnsi="Times New Roman" w:cs="Times New Roman"/>
        </w:rPr>
        <w:t xml:space="preserve">(4) </w:t>
      </w:r>
      <w:r>
        <w:rPr>
          <w:rFonts w:ascii="Times New Roman" w:hAnsi="Times New Roman" w:cs="Times New Roman"/>
        </w:rPr>
        <w:t>a complete audit trail for conducting comprehensive and accurate trade reconstruction.  Section 4s(g) also requires that the daily trading records for each swap transaction be identifiable by transaction and by counterparty.</w:t>
      </w:r>
    </w:p>
    <w:p w:rsidR="00F77388" w:rsidP="004E6601" w14:paraId="1E881991" w14:textId="4FB6FA6B">
      <w:pPr>
        <w:pStyle w:val="Default"/>
        <w:spacing w:after="240"/>
        <w:jc w:val="both"/>
        <w:rPr>
          <w:rFonts w:ascii="Times New Roman" w:hAnsi="Times New Roman" w:cs="Times New Roman"/>
        </w:rPr>
      </w:pPr>
      <w:r>
        <w:rPr>
          <w:rFonts w:ascii="Times New Roman" w:hAnsi="Times New Roman" w:cs="Times New Roman"/>
        </w:rPr>
        <w:t>Accordingly, the Commission adopted regulations 23.201-23.205</w:t>
      </w:r>
      <w:r w:rsidR="00762AED">
        <w:rPr>
          <w:rFonts w:ascii="Times New Roman" w:hAnsi="Times New Roman" w:cs="Times New Roman"/>
        </w:rPr>
        <w:t>.</w:t>
      </w:r>
      <w:r>
        <w:rPr>
          <w:rFonts w:ascii="Times New Roman" w:hAnsi="Times New Roman" w:cs="Times New Roman"/>
        </w:rPr>
        <w:t xml:space="preserve"> </w:t>
      </w:r>
      <w:r w:rsidR="00762AED">
        <w:rPr>
          <w:rFonts w:ascii="Times New Roman" w:hAnsi="Times New Roman" w:cs="Times New Roman"/>
        </w:rPr>
        <w:t>The regulations</w:t>
      </w:r>
      <w:r>
        <w:rPr>
          <w:rFonts w:ascii="Times New Roman" w:hAnsi="Times New Roman" w:cs="Times New Roman"/>
        </w:rPr>
        <w:t xml:space="preserve"> impose certain recordkeeping and reporting obligations upon </w:t>
      </w:r>
      <w:r w:rsidR="00507069">
        <w:rPr>
          <w:rFonts w:ascii="Times New Roman" w:hAnsi="Times New Roman" w:cs="Times New Roman"/>
        </w:rPr>
        <w:t>SDs</w:t>
      </w:r>
      <w:r>
        <w:rPr>
          <w:rFonts w:ascii="Times New Roman" w:hAnsi="Times New Roman" w:cs="Times New Roman"/>
        </w:rPr>
        <w:t xml:space="preserve"> and </w:t>
      </w:r>
      <w:r w:rsidR="00507069">
        <w:rPr>
          <w:rFonts w:ascii="Times New Roman" w:hAnsi="Times New Roman" w:cs="Times New Roman"/>
        </w:rPr>
        <w:t>MSPs</w:t>
      </w:r>
      <w:r>
        <w:rPr>
          <w:rFonts w:ascii="Times New Roman" w:hAnsi="Times New Roman" w:cs="Times New Roman"/>
        </w:rPr>
        <w:t xml:space="preserve">.  The regulations generally require </w:t>
      </w:r>
      <w:r w:rsidR="00DA1794">
        <w:rPr>
          <w:rFonts w:ascii="Times New Roman" w:hAnsi="Times New Roman" w:cs="Times New Roman"/>
        </w:rPr>
        <w:t>SDs and MSPs</w:t>
      </w:r>
      <w:r>
        <w:rPr>
          <w:rFonts w:ascii="Times New Roman" w:hAnsi="Times New Roman" w:cs="Times New Roman"/>
        </w:rPr>
        <w:t xml:space="preserve"> to maintain transaction and position records of their swaps (including daily trading records) and to maintain specified business records (including records related to the governance and financial status of the </w:t>
      </w:r>
      <w:r w:rsidR="00DA1794">
        <w:rPr>
          <w:rFonts w:ascii="Times New Roman" w:hAnsi="Times New Roman" w:cs="Times New Roman"/>
        </w:rPr>
        <w:t>SD or MSP</w:t>
      </w:r>
      <w:r>
        <w:rPr>
          <w:rFonts w:ascii="Times New Roman" w:hAnsi="Times New Roman" w:cs="Times New Roman"/>
        </w:rPr>
        <w:t xml:space="preserve">, complaints received by such registrants and such </w:t>
      </w:r>
      <w:r>
        <w:rPr>
          <w:rFonts w:ascii="Times New Roman" w:hAnsi="Times New Roman" w:cs="Times New Roman"/>
        </w:rPr>
        <w:t>registrant’s</w:t>
      </w:r>
      <w:r>
        <w:rPr>
          <w:rFonts w:ascii="Times New Roman" w:hAnsi="Times New Roman" w:cs="Times New Roman"/>
        </w:rPr>
        <w:t xml:space="preserve"> marketing and sales materials).  It also requires </w:t>
      </w:r>
      <w:r w:rsidR="00DA1794">
        <w:rPr>
          <w:rFonts w:ascii="Times New Roman" w:hAnsi="Times New Roman" w:cs="Times New Roman"/>
        </w:rPr>
        <w:t>SDs and MSPs</w:t>
      </w:r>
      <w:r>
        <w:rPr>
          <w:rFonts w:ascii="Times New Roman" w:hAnsi="Times New Roman" w:cs="Times New Roman"/>
        </w:rPr>
        <w:t xml:space="preserve"> to report certain swap transaction data to swap data repositories</w:t>
      </w:r>
      <w:r w:rsidR="0066794A">
        <w:rPr>
          <w:rFonts w:ascii="Times New Roman" w:hAnsi="Times New Roman" w:cs="Times New Roman"/>
        </w:rPr>
        <w:t xml:space="preserve"> (“SDRs”)</w:t>
      </w:r>
      <w:r>
        <w:rPr>
          <w:rFonts w:ascii="Times New Roman" w:hAnsi="Times New Roman" w:cs="Times New Roman"/>
        </w:rPr>
        <w:t xml:space="preserve">, to satisfy certain real time public reporting requirements, and to maintain records of information reported to </w:t>
      </w:r>
      <w:r w:rsidR="0013432D">
        <w:rPr>
          <w:rFonts w:ascii="Times New Roman" w:hAnsi="Times New Roman" w:cs="Times New Roman"/>
        </w:rPr>
        <w:t>SDRs</w:t>
      </w:r>
      <w:r>
        <w:rPr>
          <w:rFonts w:ascii="Times New Roman" w:hAnsi="Times New Roman" w:cs="Times New Roman"/>
        </w:rPr>
        <w:t xml:space="preserve"> and for real time reporting purposes.</w:t>
      </w:r>
    </w:p>
    <w:p w:rsidR="00F77388" w:rsidP="004E6601" w14:paraId="31F08A86" w14:textId="1F026E5E">
      <w:pPr>
        <w:widowControl w:val="0"/>
        <w:spacing w:after="240"/>
        <w:jc w:val="both"/>
        <w:rPr>
          <w:rFonts w:ascii="Times New Roman" w:hAnsi="Times New Roman"/>
        </w:rPr>
      </w:pPr>
      <w:r>
        <w:rPr>
          <w:rFonts w:ascii="Times New Roman" w:hAnsi="Times New Roman"/>
        </w:rPr>
        <w:t xml:space="preserve">As discussed further below, the additional information collection burden arising from the regulations primarily is restricted to the costs associated with the affected registrants’ obligation to maintain records related to their transactions, positions, complaints, and marketing communications.  The Commission does not anticipate that the reporting obligations set forth in the rules would result in any extra cost to </w:t>
      </w:r>
      <w:r w:rsidR="00DA1794">
        <w:rPr>
          <w:rFonts w:ascii="Times New Roman" w:hAnsi="Times New Roman"/>
        </w:rPr>
        <w:t>SDs and MSPs</w:t>
      </w:r>
      <w:r>
        <w:rPr>
          <w:rFonts w:ascii="Times New Roman" w:hAnsi="Times New Roman"/>
        </w:rPr>
        <w:t xml:space="preserve"> beyond the expenditures already accounted for in </w:t>
      </w:r>
      <w:r w:rsidR="005B2803">
        <w:rPr>
          <w:rFonts w:ascii="Times New Roman" w:hAnsi="Times New Roman"/>
        </w:rPr>
        <w:t xml:space="preserve">the final </w:t>
      </w:r>
      <w:r>
        <w:rPr>
          <w:rFonts w:ascii="Times New Roman" w:hAnsi="Times New Roman"/>
        </w:rPr>
        <w:t>regulations for swap data recordkeeping and reporting and for real-time public reporting of swap transaction data.</w:t>
      </w:r>
    </w:p>
    <w:p w:rsidR="00F77388" w:rsidP="004E6601" w14:paraId="1A6BD887" w14:textId="2356A2F0">
      <w:pPr>
        <w:pStyle w:val="Default"/>
        <w:spacing w:after="240"/>
        <w:jc w:val="both"/>
        <w:rPr>
          <w:rFonts w:ascii="Times New Roman" w:hAnsi="Times New Roman" w:cs="Times New Roman"/>
        </w:rPr>
      </w:pPr>
      <w:r>
        <w:rPr>
          <w:rFonts w:ascii="Times New Roman" w:hAnsi="Times New Roman" w:cs="Times New Roman"/>
        </w:rPr>
        <w:t xml:space="preserve">The information collection obligations imposed by the regulations are necessary to implement the </w:t>
      </w:r>
      <w:r>
        <w:rPr>
          <w:rFonts w:ascii="Times New Roman" w:hAnsi="Times New Roman" w:cs="Times New Roman"/>
        </w:rPr>
        <w:t xml:space="preserve">above-referenced provisions of the CEA, including ensuring that each </w:t>
      </w:r>
      <w:r w:rsidR="00DA1794">
        <w:rPr>
          <w:rFonts w:ascii="Times New Roman" w:hAnsi="Times New Roman" w:cs="Times New Roman"/>
        </w:rPr>
        <w:t>SD and MSP</w:t>
      </w:r>
      <w:r>
        <w:rPr>
          <w:rFonts w:ascii="Times New Roman" w:hAnsi="Times New Roman" w:cs="Times New Roman"/>
        </w:rPr>
        <w:t xml:space="preserve"> maintains the required records of their business activities and an audit trail sufficient to conduct comprehensive and accurate trade reconstruction.</w:t>
      </w:r>
    </w:p>
    <w:p w:rsidR="00F77388" w:rsidP="004E6601" w14:paraId="5F02C8D0" w14:textId="6608A80A">
      <w:pPr>
        <w:tabs>
          <w:tab w:val="left" w:pos="-720"/>
        </w:tabs>
        <w:spacing w:after="240"/>
        <w:ind w:left="720" w:hanging="720"/>
        <w:jc w:val="both"/>
        <w:rPr>
          <w:rFonts w:ascii="Times New Roman" w:hAnsi="Times New Roman"/>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F77388" w:rsidP="004E6601" w14:paraId="65A8AC4E" w14:textId="6FBC7B59">
      <w:pPr>
        <w:pStyle w:val="Default"/>
        <w:spacing w:after="240"/>
        <w:jc w:val="both"/>
        <w:rPr>
          <w:rFonts w:ascii="Times New Roman" w:hAnsi="Times New Roman"/>
        </w:rPr>
      </w:pPr>
      <w:r>
        <w:rPr>
          <w:rFonts w:ascii="Times New Roman" w:hAnsi="Times New Roman" w:cs="Times New Roman"/>
        </w:rPr>
        <w:t>Commission staff will use the information required to be preserved or reported when conducting the Commission’s examination and oversight program with respect to the affected registrants.</w:t>
      </w:r>
    </w:p>
    <w:p w:rsidR="00F77388" w:rsidP="004E6601" w14:paraId="12E72B0B"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77388" w:rsidP="004E6601" w14:paraId="496AFE64" w14:textId="1F662B00">
      <w:pPr>
        <w:tabs>
          <w:tab w:val="left" w:pos="-720"/>
          <w:tab w:val="left" w:pos="0"/>
        </w:tabs>
        <w:spacing w:after="240"/>
        <w:jc w:val="both"/>
        <w:rPr>
          <w:rFonts w:ascii="Times New Roman" w:hAnsi="Times New Roman"/>
        </w:rPr>
      </w:pPr>
      <w:r>
        <w:rPr>
          <w:rFonts w:ascii="Times New Roman" w:hAnsi="Times New Roman"/>
        </w:rPr>
        <w:t>The regulations require that recordkeeping generally be performed in accordance with Commission regulation 1.31, which permits the use of electronic storage media.</w:t>
      </w:r>
    </w:p>
    <w:p w:rsidR="00F77388" w:rsidP="004E6601" w14:paraId="28AE216A" w14:textId="2582215E">
      <w:pPr>
        <w:tabs>
          <w:tab w:val="left" w:pos="-720"/>
          <w:tab w:val="left" w:pos="0"/>
        </w:tabs>
        <w:spacing w:after="240"/>
        <w:jc w:val="both"/>
        <w:rPr>
          <w:rFonts w:ascii="Times New Roman" w:hAnsi="Times New Roman"/>
        </w:rPr>
      </w:pPr>
      <w:r>
        <w:rPr>
          <w:rFonts w:ascii="Times New Roman" w:hAnsi="Times New Roman"/>
        </w:rPr>
        <w:t xml:space="preserve">The regulations also require that </w:t>
      </w:r>
      <w:r w:rsidR="00DA1794">
        <w:rPr>
          <w:rFonts w:ascii="Times New Roman" w:hAnsi="Times New Roman"/>
        </w:rPr>
        <w:t>SDs and MSPs</w:t>
      </w:r>
      <w:r>
        <w:rPr>
          <w:rFonts w:ascii="Times New Roman" w:hAnsi="Times New Roman"/>
        </w:rPr>
        <w:t xml:space="preserve"> have the systems and procedures necessary to transmit electronically all information and data required to be reported</w:t>
      </w:r>
      <w:r w:rsidR="008416A9">
        <w:rPr>
          <w:rFonts w:ascii="Times New Roman" w:hAnsi="Times New Roman"/>
        </w:rPr>
        <w:t xml:space="preserve"> in accordance with part 43 and 45 of Commission regulations.</w:t>
      </w:r>
      <w:r>
        <w:rPr>
          <w:rFonts w:ascii="Times New Roman" w:hAnsi="Times New Roman"/>
        </w:rPr>
        <w:t xml:space="preserve"> </w:t>
      </w:r>
      <w:r w:rsidR="008416A9">
        <w:rPr>
          <w:rFonts w:ascii="Times New Roman" w:hAnsi="Times New Roman"/>
        </w:rPr>
        <w:t xml:space="preserve">SDs and MSPs shall report all information and data </w:t>
      </w:r>
      <w:r>
        <w:rPr>
          <w:rFonts w:ascii="Times New Roman" w:hAnsi="Times New Roman"/>
        </w:rPr>
        <w:t xml:space="preserve">to a </w:t>
      </w:r>
      <w:r w:rsidR="008416A9">
        <w:rPr>
          <w:rFonts w:ascii="Times New Roman" w:hAnsi="Times New Roman"/>
        </w:rPr>
        <w:t>SDR</w:t>
      </w:r>
      <w:r>
        <w:rPr>
          <w:rFonts w:ascii="Times New Roman" w:hAnsi="Times New Roman"/>
        </w:rPr>
        <w:t xml:space="preserve"> </w:t>
      </w:r>
      <w:r w:rsidR="008416A9">
        <w:rPr>
          <w:rFonts w:ascii="Times New Roman" w:hAnsi="Times New Roman"/>
        </w:rPr>
        <w:t xml:space="preserve">pursuant </w:t>
      </w:r>
      <w:r w:rsidR="00693A43">
        <w:rPr>
          <w:rFonts w:ascii="Times New Roman" w:hAnsi="Times New Roman"/>
        </w:rPr>
        <w:t xml:space="preserve">to </w:t>
      </w:r>
      <w:r w:rsidR="00191668">
        <w:rPr>
          <w:rFonts w:ascii="Times New Roman" w:hAnsi="Times New Roman"/>
        </w:rPr>
        <w:t xml:space="preserve">part 45 of </w:t>
      </w:r>
      <w:r w:rsidR="008416A9">
        <w:rPr>
          <w:rFonts w:ascii="Times New Roman" w:hAnsi="Times New Roman"/>
        </w:rPr>
        <w:t>Commission regulation</w:t>
      </w:r>
      <w:r w:rsidR="00414F76">
        <w:rPr>
          <w:rFonts w:ascii="Times New Roman" w:hAnsi="Times New Roman"/>
        </w:rPr>
        <w:t>s</w:t>
      </w:r>
      <w:r w:rsidR="008416A9">
        <w:rPr>
          <w:rFonts w:ascii="Times New Roman" w:hAnsi="Times New Roman"/>
        </w:rPr>
        <w:t xml:space="preserve">. SDs and MSPs shall </w:t>
      </w:r>
      <w:r w:rsidR="008B76FC">
        <w:rPr>
          <w:rFonts w:ascii="Times New Roman" w:hAnsi="Times New Roman"/>
        </w:rPr>
        <w:t>also report</w:t>
      </w:r>
      <w:r>
        <w:rPr>
          <w:rFonts w:ascii="Times New Roman" w:hAnsi="Times New Roman"/>
        </w:rPr>
        <w:t xml:space="preserve"> electronically all information and swap </w:t>
      </w:r>
      <w:r>
        <w:rPr>
          <w:rFonts w:ascii="Times New Roman" w:hAnsi="Times New Roman"/>
        </w:rPr>
        <w:t>transaction</w:t>
      </w:r>
      <w:r>
        <w:rPr>
          <w:rFonts w:ascii="Times New Roman" w:hAnsi="Times New Roman"/>
        </w:rPr>
        <w:t xml:space="preserve"> and pricing data required to be reported in accordance with the real-time public recording obligations set forth in </w:t>
      </w:r>
      <w:r w:rsidR="008416A9">
        <w:rPr>
          <w:rFonts w:ascii="Times New Roman" w:hAnsi="Times New Roman"/>
        </w:rPr>
        <w:t xml:space="preserve">part 43 of </w:t>
      </w:r>
      <w:r>
        <w:rPr>
          <w:rFonts w:ascii="Times New Roman" w:hAnsi="Times New Roman"/>
        </w:rPr>
        <w:t>Commission regulations.</w:t>
      </w:r>
    </w:p>
    <w:p w:rsidR="00F77388" w:rsidP="004E6601" w14:paraId="3B44A63E"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F77388" w:rsidP="004E6601" w14:paraId="53AA5DFB" w14:textId="4E6EAA5A">
      <w:pPr>
        <w:tabs>
          <w:tab w:val="left" w:pos="-720"/>
        </w:tabs>
        <w:spacing w:after="240"/>
        <w:jc w:val="both"/>
        <w:rPr>
          <w:rFonts w:ascii="Times New Roman" w:hAnsi="Times New Roman"/>
        </w:rPr>
      </w:pPr>
      <w:r>
        <w:rPr>
          <w:rFonts w:ascii="Times New Roman" w:hAnsi="Times New Roman"/>
        </w:rPr>
        <w:t>SDs and MSPs</w:t>
      </w:r>
      <w:r>
        <w:rPr>
          <w:rFonts w:ascii="Times New Roman" w:hAnsi="Times New Roman"/>
        </w:rPr>
        <w:t xml:space="preserve"> </w:t>
      </w:r>
      <w:r w:rsidR="00191AEB">
        <w:rPr>
          <w:rFonts w:ascii="Times New Roman" w:hAnsi="Times New Roman"/>
        </w:rPr>
        <w:t>were</w:t>
      </w:r>
      <w:r>
        <w:rPr>
          <w:rFonts w:ascii="Times New Roman" w:hAnsi="Times New Roman"/>
        </w:rPr>
        <w:t xml:space="preserve"> new categories of registrants under the Dodd-Frank Act.  Accordingly, the required information </w:t>
      </w:r>
      <w:r w:rsidR="00191AEB">
        <w:rPr>
          <w:rFonts w:ascii="Times New Roman" w:hAnsi="Times New Roman"/>
        </w:rPr>
        <w:t xml:space="preserve">was </w:t>
      </w:r>
      <w:r>
        <w:rPr>
          <w:rFonts w:ascii="Times New Roman" w:hAnsi="Times New Roman"/>
        </w:rPr>
        <w:t xml:space="preserve">not already collected by the Commission for any other purpose.  It is </w:t>
      </w:r>
      <w:r w:rsidR="00191AEB">
        <w:rPr>
          <w:rFonts w:ascii="Times New Roman" w:hAnsi="Times New Roman"/>
        </w:rPr>
        <w:t xml:space="preserve">currently </w:t>
      </w:r>
      <w:r>
        <w:rPr>
          <w:rFonts w:ascii="Times New Roman" w:hAnsi="Times New Roman"/>
        </w:rPr>
        <w:t>not collected by any other agency</w:t>
      </w:r>
      <w:r w:rsidR="00C556C2">
        <w:rPr>
          <w:rFonts w:ascii="Times New Roman" w:hAnsi="Times New Roman"/>
        </w:rPr>
        <w:t>,</w:t>
      </w:r>
      <w:r>
        <w:rPr>
          <w:rFonts w:ascii="Times New Roman" w:hAnsi="Times New Roman"/>
        </w:rPr>
        <w:t xml:space="preserve"> or available for public disclosure through any other source.</w:t>
      </w:r>
    </w:p>
    <w:p w:rsidR="00F77388" w:rsidP="004E6601" w14:paraId="49E44EA2" w14:textId="77777777">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F77388" w:rsidP="004E6601" w14:paraId="56A97EA2" w14:textId="3602D7C9">
      <w:pPr>
        <w:tabs>
          <w:tab w:val="left" w:pos="-720"/>
        </w:tabs>
        <w:spacing w:after="240"/>
        <w:jc w:val="both"/>
        <w:rPr>
          <w:rFonts w:ascii="Times New Roman" w:hAnsi="Times New Roman"/>
        </w:rPr>
      </w:pPr>
      <w:r>
        <w:rPr>
          <w:rFonts w:ascii="Times New Roman" w:hAnsi="Times New Roman"/>
        </w:rPr>
        <w:t xml:space="preserve">This </w:t>
      </w:r>
      <w:r>
        <w:rPr>
          <w:rFonts w:ascii="Times New Roman" w:hAnsi="Times New Roman"/>
        </w:rPr>
        <w:t>collection of</w:t>
      </w:r>
      <w:r>
        <w:rPr>
          <w:rFonts w:ascii="Times New Roman" w:hAnsi="Times New Roman"/>
        </w:rPr>
        <w:t xml:space="preserve"> information</w:t>
      </w:r>
      <w:r>
        <w:rPr>
          <w:rFonts w:ascii="Times New Roman" w:hAnsi="Times New Roman"/>
        </w:rPr>
        <w:t xml:space="preserve"> does not involve any small businesses or small entities.</w:t>
      </w:r>
    </w:p>
    <w:p w:rsidR="00F77388" w:rsidP="004E6601" w14:paraId="3F6BE844" w14:textId="77777777">
      <w:pPr>
        <w:tabs>
          <w:tab w:val="left" w:pos="-720"/>
        </w:tabs>
        <w:spacing w:after="240"/>
        <w:ind w:left="720" w:hanging="720"/>
        <w:jc w:val="both"/>
        <w:rPr>
          <w:rFonts w:ascii="Times New Roman" w:hAnsi="Times New Roman"/>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F77388" w:rsidP="004E6601" w14:paraId="69B30A8C" w14:textId="7731B488">
      <w:pPr>
        <w:pStyle w:val="Default"/>
        <w:spacing w:after="240"/>
        <w:jc w:val="both"/>
        <w:rPr>
          <w:rFonts w:ascii="Times New Roman" w:hAnsi="Times New Roman" w:cs="Times New Roman"/>
        </w:rPr>
      </w:pPr>
      <w:r>
        <w:rPr>
          <w:rFonts w:ascii="Times New Roman" w:hAnsi="Times New Roman" w:cs="Times New Roman"/>
        </w:rPr>
        <w:t>Failure to maintain the records required by the regulations would adversely affect the Commission’s ability to ensure the affected registrants’ compliance with their obligations under the CEA and Commission regulations</w:t>
      </w:r>
      <w:r w:rsidR="00311D4B">
        <w:rPr>
          <w:rFonts w:ascii="Times New Roman" w:hAnsi="Times New Roman" w:cs="Times New Roman"/>
        </w:rPr>
        <w:t>:</w:t>
      </w:r>
      <w:r w:rsidR="000F2FCC">
        <w:rPr>
          <w:rFonts w:ascii="Times New Roman" w:hAnsi="Times New Roman" w:cs="Times New Roman"/>
        </w:rPr>
        <w:t xml:space="preserve"> (1)</w:t>
      </w:r>
      <w:r>
        <w:rPr>
          <w:rFonts w:ascii="Times New Roman" w:hAnsi="Times New Roman" w:cs="Times New Roman"/>
        </w:rPr>
        <w:t xml:space="preserve"> to maintain daily trading records; </w:t>
      </w:r>
      <w:r w:rsidR="000F2FCC">
        <w:rPr>
          <w:rFonts w:ascii="Times New Roman" w:hAnsi="Times New Roman" w:cs="Times New Roman"/>
        </w:rPr>
        <w:t xml:space="preserve">(2) </w:t>
      </w:r>
      <w:r>
        <w:rPr>
          <w:rFonts w:ascii="Times New Roman" w:hAnsi="Times New Roman" w:cs="Times New Roman"/>
        </w:rPr>
        <w:t xml:space="preserve">to maintain an </w:t>
      </w:r>
      <w:r>
        <w:rPr>
          <w:rFonts w:ascii="Times New Roman" w:hAnsi="Times New Roman" w:cs="Times New Roman"/>
        </w:rPr>
        <w:t xml:space="preserve">audit trail </w:t>
      </w:r>
      <w:r w:rsidR="004D50A7">
        <w:rPr>
          <w:rFonts w:ascii="Times New Roman" w:hAnsi="Times New Roman" w:cs="Times New Roman"/>
        </w:rPr>
        <w:t>for conducting comprehensive and</w:t>
      </w:r>
      <w:r>
        <w:rPr>
          <w:rFonts w:ascii="Times New Roman" w:hAnsi="Times New Roman" w:cs="Times New Roman"/>
        </w:rPr>
        <w:t xml:space="preserve"> accurate trade reconstruction; </w:t>
      </w:r>
      <w:r w:rsidR="000F2FCC">
        <w:rPr>
          <w:rFonts w:ascii="Times New Roman" w:hAnsi="Times New Roman" w:cs="Times New Roman"/>
        </w:rPr>
        <w:t xml:space="preserve">(3) </w:t>
      </w:r>
      <w:r>
        <w:rPr>
          <w:rFonts w:ascii="Times New Roman" w:hAnsi="Times New Roman" w:cs="Times New Roman"/>
        </w:rPr>
        <w:t xml:space="preserve">to maintain other records of activities related to their swaps businesses and communications; and </w:t>
      </w:r>
      <w:r w:rsidR="000F2FCC">
        <w:rPr>
          <w:rFonts w:ascii="Times New Roman" w:hAnsi="Times New Roman" w:cs="Times New Roman"/>
        </w:rPr>
        <w:t xml:space="preserve">(4) </w:t>
      </w:r>
      <w:r>
        <w:rPr>
          <w:rFonts w:ascii="Times New Roman" w:hAnsi="Times New Roman" w:cs="Times New Roman"/>
        </w:rPr>
        <w:t>to make certain reports regarding their transactions, positions, and financial condition.</w:t>
      </w:r>
    </w:p>
    <w:p w:rsidR="00F77388" w:rsidP="004E6601" w14:paraId="14A89951"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F77388" w:rsidP="004E6601" w14:paraId="230E86F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report information to the agency more often than </w:t>
      </w:r>
      <w:r>
        <w:rPr>
          <w:rFonts w:ascii="Times New Roman" w:hAnsi="Times New Roman"/>
          <w:b/>
        </w:rPr>
        <w:t>quarterly;</w:t>
      </w:r>
    </w:p>
    <w:p w:rsidR="00F77388" w:rsidP="004E6601" w14:paraId="7F5BFFE6" w14:textId="01E3A66F">
      <w:pPr>
        <w:tabs>
          <w:tab w:val="left" w:pos="-720"/>
          <w:tab w:val="left" w:pos="0"/>
          <w:tab w:val="left" w:pos="720"/>
        </w:tabs>
        <w:spacing w:after="240"/>
        <w:jc w:val="both"/>
        <w:rPr>
          <w:rFonts w:ascii="Times New Roman" w:hAnsi="Times New Roman"/>
          <w:b/>
        </w:rPr>
      </w:pPr>
      <w:r>
        <w:rPr>
          <w:rFonts w:ascii="Times New Roman" w:hAnsi="Times New Roman"/>
        </w:rPr>
        <w:t xml:space="preserve">This question does not apply.  The reporting obligations contained in the regulations (the requirements to report swap transactions to </w:t>
      </w:r>
      <w:r w:rsidR="00564F38">
        <w:rPr>
          <w:rFonts w:ascii="Times New Roman" w:hAnsi="Times New Roman"/>
        </w:rPr>
        <w:t>SDRs</w:t>
      </w:r>
      <w:r>
        <w:rPr>
          <w:rFonts w:ascii="Times New Roman" w:hAnsi="Times New Roman"/>
        </w:rPr>
        <w:t xml:space="preserve"> in accordance with regulation 23.204 and to engage in real time public reporting of swap transaction and pricing data in accordance with regulation 23.205) </w:t>
      </w:r>
      <w:r w:rsidR="00191AEB">
        <w:rPr>
          <w:rFonts w:ascii="Times New Roman" w:hAnsi="Times New Roman"/>
        </w:rPr>
        <w:t xml:space="preserve">do </w:t>
      </w:r>
      <w:r>
        <w:rPr>
          <w:rFonts w:ascii="Times New Roman" w:hAnsi="Times New Roman"/>
        </w:rPr>
        <w:t xml:space="preserve">not result in any additional cost to </w:t>
      </w:r>
      <w:r w:rsidR="00DA1794">
        <w:rPr>
          <w:rFonts w:ascii="Times New Roman" w:hAnsi="Times New Roman"/>
        </w:rPr>
        <w:t>SDs and MSPs</w:t>
      </w:r>
      <w:r>
        <w:rPr>
          <w:rFonts w:ascii="Times New Roman" w:hAnsi="Times New Roman"/>
        </w:rPr>
        <w:t xml:space="preserve"> beyond any costs already described and accounted for in part 45</w:t>
      </w:r>
      <w:r w:rsidR="00D81E83">
        <w:rPr>
          <w:rFonts w:ascii="Times New Roman" w:hAnsi="Times New Roman"/>
        </w:rPr>
        <w:t xml:space="preserve"> of Commission</w:t>
      </w:r>
      <w:r>
        <w:rPr>
          <w:rFonts w:ascii="Times New Roman" w:hAnsi="Times New Roman"/>
        </w:rPr>
        <w:t xml:space="preserve"> regulations for swap data recordkeeping and reporting</w:t>
      </w:r>
      <w:r w:rsidR="00564F38">
        <w:rPr>
          <w:rFonts w:ascii="Times New Roman" w:hAnsi="Times New Roman"/>
        </w:rPr>
        <w:t>,</w:t>
      </w:r>
      <w:r>
        <w:rPr>
          <w:rFonts w:ascii="Times New Roman" w:hAnsi="Times New Roman"/>
        </w:rPr>
        <w:t xml:space="preserve"> and in part 43 </w:t>
      </w:r>
      <w:r w:rsidR="00D81E83">
        <w:rPr>
          <w:rFonts w:ascii="Times New Roman" w:hAnsi="Times New Roman"/>
        </w:rPr>
        <w:t xml:space="preserve">of Commission </w:t>
      </w:r>
      <w:r>
        <w:rPr>
          <w:rFonts w:ascii="Times New Roman" w:hAnsi="Times New Roman"/>
        </w:rPr>
        <w:t>regulations governing real-time public reporting of swap transaction data.</w:t>
      </w:r>
    </w:p>
    <w:p w:rsidR="00F77388" w:rsidP="004E6601" w14:paraId="077522C7"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F77388" w:rsidP="004E6601" w14:paraId="33C3E876" w14:textId="19B4E4BF">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r w:rsidR="00F01F8F">
        <w:rPr>
          <w:rFonts w:ascii="Times New Roman" w:hAnsi="Times New Roman"/>
        </w:rPr>
        <w:t xml:space="preserve"> The regulations do not require respondents to prepare a written response to a collection of information in fewer than 30 days after receipt of it. </w:t>
      </w:r>
    </w:p>
    <w:p w:rsidR="00F77388" w:rsidP="004E6601" w14:paraId="7DB9CB3C"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submit more </w:t>
      </w:r>
      <w:r>
        <w:rPr>
          <w:rFonts w:ascii="Times New Roman" w:hAnsi="Times New Roman"/>
          <w:b/>
        </w:rPr>
        <w:t>that</w:t>
      </w:r>
      <w:r>
        <w:rPr>
          <w:rFonts w:ascii="Times New Roman" w:hAnsi="Times New Roman"/>
          <w:b/>
        </w:rPr>
        <w:t xml:space="preserve"> an original and two copies of any </w:t>
      </w:r>
      <w:r>
        <w:rPr>
          <w:rFonts w:ascii="Times New Roman" w:hAnsi="Times New Roman"/>
          <w:b/>
        </w:rPr>
        <w:t>document;</w:t>
      </w:r>
    </w:p>
    <w:p w:rsidR="00F77388" w:rsidP="004E6601" w14:paraId="5BB6AADD"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regulations do not impose a reporting requirement that would obligate a respondent to submit more than an original </w:t>
      </w:r>
      <w:r>
        <w:rPr>
          <w:rFonts w:ascii="Times New Roman" w:hAnsi="Times New Roman"/>
        </w:rPr>
        <w:t>and two copies</w:t>
      </w:r>
      <w:r>
        <w:rPr>
          <w:rFonts w:ascii="Times New Roman" w:hAnsi="Times New Roman"/>
        </w:rPr>
        <w:t xml:space="preserve"> of any document.</w:t>
      </w:r>
    </w:p>
    <w:p w:rsidR="00F77388" w:rsidP="004E6601" w14:paraId="09C5DA0C"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retain records other than health, medical, government contract, grant-in-aid, or tax records, for more than three </w:t>
      </w:r>
      <w:r>
        <w:rPr>
          <w:rFonts w:ascii="Times New Roman" w:hAnsi="Times New Roman"/>
          <w:b/>
        </w:rPr>
        <w:t>years;</w:t>
      </w:r>
    </w:p>
    <w:p w:rsidR="00E31ABF" w:rsidRPr="00E31ABF" w:rsidP="004E6601" w14:paraId="3EF8DCBA" w14:textId="77777777">
      <w:pPr>
        <w:tabs>
          <w:tab w:val="left" w:pos="-720"/>
          <w:tab w:val="left" w:pos="0"/>
          <w:tab w:val="left" w:pos="720"/>
        </w:tabs>
        <w:spacing w:after="240"/>
        <w:jc w:val="both"/>
        <w:rPr>
          <w:rFonts w:ascii="Times New Roman" w:hAnsi="Times New Roman"/>
          <w:b/>
        </w:rPr>
      </w:pPr>
      <w:r w:rsidRPr="00CF5C85">
        <w:rPr>
          <w:rFonts w:ascii="Times New Roman" w:hAnsi="Times New Roman"/>
        </w:rPr>
        <w:t>Commission Regulation 1.31(b) expressly requires that books and records required to be kept by the CEA or Commission regulations be retained for certain specified periods.  Other than with respect to oral communications, the shortest of these periods is five years from the date of creation.  All such books and records shall be open to inspection by any representative of the Commission or the U.S. Department of Justice.</w:t>
      </w:r>
      <w:r>
        <w:rPr>
          <w:rFonts w:ascii="Times New Roman" w:hAnsi="Times New Roman"/>
        </w:rPr>
        <w:t xml:space="preserve"> </w:t>
      </w:r>
    </w:p>
    <w:p w:rsidR="00F77388" w:rsidP="004E6601" w14:paraId="65D0549A" w14:textId="514A1890">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w:t>
      </w:r>
      <w:r>
        <w:rPr>
          <w:rFonts w:ascii="Times New Roman" w:hAnsi="Times New Roman"/>
          <w:b/>
        </w:rPr>
        <w:t>study;</w:t>
      </w:r>
    </w:p>
    <w:p w:rsidR="00F77388" w:rsidP="004E6601" w14:paraId="044A862B"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regulations do not require nor involve any statistical surveys.</w:t>
      </w:r>
    </w:p>
    <w:p w:rsidR="00F77388" w:rsidP="004E6601" w14:paraId="3A09DA8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the use of a statistical data classification that has not been reviewed and approved by </w:t>
      </w:r>
      <w:r>
        <w:rPr>
          <w:rFonts w:ascii="Times New Roman" w:hAnsi="Times New Roman"/>
          <w:b/>
        </w:rPr>
        <w:t>OMB;</w:t>
      </w:r>
    </w:p>
    <w:p w:rsidR="00F77388" w:rsidP="004E6601" w14:paraId="2710CAF4"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regulations do not require </w:t>
      </w:r>
      <w:r>
        <w:rPr>
          <w:rFonts w:ascii="Times New Roman" w:hAnsi="Times New Roman"/>
        </w:rPr>
        <w:t>nor</w:t>
      </w:r>
      <w:r>
        <w:rPr>
          <w:rFonts w:ascii="Times New Roman" w:hAnsi="Times New Roman"/>
        </w:rPr>
        <w:t xml:space="preserve"> involve the use of any statistical data classification.</w:t>
      </w:r>
    </w:p>
    <w:p w:rsidR="00F77388" w:rsidP="004E6601" w14:paraId="4A46B3A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that includes a pledge of confidentiality that is not supported by authority established in </w:t>
      </w:r>
      <w:r>
        <w:rPr>
          <w:rFonts w:ascii="Times New Roman" w:hAnsi="Times New Roman"/>
          <w:b/>
        </w:rPr>
        <w:t>statue</w:t>
      </w:r>
      <w:r>
        <w:rPr>
          <w:rFonts w:ascii="Times New Roman" w:hAnsi="Times New Roman"/>
          <w:b/>
        </w:rPr>
        <w:t xml:space="preserve"> or regulation, that is not supported by disclosure and data security policies that are consistent with the pledge, or which unnecessarily impedes sharing of data with other agencies for compatible confidential use; or</w:t>
      </w:r>
    </w:p>
    <w:p w:rsidR="00F77388" w:rsidP="004E6601" w14:paraId="1567E72A"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C56D82">
        <w:rPr>
          <w:rFonts w:ascii="Times New Roman" w:hAnsi="Times New Roman"/>
        </w:rPr>
        <w:t>s</w:t>
      </w:r>
      <w:r>
        <w:rPr>
          <w:rFonts w:ascii="Times New Roman" w:hAnsi="Times New Roman"/>
        </w:rPr>
        <w:t xml:space="preserve"> do not require a pledge of confidentiality.</w:t>
      </w:r>
    </w:p>
    <w:p w:rsidR="00F77388" w:rsidP="004E6601" w14:paraId="4E1BFEA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5E0509" w:rsidP="004E6601" w14:paraId="282EE755" w14:textId="6F0C47B5">
      <w:pPr>
        <w:tabs>
          <w:tab w:val="left" w:pos="-720"/>
        </w:tabs>
        <w:spacing w:after="240"/>
        <w:jc w:val="both"/>
        <w:rPr>
          <w:rFonts w:ascii="Times New Roman" w:hAnsi="Times New Roman"/>
        </w:rPr>
      </w:pPr>
      <w:r w:rsidRPr="00CF5C85">
        <w:rPr>
          <w:rFonts w:ascii="Times New Roman" w:hAnsi="Times New Roman"/>
        </w:rPr>
        <w:t>The Commission has procedures to protect the confidentiality of an applicant’s or registrant’s data.</w:t>
      </w:r>
      <w:r>
        <w:rPr>
          <w:rFonts w:ascii="Times New Roman" w:hAnsi="Times New Roman"/>
        </w:rPr>
        <w:t xml:space="preserve"> </w:t>
      </w:r>
      <w:r w:rsidRPr="00CF5C85">
        <w:rPr>
          <w:rFonts w:ascii="Times New Roman" w:hAnsi="Times New Roman"/>
        </w:rPr>
        <w:t xml:space="preserve">These are set forth in the Commission’s regulations </w:t>
      </w:r>
      <w:r w:rsidRPr="00CF5C85">
        <w:rPr>
          <w:rFonts w:ascii="Times New Roman" w:hAnsi="Times New Roman"/>
        </w:rPr>
        <w:t>at</w:t>
      </w:r>
      <w:r w:rsidRPr="00CF5C85">
        <w:rPr>
          <w:rFonts w:ascii="Times New Roman" w:hAnsi="Times New Roman"/>
        </w:rPr>
        <w:t xml:space="preserve"> parts 145 and 147 of title 17 of the Code of Federal Regulations</w:t>
      </w:r>
      <w:r>
        <w:rPr>
          <w:rFonts w:ascii="Times New Roman" w:hAnsi="Times New Roman"/>
        </w:rPr>
        <w:t xml:space="preserve">. </w:t>
      </w:r>
    </w:p>
    <w:p w:rsidR="00F77388" w:rsidP="004E6601" w14:paraId="035044FB" w14:textId="47D3ECC4">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w:t>
      </w:r>
      <w:r>
        <w:rPr>
          <w:rFonts w:ascii="Times New Roman" w:hAnsi="Times New Roman"/>
          <w:b/>
        </w:rPr>
        <w:t>publication</w:t>
      </w:r>
      <w:r>
        <w:rPr>
          <w:rFonts w:ascii="Times New Roman" w:hAnsi="Times New Roman"/>
          <w:b/>
        </w:rPr>
        <w:t xml:space="preserve">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683B" w:rsidRPr="001E125C" w:rsidP="0049502D" w14:paraId="0EF37D23" w14:textId="1FD7E9FE">
      <w:pPr>
        <w:pStyle w:val="TOC6"/>
        <w:tabs>
          <w:tab w:val="clear" w:pos="9360"/>
        </w:tabs>
        <w:spacing w:after="240"/>
        <w:ind w:left="0" w:firstLine="0"/>
        <w:jc w:val="both"/>
        <w:rPr>
          <w:rFonts w:ascii="Times New Roman" w:hAnsi="Times New Roman"/>
        </w:rPr>
      </w:pPr>
      <w:r w:rsidRPr="00746283">
        <w:rPr>
          <w:rFonts w:ascii="Times New Roman" w:hAnsi="Times New Roman"/>
          <w:iCs/>
        </w:rPr>
        <w:t>The Commission published a</w:t>
      </w:r>
      <w:r w:rsidRPr="003702D4">
        <w:rPr>
          <w:rFonts w:ascii="Times New Roman" w:hAnsi="Times New Roman"/>
          <w:i/>
        </w:rPr>
        <w:t xml:space="preserve"> Notice of Intent to Extend Collection 3038-0087: Reporting, Recordkeeping, and Daily Trading Records Requirements </w:t>
      </w:r>
      <w:r>
        <w:rPr>
          <w:rFonts w:ascii="Times New Roman" w:hAnsi="Times New Roman"/>
          <w:i/>
        </w:rPr>
        <w:t>f</w:t>
      </w:r>
      <w:r w:rsidRPr="003702D4">
        <w:rPr>
          <w:rFonts w:ascii="Times New Roman" w:hAnsi="Times New Roman"/>
          <w:i/>
        </w:rPr>
        <w:t>or Swap Dealers and Major Swap Participants</w:t>
      </w:r>
      <w:r>
        <w:rPr>
          <w:rFonts w:ascii="Times New Roman" w:hAnsi="Times New Roman"/>
          <w:i/>
        </w:rPr>
        <w:t xml:space="preserve">. </w:t>
      </w:r>
      <w:r w:rsidRPr="003C2005">
        <w:rPr>
          <w:rFonts w:ascii="Times New Roman" w:hAnsi="Times New Roman"/>
          <w:i/>
          <w:szCs w:val="24"/>
        </w:rPr>
        <w:t>See</w:t>
      </w:r>
      <w:r w:rsidRPr="003C2005">
        <w:rPr>
          <w:rFonts w:ascii="Times New Roman" w:hAnsi="Times New Roman"/>
          <w:szCs w:val="24"/>
        </w:rPr>
        <w:t xml:space="preserve"> </w:t>
      </w:r>
      <w:r w:rsidR="002D551E">
        <w:rPr>
          <w:rFonts w:ascii="Times New Roman" w:hAnsi="Times New Roman"/>
          <w:szCs w:val="24"/>
        </w:rPr>
        <w:t xml:space="preserve">90 </w:t>
      </w:r>
      <w:r w:rsidRPr="003C2005">
        <w:rPr>
          <w:rFonts w:ascii="Times New Roman" w:hAnsi="Times New Roman"/>
          <w:szCs w:val="24"/>
        </w:rPr>
        <w:t xml:space="preserve">FR </w:t>
      </w:r>
      <w:r w:rsidR="00A13F14">
        <w:rPr>
          <w:rFonts w:ascii="Times New Roman" w:hAnsi="Times New Roman"/>
          <w:szCs w:val="24"/>
        </w:rPr>
        <w:t>15138</w:t>
      </w:r>
      <w:r w:rsidRPr="003C2005" w:rsidR="00A13F14">
        <w:rPr>
          <w:rFonts w:ascii="Times New Roman" w:hAnsi="Times New Roman"/>
          <w:szCs w:val="24"/>
        </w:rPr>
        <w:t xml:space="preserve"> </w:t>
      </w:r>
      <w:r w:rsidRPr="003C2005">
        <w:rPr>
          <w:rFonts w:ascii="Times New Roman" w:hAnsi="Times New Roman"/>
          <w:szCs w:val="24"/>
        </w:rPr>
        <w:t>(</w:t>
      </w:r>
      <w:r w:rsidR="00A13F14">
        <w:rPr>
          <w:rFonts w:ascii="Times New Roman" w:hAnsi="Times New Roman"/>
          <w:szCs w:val="24"/>
        </w:rPr>
        <w:t>Apr. 8</w:t>
      </w:r>
      <w:r w:rsidRPr="003C2005">
        <w:rPr>
          <w:rFonts w:ascii="Times New Roman" w:hAnsi="Times New Roman"/>
          <w:szCs w:val="24"/>
        </w:rPr>
        <w:t>, 2025).  The notice provided a 60-day period during which the public was invited to comment on the information collection and the burdens imposed by it.  The Commission did not receive any relevant comments on the 60-day Federal Register notice.</w:t>
      </w:r>
    </w:p>
    <w:p w:rsidR="00F77388" w:rsidP="004E6601" w14:paraId="2E1469F4" w14:textId="77777777">
      <w:pPr>
        <w:tabs>
          <w:tab w:val="left" w:pos="-720"/>
        </w:tabs>
        <w:spacing w:after="240"/>
        <w:ind w:left="720"/>
        <w:jc w:val="both"/>
        <w:rPr>
          <w:rFonts w:ascii="Times New Roman" w:hAnsi="Times New Roman"/>
          <w:b/>
        </w:rPr>
      </w:pPr>
      <w:r>
        <w:rPr>
          <w:rFonts w:ascii="Times New Roman" w:hAnsi="Times New Roman"/>
          <w:b/>
        </w:rPr>
        <w:t xml:space="preserve">Describe efforts to consult with </w:t>
      </w:r>
      <w:r>
        <w:rPr>
          <w:rFonts w:ascii="Times New Roman" w:hAnsi="Times New Roman"/>
          <w:b/>
        </w:rPr>
        <w:t>persons</w:t>
      </w:r>
      <w:r>
        <w:rPr>
          <w:rFonts w:ascii="Times New Roman" w:hAnsi="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ED4BEC" w:rsidP="004E6601" w14:paraId="60317EFE" w14:textId="77777777">
      <w:pPr>
        <w:tabs>
          <w:tab w:val="left" w:pos="-720"/>
        </w:tabs>
        <w:spacing w:after="240"/>
        <w:jc w:val="both"/>
        <w:rPr>
          <w:rFonts w:ascii="Times New Roman" w:hAnsi="Times New Roman"/>
          <w:b/>
        </w:rPr>
      </w:pPr>
      <w:r>
        <w:rPr>
          <w:rFonts w:ascii="Times New Roman" w:hAnsi="Times New Roman"/>
        </w:rPr>
        <w:t>As set forth above, the Commission affirmatively sought comments on the extension of information collection requirements described herein.</w:t>
      </w:r>
    </w:p>
    <w:p w:rsidR="00F77388" w:rsidP="004E6601" w14:paraId="65E1CFCE" w14:textId="77777777">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388" w:rsidP="004E6601" w14:paraId="22EE0381" w14:textId="46E8DEF6">
      <w:pPr>
        <w:tabs>
          <w:tab w:val="left" w:pos="-720"/>
        </w:tabs>
        <w:spacing w:after="240"/>
        <w:jc w:val="both"/>
        <w:rPr>
          <w:rFonts w:ascii="Times New Roman" w:hAnsi="Times New Roman"/>
        </w:rPr>
      </w:pPr>
      <w:r>
        <w:rPr>
          <w:rFonts w:ascii="Times New Roman" w:hAnsi="Times New Roman"/>
        </w:rPr>
        <w:t>No such circumstances are anticipated.</w:t>
      </w:r>
    </w:p>
    <w:p w:rsidR="00F77388" w:rsidP="004E6601" w14:paraId="20093465"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F77388" w:rsidP="004E6601" w14:paraId="1C2BD9F0" w14:textId="77777777">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rsidR="00F77388" w:rsidP="004E6601" w14:paraId="59549E75"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F77388" w:rsidP="004E6601" w14:paraId="1E4FD947" w14:textId="77777777">
      <w:pPr>
        <w:tabs>
          <w:tab w:val="left" w:pos="-720"/>
          <w:tab w:val="left" w:pos="0"/>
          <w:tab w:val="left" w:pos="720"/>
        </w:tabs>
        <w:spacing w:after="240"/>
        <w:jc w:val="both"/>
        <w:rPr>
          <w:rFonts w:ascii="Times New Roman" w:hAnsi="Times New Roman"/>
        </w:rPr>
      </w:pPr>
      <w:r>
        <w:rPr>
          <w:rFonts w:ascii="Times New Roman" w:hAnsi="Times New Roman"/>
        </w:rPr>
        <w:t>The Commission does not provide respondents with an assurance of confidentiality beyond that provided by applicable law.  The Commission fully complies with s</w:t>
      </w:r>
      <w:r w:rsidRPr="003E1569">
        <w:rPr>
          <w:rFonts w:ascii="Times New Roman" w:hAnsi="Times New Roman"/>
        </w:rPr>
        <w:t>ection 8(a)</w:t>
      </w:r>
      <w:r>
        <w:rPr>
          <w:rFonts w:ascii="Times New Roman" w:hAnsi="Times New Roman"/>
        </w:rPr>
        <w:t>(1) of the CEA, which strictly prohibits the Commission, unless specifically authorized by the CEA, from making public “data and information that would separately disclose the business transactions or market positions of any person and trade secrets or names of customers</w:t>
      </w:r>
      <w:r w:rsidRPr="003E1569">
        <w:rPr>
          <w:rFonts w:ascii="Times New Roman" w:hAnsi="Times New Roman"/>
        </w:rPr>
        <w:t>.</w:t>
      </w:r>
      <w:r>
        <w:rPr>
          <w:rFonts w:ascii="Times New Roman" w:hAnsi="Times New Roman"/>
        </w:rPr>
        <w:t xml:space="preserve">”  The Commission has procedures to protect the confidentiality of a respondent’s data.  These are set forth in the Commission’s regulations </w:t>
      </w:r>
      <w:r>
        <w:rPr>
          <w:rFonts w:ascii="Times New Roman" w:hAnsi="Times New Roman"/>
        </w:rPr>
        <w:t>at</w:t>
      </w:r>
      <w:r>
        <w:rPr>
          <w:rFonts w:ascii="Times New Roman" w:hAnsi="Times New Roman"/>
        </w:rPr>
        <w:t xml:space="preserve"> part 145 of the Code of Federal Regulations.</w:t>
      </w:r>
    </w:p>
    <w:p w:rsidR="00F77388" w:rsidP="004E6601" w14:paraId="784F4C69"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w:t>
      </w:r>
      <w:r>
        <w:rPr>
          <w:rFonts w:ascii="Times New Roman" w:hAnsi="Times New Roman"/>
          <w:b/>
        </w:rPr>
        <w:t xml:space="preserve"> from whom the information is requested, and any steps to be taken to obtain their consent.</w:t>
      </w:r>
    </w:p>
    <w:p w:rsidR="00F77388" w:rsidP="004E6601" w14:paraId="15334D43" w14:textId="77777777">
      <w:pPr>
        <w:tabs>
          <w:tab w:val="left" w:pos="-720"/>
        </w:tabs>
        <w:spacing w:after="240"/>
        <w:jc w:val="both"/>
        <w:rPr>
          <w:rFonts w:ascii="Times New Roman" w:hAnsi="Times New Roman"/>
        </w:rPr>
      </w:pPr>
      <w:r>
        <w:rPr>
          <w:rFonts w:ascii="Times New Roman" w:hAnsi="Times New Roman"/>
        </w:rPr>
        <w:t xml:space="preserve">This question does not apply.  The regulations do not </w:t>
      </w:r>
      <w:r>
        <w:rPr>
          <w:rFonts w:ascii="Times New Roman" w:hAnsi="Times New Roman"/>
        </w:rPr>
        <w:t>request</w:t>
      </w:r>
      <w:r>
        <w:rPr>
          <w:rFonts w:ascii="Times New Roman" w:hAnsi="Times New Roman"/>
        </w:rPr>
        <w:t xml:space="preserve"> or require the provision of sensitive information, as that term is used in question 11.</w:t>
      </w:r>
    </w:p>
    <w:p w:rsidR="00F77388" w:rsidP="004E6601" w14:paraId="6C27B337"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F77388" w:rsidP="004E6601" w14:paraId="4A1347C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77388" w:rsidP="004E6601" w14:paraId="60B6895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F77388" w:rsidP="004E6601" w14:paraId="55C0CBB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Provide estimates of annualized cost to respondents for the hours burdens for collections of information, identifying and using appropriate wage rate categories.  The cost of contracting out or paying outside parties for information collection </w:t>
      </w:r>
      <w:r>
        <w:rPr>
          <w:rFonts w:ascii="Times New Roman" w:hAnsi="Times New Roman"/>
          <w:b/>
        </w:rPr>
        <w:t>activities should not be included here.  Instead, this cost should be included in Item 13.</w:t>
      </w:r>
    </w:p>
    <w:p w:rsidR="001064AB" w:rsidP="004E6601" w14:paraId="6EDBC563" w14:textId="787D4E28">
      <w:pPr>
        <w:pStyle w:val="PlainText"/>
        <w:spacing w:after="240"/>
        <w:jc w:val="both"/>
        <w:rPr>
          <w:rFonts w:ascii="Times New Roman" w:hAnsi="Times New Roman"/>
          <w:color w:val="auto"/>
          <w:sz w:val="24"/>
          <w:szCs w:val="24"/>
        </w:rPr>
      </w:pPr>
      <w:r>
        <w:rPr>
          <w:rFonts w:ascii="Times New Roman" w:hAnsi="Times New Roman"/>
          <w:i/>
          <w:color w:val="auto"/>
          <w:sz w:val="24"/>
          <w:szCs w:val="24"/>
        </w:rPr>
        <w:t>See</w:t>
      </w:r>
      <w:r>
        <w:rPr>
          <w:rFonts w:ascii="Times New Roman" w:hAnsi="Times New Roman"/>
          <w:color w:val="auto"/>
          <w:sz w:val="24"/>
          <w:szCs w:val="24"/>
        </w:rPr>
        <w:t xml:space="preserve"> Attachment A</w:t>
      </w:r>
      <w:r w:rsidR="0049502D">
        <w:rPr>
          <w:rFonts w:ascii="Times New Roman" w:hAnsi="Times New Roman"/>
          <w:color w:val="auto"/>
          <w:sz w:val="24"/>
          <w:szCs w:val="24"/>
        </w:rPr>
        <w:t>.</w:t>
      </w:r>
    </w:p>
    <w:p w:rsidR="00F77388" w:rsidP="004E6601" w14:paraId="59F8C521" w14:textId="7200CA52">
      <w:pPr>
        <w:pStyle w:val="PlainText"/>
        <w:spacing w:after="240"/>
        <w:jc w:val="both"/>
        <w:rPr>
          <w:rFonts w:ascii="Times New Roman" w:hAnsi="Times New Roman"/>
          <w:color w:val="auto"/>
          <w:sz w:val="24"/>
          <w:szCs w:val="24"/>
        </w:rPr>
      </w:pPr>
      <w:r>
        <w:rPr>
          <w:rFonts w:ascii="Times New Roman" w:hAnsi="Times New Roman"/>
          <w:color w:val="auto"/>
          <w:sz w:val="24"/>
          <w:szCs w:val="24"/>
        </w:rPr>
        <w:t xml:space="preserve">As delineated below, the hourly burden associated with the regulations is estimated to </w:t>
      </w:r>
      <w:r w:rsidRPr="005A2EAD">
        <w:rPr>
          <w:rFonts w:ascii="Times New Roman" w:hAnsi="Times New Roman"/>
          <w:color w:val="auto"/>
          <w:sz w:val="24"/>
          <w:szCs w:val="24"/>
        </w:rPr>
        <w:t xml:space="preserve">be 2,096 hours per </w:t>
      </w:r>
      <w:r w:rsidR="00DA1794">
        <w:rPr>
          <w:rFonts w:ascii="Times New Roman" w:hAnsi="Times New Roman"/>
          <w:color w:val="auto"/>
          <w:sz w:val="24"/>
          <w:szCs w:val="24"/>
        </w:rPr>
        <w:t>SD or MSP</w:t>
      </w:r>
      <w:r w:rsidRPr="005A2EAD">
        <w:rPr>
          <w:rFonts w:ascii="Times New Roman" w:hAnsi="Times New Roman"/>
          <w:color w:val="auto"/>
          <w:sz w:val="24"/>
          <w:szCs w:val="24"/>
        </w:rPr>
        <w:t xml:space="preserve">, at an annual cost of $209,600 per </w:t>
      </w:r>
      <w:r w:rsidR="008C5354">
        <w:rPr>
          <w:rFonts w:ascii="Times New Roman" w:hAnsi="Times New Roman"/>
          <w:color w:val="auto"/>
          <w:sz w:val="24"/>
          <w:szCs w:val="24"/>
        </w:rPr>
        <w:t>respondent</w:t>
      </w:r>
      <w:r w:rsidRPr="005A2EAD">
        <w:rPr>
          <w:rFonts w:ascii="Times New Roman" w:hAnsi="Times New Roman"/>
          <w:color w:val="auto"/>
          <w:sz w:val="24"/>
          <w:szCs w:val="24"/>
        </w:rPr>
        <w:t xml:space="preserve">.  This hourly burden is not expected to vary widely among </w:t>
      </w:r>
      <w:r w:rsidR="008C5354">
        <w:rPr>
          <w:rFonts w:ascii="Times New Roman" w:hAnsi="Times New Roman"/>
          <w:color w:val="auto"/>
          <w:sz w:val="24"/>
          <w:szCs w:val="24"/>
        </w:rPr>
        <w:t>respondents</w:t>
      </w:r>
      <w:r w:rsidRPr="005A2EAD">
        <w:rPr>
          <w:rFonts w:ascii="Times New Roman" w:hAnsi="Times New Roman"/>
          <w:color w:val="auto"/>
          <w:sz w:val="24"/>
          <w:szCs w:val="24"/>
        </w:rPr>
        <w:t>.</w:t>
      </w:r>
      <w:r>
        <w:rPr>
          <w:rFonts w:ascii="Times New Roman" w:hAnsi="Times New Roman"/>
          <w:color w:val="auto"/>
          <w:sz w:val="24"/>
          <w:szCs w:val="24"/>
        </w:rPr>
        <w:t xml:space="preserve"> </w:t>
      </w:r>
      <w:r w:rsidR="00A10D3D">
        <w:rPr>
          <w:rFonts w:ascii="Times New Roman" w:hAnsi="Times New Roman"/>
          <w:color w:val="auto"/>
          <w:sz w:val="24"/>
          <w:szCs w:val="24"/>
        </w:rPr>
        <w:t xml:space="preserve"> </w:t>
      </w:r>
      <w:r w:rsidRPr="00575BF7" w:rsidR="00A10D3D">
        <w:rPr>
          <w:rFonts w:ascii="Times New Roman" w:hAnsi="Times New Roman"/>
          <w:color w:val="auto"/>
          <w:sz w:val="24"/>
          <w:szCs w:val="24"/>
        </w:rPr>
        <w:t>In light of</w:t>
      </w:r>
      <w:r w:rsidRPr="00575BF7" w:rsidR="00A10D3D">
        <w:rPr>
          <w:rFonts w:ascii="Times New Roman" w:hAnsi="Times New Roman"/>
          <w:color w:val="auto"/>
          <w:sz w:val="24"/>
          <w:szCs w:val="24"/>
        </w:rPr>
        <w:t xml:space="preserve"> the current number of Commission-registered </w:t>
      </w:r>
      <w:r w:rsidR="00DA1794">
        <w:rPr>
          <w:rFonts w:ascii="Times New Roman" w:hAnsi="Times New Roman"/>
          <w:color w:val="auto"/>
          <w:sz w:val="24"/>
          <w:szCs w:val="24"/>
        </w:rPr>
        <w:t>SDs and MSPs</w:t>
      </w:r>
      <w:r w:rsidRPr="00575BF7" w:rsidR="00A10D3D">
        <w:rPr>
          <w:rFonts w:ascii="Times New Roman" w:hAnsi="Times New Roman"/>
          <w:color w:val="auto"/>
          <w:sz w:val="24"/>
          <w:szCs w:val="24"/>
        </w:rPr>
        <w:t xml:space="preserve">, the total number of </w:t>
      </w:r>
      <w:r w:rsidR="00126E8E">
        <w:rPr>
          <w:rFonts w:ascii="Times New Roman" w:hAnsi="Times New Roman"/>
          <w:color w:val="auto"/>
          <w:sz w:val="24"/>
          <w:szCs w:val="24"/>
        </w:rPr>
        <w:t>resp</w:t>
      </w:r>
      <w:r w:rsidR="00551563">
        <w:rPr>
          <w:rFonts w:ascii="Times New Roman" w:hAnsi="Times New Roman"/>
          <w:color w:val="auto"/>
          <w:sz w:val="24"/>
          <w:szCs w:val="24"/>
        </w:rPr>
        <w:t>onde</w:t>
      </w:r>
      <w:r w:rsidR="00126E8E">
        <w:rPr>
          <w:rFonts w:ascii="Times New Roman" w:hAnsi="Times New Roman"/>
          <w:color w:val="auto"/>
          <w:sz w:val="24"/>
          <w:szCs w:val="24"/>
        </w:rPr>
        <w:t>nts</w:t>
      </w:r>
      <w:r w:rsidRPr="00575BF7" w:rsidR="00A10D3D">
        <w:rPr>
          <w:rFonts w:ascii="Times New Roman" w:hAnsi="Times New Roman"/>
          <w:color w:val="auto"/>
          <w:sz w:val="24"/>
          <w:szCs w:val="24"/>
        </w:rPr>
        <w:t xml:space="preserve"> (combined </w:t>
      </w:r>
      <w:r w:rsidR="00DA1794">
        <w:rPr>
          <w:rFonts w:ascii="Times New Roman" w:hAnsi="Times New Roman"/>
          <w:color w:val="auto"/>
          <w:sz w:val="24"/>
          <w:szCs w:val="24"/>
        </w:rPr>
        <w:t>SDs and MSPs</w:t>
      </w:r>
      <w:r w:rsidRPr="00575BF7" w:rsidR="00A10D3D">
        <w:rPr>
          <w:rFonts w:ascii="Times New Roman" w:hAnsi="Times New Roman"/>
          <w:color w:val="auto"/>
          <w:sz w:val="24"/>
          <w:szCs w:val="24"/>
        </w:rPr>
        <w:t xml:space="preserve">) is estimated to be </w:t>
      </w:r>
      <w:r w:rsidRPr="00787F67" w:rsidR="0054156D">
        <w:rPr>
          <w:rFonts w:ascii="Times New Roman" w:hAnsi="Times New Roman"/>
          <w:color w:val="auto"/>
          <w:sz w:val="24"/>
          <w:szCs w:val="24"/>
        </w:rPr>
        <w:t>10</w:t>
      </w:r>
      <w:r w:rsidR="0054156D">
        <w:rPr>
          <w:rFonts w:ascii="Times New Roman" w:hAnsi="Times New Roman"/>
          <w:color w:val="auto"/>
          <w:sz w:val="24"/>
          <w:szCs w:val="24"/>
        </w:rPr>
        <w:t>6</w:t>
      </w:r>
      <w:r w:rsidRPr="00575BF7" w:rsidR="0054156D">
        <w:rPr>
          <w:rFonts w:ascii="Times New Roman" w:hAnsi="Times New Roman"/>
          <w:color w:val="auto"/>
          <w:sz w:val="24"/>
          <w:szCs w:val="24"/>
        </w:rPr>
        <w:t xml:space="preserve"> </w:t>
      </w:r>
      <w:r w:rsidRPr="00575BF7" w:rsidR="00A10D3D">
        <w:rPr>
          <w:rFonts w:ascii="Times New Roman" w:hAnsi="Times New Roman"/>
          <w:color w:val="auto"/>
          <w:sz w:val="24"/>
          <w:szCs w:val="24"/>
        </w:rPr>
        <w:t xml:space="preserve">and the aggregate hour burdens set forth below are based upon that </w:t>
      </w:r>
      <w:r w:rsidR="00126E8E">
        <w:rPr>
          <w:rFonts w:ascii="Times New Roman" w:hAnsi="Times New Roman"/>
          <w:color w:val="auto"/>
          <w:sz w:val="24"/>
          <w:szCs w:val="24"/>
        </w:rPr>
        <w:t>estimat</w:t>
      </w:r>
      <w:r w:rsidR="00126B67">
        <w:rPr>
          <w:rFonts w:ascii="Times New Roman" w:hAnsi="Times New Roman"/>
          <w:color w:val="auto"/>
          <w:sz w:val="24"/>
          <w:szCs w:val="24"/>
        </w:rPr>
        <w:t>e</w:t>
      </w:r>
      <w:r w:rsidRPr="00575BF7" w:rsidR="00A10D3D">
        <w:rPr>
          <w:rFonts w:ascii="Times New Roman" w:hAnsi="Times New Roman"/>
          <w:color w:val="auto"/>
          <w:sz w:val="24"/>
          <w:szCs w:val="24"/>
        </w:rPr>
        <w:t xml:space="preserve">.  </w:t>
      </w:r>
      <w:r w:rsidR="00D14FDB">
        <w:rPr>
          <w:rFonts w:ascii="Times New Roman" w:hAnsi="Times New Roman"/>
          <w:color w:val="auto"/>
          <w:sz w:val="24"/>
          <w:szCs w:val="24"/>
        </w:rPr>
        <w:t xml:space="preserve">There are currently </w:t>
      </w:r>
      <w:r w:rsidR="00311D4B">
        <w:rPr>
          <w:rFonts w:ascii="Times New Roman" w:hAnsi="Times New Roman"/>
          <w:color w:val="auto"/>
          <w:sz w:val="24"/>
          <w:szCs w:val="24"/>
        </w:rPr>
        <w:t xml:space="preserve">no </w:t>
      </w:r>
      <w:r w:rsidR="00D14FDB">
        <w:rPr>
          <w:rFonts w:ascii="Times New Roman" w:hAnsi="Times New Roman"/>
          <w:color w:val="auto"/>
          <w:sz w:val="24"/>
          <w:szCs w:val="24"/>
        </w:rPr>
        <w:t>registered MSPs.</w:t>
      </w:r>
    </w:p>
    <w:p w:rsidR="00F77388" w:rsidP="004E6601" w14:paraId="5DF92C07" w14:textId="1D9FD74E">
      <w:pPr>
        <w:widowControl w:val="0"/>
        <w:spacing w:after="240"/>
        <w:jc w:val="both"/>
        <w:rPr>
          <w:rFonts w:ascii="Times New Roman" w:hAnsi="Times New Roman"/>
        </w:rPr>
      </w:pPr>
      <w:r>
        <w:rPr>
          <w:rFonts w:ascii="Times New Roman" w:hAnsi="Times New Roman"/>
        </w:rPr>
        <w:t xml:space="preserve">Specifically, the Commission </w:t>
      </w:r>
      <w:r w:rsidR="001064AB">
        <w:rPr>
          <w:rFonts w:ascii="Times New Roman" w:hAnsi="Times New Roman"/>
        </w:rPr>
        <w:t xml:space="preserve">estimates </w:t>
      </w:r>
      <w:r>
        <w:rPr>
          <w:rFonts w:ascii="Times New Roman" w:hAnsi="Times New Roman"/>
        </w:rPr>
        <w:t xml:space="preserve">that </w:t>
      </w:r>
      <w:r w:rsidR="00DA1794">
        <w:rPr>
          <w:rFonts w:ascii="Times New Roman" w:hAnsi="Times New Roman"/>
        </w:rPr>
        <w:t>SDs and MSPs</w:t>
      </w:r>
      <w:r>
        <w:rPr>
          <w:rFonts w:ascii="Times New Roman" w:hAnsi="Times New Roman"/>
        </w:rPr>
        <w:t xml:space="preserve"> spend approximately eight hours per trading day (2,016 hours per year) compiling and maintaining transaction records pursuant to regulation 23.201, including the daily trading records required by regulation 23.202.  The Commission believes that </w:t>
      </w:r>
      <w:r w:rsidR="001666DD">
        <w:rPr>
          <w:rFonts w:ascii="Times New Roman" w:hAnsi="Times New Roman"/>
        </w:rPr>
        <w:t xml:space="preserve">respondents </w:t>
      </w:r>
      <w:r>
        <w:rPr>
          <w:rFonts w:ascii="Times New Roman" w:hAnsi="Times New Roman"/>
        </w:rPr>
        <w:t>will expend an additional 63 hours per year compiling daily records of their positions, identified by product and counterparty, as required by regulation 23.201.</w:t>
      </w:r>
    </w:p>
    <w:p w:rsidR="00ED4BEC" w:rsidP="004E6601" w14:paraId="154B4EA9" w14:textId="4B1523E4">
      <w:pPr>
        <w:widowControl w:val="0"/>
        <w:spacing w:after="240"/>
        <w:jc w:val="both"/>
        <w:rPr>
          <w:rFonts w:ascii="Times New Roman" w:hAnsi="Times New Roman"/>
        </w:rPr>
      </w:pPr>
      <w:r>
        <w:rPr>
          <w:rFonts w:ascii="Times New Roman" w:hAnsi="Times New Roman"/>
        </w:rPr>
        <w:t xml:space="preserve">The Commission estimates that each </w:t>
      </w:r>
      <w:r w:rsidR="00DA1794">
        <w:rPr>
          <w:rFonts w:ascii="Times New Roman" w:hAnsi="Times New Roman"/>
        </w:rPr>
        <w:t>SD and MSP</w:t>
      </w:r>
      <w:r>
        <w:rPr>
          <w:rFonts w:ascii="Times New Roman" w:hAnsi="Times New Roman"/>
        </w:rPr>
        <w:t xml:space="preserve"> spend</w:t>
      </w:r>
      <w:r w:rsidR="00777AD1">
        <w:rPr>
          <w:rFonts w:ascii="Times New Roman" w:hAnsi="Times New Roman"/>
        </w:rPr>
        <w:t>s</w:t>
      </w:r>
      <w:r>
        <w:rPr>
          <w:rFonts w:ascii="Times New Roman" w:hAnsi="Times New Roman"/>
        </w:rPr>
        <w:t xml:space="preserve"> 5 hours per year compiling the complaint records required by regulation 23.201.  This </w:t>
      </w:r>
      <w:r w:rsidR="00A10D3D">
        <w:rPr>
          <w:rFonts w:ascii="Times New Roman" w:hAnsi="Times New Roman"/>
        </w:rPr>
        <w:t xml:space="preserve">estimate </w:t>
      </w:r>
      <w:r>
        <w:rPr>
          <w:rFonts w:ascii="Times New Roman" w:hAnsi="Times New Roman"/>
        </w:rPr>
        <w:t xml:space="preserve">is based on the belief that the affected </w:t>
      </w:r>
      <w:r w:rsidR="001666DD">
        <w:rPr>
          <w:rFonts w:ascii="Times New Roman" w:hAnsi="Times New Roman"/>
        </w:rPr>
        <w:t xml:space="preserve">respondents </w:t>
      </w:r>
      <w:r>
        <w:rPr>
          <w:rFonts w:ascii="Times New Roman" w:hAnsi="Times New Roman"/>
        </w:rPr>
        <w:t xml:space="preserve">primarily engage in </w:t>
      </w:r>
      <w:r w:rsidR="006D42B9">
        <w:rPr>
          <w:rFonts w:ascii="Times New Roman" w:hAnsi="Times New Roman"/>
        </w:rPr>
        <w:t>principal</w:t>
      </w:r>
      <w:r w:rsidR="006D42B9">
        <w:rPr>
          <w:rFonts w:ascii="Times New Roman" w:hAnsi="Times New Roman"/>
        </w:rPr>
        <w:t>-to-principal</w:t>
      </w:r>
      <w:r>
        <w:rPr>
          <w:rFonts w:ascii="Times New Roman" w:hAnsi="Times New Roman"/>
        </w:rPr>
        <w:t xml:space="preserve"> transactions, which are less likely to generate complaints than transactions conducted on an agency basis</w:t>
      </w:r>
      <w:r w:rsidR="00A10D3D">
        <w:rPr>
          <w:rFonts w:ascii="Times New Roman" w:hAnsi="Times New Roman"/>
        </w:rPr>
        <w:t>.</w:t>
      </w:r>
      <w:r>
        <w:rPr>
          <w:rFonts w:ascii="Times New Roman" w:hAnsi="Times New Roman"/>
        </w:rPr>
        <w:t xml:space="preserve">  Finally, the Commission estimates the hourly burden associated with compliance with the marketing communication recordkeeping requirement set forth in regulation 23.201 to be approximately 12 hours per year.</w:t>
      </w:r>
    </w:p>
    <w:p w:rsidR="00F77388" w:rsidP="004E6601" w14:paraId="1F2E4D79" w14:textId="0F6FCC72">
      <w:pPr>
        <w:widowControl w:val="0"/>
        <w:spacing w:after="240"/>
        <w:jc w:val="both"/>
        <w:rPr>
          <w:rFonts w:ascii="Times New Roman" w:hAnsi="Times New Roman"/>
        </w:rPr>
      </w:pPr>
      <w:r>
        <w:rPr>
          <w:rFonts w:ascii="Times New Roman" w:hAnsi="Times New Roman"/>
        </w:rPr>
        <w:t xml:space="preserve">The Commission believes that several aspects of the regulations </w:t>
      </w:r>
      <w:r w:rsidR="00A10D3D">
        <w:rPr>
          <w:rFonts w:ascii="Times New Roman" w:hAnsi="Times New Roman"/>
        </w:rPr>
        <w:t xml:space="preserve">do </w:t>
      </w:r>
      <w:r>
        <w:rPr>
          <w:rFonts w:ascii="Times New Roman" w:hAnsi="Times New Roman"/>
        </w:rPr>
        <w:t xml:space="preserve">not result in any additional hourly burdens upon affected </w:t>
      </w:r>
      <w:r w:rsidR="001666DD">
        <w:rPr>
          <w:rFonts w:ascii="Times New Roman" w:hAnsi="Times New Roman"/>
        </w:rPr>
        <w:t>respondents</w:t>
      </w:r>
      <w:r>
        <w:rPr>
          <w:rFonts w:ascii="Times New Roman" w:hAnsi="Times New Roman"/>
        </w:rPr>
        <w:t>.  For example, the required records of transactions executed on a swap execution facility or designated contract market</w:t>
      </w:r>
      <w:r w:rsidR="00D4113B">
        <w:rPr>
          <w:rFonts w:ascii="Times New Roman" w:hAnsi="Times New Roman"/>
        </w:rPr>
        <w:t>,</w:t>
      </w:r>
      <w:r>
        <w:rPr>
          <w:rFonts w:ascii="Times New Roman" w:hAnsi="Times New Roman"/>
        </w:rPr>
        <w:t xml:space="preserve"> or transactions cleared by a designated clearing organization would be the same transaction and daily trading records accounted for previously and, therefore, have not been assigned an extra hourly burden.  The Commission also </w:t>
      </w:r>
      <w:r w:rsidR="00777AD1">
        <w:rPr>
          <w:rFonts w:ascii="Times New Roman" w:hAnsi="Times New Roman"/>
        </w:rPr>
        <w:t xml:space="preserve">believes </w:t>
      </w:r>
      <w:r>
        <w:rPr>
          <w:rFonts w:ascii="Times New Roman" w:hAnsi="Times New Roman"/>
        </w:rPr>
        <w:t xml:space="preserve">that </w:t>
      </w:r>
      <w:r w:rsidR="00DA1794">
        <w:rPr>
          <w:rFonts w:ascii="Times New Roman" w:hAnsi="Times New Roman"/>
        </w:rPr>
        <w:t>SDs and MSPs</w:t>
      </w:r>
      <w:r>
        <w:rPr>
          <w:rFonts w:ascii="Times New Roman" w:hAnsi="Times New Roman"/>
        </w:rPr>
        <w:t xml:space="preserve"> </w:t>
      </w:r>
      <w:r w:rsidR="00A10D3D">
        <w:rPr>
          <w:rFonts w:ascii="Times New Roman" w:hAnsi="Times New Roman"/>
        </w:rPr>
        <w:t>kept</w:t>
      </w:r>
      <w:r>
        <w:rPr>
          <w:rFonts w:ascii="Times New Roman" w:hAnsi="Times New Roman"/>
        </w:rPr>
        <w:t xml:space="preserve"> and/or maintain</w:t>
      </w:r>
      <w:r w:rsidR="00A10D3D">
        <w:rPr>
          <w:rFonts w:ascii="Times New Roman" w:hAnsi="Times New Roman"/>
        </w:rPr>
        <w:t>ed</w:t>
      </w:r>
      <w:r>
        <w:rPr>
          <w:rFonts w:ascii="Times New Roman" w:hAnsi="Times New Roman"/>
        </w:rPr>
        <w:t xml:space="preserve"> their meeting minutes; organizational charts; the resumes of relevant managers; records of their assets, liabilities, income, and expenses; and other governance or financial records in the ordinary course of their businesses</w:t>
      </w:r>
      <w:r w:rsidR="00A10D3D">
        <w:rPr>
          <w:rFonts w:ascii="Times New Roman" w:hAnsi="Times New Roman"/>
        </w:rPr>
        <w:t xml:space="preserve"> prior to the Commission promulgating the regulations</w:t>
      </w:r>
      <w:r>
        <w:rPr>
          <w:rFonts w:ascii="Times New Roman" w:hAnsi="Times New Roman"/>
        </w:rPr>
        <w:t>.</w:t>
      </w:r>
    </w:p>
    <w:p w:rsidR="00F77388" w:rsidP="00CD6434" w14:paraId="25EBAC75" w14:textId="30DA6BB3">
      <w:pPr>
        <w:widowControl w:val="0"/>
        <w:spacing w:after="240"/>
        <w:jc w:val="both"/>
        <w:rPr>
          <w:rFonts w:ascii="Times New Roman" w:hAnsi="Times New Roman"/>
        </w:rPr>
      </w:pPr>
      <w:r>
        <w:rPr>
          <w:rFonts w:ascii="Times New Roman" w:hAnsi="Times New Roman"/>
        </w:rPr>
        <w:t xml:space="preserve">Finally, the Commission does not </w:t>
      </w:r>
      <w:r w:rsidR="00777AD1">
        <w:rPr>
          <w:rFonts w:ascii="Times New Roman" w:hAnsi="Times New Roman"/>
        </w:rPr>
        <w:t xml:space="preserve">believe </w:t>
      </w:r>
      <w:r>
        <w:rPr>
          <w:rFonts w:ascii="Times New Roman" w:hAnsi="Times New Roman"/>
        </w:rPr>
        <w:t xml:space="preserve">that the requirements to report swap transactions to </w:t>
      </w:r>
      <w:r w:rsidR="0054156D">
        <w:rPr>
          <w:rFonts w:ascii="Times New Roman" w:hAnsi="Times New Roman"/>
        </w:rPr>
        <w:t>SDRs</w:t>
      </w:r>
      <w:r>
        <w:rPr>
          <w:rFonts w:ascii="Times New Roman" w:hAnsi="Times New Roman"/>
        </w:rPr>
        <w:t xml:space="preserve"> in accordance with regulation 23.204, to engage in real time public reporting of swap transaction and pricing data in accordance with regulation 23.205, and to maintain the electronic systems and procedures necessary to report transactions and data in the manner required by the regulations result in any additional hourly burdens or costs to </w:t>
      </w:r>
      <w:r w:rsidR="00DA1794">
        <w:rPr>
          <w:rFonts w:ascii="Times New Roman" w:hAnsi="Times New Roman"/>
        </w:rPr>
        <w:t>SDs and MSPs</w:t>
      </w:r>
      <w:r>
        <w:rPr>
          <w:rFonts w:ascii="Times New Roman" w:hAnsi="Times New Roman"/>
        </w:rPr>
        <w:t xml:space="preserve"> other than those previously set forth and accounted for in part 45 </w:t>
      </w:r>
      <w:r w:rsidR="00642014">
        <w:rPr>
          <w:rFonts w:ascii="Times New Roman" w:hAnsi="Times New Roman"/>
        </w:rPr>
        <w:t xml:space="preserve">of Commission </w:t>
      </w:r>
      <w:r>
        <w:rPr>
          <w:rFonts w:ascii="Times New Roman" w:hAnsi="Times New Roman"/>
        </w:rPr>
        <w:t xml:space="preserve">regulations for swap data recordkeeping and reporting and in part 43 </w:t>
      </w:r>
      <w:r w:rsidR="00642014">
        <w:rPr>
          <w:rFonts w:ascii="Times New Roman" w:hAnsi="Times New Roman"/>
        </w:rPr>
        <w:t xml:space="preserve">of Commission </w:t>
      </w:r>
      <w:r>
        <w:rPr>
          <w:rFonts w:ascii="Times New Roman" w:hAnsi="Times New Roman"/>
        </w:rPr>
        <w:t>regulations governing real-time public reporting of swap transaction data.</w:t>
      </w:r>
    </w:p>
    <w:p w:rsidR="00023D3B" w:rsidP="004E6601" w14:paraId="0A2107EB" w14:textId="2B2E2280">
      <w:pPr>
        <w:widowControl w:val="0"/>
        <w:spacing w:after="240"/>
        <w:jc w:val="both"/>
        <w:rPr>
          <w:rFonts w:ascii="Times New Roman" w:hAnsi="Times New Roman"/>
        </w:rPr>
      </w:pPr>
      <w:r>
        <w:rPr>
          <w:rFonts w:ascii="Times New Roman" w:hAnsi="Times New Roman"/>
        </w:rPr>
        <w:t xml:space="preserve">The annualized costs per </w:t>
      </w:r>
      <w:r>
        <w:rPr>
          <w:rFonts w:ascii="Times New Roman" w:hAnsi="Times New Roman"/>
        </w:rPr>
        <w:t xml:space="preserve">affected </w:t>
      </w:r>
      <w:r w:rsidR="001666DD">
        <w:rPr>
          <w:rFonts w:ascii="Times New Roman" w:hAnsi="Times New Roman"/>
        </w:rPr>
        <w:t>respondent</w:t>
      </w:r>
      <w:r w:rsidR="001666DD">
        <w:rPr>
          <w:rFonts w:ascii="Times New Roman" w:hAnsi="Times New Roman"/>
        </w:rPr>
        <w:t xml:space="preserve"> </w:t>
      </w:r>
      <w:r>
        <w:rPr>
          <w:rFonts w:ascii="Times New Roman" w:hAnsi="Times New Roman"/>
        </w:rPr>
        <w:t>and in the aggregate were determined using an average salary of $100.00 per hour.  The Commission believes that this is an appropriate salary estimate for purposes of this regulation.</w:t>
      </w:r>
    </w:p>
    <w:p w:rsidR="005A39AF" w:rsidP="004E6601" w14:paraId="0FF5902D" w14:textId="2CB079A2">
      <w:pPr>
        <w:widowControl w:val="0"/>
        <w:spacing w:after="240"/>
        <w:jc w:val="both"/>
        <w:rPr>
          <w:rFonts w:ascii="Times New Roman" w:hAnsi="Times New Roman"/>
        </w:rPr>
      </w:pPr>
      <w:r w:rsidRPr="00547762">
        <w:rPr>
          <w:rFonts w:ascii="Times New Roman" w:hAnsi="Times New Roman"/>
        </w:rPr>
        <w:t xml:space="preserve">In support of this determination, the Commission notes that the salary estimate </w:t>
      </w:r>
      <w:r>
        <w:rPr>
          <w:rFonts w:ascii="Times New Roman" w:hAnsi="Times New Roman"/>
        </w:rPr>
        <w:t>is</w:t>
      </w:r>
      <w:r w:rsidRPr="00446001">
        <w:rPr>
          <w:rFonts w:ascii="Times New Roman" w:hAnsi="Times New Roman"/>
        </w:rPr>
        <w:t xml:space="preserve"> based upon </w:t>
      </w:r>
      <w:r w:rsidRPr="00153A57">
        <w:rPr>
          <w:rFonts w:ascii="Times New Roman" w:hAnsi="Times New Roman"/>
        </w:rPr>
        <w:t xml:space="preserve">May </w:t>
      </w:r>
      <w:r w:rsidRPr="00153A57" w:rsidR="00153A57">
        <w:rPr>
          <w:rFonts w:ascii="Times New Roman" w:hAnsi="Times New Roman"/>
        </w:rPr>
        <w:t>202</w:t>
      </w:r>
      <w:r w:rsidR="00153A57">
        <w:rPr>
          <w:rFonts w:ascii="Times New Roman" w:hAnsi="Times New Roman"/>
        </w:rPr>
        <w:t>4</w:t>
      </w:r>
      <w:r w:rsidRPr="00153A57" w:rsidR="00153A57">
        <w:rPr>
          <w:rFonts w:ascii="Times New Roman" w:hAnsi="Times New Roman"/>
        </w:rPr>
        <w:t xml:space="preserve"> </w:t>
      </w:r>
      <w:r w:rsidRPr="00153A57">
        <w:rPr>
          <w:rFonts w:ascii="Times New Roman" w:hAnsi="Times New Roman"/>
        </w:rPr>
        <w:t>Bureau of Labor Statistics’ findings</w:t>
      </w:r>
      <w:r>
        <w:rPr>
          <w:rFonts w:ascii="Times New Roman" w:hAnsi="Times New Roman"/>
        </w:rPr>
        <w:t xml:space="preserve"> of National Occupation Employment and Wage Estimates, United States</w:t>
      </w:r>
      <w:r>
        <w:rPr>
          <w:rStyle w:val="FootnoteReference"/>
          <w:rFonts w:ascii="Times New Roman" w:hAnsi="Times New Roman"/>
        </w:rPr>
        <w:footnoteReference w:id="2"/>
      </w:r>
      <w:r w:rsidRPr="00446001">
        <w:rPr>
          <w:rFonts w:ascii="Times New Roman" w:hAnsi="Times New Roman"/>
        </w:rPr>
        <w:t>, including the mean hourly wage of an employee under occupation code 23-1011, “Lawyers,” that is employed by the “Securities and Commodity Contracts Intermediation and Brokerage Industry,” which is $</w:t>
      </w:r>
      <w:r w:rsidR="00153A57">
        <w:rPr>
          <w:rFonts w:ascii="Times New Roman" w:hAnsi="Times New Roman"/>
        </w:rPr>
        <w:t>128.34</w:t>
      </w:r>
      <w:r>
        <w:rPr>
          <w:rFonts w:ascii="Times New Roman" w:hAnsi="Times New Roman"/>
        </w:rPr>
        <w:t xml:space="preserve">; the </w:t>
      </w:r>
      <w:r w:rsidRPr="00446001">
        <w:rPr>
          <w:rFonts w:ascii="Times New Roman" w:hAnsi="Times New Roman"/>
        </w:rPr>
        <w:t>mean hourly wage of an employee under occupation code 11-3031, “Financial Managers,” in the same industry</w:t>
      </w:r>
      <w:r>
        <w:rPr>
          <w:rFonts w:ascii="Times New Roman" w:hAnsi="Times New Roman"/>
        </w:rPr>
        <w:t>, which is $</w:t>
      </w:r>
      <w:r w:rsidR="00153A57">
        <w:rPr>
          <w:rFonts w:ascii="Times New Roman" w:hAnsi="Times New Roman"/>
        </w:rPr>
        <w:t>126.19</w:t>
      </w:r>
      <w:r>
        <w:rPr>
          <w:rFonts w:ascii="Times New Roman" w:hAnsi="Times New Roman"/>
        </w:rPr>
        <w:t>; and the mean hourly wage of an employee under occupation code-13-1041, “Compliance Officers” in the same industry, which is $</w:t>
      </w:r>
      <w:r w:rsidR="00153A57">
        <w:rPr>
          <w:rFonts w:ascii="Times New Roman" w:hAnsi="Times New Roman"/>
        </w:rPr>
        <w:t>49.34</w:t>
      </w:r>
      <w:r>
        <w:rPr>
          <w:rFonts w:ascii="Times New Roman" w:hAnsi="Times New Roman"/>
        </w:rPr>
        <w:t>.</w:t>
      </w:r>
    </w:p>
    <w:p w:rsidR="00425C5A" w:rsidP="00CD6434" w14:paraId="77779108" w14:textId="1B56B79B">
      <w:pPr>
        <w:widowControl w:val="0"/>
        <w:spacing w:after="240"/>
        <w:jc w:val="both"/>
        <w:rPr>
          <w:rFonts w:ascii="Times New Roman" w:hAnsi="Times New Roman"/>
          <w:szCs w:val="20"/>
        </w:rPr>
      </w:pPr>
      <w:r w:rsidRPr="00446001">
        <w:rPr>
          <w:rFonts w:ascii="Times New Roman" w:hAnsi="Times New Roman"/>
        </w:rPr>
        <w:t xml:space="preserve">The Commission also notes that, the Commission took the foregoing data and then increased its hourly wage estimate in recognition of the fact that some </w:t>
      </w:r>
      <w:r w:rsidR="00DA1794">
        <w:rPr>
          <w:rFonts w:ascii="Times New Roman" w:hAnsi="Times New Roman"/>
        </w:rPr>
        <w:t xml:space="preserve">SDs and MSPs </w:t>
      </w:r>
      <w:r w:rsidRPr="00446001">
        <w:rPr>
          <w:rFonts w:ascii="Times New Roman" w:hAnsi="Times New Roman"/>
        </w:rPr>
        <w:t>may be large financial institutions whose employees’ salaries may exceed the mean wage.  The Commission recognize</w:t>
      </w:r>
      <w:r>
        <w:rPr>
          <w:rFonts w:ascii="Times New Roman" w:hAnsi="Times New Roman"/>
        </w:rPr>
        <w:t xml:space="preserve">s that </w:t>
      </w:r>
      <w:r w:rsidRPr="00547762">
        <w:rPr>
          <w:rFonts w:ascii="Times New Roman" w:hAnsi="Times New Roman"/>
        </w:rPr>
        <w:t xml:space="preserve">some </w:t>
      </w:r>
      <w:r w:rsidR="00DA1794">
        <w:rPr>
          <w:rFonts w:ascii="Times New Roman" w:hAnsi="Times New Roman"/>
        </w:rPr>
        <w:t>SDs and MSPs</w:t>
      </w:r>
      <w:r>
        <w:rPr>
          <w:rFonts w:ascii="Times New Roman" w:hAnsi="Times New Roman"/>
        </w:rPr>
        <w:t xml:space="preserve"> </w:t>
      </w:r>
      <w:r w:rsidRPr="00547762">
        <w:rPr>
          <w:rFonts w:ascii="Times New Roman" w:hAnsi="Times New Roman"/>
        </w:rPr>
        <w:t xml:space="preserve">may hire outside counsel with expertise in the various regulatory areas covered by the combined final regulations and </w:t>
      </w:r>
      <w:r>
        <w:rPr>
          <w:rFonts w:ascii="Times New Roman" w:hAnsi="Times New Roman"/>
        </w:rPr>
        <w:t xml:space="preserve">that </w:t>
      </w:r>
      <w:r w:rsidRPr="00547762">
        <w:rPr>
          <w:rFonts w:ascii="Times New Roman" w:hAnsi="Times New Roman"/>
        </w:rPr>
        <w:t xml:space="preserve">outside counsel may be able to leverage its expertise to substantially reduce the number of hours needed to fulfill a requested assignment.  While the Commission is uncertain about the billing rates that </w:t>
      </w:r>
      <w:r>
        <w:rPr>
          <w:rFonts w:ascii="Times New Roman" w:hAnsi="Times New Roman"/>
        </w:rPr>
        <w:t xml:space="preserve">these </w:t>
      </w:r>
      <w:r w:rsidR="001666DD">
        <w:rPr>
          <w:rFonts w:ascii="Times New Roman" w:hAnsi="Times New Roman"/>
        </w:rPr>
        <w:t>respondent</w:t>
      </w:r>
      <w:r>
        <w:rPr>
          <w:rFonts w:ascii="Times New Roman" w:hAnsi="Times New Roman"/>
        </w:rPr>
        <w:t>s</w:t>
      </w:r>
      <w:r w:rsidRPr="00547762">
        <w:rPr>
          <w:rFonts w:ascii="Times New Roman" w:hAnsi="Times New Roman"/>
        </w:rPr>
        <w:t xml:space="preserve"> may pay for outside counsel, the Commission believes that such counsel may </w:t>
      </w:r>
      <w:r w:rsidRPr="00547762">
        <w:rPr>
          <w:rFonts w:ascii="Times New Roman" w:hAnsi="Times New Roman"/>
        </w:rPr>
        <w:t>bill</w:t>
      </w:r>
      <w:r w:rsidRPr="00547762">
        <w:rPr>
          <w:rFonts w:ascii="Times New Roman" w:hAnsi="Times New Roman"/>
        </w:rPr>
        <w:t xml:space="preserve"> at a rate of several hundred dollars per hour.  Any determination to use outside counsel, however, is at the discretion of the </w:t>
      </w:r>
      <w:r w:rsidR="00DA1794">
        <w:rPr>
          <w:rFonts w:ascii="Times New Roman" w:hAnsi="Times New Roman"/>
        </w:rPr>
        <w:t>SD or MSP</w:t>
      </w:r>
      <w:r w:rsidRPr="00547762">
        <w:rPr>
          <w:rFonts w:ascii="Times New Roman" w:hAnsi="Times New Roman"/>
        </w:rPr>
        <w:t>.</w:t>
      </w:r>
    </w:p>
    <w:p w:rsidR="00F77388" w:rsidP="00CD6434" w14:paraId="29959E8C" w14:textId="32F68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Cs w:val="20"/>
        </w:rPr>
      </w:pPr>
      <w:r w:rsidRPr="00CF5C85">
        <w:rPr>
          <w:rFonts w:ascii="Times New Roman" w:hAnsi="Times New Roman"/>
          <w:szCs w:val="20"/>
        </w:rPr>
        <w:t>T</w:t>
      </w:r>
      <w:r w:rsidRPr="00CF5C85">
        <w:rPr>
          <w:rFonts w:ascii="Times New Roman" w:hAnsi="Times New Roman"/>
        </w:rPr>
        <w:t>he estimated burden for the following activities is:</w:t>
      </w:r>
    </w:p>
    <w:p w:rsidR="00F77388" w:rsidP="00984582" w14:paraId="6BF01E26" w14:textId="6BB1DB44">
      <w:pPr>
        <w:ind w:left="720"/>
        <w:rPr>
          <w:rFonts w:ascii="Times New Roman" w:hAnsi="Times New Roman"/>
        </w:rPr>
      </w:pPr>
      <w:r>
        <w:rPr>
          <w:rFonts w:ascii="Times New Roman" w:hAnsi="Times New Roman"/>
          <w:u w:val="single"/>
        </w:rPr>
        <w:t>Recordkeeping</w:t>
      </w:r>
      <w:r>
        <w:rPr>
          <w:rFonts w:ascii="Times New Roman" w:hAnsi="Times New Roman"/>
          <w:u w:val="single"/>
        </w:rPr>
        <w:t>:  Transaction</w:t>
      </w:r>
      <w:r>
        <w:rPr>
          <w:rFonts w:ascii="Times New Roman" w:hAnsi="Times New Roman"/>
          <w:u w:val="single"/>
        </w:rPr>
        <w:t xml:space="preserve"> Records (including Daily Trading Records</w:t>
      </w:r>
      <w:r>
        <w:rPr>
          <w:rFonts w:ascii="Times New Roman" w:hAnsi="Times New Roman"/>
        </w:rPr>
        <w:t>).</w:t>
      </w:r>
    </w:p>
    <w:p w:rsidR="00F77388" w:rsidP="00984582" w14:paraId="75C187F8" w14:textId="695B1743">
      <w:pPr>
        <w:ind w:left="720"/>
        <w:rPr>
          <w:rFonts w:ascii="Times New Roman" w:hAnsi="Times New Roman"/>
        </w:rPr>
      </w:pPr>
      <w:r>
        <w:rPr>
          <w:rFonts w:ascii="Times New Roman" w:hAnsi="Times New Roman"/>
        </w:rPr>
        <w:t>Number of registrants</w:t>
      </w:r>
      <w:r>
        <w:rPr>
          <w:rFonts w:ascii="Times New Roman" w:hAnsi="Times New Roman"/>
        </w:rPr>
        <w:t xml:space="preserve">:  </w:t>
      </w:r>
      <w:r w:rsidR="006470FA">
        <w:rPr>
          <w:rFonts w:ascii="Times New Roman" w:hAnsi="Times New Roman"/>
        </w:rPr>
        <w:t>107</w:t>
      </w:r>
    </w:p>
    <w:p w:rsidR="00F77388" w:rsidP="00984582" w14:paraId="1C8A3227" w14:textId="269FEE1D">
      <w:pPr>
        <w:ind w:left="720"/>
        <w:rPr>
          <w:rFonts w:ascii="Times New Roman" w:hAnsi="Times New Roman"/>
        </w:rPr>
      </w:pPr>
      <w:r>
        <w:rPr>
          <w:rFonts w:ascii="Times New Roman" w:hAnsi="Times New Roman"/>
        </w:rPr>
        <w:t>Frequency of collection</w:t>
      </w:r>
      <w:r>
        <w:rPr>
          <w:rFonts w:ascii="Times New Roman" w:hAnsi="Times New Roman"/>
        </w:rPr>
        <w:t xml:space="preserve">: </w:t>
      </w:r>
      <w:r w:rsidR="00E31991">
        <w:rPr>
          <w:rFonts w:ascii="Times New Roman" w:hAnsi="Times New Roman"/>
        </w:rPr>
        <w:t xml:space="preserve"> D</w:t>
      </w:r>
      <w:r>
        <w:rPr>
          <w:rFonts w:ascii="Times New Roman" w:hAnsi="Times New Roman"/>
        </w:rPr>
        <w:t>aily</w:t>
      </w:r>
    </w:p>
    <w:p w:rsidR="00F77388" w:rsidP="00984582" w14:paraId="7CB2BBC9" w14:textId="77777777">
      <w:pPr>
        <w:ind w:left="720"/>
        <w:rPr>
          <w:rFonts w:ascii="Times New Roman" w:hAnsi="Times New Roman"/>
        </w:rPr>
      </w:pPr>
      <w:r>
        <w:rPr>
          <w:rFonts w:ascii="Times New Roman" w:hAnsi="Times New Roman"/>
        </w:rPr>
        <w:t>Estimated number of responses per registrant</w:t>
      </w:r>
      <w:r>
        <w:rPr>
          <w:rFonts w:ascii="Times New Roman" w:hAnsi="Times New Roman"/>
        </w:rPr>
        <w:t>:  252</w:t>
      </w:r>
      <w:r>
        <w:rPr>
          <w:rFonts w:ascii="Times New Roman" w:hAnsi="Times New Roman"/>
        </w:rPr>
        <w:t xml:space="preserve"> [252 trading days]</w:t>
      </w:r>
    </w:p>
    <w:p w:rsidR="00F77388" w:rsidP="00984582" w14:paraId="6FDB0202" w14:textId="648D9431">
      <w:pPr>
        <w:ind w:left="720"/>
        <w:rPr>
          <w:rFonts w:ascii="Times New Roman" w:hAnsi="Times New Roman"/>
        </w:rPr>
      </w:pPr>
      <w:r>
        <w:rPr>
          <w:rFonts w:ascii="Times New Roman" w:hAnsi="Times New Roman"/>
        </w:rPr>
        <w:t>Estimated aggregate number of responses</w:t>
      </w:r>
      <w:r>
        <w:rPr>
          <w:rFonts w:ascii="Times New Roman" w:hAnsi="Times New Roman"/>
        </w:rPr>
        <w:t xml:space="preserve">:  </w:t>
      </w:r>
      <w:r w:rsidR="009714F9">
        <w:rPr>
          <w:rFonts w:ascii="Times New Roman" w:hAnsi="Times New Roman"/>
        </w:rPr>
        <w:t>26,</w:t>
      </w:r>
      <w:r w:rsidR="006470FA">
        <w:rPr>
          <w:rFonts w:ascii="Times New Roman" w:hAnsi="Times New Roman"/>
        </w:rPr>
        <w:t>964</w:t>
      </w:r>
      <w:r w:rsidR="006470FA">
        <w:rPr>
          <w:rFonts w:ascii="Times New Roman" w:hAnsi="Times New Roman"/>
        </w:rPr>
        <w:t xml:space="preserve"> </w:t>
      </w:r>
      <w:r>
        <w:rPr>
          <w:rFonts w:ascii="Times New Roman" w:hAnsi="Times New Roman"/>
        </w:rPr>
        <w:t>[</w:t>
      </w:r>
      <w:r w:rsidR="006470FA">
        <w:rPr>
          <w:rFonts w:ascii="Times New Roman" w:hAnsi="Times New Roman"/>
        </w:rPr>
        <w:t xml:space="preserve">107 </w:t>
      </w:r>
      <w:r>
        <w:rPr>
          <w:rFonts w:ascii="Times New Roman" w:hAnsi="Times New Roman"/>
        </w:rPr>
        <w:t xml:space="preserve">registrants </w:t>
      </w:r>
      <w:r w:rsidR="00E31991">
        <w:rPr>
          <w:rFonts w:ascii="Times New Roman" w:hAnsi="Times New Roman"/>
        </w:rPr>
        <w:t>×</w:t>
      </w:r>
      <w:r>
        <w:rPr>
          <w:rFonts w:ascii="Times New Roman" w:hAnsi="Times New Roman"/>
        </w:rPr>
        <w:t xml:space="preserve"> 252 trading days]</w:t>
      </w:r>
    </w:p>
    <w:p w:rsidR="00F77388" w:rsidP="00984582" w14:paraId="3FE8E776" w14:textId="309130AB">
      <w:pPr>
        <w:ind w:left="720"/>
        <w:rPr>
          <w:rFonts w:ascii="Times New Roman" w:hAnsi="Times New Roman"/>
        </w:rPr>
      </w:pPr>
      <w:r>
        <w:rPr>
          <w:rFonts w:ascii="Times New Roman" w:hAnsi="Times New Roman"/>
        </w:rPr>
        <w:t>Estimated annual burden per registrant</w:t>
      </w:r>
      <w:r>
        <w:rPr>
          <w:rFonts w:ascii="Times New Roman" w:hAnsi="Times New Roman"/>
        </w:rPr>
        <w:t>:  2,016</w:t>
      </w:r>
      <w:r>
        <w:rPr>
          <w:rFonts w:ascii="Times New Roman" w:hAnsi="Times New Roman"/>
        </w:rPr>
        <w:t xml:space="preserve"> hours [252 trading days </w:t>
      </w:r>
      <w:r w:rsidR="00E31991">
        <w:rPr>
          <w:rFonts w:ascii="Times New Roman" w:hAnsi="Times New Roman"/>
        </w:rPr>
        <w:t>×</w:t>
      </w:r>
      <w:r>
        <w:rPr>
          <w:rFonts w:ascii="Times New Roman" w:hAnsi="Times New Roman"/>
        </w:rPr>
        <w:t xml:space="preserve"> 8 hours per trading day]</w:t>
      </w:r>
    </w:p>
    <w:p w:rsidR="00F77388" w:rsidP="00704D1A" w14:paraId="73F7D988" w14:textId="40B3767E">
      <w:pPr>
        <w:spacing w:after="240"/>
        <w:ind w:left="720"/>
        <w:rPr>
          <w:rFonts w:ascii="Times New Roman" w:hAnsi="Times New Roman"/>
          <w:u w:val="single"/>
        </w:rPr>
      </w:pPr>
      <w:r>
        <w:rPr>
          <w:rFonts w:ascii="Times New Roman" w:hAnsi="Times New Roman"/>
        </w:rPr>
        <w:t xml:space="preserve">Estimated aggregate annual hour burden: </w:t>
      </w:r>
      <w:r w:rsidR="006470FA">
        <w:rPr>
          <w:rFonts w:ascii="Times New Roman" w:hAnsi="Times New Roman"/>
        </w:rPr>
        <w:t>215,712</w:t>
      </w:r>
      <w:r w:rsidR="00FF4ABB">
        <w:rPr>
          <w:rFonts w:ascii="Times New Roman" w:hAnsi="Times New Roman"/>
        </w:rPr>
        <w:t xml:space="preserve"> hours</w:t>
      </w:r>
      <w:r>
        <w:rPr>
          <w:rFonts w:ascii="Times New Roman" w:hAnsi="Times New Roman"/>
        </w:rPr>
        <w:t xml:space="preserve"> [</w:t>
      </w:r>
      <w:r w:rsidR="006470FA">
        <w:rPr>
          <w:rFonts w:ascii="Times New Roman" w:hAnsi="Times New Roman"/>
        </w:rPr>
        <w:t xml:space="preserve">107 </w:t>
      </w:r>
      <w:r>
        <w:rPr>
          <w:rFonts w:ascii="Times New Roman" w:hAnsi="Times New Roman"/>
        </w:rPr>
        <w:t xml:space="preserve">registrants </w:t>
      </w:r>
      <w:r w:rsidR="00E31991">
        <w:rPr>
          <w:rFonts w:ascii="Times New Roman" w:hAnsi="Times New Roman"/>
        </w:rPr>
        <w:t>×</w:t>
      </w:r>
      <w:r>
        <w:rPr>
          <w:rFonts w:ascii="Times New Roman" w:hAnsi="Times New Roman"/>
        </w:rPr>
        <w:t xml:space="preserve"> 252 trading days </w:t>
      </w:r>
      <w:r w:rsidR="00E31991">
        <w:rPr>
          <w:rFonts w:ascii="Times New Roman" w:hAnsi="Times New Roman"/>
        </w:rPr>
        <w:t>×</w:t>
      </w:r>
      <w:r>
        <w:rPr>
          <w:rFonts w:ascii="Times New Roman" w:hAnsi="Times New Roman"/>
        </w:rPr>
        <w:t xml:space="preserve"> 8 hours per trading day]</w:t>
      </w:r>
    </w:p>
    <w:p w:rsidR="00F77388" w:rsidP="00984582" w14:paraId="066122FB" w14:textId="77777777">
      <w:pPr>
        <w:ind w:left="720"/>
        <w:rPr>
          <w:rFonts w:ascii="Times New Roman" w:hAnsi="Times New Roman"/>
        </w:rPr>
      </w:pPr>
      <w:r>
        <w:rPr>
          <w:rFonts w:ascii="Times New Roman" w:hAnsi="Times New Roman"/>
          <w:u w:val="single"/>
        </w:rPr>
        <w:t>Recordkeeping</w:t>
      </w:r>
      <w:r>
        <w:rPr>
          <w:rFonts w:ascii="Times New Roman" w:hAnsi="Times New Roman"/>
          <w:u w:val="single"/>
        </w:rPr>
        <w:t>:  Position</w:t>
      </w:r>
      <w:r>
        <w:rPr>
          <w:rFonts w:ascii="Times New Roman" w:hAnsi="Times New Roman"/>
          <w:u w:val="single"/>
        </w:rPr>
        <w:t xml:space="preserve"> Records</w:t>
      </w:r>
      <w:r>
        <w:rPr>
          <w:rFonts w:ascii="Times New Roman" w:hAnsi="Times New Roman"/>
        </w:rPr>
        <w:t>.</w:t>
      </w:r>
    </w:p>
    <w:p w:rsidR="00F77388" w:rsidP="00984582" w14:paraId="5787B24D" w14:textId="50AFCE0A">
      <w:pPr>
        <w:ind w:left="720"/>
        <w:rPr>
          <w:rFonts w:ascii="Times New Roman" w:hAnsi="Times New Roman"/>
        </w:rPr>
      </w:pPr>
      <w:r>
        <w:rPr>
          <w:rFonts w:ascii="Times New Roman" w:hAnsi="Times New Roman"/>
        </w:rPr>
        <w:t>Number of registrants</w:t>
      </w:r>
      <w:r>
        <w:rPr>
          <w:rFonts w:ascii="Times New Roman" w:hAnsi="Times New Roman"/>
        </w:rPr>
        <w:t xml:space="preserve">:  </w:t>
      </w:r>
      <w:r w:rsidR="006470FA">
        <w:rPr>
          <w:rFonts w:ascii="Times New Roman" w:hAnsi="Times New Roman"/>
        </w:rPr>
        <w:t>107</w:t>
      </w:r>
    </w:p>
    <w:p w:rsidR="00F77388" w:rsidP="00984582" w14:paraId="0BD019E1" w14:textId="5DAA0ECC">
      <w:pPr>
        <w:ind w:left="720"/>
        <w:rPr>
          <w:rFonts w:ascii="Times New Roman" w:hAnsi="Times New Roman"/>
        </w:rPr>
      </w:pPr>
      <w:r>
        <w:rPr>
          <w:rFonts w:ascii="Times New Roman" w:hAnsi="Times New Roman"/>
        </w:rPr>
        <w:t>Frequency of collection</w:t>
      </w:r>
      <w:r>
        <w:rPr>
          <w:rFonts w:ascii="Times New Roman" w:hAnsi="Times New Roman"/>
        </w:rPr>
        <w:t xml:space="preserve">:  </w:t>
      </w:r>
      <w:r w:rsidR="00E31991">
        <w:rPr>
          <w:rFonts w:ascii="Times New Roman" w:hAnsi="Times New Roman"/>
        </w:rPr>
        <w:t>D</w:t>
      </w:r>
      <w:r>
        <w:rPr>
          <w:rFonts w:ascii="Times New Roman" w:hAnsi="Times New Roman"/>
        </w:rPr>
        <w:t>aily</w:t>
      </w:r>
      <w:r>
        <w:rPr>
          <w:rFonts w:ascii="Times New Roman" w:hAnsi="Times New Roman"/>
        </w:rPr>
        <w:t xml:space="preserve">  </w:t>
      </w:r>
    </w:p>
    <w:p w:rsidR="00F77388" w:rsidP="00984582" w14:paraId="497D816A" w14:textId="464499D6">
      <w:pPr>
        <w:ind w:left="720"/>
        <w:rPr>
          <w:rFonts w:ascii="Times New Roman" w:hAnsi="Times New Roman"/>
        </w:rPr>
      </w:pPr>
      <w:r>
        <w:rPr>
          <w:rFonts w:ascii="Times New Roman" w:hAnsi="Times New Roman"/>
        </w:rPr>
        <w:t>Estimated number of responses per registrant</w:t>
      </w:r>
      <w:r>
        <w:rPr>
          <w:rFonts w:ascii="Times New Roman" w:hAnsi="Times New Roman"/>
        </w:rPr>
        <w:t>:  252</w:t>
      </w:r>
      <w:r>
        <w:rPr>
          <w:rFonts w:ascii="Times New Roman" w:hAnsi="Times New Roman"/>
        </w:rPr>
        <w:t xml:space="preserve"> [252 trading days]  </w:t>
      </w:r>
    </w:p>
    <w:p w:rsidR="00F77388" w:rsidP="00984582" w14:paraId="6EDA8D95" w14:textId="701E82CB">
      <w:pPr>
        <w:ind w:left="720"/>
        <w:rPr>
          <w:rFonts w:ascii="Times New Roman" w:hAnsi="Times New Roman"/>
        </w:rPr>
      </w:pPr>
      <w:r>
        <w:rPr>
          <w:rFonts w:ascii="Times New Roman" w:hAnsi="Times New Roman"/>
        </w:rPr>
        <w:t>Estimated aggregate number of responses</w:t>
      </w:r>
      <w:r>
        <w:rPr>
          <w:rFonts w:ascii="Times New Roman" w:hAnsi="Times New Roman"/>
        </w:rPr>
        <w:t xml:space="preserve">:  </w:t>
      </w:r>
      <w:r w:rsidR="009714F9">
        <w:rPr>
          <w:rFonts w:ascii="Times New Roman" w:hAnsi="Times New Roman"/>
        </w:rPr>
        <w:t>26,</w:t>
      </w:r>
      <w:r w:rsidR="006470FA">
        <w:rPr>
          <w:rFonts w:ascii="Times New Roman" w:hAnsi="Times New Roman"/>
        </w:rPr>
        <w:t>964</w:t>
      </w:r>
      <w:r w:rsidR="001C181F">
        <w:rPr>
          <w:rFonts w:ascii="Times New Roman" w:hAnsi="Times New Roman"/>
        </w:rPr>
        <w:t xml:space="preserve"> </w:t>
      </w:r>
      <w:r>
        <w:rPr>
          <w:rFonts w:ascii="Times New Roman" w:hAnsi="Times New Roman"/>
        </w:rPr>
        <w:t>[</w:t>
      </w:r>
      <w:r w:rsidR="006470FA">
        <w:rPr>
          <w:rFonts w:ascii="Times New Roman" w:hAnsi="Times New Roman"/>
        </w:rPr>
        <w:t xml:space="preserve">107 </w:t>
      </w:r>
      <w:r>
        <w:rPr>
          <w:rFonts w:ascii="Times New Roman" w:hAnsi="Times New Roman"/>
        </w:rPr>
        <w:t xml:space="preserve">registrants </w:t>
      </w:r>
      <w:r w:rsidR="00E31991">
        <w:rPr>
          <w:rFonts w:ascii="Times New Roman" w:hAnsi="Times New Roman"/>
        </w:rPr>
        <w:t>×</w:t>
      </w:r>
      <w:r>
        <w:rPr>
          <w:rFonts w:ascii="Times New Roman" w:hAnsi="Times New Roman"/>
        </w:rPr>
        <w:t xml:space="preserve"> 252 trading days]</w:t>
      </w:r>
    </w:p>
    <w:p w:rsidR="00F77388" w:rsidP="00984582" w14:paraId="5176714F" w14:textId="577DA81C">
      <w:pPr>
        <w:ind w:left="720"/>
        <w:rPr>
          <w:rFonts w:ascii="Times New Roman" w:hAnsi="Times New Roman"/>
        </w:rPr>
      </w:pPr>
      <w:r>
        <w:rPr>
          <w:rFonts w:ascii="Times New Roman" w:hAnsi="Times New Roman"/>
        </w:rPr>
        <w:t>Estimated annual burden per registrant</w:t>
      </w:r>
      <w:r>
        <w:rPr>
          <w:rFonts w:ascii="Times New Roman" w:hAnsi="Times New Roman"/>
        </w:rPr>
        <w:t>:  63</w:t>
      </w:r>
      <w:r>
        <w:rPr>
          <w:rFonts w:ascii="Times New Roman" w:hAnsi="Times New Roman"/>
        </w:rPr>
        <w:t xml:space="preserve"> hours [252 trading </w:t>
      </w:r>
      <w:r>
        <w:rPr>
          <w:rFonts w:ascii="Times New Roman" w:hAnsi="Times New Roman"/>
        </w:rPr>
        <w:t xml:space="preserve">days </w:t>
      </w:r>
      <w:r w:rsidR="00E31991">
        <w:rPr>
          <w:rFonts w:ascii="Times New Roman" w:hAnsi="Times New Roman"/>
        </w:rPr>
        <w:t>×</w:t>
      </w:r>
      <w:r>
        <w:rPr>
          <w:rFonts w:ascii="Times New Roman" w:hAnsi="Times New Roman"/>
        </w:rPr>
        <w:t xml:space="preserve"> .25 hours per record</w:t>
      </w:r>
      <w:r>
        <w:rPr>
          <w:rFonts w:ascii="Times New Roman" w:hAnsi="Times New Roman"/>
        </w:rPr>
        <w:t>]</w:t>
      </w:r>
    </w:p>
    <w:p w:rsidR="00F77388" w:rsidP="00704D1A" w14:paraId="52D07260" w14:textId="7DC3D7DF">
      <w:pPr>
        <w:spacing w:after="240"/>
        <w:ind w:left="720"/>
        <w:rPr>
          <w:rFonts w:ascii="Times New Roman" w:hAnsi="Times New Roman"/>
          <w:u w:val="single"/>
        </w:rPr>
      </w:pPr>
      <w:r>
        <w:rPr>
          <w:rFonts w:ascii="Times New Roman" w:hAnsi="Times New Roman"/>
        </w:rPr>
        <w:t xml:space="preserve">Estimated aggregate annual hour burden: </w:t>
      </w:r>
      <w:r w:rsidR="006A282C">
        <w:rPr>
          <w:rFonts w:ascii="Times New Roman" w:hAnsi="Times New Roman"/>
        </w:rPr>
        <w:t>6,</w:t>
      </w:r>
      <w:r w:rsidR="006470FA">
        <w:rPr>
          <w:rFonts w:ascii="Times New Roman" w:hAnsi="Times New Roman"/>
        </w:rPr>
        <w:t xml:space="preserve">741 </w:t>
      </w:r>
      <w:r>
        <w:rPr>
          <w:rFonts w:ascii="Times New Roman" w:hAnsi="Times New Roman"/>
        </w:rPr>
        <w:t>hours [</w:t>
      </w:r>
      <w:r w:rsidR="006470FA">
        <w:rPr>
          <w:rFonts w:ascii="Times New Roman" w:hAnsi="Times New Roman"/>
        </w:rPr>
        <w:t xml:space="preserve">107 </w:t>
      </w:r>
      <w:r>
        <w:rPr>
          <w:rFonts w:ascii="Times New Roman" w:hAnsi="Times New Roman"/>
        </w:rPr>
        <w:t xml:space="preserve">registrants </w:t>
      </w:r>
      <w:r w:rsidR="00E31991">
        <w:rPr>
          <w:rFonts w:ascii="Times New Roman" w:hAnsi="Times New Roman"/>
        </w:rPr>
        <w:t>×</w:t>
      </w:r>
      <w:r>
        <w:rPr>
          <w:rFonts w:ascii="Times New Roman" w:hAnsi="Times New Roman"/>
        </w:rPr>
        <w:t xml:space="preserve"> 252 trading days </w:t>
      </w:r>
      <w:r w:rsidR="00E31991">
        <w:rPr>
          <w:rFonts w:ascii="Times New Roman" w:hAnsi="Times New Roman"/>
        </w:rPr>
        <w:t>×</w:t>
      </w:r>
      <w:r>
        <w:rPr>
          <w:rFonts w:ascii="Times New Roman" w:hAnsi="Times New Roman"/>
        </w:rPr>
        <w:t xml:space="preserve"> .25 hours per record]</w:t>
      </w:r>
    </w:p>
    <w:p w:rsidR="00F77388" w:rsidP="00984582" w14:paraId="21C0A452" w14:textId="4761DB24">
      <w:pPr>
        <w:ind w:left="720"/>
        <w:rPr>
          <w:rFonts w:ascii="Times New Roman" w:hAnsi="Times New Roman"/>
          <w:u w:val="single"/>
        </w:rPr>
      </w:pPr>
      <w:r>
        <w:rPr>
          <w:rFonts w:ascii="Times New Roman" w:hAnsi="Times New Roman"/>
          <w:u w:val="single"/>
        </w:rPr>
        <w:t>Recordkeeping: Complaints</w:t>
      </w:r>
      <w:r>
        <w:rPr>
          <w:rFonts w:ascii="Times New Roman" w:hAnsi="Times New Roman"/>
        </w:rPr>
        <w:t>.</w:t>
      </w:r>
    </w:p>
    <w:p w:rsidR="00C34E6F" w:rsidP="00984582" w14:paraId="766C904A" w14:textId="5FD7B7EE">
      <w:pPr>
        <w:ind w:left="720"/>
        <w:rPr>
          <w:rFonts w:ascii="Times New Roman" w:hAnsi="Times New Roman"/>
        </w:rPr>
      </w:pPr>
      <w:r>
        <w:rPr>
          <w:rFonts w:ascii="Times New Roman" w:hAnsi="Times New Roman"/>
        </w:rPr>
        <w:t>Number of registrants</w:t>
      </w:r>
      <w:r>
        <w:rPr>
          <w:rFonts w:ascii="Times New Roman" w:hAnsi="Times New Roman"/>
        </w:rPr>
        <w:t xml:space="preserve">:  </w:t>
      </w:r>
      <w:r w:rsidR="006470FA">
        <w:rPr>
          <w:rFonts w:ascii="Times New Roman" w:hAnsi="Times New Roman"/>
        </w:rPr>
        <w:t>107</w:t>
      </w:r>
    </w:p>
    <w:p w:rsidR="00F77388" w:rsidP="00984582" w14:paraId="3DE8510F" w14:textId="1EF2D625">
      <w:pPr>
        <w:ind w:left="720"/>
        <w:rPr>
          <w:rFonts w:ascii="Times New Roman" w:hAnsi="Times New Roman"/>
        </w:rPr>
      </w:pPr>
      <w:r>
        <w:rPr>
          <w:rFonts w:ascii="Times New Roman" w:hAnsi="Times New Roman"/>
        </w:rPr>
        <w:t>Frequency of collection</w:t>
      </w:r>
      <w:r>
        <w:rPr>
          <w:rFonts w:ascii="Times New Roman" w:hAnsi="Times New Roman"/>
        </w:rPr>
        <w:t xml:space="preserve">:  </w:t>
      </w:r>
      <w:r w:rsidR="00E31991">
        <w:rPr>
          <w:rFonts w:ascii="Times New Roman" w:hAnsi="Times New Roman"/>
        </w:rPr>
        <w:t>As</w:t>
      </w:r>
      <w:r w:rsidR="00E31991">
        <w:rPr>
          <w:rFonts w:ascii="Times New Roman" w:hAnsi="Times New Roman"/>
        </w:rPr>
        <w:t xml:space="preserve"> </w:t>
      </w:r>
      <w:r>
        <w:rPr>
          <w:rFonts w:ascii="Times New Roman" w:hAnsi="Times New Roman"/>
        </w:rPr>
        <w:t>needed</w:t>
      </w:r>
    </w:p>
    <w:p w:rsidR="00F77388" w:rsidP="00984582" w14:paraId="147A6EC4" w14:textId="4A8E55FB">
      <w:pPr>
        <w:ind w:left="720"/>
        <w:rPr>
          <w:rFonts w:ascii="Times New Roman" w:hAnsi="Times New Roman"/>
        </w:rPr>
      </w:pPr>
      <w:r>
        <w:rPr>
          <w:rFonts w:ascii="Times New Roman" w:hAnsi="Times New Roman"/>
        </w:rPr>
        <w:t>Estimated number of responses per registrant</w:t>
      </w:r>
      <w:r>
        <w:rPr>
          <w:rFonts w:ascii="Times New Roman" w:hAnsi="Times New Roman"/>
        </w:rPr>
        <w:t xml:space="preserve">: </w:t>
      </w:r>
      <w:r w:rsidR="00E31991">
        <w:rPr>
          <w:rFonts w:ascii="Times New Roman" w:hAnsi="Times New Roman"/>
        </w:rPr>
        <w:t xml:space="preserve"> </w:t>
      </w:r>
      <w:r>
        <w:rPr>
          <w:rFonts w:ascii="Times New Roman" w:hAnsi="Times New Roman"/>
        </w:rPr>
        <w:t>5</w:t>
      </w:r>
    </w:p>
    <w:p w:rsidR="00F77388" w:rsidP="00984582" w14:paraId="37F7FF2A" w14:textId="380564C1">
      <w:pPr>
        <w:ind w:left="720"/>
        <w:rPr>
          <w:rFonts w:ascii="Times New Roman" w:hAnsi="Times New Roman"/>
        </w:rPr>
      </w:pPr>
      <w:r>
        <w:rPr>
          <w:rFonts w:ascii="Times New Roman" w:hAnsi="Times New Roman"/>
        </w:rPr>
        <w:t>Estimated aggregate number of responses</w:t>
      </w:r>
      <w:r>
        <w:rPr>
          <w:rFonts w:ascii="Times New Roman" w:hAnsi="Times New Roman"/>
        </w:rPr>
        <w:t xml:space="preserve">:  </w:t>
      </w:r>
      <w:r w:rsidR="006470FA">
        <w:rPr>
          <w:rFonts w:ascii="Times New Roman" w:hAnsi="Times New Roman"/>
        </w:rPr>
        <w:t>535</w:t>
      </w:r>
      <w:r w:rsidR="006470FA">
        <w:rPr>
          <w:rFonts w:ascii="Times New Roman" w:hAnsi="Times New Roman"/>
        </w:rPr>
        <w:t xml:space="preserve"> </w:t>
      </w:r>
      <w:r>
        <w:rPr>
          <w:rFonts w:ascii="Times New Roman" w:hAnsi="Times New Roman"/>
        </w:rPr>
        <w:t>[</w:t>
      </w:r>
      <w:r w:rsidR="006470FA">
        <w:rPr>
          <w:rFonts w:ascii="Times New Roman" w:hAnsi="Times New Roman"/>
        </w:rPr>
        <w:t xml:space="preserve">107 </w:t>
      </w:r>
      <w:r>
        <w:rPr>
          <w:rFonts w:ascii="Times New Roman" w:hAnsi="Times New Roman"/>
        </w:rPr>
        <w:t xml:space="preserve">registrants </w:t>
      </w:r>
      <w:r w:rsidR="00E31991">
        <w:rPr>
          <w:rFonts w:ascii="Times New Roman" w:hAnsi="Times New Roman"/>
        </w:rPr>
        <w:t>×</w:t>
      </w:r>
      <w:r>
        <w:rPr>
          <w:rFonts w:ascii="Times New Roman" w:hAnsi="Times New Roman"/>
        </w:rPr>
        <w:t xml:space="preserve"> 5 complaints per registrant]</w:t>
      </w:r>
    </w:p>
    <w:p w:rsidR="00F77388" w:rsidP="00984582" w14:paraId="4004BD4F" w14:textId="0B408C9E">
      <w:pPr>
        <w:ind w:left="720"/>
        <w:rPr>
          <w:rFonts w:ascii="Times New Roman" w:hAnsi="Times New Roman"/>
        </w:rPr>
      </w:pPr>
      <w:r>
        <w:rPr>
          <w:rFonts w:ascii="Times New Roman" w:hAnsi="Times New Roman"/>
        </w:rPr>
        <w:t>Estimated annual burden per registrant</w:t>
      </w:r>
      <w:r>
        <w:rPr>
          <w:rFonts w:ascii="Times New Roman" w:hAnsi="Times New Roman"/>
        </w:rPr>
        <w:t>:  5</w:t>
      </w:r>
      <w:r w:rsidR="0054156D">
        <w:rPr>
          <w:rFonts w:ascii="Times New Roman" w:hAnsi="Times New Roman"/>
        </w:rPr>
        <w:t xml:space="preserve"> hours [1 hour </w:t>
      </w:r>
      <w:r w:rsidR="00E31991">
        <w:rPr>
          <w:rFonts w:ascii="Times New Roman" w:hAnsi="Times New Roman"/>
        </w:rPr>
        <w:t>×</w:t>
      </w:r>
      <w:r w:rsidR="0054156D">
        <w:rPr>
          <w:rFonts w:ascii="Times New Roman" w:hAnsi="Times New Roman"/>
        </w:rPr>
        <w:t xml:space="preserve"> 5 complaints per registrant]</w:t>
      </w:r>
      <w:r>
        <w:rPr>
          <w:rFonts w:ascii="Times New Roman" w:hAnsi="Times New Roman"/>
        </w:rPr>
        <w:t xml:space="preserve">   </w:t>
      </w:r>
    </w:p>
    <w:p w:rsidR="00F77388" w:rsidP="00704D1A" w14:paraId="615B8D3F" w14:textId="7555A423">
      <w:pPr>
        <w:spacing w:after="240"/>
        <w:ind w:left="720"/>
        <w:rPr>
          <w:rFonts w:ascii="Times New Roman" w:hAnsi="Times New Roman"/>
          <w:u w:val="single"/>
        </w:rPr>
      </w:pPr>
      <w:r>
        <w:rPr>
          <w:rFonts w:ascii="Times New Roman" w:hAnsi="Times New Roman"/>
        </w:rPr>
        <w:t>Estimated aggregate annual hour burden</w:t>
      </w:r>
      <w:r>
        <w:rPr>
          <w:rFonts w:ascii="Times New Roman" w:hAnsi="Times New Roman"/>
        </w:rPr>
        <w:t xml:space="preserve">:  </w:t>
      </w:r>
      <w:r w:rsidR="006470FA">
        <w:rPr>
          <w:rFonts w:ascii="Times New Roman" w:hAnsi="Times New Roman"/>
        </w:rPr>
        <w:t>535</w:t>
      </w:r>
      <w:r w:rsidR="006470FA">
        <w:rPr>
          <w:rFonts w:ascii="Times New Roman" w:hAnsi="Times New Roman"/>
        </w:rPr>
        <w:t xml:space="preserve"> </w:t>
      </w:r>
      <w:r w:rsidR="00760E47">
        <w:rPr>
          <w:rFonts w:ascii="Times New Roman" w:hAnsi="Times New Roman"/>
        </w:rPr>
        <w:t>hours</w:t>
      </w:r>
      <w:r w:rsidR="001C181F">
        <w:rPr>
          <w:rFonts w:ascii="Times New Roman" w:hAnsi="Times New Roman"/>
        </w:rPr>
        <w:t xml:space="preserve"> </w:t>
      </w:r>
      <w:r>
        <w:rPr>
          <w:rFonts w:ascii="Times New Roman" w:hAnsi="Times New Roman"/>
        </w:rPr>
        <w:t>[</w:t>
      </w:r>
      <w:r w:rsidR="00206FA8">
        <w:rPr>
          <w:rFonts w:ascii="Times New Roman" w:hAnsi="Times New Roman"/>
        </w:rPr>
        <w:t>10</w:t>
      </w:r>
      <w:r w:rsidR="001B52C2">
        <w:rPr>
          <w:rFonts w:ascii="Times New Roman" w:hAnsi="Times New Roman"/>
        </w:rPr>
        <w:t>7</w:t>
      </w:r>
      <w:r w:rsidR="00206FA8">
        <w:rPr>
          <w:rFonts w:ascii="Times New Roman" w:hAnsi="Times New Roman"/>
        </w:rPr>
        <w:t xml:space="preserve"> </w:t>
      </w:r>
      <w:r>
        <w:rPr>
          <w:rFonts w:ascii="Times New Roman" w:hAnsi="Times New Roman"/>
        </w:rPr>
        <w:t xml:space="preserve">registrants </w:t>
      </w:r>
      <w:r w:rsidR="00E31991">
        <w:rPr>
          <w:rFonts w:ascii="Times New Roman" w:hAnsi="Times New Roman"/>
        </w:rPr>
        <w:t>×</w:t>
      </w:r>
      <w:r>
        <w:rPr>
          <w:rFonts w:ascii="Times New Roman" w:hAnsi="Times New Roman"/>
        </w:rPr>
        <w:t xml:space="preserve"> 5 complaints per registrant</w:t>
      </w:r>
      <w:r w:rsidR="00352086">
        <w:rPr>
          <w:rFonts w:ascii="Times New Roman" w:hAnsi="Times New Roman"/>
        </w:rPr>
        <w:t xml:space="preserve"> </w:t>
      </w:r>
      <w:r w:rsidR="00E31991">
        <w:rPr>
          <w:rFonts w:ascii="Times New Roman" w:hAnsi="Times New Roman"/>
        </w:rPr>
        <w:t>×</w:t>
      </w:r>
      <w:r w:rsidR="00352086">
        <w:rPr>
          <w:rFonts w:ascii="Times New Roman" w:hAnsi="Times New Roman"/>
        </w:rPr>
        <w:t xml:space="preserve"> 1 hour per complaint</w:t>
      </w:r>
      <w:r>
        <w:rPr>
          <w:rFonts w:ascii="Times New Roman" w:hAnsi="Times New Roman"/>
        </w:rPr>
        <w:t>]</w:t>
      </w:r>
    </w:p>
    <w:p w:rsidR="00F77388" w:rsidP="00984582" w14:paraId="10468EE5" w14:textId="77777777">
      <w:pPr>
        <w:ind w:left="720"/>
        <w:rPr>
          <w:rFonts w:ascii="Times New Roman" w:hAnsi="Times New Roman"/>
        </w:rPr>
      </w:pPr>
      <w:r>
        <w:rPr>
          <w:rFonts w:ascii="Times New Roman" w:hAnsi="Times New Roman"/>
          <w:u w:val="single"/>
        </w:rPr>
        <w:t>Recordkeeping: Marketing Communications</w:t>
      </w:r>
      <w:r>
        <w:rPr>
          <w:rFonts w:ascii="Times New Roman" w:hAnsi="Times New Roman"/>
        </w:rPr>
        <w:t xml:space="preserve">.  </w:t>
      </w:r>
    </w:p>
    <w:p w:rsidR="00F77388" w:rsidP="00984582" w14:paraId="7DE494F8" w14:textId="7E9E6B85">
      <w:pPr>
        <w:ind w:left="720"/>
        <w:rPr>
          <w:rFonts w:ascii="Times New Roman" w:hAnsi="Times New Roman"/>
        </w:rPr>
      </w:pPr>
      <w:r>
        <w:rPr>
          <w:rFonts w:ascii="Times New Roman" w:hAnsi="Times New Roman"/>
        </w:rPr>
        <w:t>Number of registrants</w:t>
      </w:r>
      <w:r>
        <w:rPr>
          <w:rFonts w:ascii="Times New Roman" w:hAnsi="Times New Roman"/>
        </w:rPr>
        <w:t xml:space="preserve">:  </w:t>
      </w:r>
      <w:r w:rsidR="006470FA">
        <w:rPr>
          <w:rFonts w:ascii="Times New Roman" w:hAnsi="Times New Roman"/>
        </w:rPr>
        <w:t>107</w:t>
      </w:r>
    </w:p>
    <w:p w:rsidR="00F77388" w:rsidP="00984582" w14:paraId="4533ED9F" w14:textId="13FA557E">
      <w:pPr>
        <w:ind w:left="720"/>
        <w:rPr>
          <w:rFonts w:ascii="Times New Roman" w:hAnsi="Times New Roman"/>
        </w:rPr>
      </w:pPr>
      <w:r>
        <w:rPr>
          <w:rFonts w:ascii="Times New Roman" w:hAnsi="Times New Roman"/>
        </w:rPr>
        <w:t>Frequency of collection</w:t>
      </w:r>
      <w:r>
        <w:rPr>
          <w:rFonts w:ascii="Times New Roman" w:hAnsi="Times New Roman"/>
        </w:rPr>
        <w:t xml:space="preserve">:  </w:t>
      </w:r>
      <w:r w:rsidR="00A73DB8">
        <w:rPr>
          <w:rFonts w:ascii="Times New Roman" w:hAnsi="Times New Roman"/>
        </w:rPr>
        <w:t>As</w:t>
      </w:r>
      <w:r w:rsidR="00A73DB8">
        <w:rPr>
          <w:rFonts w:ascii="Times New Roman" w:hAnsi="Times New Roman"/>
        </w:rPr>
        <w:t xml:space="preserve"> </w:t>
      </w:r>
      <w:r>
        <w:rPr>
          <w:rFonts w:ascii="Times New Roman" w:hAnsi="Times New Roman"/>
        </w:rPr>
        <w:t>needed</w:t>
      </w:r>
    </w:p>
    <w:p w:rsidR="00F77388" w:rsidP="00984582" w14:paraId="742FCC98" w14:textId="0C71827B">
      <w:pPr>
        <w:ind w:left="720"/>
        <w:rPr>
          <w:rFonts w:ascii="Times New Roman" w:hAnsi="Times New Roman"/>
        </w:rPr>
      </w:pPr>
      <w:r>
        <w:rPr>
          <w:rFonts w:ascii="Times New Roman" w:hAnsi="Times New Roman"/>
        </w:rPr>
        <w:t>Estimated number of responses per registrant</w:t>
      </w:r>
      <w:r>
        <w:rPr>
          <w:rFonts w:ascii="Times New Roman" w:hAnsi="Times New Roman"/>
        </w:rPr>
        <w:t xml:space="preserve">: </w:t>
      </w:r>
      <w:r w:rsidR="00A73DB8">
        <w:rPr>
          <w:rFonts w:ascii="Times New Roman" w:hAnsi="Times New Roman"/>
        </w:rPr>
        <w:t xml:space="preserve"> </w:t>
      </w:r>
      <w:r>
        <w:rPr>
          <w:rFonts w:ascii="Times New Roman" w:hAnsi="Times New Roman"/>
        </w:rPr>
        <w:t>12</w:t>
      </w:r>
      <w:r>
        <w:rPr>
          <w:rFonts w:ascii="Times New Roman" w:hAnsi="Times New Roman"/>
        </w:rPr>
        <w:t xml:space="preserve"> (monthly compilation of records)</w:t>
      </w:r>
    </w:p>
    <w:p w:rsidR="00F77388" w:rsidP="00984582" w14:paraId="68C8C945" w14:textId="57F24C58">
      <w:pPr>
        <w:ind w:left="720"/>
        <w:rPr>
          <w:rFonts w:ascii="Times New Roman" w:hAnsi="Times New Roman"/>
        </w:rPr>
      </w:pPr>
      <w:r>
        <w:rPr>
          <w:rFonts w:ascii="Times New Roman" w:hAnsi="Times New Roman"/>
        </w:rPr>
        <w:t>Estimated aggregate number of responses</w:t>
      </w:r>
      <w:r>
        <w:rPr>
          <w:rFonts w:ascii="Times New Roman" w:hAnsi="Times New Roman"/>
        </w:rPr>
        <w:t xml:space="preserve">:  </w:t>
      </w:r>
      <w:r w:rsidR="00206FA8">
        <w:rPr>
          <w:rFonts w:ascii="Times New Roman" w:hAnsi="Times New Roman"/>
        </w:rPr>
        <w:t>1,</w:t>
      </w:r>
      <w:r w:rsidR="006470FA">
        <w:rPr>
          <w:rFonts w:ascii="Times New Roman" w:hAnsi="Times New Roman"/>
        </w:rPr>
        <w:t>284</w:t>
      </w:r>
      <w:r w:rsidR="006470FA">
        <w:rPr>
          <w:rFonts w:ascii="Times New Roman" w:hAnsi="Times New Roman"/>
        </w:rPr>
        <w:t xml:space="preserve"> </w:t>
      </w:r>
      <w:r>
        <w:rPr>
          <w:rFonts w:ascii="Times New Roman" w:hAnsi="Times New Roman"/>
        </w:rPr>
        <w:t>[</w:t>
      </w:r>
      <w:r w:rsidR="006470FA">
        <w:rPr>
          <w:rFonts w:ascii="Times New Roman" w:hAnsi="Times New Roman"/>
        </w:rPr>
        <w:t xml:space="preserve">107 </w:t>
      </w:r>
      <w:r>
        <w:rPr>
          <w:rFonts w:ascii="Times New Roman" w:hAnsi="Times New Roman"/>
        </w:rPr>
        <w:t xml:space="preserve">registrants </w:t>
      </w:r>
      <w:r w:rsidR="00A73DB8">
        <w:rPr>
          <w:rFonts w:ascii="Times New Roman" w:hAnsi="Times New Roman"/>
        </w:rPr>
        <w:t>×</w:t>
      </w:r>
      <w:r>
        <w:rPr>
          <w:rFonts w:ascii="Times New Roman" w:hAnsi="Times New Roman"/>
        </w:rPr>
        <w:t xml:space="preserve"> 12 monthly compilations]</w:t>
      </w:r>
    </w:p>
    <w:p w:rsidR="00F77388" w:rsidP="00984582" w14:paraId="79DE4530" w14:textId="5C3DFEF5">
      <w:pPr>
        <w:ind w:left="720"/>
        <w:rPr>
          <w:rFonts w:ascii="Times New Roman" w:hAnsi="Times New Roman"/>
        </w:rPr>
      </w:pPr>
      <w:r>
        <w:rPr>
          <w:rFonts w:ascii="Times New Roman" w:hAnsi="Times New Roman"/>
        </w:rPr>
        <w:t>Estimated annual burden per registrant</w:t>
      </w:r>
      <w:r>
        <w:rPr>
          <w:rFonts w:ascii="Times New Roman" w:hAnsi="Times New Roman"/>
        </w:rPr>
        <w:t>:  12</w:t>
      </w:r>
      <w:r>
        <w:rPr>
          <w:rFonts w:ascii="Times New Roman" w:hAnsi="Times New Roman"/>
        </w:rPr>
        <w:t xml:space="preserve"> hours [1 hour </w:t>
      </w:r>
      <w:r w:rsidR="00A73DB8">
        <w:rPr>
          <w:rFonts w:ascii="Times New Roman" w:hAnsi="Times New Roman"/>
        </w:rPr>
        <w:t>×</w:t>
      </w:r>
      <w:r>
        <w:rPr>
          <w:rFonts w:ascii="Times New Roman" w:hAnsi="Times New Roman"/>
        </w:rPr>
        <w:t xml:space="preserve"> 12 months]</w:t>
      </w:r>
    </w:p>
    <w:p w:rsidR="00F77388" w:rsidP="00704D1A" w14:paraId="334D89E0" w14:textId="05D76C28">
      <w:pPr>
        <w:spacing w:after="240"/>
        <w:ind w:left="720"/>
        <w:rPr>
          <w:rFonts w:ascii="Times New Roman" w:hAnsi="Times New Roman"/>
          <w:szCs w:val="20"/>
        </w:rPr>
      </w:pPr>
      <w:r>
        <w:rPr>
          <w:rFonts w:ascii="Times New Roman" w:hAnsi="Times New Roman"/>
        </w:rPr>
        <w:t xml:space="preserve">Estimated aggregated annual hour burden: </w:t>
      </w:r>
      <w:r>
        <w:rPr>
          <w:rFonts w:ascii="Times New Roman" w:hAnsi="Times New Roman"/>
        </w:rPr>
        <w:t xml:space="preserve">  </w:t>
      </w:r>
      <w:r w:rsidR="00C84A15">
        <w:rPr>
          <w:rFonts w:ascii="Times New Roman" w:hAnsi="Times New Roman"/>
        </w:rPr>
        <w:t>1,</w:t>
      </w:r>
      <w:r w:rsidR="006470FA">
        <w:rPr>
          <w:rFonts w:ascii="Times New Roman" w:hAnsi="Times New Roman"/>
        </w:rPr>
        <w:t>284</w:t>
      </w:r>
      <w:r w:rsidR="00040C5A">
        <w:rPr>
          <w:rFonts w:ascii="Times New Roman" w:hAnsi="Times New Roman"/>
        </w:rPr>
        <w:t xml:space="preserve">hours </w:t>
      </w:r>
      <w:r>
        <w:rPr>
          <w:rFonts w:ascii="Times New Roman" w:hAnsi="Times New Roman"/>
        </w:rPr>
        <w:t>[</w:t>
      </w:r>
      <w:r w:rsidR="006470FA">
        <w:rPr>
          <w:rFonts w:ascii="Times New Roman" w:hAnsi="Times New Roman"/>
        </w:rPr>
        <w:t xml:space="preserve">107 </w:t>
      </w:r>
      <w:r>
        <w:rPr>
          <w:rFonts w:ascii="Times New Roman" w:hAnsi="Times New Roman"/>
        </w:rPr>
        <w:t xml:space="preserve">registrants </w:t>
      </w:r>
      <w:r w:rsidR="00A73DB8">
        <w:rPr>
          <w:rFonts w:ascii="Times New Roman" w:hAnsi="Times New Roman"/>
        </w:rPr>
        <w:t>×</w:t>
      </w:r>
      <w:r>
        <w:rPr>
          <w:rFonts w:ascii="Times New Roman" w:hAnsi="Times New Roman"/>
        </w:rPr>
        <w:t xml:space="preserve"> 12 monthly compilations</w:t>
      </w:r>
      <w:r w:rsidR="002D7DA2">
        <w:rPr>
          <w:rFonts w:ascii="Times New Roman" w:hAnsi="Times New Roman"/>
        </w:rPr>
        <w:t xml:space="preserve"> </w:t>
      </w:r>
      <w:r w:rsidR="00A73DB8">
        <w:rPr>
          <w:rFonts w:ascii="Times New Roman" w:hAnsi="Times New Roman"/>
        </w:rPr>
        <w:t>×</w:t>
      </w:r>
      <w:r w:rsidR="002D7DA2">
        <w:rPr>
          <w:rFonts w:ascii="Times New Roman" w:hAnsi="Times New Roman"/>
        </w:rPr>
        <w:t xml:space="preserve"> 1 hour per monthly compilation</w:t>
      </w:r>
      <w:r>
        <w:rPr>
          <w:rFonts w:ascii="Times New Roman" w:hAnsi="Times New Roman"/>
        </w:rPr>
        <w:t>]</w:t>
      </w:r>
    </w:p>
    <w:p w:rsidR="00F77388" w:rsidP="00704D1A" w14:paraId="1C271C2A" w14:textId="66D18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rPr>
      </w:pPr>
      <w:r>
        <w:rPr>
          <w:rFonts w:ascii="Times New Roman" w:hAnsi="Times New Roman"/>
          <w:szCs w:val="20"/>
        </w:rPr>
        <w:t xml:space="preserve">Based upon the above, the aggregate cost for all registrants is </w:t>
      </w:r>
      <w:r w:rsidR="006470FA">
        <w:rPr>
          <w:rFonts w:ascii="Times New Roman" w:hAnsi="Times New Roman"/>
          <w:szCs w:val="20"/>
        </w:rPr>
        <w:t>224,272</w:t>
      </w:r>
      <w:r>
        <w:rPr>
          <w:rFonts w:ascii="Times New Roman" w:hAnsi="Times New Roman"/>
          <w:szCs w:val="20"/>
        </w:rPr>
        <w:t xml:space="preserve"> burden hours and $</w:t>
      </w:r>
      <w:r w:rsidR="00206FA8">
        <w:rPr>
          <w:rFonts w:ascii="Times New Roman" w:hAnsi="Times New Roman"/>
          <w:szCs w:val="20"/>
        </w:rPr>
        <w:t>22,</w:t>
      </w:r>
      <w:r w:rsidR="006470FA">
        <w:rPr>
          <w:rFonts w:ascii="Times New Roman" w:hAnsi="Times New Roman"/>
          <w:szCs w:val="20"/>
        </w:rPr>
        <w:t>427,200</w:t>
      </w:r>
      <w:r>
        <w:rPr>
          <w:rFonts w:ascii="Times New Roman" w:hAnsi="Times New Roman"/>
          <w:szCs w:val="20"/>
        </w:rPr>
        <w:t xml:space="preserve"> [</w:t>
      </w:r>
      <w:r w:rsidR="006470FA">
        <w:rPr>
          <w:rFonts w:ascii="Times New Roman" w:hAnsi="Times New Roman"/>
          <w:szCs w:val="20"/>
        </w:rPr>
        <w:t>224,272</w:t>
      </w:r>
      <w:r w:rsidR="00436BB9">
        <w:rPr>
          <w:rFonts w:ascii="Times New Roman" w:hAnsi="Times New Roman"/>
          <w:szCs w:val="20"/>
        </w:rPr>
        <w:t xml:space="preserve"> </w:t>
      </w:r>
      <w:r>
        <w:rPr>
          <w:rFonts w:ascii="Times New Roman" w:hAnsi="Times New Roman"/>
          <w:szCs w:val="20"/>
        </w:rPr>
        <w:t xml:space="preserve">burden hours </w:t>
      </w:r>
      <w:r w:rsidR="00A73DB8">
        <w:rPr>
          <w:rFonts w:ascii="Times New Roman" w:hAnsi="Times New Roman"/>
        </w:rPr>
        <w:t>×</w:t>
      </w:r>
      <w:r>
        <w:rPr>
          <w:rFonts w:ascii="Times New Roman" w:hAnsi="Times New Roman"/>
          <w:szCs w:val="20"/>
        </w:rPr>
        <w:t xml:space="preserve"> $100 per hour].</w:t>
      </w:r>
    </w:p>
    <w:p w:rsidR="00F77388" w14:paraId="23702E1B" w14:textId="7777777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F77388" w14:paraId="21A59A27"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Times New Roman" w:hAnsi="Times New Roman"/>
          <w:b/>
        </w:rPr>
        <w:t>take into account</w:t>
      </w:r>
      <w:r>
        <w:rPr>
          <w:rFonts w:ascii="Times New Roman" w:hAnsi="Times New Roman"/>
          <w:b/>
        </w:rPr>
        <w:t xml:space="preserve"> costs associated with generating, maintaining, and disclosing or providing the information.  Include descriptions of methods used to estimate major </w:t>
      </w:r>
      <w:r>
        <w:rPr>
          <w:rFonts w:ascii="Times New Roman" w:hAnsi="Times New Roman"/>
          <w:b/>
        </w:rPr>
        <w:t>costs</w:t>
      </w:r>
      <w:r>
        <w:rPr>
          <w:rFonts w:ascii="Times New Roman" w:hAnsi="Times New Roman"/>
          <w:b/>
        </w:rPr>
        <w:t xml:space="preserve"> factors including system and technology acquisition, expected useful life of capital equipment, the discount rate(s), and the </w:t>
      </w:r>
      <w:r>
        <w:rPr>
          <w:rFonts w:ascii="Times New Roman" w:hAnsi="Times New Roman"/>
          <w:b/>
        </w:rPr>
        <w:t>time period</w:t>
      </w:r>
      <w:r>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F77388" w14:paraId="6917839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F77388" w14:paraId="461F0A65"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w:t>
      </w:r>
      <w:r>
        <w:rPr>
          <w:rFonts w:ascii="Times New Roman" w:hAnsi="Times New Roman"/>
          <w:b/>
        </w:rPr>
        <w:t xml:space="preserve">for reasons other than </w:t>
      </w:r>
      <w:r>
        <w:rPr>
          <w:rFonts w:ascii="Times New Roman" w:hAnsi="Times New Roman"/>
          <w:b/>
        </w:rPr>
        <w:t>to provide</w:t>
      </w:r>
      <w:r>
        <w:rPr>
          <w:rFonts w:ascii="Times New Roman" w:hAnsi="Times New Roman"/>
          <w:b/>
        </w:rPr>
        <w:t xml:space="preserve"> information or </w:t>
      </w:r>
      <w:r>
        <w:rPr>
          <w:rFonts w:ascii="Times New Roman" w:hAnsi="Times New Roman"/>
          <w:b/>
        </w:rPr>
        <w:t>keep</w:t>
      </w:r>
      <w:r>
        <w:rPr>
          <w:rFonts w:ascii="Times New Roman" w:hAnsi="Times New Roman"/>
          <w:b/>
        </w:rPr>
        <w:t xml:space="preserve"> records for the government, or (4) as part of customary and usual business or private practices.</w:t>
      </w:r>
    </w:p>
    <w:p w:rsidR="001A3028" w:rsidP="00704D1A" w14:paraId="0D5757D8" w14:textId="614F4E5E">
      <w:pPr>
        <w:spacing w:after="240"/>
        <w:rPr>
          <w:rFonts w:ascii="Times New Roman" w:hAnsi="Times New Roman"/>
        </w:rPr>
      </w:pPr>
      <w:r w:rsidRPr="00575BF7">
        <w:rPr>
          <w:rFonts w:ascii="Times New Roman" w:hAnsi="Times New Roman"/>
        </w:rPr>
        <w:t>The information collections required by the regulations would not involve any capital or start-up capital, operations or maintenance costs as the Commission anticipates that these costs have already been incurred by the SD and MSP registrants and are part of customary or usual business practices.</w:t>
      </w:r>
    </w:p>
    <w:p w:rsidR="00F77388" w14:paraId="6AD1BB8E" w14:textId="2CC2F3B2">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w:t>
      </w:r>
      <w:r>
        <w:rPr>
          <w:rFonts w:ascii="Times New Roman" w:hAnsi="Times New Roman"/>
          <w:b/>
        </w:rPr>
        <w:t>expense</w:t>
      </w:r>
      <w:r>
        <w:rPr>
          <w:rFonts w:ascii="Times New Roman" w:hAnsi="Times New Roman"/>
          <w:b/>
        </w:rPr>
        <w:t xml:space="preserve"> that would not have been incurred without this collection of information.  Agencies may also aggregate cost estimates from Items 12, 13, and 14 in a single table.</w:t>
      </w:r>
    </w:p>
    <w:p w:rsidR="00F77388" w14:paraId="0B15185F" w14:textId="77777777">
      <w:pPr>
        <w:tabs>
          <w:tab w:val="left" w:pos="-720"/>
        </w:tabs>
        <w:spacing w:after="240"/>
        <w:jc w:val="both"/>
        <w:rPr>
          <w:rFonts w:ascii="Times New Roman" w:hAnsi="Times New Roman"/>
        </w:rPr>
      </w:pPr>
      <w:r>
        <w:rPr>
          <w:rFonts w:ascii="Times New Roman" w:hAnsi="Times New Roman"/>
        </w:rPr>
        <w:t>It is not anticipated that the regulations would impose any additional costs to the Federal Government.</w:t>
      </w:r>
    </w:p>
    <w:p w:rsidR="00F77388" w14:paraId="4354A9A3"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F77388" w14:paraId="21FCA3BD" w14:textId="7B61DE9F">
      <w:pPr>
        <w:tabs>
          <w:tab w:val="left" w:pos="-720"/>
        </w:tabs>
        <w:spacing w:after="240"/>
        <w:jc w:val="both"/>
        <w:rPr>
          <w:rFonts w:ascii="Times New Roman" w:hAnsi="Times New Roman"/>
        </w:rPr>
      </w:pPr>
      <w:r>
        <w:rPr>
          <w:rFonts w:ascii="Times New Roman" w:hAnsi="Times New Roman"/>
        </w:rPr>
        <w:t>There are no program changes</w:t>
      </w:r>
      <w:r w:rsidR="00324670">
        <w:rPr>
          <w:rFonts w:ascii="Times New Roman" w:hAnsi="Times New Roman"/>
        </w:rPr>
        <w:t xml:space="preserve"> or adjustments</w:t>
      </w:r>
      <w:r>
        <w:rPr>
          <w:rFonts w:ascii="Times New Roman" w:hAnsi="Times New Roman"/>
        </w:rPr>
        <w:t>.</w:t>
      </w:r>
      <w:r w:rsidR="00A40614">
        <w:rPr>
          <w:rFonts w:ascii="Times New Roman" w:hAnsi="Times New Roman"/>
        </w:rPr>
        <w:t xml:space="preserve"> </w:t>
      </w:r>
      <w:r w:rsidR="00967BFA">
        <w:rPr>
          <w:rFonts w:ascii="Times New Roman" w:hAnsi="Times New Roman"/>
        </w:rPr>
        <w:t xml:space="preserve"> </w:t>
      </w:r>
      <w:r w:rsidR="00324670">
        <w:rPr>
          <w:rFonts w:ascii="Times New Roman" w:hAnsi="Times New Roman"/>
        </w:rPr>
        <w:t>T</w:t>
      </w:r>
      <w:r w:rsidR="00A40614">
        <w:rPr>
          <w:rFonts w:ascii="Times New Roman" w:hAnsi="Times New Roman"/>
        </w:rPr>
        <w:t xml:space="preserve">he total number of respondents </w:t>
      </w:r>
      <w:r w:rsidR="00C505AB">
        <w:rPr>
          <w:rFonts w:ascii="Times New Roman" w:hAnsi="Times New Roman"/>
        </w:rPr>
        <w:t>did not change</w:t>
      </w:r>
      <w:r w:rsidR="00C505AB">
        <w:rPr>
          <w:rFonts w:ascii="Times New Roman" w:hAnsi="Times New Roman"/>
        </w:rPr>
        <w:t xml:space="preserve"> since the previous </w:t>
      </w:r>
      <w:r w:rsidR="00C505AB">
        <w:rPr>
          <w:rFonts w:ascii="Times New Roman" w:hAnsi="Times New Roman"/>
        </w:rPr>
        <w:t>renewal</w:t>
      </w:r>
      <w:r w:rsidR="00A40614">
        <w:rPr>
          <w:rFonts w:ascii="Times New Roman" w:hAnsi="Times New Roman"/>
        </w:rPr>
        <w:t xml:space="preserve">. </w:t>
      </w:r>
      <w:r w:rsidR="00967BFA">
        <w:rPr>
          <w:rFonts w:ascii="Times New Roman" w:hAnsi="Times New Roman"/>
        </w:rPr>
        <w:t xml:space="preserve"> </w:t>
      </w:r>
      <w:r w:rsidR="007A4899">
        <w:rPr>
          <w:rFonts w:ascii="Times New Roman" w:hAnsi="Times New Roman"/>
        </w:rPr>
        <w:t xml:space="preserve">As a result, </w:t>
      </w:r>
      <w:r w:rsidR="00EA6F7B">
        <w:rPr>
          <w:rFonts w:ascii="Times New Roman" w:hAnsi="Times New Roman"/>
        </w:rPr>
        <w:t xml:space="preserve">the Commission’s </w:t>
      </w:r>
      <w:r w:rsidR="001D6F3A">
        <w:rPr>
          <w:rFonts w:ascii="Times New Roman" w:hAnsi="Times New Roman"/>
        </w:rPr>
        <w:t>total annual burden hours estimate</w:t>
      </w:r>
      <w:r w:rsidR="00EA6F7B">
        <w:rPr>
          <w:rFonts w:ascii="Times New Roman" w:hAnsi="Times New Roman"/>
        </w:rPr>
        <w:t xml:space="preserve"> for this collection </w:t>
      </w:r>
      <w:r w:rsidR="00145BDD">
        <w:rPr>
          <w:rFonts w:ascii="Times New Roman" w:hAnsi="Times New Roman"/>
        </w:rPr>
        <w:t>remain the same</w:t>
      </w:r>
      <w:r w:rsidR="00EA6F7B">
        <w:rPr>
          <w:rFonts w:ascii="Times New Roman" w:hAnsi="Times New Roman"/>
        </w:rPr>
        <w:t>.</w:t>
      </w:r>
    </w:p>
    <w:p w:rsidR="00F77388" w14:paraId="7422551C"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F77388" w14:paraId="64281000" w14:textId="77777777">
      <w:pPr>
        <w:tabs>
          <w:tab w:val="left" w:pos="-720"/>
        </w:tabs>
        <w:spacing w:after="240"/>
        <w:jc w:val="both"/>
        <w:rPr>
          <w:rFonts w:ascii="Times New Roman" w:hAnsi="Times New Roman"/>
        </w:rPr>
      </w:pPr>
      <w:r>
        <w:rPr>
          <w:rFonts w:ascii="Times New Roman" w:hAnsi="Times New Roman"/>
        </w:rPr>
        <w:t>This question does not apply.</w:t>
      </w:r>
    </w:p>
    <w:p w:rsidR="00F77388" w14:paraId="6FFAC184"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F77388" w14:paraId="01DEC5EA" w14:textId="77777777">
      <w:pPr>
        <w:tabs>
          <w:tab w:val="left" w:pos="-720"/>
        </w:tabs>
        <w:spacing w:after="240"/>
        <w:jc w:val="both"/>
        <w:rPr>
          <w:rFonts w:ascii="Times New Roman" w:hAnsi="Times New Roman"/>
        </w:rPr>
      </w:pPr>
      <w:r>
        <w:rPr>
          <w:rFonts w:ascii="Times New Roman" w:hAnsi="Times New Roman"/>
        </w:rPr>
        <w:t>This question does not apply.</w:t>
      </w:r>
    </w:p>
    <w:p w:rsidR="00F77388" w14:paraId="5A5B5748" w14:textId="22E674C2">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704D1A">
        <w:rPr>
          <w:rFonts w:ascii="Times New Roman" w:hAnsi="Times New Roman"/>
          <w:b/>
        </w:rPr>
        <w:t>“</w:t>
      </w:r>
      <w:r>
        <w:rPr>
          <w:rFonts w:ascii="Times New Roman" w:hAnsi="Times New Roman"/>
          <w:b/>
        </w:rPr>
        <w:t>Certification for Paperwork Reduction Act Submissions,</w:t>
      </w:r>
      <w:r w:rsidR="00B52E3B">
        <w:rPr>
          <w:rFonts w:ascii="Times New Roman" w:hAnsi="Times New Roman"/>
          <w:b/>
        </w:rPr>
        <w:t>”</w:t>
      </w:r>
      <w:r>
        <w:rPr>
          <w:rFonts w:ascii="Times New Roman" w:hAnsi="Times New Roman"/>
          <w:b/>
        </w:rPr>
        <w:t xml:space="preserve"> of OMB Form 83-I.</w:t>
      </w:r>
    </w:p>
    <w:p w:rsidR="00F77388" w14:paraId="7D30449D" w14:textId="77777777">
      <w:pPr>
        <w:tabs>
          <w:tab w:val="left" w:pos="-720"/>
        </w:tabs>
        <w:spacing w:after="240"/>
        <w:jc w:val="both"/>
        <w:rPr>
          <w:rFonts w:ascii="Times New Roman" w:hAnsi="Times New Roman"/>
        </w:rPr>
      </w:pPr>
      <w:r>
        <w:rPr>
          <w:rFonts w:ascii="Times New Roman" w:hAnsi="Times New Roman"/>
        </w:rPr>
        <w:t>This question does not apply.</w:t>
      </w:r>
    </w:p>
    <w:p w:rsidR="00ED0A4A" w14:paraId="0D073ACB" w14:textId="77777777">
      <w:pPr>
        <w:pStyle w:val="Title"/>
        <w:spacing w:after="240"/>
        <w:sectPr>
          <w:footerReference w:type="default" r:id="rId9"/>
          <w:pgSz w:w="12240" w:h="15840" w:code="1"/>
          <w:pgMar w:top="1440" w:right="1440" w:bottom="1440" w:left="1440" w:header="720" w:footer="720" w:gutter="0"/>
          <w:cols w:space="720"/>
          <w:docGrid w:linePitch="360"/>
        </w:sectPr>
      </w:pPr>
    </w:p>
    <w:p w:rsidR="00F77388" w:rsidRPr="00746283" w14:paraId="3FC53B9D" w14:textId="3CBD885E">
      <w:pPr>
        <w:pStyle w:val="Title"/>
        <w:spacing w:after="240"/>
        <w:rPr>
          <w:sz w:val="24"/>
          <w:szCs w:val="24"/>
          <w:u w:val="single"/>
        </w:rPr>
      </w:pPr>
      <w:r w:rsidRPr="00746283">
        <w:rPr>
          <w:sz w:val="24"/>
          <w:szCs w:val="24"/>
          <w:u w:val="single"/>
        </w:rPr>
        <w:t>Attachment A</w:t>
      </w:r>
    </w:p>
    <w:p w:rsidR="00F77388" w14:paraId="0C8CC430" w14:textId="77777777">
      <w:pPr>
        <w:pStyle w:val="Title"/>
        <w:spacing w:after="240"/>
        <w:rPr>
          <w:sz w:val="24"/>
          <w:szCs w:val="24"/>
        </w:rPr>
      </w:pPr>
      <w:r>
        <w:rPr>
          <w:sz w:val="24"/>
          <w:szCs w:val="24"/>
        </w:rPr>
        <w:t>Part 23 – Reporting, Recordkeeping and Daily Trading Records Requirements for Swap Dealers and Major Swap Participants</w:t>
      </w:r>
    </w:p>
    <w:p w:rsidR="00F77388" w14:paraId="0F4F2A3A" w14:textId="77777777">
      <w:pPr>
        <w:pStyle w:val="Title"/>
        <w:spacing w:after="480"/>
        <w:rPr>
          <w:sz w:val="24"/>
          <w:szCs w:val="24"/>
        </w:rPr>
      </w:pPr>
      <w:r>
        <w:rPr>
          <w:sz w:val="24"/>
          <w:szCs w:val="24"/>
        </w:rPr>
        <w:t>OMB Collection File 3038-</w:t>
      </w:r>
      <w:r w:rsidR="00ED4BEC">
        <w:rPr>
          <w:sz w:val="24"/>
          <w:szCs w:val="24"/>
        </w:rPr>
        <w:t>0087</w:t>
      </w:r>
    </w:p>
    <w:p w:rsidR="00F77388" w:rsidP="00746283" w14:paraId="6B139CCE" w14:textId="1A24B57A">
      <w:pPr>
        <w:pStyle w:val="Title"/>
        <w:ind w:left="3600"/>
        <w:jc w:val="left"/>
        <w:rPr>
          <w:sz w:val="24"/>
          <w:szCs w:val="24"/>
        </w:rPr>
      </w:pPr>
      <w:r>
        <w:rPr>
          <w:b w:val="0"/>
          <w:sz w:val="24"/>
          <w:szCs w:val="24"/>
        </w:rPr>
        <w:t>Number of Registrants</w:t>
      </w:r>
      <w:r>
        <w:rPr>
          <w:b w:val="0"/>
          <w:sz w:val="24"/>
          <w:szCs w:val="24"/>
        </w:rPr>
        <w:t xml:space="preserve">:  </w:t>
      </w:r>
      <w:r w:rsidR="00E25CF5">
        <w:rPr>
          <w:b w:val="0"/>
          <w:sz w:val="24"/>
          <w:szCs w:val="24"/>
        </w:rPr>
        <w:tab/>
      </w:r>
      <w:r w:rsidR="00E25CF5">
        <w:rPr>
          <w:b w:val="0"/>
          <w:sz w:val="24"/>
          <w:szCs w:val="24"/>
        </w:rPr>
        <w:tab/>
      </w:r>
      <w:r w:rsidR="00E25CF5">
        <w:rPr>
          <w:b w:val="0"/>
          <w:sz w:val="24"/>
          <w:szCs w:val="24"/>
        </w:rPr>
        <w:tab/>
      </w:r>
      <w:r w:rsidR="00E25CF5">
        <w:rPr>
          <w:b w:val="0"/>
          <w:sz w:val="24"/>
          <w:szCs w:val="24"/>
        </w:rPr>
        <w:tab/>
      </w:r>
      <w:r w:rsidR="00E85438">
        <w:rPr>
          <w:b w:val="0"/>
          <w:sz w:val="24"/>
          <w:szCs w:val="24"/>
        </w:rPr>
        <w:t>107</w:t>
      </w:r>
    </w:p>
    <w:p w:rsidR="00F77388" w:rsidP="00746283" w14:paraId="4D343D06" w14:textId="1A92D05E">
      <w:pPr>
        <w:ind w:left="3600"/>
        <w:rPr>
          <w:rFonts w:ascii="Times New Roman" w:hAnsi="Times New Roman"/>
        </w:rPr>
      </w:pPr>
      <w:r>
        <w:rPr>
          <w:rFonts w:ascii="Times New Roman" w:hAnsi="Times New Roman"/>
        </w:rPr>
        <w:t xml:space="preserve">Estimated Average </w:t>
      </w:r>
      <w:r>
        <w:rPr>
          <w:rFonts w:ascii="Times New Roman" w:hAnsi="Times New Roman"/>
        </w:rPr>
        <w:t>Burden</w:t>
      </w:r>
      <w:r>
        <w:rPr>
          <w:rFonts w:ascii="Times New Roman" w:hAnsi="Times New Roman"/>
        </w:rPr>
        <w:t xml:space="preserve"> Hours Per Registrant</w:t>
      </w:r>
      <w:r>
        <w:rPr>
          <w:rFonts w:ascii="Times New Roman" w:hAnsi="Times New Roman"/>
        </w:rPr>
        <w:t xml:space="preserve">:   </w:t>
      </w:r>
      <w:r w:rsidR="00E25CF5">
        <w:rPr>
          <w:rFonts w:ascii="Times New Roman" w:hAnsi="Times New Roman"/>
        </w:rPr>
        <w:tab/>
      </w:r>
      <w:r>
        <w:rPr>
          <w:rFonts w:ascii="Times New Roman" w:hAnsi="Times New Roman"/>
        </w:rPr>
        <w:t>2,096</w:t>
      </w:r>
    </w:p>
    <w:p w:rsidR="00FD4197" w:rsidP="00746283" w14:paraId="358DCC03" w14:textId="77777777">
      <w:pPr>
        <w:ind w:left="3600"/>
        <w:rPr>
          <w:rFonts w:ascii="Times New Roman" w:hAnsi="Times New Roman"/>
        </w:rPr>
      </w:pPr>
      <w:r>
        <w:rPr>
          <w:rFonts w:ascii="Times New Roman" w:hAnsi="Times New Roman"/>
        </w:rPr>
        <w:t xml:space="preserve">Estimated Annual Cost Per Registrant:   </w:t>
      </w:r>
      <w:r>
        <w:rPr>
          <w:rFonts w:ascii="Times New Roman" w:hAnsi="Times New Roman"/>
        </w:rPr>
        <w:tab/>
      </w:r>
      <w:r>
        <w:rPr>
          <w:rFonts w:ascii="Times New Roman" w:hAnsi="Times New Roman"/>
        </w:rPr>
        <w:tab/>
        <w:t>$209,600</w:t>
      </w:r>
    </w:p>
    <w:p w:rsidR="00F77388" w:rsidP="00746283" w14:paraId="6815FAD9" w14:textId="0D52BA1A">
      <w:pPr>
        <w:ind w:left="3600"/>
        <w:rPr>
          <w:rFonts w:ascii="Times New Roman" w:hAnsi="Times New Roman"/>
        </w:rPr>
      </w:pPr>
      <w:r>
        <w:rPr>
          <w:rFonts w:ascii="Times New Roman" w:hAnsi="Times New Roman"/>
        </w:rPr>
        <w:t xml:space="preserve">Estimated Aggregate Burden Hours:   </w:t>
      </w:r>
      <w:r w:rsidR="00E25CF5">
        <w:rPr>
          <w:rFonts w:ascii="Times New Roman" w:hAnsi="Times New Roman"/>
        </w:rPr>
        <w:tab/>
      </w:r>
      <w:r w:rsidR="00E25CF5">
        <w:rPr>
          <w:rFonts w:ascii="Times New Roman" w:hAnsi="Times New Roman"/>
        </w:rPr>
        <w:tab/>
      </w:r>
      <w:r w:rsidR="00E85438">
        <w:rPr>
          <w:rFonts w:ascii="Times New Roman" w:hAnsi="Times New Roman"/>
        </w:rPr>
        <w:t>224,272</w:t>
      </w:r>
    </w:p>
    <w:p w:rsidR="00F77388" w:rsidP="00746283" w14:paraId="3542A4C7" w14:textId="39BA3470">
      <w:pPr>
        <w:ind w:left="3600"/>
        <w:rPr>
          <w:rFonts w:ascii="Times New Roman" w:hAnsi="Times New Roman"/>
        </w:rPr>
      </w:pPr>
      <w:r>
        <w:rPr>
          <w:rFonts w:ascii="Times New Roman" w:hAnsi="Times New Roman"/>
        </w:rPr>
        <w:t xml:space="preserve">Estimated Aggregate Annual Cost:   </w:t>
      </w:r>
      <w:r w:rsidR="00E25CF5">
        <w:rPr>
          <w:rFonts w:ascii="Times New Roman" w:hAnsi="Times New Roman"/>
        </w:rPr>
        <w:tab/>
      </w:r>
      <w:r w:rsidR="00E25CF5">
        <w:rPr>
          <w:rFonts w:ascii="Times New Roman" w:hAnsi="Times New Roman"/>
        </w:rPr>
        <w:tab/>
      </w:r>
      <w:r w:rsidR="00E25CF5">
        <w:rPr>
          <w:rFonts w:ascii="Times New Roman" w:hAnsi="Times New Roman"/>
        </w:rPr>
        <w:tab/>
      </w:r>
      <w:r>
        <w:rPr>
          <w:rFonts w:ascii="Times New Roman" w:hAnsi="Times New Roman"/>
        </w:rPr>
        <w:t>$</w:t>
      </w:r>
      <w:r w:rsidR="001469F4">
        <w:rPr>
          <w:rFonts w:ascii="Times New Roman" w:hAnsi="Times New Roman"/>
        </w:rPr>
        <w:t>22,</w:t>
      </w:r>
      <w:r w:rsidR="00E85438">
        <w:rPr>
          <w:rFonts w:ascii="Times New Roman" w:hAnsi="Times New Roman"/>
        </w:rPr>
        <w:t>427,200</w:t>
      </w:r>
    </w:p>
    <w:p w:rsidR="00DD492B" w:rsidP="00746283" w14:paraId="50954566" w14:textId="05265CA5">
      <w:pPr>
        <w:ind w:left="3600"/>
        <w:rPr>
          <w:rFonts w:ascii="Times New Roman" w:hAnsi="Times New Roman"/>
        </w:rPr>
      </w:pPr>
      <w:r>
        <w:rPr>
          <w:rFonts w:ascii="Times New Roman" w:hAnsi="Times New Roman"/>
        </w:rPr>
        <w:t xml:space="preserve">% of Responses Collected Electronically: </w:t>
      </w:r>
      <w:r w:rsidR="00E25CF5">
        <w:rPr>
          <w:rFonts w:ascii="Times New Roman" w:hAnsi="Times New Roman"/>
        </w:rPr>
        <w:tab/>
      </w:r>
      <w:r w:rsidR="00E25CF5">
        <w:rPr>
          <w:rFonts w:ascii="Times New Roman" w:hAnsi="Times New Roman"/>
        </w:rPr>
        <w:tab/>
      </w:r>
      <w:r>
        <w:rPr>
          <w:rFonts w:ascii="Times New Roman" w:hAnsi="Times New Roman"/>
        </w:rPr>
        <w:t>100</w:t>
      </w:r>
    </w:p>
    <w:p w:rsidR="00DD492B" w:rsidRPr="00DD492B" w:rsidP="00984582" w14:paraId="1F4E15DA" w14:textId="1C788421">
      <w:pPr>
        <w:pStyle w:val="Title"/>
        <w:tabs>
          <w:tab w:val="center" w:pos="7200"/>
        </w:tabs>
        <w:spacing w:line="360" w:lineRule="auto"/>
        <w:ind w:left="3600"/>
        <w:jc w:val="left"/>
      </w:pPr>
      <w:r>
        <w:rPr>
          <w:b w:val="0"/>
          <w:sz w:val="24"/>
          <w:szCs w:val="24"/>
        </w:rPr>
        <w:t>Frequency of Recordkeeping</w:t>
      </w:r>
      <w:r>
        <w:rPr>
          <w:b w:val="0"/>
          <w:sz w:val="24"/>
          <w:szCs w:val="24"/>
        </w:rPr>
        <w:t xml:space="preserve">:  </w:t>
      </w:r>
      <w:r w:rsidR="00E25CF5">
        <w:rPr>
          <w:b w:val="0"/>
          <w:sz w:val="24"/>
          <w:szCs w:val="24"/>
        </w:rPr>
        <w:tab/>
      </w:r>
      <w:r w:rsidR="00E25CF5">
        <w:rPr>
          <w:b w:val="0"/>
          <w:sz w:val="24"/>
          <w:szCs w:val="24"/>
        </w:rPr>
        <w:tab/>
      </w:r>
      <w:r w:rsidR="00E25CF5">
        <w:rPr>
          <w:b w:val="0"/>
          <w:sz w:val="24"/>
          <w:szCs w:val="24"/>
        </w:rPr>
        <w:tab/>
      </w:r>
      <w:r>
        <w:rPr>
          <w:b w:val="0"/>
          <w:sz w:val="24"/>
          <w:szCs w:val="24"/>
        </w:rPr>
        <w:t>Daily</w:t>
      </w:r>
      <w:r>
        <w:rPr>
          <w:b w:val="0"/>
          <w:sz w:val="24"/>
          <w:szCs w:val="24"/>
        </w:rPr>
        <w:t xml:space="preserve"> or as needed (see chart below)</w:t>
      </w:r>
    </w:p>
    <w:p w:rsidR="00F77388" w14:paraId="2FA0C89A" w14:textId="77777777">
      <w:pPr>
        <w:jc w:val="both"/>
        <w:rPr>
          <w:rFonts w:ascii="Times New Roman" w:hAnsi="Times New Roman"/>
        </w:rPr>
      </w:pPr>
    </w:p>
    <w:p w:rsidR="00F77388" w14:paraId="0DE5504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440"/>
        <w:gridCol w:w="1170"/>
        <w:gridCol w:w="1260"/>
        <w:gridCol w:w="1407"/>
        <w:gridCol w:w="1293"/>
        <w:gridCol w:w="991"/>
        <w:gridCol w:w="1349"/>
        <w:gridCol w:w="1170"/>
        <w:gridCol w:w="1345"/>
        <w:gridCol w:w="1260"/>
      </w:tblGrid>
      <w:tr w14:paraId="34763DD0" w14:textId="77777777" w:rsidTr="001823DF">
        <w:tblPrEx>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637"/>
          <w:jc w:val="center"/>
        </w:trPr>
        <w:tc>
          <w:tcPr>
            <w:tcW w:w="1710" w:type="dxa"/>
          </w:tcPr>
          <w:p w:rsidR="00701814" w:rsidRPr="00CF5C85" w:rsidP="004C71B0" w14:paraId="1E919494" w14:textId="77777777">
            <w:pPr>
              <w:jc w:val="center"/>
              <w:rPr>
                <w:rFonts w:ascii="Times New Roman" w:hAnsi="Times New Roman"/>
                <w:b/>
                <w:bCs/>
                <w:sz w:val="20"/>
                <w:szCs w:val="20"/>
              </w:rPr>
            </w:pPr>
            <w:r w:rsidRPr="00CF5C85">
              <w:rPr>
                <w:rFonts w:ascii="Times New Roman" w:hAnsi="Times New Roman"/>
                <w:b/>
                <w:bCs/>
                <w:sz w:val="20"/>
                <w:szCs w:val="20"/>
              </w:rPr>
              <w:t>1.</w:t>
            </w:r>
          </w:p>
          <w:p w:rsidR="00701814" w:rsidRPr="00CF5C85" w:rsidP="004C71B0" w14:paraId="51FDB008" w14:textId="77777777">
            <w:pPr>
              <w:jc w:val="center"/>
              <w:rPr>
                <w:rFonts w:ascii="Times New Roman" w:hAnsi="Times New Roman"/>
                <w:b/>
                <w:bCs/>
                <w:sz w:val="20"/>
                <w:szCs w:val="20"/>
              </w:rPr>
            </w:pPr>
            <w:r w:rsidRPr="00CF5C85">
              <w:rPr>
                <w:rFonts w:ascii="Times New Roman" w:hAnsi="Times New Roman"/>
                <w:b/>
                <w:bCs/>
                <w:sz w:val="20"/>
                <w:szCs w:val="20"/>
              </w:rPr>
              <w:t>Regulation(s)</w:t>
            </w:r>
          </w:p>
        </w:tc>
        <w:tc>
          <w:tcPr>
            <w:tcW w:w="1440" w:type="dxa"/>
          </w:tcPr>
          <w:p w:rsidR="00701814" w:rsidRPr="00CF5C85" w:rsidP="004C71B0" w14:paraId="0C56FA93" w14:textId="77777777">
            <w:pPr>
              <w:jc w:val="center"/>
              <w:rPr>
                <w:rFonts w:ascii="Times New Roman" w:hAnsi="Times New Roman"/>
                <w:b/>
                <w:bCs/>
                <w:sz w:val="20"/>
                <w:szCs w:val="20"/>
              </w:rPr>
            </w:pPr>
            <w:r w:rsidRPr="00CF5C85">
              <w:rPr>
                <w:rFonts w:ascii="Times New Roman" w:hAnsi="Times New Roman"/>
                <w:b/>
                <w:bCs/>
                <w:sz w:val="20"/>
                <w:szCs w:val="20"/>
              </w:rPr>
              <w:t>2.</w:t>
            </w:r>
          </w:p>
          <w:p w:rsidR="00701814" w:rsidRPr="00CF5C85" w:rsidP="004C71B0" w14:paraId="7FD7A0CE" w14:textId="77777777">
            <w:pPr>
              <w:jc w:val="center"/>
              <w:rPr>
                <w:rFonts w:ascii="Times New Roman" w:hAnsi="Times New Roman"/>
                <w:b/>
                <w:bCs/>
                <w:sz w:val="20"/>
                <w:szCs w:val="20"/>
              </w:rPr>
            </w:pPr>
            <w:r w:rsidRPr="00CF5C85">
              <w:rPr>
                <w:rFonts w:ascii="Times New Roman" w:hAnsi="Times New Roman"/>
                <w:b/>
                <w:bCs/>
                <w:sz w:val="20"/>
                <w:szCs w:val="20"/>
              </w:rPr>
              <w:t xml:space="preserve">Estimated # of Respondents </w:t>
            </w:r>
          </w:p>
        </w:tc>
        <w:tc>
          <w:tcPr>
            <w:tcW w:w="1170" w:type="dxa"/>
          </w:tcPr>
          <w:p w:rsidR="00701814" w:rsidP="004C71B0" w14:paraId="562562E5" w14:textId="77777777">
            <w:pPr>
              <w:jc w:val="center"/>
              <w:rPr>
                <w:rFonts w:ascii="Times New Roman" w:hAnsi="Times New Roman"/>
                <w:b/>
                <w:bCs/>
                <w:sz w:val="20"/>
                <w:szCs w:val="20"/>
              </w:rPr>
            </w:pPr>
            <w:r>
              <w:rPr>
                <w:rFonts w:ascii="Times New Roman" w:hAnsi="Times New Roman"/>
                <w:b/>
                <w:bCs/>
                <w:sz w:val="20"/>
                <w:szCs w:val="20"/>
              </w:rPr>
              <w:t>3.</w:t>
            </w:r>
          </w:p>
          <w:p w:rsidR="00701814" w:rsidRPr="00CF5C85" w:rsidP="004C71B0" w14:paraId="24CD0028" w14:textId="1DC661C2">
            <w:pPr>
              <w:jc w:val="center"/>
              <w:rPr>
                <w:rFonts w:ascii="Times New Roman" w:hAnsi="Times New Roman"/>
                <w:b/>
                <w:bCs/>
                <w:sz w:val="20"/>
                <w:szCs w:val="20"/>
              </w:rPr>
            </w:pPr>
            <w:r>
              <w:rPr>
                <w:rFonts w:ascii="Times New Roman" w:hAnsi="Times New Roman"/>
                <w:b/>
                <w:bCs/>
                <w:sz w:val="20"/>
                <w:szCs w:val="20"/>
              </w:rPr>
              <w:t>Frequency</w:t>
            </w:r>
          </w:p>
        </w:tc>
        <w:tc>
          <w:tcPr>
            <w:tcW w:w="1260" w:type="dxa"/>
          </w:tcPr>
          <w:p w:rsidR="00701814" w:rsidRPr="00CF5C85" w:rsidP="004C71B0" w14:paraId="0E410303" w14:textId="31C81AFE">
            <w:pPr>
              <w:jc w:val="center"/>
              <w:rPr>
                <w:rFonts w:ascii="Times New Roman" w:hAnsi="Times New Roman"/>
                <w:b/>
                <w:bCs/>
                <w:sz w:val="20"/>
                <w:szCs w:val="20"/>
              </w:rPr>
            </w:pPr>
            <w:r>
              <w:rPr>
                <w:rFonts w:ascii="Times New Roman" w:hAnsi="Times New Roman"/>
                <w:b/>
                <w:bCs/>
                <w:sz w:val="20"/>
                <w:szCs w:val="20"/>
              </w:rPr>
              <w:t>4</w:t>
            </w:r>
            <w:r w:rsidRPr="00CF5C85">
              <w:rPr>
                <w:rFonts w:ascii="Times New Roman" w:hAnsi="Times New Roman"/>
                <w:b/>
                <w:bCs/>
                <w:sz w:val="20"/>
                <w:szCs w:val="20"/>
              </w:rPr>
              <w:t xml:space="preserve">. Estimated </w:t>
            </w:r>
            <w:r w:rsidRPr="00CF5C85">
              <w:rPr>
                <w:rFonts w:ascii="Times New Roman" w:hAnsi="Times New Roman"/>
                <w:b/>
                <w:bCs/>
                <w:sz w:val="20"/>
                <w:szCs w:val="20"/>
              </w:rPr>
              <w:t># of Responses</w:t>
            </w:r>
            <w:r w:rsidRPr="00CF5C85">
              <w:rPr>
                <w:rFonts w:ascii="Times New Roman" w:hAnsi="Times New Roman"/>
                <w:b/>
                <w:bCs/>
                <w:sz w:val="20"/>
                <w:szCs w:val="20"/>
              </w:rPr>
              <w:t xml:space="preserve"> Per Respondent</w:t>
            </w:r>
          </w:p>
          <w:p w:rsidR="00701814" w:rsidRPr="00CF5C85" w:rsidP="004C71B0" w14:paraId="6F1D4D73" w14:textId="77777777">
            <w:pPr>
              <w:jc w:val="center"/>
              <w:rPr>
                <w:rFonts w:ascii="Times New Roman" w:hAnsi="Times New Roman"/>
                <w:b/>
                <w:bCs/>
                <w:sz w:val="20"/>
                <w:szCs w:val="20"/>
              </w:rPr>
            </w:pPr>
          </w:p>
        </w:tc>
        <w:tc>
          <w:tcPr>
            <w:tcW w:w="1407" w:type="dxa"/>
          </w:tcPr>
          <w:p w:rsidR="00701814" w:rsidRPr="00CF5C85" w:rsidP="004C71B0" w14:paraId="523119EE" w14:textId="249AB74C">
            <w:pPr>
              <w:jc w:val="center"/>
              <w:rPr>
                <w:rFonts w:ascii="Times New Roman" w:hAnsi="Times New Roman"/>
                <w:b/>
                <w:bCs/>
                <w:sz w:val="20"/>
                <w:szCs w:val="20"/>
              </w:rPr>
            </w:pPr>
            <w:r>
              <w:rPr>
                <w:rFonts w:ascii="Times New Roman" w:hAnsi="Times New Roman"/>
                <w:b/>
                <w:bCs/>
                <w:sz w:val="20"/>
                <w:szCs w:val="20"/>
              </w:rPr>
              <w:t>5</w:t>
            </w:r>
            <w:r w:rsidRPr="00CF5C85">
              <w:rPr>
                <w:rFonts w:ascii="Times New Roman" w:hAnsi="Times New Roman"/>
                <w:b/>
                <w:bCs/>
                <w:sz w:val="20"/>
                <w:szCs w:val="20"/>
              </w:rPr>
              <w:t xml:space="preserve">. </w:t>
            </w:r>
          </w:p>
          <w:p w:rsidR="00701814" w:rsidRPr="00CF5C85" w:rsidP="004C71B0" w14:paraId="40BCA1B1" w14:textId="77777777">
            <w:pPr>
              <w:jc w:val="center"/>
              <w:rPr>
                <w:rFonts w:ascii="Times New Roman" w:hAnsi="Times New Roman"/>
                <w:b/>
                <w:bCs/>
                <w:sz w:val="20"/>
                <w:szCs w:val="20"/>
              </w:rPr>
            </w:pPr>
            <w:r w:rsidRPr="00CF5C85">
              <w:rPr>
                <w:rFonts w:ascii="Times New Roman" w:hAnsi="Times New Roman"/>
                <w:b/>
                <w:bCs/>
                <w:sz w:val="20"/>
                <w:szCs w:val="20"/>
              </w:rPr>
              <w:t xml:space="preserve">Estimated Average </w:t>
            </w:r>
            <w:r w:rsidRPr="00CF5C85">
              <w:rPr>
                <w:rFonts w:ascii="Times New Roman" w:hAnsi="Times New Roman"/>
                <w:b/>
                <w:bCs/>
                <w:sz w:val="20"/>
                <w:szCs w:val="20"/>
              </w:rPr>
              <w:t>Number</w:t>
            </w:r>
            <w:r w:rsidRPr="00CF5C85">
              <w:rPr>
                <w:rFonts w:ascii="Times New Roman" w:hAnsi="Times New Roman"/>
                <w:b/>
                <w:bCs/>
                <w:sz w:val="20"/>
                <w:szCs w:val="20"/>
              </w:rPr>
              <w:t xml:space="preserve"> of Burden Hours Per Response</w:t>
            </w:r>
          </w:p>
        </w:tc>
        <w:tc>
          <w:tcPr>
            <w:tcW w:w="1293" w:type="dxa"/>
          </w:tcPr>
          <w:p w:rsidR="00701814" w:rsidRPr="00CF5C85" w:rsidP="004C71B0" w14:paraId="1F93E22A" w14:textId="1214CFDB">
            <w:pPr>
              <w:jc w:val="center"/>
              <w:rPr>
                <w:rFonts w:ascii="Times New Roman" w:hAnsi="Times New Roman"/>
                <w:b/>
                <w:bCs/>
                <w:sz w:val="20"/>
                <w:szCs w:val="20"/>
              </w:rPr>
            </w:pPr>
            <w:r>
              <w:rPr>
                <w:rFonts w:ascii="Times New Roman" w:hAnsi="Times New Roman"/>
                <w:b/>
                <w:bCs/>
                <w:sz w:val="20"/>
                <w:szCs w:val="20"/>
              </w:rPr>
              <w:t>6</w:t>
            </w:r>
            <w:r w:rsidRPr="00CF5C85">
              <w:rPr>
                <w:rFonts w:ascii="Times New Roman" w:hAnsi="Times New Roman"/>
                <w:b/>
                <w:bCs/>
                <w:sz w:val="20"/>
                <w:szCs w:val="20"/>
              </w:rPr>
              <w:t xml:space="preserve">. </w:t>
            </w:r>
          </w:p>
          <w:p w:rsidR="00701814" w:rsidRPr="00CF5C85" w:rsidP="004C71B0" w14:paraId="07581717" w14:textId="745BA613">
            <w:pPr>
              <w:jc w:val="center"/>
              <w:rPr>
                <w:rFonts w:ascii="Times New Roman" w:hAnsi="Times New Roman"/>
                <w:b/>
                <w:bCs/>
                <w:sz w:val="20"/>
                <w:szCs w:val="20"/>
              </w:rPr>
            </w:pPr>
            <w:r w:rsidRPr="00CF5C85">
              <w:rPr>
                <w:rFonts w:ascii="Times New Roman" w:hAnsi="Times New Roman"/>
                <w:b/>
                <w:bCs/>
                <w:sz w:val="20"/>
                <w:szCs w:val="20"/>
              </w:rPr>
              <w:t xml:space="preserve">Annual </w:t>
            </w:r>
            <w:r w:rsidRPr="00CF5C85">
              <w:rPr>
                <w:rFonts w:ascii="Times New Roman" w:hAnsi="Times New Roman"/>
                <w:b/>
                <w:bCs/>
                <w:sz w:val="20"/>
                <w:szCs w:val="20"/>
              </w:rPr>
              <w:t>Number</w:t>
            </w:r>
            <w:r w:rsidRPr="00CF5C85">
              <w:rPr>
                <w:rFonts w:ascii="Times New Roman" w:hAnsi="Times New Roman"/>
                <w:b/>
                <w:bCs/>
                <w:sz w:val="20"/>
                <w:szCs w:val="20"/>
              </w:rPr>
              <w:t xml:space="preserve"> of Burden Hours Per Respondent (</w:t>
            </w:r>
            <w:r w:rsidR="008E3854">
              <w:rPr>
                <w:rFonts w:ascii="Times New Roman" w:hAnsi="Times New Roman"/>
                <w:b/>
                <w:bCs/>
                <w:sz w:val="20"/>
                <w:szCs w:val="20"/>
              </w:rPr>
              <w:t>4</w:t>
            </w:r>
            <w:r w:rsidR="00804B84">
              <w:rPr>
                <w:rFonts w:ascii="Times New Roman" w:hAnsi="Times New Roman"/>
              </w:rPr>
              <w:t>×</w:t>
            </w:r>
            <w:r w:rsidR="008E3854">
              <w:rPr>
                <w:rFonts w:ascii="Times New Roman" w:hAnsi="Times New Roman"/>
                <w:b/>
                <w:bCs/>
                <w:sz w:val="20"/>
                <w:szCs w:val="20"/>
              </w:rPr>
              <w:t>5</w:t>
            </w:r>
            <w:r w:rsidRPr="00CF5C85">
              <w:rPr>
                <w:rFonts w:ascii="Times New Roman" w:hAnsi="Times New Roman"/>
                <w:b/>
                <w:bCs/>
                <w:sz w:val="20"/>
                <w:szCs w:val="20"/>
              </w:rPr>
              <w:t>)</w:t>
            </w:r>
          </w:p>
        </w:tc>
        <w:tc>
          <w:tcPr>
            <w:tcW w:w="991" w:type="dxa"/>
          </w:tcPr>
          <w:p w:rsidR="00701814" w:rsidRPr="00CF5C85" w:rsidP="004C71B0" w14:paraId="597A78D0" w14:textId="4E4A6D55">
            <w:pPr>
              <w:jc w:val="center"/>
              <w:rPr>
                <w:rFonts w:ascii="Times New Roman" w:hAnsi="Times New Roman"/>
                <w:b/>
                <w:bCs/>
                <w:sz w:val="20"/>
                <w:szCs w:val="20"/>
              </w:rPr>
            </w:pPr>
            <w:r>
              <w:rPr>
                <w:rFonts w:ascii="Times New Roman" w:hAnsi="Times New Roman"/>
                <w:b/>
                <w:bCs/>
                <w:sz w:val="20"/>
                <w:szCs w:val="20"/>
              </w:rPr>
              <w:t>7</w:t>
            </w:r>
            <w:r w:rsidRPr="00CF5C85">
              <w:rPr>
                <w:rFonts w:ascii="Times New Roman" w:hAnsi="Times New Roman"/>
                <w:b/>
                <w:bCs/>
                <w:sz w:val="20"/>
                <w:szCs w:val="20"/>
              </w:rPr>
              <w:t xml:space="preserve">. </w:t>
            </w:r>
          </w:p>
          <w:p w:rsidR="00701814" w:rsidRPr="00CF5C85" w:rsidP="004C71B0" w14:paraId="4A79AAE3" w14:textId="77777777">
            <w:pPr>
              <w:jc w:val="center"/>
              <w:rPr>
                <w:rFonts w:ascii="Times New Roman" w:hAnsi="Times New Roman"/>
                <w:b/>
                <w:bCs/>
                <w:sz w:val="20"/>
                <w:szCs w:val="20"/>
              </w:rPr>
            </w:pPr>
            <w:r w:rsidRPr="00CF5C85">
              <w:rPr>
                <w:rFonts w:ascii="Times New Roman" w:hAnsi="Times New Roman"/>
                <w:b/>
                <w:bCs/>
                <w:sz w:val="20"/>
                <w:szCs w:val="20"/>
              </w:rPr>
              <w:t>Estimated Average Burden Hour Cost</w:t>
            </w:r>
          </w:p>
        </w:tc>
        <w:tc>
          <w:tcPr>
            <w:tcW w:w="1349" w:type="dxa"/>
          </w:tcPr>
          <w:p w:rsidR="00701814" w:rsidRPr="00CF5C85" w:rsidP="004C71B0" w14:paraId="389DB2D0" w14:textId="2112E38C">
            <w:pPr>
              <w:jc w:val="center"/>
              <w:rPr>
                <w:rFonts w:ascii="Times New Roman" w:hAnsi="Times New Roman"/>
                <w:b/>
                <w:bCs/>
                <w:sz w:val="20"/>
                <w:szCs w:val="20"/>
              </w:rPr>
            </w:pPr>
            <w:r>
              <w:rPr>
                <w:rFonts w:ascii="Times New Roman" w:hAnsi="Times New Roman"/>
                <w:b/>
                <w:bCs/>
                <w:sz w:val="20"/>
                <w:szCs w:val="20"/>
              </w:rPr>
              <w:t>8</w:t>
            </w:r>
            <w:r w:rsidRPr="00CF5C85">
              <w:rPr>
                <w:rFonts w:ascii="Times New Roman" w:hAnsi="Times New Roman"/>
                <w:b/>
                <w:bCs/>
                <w:sz w:val="20"/>
                <w:szCs w:val="20"/>
              </w:rPr>
              <w:t xml:space="preserve">. </w:t>
            </w:r>
          </w:p>
          <w:p w:rsidR="00701814" w:rsidRPr="00CF5C85" w:rsidP="004C71B0" w14:paraId="14E1A211" w14:textId="5C41FEBD">
            <w:pPr>
              <w:jc w:val="center"/>
              <w:rPr>
                <w:rFonts w:ascii="Times New Roman" w:hAnsi="Times New Roman"/>
                <w:b/>
                <w:bCs/>
                <w:sz w:val="20"/>
                <w:szCs w:val="20"/>
              </w:rPr>
            </w:pPr>
            <w:r w:rsidRPr="00CF5C85">
              <w:rPr>
                <w:rFonts w:ascii="Times New Roman" w:hAnsi="Times New Roman"/>
                <w:b/>
                <w:bCs/>
                <w:sz w:val="20"/>
                <w:szCs w:val="20"/>
              </w:rPr>
              <w:t>Total Average Hour Burden Cost Per Respondent (</w:t>
            </w:r>
            <w:r w:rsidR="008E3854">
              <w:rPr>
                <w:rFonts w:ascii="Times New Roman" w:hAnsi="Times New Roman"/>
                <w:b/>
                <w:bCs/>
                <w:sz w:val="20"/>
                <w:szCs w:val="20"/>
              </w:rPr>
              <w:t>6</w:t>
            </w:r>
            <w:r w:rsidR="00804B84">
              <w:rPr>
                <w:rFonts w:ascii="Times New Roman" w:hAnsi="Times New Roman"/>
              </w:rPr>
              <w:t>×</w:t>
            </w:r>
            <w:r w:rsidR="008E3854">
              <w:rPr>
                <w:rFonts w:ascii="Times New Roman" w:hAnsi="Times New Roman"/>
                <w:b/>
                <w:bCs/>
                <w:sz w:val="20"/>
                <w:szCs w:val="20"/>
              </w:rPr>
              <w:t>7</w:t>
            </w:r>
            <w:r w:rsidRPr="00CF5C85">
              <w:rPr>
                <w:rFonts w:ascii="Times New Roman" w:hAnsi="Times New Roman"/>
                <w:b/>
                <w:bCs/>
                <w:sz w:val="20"/>
                <w:szCs w:val="20"/>
              </w:rPr>
              <w:t>)</w:t>
            </w:r>
          </w:p>
        </w:tc>
        <w:tc>
          <w:tcPr>
            <w:tcW w:w="1170" w:type="dxa"/>
          </w:tcPr>
          <w:p w:rsidR="00701814" w:rsidRPr="00CF5C85" w:rsidP="004C71B0" w14:paraId="2F132B1C" w14:textId="4373D005">
            <w:pPr>
              <w:jc w:val="center"/>
              <w:rPr>
                <w:rFonts w:ascii="Times New Roman" w:hAnsi="Times New Roman"/>
                <w:b/>
                <w:bCs/>
                <w:sz w:val="20"/>
                <w:szCs w:val="20"/>
              </w:rPr>
            </w:pPr>
            <w:r>
              <w:rPr>
                <w:rFonts w:ascii="Times New Roman" w:hAnsi="Times New Roman"/>
                <w:b/>
                <w:bCs/>
                <w:sz w:val="20"/>
                <w:szCs w:val="20"/>
              </w:rPr>
              <w:t>9</w:t>
            </w:r>
            <w:r w:rsidRPr="00CF5C85">
              <w:rPr>
                <w:rFonts w:ascii="Times New Roman" w:hAnsi="Times New Roman"/>
                <w:b/>
                <w:bCs/>
                <w:sz w:val="20"/>
                <w:szCs w:val="20"/>
              </w:rPr>
              <w:t xml:space="preserve">. </w:t>
            </w:r>
          </w:p>
          <w:p w:rsidR="00701814" w:rsidRPr="00CF5C85" w:rsidP="004C71B0" w14:paraId="0D69AF36" w14:textId="70DEC965">
            <w:pPr>
              <w:jc w:val="center"/>
              <w:rPr>
                <w:rFonts w:ascii="Times New Roman" w:hAnsi="Times New Roman"/>
                <w:b/>
                <w:bCs/>
                <w:sz w:val="20"/>
                <w:szCs w:val="20"/>
              </w:rPr>
            </w:pPr>
            <w:r w:rsidRPr="00CF5C85">
              <w:rPr>
                <w:rFonts w:ascii="Times New Roman" w:hAnsi="Times New Roman"/>
                <w:b/>
                <w:bCs/>
                <w:sz w:val="20"/>
                <w:szCs w:val="20"/>
              </w:rPr>
              <w:t>Total # Annual Responses (2</w:t>
            </w:r>
            <w:r w:rsidR="00804B84">
              <w:rPr>
                <w:rFonts w:ascii="Times New Roman" w:hAnsi="Times New Roman"/>
              </w:rPr>
              <w:t>×</w:t>
            </w:r>
            <w:r w:rsidR="008E3854">
              <w:rPr>
                <w:rFonts w:ascii="Times New Roman" w:hAnsi="Times New Roman"/>
                <w:b/>
                <w:bCs/>
                <w:sz w:val="20"/>
                <w:szCs w:val="20"/>
              </w:rPr>
              <w:t>4</w:t>
            </w:r>
            <w:r w:rsidRPr="00CF5C85">
              <w:rPr>
                <w:rFonts w:ascii="Times New Roman" w:hAnsi="Times New Roman"/>
                <w:b/>
                <w:bCs/>
                <w:sz w:val="20"/>
                <w:szCs w:val="20"/>
              </w:rPr>
              <w:t>)</w:t>
            </w:r>
          </w:p>
        </w:tc>
        <w:tc>
          <w:tcPr>
            <w:tcW w:w="1345" w:type="dxa"/>
          </w:tcPr>
          <w:p w:rsidR="008E3854" w:rsidP="004C71B0" w14:paraId="513AC6C1" w14:textId="77777777">
            <w:pPr>
              <w:jc w:val="center"/>
              <w:rPr>
                <w:rFonts w:ascii="Times New Roman" w:hAnsi="Times New Roman"/>
                <w:b/>
                <w:bCs/>
                <w:sz w:val="20"/>
                <w:szCs w:val="20"/>
              </w:rPr>
            </w:pPr>
            <w:r>
              <w:rPr>
                <w:rFonts w:ascii="Times New Roman" w:hAnsi="Times New Roman"/>
                <w:b/>
                <w:bCs/>
                <w:sz w:val="20"/>
                <w:szCs w:val="20"/>
              </w:rPr>
              <w:t>10</w:t>
            </w:r>
            <w:r w:rsidRPr="00CF5C85">
              <w:rPr>
                <w:rFonts w:ascii="Times New Roman" w:hAnsi="Times New Roman"/>
                <w:b/>
                <w:bCs/>
                <w:sz w:val="20"/>
                <w:szCs w:val="20"/>
              </w:rPr>
              <w:t xml:space="preserve">. </w:t>
            </w:r>
          </w:p>
          <w:p w:rsidR="00701814" w:rsidRPr="00CF5C85" w:rsidP="004C71B0" w14:paraId="2A735C85" w14:textId="730541EC">
            <w:pPr>
              <w:jc w:val="center"/>
              <w:rPr>
                <w:rFonts w:ascii="Times New Roman" w:hAnsi="Times New Roman"/>
                <w:b/>
                <w:bCs/>
                <w:sz w:val="20"/>
                <w:szCs w:val="20"/>
              </w:rPr>
            </w:pPr>
            <w:r w:rsidRPr="00CF5C85">
              <w:rPr>
                <w:rFonts w:ascii="Times New Roman" w:hAnsi="Times New Roman"/>
                <w:b/>
                <w:bCs/>
                <w:sz w:val="20"/>
                <w:szCs w:val="20"/>
              </w:rPr>
              <w:t>Total Annual Number of Burden Hours (2</w:t>
            </w:r>
            <w:r w:rsidR="00804B84">
              <w:rPr>
                <w:rFonts w:ascii="Times New Roman" w:hAnsi="Times New Roman"/>
              </w:rPr>
              <w:t>×</w:t>
            </w:r>
            <w:r w:rsidR="008E3854">
              <w:rPr>
                <w:rFonts w:ascii="Times New Roman" w:hAnsi="Times New Roman"/>
                <w:b/>
                <w:bCs/>
                <w:sz w:val="20"/>
                <w:szCs w:val="20"/>
              </w:rPr>
              <w:t>6</w:t>
            </w:r>
            <w:r w:rsidRPr="00CF5C85">
              <w:rPr>
                <w:rFonts w:ascii="Times New Roman" w:hAnsi="Times New Roman"/>
                <w:b/>
                <w:bCs/>
                <w:sz w:val="20"/>
                <w:szCs w:val="20"/>
              </w:rPr>
              <w:t>)</w:t>
            </w:r>
          </w:p>
        </w:tc>
        <w:tc>
          <w:tcPr>
            <w:tcW w:w="1260" w:type="dxa"/>
          </w:tcPr>
          <w:p w:rsidR="00701814" w:rsidRPr="00CF5C85" w:rsidP="004C71B0" w14:paraId="26B1331C" w14:textId="10639DA7">
            <w:pPr>
              <w:jc w:val="center"/>
              <w:rPr>
                <w:rFonts w:ascii="Times New Roman" w:hAnsi="Times New Roman"/>
                <w:b/>
                <w:bCs/>
                <w:sz w:val="20"/>
                <w:szCs w:val="20"/>
              </w:rPr>
            </w:pPr>
            <w:r w:rsidRPr="00CF5C85">
              <w:rPr>
                <w:rFonts w:ascii="Times New Roman" w:hAnsi="Times New Roman"/>
                <w:b/>
                <w:bCs/>
                <w:sz w:val="20"/>
                <w:szCs w:val="20"/>
              </w:rPr>
              <w:t>1</w:t>
            </w:r>
            <w:r>
              <w:rPr>
                <w:rFonts w:ascii="Times New Roman" w:hAnsi="Times New Roman"/>
                <w:b/>
                <w:bCs/>
                <w:sz w:val="20"/>
                <w:szCs w:val="20"/>
              </w:rPr>
              <w:t>1</w:t>
            </w:r>
            <w:r w:rsidRPr="00CF5C85">
              <w:rPr>
                <w:rFonts w:ascii="Times New Roman" w:hAnsi="Times New Roman"/>
                <w:b/>
                <w:bCs/>
                <w:sz w:val="20"/>
                <w:szCs w:val="20"/>
              </w:rPr>
              <w:t>.</w:t>
            </w:r>
          </w:p>
          <w:p w:rsidR="00701814" w:rsidRPr="00CF5C85" w:rsidP="004C71B0" w14:paraId="77027603" w14:textId="2DAF5702">
            <w:pPr>
              <w:jc w:val="center"/>
              <w:rPr>
                <w:rFonts w:ascii="Times New Roman" w:hAnsi="Times New Roman"/>
                <w:b/>
                <w:bCs/>
                <w:sz w:val="20"/>
                <w:szCs w:val="20"/>
              </w:rPr>
            </w:pPr>
            <w:r w:rsidRPr="00CF5C85">
              <w:rPr>
                <w:rFonts w:ascii="Times New Roman" w:hAnsi="Times New Roman"/>
                <w:b/>
                <w:bCs/>
                <w:sz w:val="20"/>
                <w:szCs w:val="20"/>
              </w:rPr>
              <w:t>Total Annual Burden Hour Cost of All Responses (2</w:t>
            </w:r>
            <w:r w:rsidR="00804B84">
              <w:rPr>
                <w:rFonts w:ascii="Times New Roman" w:hAnsi="Times New Roman"/>
              </w:rPr>
              <w:t>×</w:t>
            </w:r>
            <w:r w:rsidR="008E3854">
              <w:rPr>
                <w:rFonts w:ascii="Times New Roman" w:hAnsi="Times New Roman"/>
                <w:b/>
                <w:bCs/>
                <w:sz w:val="20"/>
                <w:szCs w:val="20"/>
              </w:rPr>
              <w:t>8</w:t>
            </w:r>
            <w:r w:rsidRPr="00CF5C85">
              <w:rPr>
                <w:rFonts w:ascii="Times New Roman" w:hAnsi="Times New Roman"/>
                <w:b/>
                <w:bCs/>
                <w:sz w:val="20"/>
                <w:szCs w:val="20"/>
              </w:rPr>
              <w:t>)</w:t>
            </w:r>
          </w:p>
        </w:tc>
      </w:tr>
      <w:tr w14:paraId="7F33140E" w14:textId="77777777" w:rsidTr="001823DF">
        <w:tblPrEx>
          <w:tblW w:w="14395" w:type="dxa"/>
          <w:jc w:val="center"/>
          <w:tblLayout w:type="fixed"/>
          <w:tblLook w:val="01E0"/>
        </w:tblPrEx>
        <w:trPr>
          <w:jc w:val="center"/>
        </w:trPr>
        <w:tc>
          <w:tcPr>
            <w:tcW w:w="14395" w:type="dxa"/>
            <w:gridSpan w:val="11"/>
          </w:tcPr>
          <w:p w:rsidR="008E3854" w:rsidRPr="00E03700" w:rsidP="004C71B0" w14:paraId="372E1D9E" w14:textId="678BCD34">
            <w:pPr>
              <w:jc w:val="center"/>
              <w:rPr>
                <w:rFonts w:ascii="Times New Roman" w:hAnsi="Times New Roman"/>
                <w:b/>
                <w:bCs/>
                <w:sz w:val="20"/>
                <w:szCs w:val="20"/>
              </w:rPr>
            </w:pPr>
            <w:r w:rsidRPr="00E03700">
              <w:rPr>
                <w:rFonts w:ascii="Times New Roman" w:hAnsi="Times New Roman"/>
                <w:b/>
                <w:bCs/>
                <w:sz w:val="20"/>
                <w:szCs w:val="20"/>
              </w:rPr>
              <w:t>Recordkeeping</w:t>
            </w:r>
          </w:p>
        </w:tc>
      </w:tr>
      <w:tr w14:paraId="0910521B" w14:textId="77777777" w:rsidTr="001823DF">
        <w:tblPrEx>
          <w:tblW w:w="14395" w:type="dxa"/>
          <w:jc w:val="center"/>
          <w:tblLayout w:type="fixed"/>
          <w:tblLook w:val="01E0"/>
        </w:tblPrEx>
        <w:trPr>
          <w:jc w:val="center"/>
        </w:trPr>
        <w:tc>
          <w:tcPr>
            <w:tcW w:w="1710" w:type="dxa"/>
          </w:tcPr>
          <w:p w:rsidR="00701814" w:rsidRPr="00CF5C85" w:rsidP="004C71B0" w14:paraId="2936A7D4" w14:textId="64F27365">
            <w:pPr>
              <w:rPr>
                <w:rFonts w:ascii="Times New Roman" w:hAnsi="Times New Roman"/>
                <w:sz w:val="20"/>
                <w:szCs w:val="20"/>
              </w:rPr>
            </w:pPr>
            <w:r>
              <w:rPr>
                <w:rFonts w:ascii="Times New Roman" w:hAnsi="Times New Roman"/>
                <w:sz w:val="20"/>
                <w:szCs w:val="20"/>
              </w:rPr>
              <w:t>Transaction Records (including Daily Trading Records)</w:t>
            </w:r>
          </w:p>
        </w:tc>
        <w:tc>
          <w:tcPr>
            <w:tcW w:w="1440" w:type="dxa"/>
            <w:shd w:val="clear" w:color="auto" w:fill="auto"/>
          </w:tcPr>
          <w:p w:rsidR="00701814" w:rsidRPr="00CF5C85" w:rsidP="004C71B0" w14:paraId="30D12B36" w14:textId="377A80FC">
            <w:pPr>
              <w:rPr>
                <w:rFonts w:ascii="Times New Roman" w:hAnsi="Times New Roman"/>
                <w:sz w:val="20"/>
                <w:szCs w:val="20"/>
              </w:rPr>
            </w:pPr>
            <w:r>
              <w:rPr>
                <w:rFonts w:ascii="Times New Roman" w:hAnsi="Times New Roman"/>
                <w:sz w:val="20"/>
                <w:szCs w:val="20"/>
              </w:rPr>
              <w:t>107</w:t>
            </w:r>
          </w:p>
        </w:tc>
        <w:tc>
          <w:tcPr>
            <w:tcW w:w="1170" w:type="dxa"/>
          </w:tcPr>
          <w:p w:rsidR="00701814" w:rsidP="004C71B0" w14:paraId="7BD4FF3D" w14:textId="03C69DA5">
            <w:pPr>
              <w:rPr>
                <w:rFonts w:ascii="Times New Roman" w:hAnsi="Times New Roman"/>
                <w:sz w:val="20"/>
                <w:szCs w:val="20"/>
              </w:rPr>
            </w:pPr>
            <w:r>
              <w:rPr>
                <w:rFonts w:ascii="Times New Roman" w:hAnsi="Times New Roman"/>
                <w:sz w:val="20"/>
                <w:szCs w:val="20"/>
              </w:rPr>
              <w:t>Daily</w:t>
            </w:r>
          </w:p>
        </w:tc>
        <w:tc>
          <w:tcPr>
            <w:tcW w:w="1260" w:type="dxa"/>
            <w:shd w:val="clear" w:color="auto" w:fill="auto"/>
          </w:tcPr>
          <w:p w:rsidR="00701814" w:rsidRPr="00CF5C85" w:rsidP="004C71B0" w14:paraId="63739420" w14:textId="7C44F0C0">
            <w:pPr>
              <w:rPr>
                <w:rFonts w:ascii="Times New Roman" w:hAnsi="Times New Roman"/>
                <w:sz w:val="20"/>
                <w:szCs w:val="20"/>
              </w:rPr>
            </w:pPr>
            <w:r>
              <w:rPr>
                <w:rFonts w:ascii="Times New Roman" w:hAnsi="Times New Roman"/>
                <w:sz w:val="20"/>
                <w:szCs w:val="20"/>
              </w:rPr>
              <w:t>252</w:t>
            </w:r>
          </w:p>
        </w:tc>
        <w:tc>
          <w:tcPr>
            <w:tcW w:w="1407" w:type="dxa"/>
            <w:shd w:val="clear" w:color="auto" w:fill="auto"/>
          </w:tcPr>
          <w:p w:rsidR="00701814" w:rsidRPr="00CF5C85" w:rsidP="004C71B0" w14:paraId="640683D6" w14:textId="5AABAC68">
            <w:pPr>
              <w:rPr>
                <w:rFonts w:ascii="Times New Roman" w:hAnsi="Times New Roman"/>
                <w:sz w:val="20"/>
                <w:szCs w:val="20"/>
              </w:rPr>
            </w:pPr>
            <w:r>
              <w:rPr>
                <w:rFonts w:ascii="Times New Roman" w:hAnsi="Times New Roman"/>
                <w:sz w:val="20"/>
                <w:szCs w:val="20"/>
              </w:rPr>
              <w:t>8</w:t>
            </w:r>
          </w:p>
        </w:tc>
        <w:tc>
          <w:tcPr>
            <w:tcW w:w="1293" w:type="dxa"/>
            <w:shd w:val="clear" w:color="auto" w:fill="auto"/>
          </w:tcPr>
          <w:p w:rsidR="00701814" w:rsidRPr="00CF5C85" w:rsidP="004C71B0" w14:paraId="68FC9E61" w14:textId="0734F421">
            <w:pPr>
              <w:rPr>
                <w:rFonts w:ascii="Times New Roman" w:hAnsi="Times New Roman"/>
                <w:sz w:val="20"/>
                <w:szCs w:val="20"/>
              </w:rPr>
            </w:pPr>
            <w:r>
              <w:rPr>
                <w:rFonts w:ascii="Times New Roman" w:hAnsi="Times New Roman"/>
                <w:sz w:val="20"/>
                <w:szCs w:val="20"/>
              </w:rPr>
              <w:t>2,016</w:t>
            </w:r>
          </w:p>
        </w:tc>
        <w:tc>
          <w:tcPr>
            <w:tcW w:w="991" w:type="dxa"/>
            <w:shd w:val="clear" w:color="auto" w:fill="auto"/>
          </w:tcPr>
          <w:p w:rsidR="00701814" w:rsidRPr="00CF5C85" w:rsidP="004C71B0" w14:paraId="3E54CFD2" w14:textId="15E9C6FC">
            <w:pPr>
              <w:rPr>
                <w:rFonts w:ascii="Times New Roman" w:hAnsi="Times New Roman"/>
                <w:sz w:val="20"/>
                <w:szCs w:val="20"/>
              </w:rPr>
            </w:pPr>
            <w:r>
              <w:rPr>
                <w:rFonts w:ascii="Times New Roman" w:hAnsi="Times New Roman"/>
                <w:sz w:val="20"/>
                <w:szCs w:val="20"/>
              </w:rPr>
              <w:t>$100</w:t>
            </w:r>
          </w:p>
        </w:tc>
        <w:tc>
          <w:tcPr>
            <w:tcW w:w="1349" w:type="dxa"/>
            <w:shd w:val="clear" w:color="auto" w:fill="auto"/>
          </w:tcPr>
          <w:p w:rsidR="00701814" w:rsidRPr="00CF5C85" w:rsidP="004C71B0" w14:paraId="56B58A4C" w14:textId="7F09938A">
            <w:pPr>
              <w:rPr>
                <w:rFonts w:ascii="Times New Roman" w:hAnsi="Times New Roman"/>
                <w:sz w:val="20"/>
                <w:szCs w:val="20"/>
              </w:rPr>
            </w:pPr>
            <w:r>
              <w:rPr>
                <w:rFonts w:ascii="Times New Roman" w:hAnsi="Times New Roman"/>
                <w:sz w:val="20"/>
                <w:szCs w:val="20"/>
              </w:rPr>
              <w:t>$201,600</w:t>
            </w:r>
          </w:p>
        </w:tc>
        <w:tc>
          <w:tcPr>
            <w:tcW w:w="1170" w:type="dxa"/>
            <w:shd w:val="clear" w:color="auto" w:fill="auto"/>
          </w:tcPr>
          <w:p w:rsidR="00701814" w:rsidRPr="00CF5C85" w:rsidP="004C71B0" w14:paraId="0D876BBD" w14:textId="71B30448">
            <w:pPr>
              <w:rPr>
                <w:rFonts w:ascii="Times New Roman" w:hAnsi="Times New Roman"/>
                <w:sz w:val="20"/>
                <w:szCs w:val="20"/>
              </w:rPr>
            </w:pPr>
            <w:r>
              <w:rPr>
                <w:rFonts w:ascii="Times New Roman" w:hAnsi="Times New Roman"/>
                <w:sz w:val="20"/>
                <w:szCs w:val="20"/>
              </w:rPr>
              <w:t>26,</w:t>
            </w:r>
            <w:r w:rsidR="00E85438">
              <w:rPr>
                <w:rFonts w:ascii="Times New Roman" w:hAnsi="Times New Roman"/>
                <w:sz w:val="20"/>
                <w:szCs w:val="20"/>
              </w:rPr>
              <w:t>964</w:t>
            </w:r>
          </w:p>
        </w:tc>
        <w:tc>
          <w:tcPr>
            <w:tcW w:w="1345" w:type="dxa"/>
            <w:shd w:val="clear" w:color="auto" w:fill="auto"/>
          </w:tcPr>
          <w:p w:rsidR="00701814" w:rsidRPr="00CF5C85" w:rsidP="004C71B0" w14:paraId="1F3CFB3E" w14:textId="7BB83BF5">
            <w:pPr>
              <w:rPr>
                <w:rFonts w:ascii="Times New Roman" w:hAnsi="Times New Roman"/>
                <w:sz w:val="20"/>
                <w:szCs w:val="20"/>
              </w:rPr>
            </w:pPr>
            <w:r>
              <w:rPr>
                <w:rFonts w:ascii="Times New Roman" w:hAnsi="Times New Roman"/>
                <w:sz w:val="20"/>
                <w:szCs w:val="20"/>
              </w:rPr>
              <w:t>215,712</w:t>
            </w:r>
          </w:p>
        </w:tc>
        <w:tc>
          <w:tcPr>
            <w:tcW w:w="1260" w:type="dxa"/>
            <w:shd w:val="clear" w:color="auto" w:fill="auto"/>
          </w:tcPr>
          <w:p w:rsidR="00701814" w:rsidRPr="00CF5C85" w:rsidP="004C71B0" w14:paraId="017F3B3D" w14:textId="65E1254E">
            <w:pPr>
              <w:rPr>
                <w:rFonts w:ascii="Times New Roman" w:hAnsi="Times New Roman"/>
                <w:sz w:val="20"/>
                <w:szCs w:val="20"/>
              </w:rPr>
            </w:pPr>
            <w:r>
              <w:rPr>
                <w:rFonts w:ascii="Times New Roman" w:hAnsi="Times New Roman"/>
                <w:sz w:val="20"/>
                <w:szCs w:val="20"/>
              </w:rPr>
              <w:t>$21,</w:t>
            </w:r>
            <w:r w:rsidR="00E85438">
              <w:rPr>
                <w:rFonts w:ascii="Times New Roman" w:hAnsi="Times New Roman"/>
                <w:sz w:val="20"/>
                <w:szCs w:val="20"/>
              </w:rPr>
              <w:t>571,200</w:t>
            </w:r>
          </w:p>
        </w:tc>
      </w:tr>
      <w:tr w14:paraId="560DBD6D" w14:textId="77777777" w:rsidTr="001823DF">
        <w:tblPrEx>
          <w:tblW w:w="14395" w:type="dxa"/>
          <w:jc w:val="center"/>
          <w:tblLayout w:type="fixed"/>
          <w:tblLook w:val="01E0"/>
        </w:tblPrEx>
        <w:trPr>
          <w:jc w:val="center"/>
        </w:trPr>
        <w:tc>
          <w:tcPr>
            <w:tcW w:w="1710" w:type="dxa"/>
          </w:tcPr>
          <w:p w:rsidR="00701814" w:rsidRPr="00CF5C85" w:rsidP="004C71B0" w14:paraId="00776831" w14:textId="435024E6">
            <w:pPr>
              <w:rPr>
                <w:rFonts w:ascii="Times New Roman" w:hAnsi="Times New Roman"/>
                <w:sz w:val="20"/>
                <w:szCs w:val="20"/>
              </w:rPr>
            </w:pPr>
            <w:r>
              <w:rPr>
                <w:rFonts w:ascii="Times New Roman" w:hAnsi="Times New Roman"/>
                <w:sz w:val="20"/>
                <w:szCs w:val="20"/>
              </w:rPr>
              <w:t>Position Records</w:t>
            </w:r>
          </w:p>
        </w:tc>
        <w:tc>
          <w:tcPr>
            <w:tcW w:w="1440" w:type="dxa"/>
            <w:shd w:val="clear" w:color="auto" w:fill="auto"/>
          </w:tcPr>
          <w:p w:rsidR="00701814" w:rsidRPr="00CF5C85" w:rsidP="004C71B0" w14:paraId="7FE4D885" w14:textId="0961128E">
            <w:pPr>
              <w:rPr>
                <w:rFonts w:ascii="Times New Roman" w:hAnsi="Times New Roman"/>
                <w:sz w:val="20"/>
                <w:szCs w:val="20"/>
              </w:rPr>
            </w:pPr>
            <w:r>
              <w:rPr>
                <w:rFonts w:ascii="Times New Roman" w:hAnsi="Times New Roman"/>
                <w:sz w:val="20"/>
                <w:szCs w:val="20"/>
              </w:rPr>
              <w:t>107</w:t>
            </w:r>
          </w:p>
        </w:tc>
        <w:tc>
          <w:tcPr>
            <w:tcW w:w="1170" w:type="dxa"/>
          </w:tcPr>
          <w:p w:rsidR="00701814" w:rsidP="004C71B0" w14:paraId="78C8F7D6" w14:textId="1D34A6D0">
            <w:pPr>
              <w:rPr>
                <w:rFonts w:ascii="Times New Roman" w:hAnsi="Times New Roman"/>
                <w:sz w:val="20"/>
                <w:szCs w:val="20"/>
              </w:rPr>
            </w:pPr>
            <w:r>
              <w:rPr>
                <w:rFonts w:ascii="Times New Roman" w:hAnsi="Times New Roman"/>
                <w:sz w:val="20"/>
                <w:szCs w:val="20"/>
              </w:rPr>
              <w:t>Daily</w:t>
            </w:r>
          </w:p>
        </w:tc>
        <w:tc>
          <w:tcPr>
            <w:tcW w:w="1260" w:type="dxa"/>
            <w:shd w:val="clear" w:color="auto" w:fill="auto"/>
          </w:tcPr>
          <w:p w:rsidR="00701814" w:rsidRPr="00CF5C85" w:rsidP="004C71B0" w14:paraId="0953536B" w14:textId="3550D35A">
            <w:pPr>
              <w:rPr>
                <w:rFonts w:ascii="Times New Roman" w:hAnsi="Times New Roman"/>
                <w:sz w:val="20"/>
                <w:szCs w:val="20"/>
              </w:rPr>
            </w:pPr>
            <w:r>
              <w:rPr>
                <w:rFonts w:ascii="Times New Roman" w:hAnsi="Times New Roman"/>
                <w:sz w:val="20"/>
                <w:szCs w:val="20"/>
              </w:rPr>
              <w:t>252</w:t>
            </w:r>
          </w:p>
        </w:tc>
        <w:tc>
          <w:tcPr>
            <w:tcW w:w="1407" w:type="dxa"/>
            <w:shd w:val="clear" w:color="auto" w:fill="auto"/>
          </w:tcPr>
          <w:p w:rsidR="00701814" w:rsidRPr="00CF5C85" w:rsidP="004C71B0" w14:paraId="5CB3DA81" w14:textId="18D3EED3">
            <w:pPr>
              <w:rPr>
                <w:rFonts w:ascii="Times New Roman" w:hAnsi="Times New Roman"/>
                <w:sz w:val="20"/>
                <w:szCs w:val="20"/>
              </w:rPr>
            </w:pPr>
            <w:r>
              <w:rPr>
                <w:rFonts w:ascii="Times New Roman" w:hAnsi="Times New Roman"/>
                <w:sz w:val="20"/>
                <w:szCs w:val="20"/>
              </w:rPr>
              <w:t>.25</w:t>
            </w:r>
          </w:p>
        </w:tc>
        <w:tc>
          <w:tcPr>
            <w:tcW w:w="1293" w:type="dxa"/>
            <w:shd w:val="clear" w:color="auto" w:fill="auto"/>
          </w:tcPr>
          <w:p w:rsidR="00701814" w:rsidRPr="00CF5C85" w:rsidP="004C71B0" w14:paraId="7AD26E43" w14:textId="6E49F282">
            <w:pPr>
              <w:rPr>
                <w:rFonts w:ascii="Times New Roman" w:hAnsi="Times New Roman"/>
                <w:sz w:val="20"/>
                <w:szCs w:val="20"/>
              </w:rPr>
            </w:pPr>
            <w:r>
              <w:rPr>
                <w:rFonts w:ascii="Times New Roman" w:hAnsi="Times New Roman"/>
                <w:sz w:val="20"/>
                <w:szCs w:val="20"/>
              </w:rPr>
              <w:t>63</w:t>
            </w:r>
          </w:p>
        </w:tc>
        <w:tc>
          <w:tcPr>
            <w:tcW w:w="991" w:type="dxa"/>
            <w:shd w:val="clear" w:color="auto" w:fill="auto"/>
          </w:tcPr>
          <w:p w:rsidR="00701814" w:rsidRPr="00CF5C85" w:rsidP="004C71B0" w14:paraId="75DCF3A7" w14:textId="0987368E">
            <w:pPr>
              <w:rPr>
                <w:rFonts w:ascii="Times New Roman" w:hAnsi="Times New Roman"/>
                <w:sz w:val="20"/>
                <w:szCs w:val="20"/>
              </w:rPr>
            </w:pPr>
            <w:r>
              <w:rPr>
                <w:rFonts w:ascii="Times New Roman" w:hAnsi="Times New Roman"/>
                <w:sz w:val="20"/>
                <w:szCs w:val="20"/>
              </w:rPr>
              <w:t>$100</w:t>
            </w:r>
          </w:p>
        </w:tc>
        <w:tc>
          <w:tcPr>
            <w:tcW w:w="1349" w:type="dxa"/>
            <w:shd w:val="clear" w:color="auto" w:fill="auto"/>
          </w:tcPr>
          <w:p w:rsidR="00701814" w:rsidRPr="00CF5C85" w:rsidP="004C71B0" w14:paraId="387C3C7D" w14:textId="1502568D">
            <w:pPr>
              <w:rPr>
                <w:rFonts w:ascii="Times New Roman" w:hAnsi="Times New Roman"/>
                <w:sz w:val="20"/>
                <w:szCs w:val="20"/>
              </w:rPr>
            </w:pPr>
            <w:r>
              <w:rPr>
                <w:rFonts w:ascii="Times New Roman" w:hAnsi="Times New Roman"/>
                <w:sz w:val="20"/>
                <w:szCs w:val="20"/>
              </w:rPr>
              <w:t>$6,300</w:t>
            </w:r>
          </w:p>
        </w:tc>
        <w:tc>
          <w:tcPr>
            <w:tcW w:w="1170" w:type="dxa"/>
            <w:shd w:val="clear" w:color="auto" w:fill="auto"/>
          </w:tcPr>
          <w:p w:rsidR="00701814" w:rsidRPr="00CF5C85" w:rsidP="004C71B0" w14:paraId="112953C4" w14:textId="6C1196AB">
            <w:pPr>
              <w:rPr>
                <w:rFonts w:ascii="Times New Roman" w:hAnsi="Times New Roman"/>
                <w:sz w:val="20"/>
                <w:szCs w:val="20"/>
              </w:rPr>
            </w:pPr>
            <w:r>
              <w:rPr>
                <w:rFonts w:ascii="Times New Roman" w:hAnsi="Times New Roman"/>
                <w:sz w:val="20"/>
                <w:szCs w:val="20"/>
              </w:rPr>
              <w:t>26,</w:t>
            </w:r>
            <w:r w:rsidR="00E85438">
              <w:rPr>
                <w:rFonts w:ascii="Times New Roman" w:hAnsi="Times New Roman"/>
                <w:sz w:val="20"/>
                <w:szCs w:val="20"/>
              </w:rPr>
              <w:t>964</w:t>
            </w:r>
          </w:p>
        </w:tc>
        <w:tc>
          <w:tcPr>
            <w:tcW w:w="1345" w:type="dxa"/>
            <w:shd w:val="clear" w:color="auto" w:fill="auto"/>
          </w:tcPr>
          <w:p w:rsidR="00701814" w:rsidRPr="00CF5C85" w:rsidP="004C71B0" w14:paraId="797F3D33" w14:textId="79CE0A17">
            <w:pPr>
              <w:rPr>
                <w:rFonts w:ascii="Times New Roman" w:hAnsi="Times New Roman"/>
                <w:sz w:val="20"/>
                <w:szCs w:val="20"/>
              </w:rPr>
            </w:pPr>
            <w:r>
              <w:rPr>
                <w:rFonts w:ascii="Times New Roman" w:hAnsi="Times New Roman"/>
                <w:sz w:val="20"/>
                <w:szCs w:val="20"/>
              </w:rPr>
              <w:t>6,</w:t>
            </w:r>
            <w:r w:rsidR="00E85438">
              <w:rPr>
                <w:rFonts w:ascii="Times New Roman" w:hAnsi="Times New Roman"/>
                <w:sz w:val="20"/>
                <w:szCs w:val="20"/>
              </w:rPr>
              <w:t>741</w:t>
            </w:r>
          </w:p>
        </w:tc>
        <w:tc>
          <w:tcPr>
            <w:tcW w:w="1260" w:type="dxa"/>
            <w:shd w:val="clear" w:color="auto" w:fill="auto"/>
          </w:tcPr>
          <w:p w:rsidR="00701814" w:rsidRPr="00CF5C85" w:rsidP="004C71B0" w14:paraId="215BB3CF" w14:textId="70660AD1">
            <w:pPr>
              <w:rPr>
                <w:rFonts w:ascii="Times New Roman" w:hAnsi="Times New Roman"/>
                <w:sz w:val="20"/>
                <w:szCs w:val="20"/>
              </w:rPr>
            </w:pPr>
            <w:r>
              <w:rPr>
                <w:rFonts w:ascii="Times New Roman" w:hAnsi="Times New Roman"/>
                <w:sz w:val="20"/>
                <w:szCs w:val="20"/>
              </w:rPr>
              <w:t>674,100</w:t>
            </w:r>
          </w:p>
        </w:tc>
      </w:tr>
      <w:tr w14:paraId="0FD9F4D9" w14:textId="77777777" w:rsidTr="001823DF">
        <w:tblPrEx>
          <w:tblW w:w="14395" w:type="dxa"/>
          <w:jc w:val="center"/>
          <w:tblLayout w:type="fixed"/>
          <w:tblLook w:val="01E0"/>
        </w:tblPrEx>
        <w:trPr>
          <w:jc w:val="center"/>
        </w:trPr>
        <w:tc>
          <w:tcPr>
            <w:tcW w:w="1710" w:type="dxa"/>
          </w:tcPr>
          <w:p w:rsidR="00701814" w:rsidRPr="00CF5C85" w:rsidP="004C71B0" w14:paraId="7085C7BA" w14:textId="0A0C1464">
            <w:pPr>
              <w:rPr>
                <w:rFonts w:ascii="Times New Roman" w:hAnsi="Times New Roman"/>
                <w:sz w:val="20"/>
                <w:szCs w:val="20"/>
              </w:rPr>
            </w:pPr>
            <w:r>
              <w:rPr>
                <w:rFonts w:ascii="Times New Roman" w:hAnsi="Times New Roman"/>
                <w:sz w:val="20"/>
                <w:szCs w:val="20"/>
              </w:rPr>
              <w:t>Complaints</w:t>
            </w:r>
          </w:p>
        </w:tc>
        <w:tc>
          <w:tcPr>
            <w:tcW w:w="1440" w:type="dxa"/>
            <w:shd w:val="clear" w:color="auto" w:fill="auto"/>
          </w:tcPr>
          <w:p w:rsidR="00701814" w:rsidRPr="00CF5C85" w:rsidP="004C71B0" w14:paraId="574C2F7E" w14:textId="15B9D483">
            <w:pPr>
              <w:rPr>
                <w:rFonts w:ascii="Times New Roman" w:hAnsi="Times New Roman"/>
                <w:sz w:val="20"/>
                <w:szCs w:val="20"/>
              </w:rPr>
            </w:pPr>
            <w:r>
              <w:rPr>
                <w:rFonts w:ascii="Times New Roman" w:hAnsi="Times New Roman"/>
                <w:sz w:val="20"/>
                <w:szCs w:val="20"/>
              </w:rPr>
              <w:t>107</w:t>
            </w:r>
          </w:p>
        </w:tc>
        <w:tc>
          <w:tcPr>
            <w:tcW w:w="1170" w:type="dxa"/>
          </w:tcPr>
          <w:p w:rsidR="00701814" w:rsidP="004C71B0" w14:paraId="282152E7" w14:textId="70939EE2">
            <w:pPr>
              <w:rPr>
                <w:rFonts w:ascii="Times New Roman" w:hAnsi="Times New Roman"/>
                <w:sz w:val="20"/>
                <w:szCs w:val="20"/>
              </w:rPr>
            </w:pPr>
            <w:r>
              <w:rPr>
                <w:rFonts w:ascii="Times New Roman" w:hAnsi="Times New Roman"/>
                <w:sz w:val="20"/>
                <w:szCs w:val="20"/>
              </w:rPr>
              <w:t>As needed</w:t>
            </w:r>
          </w:p>
        </w:tc>
        <w:tc>
          <w:tcPr>
            <w:tcW w:w="1260" w:type="dxa"/>
            <w:shd w:val="clear" w:color="auto" w:fill="auto"/>
          </w:tcPr>
          <w:p w:rsidR="00701814" w:rsidRPr="00CF5C85" w:rsidP="004C71B0" w14:paraId="20C6D79B" w14:textId="50D8CC45">
            <w:pPr>
              <w:rPr>
                <w:rFonts w:ascii="Times New Roman" w:hAnsi="Times New Roman"/>
                <w:sz w:val="20"/>
                <w:szCs w:val="20"/>
              </w:rPr>
            </w:pPr>
            <w:r>
              <w:rPr>
                <w:rFonts w:ascii="Times New Roman" w:hAnsi="Times New Roman"/>
                <w:sz w:val="20"/>
                <w:szCs w:val="20"/>
              </w:rPr>
              <w:t>5</w:t>
            </w:r>
          </w:p>
        </w:tc>
        <w:tc>
          <w:tcPr>
            <w:tcW w:w="1407" w:type="dxa"/>
            <w:shd w:val="clear" w:color="auto" w:fill="auto"/>
          </w:tcPr>
          <w:p w:rsidR="00701814" w:rsidRPr="00CF5C85" w:rsidP="004C71B0" w14:paraId="074A1F31" w14:textId="7A9EE340">
            <w:pPr>
              <w:rPr>
                <w:rFonts w:ascii="Times New Roman" w:hAnsi="Times New Roman"/>
                <w:sz w:val="20"/>
                <w:szCs w:val="20"/>
              </w:rPr>
            </w:pPr>
            <w:r>
              <w:rPr>
                <w:rFonts w:ascii="Times New Roman" w:hAnsi="Times New Roman"/>
                <w:sz w:val="20"/>
                <w:szCs w:val="20"/>
              </w:rPr>
              <w:t>1</w:t>
            </w:r>
          </w:p>
        </w:tc>
        <w:tc>
          <w:tcPr>
            <w:tcW w:w="1293" w:type="dxa"/>
            <w:shd w:val="clear" w:color="auto" w:fill="auto"/>
          </w:tcPr>
          <w:p w:rsidR="00701814" w:rsidRPr="00CF5C85" w:rsidP="004C71B0" w14:paraId="419B5206" w14:textId="0EE24FA4">
            <w:pPr>
              <w:rPr>
                <w:rFonts w:ascii="Times New Roman" w:hAnsi="Times New Roman"/>
                <w:sz w:val="20"/>
                <w:szCs w:val="20"/>
              </w:rPr>
            </w:pPr>
            <w:r>
              <w:rPr>
                <w:rFonts w:ascii="Times New Roman" w:hAnsi="Times New Roman"/>
                <w:sz w:val="20"/>
                <w:szCs w:val="20"/>
              </w:rPr>
              <w:t>5</w:t>
            </w:r>
          </w:p>
        </w:tc>
        <w:tc>
          <w:tcPr>
            <w:tcW w:w="991" w:type="dxa"/>
            <w:shd w:val="clear" w:color="auto" w:fill="auto"/>
          </w:tcPr>
          <w:p w:rsidR="00701814" w:rsidRPr="00CF5C85" w:rsidP="004C71B0" w14:paraId="7EA684FF" w14:textId="7602F435">
            <w:pPr>
              <w:rPr>
                <w:rFonts w:ascii="Times New Roman" w:hAnsi="Times New Roman"/>
                <w:sz w:val="20"/>
                <w:szCs w:val="20"/>
              </w:rPr>
            </w:pPr>
            <w:r>
              <w:rPr>
                <w:rFonts w:ascii="Times New Roman" w:hAnsi="Times New Roman"/>
                <w:sz w:val="20"/>
                <w:szCs w:val="20"/>
              </w:rPr>
              <w:t>$100</w:t>
            </w:r>
          </w:p>
        </w:tc>
        <w:tc>
          <w:tcPr>
            <w:tcW w:w="1349" w:type="dxa"/>
            <w:shd w:val="clear" w:color="auto" w:fill="auto"/>
          </w:tcPr>
          <w:p w:rsidR="00701814" w:rsidRPr="00CF5C85" w:rsidP="004C71B0" w14:paraId="55491C27" w14:textId="3016C528">
            <w:pPr>
              <w:rPr>
                <w:rFonts w:ascii="Times New Roman" w:hAnsi="Times New Roman"/>
                <w:sz w:val="20"/>
                <w:szCs w:val="20"/>
              </w:rPr>
            </w:pPr>
            <w:r>
              <w:rPr>
                <w:rFonts w:ascii="Times New Roman" w:hAnsi="Times New Roman"/>
                <w:sz w:val="20"/>
                <w:szCs w:val="20"/>
              </w:rPr>
              <w:t>$500</w:t>
            </w:r>
          </w:p>
        </w:tc>
        <w:tc>
          <w:tcPr>
            <w:tcW w:w="1170" w:type="dxa"/>
            <w:shd w:val="clear" w:color="auto" w:fill="auto"/>
          </w:tcPr>
          <w:p w:rsidR="00701814" w:rsidRPr="00CF5C85" w:rsidP="004C71B0" w14:paraId="70C9E533" w14:textId="151A5E50">
            <w:pPr>
              <w:rPr>
                <w:rFonts w:ascii="Times New Roman" w:hAnsi="Times New Roman"/>
                <w:sz w:val="20"/>
                <w:szCs w:val="20"/>
              </w:rPr>
            </w:pPr>
            <w:r>
              <w:rPr>
                <w:rFonts w:ascii="Times New Roman" w:hAnsi="Times New Roman"/>
                <w:sz w:val="20"/>
                <w:szCs w:val="20"/>
              </w:rPr>
              <w:t>535</w:t>
            </w:r>
          </w:p>
        </w:tc>
        <w:tc>
          <w:tcPr>
            <w:tcW w:w="1345" w:type="dxa"/>
            <w:shd w:val="clear" w:color="auto" w:fill="auto"/>
          </w:tcPr>
          <w:p w:rsidR="00701814" w:rsidRPr="00CF5C85" w:rsidP="004C71B0" w14:paraId="0C6AB7FD" w14:textId="2FA0E9CC">
            <w:pPr>
              <w:rPr>
                <w:rFonts w:ascii="Times New Roman" w:hAnsi="Times New Roman"/>
                <w:sz w:val="20"/>
                <w:szCs w:val="20"/>
              </w:rPr>
            </w:pPr>
            <w:r>
              <w:rPr>
                <w:rFonts w:ascii="Times New Roman" w:hAnsi="Times New Roman"/>
                <w:sz w:val="20"/>
                <w:szCs w:val="20"/>
              </w:rPr>
              <w:t>535</w:t>
            </w:r>
          </w:p>
        </w:tc>
        <w:tc>
          <w:tcPr>
            <w:tcW w:w="1260" w:type="dxa"/>
            <w:shd w:val="clear" w:color="auto" w:fill="auto"/>
          </w:tcPr>
          <w:p w:rsidR="00701814" w:rsidRPr="00CF5C85" w:rsidP="004C71B0" w14:paraId="75210C18" w14:textId="4B35FC91">
            <w:pPr>
              <w:rPr>
                <w:rFonts w:ascii="Times New Roman" w:hAnsi="Times New Roman"/>
                <w:sz w:val="20"/>
                <w:szCs w:val="20"/>
              </w:rPr>
            </w:pPr>
            <w:r>
              <w:rPr>
                <w:rFonts w:ascii="Times New Roman" w:hAnsi="Times New Roman"/>
                <w:sz w:val="20"/>
                <w:szCs w:val="20"/>
              </w:rPr>
              <w:t>$53,</w:t>
            </w:r>
            <w:r w:rsidR="00E85438">
              <w:rPr>
                <w:rFonts w:ascii="Times New Roman" w:hAnsi="Times New Roman"/>
                <w:sz w:val="20"/>
                <w:szCs w:val="20"/>
              </w:rPr>
              <w:t>500</w:t>
            </w:r>
          </w:p>
        </w:tc>
      </w:tr>
      <w:tr w14:paraId="15DBA15F" w14:textId="77777777" w:rsidTr="001823DF">
        <w:tblPrEx>
          <w:tblW w:w="14395" w:type="dxa"/>
          <w:jc w:val="center"/>
          <w:tblLayout w:type="fixed"/>
          <w:tblLook w:val="01E0"/>
        </w:tblPrEx>
        <w:trPr>
          <w:jc w:val="center"/>
        </w:trPr>
        <w:tc>
          <w:tcPr>
            <w:tcW w:w="1710" w:type="dxa"/>
          </w:tcPr>
          <w:p w:rsidR="00701814" w:rsidRPr="00CF5C85" w:rsidP="004C71B0" w14:paraId="5D5153CD" w14:textId="21D40A66">
            <w:pPr>
              <w:rPr>
                <w:rFonts w:ascii="Times New Roman" w:hAnsi="Times New Roman"/>
                <w:sz w:val="20"/>
                <w:szCs w:val="20"/>
              </w:rPr>
            </w:pPr>
            <w:r>
              <w:rPr>
                <w:rFonts w:ascii="Times New Roman" w:hAnsi="Times New Roman"/>
                <w:sz w:val="20"/>
                <w:szCs w:val="20"/>
              </w:rPr>
              <w:t>Marketing Communications</w:t>
            </w:r>
          </w:p>
        </w:tc>
        <w:tc>
          <w:tcPr>
            <w:tcW w:w="1440" w:type="dxa"/>
            <w:shd w:val="clear" w:color="auto" w:fill="auto"/>
          </w:tcPr>
          <w:p w:rsidR="00701814" w:rsidRPr="00CF5C85" w:rsidP="004C71B0" w14:paraId="1408CB39" w14:textId="71272F20">
            <w:pPr>
              <w:rPr>
                <w:rFonts w:ascii="Times New Roman" w:hAnsi="Times New Roman"/>
                <w:sz w:val="20"/>
                <w:szCs w:val="20"/>
              </w:rPr>
            </w:pPr>
            <w:r>
              <w:rPr>
                <w:rFonts w:ascii="Times New Roman" w:hAnsi="Times New Roman"/>
                <w:sz w:val="20"/>
                <w:szCs w:val="20"/>
              </w:rPr>
              <w:t>107</w:t>
            </w:r>
          </w:p>
        </w:tc>
        <w:tc>
          <w:tcPr>
            <w:tcW w:w="1170" w:type="dxa"/>
          </w:tcPr>
          <w:p w:rsidR="00701814" w:rsidP="004C71B0" w14:paraId="4CDA4E48" w14:textId="741AD914">
            <w:pPr>
              <w:rPr>
                <w:rFonts w:ascii="Times New Roman" w:hAnsi="Times New Roman"/>
                <w:sz w:val="20"/>
                <w:szCs w:val="20"/>
              </w:rPr>
            </w:pPr>
            <w:r>
              <w:rPr>
                <w:rFonts w:ascii="Times New Roman" w:hAnsi="Times New Roman"/>
                <w:sz w:val="20"/>
                <w:szCs w:val="20"/>
              </w:rPr>
              <w:t>As needed</w:t>
            </w:r>
          </w:p>
        </w:tc>
        <w:tc>
          <w:tcPr>
            <w:tcW w:w="1260" w:type="dxa"/>
            <w:shd w:val="clear" w:color="auto" w:fill="auto"/>
          </w:tcPr>
          <w:p w:rsidR="00701814" w:rsidRPr="00CF5C85" w:rsidP="004C71B0" w14:paraId="306904D4" w14:textId="2176279C">
            <w:pPr>
              <w:rPr>
                <w:rFonts w:ascii="Times New Roman" w:hAnsi="Times New Roman"/>
                <w:sz w:val="20"/>
                <w:szCs w:val="20"/>
              </w:rPr>
            </w:pPr>
            <w:r>
              <w:rPr>
                <w:rFonts w:ascii="Times New Roman" w:hAnsi="Times New Roman"/>
                <w:sz w:val="20"/>
                <w:szCs w:val="20"/>
              </w:rPr>
              <w:t>12</w:t>
            </w:r>
          </w:p>
        </w:tc>
        <w:tc>
          <w:tcPr>
            <w:tcW w:w="1407" w:type="dxa"/>
            <w:shd w:val="clear" w:color="auto" w:fill="auto"/>
          </w:tcPr>
          <w:p w:rsidR="00701814" w:rsidRPr="00CF5C85" w:rsidP="004C71B0" w14:paraId="47EAF88E" w14:textId="1A34989C">
            <w:pPr>
              <w:rPr>
                <w:rFonts w:ascii="Times New Roman" w:hAnsi="Times New Roman"/>
                <w:sz w:val="20"/>
                <w:szCs w:val="20"/>
              </w:rPr>
            </w:pPr>
            <w:r>
              <w:rPr>
                <w:rFonts w:ascii="Times New Roman" w:hAnsi="Times New Roman"/>
                <w:sz w:val="20"/>
                <w:szCs w:val="20"/>
              </w:rPr>
              <w:t>1</w:t>
            </w:r>
          </w:p>
        </w:tc>
        <w:tc>
          <w:tcPr>
            <w:tcW w:w="1293" w:type="dxa"/>
            <w:shd w:val="clear" w:color="auto" w:fill="auto"/>
          </w:tcPr>
          <w:p w:rsidR="00701814" w:rsidRPr="00CF5C85" w:rsidP="004C71B0" w14:paraId="1C4E3AA0" w14:textId="3AB74CE6">
            <w:pPr>
              <w:rPr>
                <w:rFonts w:ascii="Times New Roman" w:hAnsi="Times New Roman"/>
                <w:sz w:val="20"/>
                <w:szCs w:val="20"/>
              </w:rPr>
            </w:pPr>
            <w:r>
              <w:rPr>
                <w:rFonts w:ascii="Times New Roman" w:hAnsi="Times New Roman"/>
                <w:sz w:val="20"/>
                <w:szCs w:val="20"/>
              </w:rPr>
              <w:t>12</w:t>
            </w:r>
          </w:p>
        </w:tc>
        <w:tc>
          <w:tcPr>
            <w:tcW w:w="991" w:type="dxa"/>
            <w:shd w:val="clear" w:color="auto" w:fill="auto"/>
          </w:tcPr>
          <w:p w:rsidR="00701814" w:rsidRPr="00CF5C85" w:rsidP="004C71B0" w14:paraId="002BDA34" w14:textId="71DF79C4">
            <w:pPr>
              <w:rPr>
                <w:rFonts w:ascii="Times New Roman" w:hAnsi="Times New Roman"/>
                <w:sz w:val="20"/>
                <w:szCs w:val="20"/>
              </w:rPr>
            </w:pPr>
            <w:r>
              <w:rPr>
                <w:rFonts w:ascii="Times New Roman" w:hAnsi="Times New Roman"/>
                <w:sz w:val="20"/>
                <w:szCs w:val="20"/>
              </w:rPr>
              <w:t>$100</w:t>
            </w:r>
          </w:p>
        </w:tc>
        <w:tc>
          <w:tcPr>
            <w:tcW w:w="1349" w:type="dxa"/>
            <w:shd w:val="clear" w:color="auto" w:fill="auto"/>
          </w:tcPr>
          <w:p w:rsidR="00701814" w:rsidRPr="00CF5C85" w:rsidP="004C71B0" w14:paraId="2D5EBAB5" w14:textId="01A8B0A6">
            <w:pPr>
              <w:rPr>
                <w:rFonts w:ascii="Times New Roman" w:hAnsi="Times New Roman"/>
                <w:sz w:val="20"/>
                <w:szCs w:val="20"/>
              </w:rPr>
            </w:pPr>
            <w:r>
              <w:rPr>
                <w:rFonts w:ascii="Times New Roman" w:hAnsi="Times New Roman"/>
                <w:sz w:val="20"/>
                <w:szCs w:val="20"/>
              </w:rPr>
              <w:t>$1,200</w:t>
            </w:r>
          </w:p>
        </w:tc>
        <w:tc>
          <w:tcPr>
            <w:tcW w:w="1170" w:type="dxa"/>
            <w:shd w:val="clear" w:color="auto" w:fill="auto"/>
          </w:tcPr>
          <w:p w:rsidR="00701814" w:rsidRPr="00CF5C85" w:rsidP="004C71B0" w14:paraId="262D85FA" w14:textId="0747C069">
            <w:pPr>
              <w:rPr>
                <w:rFonts w:ascii="Times New Roman" w:hAnsi="Times New Roman"/>
                <w:sz w:val="20"/>
                <w:szCs w:val="20"/>
              </w:rPr>
            </w:pPr>
            <w:r>
              <w:rPr>
                <w:rFonts w:ascii="Times New Roman" w:hAnsi="Times New Roman"/>
                <w:sz w:val="20"/>
                <w:szCs w:val="20"/>
              </w:rPr>
              <w:t>1,</w:t>
            </w:r>
            <w:r w:rsidR="00E85438">
              <w:rPr>
                <w:rFonts w:ascii="Times New Roman" w:hAnsi="Times New Roman"/>
                <w:sz w:val="20"/>
                <w:szCs w:val="20"/>
              </w:rPr>
              <w:t>284</w:t>
            </w:r>
          </w:p>
        </w:tc>
        <w:tc>
          <w:tcPr>
            <w:tcW w:w="1345" w:type="dxa"/>
            <w:shd w:val="clear" w:color="auto" w:fill="auto"/>
          </w:tcPr>
          <w:p w:rsidR="00701814" w:rsidRPr="00CF5C85" w:rsidP="004C71B0" w14:paraId="3B798FFA" w14:textId="66AD3144">
            <w:pPr>
              <w:rPr>
                <w:rFonts w:ascii="Times New Roman" w:hAnsi="Times New Roman"/>
                <w:sz w:val="20"/>
                <w:szCs w:val="20"/>
              </w:rPr>
            </w:pPr>
            <w:r>
              <w:rPr>
                <w:rFonts w:ascii="Times New Roman" w:hAnsi="Times New Roman"/>
                <w:sz w:val="20"/>
                <w:szCs w:val="20"/>
              </w:rPr>
              <w:t>1,</w:t>
            </w:r>
            <w:r w:rsidR="00E85438">
              <w:rPr>
                <w:rFonts w:ascii="Times New Roman" w:hAnsi="Times New Roman"/>
                <w:sz w:val="20"/>
                <w:szCs w:val="20"/>
              </w:rPr>
              <w:t>284</w:t>
            </w:r>
          </w:p>
        </w:tc>
        <w:tc>
          <w:tcPr>
            <w:tcW w:w="1260" w:type="dxa"/>
            <w:shd w:val="clear" w:color="auto" w:fill="auto"/>
          </w:tcPr>
          <w:p w:rsidR="00701814" w:rsidRPr="00CF5C85" w:rsidP="004C71B0" w14:paraId="41954096" w14:textId="1D47F597">
            <w:pPr>
              <w:rPr>
                <w:rFonts w:ascii="Times New Roman" w:hAnsi="Times New Roman"/>
                <w:sz w:val="20"/>
                <w:szCs w:val="20"/>
              </w:rPr>
            </w:pPr>
            <w:r>
              <w:rPr>
                <w:rFonts w:ascii="Times New Roman" w:hAnsi="Times New Roman"/>
                <w:sz w:val="20"/>
                <w:szCs w:val="20"/>
              </w:rPr>
              <w:t>$</w:t>
            </w:r>
            <w:r w:rsidR="00E85438">
              <w:rPr>
                <w:rFonts w:ascii="Times New Roman" w:hAnsi="Times New Roman"/>
                <w:sz w:val="20"/>
                <w:szCs w:val="20"/>
              </w:rPr>
              <w:t>128,400</w:t>
            </w:r>
          </w:p>
        </w:tc>
      </w:tr>
      <w:tr w14:paraId="384EBBE9" w14:textId="77777777" w:rsidTr="00746283">
        <w:tblPrEx>
          <w:tblW w:w="14395" w:type="dxa"/>
          <w:jc w:val="center"/>
          <w:tblLayout w:type="fixed"/>
          <w:tblLook w:val="01E0"/>
        </w:tblPrEx>
        <w:trPr>
          <w:jc w:val="center"/>
        </w:trPr>
        <w:tc>
          <w:tcPr>
            <w:tcW w:w="1710" w:type="dxa"/>
            <w:shd w:val="clear" w:color="auto" w:fill="auto"/>
          </w:tcPr>
          <w:p w:rsidR="00701814" w:rsidRPr="00CF5C85" w:rsidP="004C71B0" w14:paraId="69F034E5" w14:textId="77777777">
            <w:pPr>
              <w:rPr>
                <w:rFonts w:ascii="Times New Roman" w:hAnsi="Times New Roman"/>
                <w:sz w:val="20"/>
                <w:szCs w:val="20"/>
              </w:rPr>
            </w:pPr>
            <w:r w:rsidRPr="00CF5C85">
              <w:rPr>
                <w:rFonts w:ascii="Times New Roman" w:hAnsi="Times New Roman"/>
                <w:b/>
                <w:bCs/>
                <w:sz w:val="20"/>
                <w:szCs w:val="20"/>
              </w:rPr>
              <w:t>TOTALS:</w:t>
            </w:r>
          </w:p>
        </w:tc>
        <w:tc>
          <w:tcPr>
            <w:tcW w:w="1440" w:type="dxa"/>
            <w:shd w:val="clear" w:color="auto" w:fill="auto"/>
          </w:tcPr>
          <w:p w:rsidR="00701814" w:rsidRPr="00746283" w:rsidP="004C71B0" w14:paraId="3F2A1420" w14:textId="39105918">
            <w:pPr>
              <w:rPr>
                <w:rFonts w:ascii="Times New Roman" w:hAnsi="Times New Roman"/>
                <w:b/>
                <w:bCs/>
                <w:sz w:val="20"/>
                <w:szCs w:val="20"/>
              </w:rPr>
            </w:pPr>
            <w:r>
              <w:rPr>
                <w:rFonts w:ascii="Times New Roman" w:hAnsi="Times New Roman"/>
                <w:b/>
                <w:bCs/>
                <w:sz w:val="20"/>
                <w:szCs w:val="20"/>
              </w:rPr>
              <w:t>107</w:t>
            </w:r>
          </w:p>
        </w:tc>
        <w:tc>
          <w:tcPr>
            <w:tcW w:w="1170" w:type="dxa"/>
            <w:shd w:val="clear" w:color="auto" w:fill="000000" w:themeFill="text1"/>
          </w:tcPr>
          <w:p w:rsidR="00701814" w:rsidRPr="00CF5C85" w:rsidP="004C71B0" w14:paraId="2CB8BDA0" w14:textId="77777777">
            <w:pPr>
              <w:rPr>
                <w:rFonts w:ascii="Times New Roman" w:hAnsi="Times New Roman"/>
                <w:sz w:val="20"/>
                <w:szCs w:val="20"/>
              </w:rPr>
            </w:pPr>
          </w:p>
        </w:tc>
        <w:tc>
          <w:tcPr>
            <w:tcW w:w="1260" w:type="dxa"/>
            <w:shd w:val="clear" w:color="auto" w:fill="000000" w:themeFill="text1"/>
          </w:tcPr>
          <w:p w:rsidR="00701814" w:rsidRPr="00CF5C85" w:rsidP="004C71B0" w14:paraId="4C52EEC9" w14:textId="6DFA0C5A">
            <w:pPr>
              <w:rPr>
                <w:rFonts w:ascii="Times New Roman" w:hAnsi="Times New Roman"/>
                <w:sz w:val="20"/>
                <w:szCs w:val="20"/>
              </w:rPr>
            </w:pPr>
          </w:p>
        </w:tc>
        <w:tc>
          <w:tcPr>
            <w:tcW w:w="1407" w:type="dxa"/>
            <w:shd w:val="clear" w:color="auto" w:fill="000000" w:themeFill="text1"/>
          </w:tcPr>
          <w:p w:rsidR="00701814" w:rsidRPr="00CF5C85" w:rsidP="004C71B0" w14:paraId="249F62B9" w14:textId="77777777">
            <w:pPr>
              <w:rPr>
                <w:rFonts w:ascii="Times New Roman" w:hAnsi="Times New Roman"/>
                <w:sz w:val="20"/>
                <w:szCs w:val="20"/>
              </w:rPr>
            </w:pPr>
          </w:p>
        </w:tc>
        <w:tc>
          <w:tcPr>
            <w:tcW w:w="1293" w:type="dxa"/>
            <w:shd w:val="clear" w:color="auto" w:fill="auto"/>
          </w:tcPr>
          <w:p w:rsidR="00701814" w:rsidRPr="00CF5C85" w:rsidP="004C71B0" w14:paraId="119B148C" w14:textId="7EFDC349">
            <w:pPr>
              <w:rPr>
                <w:rFonts w:ascii="Times New Roman" w:hAnsi="Times New Roman"/>
                <w:sz w:val="20"/>
                <w:szCs w:val="20"/>
              </w:rPr>
            </w:pPr>
            <w:r>
              <w:rPr>
                <w:rFonts w:ascii="Times New Roman" w:hAnsi="Times New Roman"/>
                <w:sz w:val="20"/>
                <w:szCs w:val="20"/>
              </w:rPr>
              <w:t>2,096</w:t>
            </w:r>
          </w:p>
        </w:tc>
        <w:tc>
          <w:tcPr>
            <w:tcW w:w="991" w:type="dxa"/>
            <w:shd w:val="clear" w:color="auto" w:fill="000000" w:themeFill="text1"/>
          </w:tcPr>
          <w:p w:rsidR="00701814" w:rsidRPr="00CF5C85" w:rsidP="004C71B0" w14:paraId="05700153" w14:textId="77777777">
            <w:pPr>
              <w:rPr>
                <w:rFonts w:ascii="Times New Roman" w:hAnsi="Times New Roman"/>
                <w:sz w:val="20"/>
                <w:szCs w:val="20"/>
              </w:rPr>
            </w:pPr>
          </w:p>
        </w:tc>
        <w:tc>
          <w:tcPr>
            <w:tcW w:w="1349" w:type="dxa"/>
            <w:shd w:val="clear" w:color="auto" w:fill="auto"/>
          </w:tcPr>
          <w:p w:rsidR="00701814" w:rsidRPr="00CF5C85" w:rsidP="004C71B0" w14:paraId="34EF850D" w14:textId="2AE52108">
            <w:pPr>
              <w:rPr>
                <w:rFonts w:ascii="Times New Roman" w:hAnsi="Times New Roman"/>
                <w:sz w:val="20"/>
                <w:szCs w:val="20"/>
              </w:rPr>
            </w:pPr>
            <w:r>
              <w:rPr>
                <w:rFonts w:ascii="Times New Roman" w:hAnsi="Times New Roman"/>
                <w:sz w:val="20"/>
                <w:szCs w:val="20"/>
              </w:rPr>
              <w:t>$209,600</w:t>
            </w:r>
          </w:p>
        </w:tc>
        <w:tc>
          <w:tcPr>
            <w:tcW w:w="1170" w:type="dxa"/>
            <w:shd w:val="clear" w:color="auto" w:fill="auto"/>
          </w:tcPr>
          <w:p w:rsidR="00701814" w:rsidRPr="00CF5C85" w:rsidP="004C71B0" w14:paraId="63D00A87" w14:textId="6CA56D4E">
            <w:pPr>
              <w:rPr>
                <w:rFonts w:ascii="Times New Roman" w:hAnsi="Times New Roman"/>
                <w:sz w:val="20"/>
                <w:szCs w:val="20"/>
              </w:rPr>
            </w:pPr>
            <w:r>
              <w:rPr>
                <w:rFonts w:ascii="Times New Roman" w:hAnsi="Times New Roman"/>
                <w:sz w:val="20"/>
                <w:szCs w:val="20"/>
              </w:rPr>
              <w:t>55,</w:t>
            </w:r>
            <w:r w:rsidR="00E85438">
              <w:rPr>
                <w:rFonts w:ascii="Times New Roman" w:hAnsi="Times New Roman"/>
                <w:sz w:val="20"/>
                <w:szCs w:val="20"/>
              </w:rPr>
              <w:t>747</w:t>
            </w:r>
          </w:p>
        </w:tc>
        <w:tc>
          <w:tcPr>
            <w:tcW w:w="1345" w:type="dxa"/>
            <w:shd w:val="clear" w:color="auto" w:fill="auto"/>
          </w:tcPr>
          <w:p w:rsidR="00701814" w:rsidRPr="00CF5C85" w:rsidP="004C71B0" w14:paraId="3F30CFD5" w14:textId="215F462B">
            <w:pPr>
              <w:rPr>
                <w:rFonts w:ascii="Times New Roman" w:hAnsi="Times New Roman"/>
                <w:sz w:val="20"/>
                <w:szCs w:val="20"/>
              </w:rPr>
            </w:pPr>
            <w:r>
              <w:rPr>
                <w:rFonts w:ascii="Times New Roman" w:hAnsi="Times New Roman"/>
                <w:sz w:val="20"/>
                <w:szCs w:val="20"/>
              </w:rPr>
              <w:t>224,272</w:t>
            </w:r>
          </w:p>
        </w:tc>
        <w:tc>
          <w:tcPr>
            <w:tcW w:w="1260" w:type="dxa"/>
            <w:shd w:val="clear" w:color="auto" w:fill="auto"/>
          </w:tcPr>
          <w:p w:rsidR="00701814" w:rsidRPr="00CF5C85" w:rsidP="004C71B0" w14:paraId="4EA202B5" w14:textId="5F13AAC6">
            <w:pPr>
              <w:rPr>
                <w:rFonts w:ascii="Times New Roman" w:hAnsi="Times New Roman"/>
                <w:sz w:val="20"/>
                <w:szCs w:val="20"/>
              </w:rPr>
            </w:pPr>
            <w:r>
              <w:rPr>
                <w:rFonts w:ascii="Times New Roman" w:hAnsi="Times New Roman"/>
                <w:sz w:val="20"/>
                <w:szCs w:val="20"/>
              </w:rPr>
              <w:t>$22,</w:t>
            </w:r>
            <w:r w:rsidR="00E85438">
              <w:rPr>
                <w:rFonts w:ascii="Times New Roman" w:hAnsi="Times New Roman"/>
                <w:sz w:val="20"/>
                <w:szCs w:val="20"/>
              </w:rPr>
              <w:t>427,200</w:t>
            </w:r>
          </w:p>
        </w:tc>
      </w:tr>
    </w:tbl>
    <w:p w:rsidR="00F77388" w:rsidP="005E2E59" w14:paraId="3144B7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Sect="00ED0A4A">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Optim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6F" w:rsidRPr="00BB27A8" w14:paraId="1CC7B03E" w14:textId="77777777">
    <w:pPr>
      <w:pStyle w:val="Footer"/>
      <w:jc w:val="center"/>
      <w:rPr>
        <w:rFonts w:ascii="Times New Roman" w:hAnsi="Times New Roman"/>
      </w:rPr>
    </w:pPr>
    <w:r w:rsidRPr="00BB27A8">
      <w:rPr>
        <w:rFonts w:ascii="Times New Roman" w:hAnsi="Times New Roman"/>
      </w:rPr>
      <w:fldChar w:fldCharType="begin"/>
    </w:r>
    <w:r w:rsidRPr="00BB27A8">
      <w:rPr>
        <w:rFonts w:ascii="Times New Roman" w:hAnsi="Times New Roman"/>
      </w:rPr>
      <w:instrText xml:space="preserve"> PAGE   \* MERGEFORMAT </w:instrText>
    </w:r>
    <w:r w:rsidRPr="00BB27A8">
      <w:rPr>
        <w:rFonts w:ascii="Times New Roman" w:hAnsi="Times New Roman"/>
      </w:rPr>
      <w:fldChar w:fldCharType="separate"/>
    </w:r>
    <w:r w:rsidRPr="00BB27A8" w:rsidR="00654DD5">
      <w:rPr>
        <w:rFonts w:ascii="Times New Roman" w:hAnsi="Times New Roman"/>
        <w:noProof/>
      </w:rPr>
      <w:t>1</w:t>
    </w:r>
    <w:r w:rsidRPr="00BB27A8">
      <w:rPr>
        <w:rFonts w:ascii="Times New Roman" w:hAnsi="Times New Roman"/>
      </w:rPr>
      <w:fldChar w:fldCharType="end"/>
    </w:r>
  </w:p>
  <w:p w:rsidR="00C34E6F" w14:paraId="33C10C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714C" w14:paraId="4FBD82AA" w14:textId="77777777">
      <w:r>
        <w:separator/>
      </w:r>
    </w:p>
  </w:footnote>
  <w:footnote w:type="continuationSeparator" w:id="1">
    <w:p w:rsidR="0052714C" w14:paraId="2C68E9C5" w14:textId="77777777">
      <w:r>
        <w:continuationSeparator/>
      </w:r>
    </w:p>
  </w:footnote>
  <w:footnote w:id="2">
    <w:p w:rsidR="00126E8E" w:rsidRPr="006E27D5" w:rsidP="00126E8E" w14:paraId="749CC3B8" w14:textId="0D85EC8D">
      <w:pPr>
        <w:pStyle w:val="FootnoteText"/>
        <w:rPr>
          <w:sz w:val="20"/>
        </w:rPr>
      </w:pPr>
      <w:r w:rsidRPr="006E27D5">
        <w:rPr>
          <w:rStyle w:val="FootnoteReference"/>
          <w:sz w:val="20"/>
        </w:rPr>
        <w:footnoteRef/>
      </w:r>
      <w:r w:rsidRPr="006E27D5">
        <w:rPr>
          <w:sz w:val="20"/>
        </w:rPr>
        <w:t xml:space="preserve"> </w:t>
      </w:r>
      <w:r w:rsidRPr="006E27D5">
        <w:rPr>
          <w:i/>
          <w:sz w:val="20"/>
        </w:rPr>
        <w:t>See</w:t>
      </w:r>
      <w:r w:rsidRPr="006E27D5">
        <w:rPr>
          <w:sz w:val="20"/>
        </w:rPr>
        <w:t xml:space="preserve"> </w:t>
      </w:r>
      <w:r w:rsidRPr="00CB5243" w:rsidR="00CB5243">
        <w:rPr>
          <w:rFonts w:eastAsia="Calibri"/>
          <w:sz w:val="20"/>
        </w:rPr>
        <w:t>https://data.bls.gov/oes/#/industry/523000</w:t>
      </w:r>
      <w:r w:rsidR="00CB5243">
        <w:rPr>
          <w:rFonts w:eastAsia="Calibri"/>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464060"/>
    <w:multiLevelType w:val="hybridMultilevel"/>
    <w:tmpl w:val="F1BEC6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3048134">
    <w:abstractNumId w:val="1"/>
  </w:num>
  <w:num w:numId="2" w16cid:durableId="163617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35"/>
    <w:rsid w:val="00005CFE"/>
    <w:rsid w:val="000168C1"/>
    <w:rsid w:val="00021E87"/>
    <w:rsid w:val="00022496"/>
    <w:rsid w:val="00022BCA"/>
    <w:rsid w:val="00023D3B"/>
    <w:rsid w:val="0002409F"/>
    <w:rsid w:val="00040C5A"/>
    <w:rsid w:val="00046D07"/>
    <w:rsid w:val="0004731E"/>
    <w:rsid w:val="000517BB"/>
    <w:rsid w:val="00062A21"/>
    <w:rsid w:val="000B4248"/>
    <w:rsid w:val="000D026F"/>
    <w:rsid w:val="000D4377"/>
    <w:rsid w:val="000D44DD"/>
    <w:rsid w:val="000E5970"/>
    <w:rsid w:val="000F2FCC"/>
    <w:rsid w:val="00101F15"/>
    <w:rsid w:val="001064AB"/>
    <w:rsid w:val="00111B8B"/>
    <w:rsid w:val="00126B67"/>
    <w:rsid w:val="00126E8E"/>
    <w:rsid w:val="0013432D"/>
    <w:rsid w:val="00145BDD"/>
    <w:rsid w:val="001469F4"/>
    <w:rsid w:val="00146B53"/>
    <w:rsid w:val="001529F4"/>
    <w:rsid w:val="00153A57"/>
    <w:rsid w:val="0016048A"/>
    <w:rsid w:val="001630E1"/>
    <w:rsid w:val="001666DD"/>
    <w:rsid w:val="00172514"/>
    <w:rsid w:val="001740E1"/>
    <w:rsid w:val="00177289"/>
    <w:rsid w:val="001823DF"/>
    <w:rsid w:val="00191668"/>
    <w:rsid w:val="00191AEB"/>
    <w:rsid w:val="001A3028"/>
    <w:rsid w:val="001B52C2"/>
    <w:rsid w:val="001C181F"/>
    <w:rsid w:val="001C7545"/>
    <w:rsid w:val="001D6F3A"/>
    <w:rsid w:val="001E125C"/>
    <w:rsid w:val="001E39F4"/>
    <w:rsid w:val="001E6A27"/>
    <w:rsid w:val="00203C00"/>
    <w:rsid w:val="00206FA8"/>
    <w:rsid w:val="00212713"/>
    <w:rsid w:val="002209BF"/>
    <w:rsid w:val="002259D3"/>
    <w:rsid w:val="002522E9"/>
    <w:rsid w:val="002640E5"/>
    <w:rsid w:val="002663ED"/>
    <w:rsid w:val="0028677A"/>
    <w:rsid w:val="002931C5"/>
    <w:rsid w:val="002A141D"/>
    <w:rsid w:val="002B02E4"/>
    <w:rsid w:val="002B1347"/>
    <w:rsid w:val="002D551E"/>
    <w:rsid w:val="002D55EE"/>
    <w:rsid w:val="002D7DA2"/>
    <w:rsid w:val="002F3B07"/>
    <w:rsid w:val="00300916"/>
    <w:rsid w:val="00302594"/>
    <w:rsid w:val="003067AE"/>
    <w:rsid w:val="00311D4B"/>
    <w:rsid w:val="00312561"/>
    <w:rsid w:val="00316D1F"/>
    <w:rsid w:val="003241F1"/>
    <w:rsid w:val="00324670"/>
    <w:rsid w:val="0033095F"/>
    <w:rsid w:val="00335301"/>
    <w:rsid w:val="00352086"/>
    <w:rsid w:val="00365978"/>
    <w:rsid w:val="003702D4"/>
    <w:rsid w:val="00382826"/>
    <w:rsid w:val="0038379B"/>
    <w:rsid w:val="00386662"/>
    <w:rsid w:val="00392B9B"/>
    <w:rsid w:val="00395602"/>
    <w:rsid w:val="003C2005"/>
    <w:rsid w:val="003E1569"/>
    <w:rsid w:val="003E47E3"/>
    <w:rsid w:val="003F13C4"/>
    <w:rsid w:val="00407BB5"/>
    <w:rsid w:val="00414F76"/>
    <w:rsid w:val="00425C5A"/>
    <w:rsid w:val="00430C1F"/>
    <w:rsid w:val="00436BB9"/>
    <w:rsid w:val="00437DA6"/>
    <w:rsid w:val="004411B8"/>
    <w:rsid w:val="00443C35"/>
    <w:rsid w:val="00446001"/>
    <w:rsid w:val="00472EAA"/>
    <w:rsid w:val="0049502D"/>
    <w:rsid w:val="004A6318"/>
    <w:rsid w:val="004A6D00"/>
    <w:rsid w:val="004B36EA"/>
    <w:rsid w:val="004B48FC"/>
    <w:rsid w:val="004C240F"/>
    <w:rsid w:val="004C2C7A"/>
    <w:rsid w:val="004C71B0"/>
    <w:rsid w:val="004D4A4E"/>
    <w:rsid w:val="004D50A7"/>
    <w:rsid w:val="004D7237"/>
    <w:rsid w:val="004E2E33"/>
    <w:rsid w:val="004E436E"/>
    <w:rsid w:val="004E530F"/>
    <w:rsid w:val="004E5FD2"/>
    <w:rsid w:val="004E6601"/>
    <w:rsid w:val="00505ECB"/>
    <w:rsid w:val="00507069"/>
    <w:rsid w:val="00521816"/>
    <w:rsid w:val="0052714C"/>
    <w:rsid w:val="0052724B"/>
    <w:rsid w:val="00532B83"/>
    <w:rsid w:val="0053343F"/>
    <w:rsid w:val="0054156D"/>
    <w:rsid w:val="00545883"/>
    <w:rsid w:val="00547762"/>
    <w:rsid w:val="00551563"/>
    <w:rsid w:val="0055576E"/>
    <w:rsid w:val="00564E71"/>
    <w:rsid w:val="00564F38"/>
    <w:rsid w:val="00575BF7"/>
    <w:rsid w:val="005A03E0"/>
    <w:rsid w:val="005A17FB"/>
    <w:rsid w:val="005A2EAD"/>
    <w:rsid w:val="005A39AF"/>
    <w:rsid w:val="005B2803"/>
    <w:rsid w:val="005E0509"/>
    <w:rsid w:val="005E2E59"/>
    <w:rsid w:val="005F127B"/>
    <w:rsid w:val="00604837"/>
    <w:rsid w:val="00616D87"/>
    <w:rsid w:val="0062060E"/>
    <w:rsid w:val="00620816"/>
    <w:rsid w:val="006259E1"/>
    <w:rsid w:val="0062683B"/>
    <w:rsid w:val="006303ED"/>
    <w:rsid w:val="00636DEF"/>
    <w:rsid w:val="00642014"/>
    <w:rsid w:val="006470FA"/>
    <w:rsid w:val="00654B62"/>
    <w:rsid w:val="00654DD5"/>
    <w:rsid w:val="0066794A"/>
    <w:rsid w:val="00673DBF"/>
    <w:rsid w:val="00693A26"/>
    <w:rsid w:val="00693A43"/>
    <w:rsid w:val="006959F5"/>
    <w:rsid w:val="006A282C"/>
    <w:rsid w:val="006A6CC5"/>
    <w:rsid w:val="006B0827"/>
    <w:rsid w:val="006C3AD5"/>
    <w:rsid w:val="006C7F0F"/>
    <w:rsid w:val="006D1E87"/>
    <w:rsid w:val="006D42B9"/>
    <w:rsid w:val="006D4DFA"/>
    <w:rsid w:val="006E27D5"/>
    <w:rsid w:val="006E3AA4"/>
    <w:rsid w:val="00700BA5"/>
    <w:rsid w:val="00701814"/>
    <w:rsid w:val="00704D1A"/>
    <w:rsid w:val="00711D72"/>
    <w:rsid w:val="00720BC8"/>
    <w:rsid w:val="0072248D"/>
    <w:rsid w:val="007239B3"/>
    <w:rsid w:val="00727220"/>
    <w:rsid w:val="0073563F"/>
    <w:rsid w:val="00737442"/>
    <w:rsid w:val="00746056"/>
    <w:rsid w:val="00746283"/>
    <w:rsid w:val="00746687"/>
    <w:rsid w:val="00760E47"/>
    <w:rsid w:val="00762AED"/>
    <w:rsid w:val="007651F8"/>
    <w:rsid w:val="00777AD1"/>
    <w:rsid w:val="00783571"/>
    <w:rsid w:val="00787F67"/>
    <w:rsid w:val="007A4899"/>
    <w:rsid w:val="007C7232"/>
    <w:rsid w:val="007E202C"/>
    <w:rsid w:val="007E358C"/>
    <w:rsid w:val="007F1702"/>
    <w:rsid w:val="00804B84"/>
    <w:rsid w:val="008058AC"/>
    <w:rsid w:val="008067F5"/>
    <w:rsid w:val="008416A9"/>
    <w:rsid w:val="00852C5D"/>
    <w:rsid w:val="00852F25"/>
    <w:rsid w:val="00867F3F"/>
    <w:rsid w:val="008757A5"/>
    <w:rsid w:val="00885DFB"/>
    <w:rsid w:val="0089354D"/>
    <w:rsid w:val="008A51EA"/>
    <w:rsid w:val="008A6BDF"/>
    <w:rsid w:val="008B76FC"/>
    <w:rsid w:val="008C5354"/>
    <w:rsid w:val="008E3854"/>
    <w:rsid w:val="00906B33"/>
    <w:rsid w:val="009164E6"/>
    <w:rsid w:val="009452D9"/>
    <w:rsid w:val="0095576D"/>
    <w:rsid w:val="009565C1"/>
    <w:rsid w:val="0096699F"/>
    <w:rsid w:val="00967BFA"/>
    <w:rsid w:val="009714F9"/>
    <w:rsid w:val="009749EB"/>
    <w:rsid w:val="0097678B"/>
    <w:rsid w:val="00984582"/>
    <w:rsid w:val="00985C0C"/>
    <w:rsid w:val="00997535"/>
    <w:rsid w:val="009A312A"/>
    <w:rsid w:val="009A3DB9"/>
    <w:rsid w:val="009C7F6F"/>
    <w:rsid w:val="009F3AA0"/>
    <w:rsid w:val="00A10D3D"/>
    <w:rsid w:val="00A13F14"/>
    <w:rsid w:val="00A15DA4"/>
    <w:rsid w:val="00A40614"/>
    <w:rsid w:val="00A7278F"/>
    <w:rsid w:val="00A73DB8"/>
    <w:rsid w:val="00A75DAD"/>
    <w:rsid w:val="00A849A4"/>
    <w:rsid w:val="00AB20D7"/>
    <w:rsid w:val="00AE05EB"/>
    <w:rsid w:val="00AF49F8"/>
    <w:rsid w:val="00B04B65"/>
    <w:rsid w:val="00B52E3B"/>
    <w:rsid w:val="00B553B2"/>
    <w:rsid w:val="00B73D51"/>
    <w:rsid w:val="00B75E85"/>
    <w:rsid w:val="00B87EB7"/>
    <w:rsid w:val="00B937A8"/>
    <w:rsid w:val="00B97011"/>
    <w:rsid w:val="00BB0150"/>
    <w:rsid w:val="00BB27A8"/>
    <w:rsid w:val="00BC3CF0"/>
    <w:rsid w:val="00BD2F58"/>
    <w:rsid w:val="00BD71EB"/>
    <w:rsid w:val="00BE19F6"/>
    <w:rsid w:val="00BE31B3"/>
    <w:rsid w:val="00BF2CDF"/>
    <w:rsid w:val="00C14720"/>
    <w:rsid w:val="00C31050"/>
    <w:rsid w:val="00C32572"/>
    <w:rsid w:val="00C34E6F"/>
    <w:rsid w:val="00C406DD"/>
    <w:rsid w:val="00C505AB"/>
    <w:rsid w:val="00C5262E"/>
    <w:rsid w:val="00C556C2"/>
    <w:rsid w:val="00C56D82"/>
    <w:rsid w:val="00C6777B"/>
    <w:rsid w:val="00C74DF4"/>
    <w:rsid w:val="00C77E58"/>
    <w:rsid w:val="00C84A15"/>
    <w:rsid w:val="00C875FE"/>
    <w:rsid w:val="00CA6C88"/>
    <w:rsid w:val="00CB5243"/>
    <w:rsid w:val="00CC1957"/>
    <w:rsid w:val="00CD6434"/>
    <w:rsid w:val="00CF5C85"/>
    <w:rsid w:val="00CF70F5"/>
    <w:rsid w:val="00D101E5"/>
    <w:rsid w:val="00D1331A"/>
    <w:rsid w:val="00D14FDB"/>
    <w:rsid w:val="00D4113B"/>
    <w:rsid w:val="00D4590D"/>
    <w:rsid w:val="00D467D5"/>
    <w:rsid w:val="00D71D4B"/>
    <w:rsid w:val="00D81E83"/>
    <w:rsid w:val="00D83C36"/>
    <w:rsid w:val="00DA1794"/>
    <w:rsid w:val="00DB749C"/>
    <w:rsid w:val="00DC1A77"/>
    <w:rsid w:val="00DD492B"/>
    <w:rsid w:val="00DE15AF"/>
    <w:rsid w:val="00DF2066"/>
    <w:rsid w:val="00DF3148"/>
    <w:rsid w:val="00E009A8"/>
    <w:rsid w:val="00E00EBC"/>
    <w:rsid w:val="00E014FE"/>
    <w:rsid w:val="00E03700"/>
    <w:rsid w:val="00E05211"/>
    <w:rsid w:val="00E161B3"/>
    <w:rsid w:val="00E25CF5"/>
    <w:rsid w:val="00E26DF2"/>
    <w:rsid w:val="00E30058"/>
    <w:rsid w:val="00E31991"/>
    <w:rsid w:val="00E31ABF"/>
    <w:rsid w:val="00E4265E"/>
    <w:rsid w:val="00E42F27"/>
    <w:rsid w:val="00E47D2E"/>
    <w:rsid w:val="00E5456C"/>
    <w:rsid w:val="00E60353"/>
    <w:rsid w:val="00E65F4B"/>
    <w:rsid w:val="00E753DB"/>
    <w:rsid w:val="00E82CA7"/>
    <w:rsid w:val="00E85438"/>
    <w:rsid w:val="00E93BC2"/>
    <w:rsid w:val="00EA6F7B"/>
    <w:rsid w:val="00EB4C67"/>
    <w:rsid w:val="00EC618B"/>
    <w:rsid w:val="00ED0A4A"/>
    <w:rsid w:val="00ED4BEC"/>
    <w:rsid w:val="00ED7EC3"/>
    <w:rsid w:val="00F0038A"/>
    <w:rsid w:val="00F00D5B"/>
    <w:rsid w:val="00F01F8F"/>
    <w:rsid w:val="00F1162B"/>
    <w:rsid w:val="00F615F9"/>
    <w:rsid w:val="00F654CD"/>
    <w:rsid w:val="00F703AC"/>
    <w:rsid w:val="00F72B88"/>
    <w:rsid w:val="00F77388"/>
    <w:rsid w:val="00F8628A"/>
    <w:rsid w:val="00FC0874"/>
    <w:rsid w:val="00FC1127"/>
    <w:rsid w:val="00FD4197"/>
    <w:rsid w:val="00FF4A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15261F"/>
  <w15:chartTrackingRefBased/>
  <w15:docId w15:val="{0DB805B9-5B7F-48E0-8B4E-11A619B2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paragraph" w:styleId="Heading3">
    <w:name w:val="heading 3"/>
    <w:basedOn w:val="Normal"/>
    <w:next w:val="Normal"/>
    <w:link w:val="Heading3Char"/>
    <w:semiHidden/>
    <w:unhideWhenUsed/>
    <w:qFormat/>
    <w:rsid w:val="002931C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6,Style 19,Style 35,fr"/>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Style 36,fn,ft"/>
    <w:basedOn w:val="Normal"/>
    <w:link w:val="FootnoteTextChar"/>
    <w:uiPriority w:val="99"/>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F77388"/>
    <w:rPr>
      <w:rFonts w:ascii="Tahoma" w:hAnsi="Tahoma" w:cs="Tahoma"/>
      <w:sz w:val="16"/>
      <w:szCs w:val="16"/>
    </w:rPr>
  </w:style>
  <w:style w:type="character" w:customStyle="1" w:styleId="BalloonTextChar">
    <w:name w:val="Balloon Text Char"/>
    <w:link w:val="BalloonText"/>
    <w:rsid w:val="00F77388"/>
    <w:rPr>
      <w:rFonts w:ascii="Tahoma" w:hAnsi="Tahoma" w:cs="Tahoma"/>
      <w:sz w:val="16"/>
      <w:szCs w:val="16"/>
    </w:rPr>
  </w:style>
  <w:style w:type="character" w:customStyle="1" w:styleId="Heading3Char">
    <w:name w:val="Heading 3 Char"/>
    <w:link w:val="Heading3"/>
    <w:semiHidden/>
    <w:rsid w:val="002931C5"/>
    <w:rPr>
      <w:rFonts w:ascii="Cambria" w:eastAsia="Times New Roman" w:hAnsi="Cambria" w:cs="Times New Roman"/>
      <w:b/>
      <w:bCs/>
      <w:sz w:val="26"/>
      <w:szCs w:val="26"/>
    </w:rPr>
  </w:style>
  <w:style w:type="character" w:styleId="CommentReference">
    <w:name w:val="annotation reference"/>
    <w:rsid w:val="00E05211"/>
    <w:rPr>
      <w:sz w:val="16"/>
      <w:szCs w:val="16"/>
    </w:rPr>
  </w:style>
  <w:style w:type="paragraph" w:styleId="CommentText">
    <w:name w:val="annotation text"/>
    <w:basedOn w:val="Normal"/>
    <w:link w:val="CommentTextChar"/>
    <w:rsid w:val="00E05211"/>
    <w:rPr>
      <w:sz w:val="20"/>
      <w:szCs w:val="20"/>
    </w:rPr>
  </w:style>
  <w:style w:type="character" w:customStyle="1" w:styleId="CommentTextChar">
    <w:name w:val="Comment Text Char"/>
    <w:link w:val="CommentText"/>
    <w:rsid w:val="00E05211"/>
    <w:rPr>
      <w:rFonts w:ascii="Arial" w:hAnsi="Arial"/>
    </w:rPr>
  </w:style>
  <w:style w:type="paragraph" w:styleId="CommentSubject">
    <w:name w:val="annotation subject"/>
    <w:basedOn w:val="CommentText"/>
    <w:next w:val="CommentText"/>
    <w:link w:val="CommentSubjectChar"/>
    <w:rsid w:val="00172514"/>
    <w:rPr>
      <w:b/>
      <w:bCs/>
    </w:rPr>
  </w:style>
  <w:style w:type="character" w:customStyle="1" w:styleId="CommentSubjectChar">
    <w:name w:val="Comment Subject Char"/>
    <w:basedOn w:val="CommentTextChar"/>
    <w:link w:val="CommentSubject"/>
    <w:rsid w:val="00172514"/>
    <w:rPr>
      <w:rFonts w:ascii="Arial" w:hAnsi="Arial"/>
      <w:b/>
      <w:bCs/>
    </w:rPr>
  </w:style>
  <w:style w:type="character" w:styleId="Hyperlink">
    <w:name w:val="Hyperlink"/>
    <w:basedOn w:val="DefaultParagraphFont"/>
    <w:rsid w:val="004E5FD2"/>
    <w:rPr>
      <w:color w:val="0563C1" w:themeColor="hyperlink"/>
      <w:u w:val="single"/>
    </w:rPr>
  </w:style>
  <w:style w:type="character" w:styleId="UnresolvedMention">
    <w:name w:val="Unresolved Mention"/>
    <w:basedOn w:val="DefaultParagraphFont"/>
    <w:uiPriority w:val="99"/>
    <w:semiHidden/>
    <w:unhideWhenUsed/>
    <w:rsid w:val="004E5FD2"/>
    <w:rPr>
      <w:color w:val="605E5C"/>
      <w:shd w:val="clear" w:color="auto" w:fill="E1DFDD"/>
    </w:rPr>
  </w:style>
  <w:style w:type="paragraph" w:styleId="Revision">
    <w:name w:val="Revision"/>
    <w:hidden/>
    <w:uiPriority w:val="99"/>
    <w:semiHidden/>
    <w:rsid w:val="00E5456C"/>
    <w:rPr>
      <w:rFonts w:ascii="Arial" w:hAnsi="Arial"/>
      <w:sz w:val="24"/>
      <w:szCs w:val="24"/>
    </w:rPr>
  </w:style>
  <w:style w:type="paragraph" w:styleId="ListParagraph">
    <w:name w:val="List Paragraph"/>
    <w:basedOn w:val="Normal"/>
    <w:uiPriority w:val="34"/>
    <w:qFormat/>
    <w:rsid w:val="004E5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51814-F39B-486D-8728-F43F4453806C}">
  <ds:schemaRefs>
    <ds:schemaRef ds:uri="http://schemas.microsoft.com/sharepoint/v3/contenttype/forms"/>
  </ds:schemaRefs>
</ds:datastoreItem>
</file>

<file path=customXml/itemProps2.xml><?xml version="1.0" encoding="utf-8"?>
<ds:datastoreItem xmlns:ds="http://schemas.openxmlformats.org/officeDocument/2006/customXml" ds:itemID="{76E1358B-3A70-4FDC-A98B-AF05B7E1F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0A0F58-FF0F-4F21-B811-EBDF67E06242}">
  <ds:schemaRefs>
    <ds:schemaRef ds:uri="http://schemas.openxmlformats.org/officeDocument/2006/bibliography"/>
  </ds:schemaRefs>
</ds:datastoreItem>
</file>

<file path=customXml/itemProps4.xml><?xml version="1.0" encoding="utf-8"?>
<ds:datastoreItem xmlns:ds="http://schemas.openxmlformats.org/officeDocument/2006/customXml" ds:itemID="{6A700717-F8F6-47A7-9C5F-61CD79C33B4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3967</Words>
  <Characters>22613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Kenny Wright</cp:lastModifiedBy>
  <cp:revision>3</cp:revision>
  <cp:lastPrinted>2012-02-09T17:15:00Z</cp:lastPrinted>
  <dcterms:created xsi:type="dcterms:W3CDTF">2025-06-25T20:51:00Z</dcterms:created>
  <dcterms:modified xsi:type="dcterms:W3CDTF">2025-06-25T20:56:00Z</dcterms:modified>
</cp:coreProperties>
</file>